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126">
      <w:pPr>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46B9D754">
      <w:pPr>
        <w:rPr>
          <w:rFonts w:hint="eastAsia" w:ascii="仿宋" w:hAnsi="仿宋" w:eastAsia="仿宋" w:cs="仿宋"/>
          <w:color w:val="auto"/>
          <w:highlight w:val="none"/>
        </w:rPr>
      </w:pPr>
    </w:p>
    <w:p w14:paraId="7A945D03">
      <w:pPr>
        <w:jc w:val="center"/>
        <w:rPr>
          <w:rFonts w:hint="eastAsia" w:ascii="仿宋" w:hAnsi="仿宋" w:eastAsia="仿宋" w:cs="仿宋"/>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339090</wp:posOffset>
                </wp:positionV>
                <wp:extent cx="633984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3984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9D30">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昌吉州玛纳斯县公立医院改革与高质量发展示范项目（二期）</w:t>
                            </w:r>
                          </w:p>
                          <w:p w14:paraId="1E9CECCF">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SJX-2026-300</w:t>
                            </w:r>
                            <w:r>
                              <w:rPr>
                                <w:rFonts w:hint="eastAsia" w:ascii="微软雅黑" w:hAnsi="微软雅黑" w:eastAsia="微软雅黑" w:cs="微软雅黑"/>
                                <w:b/>
                                <w:bCs/>
                                <w:color w:val="237085"/>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6.7pt;height:127.2pt;width:499.2pt;z-index:251660288;mso-width-relative:page;mso-height-relative:page;" filled="f" stroked="f" coordsize="21600,21600" o:gfxdata="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BanbcAAAACgEAAA8AAAAAAAAAAQAgAAAAIgAAAGRy&#10;cy9kb3ducmV2LnhtbFBLAQIUABQAAAAIAIdO4kD84dPBOgIAAGcEAAAOAAAAAAAAAAEAIAAAACsB&#10;AABkcnMvZTJvRG9jLnhtbFBLBQYAAAAABgAGAFkBAADXBQAAAAA=&#10;">
                <v:fill on="f" focussize="0,0"/>
                <v:stroke on="f" weight="0.5pt"/>
                <v:imagedata o:title=""/>
                <o:lock v:ext="edit" aspectratio="f"/>
                <v:textbox>
                  <w:txbxContent>
                    <w:p w14:paraId="49739D30">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昌吉州玛纳斯县公立医院改革与高质量发展示范项目（二期）</w:t>
                      </w:r>
                    </w:p>
                    <w:p w14:paraId="1E9CECCF">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SJX-2026-300</w:t>
                      </w:r>
                      <w:r>
                        <w:rPr>
                          <w:rFonts w:hint="eastAsia" w:ascii="微软雅黑" w:hAnsi="微软雅黑" w:eastAsia="微软雅黑" w:cs="微软雅黑"/>
                          <w:b/>
                          <w:bCs/>
                          <w:color w:val="237085"/>
                          <w:sz w:val="28"/>
                          <w:szCs w:val="28"/>
                        </w:rPr>
                        <w:t>）</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62071">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玛纳斯县人民医院（盖章）</w:t>
                            </w:r>
                          </w:p>
                          <w:p w14:paraId="4700D619">
                            <w:pPr>
                              <w:jc w:val="left"/>
                              <w:rPr>
                                <w:rFonts w:ascii="微软雅黑" w:hAnsi="微软雅黑" w:eastAsia="微软雅黑" w:cs="微软雅黑"/>
                                <w:b/>
                                <w:bCs/>
                                <w:color w:val="237085"/>
                                <w:sz w:val="32"/>
                                <w:szCs w:val="32"/>
                              </w:rPr>
                            </w:pPr>
                          </w:p>
                          <w:p w14:paraId="605C720A">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54665C80">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28962071">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玛纳斯县人民医院（盖章）</w:t>
                      </w:r>
                    </w:p>
                    <w:p w14:paraId="4700D619">
                      <w:pPr>
                        <w:jc w:val="left"/>
                        <w:rPr>
                          <w:rFonts w:ascii="微软雅黑" w:hAnsi="微软雅黑" w:eastAsia="微软雅黑" w:cs="微软雅黑"/>
                          <w:b/>
                          <w:bCs/>
                          <w:color w:val="237085"/>
                          <w:sz w:val="32"/>
                          <w:szCs w:val="32"/>
                        </w:rPr>
                      </w:pPr>
                    </w:p>
                    <w:p w14:paraId="605C720A">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54665C80">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v:textbox>
              </v:shape>
            </w:pict>
          </mc:Fallback>
        </mc:AlternateContent>
      </w:r>
    </w:p>
    <w:p w14:paraId="7A6E5FAE">
      <w:pPr>
        <w:jc w:val="center"/>
        <w:rPr>
          <w:rFonts w:hint="eastAsia" w:ascii="仿宋" w:hAnsi="仿宋" w:eastAsia="仿宋" w:cs="仿宋"/>
          <w:color w:val="auto"/>
          <w:sz w:val="32"/>
          <w:szCs w:val="32"/>
          <w:highlight w:val="none"/>
        </w:rPr>
      </w:pPr>
    </w:p>
    <w:tbl>
      <w:tblPr>
        <w:tblStyle w:val="2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br w:type="page"/>
            </w:r>
          </w:p>
          <w:p w14:paraId="0D4A9932">
            <w:pPr>
              <w:spacing w:line="360" w:lineRule="auto"/>
              <w:ind w:right="31" w:rightChars="15"/>
              <w:jc w:val="center"/>
              <w:rPr>
                <w:rFonts w:hint="eastAsia" w:ascii="仿宋" w:hAnsi="仿宋" w:eastAsia="仿宋" w:cs="仿宋"/>
                <w:b/>
                <w:bCs/>
                <w:color w:val="auto"/>
                <w:sz w:val="32"/>
                <w:szCs w:val="32"/>
                <w:highlight w:val="none"/>
              </w:rPr>
            </w:pPr>
          </w:p>
          <w:p w14:paraId="3E1513FF">
            <w:pPr>
              <w:spacing w:line="360" w:lineRule="auto"/>
              <w:ind w:right="31" w:rightChars="15"/>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招标文件确认表</w:t>
            </w:r>
          </w:p>
          <w:p w14:paraId="0583ADC9">
            <w:pPr>
              <w:spacing w:line="360" w:lineRule="auto"/>
              <w:ind w:firstLine="720" w:firstLineChars="300"/>
              <w:rPr>
                <w:rFonts w:hint="eastAsia" w:ascii="仿宋" w:hAnsi="仿宋" w:eastAsia="仿宋" w:cs="仿宋"/>
                <w:color w:val="auto"/>
                <w:sz w:val="24"/>
                <w:highlight w:val="none"/>
              </w:rPr>
            </w:pPr>
          </w:p>
          <w:p w14:paraId="41EDC2F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新疆世纪星工程咨询有限公司：</w:t>
            </w:r>
          </w:p>
          <w:p w14:paraId="4C349E74">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昌吉州玛纳斯县公立医院改革与高质量发展示范项目（二期）</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eastAsia="zh-CN"/>
              </w:rPr>
              <w:t>SJX-2026-300</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招标文件，经我单位审核符合我单位提出的招标要求，同意对外发布。</w:t>
            </w:r>
          </w:p>
          <w:p w14:paraId="52DC1209">
            <w:pPr>
              <w:spacing w:line="360" w:lineRule="auto"/>
              <w:rPr>
                <w:rFonts w:hint="eastAsia" w:ascii="仿宋" w:hAnsi="仿宋" w:eastAsia="仿宋" w:cs="仿宋"/>
                <w:color w:val="auto"/>
                <w:sz w:val="28"/>
                <w:szCs w:val="28"/>
                <w:highlight w:val="none"/>
              </w:rPr>
            </w:pPr>
          </w:p>
          <w:p w14:paraId="6B1A6A7B">
            <w:pPr>
              <w:spacing w:line="360" w:lineRule="auto"/>
              <w:ind w:right="240"/>
              <w:rPr>
                <w:rFonts w:hint="eastAsia" w:ascii="仿宋" w:hAnsi="仿宋" w:eastAsia="仿宋" w:cs="仿宋"/>
                <w:color w:val="auto"/>
                <w:sz w:val="28"/>
                <w:szCs w:val="28"/>
                <w:highlight w:val="none"/>
              </w:rPr>
            </w:pPr>
          </w:p>
          <w:p w14:paraId="54F51F08">
            <w:pPr>
              <w:spacing w:line="360" w:lineRule="auto"/>
              <w:ind w:right="240"/>
              <w:rPr>
                <w:rFonts w:hint="eastAsia" w:ascii="仿宋" w:hAnsi="仿宋" w:eastAsia="仿宋" w:cs="仿宋"/>
                <w:color w:val="auto"/>
                <w:sz w:val="28"/>
                <w:szCs w:val="28"/>
                <w:highlight w:val="none"/>
              </w:rPr>
            </w:pPr>
          </w:p>
          <w:p w14:paraId="65E18056">
            <w:pPr>
              <w:spacing w:line="360" w:lineRule="auto"/>
              <w:ind w:right="8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采购人（盖章）：  </w:t>
            </w:r>
          </w:p>
          <w:p w14:paraId="1D1414A0">
            <w:pPr>
              <w:spacing w:line="360" w:lineRule="auto"/>
              <w:ind w:right="960"/>
              <w:rPr>
                <w:rFonts w:hint="eastAsia" w:ascii="仿宋" w:hAnsi="仿宋" w:eastAsia="仿宋" w:cs="仿宋"/>
                <w:b/>
                <w:color w:val="auto"/>
                <w:sz w:val="40"/>
                <w:szCs w:val="32"/>
                <w:highlight w:val="none"/>
              </w:rPr>
            </w:pPr>
            <w:r>
              <w:rPr>
                <w:rFonts w:hint="eastAsia" w:ascii="仿宋" w:hAnsi="仿宋" w:eastAsia="仿宋" w:cs="仿宋"/>
                <w:color w:val="auto"/>
                <w:sz w:val="28"/>
                <w:szCs w:val="28"/>
                <w:highlight w:val="none"/>
              </w:rPr>
              <w:t xml:space="preserve">                                   年   月   日</w:t>
            </w:r>
          </w:p>
        </w:tc>
      </w:tr>
    </w:tbl>
    <w:p w14:paraId="301545D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2E8CF28">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highlight w:val="none"/>
        </w:rPr>
        <w:id w:val="147457632"/>
        <w15:color w:val="DBDBDB"/>
        <w:docPartObj>
          <w:docPartGallery w:val="Table of Contents"/>
          <w:docPartUnique/>
        </w:docPartObj>
      </w:sdtPr>
      <w:sdtEndPr>
        <w:rPr>
          <w:rFonts w:hint="eastAsia" w:ascii="仿宋" w:hAnsi="仿宋" w:eastAsia="仿宋" w:cs="仿宋"/>
          <w:b/>
          <w:color w:val="auto"/>
          <w:szCs w:val="32"/>
          <w:highlight w:val="none"/>
        </w:rPr>
      </w:sdtEndPr>
      <w:sdtContent>
        <w:p w14:paraId="1354D1C1">
          <w:pPr>
            <w:rPr>
              <w:rFonts w:hint="eastAsia" w:ascii="仿宋" w:hAnsi="仿宋" w:eastAsia="仿宋" w:cs="仿宋"/>
              <w:b/>
              <w:color w:val="auto"/>
              <w:kern w:val="2"/>
              <w:sz w:val="21"/>
              <w:szCs w:val="32"/>
              <w:highlight w:val="none"/>
              <w:lang w:val="en-US" w:eastAsia="zh-CN" w:bidi="ar-SA"/>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784B3FB3">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_Toc16892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第一章 公开招标公告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_Toc16892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3E37D83">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_Toc4796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 投标须知前附表</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_Toc4796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92EC47E">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_Toc12072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xml:space="preserve">第三章 </w:t>
          </w:r>
          <w:r>
            <w:rPr>
              <w:rFonts w:hint="eastAsia" w:ascii="仿宋" w:hAnsi="仿宋" w:eastAsia="仿宋" w:cs="仿宋"/>
              <w:b/>
              <w:bCs/>
              <w:color w:val="auto"/>
              <w:sz w:val="28"/>
              <w:szCs w:val="28"/>
              <w:highlight w:val="none"/>
              <w:lang w:val="en-US" w:eastAsia="zh-CN"/>
            </w:rPr>
            <w:t>投标人</w:t>
          </w:r>
          <w:r>
            <w:rPr>
              <w:rFonts w:hint="eastAsia" w:ascii="仿宋" w:hAnsi="仿宋" w:eastAsia="仿宋" w:cs="仿宋"/>
              <w:b/>
              <w:bCs/>
              <w:color w:val="auto"/>
              <w:sz w:val="28"/>
              <w:szCs w:val="28"/>
              <w:highlight w:val="none"/>
            </w:rPr>
            <w:t>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_Toc12072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88CECCB">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_Toc20234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第四章 政府采购合同</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_Toc20234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3E6D9A4">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_Toc28683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_Toc28683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1E154A0">
          <w:pPr>
            <w:pStyle w:val="20"/>
            <w:tabs>
              <w:tab w:val="right" w:leader="dot" w:pos="830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_Toc12889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第六章 评标程序、评标方法和评标标准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_Toc12889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166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169CB6A">
          <w:pPr>
            <w:pStyle w:val="20"/>
            <w:tabs>
              <w:tab w:val="right" w:leader="dot" w:pos="8306"/>
            </w:tabs>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_Toc16309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第七章 投标文件格式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_Toc16309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EECEA92">
          <w:pPr>
            <w:jc w:val="center"/>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0CCAB94">
      <w:pPr>
        <w:pStyle w:val="2"/>
        <w:numPr>
          <w:ilvl w:val="0"/>
          <w:numId w:val="1"/>
        </w:numPr>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hint="eastAsia" w:ascii="仿宋" w:hAnsi="仿宋" w:eastAsia="仿宋" w:cs="仿宋"/>
          <w:color w:val="auto"/>
          <w:sz w:val="32"/>
          <w:szCs w:val="32"/>
          <w:highlight w:val="none"/>
        </w:rPr>
      </w:pPr>
      <w:bookmarkStart w:id="0" w:name="_Toc16892"/>
      <w:r>
        <w:rPr>
          <w:rFonts w:hint="eastAsia" w:ascii="仿宋" w:hAnsi="仿宋" w:eastAsia="仿宋" w:cs="仿宋"/>
          <w:color w:val="auto"/>
          <w:sz w:val="32"/>
          <w:szCs w:val="32"/>
          <w:highlight w:val="none"/>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i w:val="0"/>
          <w:iCs w:val="0"/>
          <w:caps w:val="0"/>
          <w:color w:val="auto"/>
          <w:spacing w:val="0"/>
          <w:sz w:val="24"/>
          <w:szCs w:val="24"/>
          <w:highlight w:val="none"/>
        </w:rPr>
        <w:t>招标项目的潜在投标人应在政采云平台http://www.zcygov.cn/获取招标文件，并于</w:t>
      </w:r>
      <w:r>
        <w:rPr>
          <w:rFonts w:hint="eastAsia" w:ascii="仿宋" w:hAnsi="仿宋" w:eastAsia="仿宋" w:cs="仿宋"/>
          <w:color w:val="auto"/>
          <w:sz w:val="24"/>
          <w:szCs w:val="24"/>
          <w:highlight w:val="none"/>
          <w:lang w:eastAsia="zh-CN"/>
        </w:rPr>
        <w:t>2026年06月04日</w:t>
      </w:r>
      <w:r>
        <w:rPr>
          <w:rFonts w:hint="eastAsia" w:ascii="仿宋" w:hAnsi="仿宋" w:eastAsia="仿宋" w:cs="仿宋"/>
          <w:i w:val="0"/>
          <w:iCs w:val="0"/>
          <w:caps w:val="0"/>
          <w:color w:val="auto"/>
          <w:spacing w:val="0"/>
          <w:sz w:val="24"/>
          <w:szCs w:val="24"/>
          <w:highlight w:val="none"/>
        </w:rPr>
        <w:t xml:space="preserve"> 11:00（北京时间）前递交投标文件。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1" w:name="_Toc21739"/>
      <w:bookmarkStart w:id="2" w:name="_Toc22991"/>
      <w:r>
        <w:rPr>
          <w:rFonts w:hint="eastAsia" w:ascii="仿宋" w:hAnsi="仿宋" w:eastAsia="仿宋" w:cs="仿宋"/>
          <w:b/>
          <w:bCs/>
          <w:color w:val="auto"/>
          <w:sz w:val="24"/>
          <w:highlight w:val="none"/>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SJX-2026-300</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昌吉州玛纳斯县公立医院改革与高质量发展示范项目（二期）</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8900000元</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val="en-US" w:eastAsia="zh-CN"/>
        </w:rPr>
        <w:t>500000，900000，700000，720000，830000，780000，280000，660000，490000，500000，400000，380000，640000，840000，280000</w:t>
      </w:r>
    </w:p>
    <w:p w14:paraId="41688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p>
    <w:p w14:paraId="0AE5D5E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标项一</w:t>
      </w:r>
      <w:r>
        <w:rPr>
          <w:rFonts w:hint="eastAsia" w:ascii="仿宋" w:hAnsi="仿宋" w:eastAsia="仿宋" w:cs="仿宋"/>
          <w:color w:val="auto"/>
          <w:sz w:val="24"/>
          <w:highlight w:val="none"/>
        </w:rPr>
        <w:t xml:space="preserve"> </w:t>
      </w:r>
    </w:p>
    <w:p w14:paraId="74E2B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-第一包</w:t>
      </w:r>
    </w:p>
    <w:p w14:paraId="67BFA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7B9B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500000</w:t>
      </w:r>
    </w:p>
    <w:p w14:paraId="257B9C90">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1F34C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超声手术刀系统</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szCs w:val="24"/>
          <w:highlight w:val="none"/>
          <w:lang w:val="en-US" w:eastAsia="zh-CN"/>
        </w:rPr>
        <w:t>、隐瘢痕无充气甲状腺拉钩套装</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szCs w:val="24"/>
          <w:highlight w:val="none"/>
          <w:lang w:val="en-US" w:eastAsia="zh-CN"/>
        </w:rPr>
        <w:t>、内窥镜手术刨削器</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szCs w:val="24"/>
          <w:highlight w:val="none"/>
          <w:lang w:val="en-US" w:eastAsia="zh-CN"/>
        </w:rPr>
        <w:t>、乳房病灶旋切活检系统</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7FD3C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9DBCB0B">
      <w:pPr>
        <w:outlineLvl w:val="9"/>
        <w:rPr>
          <w:rFonts w:hint="eastAsia" w:ascii="仿宋" w:hAnsi="仿宋" w:eastAsia="仿宋" w:cs="仿宋"/>
          <w:color w:val="auto"/>
          <w:sz w:val="24"/>
          <w:szCs w:val="24"/>
          <w:highlight w:val="none"/>
        </w:rPr>
      </w:pPr>
    </w:p>
    <w:p w14:paraId="18197422">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标项二</w:t>
      </w:r>
      <w:r>
        <w:rPr>
          <w:rFonts w:hint="eastAsia" w:ascii="仿宋" w:hAnsi="仿宋" w:eastAsia="仿宋" w:cs="仿宋"/>
          <w:color w:val="auto"/>
          <w:sz w:val="24"/>
          <w:highlight w:val="none"/>
        </w:rPr>
        <w:t xml:space="preserve"> </w:t>
      </w:r>
    </w:p>
    <w:p w14:paraId="2C4F0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-第二包</w:t>
      </w:r>
    </w:p>
    <w:p w14:paraId="345F1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853A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900000</w:t>
      </w:r>
    </w:p>
    <w:p w14:paraId="18DA411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5A8AC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高端便携超声诊断仪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1B7CB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1E6575C">
      <w:pPr>
        <w:outlineLvl w:val="9"/>
        <w:rPr>
          <w:rFonts w:hint="eastAsia" w:ascii="仿宋" w:hAnsi="仿宋" w:eastAsia="仿宋" w:cs="仿宋"/>
          <w:color w:val="auto"/>
          <w:sz w:val="24"/>
          <w:szCs w:val="24"/>
          <w:highlight w:val="none"/>
        </w:rPr>
      </w:pPr>
    </w:p>
    <w:p w14:paraId="1F3475C0">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标项三</w:t>
      </w:r>
    </w:p>
    <w:p w14:paraId="2F4CD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-第三包</w:t>
      </w:r>
    </w:p>
    <w:p w14:paraId="5B8FB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0F3A0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700000</w:t>
      </w:r>
    </w:p>
    <w:p w14:paraId="6E761671">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62EFB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彩色多普勒超声诊断仪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39C29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CCF628F">
      <w:pPr>
        <w:outlineLvl w:val="9"/>
        <w:rPr>
          <w:rFonts w:hint="eastAsia" w:ascii="仿宋" w:hAnsi="仿宋" w:eastAsia="仿宋" w:cs="仿宋"/>
          <w:color w:val="auto"/>
          <w:sz w:val="24"/>
          <w:szCs w:val="24"/>
          <w:highlight w:val="none"/>
        </w:rPr>
      </w:pPr>
    </w:p>
    <w:p w14:paraId="3FC63A5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标项四</w:t>
      </w:r>
    </w:p>
    <w:p w14:paraId="01BA3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-第四包</w:t>
      </w:r>
    </w:p>
    <w:p w14:paraId="10D7F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55BEAD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720000</w:t>
      </w:r>
    </w:p>
    <w:p w14:paraId="5B1700D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76223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便携式电子支气管镜</w:t>
      </w:r>
      <w:r>
        <w:rPr>
          <w:rFonts w:hint="eastAsia" w:ascii="仿宋" w:hAnsi="仿宋" w:eastAsia="仿宋" w:cs="仿宋"/>
          <w:i w:val="0"/>
          <w:iCs w:val="0"/>
          <w:color w:val="auto"/>
          <w:kern w:val="0"/>
          <w:sz w:val="24"/>
          <w:szCs w:val="24"/>
          <w:highlight w:val="none"/>
          <w:u w:val="none"/>
          <w:lang w:val="en-US" w:eastAsia="zh-CN" w:bidi="ar"/>
        </w:rPr>
        <w:t>2套</w:t>
      </w:r>
      <w:r>
        <w:rPr>
          <w:rFonts w:hint="eastAsia" w:ascii="仿宋" w:hAnsi="仿宋" w:eastAsia="仿宋" w:cs="仿宋"/>
          <w:color w:val="auto"/>
          <w:sz w:val="24"/>
          <w:szCs w:val="24"/>
          <w:highlight w:val="none"/>
          <w:lang w:val="en-US" w:eastAsia="zh-CN"/>
        </w:rPr>
        <w:t>、动态血压仪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儿童可视喉镜2台</w:t>
      </w:r>
      <w:r>
        <w:rPr>
          <w:rFonts w:hint="eastAsia" w:ascii="仿宋" w:hAnsi="仿宋" w:eastAsia="仿宋" w:cs="仿宋"/>
          <w:color w:val="auto"/>
          <w:sz w:val="24"/>
          <w:szCs w:val="24"/>
          <w:highlight w:val="none"/>
          <w:lang w:val="en-US" w:eastAsia="zh-CN"/>
        </w:rPr>
        <w:t>、新生儿监护仪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szCs w:val="24"/>
          <w:highlight w:val="none"/>
          <w:lang w:val="en-US" w:eastAsia="zh-CN"/>
        </w:rPr>
        <w:t>、多参数生物反馈治疗仪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1B925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3022870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highlight w:val="none"/>
          <w:lang w:val="en-US" w:eastAsia="zh-CN"/>
        </w:rPr>
      </w:pPr>
    </w:p>
    <w:p w14:paraId="20E8D47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标项五</w:t>
      </w:r>
    </w:p>
    <w:p w14:paraId="75A11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-第五包</w:t>
      </w:r>
    </w:p>
    <w:p w14:paraId="3AEDC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7639B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830000</w:t>
      </w:r>
    </w:p>
    <w:p w14:paraId="4727B5DD">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142FE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胎儿监护仪（双床位）</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szCs w:val="24"/>
          <w:highlight w:val="none"/>
          <w:lang w:val="en-US" w:eastAsia="zh-CN"/>
        </w:rPr>
        <w:t>、胎心监护仪</w:t>
      </w:r>
      <w:r>
        <w:rPr>
          <w:rFonts w:hint="eastAsia" w:ascii="仿宋" w:hAnsi="仿宋" w:eastAsia="仿宋" w:cs="仿宋"/>
          <w:i w:val="0"/>
          <w:iCs w:val="0"/>
          <w:color w:val="auto"/>
          <w:kern w:val="0"/>
          <w:sz w:val="24"/>
          <w:szCs w:val="24"/>
          <w:highlight w:val="none"/>
          <w:u w:val="none"/>
          <w:lang w:val="en-US" w:eastAsia="zh-CN" w:bidi="ar"/>
        </w:rPr>
        <w:t>4台</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生物刺激反馈仪1台</w:t>
      </w:r>
      <w:r>
        <w:rPr>
          <w:rFonts w:hint="eastAsia" w:ascii="仿宋" w:hAnsi="仿宋" w:eastAsia="仿宋" w:cs="仿宋"/>
          <w:color w:val="auto"/>
          <w:sz w:val="24"/>
          <w:szCs w:val="24"/>
          <w:highlight w:val="none"/>
          <w:lang w:val="en-US" w:eastAsia="zh-CN"/>
        </w:rPr>
        <w:t>、臭氧治疗仪</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szCs w:val="24"/>
          <w:highlight w:val="none"/>
          <w:lang w:val="en-US" w:eastAsia="zh-CN"/>
        </w:rPr>
        <w:t>、盆底磁刺激仪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04606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F346CAE">
      <w:pPr>
        <w:outlineLvl w:val="9"/>
        <w:rPr>
          <w:rFonts w:hint="eastAsia" w:ascii="仿宋" w:hAnsi="仿宋" w:eastAsia="仿宋" w:cs="仿宋"/>
          <w:color w:val="auto"/>
          <w:sz w:val="24"/>
          <w:szCs w:val="24"/>
          <w:highlight w:val="none"/>
          <w:lang w:val="en-US" w:eastAsia="zh-CN"/>
        </w:rPr>
      </w:pPr>
    </w:p>
    <w:p w14:paraId="4BAAA782">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标项六</w:t>
      </w:r>
    </w:p>
    <w:p w14:paraId="2A9C9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-第六包</w:t>
      </w:r>
    </w:p>
    <w:p w14:paraId="5D0F4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6940C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780000</w:t>
      </w:r>
    </w:p>
    <w:p w14:paraId="6AE89778">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51E12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氩气高频电刀</w:t>
      </w:r>
      <w:r>
        <w:rPr>
          <w:rFonts w:hint="eastAsia" w:ascii="仿宋" w:hAnsi="仿宋" w:eastAsia="仿宋" w:cs="仿宋"/>
          <w:i w:val="0"/>
          <w:iCs w:val="0"/>
          <w:color w:val="auto"/>
          <w:kern w:val="0"/>
          <w:sz w:val="24"/>
          <w:szCs w:val="24"/>
          <w:highlight w:val="none"/>
          <w:u w:val="none"/>
          <w:lang w:val="en-US" w:eastAsia="zh-CN" w:bidi="ar"/>
        </w:rPr>
        <w:t xml:space="preserve"> 1台</w:t>
      </w:r>
      <w:r>
        <w:rPr>
          <w:rFonts w:hint="eastAsia" w:ascii="仿宋" w:hAnsi="仿宋" w:eastAsia="仿宋" w:cs="仿宋"/>
          <w:color w:val="auto"/>
          <w:sz w:val="24"/>
          <w:szCs w:val="24"/>
          <w:highlight w:val="none"/>
          <w:lang w:val="en-US" w:eastAsia="zh-CN"/>
        </w:rPr>
        <w:t>、高频电刀</w:t>
      </w:r>
      <w:r>
        <w:rPr>
          <w:rFonts w:hint="eastAsia" w:ascii="仿宋" w:hAnsi="仿宋" w:eastAsia="仿宋" w:cs="仿宋"/>
          <w:i w:val="0"/>
          <w:iCs w:val="0"/>
          <w:color w:val="auto"/>
          <w:kern w:val="0"/>
          <w:sz w:val="24"/>
          <w:szCs w:val="24"/>
          <w:highlight w:val="none"/>
          <w:u w:val="none"/>
          <w:lang w:val="en-US" w:eastAsia="zh-CN" w:bidi="ar"/>
        </w:rPr>
        <w:t>2套</w:t>
      </w:r>
      <w:r>
        <w:rPr>
          <w:rFonts w:hint="eastAsia" w:ascii="仿宋" w:hAnsi="仿宋" w:eastAsia="仿宋" w:cs="仿宋"/>
          <w:color w:val="auto"/>
          <w:sz w:val="24"/>
          <w:szCs w:val="24"/>
          <w:highlight w:val="none"/>
          <w:lang w:val="en-US" w:eastAsia="zh-CN"/>
        </w:rPr>
        <w:t>、经颅磁刺激仪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259A7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3ABF3BBA">
      <w:pPr>
        <w:outlineLvl w:val="9"/>
        <w:rPr>
          <w:rFonts w:hint="eastAsia" w:ascii="仿宋" w:hAnsi="仿宋" w:eastAsia="仿宋" w:cs="仿宋"/>
          <w:color w:val="auto"/>
          <w:sz w:val="24"/>
          <w:szCs w:val="24"/>
          <w:highlight w:val="none"/>
          <w:lang w:val="en-US" w:eastAsia="zh-CN"/>
        </w:rPr>
      </w:pPr>
    </w:p>
    <w:p w14:paraId="3FE72E58">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标项七</w:t>
      </w:r>
    </w:p>
    <w:p w14:paraId="452A2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-第七包</w:t>
      </w:r>
    </w:p>
    <w:p w14:paraId="1DDCC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21BA7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280000</w:t>
      </w:r>
    </w:p>
    <w:p w14:paraId="3B43E370">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60E7A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血液透析机双泵带模块</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193B9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7C0C600F">
      <w:pPr>
        <w:outlineLvl w:val="9"/>
        <w:rPr>
          <w:rFonts w:hint="eastAsia" w:ascii="仿宋" w:hAnsi="仿宋" w:eastAsia="仿宋" w:cs="仿宋"/>
          <w:color w:val="auto"/>
          <w:sz w:val="24"/>
          <w:szCs w:val="24"/>
          <w:highlight w:val="none"/>
          <w:lang w:val="en-US" w:eastAsia="zh-CN"/>
        </w:rPr>
      </w:pPr>
    </w:p>
    <w:p w14:paraId="2FB983B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标项八</w:t>
      </w:r>
    </w:p>
    <w:p w14:paraId="414CE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-第八包</w:t>
      </w:r>
    </w:p>
    <w:p w14:paraId="75D73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1443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660000</w:t>
      </w:r>
    </w:p>
    <w:p w14:paraId="03E43BAF">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7FFD0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电脑恒温电蜡疗仪</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szCs w:val="24"/>
          <w:highlight w:val="none"/>
          <w:lang w:val="en-US" w:eastAsia="zh-CN"/>
        </w:rPr>
        <w:t>、微波治疗仪</w:t>
      </w:r>
      <w:r>
        <w:rPr>
          <w:rFonts w:hint="eastAsia" w:ascii="仿宋" w:hAnsi="仿宋" w:eastAsia="仿宋" w:cs="仿宋"/>
          <w:i w:val="0"/>
          <w:iCs w:val="0"/>
          <w:color w:val="auto"/>
          <w:kern w:val="0"/>
          <w:sz w:val="24"/>
          <w:szCs w:val="24"/>
          <w:highlight w:val="none"/>
          <w:u w:val="none"/>
          <w:lang w:val="en-US" w:eastAsia="zh-CN" w:bidi="ar"/>
        </w:rPr>
        <w:t xml:space="preserve">4台 </w:t>
      </w:r>
      <w:r>
        <w:rPr>
          <w:rFonts w:hint="eastAsia" w:ascii="仿宋" w:hAnsi="仿宋" w:eastAsia="仿宋" w:cs="仿宋"/>
          <w:color w:val="auto"/>
          <w:sz w:val="24"/>
          <w:szCs w:val="24"/>
          <w:highlight w:val="none"/>
          <w:lang w:val="en-US" w:eastAsia="zh-CN"/>
        </w:rPr>
        <w:t>、超短波治疗仪</w:t>
      </w:r>
      <w:r>
        <w:rPr>
          <w:rFonts w:hint="eastAsia" w:ascii="仿宋" w:hAnsi="仿宋" w:eastAsia="仿宋" w:cs="仿宋"/>
          <w:i w:val="0"/>
          <w:iCs w:val="0"/>
          <w:color w:val="auto"/>
          <w:kern w:val="0"/>
          <w:sz w:val="24"/>
          <w:szCs w:val="24"/>
          <w:highlight w:val="none"/>
          <w:u w:val="none"/>
          <w:lang w:val="en-US" w:eastAsia="zh-CN" w:bidi="ar"/>
        </w:rPr>
        <w:t xml:space="preserve"> 4台</w:t>
      </w:r>
      <w:r>
        <w:rPr>
          <w:rFonts w:hint="eastAsia" w:ascii="仿宋" w:hAnsi="仿宋" w:eastAsia="仿宋" w:cs="仿宋"/>
          <w:color w:val="auto"/>
          <w:sz w:val="24"/>
          <w:szCs w:val="24"/>
          <w:highlight w:val="none"/>
          <w:lang w:val="en-US" w:eastAsia="zh-CN"/>
        </w:rPr>
        <w:t>、颈腰椎治疗多功能牵引床</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szCs w:val="24"/>
          <w:highlight w:val="none"/>
          <w:lang w:val="en-US" w:eastAsia="zh-CN"/>
        </w:rPr>
        <w:t>、红光治疗仪</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506FF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AC915B0">
      <w:pPr>
        <w:outlineLvl w:val="9"/>
        <w:rPr>
          <w:rFonts w:hint="eastAsia" w:ascii="仿宋" w:hAnsi="仿宋" w:eastAsia="仿宋" w:cs="仿宋"/>
          <w:color w:val="auto"/>
          <w:sz w:val="24"/>
          <w:szCs w:val="24"/>
          <w:highlight w:val="none"/>
          <w:lang w:val="en-US" w:eastAsia="zh-CN"/>
        </w:rPr>
      </w:pPr>
    </w:p>
    <w:p w14:paraId="760B8BB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标项九</w:t>
      </w:r>
    </w:p>
    <w:p w14:paraId="59DB5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-第九包</w:t>
      </w:r>
    </w:p>
    <w:p w14:paraId="4F1A0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56CC1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490000</w:t>
      </w:r>
    </w:p>
    <w:p w14:paraId="77F9C4B0">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4B3FC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中频电疗仪</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szCs w:val="24"/>
          <w:highlight w:val="none"/>
          <w:lang w:val="en-US" w:eastAsia="zh-CN"/>
        </w:rPr>
        <w:t>、电针治疗仪</w:t>
      </w:r>
      <w:r>
        <w:rPr>
          <w:rFonts w:hint="eastAsia" w:ascii="仿宋" w:hAnsi="仿宋" w:eastAsia="仿宋" w:cs="仿宋"/>
          <w:i w:val="0"/>
          <w:iCs w:val="0"/>
          <w:color w:val="auto"/>
          <w:kern w:val="0"/>
          <w:sz w:val="24"/>
          <w:szCs w:val="24"/>
          <w:highlight w:val="none"/>
          <w:u w:val="none"/>
          <w:lang w:val="en-US" w:eastAsia="zh-CN" w:bidi="ar"/>
        </w:rPr>
        <w:t>18台</w:t>
      </w:r>
      <w:r>
        <w:rPr>
          <w:rFonts w:hint="eastAsia" w:ascii="仿宋" w:hAnsi="仿宋" w:eastAsia="仿宋" w:cs="仿宋"/>
          <w:color w:val="auto"/>
          <w:sz w:val="24"/>
          <w:szCs w:val="24"/>
          <w:highlight w:val="none"/>
          <w:lang w:val="en-US" w:eastAsia="zh-CN"/>
        </w:rPr>
        <w:t>、干扰电治疗仪</w:t>
      </w:r>
      <w:r>
        <w:rPr>
          <w:rFonts w:hint="eastAsia" w:ascii="仿宋" w:hAnsi="仿宋" w:eastAsia="仿宋" w:cs="仿宋"/>
          <w:i w:val="0"/>
          <w:iCs w:val="0"/>
          <w:color w:val="auto"/>
          <w:kern w:val="0"/>
          <w:sz w:val="24"/>
          <w:szCs w:val="24"/>
          <w:highlight w:val="none"/>
          <w:u w:val="none"/>
          <w:lang w:val="en-US" w:eastAsia="zh-CN" w:bidi="ar"/>
        </w:rPr>
        <w:t>5台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1453C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2F148C10">
      <w:pPr>
        <w:outlineLvl w:val="9"/>
        <w:rPr>
          <w:rFonts w:hint="eastAsia" w:ascii="仿宋" w:hAnsi="仿宋" w:eastAsia="仿宋" w:cs="仿宋"/>
          <w:color w:val="auto"/>
          <w:sz w:val="24"/>
          <w:szCs w:val="24"/>
          <w:highlight w:val="none"/>
          <w:lang w:val="en-US" w:eastAsia="zh-CN"/>
        </w:rPr>
      </w:pPr>
    </w:p>
    <w:p w14:paraId="087F006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w:t>
      </w:r>
    </w:p>
    <w:p w14:paraId="2B1E2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-第十包</w:t>
      </w:r>
    </w:p>
    <w:p w14:paraId="50CB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03A3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500000</w:t>
      </w:r>
    </w:p>
    <w:p w14:paraId="5C960372">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52DDD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冲击波治疗仪</w:t>
      </w:r>
      <w:r>
        <w:rPr>
          <w:rFonts w:hint="eastAsia" w:ascii="仿宋" w:hAnsi="仿宋" w:eastAsia="仿宋" w:cs="仿宋"/>
          <w:i w:val="0"/>
          <w:iCs w:val="0"/>
          <w:color w:val="auto"/>
          <w:kern w:val="0"/>
          <w:sz w:val="24"/>
          <w:szCs w:val="24"/>
          <w:highlight w:val="none"/>
          <w:u w:val="none"/>
          <w:lang w:val="en-US" w:eastAsia="zh-CN" w:bidi="ar"/>
        </w:rPr>
        <w:t>3台</w:t>
      </w:r>
      <w:r>
        <w:rPr>
          <w:rFonts w:hint="eastAsia" w:ascii="仿宋" w:hAnsi="仿宋" w:eastAsia="仿宋" w:cs="仿宋"/>
          <w:color w:val="auto"/>
          <w:sz w:val="24"/>
          <w:szCs w:val="24"/>
          <w:highlight w:val="none"/>
          <w:lang w:val="en-US" w:eastAsia="zh-CN"/>
        </w:rPr>
        <w:t>、电动按摩治疗床</w:t>
      </w:r>
      <w:r>
        <w:rPr>
          <w:rFonts w:hint="eastAsia" w:ascii="仿宋" w:hAnsi="仿宋" w:eastAsia="仿宋" w:cs="仿宋"/>
          <w:i w:val="0"/>
          <w:iCs w:val="0"/>
          <w:color w:val="auto"/>
          <w:kern w:val="0"/>
          <w:sz w:val="24"/>
          <w:szCs w:val="24"/>
          <w:highlight w:val="none"/>
          <w:u w:val="none"/>
          <w:lang w:val="en-US" w:eastAsia="zh-CN" w:bidi="ar"/>
        </w:rPr>
        <w:t>4张</w:t>
      </w:r>
      <w:r>
        <w:rPr>
          <w:rFonts w:hint="eastAsia" w:ascii="仿宋" w:hAnsi="仿宋" w:eastAsia="仿宋" w:cs="仿宋"/>
          <w:color w:val="auto"/>
          <w:sz w:val="24"/>
          <w:szCs w:val="24"/>
          <w:highlight w:val="none"/>
          <w:lang w:val="en-US" w:eastAsia="zh-CN"/>
        </w:rPr>
        <w:t>、多段位手法床</w:t>
      </w:r>
      <w:r>
        <w:rPr>
          <w:rFonts w:hint="eastAsia" w:ascii="仿宋" w:hAnsi="仿宋" w:eastAsia="仿宋" w:cs="仿宋"/>
          <w:i w:val="0"/>
          <w:iCs w:val="0"/>
          <w:color w:val="auto"/>
          <w:kern w:val="0"/>
          <w:sz w:val="24"/>
          <w:szCs w:val="24"/>
          <w:highlight w:val="none"/>
          <w:u w:val="none"/>
          <w:lang w:val="en-US" w:eastAsia="zh-CN" w:bidi="ar"/>
        </w:rPr>
        <w:t>3张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6378C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D1A91E0">
      <w:pPr>
        <w:outlineLvl w:val="9"/>
        <w:rPr>
          <w:rFonts w:hint="eastAsia" w:ascii="仿宋" w:hAnsi="仿宋" w:eastAsia="仿宋" w:cs="仿宋"/>
          <w:color w:val="auto"/>
          <w:sz w:val="24"/>
          <w:szCs w:val="24"/>
          <w:highlight w:val="none"/>
          <w:lang w:val="en-US" w:eastAsia="zh-CN"/>
        </w:rPr>
      </w:pPr>
    </w:p>
    <w:p w14:paraId="684F9E8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标项十一</w:t>
      </w:r>
    </w:p>
    <w:p w14:paraId="5B9C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-第十一包</w:t>
      </w:r>
    </w:p>
    <w:p w14:paraId="1A22D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00594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400000</w:t>
      </w:r>
    </w:p>
    <w:p w14:paraId="64AC626C">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5BD6D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简要规格描述或项目基本概况介绍、用途：煎药包装一体机</w:t>
      </w:r>
      <w:r>
        <w:rPr>
          <w:rFonts w:hint="eastAsia" w:ascii="仿宋" w:hAnsi="仿宋" w:eastAsia="仿宋" w:cs="仿宋"/>
          <w:i w:val="0"/>
          <w:iCs w:val="0"/>
          <w:color w:val="auto"/>
          <w:kern w:val="0"/>
          <w:sz w:val="24"/>
          <w:szCs w:val="24"/>
          <w:highlight w:val="none"/>
          <w:u w:val="none"/>
          <w:lang w:val="en-US" w:eastAsia="zh-CN" w:bidi="ar"/>
        </w:rPr>
        <w:t>2台</w:t>
      </w:r>
      <w:r>
        <w:rPr>
          <w:rFonts w:hint="eastAsia" w:ascii="仿宋" w:hAnsi="仿宋" w:eastAsia="仿宋" w:cs="仿宋"/>
          <w:color w:val="auto"/>
          <w:sz w:val="24"/>
          <w:szCs w:val="24"/>
          <w:highlight w:val="none"/>
          <w:lang w:val="en-US" w:eastAsia="zh-CN"/>
        </w:rPr>
        <w:t>、智能化煎药机</w:t>
      </w:r>
      <w:r>
        <w:rPr>
          <w:rFonts w:hint="eastAsia" w:ascii="仿宋" w:hAnsi="仿宋" w:eastAsia="仿宋" w:cs="仿宋"/>
          <w:i w:val="0"/>
          <w:iCs w:val="0"/>
          <w:color w:val="auto"/>
          <w:kern w:val="0"/>
          <w:sz w:val="24"/>
          <w:szCs w:val="24"/>
          <w:highlight w:val="none"/>
          <w:u w:val="none"/>
          <w:lang w:val="en-US" w:eastAsia="zh-CN" w:bidi="ar"/>
        </w:rPr>
        <w:t>10台</w:t>
      </w:r>
      <w:r>
        <w:rPr>
          <w:rFonts w:hint="eastAsia" w:ascii="仿宋" w:hAnsi="仿宋" w:eastAsia="仿宋" w:cs="仿宋"/>
          <w:color w:val="auto"/>
          <w:sz w:val="24"/>
          <w:szCs w:val="24"/>
          <w:highlight w:val="none"/>
          <w:lang w:val="en-US" w:eastAsia="zh-CN"/>
        </w:rPr>
        <w:t>、中药汤剂包装机</w:t>
      </w:r>
      <w:r>
        <w:rPr>
          <w:rFonts w:hint="eastAsia" w:ascii="仿宋" w:hAnsi="仿宋" w:eastAsia="仿宋" w:cs="仿宋"/>
          <w:i w:val="0"/>
          <w:iCs w:val="0"/>
          <w:color w:val="auto"/>
          <w:kern w:val="0"/>
          <w:sz w:val="24"/>
          <w:szCs w:val="24"/>
          <w:highlight w:val="none"/>
          <w:u w:val="none"/>
          <w:lang w:val="en-US" w:eastAsia="zh-CN" w:bidi="ar"/>
        </w:rPr>
        <w:t>5台</w:t>
      </w:r>
      <w:r>
        <w:rPr>
          <w:rFonts w:hint="eastAsia" w:ascii="仿宋" w:hAnsi="仿宋" w:eastAsia="仿宋" w:cs="仿宋"/>
          <w:color w:val="auto"/>
          <w:sz w:val="24"/>
          <w:szCs w:val="24"/>
          <w:highlight w:val="none"/>
          <w:lang w:val="en-US" w:eastAsia="zh-CN"/>
        </w:rPr>
        <w:t>、智能艾灸排烟系统6张床</w:t>
      </w:r>
      <w:r>
        <w:rPr>
          <w:rFonts w:hint="eastAsia" w:ascii="仿宋" w:hAnsi="仿宋" w:eastAsia="仿宋" w:cs="仿宋"/>
          <w:i w:val="0"/>
          <w:iCs w:val="0"/>
          <w:color w:val="auto"/>
          <w:kern w:val="0"/>
          <w:sz w:val="24"/>
          <w:szCs w:val="24"/>
          <w:highlight w:val="none"/>
          <w:u w:val="none"/>
          <w:lang w:val="en-US" w:eastAsia="zh-CN" w:bidi="ar"/>
        </w:rPr>
        <w:t>6套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25A94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1D2DE59">
      <w:pPr>
        <w:outlineLvl w:val="9"/>
        <w:rPr>
          <w:rFonts w:hint="eastAsia" w:ascii="仿宋" w:hAnsi="仿宋" w:eastAsia="仿宋" w:cs="仿宋"/>
          <w:color w:val="auto"/>
          <w:sz w:val="24"/>
          <w:szCs w:val="24"/>
          <w:highlight w:val="none"/>
          <w:lang w:val="en-US" w:eastAsia="zh-CN"/>
        </w:rPr>
      </w:pPr>
    </w:p>
    <w:p w14:paraId="42A9DB2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标项十二</w:t>
      </w:r>
    </w:p>
    <w:p w14:paraId="353DA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-第十二包</w:t>
      </w:r>
    </w:p>
    <w:p w14:paraId="6BC3E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7F195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380000</w:t>
      </w:r>
    </w:p>
    <w:p w14:paraId="39E9780D">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单位：项</w:t>
      </w:r>
    </w:p>
    <w:p w14:paraId="0DA0F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eastAsia="zh-CN"/>
        </w:rPr>
        <w:t>中医经络信息采集系统（中医经络治疗仪）</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highlight w:val="none"/>
          <w:lang w:eastAsia="zh-CN"/>
        </w:rPr>
        <w:t>、四诊仪</w:t>
      </w:r>
      <w:r>
        <w:rPr>
          <w:rFonts w:hint="eastAsia" w:ascii="仿宋" w:hAnsi="仿宋" w:eastAsia="仿宋" w:cs="仿宋"/>
          <w:i w:val="0"/>
          <w:iCs w:val="0"/>
          <w:color w:val="auto"/>
          <w:kern w:val="0"/>
          <w:sz w:val="24"/>
          <w:szCs w:val="24"/>
          <w:highlight w:val="none"/>
          <w:u w:val="none"/>
          <w:lang w:val="en-US" w:eastAsia="zh-CN" w:bidi="ar"/>
        </w:rPr>
        <w:t>1台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bookmarkStart w:id="251" w:name="_GoBack"/>
      <w:bookmarkEnd w:id="251"/>
    </w:p>
    <w:p w14:paraId="01335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09CC62D9">
      <w:pPr>
        <w:outlineLvl w:val="9"/>
        <w:rPr>
          <w:rFonts w:hint="eastAsia" w:ascii="仿宋" w:hAnsi="仿宋" w:eastAsia="仿宋" w:cs="仿宋"/>
          <w:color w:val="auto"/>
          <w:sz w:val="24"/>
          <w:szCs w:val="24"/>
          <w:highlight w:val="none"/>
          <w:lang w:val="en-US" w:eastAsia="zh-CN"/>
        </w:rPr>
      </w:pPr>
    </w:p>
    <w:p w14:paraId="11E2B2C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标项十三</w:t>
      </w:r>
    </w:p>
    <w:p w14:paraId="3A3CFB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-第十三包</w:t>
      </w:r>
    </w:p>
    <w:p w14:paraId="30EC2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2DE6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640000</w:t>
      </w:r>
    </w:p>
    <w:p w14:paraId="06D8BCFC">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113E9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中医适宜技术教学实训考核系统</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3F756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5342BC1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highlight w:val="none"/>
          <w:lang w:val="en-US" w:eastAsia="zh-CN"/>
        </w:rPr>
      </w:pPr>
    </w:p>
    <w:p w14:paraId="2425E26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标项十四</w:t>
      </w:r>
    </w:p>
    <w:p w14:paraId="13E74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-第十四包</w:t>
      </w:r>
    </w:p>
    <w:p w14:paraId="6244E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38D3C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840000</w:t>
      </w:r>
    </w:p>
    <w:p w14:paraId="7C7DB4E3">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77EC6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药师合理用药审方系统</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5DC7C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8B840B3">
      <w:pPr>
        <w:outlineLvl w:val="9"/>
        <w:rPr>
          <w:rFonts w:hint="eastAsia" w:ascii="仿宋" w:hAnsi="仿宋" w:eastAsia="仿宋" w:cs="仿宋"/>
          <w:color w:val="auto"/>
          <w:sz w:val="24"/>
          <w:szCs w:val="24"/>
          <w:highlight w:val="none"/>
          <w:lang w:val="en-US" w:eastAsia="zh-CN"/>
        </w:rPr>
      </w:pPr>
    </w:p>
    <w:p w14:paraId="06B1771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标项十五</w:t>
      </w:r>
    </w:p>
    <w:p w14:paraId="7C7AD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昌吉州玛纳斯县公立医院改革与高质量发展示范项目（二期）</w:t>
      </w:r>
      <w:r>
        <w:rPr>
          <w:rFonts w:hint="eastAsia" w:ascii="仿宋" w:hAnsi="仿宋" w:eastAsia="仿宋" w:cs="仿宋"/>
          <w:color w:val="auto"/>
          <w:sz w:val="24"/>
          <w:highlight w:val="none"/>
          <w:lang w:val="en-US" w:eastAsia="zh-CN"/>
        </w:rPr>
        <w:t>-第十五包</w:t>
      </w:r>
    </w:p>
    <w:p w14:paraId="49EBA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4600F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280000</w:t>
      </w:r>
    </w:p>
    <w:p w14:paraId="149859A1">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单位：项</w:t>
      </w:r>
    </w:p>
    <w:p w14:paraId="046F6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szCs w:val="24"/>
          <w:highlight w:val="none"/>
          <w:lang w:val="en-US" w:eastAsia="zh-CN"/>
        </w:rPr>
        <w:t>儿童综合素质测评系统</w:t>
      </w:r>
      <w:r>
        <w:rPr>
          <w:rFonts w:hint="eastAsia" w:ascii="仿宋" w:hAnsi="仿宋" w:eastAsia="仿宋" w:cs="仿宋"/>
          <w:i w:val="0"/>
          <w:iCs w:val="0"/>
          <w:color w:val="auto"/>
          <w:kern w:val="0"/>
          <w:sz w:val="24"/>
          <w:szCs w:val="24"/>
          <w:highlight w:val="none"/>
          <w:u w:val="none"/>
          <w:lang w:val="en-US" w:eastAsia="zh-CN" w:bidi="ar"/>
        </w:rPr>
        <w:t>1套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w:t>
      </w:r>
      <w:r>
        <w:rPr>
          <w:rFonts w:hint="eastAsia" w:ascii="仿宋" w:hAnsi="仿宋" w:eastAsia="仿宋" w:cs="仿宋"/>
          <w:color w:val="auto"/>
          <w:sz w:val="24"/>
          <w:highlight w:val="none"/>
        </w:rPr>
        <w:t>详见招标文件采购需求。</w:t>
      </w:r>
    </w:p>
    <w:p w14:paraId="4652B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53E19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szCs w:val="24"/>
          <w:highlight w:val="none"/>
          <w:lang w:eastAsia="zh-CN"/>
        </w:rPr>
        <w:t>货物须在 30 日历日内运输到指定地点；到货后 7 个工作日内，乙方应提前 3 天书面通知甲方到场时间，并派具备对应设备安装调试资质的工程技术人员到场，到场后 15 个工作日内完成安装调试并达到验收条件。若乙方未按约定提前通知，每逾期一日，应向甲方支付合同总价款万分之五的违约金，逾期超过三日的，安装调试期限相应顺延，且乙方应承担因此给甲方造成的全部损失。</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3" w:name="_Toc15364"/>
      <w:bookmarkStart w:id="4" w:name="_Toc21551"/>
      <w:r>
        <w:rPr>
          <w:rFonts w:hint="eastAsia" w:ascii="仿宋" w:hAnsi="仿宋" w:eastAsia="仿宋" w:cs="仿宋"/>
          <w:b/>
          <w:bCs/>
          <w:color w:val="auto"/>
          <w:sz w:val="24"/>
          <w:highlight w:val="none"/>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7A7C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szCs w:val="24"/>
          <w:highlight w:val="none"/>
          <w:lang w:val="en-US" w:eastAsia="zh-CN"/>
        </w:rPr>
        <w:t>本项目标项1、2、3、4、5、6、7、8、9、10、11、12、13、14、15</w:t>
      </w:r>
      <w:r>
        <w:rPr>
          <w:rFonts w:hint="eastAsia" w:ascii="仿宋" w:hAnsi="仿宋" w:eastAsia="仿宋" w:cs="仿宋"/>
          <w:color w:val="auto"/>
          <w:sz w:val="24"/>
          <w:szCs w:val="24"/>
          <w:highlight w:val="none"/>
          <w:u w:val="none"/>
          <w:lang w:val="en-US" w:eastAsia="zh-CN"/>
        </w:rPr>
        <w:t>不</w:t>
      </w:r>
      <w:r>
        <w:rPr>
          <w:rFonts w:hint="eastAsia" w:ascii="仿宋" w:hAnsi="仿宋" w:eastAsia="仿宋" w:cs="仿宋"/>
          <w:b w:val="0"/>
          <w:bCs w:val="0"/>
          <w:color w:val="auto"/>
          <w:sz w:val="24"/>
          <w:szCs w:val="24"/>
          <w:highlight w:val="none"/>
          <w:lang w:val="en-US" w:eastAsia="zh-CN"/>
        </w:rPr>
        <w:t>专门面向中小企业采购</w:t>
      </w:r>
    </w:p>
    <w:p w14:paraId="2092E738">
      <w:pPr>
        <w:pStyle w:val="3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192F872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eastAsia="zh-CN"/>
        </w:rPr>
      </w:pPr>
      <w:bookmarkStart w:id="5" w:name="_Toc29084"/>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）单位负责人为同一人或者存在直接控股、管理关系的不同供应商，不得同时参加本采购项目（或采购包） 投标（响应）。</w:t>
      </w:r>
    </w:p>
    <w:p w14:paraId="579D15BF">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）为本项目提供整体设计、规范编制或者项目管理、监理、检测等服务的供应商，不得再参与本项目投标（响应）</w:t>
      </w:r>
      <w:r>
        <w:rPr>
          <w:rFonts w:hint="eastAsia" w:ascii="仿宋" w:hAnsi="仿宋" w:eastAsia="仿宋" w:cs="仿宋"/>
          <w:b/>
          <w:bCs/>
          <w:color w:val="auto"/>
          <w:sz w:val="24"/>
          <w:szCs w:val="24"/>
          <w:highlight w:val="none"/>
          <w:lang w:eastAsia="zh-CN"/>
        </w:rPr>
        <w:t>。</w:t>
      </w:r>
    </w:p>
    <w:p w14:paraId="4184D1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（4）本项目标项1、2、3、4、5、6、7、8、9、10、11、12、13、14、15</w:t>
      </w:r>
      <w:r>
        <w:rPr>
          <w:rFonts w:hint="eastAsia" w:ascii="仿宋" w:hAnsi="仿宋" w:eastAsia="仿宋" w:cs="仿宋"/>
          <w:color w:val="auto"/>
          <w:sz w:val="24"/>
          <w:szCs w:val="24"/>
          <w:highlight w:val="none"/>
          <w:lang w:val="en-US" w:eastAsia="zh-CN"/>
        </w:rPr>
        <w:t>投标产品属于医疗器械的，若</w:t>
      </w:r>
      <w:r>
        <w:rPr>
          <w:rFonts w:hint="eastAsia" w:ascii="仿宋" w:hAnsi="仿宋" w:eastAsia="仿宋" w:cs="仿宋"/>
          <w:b/>
          <w:bCs w:val="0"/>
          <w:color w:val="auto"/>
          <w:sz w:val="24"/>
          <w:szCs w:val="24"/>
          <w:highlight w:val="none"/>
          <w:lang w:val="en-US" w:eastAsia="zh-CN"/>
        </w:rPr>
        <w:t>投标人为货物制造商，全部采购标的</w:t>
      </w:r>
      <w:r>
        <w:rPr>
          <w:rFonts w:hint="eastAsia" w:ascii="仿宋" w:hAnsi="仿宋" w:eastAsia="仿宋" w:cs="仿宋"/>
          <w:b w:val="0"/>
          <w:bCs/>
          <w:color w:val="auto"/>
          <w:sz w:val="24"/>
          <w:szCs w:val="24"/>
          <w:highlight w:val="none"/>
          <w:lang w:val="en-US" w:eastAsia="zh-CN"/>
        </w:rPr>
        <w:t>使用</w:t>
      </w:r>
      <w:r>
        <w:rPr>
          <w:rFonts w:hint="eastAsia" w:ascii="仿宋" w:hAnsi="仿宋" w:eastAsia="仿宋" w:cs="仿宋"/>
          <w:b/>
          <w:bCs w:val="0"/>
          <w:color w:val="auto"/>
          <w:sz w:val="24"/>
          <w:szCs w:val="24"/>
          <w:highlight w:val="none"/>
          <w:lang w:val="en-US" w:eastAsia="zh-CN"/>
        </w:rPr>
        <w:t>自身生产</w:t>
      </w:r>
      <w:r>
        <w:rPr>
          <w:rFonts w:hint="eastAsia" w:ascii="仿宋" w:hAnsi="仿宋" w:eastAsia="仿宋" w:cs="仿宋"/>
          <w:b w:val="0"/>
          <w:bCs/>
          <w:color w:val="auto"/>
          <w:sz w:val="24"/>
          <w:szCs w:val="24"/>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val="0"/>
          <w:color w:val="auto"/>
          <w:sz w:val="24"/>
          <w:szCs w:val="24"/>
          <w:highlight w:val="none"/>
          <w:lang w:val="en-US" w:eastAsia="zh-CN"/>
        </w:rPr>
        <w:t>若投标人为代理商</w:t>
      </w:r>
      <w:r>
        <w:rPr>
          <w:rFonts w:hint="eastAsia" w:ascii="仿宋" w:hAnsi="仿宋" w:eastAsia="仿宋" w:cs="仿宋"/>
          <w:color w:val="auto"/>
          <w:sz w:val="24"/>
          <w:szCs w:val="24"/>
          <w:highlight w:val="none"/>
          <w:lang w:val="en-US" w:eastAsia="zh-CN"/>
        </w:rPr>
        <w:t>所投产品属于第二类医疗器械的的须具有《医疗器械经营备案凭证》或《医疗器械经营许可证》；所投产品属于第三类医疗器械的的须具有《医疗器械经营许可证》，投标产品不属于医疗器械的，无需提供上述相关凭证及许可证。</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6" w:name="_Toc564"/>
      <w:r>
        <w:rPr>
          <w:rFonts w:hint="eastAsia" w:ascii="仿宋" w:hAnsi="仿宋" w:eastAsia="仿宋" w:cs="仿宋"/>
          <w:b/>
          <w:bCs/>
          <w:color w:val="auto"/>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highlight w:val="none"/>
        </w:rPr>
        <w:t>，每天上午00:00至12:00，下午12:00至23:59（北京时间，法定节假日除外）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地点：</w:t>
      </w:r>
      <w:r>
        <w:rPr>
          <w:rFonts w:hint="eastAsia" w:ascii="仿宋" w:hAnsi="仿宋" w:eastAsia="仿宋" w:cs="仿宋"/>
          <w:color w:val="auto"/>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7" w:name="_Toc24224"/>
      <w:bookmarkStart w:id="8" w:name="_Toc14502"/>
      <w:r>
        <w:rPr>
          <w:rFonts w:hint="eastAsia" w:ascii="仿宋" w:hAnsi="仿宋" w:eastAsia="仿宋" w:cs="仿宋"/>
          <w:b/>
          <w:bCs/>
          <w:color w:val="auto"/>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lang w:eastAsia="zh-CN"/>
        </w:rPr>
        <w:t>2026年06月04日</w:t>
      </w:r>
      <w:r>
        <w:rPr>
          <w:rFonts w:hint="eastAsia" w:ascii="仿宋" w:hAnsi="仿宋" w:eastAsia="仿宋" w:cs="仿宋"/>
          <w:color w:val="auto"/>
          <w:sz w:val="24"/>
          <w:highlight w:val="none"/>
        </w:rPr>
        <w:t>11:00（北京时间）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2026年06月04日</w:t>
      </w:r>
      <w:r>
        <w:rPr>
          <w:rFonts w:hint="eastAsia" w:ascii="仿宋" w:hAnsi="仿宋" w:eastAsia="仿宋" w:cs="仿宋"/>
          <w:color w:val="auto"/>
          <w:sz w:val="24"/>
          <w:highlight w:val="none"/>
        </w:rPr>
        <w:t>11:00（北京时间）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9" w:name="_Toc17115"/>
      <w:bookmarkStart w:id="10" w:name="_Toc19454"/>
      <w:r>
        <w:rPr>
          <w:rFonts w:hint="eastAsia" w:ascii="仿宋" w:hAnsi="仿宋" w:eastAsia="仿宋" w:cs="仿宋"/>
          <w:b/>
          <w:bCs/>
          <w:color w:val="auto"/>
          <w:sz w:val="24"/>
          <w:highlight w:val="none"/>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11" w:name="_Toc17752"/>
      <w:bookmarkStart w:id="12" w:name="_Toc22084"/>
      <w:r>
        <w:rPr>
          <w:rFonts w:hint="eastAsia" w:ascii="仿宋" w:hAnsi="仿宋" w:eastAsia="仿宋" w:cs="仿宋"/>
          <w:b/>
          <w:bCs/>
          <w:color w:val="auto"/>
          <w:sz w:val="24"/>
          <w:highlight w:val="none"/>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3、本项目实行电子招投标，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应在开标前确保成为</w:t>
      </w:r>
      <w:r>
        <w:rPr>
          <w:rFonts w:hint="eastAsia" w:ascii="仿宋" w:hAnsi="仿宋" w:eastAsia="仿宋" w:cs="仿宋"/>
          <w:b w:val="0"/>
          <w:bCs w:val="0"/>
          <w:color w:val="auto"/>
          <w:sz w:val="24"/>
          <w:highlight w:val="none"/>
        </w:rPr>
        <w:t>新疆政府采购网</w:t>
      </w:r>
      <w:r>
        <w:rPr>
          <w:rFonts w:hint="eastAsia" w:ascii="仿宋" w:hAnsi="仿宋" w:eastAsia="仿宋" w:cs="仿宋"/>
          <w:color w:val="auto"/>
          <w:sz w:val="24"/>
          <w:highlight w:val="none"/>
        </w:rPr>
        <w:t>正式注册入库供应商，并完成CA数字证书申领。因未注册入库、未办理CA数字证书等原因造成无法投标或投标失败等后果由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自行承担。</w:t>
      </w:r>
      <w:r>
        <w:rPr>
          <w:rFonts w:hint="eastAsia" w:ascii="仿宋" w:hAnsi="仿宋" w:eastAsia="仿宋" w:cs="仿宋"/>
          <w:color w:val="auto"/>
          <w:sz w:val="24"/>
          <w:highlight w:val="none"/>
        </w:rPr>
        <w:t>如需咨询，请联系新疆CA服务热线4000921999</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5、有意向参与电子开评标的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，可访问新疆数字证书认证中心官方网站（https://www.xjca.com.cn/）或下载“新疆政务通”APP自行进行申领。</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highlight w:val="none"/>
        </w:rPr>
      </w:pPr>
      <w:bookmarkStart w:id="13" w:name="_Toc21999"/>
      <w:bookmarkStart w:id="14" w:name="_Toc30931"/>
      <w:r>
        <w:rPr>
          <w:rFonts w:hint="eastAsia" w:ascii="仿宋" w:hAnsi="仿宋" w:eastAsia="仿宋" w:cs="仿宋"/>
          <w:b/>
          <w:bCs/>
          <w:color w:val="auto"/>
          <w:sz w:val="24"/>
          <w:highlight w:val="none"/>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玛纳斯县人民医院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新疆维吾尔自治区昌吉回族自治州玛纳斯县凤凰东路26号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联系方式：15599826705     </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2.采购代理机构信息</w:t>
      </w:r>
    </w:p>
    <w:p w14:paraId="54C9E6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称：新疆世纪星工程咨询有限公司</w:t>
      </w:r>
    </w:p>
    <w:p w14:paraId="6BF993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址：乌鲁木齐经济技术开发区二期黄山街一品九点阳光德港大厦B座20楼</w:t>
      </w:r>
    </w:p>
    <w:p w14:paraId="230356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联系方式：13999295080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李航、訾王贝、范燕娥、杜萍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eastAsia="zh-CN"/>
        </w:rPr>
        <w:t>13999295080</w:t>
      </w:r>
    </w:p>
    <w:p w14:paraId="5550A894">
      <w:pPr>
        <w:rPr>
          <w:rFonts w:hint="eastAsia" w:ascii="仿宋" w:hAnsi="仿宋" w:eastAsia="仿宋" w:cs="仿宋"/>
          <w:color w:val="auto"/>
          <w:sz w:val="32"/>
          <w:szCs w:val="32"/>
          <w:highlight w:val="none"/>
        </w:rPr>
      </w:pPr>
      <w:bookmarkStart w:id="15" w:name="_Toc4796"/>
      <w:r>
        <w:rPr>
          <w:rFonts w:hint="eastAsia" w:ascii="仿宋" w:hAnsi="仿宋" w:eastAsia="仿宋" w:cs="仿宋"/>
          <w:color w:val="auto"/>
          <w:sz w:val="32"/>
          <w:szCs w:val="32"/>
          <w:highlight w:val="none"/>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投标须知前附表</w:t>
      </w:r>
      <w:bookmarkEnd w:id="15"/>
    </w:p>
    <w:p w14:paraId="312046D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本表是本招标项目的具体资料，是对投标人须知的具体补充和修改，如有矛盾，均以本资料表为准。标记“☑”的选项意为适用于本项目，标记“□”的选项意为不适用于本项目。</w:t>
      </w:r>
      <w:r>
        <w:rPr>
          <w:rFonts w:hint="eastAsia" w:ascii="仿宋" w:hAnsi="仿宋" w:eastAsia="仿宋" w:cs="仿宋"/>
          <w:color w:val="auto"/>
          <w:kern w:val="0"/>
          <w:sz w:val="24"/>
          <w:szCs w:val="24"/>
          <w:highlight w:val="none"/>
          <w:lang w:val="en-US" w:eastAsia="zh-CN" w:bidi="ar"/>
        </w:rPr>
        <w:t>本项目中的“标项”与“包”的概念一致，标项一（或 1）对应为第一包， 标项 2（或 2）对应为第二包，以此类推。对于多标项项目本表未特别注明的适用于所有标项。</w:t>
      </w:r>
    </w:p>
    <w:tbl>
      <w:tblPr>
        <w:tblStyle w:val="28"/>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595" w:type="dxa"/>
            <w:tcBorders>
              <w:tl2br w:val="nil"/>
              <w:tr2bl w:val="nil"/>
            </w:tcBorders>
            <w:vAlign w:val="center"/>
          </w:tcPr>
          <w:p w14:paraId="3793840C">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采购人：</w:t>
            </w:r>
            <w:r>
              <w:rPr>
                <w:rFonts w:hint="eastAsia" w:ascii="仿宋" w:hAnsi="仿宋" w:eastAsia="仿宋" w:cs="仿宋"/>
                <w:b w:val="0"/>
                <w:bCs w:val="0"/>
                <w:color w:val="auto"/>
                <w:kern w:val="0"/>
                <w:sz w:val="24"/>
                <w:szCs w:val="24"/>
                <w:highlight w:val="none"/>
                <w:u w:val="none"/>
                <w:vertAlign w:val="baseline"/>
                <w:lang w:val="en-US" w:eastAsia="zh-CN" w:bidi="ar"/>
              </w:rPr>
              <w:t>玛纳斯县人民医院</w:t>
            </w:r>
          </w:p>
          <w:p w14:paraId="1DC60CCB">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地  址：</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新疆维吾尔自治区昌吉回族自治州玛纳斯县凤凰东路26号</w:t>
            </w:r>
            <w:r>
              <w:rPr>
                <w:rFonts w:hint="eastAsia" w:ascii="仿宋" w:hAnsi="仿宋" w:eastAsia="仿宋" w:cs="仿宋"/>
                <w:color w:val="auto"/>
                <w:sz w:val="24"/>
                <w:szCs w:val="24"/>
                <w:highlight w:val="none"/>
                <w:vertAlign w:val="baseline"/>
                <w:lang w:val="en-US" w:eastAsia="zh-CN"/>
              </w:rPr>
              <w:t xml:space="preserve"> </w:t>
            </w:r>
          </w:p>
          <w:p w14:paraId="7CFFD2C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 xml:space="preserve">联系人：李老师    </w:t>
            </w:r>
          </w:p>
          <w:p w14:paraId="7A7B52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u w:val="none"/>
                <w:vertAlign w:val="baseline"/>
                <w:lang w:val="en-US" w:eastAsia="zh-CN" w:bidi="ar"/>
              </w:rPr>
              <w:t>联系电话：15599826705</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7595" w:type="dxa"/>
            <w:tcBorders>
              <w:tl2br w:val="nil"/>
              <w:tr2bl w:val="nil"/>
            </w:tcBorders>
            <w:vAlign w:val="center"/>
          </w:tcPr>
          <w:p w14:paraId="6E5C74FA">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54B7E4B2">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FCD567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联系人：</w:t>
            </w:r>
            <w:r>
              <w:rPr>
                <w:rFonts w:hint="eastAsia" w:ascii="仿宋" w:hAnsi="仿宋" w:eastAsia="仿宋" w:cs="仿宋"/>
                <w:color w:val="auto"/>
                <w:sz w:val="24"/>
                <w:szCs w:val="24"/>
                <w:highlight w:val="none"/>
                <w:lang w:eastAsia="zh-CN"/>
              </w:rPr>
              <w:t>李航、訾王贝、范燕娥、杜萍</w:t>
            </w:r>
          </w:p>
          <w:p w14:paraId="1795D35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联系电话：13999295080</w:t>
            </w:r>
          </w:p>
          <w:p w14:paraId="37CDCBB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u w:val="none"/>
                <w:vertAlign w:val="baseline"/>
                <w:lang w:val="en-US" w:eastAsia="zh-CN" w:bidi="ar"/>
              </w:rPr>
              <w:t>电子邮箱：1814019006@qq.com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法人</w:t>
            </w:r>
            <w:r>
              <w:rPr>
                <w:rFonts w:hint="eastAsia" w:ascii="仿宋" w:hAnsi="仿宋" w:eastAsia="仿宋" w:cs="仿宋"/>
                <w:color w:val="auto"/>
                <w:sz w:val="24"/>
                <w:szCs w:val="24"/>
                <w:highlight w:val="none"/>
                <w:lang w:val="en-US" w:eastAsia="zh-CN"/>
              </w:rPr>
              <w:t>分支机构</w:t>
            </w:r>
            <w:r>
              <w:rPr>
                <w:rFonts w:hint="eastAsia" w:ascii="仿宋" w:hAnsi="仿宋" w:eastAsia="仿宋" w:cs="仿宋"/>
                <w:b/>
                <w:bCs/>
                <w:color w:val="auto"/>
                <w:sz w:val="24"/>
                <w:szCs w:val="24"/>
                <w:highlight w:val="none"/>
                <w:lang w:val="en-US" w:eastAsia="zh-CN"/>
              </w:rPr>
              <w:t>不允许</w:t>
            </w:r>
            <w:r>
              <w:rPr>
                <w:rFonts w:hint="eastAsia" w:ascii="仿宋" w:hAnsi="仿宋" w:eastAsia="仿宋" w:cs="仿宋"/>
                <w:color w:val="auto"/>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本项目为</w:t>
            </w:r>
            <w:r>
              <w:rPr>
                <w:rFonts w:hint="eastAsia" w:ascii="仿宋" w:hAnsi="仿宋" w:eastAsia="仿宋" w:cs="仿宋"/>
                <w:color w:val="auto"/>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
                <w:color w:val="auto"/>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7595" w:type="dxa"/>
            <w:tcBorders>
              <w:tl2br w:val="nil"/>
              <w:tr2bl w:val="nil"/>
            </w:tcBorders>
            <w:vAlign w:val="center"/>
          </w:tcPr>
          <w:p w14:paraId="3844D6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是否允许采购进口产品：</w:t>
            </w:r>
          </w:p>
          <w:p w14:paraId="175AF0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否</w:t>
            </w:r>
          </w:p>
          <w:p w14:paraId="343580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是，</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本项目标项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全部货物允许进口，</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本项目标项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部分货物允许进口，具体详见本项目采购需求。</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5"/>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837"/>
              <w:gridCol w:w="326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837" w:type="dxa"/>
                  <w:vAlign w:val="top"/>
                </w:tcPr>
                <w:p w14:paraId="01B2CF2D">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263" w:type="dxa"/>
                  <w:vAlign w:val="top"/>
                </w:tcPr>
                <w:p w14:paraId="740B8B0F">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837" w:type="dxa"/>
                  <w:vAlign w:val="top"/>
                </w:tcPr>
                <w:p w14:paraId="7BC07098">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p>
              </w:tc>
              <w:tc>
                <w:tcPr>
                  <w:tcW w:w="2837" w:type="dxa"/>
                  <w:vAlign w:val="top"/>
                </w:tcPr>
                <w:p w14:paraId="7A27A63A">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025C53D0">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46B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4C9A7E0A">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包3</w:t>
                  </w:r>
                </w:p>
              </w:tc>
              <w:tc>
                <w:tcPr>
                  <w:tcW w:w="2837" w:type="dxa"/>
                  <w:vAlign w:val="top"/>
                </w:tcPr>
                <w:p w14:paraId="420C6CA1">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5828AF7C">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0165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74AE8F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包4</w:t>
                  </w:r>
                </w:p>
              </w:tc>
              <w:tc>
                <w:tcPr>
                  <w:tcW w:w="2837" w:type="dxa"/>
                  <w:vAlign w:val="top"/>
                </w:tcPr>
                <w:p w14:paraId="239966A9">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32E5662D">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693A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7FF7255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包5</w:t>
                  </w:r>
                </w:p>
              </w:tc>
              <w:tc>
                <w:tcPr>
                  <w:tcW w:w="2837" w:type="dxa"/>
                  <w:vAlign w:val="top"/>
                </w:tcPr>
                <w:p w14:paraId="1179D24B">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710AEE2A">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3555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0C6B28B5">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包6</w:t>
                  </w:r>
                </w:p>
              </w:tc>
              <w:tc>
                <w:tcPr>
                  <w:tcW w:w="2837" w:type="dxa"/>
                  <w:vAlign w:val="top"/>
                </w:tcPr>
                <w:p w14:paraId="2E7EF328">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8DB2FDD">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92D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6B5E8AC1">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包7</w:t>
                  </w:r>
                </w:p>
              </w:tc>
              <w:tc>
                <w:tcPr>
                  <w:tcW w:w="2837" w:type="dxa"/>
                  <w:vAlign w:val="top"/>
                </w:tcPr>
                <w:p w14:paraId="58E714BE">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5E390561">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35EE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5F25D0FA">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包8</w:t>
                  </w:r>
                </w:p>
              </w:tc>
              <w:tc>
                <w:tcPr>
                  <w:tcW w:w="2837" w:type="dxa"/>
                  <w:vAlign w:val="top"/>
                </w:tcPr>
                <w:p w14:paraId="3B9BAF79">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760CCDC5">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3AD1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272F0D01">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包9</w:t>
                  </w:r>
                </w:p>
              </w:tc>
              <w:tc>
                <w:tcPr>
                  <w:tcW w:w="2837" w:type="dxa"/>
                  <w:vAlign w:val="top"/>
                </w:tcPr>
                <w:p w14:paraId="4B82DCA8">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17BE0F2A">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7430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740D5EC7">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包10</w:t>
                  </w:r>
                </w:p>
              </w:tc>
              <w:tc>
                <w:tcPr>
                  <w:tcW w:w="2837" w:type="dxa"/>
                  <w:vAlign w:val="top"/>
                </w:tcPr>
                <w:p w14:paraId="2CA1BC86">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29EFC434">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0476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5A0FA8F2">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包11</w:t>
                  </w:r>
                </w:p>
              </w:tc>
              <w:tc>
                <w:tcPr>
                  <w:tcW w:w="2837" w:type="dxa"/>
                  <w:vAlign w:val="top"/>
                </w:tcPr>
                <w:p w14:paraId="4C5406ED">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1EC00214">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799E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09453D06">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包12</w:t>
                  </w:r>
                </w:p>
              </w:tc>
              <w:tc>
                <w:tcPr>
                  <w:tcW w:w="2837" w:type="dxa"/>
                  <w:vAlign w:val="top"/>
                </w:tcPr>
                <w:p w14:paraId="37C6076B">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4CEC1405">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170F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055CC57B">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包13</w:t>
                  </w:r>
                </w:p>
              </w:tc>
              <w:tc>
                <w:tcPr>
                  <w:tcW w:w="2837" w:type="dxa"/>
                  <w:vAlign w:val="top"/>
                </w:tcPr>
                <w:p w14:paraId="74F6E004">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03CE4771">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13CFE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7D7DFDF4">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包14</w:t>
                  </w:r>
                </w:p>
              </w:tc>
              <w:tc>
                <w:tcPr>
                  <w:tcW w:w="2837" w:type="dxa"/>
                  <w:vAlign w:val="top"/>
                </w:tcPr>
                <w:p w14:paraId="5F1D8B5D">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7875CFC4">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D7F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280B3821">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包15</w:t>
                  </w:r>
                </w:p>
              </w:tc>
              <w:tc>
                <w:tcPr>
                  <w:tcW w:w="2837" w:type="dxa"/>
                  <w:vAlign w:val="top"/>
                </w:tcPr>
                <w:p w14:paraId="1694955E">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139F0DD2">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bl>
          <w:p w14:paraId="0570FB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u w:val="single"/>
                <w:lang w:val="en-US" w:eastAsia="zh-CN"/>
              </w:rPr>
              <w:t>标项1、2、3、4、5、6、7、8、9、10、11、12、13、14、15</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专门面向</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企业采购。即: 提供的货物全部由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color w:val="auto"/>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5D9B9D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color w:val="auto"/>
                <w:sz w:val="24"/>
                <w:szCs w:val="24"/>
                <w:highlight w:val="none"/>
                <w:lang w:val="en-US" w:eastAsia="zh-CN"/>
              </w:rPr>
              <w:t>预留部分采购项目预算专门面向中小企业采购。</w:t>
            </w:r>
          </w:p>
          <w:p w14:paraId="675448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标项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预留部分采购项目预算专门面向中小企业采购。</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color w:val="auto"/>
                <w:sz w:val="24"/>
                <w:szCs w:val="24"/>
                <w:highlight w:val="none"/>
              </w:rPr>
              <w:t>个体工商户</w:t>
            </w:r>
            <w:r>
              <w:rPr>
                <w:rFonts w:hint="eastAsia" w:ascii="仿宋" w:hAnsi="仿宋" w:eastAsia="仿宋" w:cs="仿宋"/>
                <w:color w:val="auto"/>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依据</w:t>
            </w:r>
            <w:r>
              <w:rPr>
                <w:rFonts w:hint="eastAsia" w:ascii="仿宋" w:hAnsi="仿宋" w:eastAsia="仿宋" w:cs="仿宋"/>
                <w:color w:val="auto"/>
                <w:sz w:val="24"/>
                <w:szCs w:val="24"/>
                <w:highlight w:val="none"/>
              </w:rPr>
              <w:t>《关于促进残疾人就业政府采购政策的通知》（财库〔2017〕141号）</w:t>
            </w:r>
            <w:r>
              <w:rPr>
                <w:rFonts w:hint="eastAsia" w:ascii="仿宋" w:hAnsi="仿宋" w:eastAsia="仿宋" w:cs="仿宋"/>
                <w:color w:val="auto"/>
                <w:sz w:val="24"/>
                <w:szCs w:val="24"/>
                <w:highlight w:val="none"/>
                <w:lang w:val="en-US" w:eastAsia="zh-CN"/>
              </w:rPr>
              <w:t>相关规定，</w:t>
            </w:r>
            <w:r>
              <w:rPr>
                <w:rFonts w:hint="eastAsia" w:ascii="仿宋" w:hAnsi="仿宋" w:eastAsia="仿宋" w:cs="仿宋"/>
                <w:b w:val="0"/>
                <w:bCs w:val="0"/>
                <w:color w:val="auto"/>
                <w:sz w:val="24"/>
                <w:szCs w:val="24"/>
                <w:highlight w:val="none"/>
                <w:lang w:val="en-US" w:eastAsia="zh-CN"/>
              </w:rPr>
              <w:t>残疾人福利性单位</w:t>
            </w:r>
            <w:r>
              <w:rPr>
                <w:rFonts w:hint="eastAsia" w:ascii="仿宋" w:hAnsi="仿宋" w:eastAsia="仿宋" w:cs="仿宋"/>
                <w:b/>
                <w:bCs/>
                <w:color w:val="auto"/>
                <w:sz w:val="24"/>
                <w:szCs w:val="24"/>
                <w:highlight w:val="none"/>
                <w:lang w:val="en-US" w:eastAsia="zh-CN"/>
              </w:rPr>
              <w:t>视同小型、微型企业</w:t>
            </w:r>
            <w:r>
              <w:rPr>
                <w:rFonts w:hint="eastAsia" w:ascii="仿宋" w:hAnsi="仿宋" w:eastAsia="仿宋" w:cs="仿宋"/>
                <w:b w:val="0"/>
                <w:bCs w:val="0"/>
                <w:color w:val="auto"/>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b w:val="0"/>
                <w:bCs w:val="0"/>
                <w:color w:val="auto"/>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color w:val="auto"/>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（4）享受扶持政策获得政府采购合同的，小微企业不得将合同分包给大中型企业，中型企业不得将合同分包给大型企业。</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1</w:t>
            </w:r>
          </w:p>
        </w:tc>
        <w:tc>
          <w:tcPr>
            <w:tcW w:w="7595" w:type="dxa"/>
            <w:tcBorders>
              <w:tl2br w:val="nil"/>
              <w:tr2bl w:val="nil"/>
            </w:tcBorders>
            <w:vAlign w:val="center"/>
          </w:tcPr>
          <w:p w14:paraId="1109AA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rPr>
              <w:t>否</w:t>
            </w:r>
            <w:r>
              <w:rPr>
                <w:rFonts w:hint="eastAsia" w:ascii="仿宋" w:hAnsi="仿宋" w:eastAsia="仿宋" w:cs="仿宋"/>
                <w:color w:val="auto"/>
                <w:sz w:val="24"/>
                <w:szCs w:val="24"/>
                <w:highlight w:val="none"/>
                <w:vertAlign w:val="baseline"/>
                <w:lang w:val="en-US" w:eastAsia="zh-CN"/>
              </w:rPr>
              <w:t xml:space="preserve"> </w:t>
            </w:r>
            <w:r>
              <w:rPr>
                <w:rFonts w:hint="eastAsia" w:ascii="仿宋" w:hAnsi="仿宋" w:eastAsia="仿宋" w:cs="仿宋"/>
                <w:color w:val="auto"/>
                <w:sz w:val="24"/>
                <w:szCs w:val="24"/>
                <w:highlight w:val="none"/>
                <w:lang w:val="en-US" w:eastAsia="zh-CN"/>
              </w:rPr>
              <w:t>□是</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0A2BF5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295EFE39">
            <w:pPr>
              <w:spacing w:line="36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14.1</w:t>
            </w:r>
          </w:p>
        </w:tc>
        <w:tc>
          <w:tcPr>
            <w:tcW w:w="7595" w:type="dxa"/>
            <w:tcBorders>
              <w:tl2br w:val="nil"/>
              <w:tr2bl w:val="nil"/>
            </w:tcBorders>
            <w:shd w:val="clear" w:color="auto" w:fill="auto"/>
            <w:vAlign w:val="center"/>
          </w:tcPr>
          <w:p w14:paraId="5BA96891">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本项目是否适用本国产品价格评审优惠政策：</w:t>
            </w:r>
          </w:p>
          <w:p w14:paraId="2CED08A7">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本项目适用支持本国产品标准</w:t>
            </w:r>
          </w:p>
          <w:p w14:paraId="51666AF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本项目不适用</w:t>
            </w:r>
          </w:p>
          <w:p w14:paraId="164FC3E3">
            <w:pPr>
              <w:pStyle w:val="26"/>
              <w:spacing w:after="0" w:line="360" w:lineRule="exact"/>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595" w:type="dxa"/>
            <w:tcBorders>
              <w:tl2br w:val="nil"/>
              <w:tr2bl w:val="nil"/>
            </w:tcBorders>
            <w:vAlign w:val="center"/>
          </w:tcPr>
          <w:p w14:paraId="7544BE4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项目预算金额：</w:t>
            </w:r>
            <w:r>
              <w:rPr>
                <w:rFonts w:hint="eastAsia" w:ascii="仿宋" w:hAnsi="仿宋" w:eastAsia="仿宋" w:cs="仿宋"/>
                <w:color w:val="auto"/>
                <w:sz w:val="24"/>
                <w:szCs w:val="24"/>
                <w:highlight w:val="none"/>
                <w:lang w:eastAsia="zh-CN"/>
              </w:rPr>
              <w:t>8900000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标项1：500000元，标项2：900000元，标项3：700000元，标项4：720000元，标项5：830000元，标项6：780000元，标项7：280000元，标项8：660000元，标项9：490000元，标项10：500000元，标项11：400000元，标项12：380000元，标项13：640000元，标项14：840000元，标项15：280000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同预算金额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5.7 </w:t>
            </w:r>
          </w:p>
        </w:tc>
        <w:tc>
          <w:tcPr>
            <w:tcW w:w="7595" w:type="dxa"/>
            <w:tcBorders>
              <w:tl2br w:val="nil"/>
              <w:tr2bl w:val="nil"/>
            </w:tcBorders>
            <w:vAlign w:val="center"/>
          </w:tcPr>
          <w:p w14:paraId="1A755E2A">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rPr>
              <w:t>乌鲁木齐经济技术开发区二期黄山街一品九点阳光德港大厦B座20楼</w:t>
            </w:r>
            <w:r>
              <w:rPr>
                <w:rFonts w:hint="eastAsia" w:ascii="仿宋" w:hAnsi="仿宋" w:eastAsia="仿宋" w:cs="仿宋"/>
                <w:color w:val="auto"/>
                <w:sz w:val="24"/>
                <w:szCs w:val="24"/>
                <w:highlight w:val="none"/>
              </w:rPr>
              <w:t>，逾期提供的样品将不予接受。</w:t>
            </w:r>
            <w:r>
              <w:rPr>
                <w:rFonts w:hint="eastAsia" w:ascii="仿宋" w:hAnsi="仿宋" w:eastAsia="仿宋" w:cs="仿宋"/>
                <w:color w:val="auto"/>
                <w:sz w:val="24"/>
                <w:szCs w:val="24"/>
                <w:highlight w:val="none"/>
                <w:lang w:val="en-US" w:eastAsia="zh-CN"/>
              </w:rPr>
              <w:t xml:space="preserve"> </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b/>
                <w:bCs/>
                <w:color w:val="auto"/>
                <w:sz w:val="24"/>
                <w:szCs w:val="24"/>
                <w:highlight w:val="none"/>
              </w:rPr>
              <w:t>多</w:t>
            </w:r>
            <w:r>
              <w:rPr>
                <w:rFonts w:hint="eastAsia" w:ascii="仿宋" w:hAnsi="仿宋" w:eastAsia="仿宋" w:cs="仿宋"/>
                <w:color w:val="auto"/>
                <w:sz w:val="24"/>
                <w:szCs w:val="24"/>
                <w:highlight w:val="none"/>
              </w:rPr>
              <w:t>个包进行投标，可以中标</w:t>
            </w:r>
            <w:r>
              <w:rPr>
                <w:rFonts w:hint="eastAsia" w:ascii="仿宋" w:hAnsi="仿宋" w:eastAsia="仿宋" w:cs="仿宋"/>
                <w:b/>
                <w:bCs/>
                <w:color w:val="auto"/>
                <w:sz w:val="24"/>
                <w:szCs w:val="24"/>
                <w:highlight w:val="none"/>
                <w:u w:val="single"/>
              </w:rPr>
              <w:t>多</w:t>
            </w:r>
            <w:r>
              <w:rPr>
                <w:rFonts w:hint="eastAsia" w:ascii="仿宋" w:hAnsi="仿宋" w:eastAsia="仿宋" w:cs="仿宋"/>
                <w:color w:val="auto"/>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15</w:t>
            </w:r>
            <w:r>
              <w:rPr>
                <w:rFonts w:hint="eastAsia" w:ascii="仿宋" w:hAnsi="仿宋" w:eastAsia="仿宋" w:cs="仿宋"/>
                <w:color w:val="auto"/>
                <w:sz w:val="24"/>
                <w:szCs w:val="24"/>
                <w:highlight w:val="none"/>
                <w:vertAlign w:val="baseline"/>
              </w:rPr>
              <w:t>包同时进行投标，但第1、2</w:t>
            </w:r>
            <w:r>
              <w:rPr>
                <w:rFonts w:hint="eastAsia" w:ascii="仿宋" w:hAnsi="仿宋" w:eastAsia="仿宋" w:cs="仿宋"/>
                <w:color w:val="auto"/>
                <w:sz w:val="24"/>
                <w:szCs w:val="24"/>
                <w:highlight w:val="none"/>
                <w:vertAlign w:val="baseline"/>
                <w:lang w:val="en-US" w:eastAsia="zh-CN"/>
              </w:rPr>
              <w:t>、3、4、5、6、7、8、9、10、11、12、13、14、15</w:t>
            </w:r>
            <w:r>
              <w:rPr>
                <w:rFonts w:hint="eastAsia" w:ascii="仿宋" w:hAnsi="仿宋" w:eastAsia="仿宋" w:cs="仿宋"/>
                <w:color w:val="auto"/>
                <w:sz w:val="24"/>
                <w:szCs w:val="24"/>
                <w:highlight w:val="none"/>
                <w:vertAlign w:val="baseline"/>
              </w:rPr>
              <w:t>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color w:val="auto"/>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u w:val="single"/>
                <w:lang w:val="en-US" w:eastAsia="zh-CN"/>
              </w:rPr>
              <w:t>标项</w:t>
            </w:r>
            <w:r>
              <w:rPr>
                <w:rFonts w:hint="eastAsia" w:ascii="仿宋" w:hAnsi="仿宋" w:eastAsia="仿宋" w:cs="仿宋"/>
                <w:color w:val="auto"/>
                <w:sz w:val="24"/>
                <w:szCs w:val="24"/>
                <w:highlight w:val="none"/>
                <w:u w:val="single"/>
                <w:vertAlign w:val="baseline"/>
              </w:rPr>
              <w:t>1、2</w:t>
            </w:r>
            <w:r>
              <w:rPr>
                <w:rFonts w:hint="eastAsia" w:ascii="仿宋" w:hAnsi="仿宋" w:eastAsia="仿宋" w:cs="仿宋"/>
                <w:color w:val="auto"/>
                <w:sz w:val="24"/>
                <w:szCs w:val="24"/>
                <w:highlight w:val="none"/>
                <w:u w:val="single"/>
                <w:vertAlign w:val="baseline"/>
                <w:lang w:val="en-US" w:eastAsia="zh-CN"/>
              </w:rPr>
              <w:t>、3、4、5、6、7、8、9、10、11、12、13、14、15</w:t>
            </w:r>
            <w:r>
              <w:rPr>
                <w:rFonts w:hint="eastAsia" w:ascii="仿宋" w:hAnsi="仿宋" w:eastAsia="仿宋" w:cs="仿宋"/>
                <w:color w:val="auto"/>
                <w:sz w:val="24"/>
                <w:szCs w:val="24"/>
                <w:highlight w:val="none"/>
                <w:lang w:val="en-US" w:eastAsia="zh-CN"/>
              </w:rPr>
              <w:t>投标报价方式为：</w:t>
            </w:r>
          </w:p>
          <w:p w14:paraId="6137EC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并须按招标文件规定的投标文件格式提供“投标分项报价表”。</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并须按采购文件规定的响应文件格式提供“分项报价表”，分项报价表中的数量均为“1”。并须按招标文件规定的投标文件格式提供“投标分项报价表”。</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color w:val="auto"/>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填报下浮率（%），报价单位为%。成交单价为招标文件载明的标的物限价×（1-下浮率（%）），实际支付金额为成交单价×实际成交数量。无须按招标文件规定的投标文件格式提供“投标分项报价表”。</w:t>
            </w:r>
          </w:p>
          <w:p w14:paraId="25266EF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color w:val="auto"/>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填报折扣率率（%），报价单位为%。成交单价为招标文件载明的标的物限价×折扣率（%），实际支付金额为成交单价×实际成交数量。无须按招标文件规定的投标文件格式提供“投标分项报价表”。</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165B42A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b w:val="0"/>
                <w:bCs w:val="0"/>
                <w:color w:val="auto"/>
                <w:sz w:val="24"/>
                <w:szCs w:val="24"/>
                <w:highlight w:val="none"/>
                <w:lang w:val="en-US" w:eastAsia="zh-CN"/>
              </w:rPr>
              <w:t>标项1：10000元，标项2：18000元，标项3：14000元，标项4：14400元，标项5：16600元，标项6：15600 元，标项7：5600元，标项8：13200元，标项9：9800元，标项10：9900元，标项11：8000</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元，标项12：7600</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元，标项13：12800元，标项14：16800元，标项15：5600元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625618D7">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（提示：此账号为保证金账号，保证金不要转到23.1条规定</w:t>
            </w:r>
            <w:r>
              <w:rPr>
                <w:rFonts w:hint="eastAsia" w:ascii="仿宋" w:hAnsi="仿宋" w:eastAsia="仿宋" w:cs="仿宋"/>
                <w:b/>
                <w:bCs/>
                <w:color w:val="auto"/>
                <w:sz w:val="24"/>
                <w:szCs w:val="24"/>
                <w:highlight w:val="none"/>
                <w:lang w:val="en-US" w:eastAsia="zh-CN"/>
              </w:rPr>
              <w:t>服务费缴纳账号</w:t>
            </w:r>
            <w:r>
              <w:rPr>
                <w:rFonts w:hint="eastAsia" w:ascii="仿宋" w:hAnsi="仿宋" w:eastAsia="仿宋" w:cs="仿宋"/>
                <w:b/>
                <w:bCs/>
                <w:color w:val="auto"/>
                <w:sz w:val="24"/>
                <w:szCs w:val="24"/>
                <w:highlight w:val="none"/>
                <w:vertAlign w:val="baseline"/>
                <w:lang w:val="en-US" w:eastAsia="zh-CN"/>
              </w:rPr>
              <w:t>）</w:t>
            </w:r>
          </w:p>
          <w:p w14:paraId="3DA3E496">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BCA92E2">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7408CE3A">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、联合体投标的，建议由联合体牵头方缴纳投标保证金。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2026年06月04日</w:t>
            </w:r>
            <w:r>
              <w:rPr>
                <w:rFonts w:hint="eastAsia" w:ascii="仿宋" w:hAnsi="仿宋" w:eastAsia="仿宋" w:cs="仿宋"/>
                <w:color w:val="auto"/>
                <w:sz w:val="24"/>
                <w:szCs w:val="24"/>
                <w:highlight w:val="none"/>
              </w:rPr>
              <w:t>11:00（北京时间）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1、是否由中标人缴纳招标代理费：是 </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招标代理费：☑参照原国家计委计价格【2002】1980 号文的计算方法收取。  </w:t>
            </w:r>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□本项目招标代理费：标项1    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2DBF850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4、服务费缴纳账号（提示：保证金账号详见第10条）：</w:t>
            </w:r>
            <w:r>
              <w:rPr>
                <w:rFonts w:hint="eastAsia" w:ascii="仿宋" w:hAnsi="仿宋" w:eastAsia="仿宋" w:cs="仿宋"/>
                <w:color w:val="auto"/>
                <w:sz w:val="24"/>
                <w:szCs w:val="24"/>
                <w:highlight w:val="none"/>
                <w:lang w:val="en-US" w:eastAsia="zh-CN"/>
              </w:rPr>
              <w:t xml:space="preserve"> </w:t>
            </w:r>
          </w:p>
          <w:p w14:paraId="4A1A14B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收款单位全称：新疆世纪星工程咨询有限公司</w:t>
            </w:r>
          </w:p>
          <w:p w14:paraId="0D20D9A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银行账号：651651056018800020157</w:t>
            </w:r>
          </w:p>
          <w:p w14:paraId="27DBAFD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 交通银行股份有限公司乌鲁木齐卫星路支行</w:t>
            </w:r>
          </w:p>
          <w:p w14:paraId="79923ED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银行行号： 301881000569</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1C4CF0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联系部门：新疆世纪星工程咨询有限公司招标部 </w:t>
            </w:r>
          </w:p>
          <w:p w14:paraId="580600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联系人、联系电话：</w:t>
            </w:r>
            <w:r>
              <w:rPr>
                <w:rFonts w:hint="eastAsia" w:ascii="仿宋" w:hAnsi="仿宋" w:eastAsia="仿宋" w:cs="仿宋"/>
                <w:b w:val="0"/>
                <w:bCs w:val="0"/>
                <w:color w:val="auto"/>
                <w:kern w:val="0"/>
                <w:sz w:val="24"/>
                <w:szCs w:val="24"/>
                <w:highlight w:val="none"/>
                <w:u w:val="none"/>
                <w:vertAlign w:val="baseline"/>
                <w:lang w:val="en-US" w:eastAsia="zh-CN" w:bidi="ar"/>
              </w:rPr>
              <w:t>李航、訾王贝、范燕娥、杜萍</w:t>
            </w:r>
            <w:r>
              <w:rPr>
                <w:rFonts w:hint="eastAsia" w:ascii="仿宋" w:hAnsi="仿宋" w:eastAsia="仿宋" w:cs="仿宋"/>
                <w:color w:val="auto"/>
                <w:sz w:val="24"/>
                <w:szCs w:val="24"/>
                <w:highlight w:val="none"/>
                <w:lang w:val="en-US" w:eastAsia="zh-CN"/>
              </w:rPr>
              <w:t xml:space="preserve"> ，</w:t>
            </w:r>
          </w:p>
          <w:p w14:paraId="640BD510">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通讯地址：乌鲁木齐经济技术开发区二期黄山街一品九点阳光德港大厦 B 座 20 楼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适用于本</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标项2、3、7、13、14、15</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标项1</w:t>
            </w:r>
            <w:r>
              <w:rPr>
                <w:rFonts w:hint="eastAsia" w:ascii="仿宋" w:hAnsi="仿宋" w:eastAsia="仿宋" w:cs="仿宋"/>
                <w:color w:val="auto"/>
                <w:kern w:val="2"/>
                <w:sz w:val="24"/>
                <w:szCs w:val="24"/>
                <w:highlight w:val="none"/>
                <w:lang w:val="en-US" w:eastAsia="zh-CN" w:bidi="ar-SA"/>
              </w:rPr>
              <w:t>为非单一产品采购项目，核心产品为：内窥镜手术刨削器</w:t>
            </w:r>
          </w:p>
          <w:p w14:paraId="7A9A54B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标项4</w:t>
            </w:r>
            <w:r>
              <w:rPr>
                <w:rFonts w:hint="eastAsia" w:ascii="仿宋" w:hAnsi="仿宋" w:eastAsia="仿宋" w:cs="仿宋"/>
                <w:color w:val="auto"/>
                <w:kern w:val="2"/>
                <w:sz w:val="24"/>
                <w:szCs w:val="24"/>
                <w:highlight w:val="none"/>
                <w:lang w:val="en-US" w:eastAsia="zh-CN" w:bidi="ar-SA"/>
              </w:rPr>
              <w:t xml:space="preserve">为非单一产品采购项目，核心产品为：便携式电子支气管镜、多参数生物反馈治疗仪     </w:t>
            </w:r>
          </w:p>
          <w:p w14:paraId="395759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标项5</w:t>
            </w:r>
            <w:r>
              <w:rPr>
                <w:rFonts w:hint="eastAsia" w:ascii="仿宋" w:hAnsi="仿宋" w:eastAsia="仿宋" w:cs="仿宋"/>
                <w:color w:val="auto"/>
                <w:kern w:val="2"/>
                <w:sz w:val="24"/>
                <w:szCs w:val="24"/>
                <w:highlight w:val="none"/>
                <w:lang w:val="en-US" w:eastAsia="zh-CN" w:bidi="ar-SA"/>
              </w:rPr>
              <w:t>为非单一产品采购项目，核心产品为：胎儿监护仪（双床位）、盆底磁刺激仪</w:t>
            </w:r>
          </w:p>
          <w:p w14:paraId="5F8A26A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标项6</w:t>
            </w:r>
            <w:r>
              <w:rPr>
                <w:rFonts w:hint="eastAsia" w:ascii="仿宋" w:hAnsi="仿宋" w:eastAsia="仿宋" w:cs="仿宋"/>
                <w:color w:val="auto"/>
                <w:kern w:val="2"/>
                <w:sz w:val="24"/>
                <w:szCs w:val="24"/>
                <w:highlight w:val="none"/>
                <w:lang w:val="en-US" w:eastAsia="zh-CN" w:bidi="ar-SA"/>
              </w:rPr>
              <w:t>为非单一产品采购项目，核心产品为：经颅磁治疗仪</w:t>
            </w:r>
          </w:p>
          <w:p w14:paraId="0A90F20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标项8</w:t>
            </w:r>
            <w:r>
              <w:rPr>
                <w:rFonts w:hint="eastAsia" w:ascii="仿宋" w:hAnsi="仿宋" w:eastAsia="仿宋" w:cs="仿宋"/>
                <w:color w:val="auto"/>
                <w:kern w:val="2"/>
                <w:sz w:val="24"/>
                <w:szCs w:val="24"/>
                <w:highlight w:val="none"/>
                <w:lang w:val="en-US" w:eastAsia="zh-CN" w:bidi="ar-SA"/>
              </w:rPr>
              <w:t>为非单一产品采购项目，核心产品为：电脑恒温电蜡疗仪</w:t>
            </w:r>
          </w:p>
          <w:p w14:paraId="023A77A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标项9</w:t>
            </w:r>
            <w:r>
              <w:rPr>
                <w:rFonts w:hint="eastAsia" w:ascii="仿宋" w:hAnsi="仿宋" w:eastAsia="仿宋" w:cs="仿宋"/>
                <w:color w:val="auto"/>
                <w:kern w:val="2"/>
                <w:sz w:val="24"/>
                <w:szCs w:val="24"/>
                <w:highlight w:val="none"/>
                <w:lang w:val="en-US" w:eastAsia="zh-CN" w:bidi="ar-SA"/>
              </w:rPr>
              <w:t>为非单一产品采购项目，核心产品为：干扰电治疗仪</w:t>
            </w:r>
          </w:p>
          <w:p w14:paraId="4A27209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标项10</w:t>
            </w:r>
            <w:r>
              <w:rPr>
                <w:rFonts w:hint="eastAsia" w:ascii="仿宋" w:hAnsi="仿宋" w:eastAsia="仿宋" w:cs="仿宋"/>
                <w:color w:val="auto"/>
                <w:kern w:val="2"/>
                <w:sz w:val="24"/>
                <w:szCs w:val="24"/>
                <w:highlight w:val="none"/>
                <w:lang w:val="en-US" w:eastAsia="zh-CN" w:bidi="ar-SA"/>
              </w:rPr>
              <w:t>为非单一产品采购项目，核心产品为：冲击波治疗仪</w:t>
            </w:r>
          </w:p>
          <w:p w14:paraId="7868D445">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标项11</w:t>
            </w:r>
            <w:r>
              <w:rPr>
                <w:rFonts w:hint="eastAsia" w:ascii="仿宋" w:hAnsi="仿宋" w:eastAsia="仿宋" w:cs="仿宋"/>
                <w:color w:val="auto"/>
                <w:kern w:val="2"/>
                <w:sz w:val="24"/>
                <w:szCs w:val="24"/>
                <w:highlight w:val="none"/>
                <w:lang w:val="en-US" w:eastAsia="zh-CN" w:bidi="ar-SA"/>
              </w:rPr>
              <w:t>为非单一产品采购项目，核心产品为：智能化煎药机</w:t>
            </w:r>
          </w:p>
          <w:p w14:paraId="33676D9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标项12</w:t>
            </w:r>
            <w:r>
              <w:rPr>
                <w:rFonts w:hint="eastAsia" w:ascii="仿宋" w:hAnsi="仿宋" w:eastAsia="仿宋" w:cs="仿宋"/>
                <w:color w:val="auto"/>
                <w:kern w:val="2"/>
                <w:sz w:val="24"/>
                <w:szCs w:val="24"/>
                <w:highlight w:val="none"/>
                <w:lang w:val="en-US" w:eastAsia="zh-CN" w:bidi="ar-SA"/>
              </w:rPr>
              <w:t>为非单一产品采购项目，核心产品为：四诊仪</w:t>
            </w:r>
          </w:p>
          <w:p w14:paraId="1EE622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color w:val="auto"/>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7AD8F7D1">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适用于本</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3B0E4C7">
      <w:pPr>
        <w:pStyle w:val="2"/>
        <w:numPr>
          <w:ilvl w:val="0"/>
          <w:numId w:val="1"/>
        </w:numPr>
        <w:jc w:val="center"/>
        <w:rPr>
          <w:rFonts w:hint="eastAsia" w:ascii="仿宋" w:hAnsi="仿宋" w:eastAsia="仿宋" w:cs="仿宋"/>
          <w:color w:val="auto"/>
          <w:sz w:val="32"/>
          <w:szCs w:val="32"/>
          <w:highlight w:val="none"/>
        </w:rPr>
      </w:pPr>
      <w:bookmarkStart w:id="16" w:name="_Toc12072"/>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须知</w:t>
      </w:r>
      <w:bookmarkEnd w:id="16"/>
    </w:p>
    <w:p w14:paraId="48FDC5E8">
      <w:pPr>
        <w:numPr>
          <w:ilvl w:val="0"/>
          <w:numId w:val="2"/>
        </w:numPr>
        <w:spacing w:line="500" w:lineRule="exact"/>
        <w:jc w:val="center"/>
        <w:outlineLvl w:val="1"/>
        <w:rPr>
          <w:rFonts w:hint="eastAsia" w:ascii="仿宋" w:hAnsi="仿宋" w:eastAsia="仿宋" w:cs="仿宋"/>
          <w:b/>
          <w:bCs/>
          <w:color w:val="auto"/>
          <w:sz w:val="24"/>
          <w:highlight w:val="none"/>
        </w:rPr>
      </w:pPr>
      <w:bookmarkStart w:id="17" w:name="_Toc17885"/>
      <w:bookmarkStart w:id="18" w:name="_Toc20936"/>
      <w:r>
        <w:rPr>
          <w:rFonts w:hint="eastAsia" w:ascii="仿宋" w:hAnsi="仿宋" w:eastAsia="仿宋" w:cs="仿宋"/>
          <w:b/>
          <w:bCs/>
          <w:color w:val="auto"/>
          <w:sz w:val="24"/>
          <w:highlight w:val="none"/>
        </w:rPr>
        <w:t>说 明</w:t>
      </w:r>
      <w:bookmarkEnd w:id="17"/>
      <w:bookmarkEnd w:id="18"/>
    </w:p>
    <w:p w14:paraId="6204FDCB">
      <w:pPr>
        <w:numPr>
          <w:ilvl w:val="0"/>
          <w:numId w:val="3"/>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采购人、采购代理机构及</w:t>
      </w:r>
      <w:r>
        <w:rPr>
          <w:rFonts w:hint="eastAsia" w:ascii="仿宋" w:hAnsi="仿宋" w:eastAsia="仿宋" w:cs="仿宋"/>
          <w:b/>
          <w:bCs/>
          <w:color w:val="auto"/>
          <w:sz w:val="24"/>
          <w:highlight w:val="none"/>
          <w:lang w:val="en-US" w:eastAsia="zh-CN"/>
        </w:rPr>
        <w:t>投标人</w:t>
      </w:r>
    </w:p>
    <w:p w14:paraId="03981A87">
      <w:pPr>
        <w:numPr>
          <w:ilvl w:val="1"/>
          <w:numId w:val="4"/>
        </w:numPr>
        <w:spacing w:line="500" w:lineRule="exac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采购人：是指依法进行政府采购的国家机构、事业单位、团体组织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
          <w:color w:val="auto"/>
          <w:sz w:val="24"/>
          <w:highlight w:val="none"/>
          <w:u w:val="single"/>
          <w:lang w:val="en-US" w:eastAsia="zh-CN"/>
        </w:rPr>
        <w:t>详见投标人须知前附表</w:t>
      </w:r>
    </w:p>
    <w:p w14:paraId="4EC78948">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
          <w:color w:val="auto"/>
          <w:sz w:val="24"/>
          <w:highlight w:val="none"/>
        </w:rPr>
        <w:t>本次招标的采购代理机构</w:t>
      </w:r>
      <w:r>
        <w:rPr>
          <w:rFonts w:hint="eastAsia" w:ascii="仿宋" w:hAnsi="仿宋" w:eastAsia="仿宋" w:cs="仿宋"/>
          <w:color w:val="auto"/>
          <w:sz w:val="24"/>
          <w:highlight w:val="none"/>
          <w:u w:val="single"/>
          <w:lang w:val="en-US" w:eastAsia="zh-CN"/>
        </w:rPr>
        <w:t>详见投标人须知前附表</w:t>
      </w:r>
      <w:r>
        <w:rPr>
          <w:rFonts w:hint="eastAsia" w:ascii="仿宋" w:hAnsi="仿宋" w:eastAsia="仿宋" w:cs="仿宋"/>
          <w:color w:val="auto"/>
          <w:sz w:val="24"/>
          <w:highlight w:val="none"/>
        </w:rPr>
        <w:t>。</w:t>
      </w:r>
    </w:p>
    <w:p w14:paraId="2EA64F7B">
      <w:pPr>
        <w:numPr>
          <w:ilvl w:val="1"/>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color w:val="auto"/>
          <w:sz w:val="24"/>
          <w:szCs w:val="24"/>
          <w:highlight w:val="none"/>
          <w:lang w:val="en-US" w:eastAsia="zh-CN"/>
        </w:rPr>
        <w:t>本项目（包）是否允许法人分支机构参与磋商</w:t>
      </w:r>
      <w:r>
        <w:rPr>
          <w:rFonts w:hint="eastAsia" w:ascii="仿宋" w:hAnsi="仿宋" w:eastAsia="仿宋" w:cs="仿宋"/>
          <w:color w:val="auto"/>
          <w:sz w:val="24"/>
          <w:highlight w:val="none"/>
          <w:u w:val="single"/>
          <w:lang w:val="en-US" w:eastAsia="zh-CN"/>
        </w:rPr>
        <w:t>详见投标人须知前附表</w:t>
      </w:r>
      <w:r>
        <w:rPr>
          <w:rFonts w:hint="eastAsia" w:ascii="仿宋" w:hAnsi="仿宋" w:eastAsia="仿宋" w:cs="仿宋"/>
          <w:b w:val="0"/>
          <w:bCs w:val="0"/>
          <w:color w:val="auto"/>
          <w:sz w:val="24"/>
          <w:szCs w:val="24"/>
          <w:highlight w:val="none"/>
          <w:lang w:val="en-US" w:eastAsia="zh-CN"/>
        </w:rPr>
        <w:t>。</w:t>
      </w:r>
    </w:p>
    <w:p w14:paraId="6D9D1B8B">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须满足以下条件：</w:t>
      </w:r>
    </w:p>
    <w:p w14:paraId="059B4B22">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以招标文件规定的方式获得了本项目的招标文件。</w:t>
      </w:r>
    </w:p>
    <w:p w14:paraId="3083EA8B">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u w:val="single"/>
          <w:lang w:val="en-US" w:eastAsia="zh-CN"/>
        </w:rPr>
        <w:t>招标公告</w:t>
      </w:r>
      <w:r>
        <w:rPr>
          <w:rFonts w:hint="eastAsia" w:ascii="仿宋" w:hAnsi="仿宋" w:eastAsia="仿宋" w:cs="仿宋"/>
          <w:color w:val="auto"/>
          <w:sz w:val="24"/>
          <w:highlight w:val="none"/>
        </w:rPr>
        <w:t>中规定的落</w:t>
      </w:r>
      <w:r>
        <w:rPr>
          <w:rFonts w:hint="eastAsia" w:ascii="仿宋" w:hAnsi="仿宋" w:eastAsia="仿宋" w:cs="仿宋"/>
          <w:color w:val="auto"/>
          <w:sz w:val="24"/>
          <w:highlight w:val="none"/>
          <w:lang w:eastAsia="zh-CN"/>
        </w:rPr>
        <w:t>实政府采购政策需满足的资格要求</w:t>
      </w:r>
      <w:r>
        <w:rPr>
          <w:rFonts w:hint="eastAsia" w:ascii="仿宋" w:hAnsi="仿宋" w:eastAsia="仿宋" w:cs="仿宋"/>
          <w:color w:val="auto"/>
          <w:sz w:val="24"/>
          <w:highlight w:val="none"/>
        </w:rPr>
        <w:t>。</w:t>
      </w:r>
    </w:p>
    <w:p w14:paraId="2C4ABECC">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u w:val="single"/>
          <w:lang w:val="en-US" w:eastAsia="zh-CN"/>
        </w:rPr>
        <w:t>招标公告</w:t>
      </w:r>
      <w:r>
        <w:rPr>
          <w:rFonts w:hint="eastAsia" w:ascii="仿宋" w:hAnsi="仿宋" w:eastAsia="仿宋" w:cs="仿宋"/>
          <w:color w:val="auto"/>
          <w:sz w:val="24"/>
          <w:highlight w:val="none"/>
        </w:rPr>
        <w:t>规定的</w:t>
      </w:r>
      <w:r>
        <w:rPr>
          <w:rFonts w:hint="eastAsia" w:ascii="仿宋" w:hAnsi="仿宋" w:eastAsia="仿宋" w:cs="仿宋"/>
          <w:color w:val="auto"/>
          <w:sz w:val="24"/>
          <w:highlight w:val="none"/>
          <w:lang w:val="en-US" w:eastAsia="zh-CN"/>
        </w:rPr>
        <w:t>本项目特定</w:t>
      </w:r>
      <w:r>
        <w:rPr>
          <w:rFonts w:hint="eastAsia" w:ascii="仿宋" w:hAnsi="仿宋" w:eastAsia="仿宋" w:cs="仿宋"/>
          <w:color w:val="auto"/>
          <w:sz w:val="24"/>
          <w:highlight w:val="none"/>
        </w:rPr>
        <w:t>资格要求。</w:t>
      </w:r>
    </w:p>
    <w:p w14:paraId="782480BF">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如经财政主管部门批准可以采购进口产品，将在</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中写明。但</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应保证所投产品可履行合法报通关手续进入中国关境内。若</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中未写明允许采购进口产品，如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所投产品为进口产品，其投标将作为</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 xml:space="preserve">被拒绝。 </w:t>
      </w:r>
    </w:p>
    <w:p w14:paraId="4217C81E">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39814D51">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w:t>
      </w:r>
    </w:p>
    <w:p w14:paraId="6E4C868C">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
          <w:color w:val="auto"/>
          <w:sz w:val="24"/>
          <w:highlight w:val="none"/>
          <w:u w:val="single"/>
          <w:lang w:val="en-US" w:eastAsia="zh-CN"/>
        </w:rPr>
        <w:t>见投标须知前附表</w:t>
      </w:r>
      <w:r>
        <w:rPr>
          <w:rFonts w:hint="eastAsia" w:ascii="仿宋" w:hAnsi="仿宋" w:eastAsia="仿宋" w:cs="仿宋"/>
          <w:color w:val="auto"/>
          <w:sz w:val="24"/>
          <w:highlight w:val="none"/>
          <w:lang w:val="en-US" w:eastAsia="zh-CN"/>
        </w:rPr>
        <w:t>，未达到上述比例的投标将被认定为</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。承接企业如为监狱企业或残疾人福利性单位的，视同为小型、微型企业。</w:t>
      </w:r>
    </w:p>
    <w:p w14:paraId="3FBC8729">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提供的货物、工程或者服务符合下列情形的，享受中小企业扶持政策：</w:t>
      </w:r>
    </w:p>
    <w:p w14:paraId="4934D487">
      <w:pPr>
        <w:numPr>
          <w:ilvl w:val="0"/>
          <w:numId w:val="5"/>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在货物采购项目中，货物由中小企业制造，即货物由中小企业生产且使用该中小企业商号或者注册商标；</w:t>
      </w:r>
    </w:p>
    <w:p w14:paraId="1CCDDAE1">
      <w:pPr>
        <w:numPr>
          <w:ilvl w:val="0"/>
          <w:numId w:val="5"/>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在工程采购项目中，工程由中小企业承建，即工程施工单位为中小企业；</w:t>
      </w:r>
    </w:p>
    <w:p w14:paraId="161E9E7B">
      <w:pPr>
        <w:numPr>
          <w:ilvl w:val="0"/>
          <w:numId w:val="5"/>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提供的货物既有中小企业制造货物，也有大型企业制造货物的，不享受中小企业扶持政策。 </w:t>
      </w:r>
    </w:p>
    <w:p w14:paraId="24F44E13">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安置的残疾人占本单位在职职工人数的比例不低于25%（含25%），并且安置的残疾人人数不少于10人（含10人）； </w:t>
      </w:r>
    </w:p>
    <w:p w14:paraId="31DDB711">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3B9C8128">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28E3D24E">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享受中小企业扶持政策获得政府采购合同的，小微企业不得将合同分包给大中型企业，中型企业不得将合同分包给大型企业。</w:t>
      </w:r>
    </w:p>
    <w:p w14:paraId="7ED60D10">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4833AF79">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如本项目采购产品属于实施政府强制采购品目清单范围的节能产品，则</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所报产品必须获得国家确定的认证机构出具的、处于有效期之内的节能产品认证证书，否则</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3A578EB">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支持乡村产业振兴管理</w:t>
      </w:r>
    </w:p>
    <w:p w14:paraId="3F7428FC">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正版软件</w:t>
      </w:r>
    </w:p>
    <w:p w14:paraId="71146994">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b w:val="0"/>
          <w:bCs w:val="0"/>
          <w:color w:val="auto"/>
          <w:sz w:val="24"/>
          <w:szCs w:val="24"/>
          <w:highlight w:val="none"/>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中允许联合体投标，对联合体规定如下：</w:t>
      </w:r>
    </w:p>
    <w:p w14:paraId="6EB405D6">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两个以上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可以组成一个投标联合体，以一个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的身份投标。  </w:t>
      </w:r>
    </w:p>
    <w:p w14:paraId="39F1508B">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采购人根据采购项目对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的特殊要求，联合体中至少应当有一方符合相关规定。</w:t>
      </w:r>
    </w:p>
    <w:p w14:paraId="0A6E319E">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联合体中有同类资质的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按照联合体分工承担相同工作的，按照资质等级较低的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确定资质等级。</w:t>
      </w:r>
    </w:p>
    <w:p w14:paraId="17C4F3F9">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对联合体投标的其他资格要求见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w:t>
      </w:r>
    </w:p>
    <w:p w14:paraId="273624E6">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 xml:space="preserve">。 </w:t>
      </w:r>
    </w:p>
    <w:p w14:paraId="076A071C">
      <w:pPr>
        <w:numPr>
          <w:ilvl w:val="1"/>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9F3A450">
      <w:pPr>
        <w:numPr>
          <w:ilvl w:val="1"/>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本国产品标准及支持政策</w:t>
      </w:r>
    </w:p>
    <w:p w14:paraId="053BF0FC">
      <w:pPr>
        <w:numPr>
          <w:ilvl w:val="2"/>
          <w:numId w:val="4"/>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color w:val="auto"/>
          <w:sz w:val="24"/>
          <w:highlight w:val="none"/>
          <w:u w:val="single"/>
        </w:rPr>
        <w:t>见投标须知前附表。</w:t>
      </w:r>
    </w:p>
    <w:p w14:paraId="441816D7">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对国家相关部门后续发布的特定产品清单内的产品，除满足上述条件外，还需同时满足关键组件境内生产、关键工序境内完成等特定要求。</w:t>
      </w:r>
    </w:p>
    <w:p w14:paraId="33FDC980">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7A25F0">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1A66631B">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numPr>
          <w:ilvl w:val="1"/>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进口产品</w:t>
      </w:r>
    </w:p>
    <w:p w14:paraId="169666B9">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若采购需求中未写明允许采购进口产品，如投标人所投产品为进口产品，其投标将被认定为</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08ED064E">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资金来源 </w:t>
      </w:r>
    </w:p>
    <w:p w14:paraId="6FC253F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项目预算金额和最高限价见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w:t>
      </w:r>
    </w:p>
    <w:p w14:paraId="264E9BF8">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报价超过招标文件规定的预算金额或者最高限价的，其投标将被认定为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 xml:space="preserve">。 </w:t>
      </w:r>
    </w:p>
    <w:p w14:paraId="0D1F788A">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投标费用</w:t>
      </w:r>
    </w:p>
    <w:p w14:paraId="441560F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适用法律</w:t>
      </w:r>
    </w:p>
    <w:p w14:paraId="0C59DF3F">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hint="eastAsia" w:ascii="仿宋" w:hAnsi="仿宋" w:eastAsia="仿宋" w:cs="仿宋"/>
          <w:b/>
          <w:bCs/>
          <w:color w:val="auto"/>
          <w:sz w:val="24"/>
          <w:highlight w:val="none"/>
        </w:rPr>
      </w:pPr>
    </w:p>
    <w:p w14:paraId="3E279297">
      <w:pPr>
        <w:numPr>
          <w:ilvl w:val="0"/>
          <w:numId w:val="8"/>
        </w:numPr>
        <w:tabs>
          <w:tab w:val="left" w:pos="0"/>
        </w:tabs>
        <w:spacing w:line="500" w:lineRule="exact"/>
        <w:jc w:val="center"/>
        <w:outlineLvl w:val="1"/>
        <w:rPr>
          <w:rFonts w:hint="eastAsia" w:ascii="仿宋" w:hAnsi="仿宋" w:eastAsia="仿宋" w:cs="仿宋"/>
          <w:b/>
          <w:bCs/>
          <w:color w:val="auto"/>
          <w:sz w:val="24"/>
          <w:highlight w:val="none"/>
        </w:rPr>
      </w:pPr>
      <w:bookmarkStart w:id="19" w:name="_Toc32389"/>
      <w:bookmarkStart w:id="20" w:name="_Toc6547"/>
      <w:r>
        <w:rPr>
          <w:rFonts w:hint="eastAsia" w:ascii="仿宋" w:hAnsi="仿宋" w:eastAsia="仿宋" w:cs="仿宋"/>
          <w:b/>
          <w:bCs/>
          <w:color w:val="auto"/>
          <w:sz w:val="24"/>
          <w:highlight w:val="none"/>
        </w:rPr>
        <w:t>招标文件</w:t>
      </w:r>
      <w:bookmarkEnd w:id="19"/>
      <w:bookmarkEnd w:id="20"/>
    </w:p>
    <w:p w14:paraId="0EE7B2B7">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招标文件构成</w:t>
      </w:r>
    </w:p>
    <w:p w14:paraId="3D1F778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招标文件包括以下部分：</w:t>
      </w:r>
    </w:p>
    <w:p w14:paraId="1F02CAD4">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招标公告</w:t>
      </w:r>
    </w:p>
    <w:p w14:paraId="7F426FBA">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第二章 投标须知前附表 </w:t>
      </w:r>
    </w:p>
    <w:p w14:paraId="69F9C29C">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第三章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w:t>
      </w:r>
    </w:p>
    <w:p w14:paraId="1DA4A67B">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第四章 政府采购合同 </w:t>
      </w:r>
    </w:p>
    <w:p w14:paraId="5350C68F">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第五章 采购需求 </w:t>
      </w:r>
    </w:p>
    <w:p w14:paraId="617FCD05">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评标程序、评标方法和评标标准</w:t>
      </w:r>
    </w:p>
    <w:p w14:paraId="4DDE93F4">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第七章 投标文件格式 </w:t>
      </w:r>
    </w:p>
    <w:p w14:paraId="0CD6621F">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应认真阅读招标文件的全部内容。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应按照招标文件要求提交投标文件并保证所提供的全部资料的真实性，并对招标文件做出实质性响应，否则</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7C26DAC">
      <w:pPr>
        <w:numPr>
          <w:ilvl w:val="1"/>
          <w:numId w:val="7"/>
        </w:numPr>
        <w:tabs>
          <w:tab w:val="left" w:pos="0"/>
        </w:tabs>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现场考察或者答疑会及相关事项见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w:t>
      </w:r>
    </w:p>
    <w:p w14:paraId="76464DF2">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采购人在踏勘现场中介绍的资料和数据等，只是为了使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能够利用招标人现有的资料。招标人对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由此而作出的推论、解释和结论概不负责。</w:t>
      </w:r>
    </w:p>
    <w:p w14:paraId="77FC0B2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自行承担踏勘现场发生的责任、风险和自身费用。</w:t>
      </w:r>
    </w:p>
    <w:p w14:paraId="7F04A55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原则上采购人、采购代理机构不要求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，对样品的评审方法及评审标准见招标文件第六章《评标程序、评标方法和评标标准》。</w:t>
      </w:r>
    </w:p>
    <w:p w14:paraId="5FEC85DB">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提交样品的，样品属于投标文件的组成部分。样品的生产、运输、安装、保全等一切费用由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自理。</w:t>
      </w:r>
    </w:p>
    <w:p w14:paraId="79DF091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采购结果公告发布后，中标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的样品由采购人封存，作为履约验收的依据之一。未中标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在接到采购代理机构通知后，应按规定时间尽快自行取回样品，否则视同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不再认领，代理机构有权进行处理。</w:t>
      </w:r>
    </w:p>
    <w:p w14:paraId="0723325F">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对招标文件的澄清或修改</w:t>
      </w:r>
    </w:p>
    <w:p w14:paraId="3FEFD7F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采购人或采购代理机构对已发出的招标文件进行必要澄清或者修改的，将在原公告发布媒体（网站）上发布更正公告（通知），因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未及时登陆媒体（网站）查看导致通知未及时收到通知的，采购人或采购代理机构不承担责任。</w:t>
      </w:r>
    </w:p>
    <w:p w14:paraId="61B70F92">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具有约束力。一经在指定媒体上发布后，更正公告将作为通知所有招标文件收受人的书面形式。</w:t>
      </w:r>
    </w:p>
    <w:p w14:paraId="4BAF100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澄清或者修改的内容为招标文件的组成部分，并对所有获取招标文件的潜在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为了保证对招标文件的澄清和修改满足法律的时限要求，任何要求对招标文件进行澄清的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，均应在投标截止期十五日前，以书面形式将澄清要求通知采购人或采购代理机构。</w:t>
      </w:r>
    </w:p>
    <w:p w14:paraId="5B126C3B">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如更正公告有重新发布电子招标文件的，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应登录电子招投标平台下载最新发布的电子招标文件制作投标文件。</w:t>
      </w:r>
    </w:p>
    <w:p w14:paraId="689CE86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14:paraId="2CB125AB">
      <w:pPr>
        <w:tabs>
          <w:tab w:val="left" w:pos="0"/>
        </w:tabs>
        <w:spacing w:line="500" w:lineRule="exact"/>
        <w:rPr>
          <w:rFonts w:hint="eastAsia" w:ascii="仿宋" w:hAnsi="仿宋" w:eastAsia="仿宋" w:cs="仿宋"/>
          <w:color w:val="auto"/>
          <w:sz w:val="24"/>
          <w:highlight w:val="none"/>
        </w:rPr>
      </w:pPr>
    </w:p>
    <w:p w14:paraId="543D9501">
      <w:pPr>
        <w:numPr>
          <w:ilvl w:val="0"/>
          <w:numId w:val="8"/>
        </w:numPr>
        <w:tabs>
          <w:tab w:val="left" w:pos="0"/>
        </w:tabs>
        <w:spacing w:line="500" w:lineRule="exact"/>
        <w:jc w:val="center"/>
        <w:outlineLvl w:val="1"/>
        <w:rPr>
          <w:rFonts w:hint="eastAsia" w:ascii="仿宋" w:hAnsi="仿宋" w:eastAsia="仿宋" w:cs="仿宋"/>
          <w:b/>
          <w:bCs/>
          <w:color w:val="auto"/>
          <w:sz w:val="24"/>
          <w:highlight w:val="none"/>
        </w:rPr>
      </w:pPr>
      <w:bookmarkStart w:id="21" w:name="_Toc9070"/>
      <w:bookmarkStart w:id="22" w:name="_Toc23591"/>
      <w:r>
        <w:rPr>
          <w:rFonts w:hint="eastAsia" w:ascii="仿宋" w:hAnsi="仿宋" w:eastAsia="仿宋" w:cs="仿宋"/>
          <w:b/>
          <w:bCs/>
          <w:color w:val="auto"/>
          <w:sz w:val="24"/>
          <w:highlight w:val="none"/>
        </w:rPr>
        <w:t>投标文件的编制</w:t>
      </w:r>
      <w:bookmarkEnd w:id="21"/>
      <w:bookmarkEnd w:id="22"/>
    </w:p>
    <w:p w14:paraId="489743A4">
      <w:pPr>
        <w:numPr>
          <w:ilvl w:val="0"/>
          <w:numId w:val="7"/>
        </w:numPr>
        <w:tabs>
          <w:tab w:val="left" w:pos="0"/>
        </w:tabs>
        <w:spacing w:line="500" w:lineRule="exact"/>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投标范围、投标文件中计量单位的使用及投标语言</w:t>
      </w:r>
    </w:p>
    <w:p w14:paraId="66230E7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可对招标文件中一个或几个分包进行投标，除非在</w:t>
      </w:r>
      <w:r>
        <w:rPr>
          <w:rFonts w:hint="eastAsia" w:ascii="仿宋" w:hAnsi="仿宋" w:eastAsia="仿宋" w:cs="仿宋"/>
          <w:color w:val="auto"/>
          <w:sz w:val="24"/>
          <w:highlight w:val="none"/>
          <w:u w:val="single"/>
        </w:rPr>
        <w:t>投标须知前附表中另有规定</w:t>
      </w:r>
      <w:r>
        <w:rPr>
          <w:rFonts w:hint="eastAsia" w:ascii="仿宋" w:hAnsi="仿宋" w:eastAsia="仿宋" w:cs="仿宋"/>
          <w:color w:val="auto"/>
          <w:sz w:val="24"/>
          <w:highlight w:val="none"/>
        </w:rPr>
        <w:t xml:space="preserve">。 </w:t>
      </w:r>
    </w:p>
    <w:p w14:paraId="572D0CB6">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应当对所投采购包对应第五章《采购需求》所列的全部内容进行投标，如仅响应采购包中的部分内容，其该包投标将被认定为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EDDE7D0">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无论招标文件中是否要求，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所投货物或服务均应符合国家强制性标准。</w:t>
      </w:r>
    </w:p>
    <w:p w14:paraId="51E62BB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除专用术语外，投标文件及来往函电均应使用中文书写。必要时专用术语应附有中文解释。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自行承担。 </w:t>
      </w:r>
    </w:p>
    <w:p w14:paraId="66BD48B5">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投标文件构成</w:t>
      </w:r>
    </w:p>
    <w:p w14:paraId="10F5D9B0">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应当按照招标文件的要求编制投标文件。投标文件应由资格证明文件、报价文件、商务技术文件</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部分构成。投标文件的部分格式要求，见第七章《投标文件格式》。</w:t>
      </w:r>
    </w:p>
    <w:p w14:paraId="0DC20DD8">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第五章《采购需求》及第六章《评标程序、评标方法和评标标准》中涉及的证明文件。</w:t>
      </w:r>
    </w:p>
    <w:p w14:paraId="23461694">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应当按具体要求提供证明文件。</w:t>
      </w:r>
    </w:p>
    <w:p w14:paraId="4B635B0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认为应附的其他材料。</w:t>
      </w:r>
    </w:p>
    <w:p w14:paraId="1D4902F7">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437BA4">
      <w:pPr>
        <w:numPr>
          <w:ilvl w:val="0"/>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投标报价</w:t>
      </w:r>
    </w:p>
    <w:p w14:paraId="5871D702">
      <w:pPr>
        <w:numPr>
          <w:ilvl w:val="1"/>
          <w:numId w:val="7"/>
        </w:numPr>
        <w:tabs>
          <w:tab w:val="left" w:pos="0"/>
        </w:tabs>
        <w:spacing w:line="500" w:lineRule="exac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投标人的报价，</w:t>
      </w:r>
      <w:r>
        <w:rPr>
          <w:rFonts w:hint="eastAsia" w:ascii="仿宋" w:hAnsi="仿宋" w:eastAsia="仿宋" w:cs="仿宋"/>
          <w:color w:val="auto"/>
          <w:sz w:val="24"/>
          <w:highlight w:val="none"/>
        </w:rPr>
        <w:t>除非招标文件另有规定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zh-CN"/>
        </w:rPr>
        <w:t>均应以人民币进行报价</w:t>
      </w:r>
      <w:r>
        <w:rPr>
          <w:rFonts w:hint="eastAsia" w:ascii="仿宋" w:hAnsi="仿宋" w:eastAsia="仿宋" w:cs="仿宋"/>
          <w:color w:val="auto"/>
          <w:sz w:val="24"/>
          <w:highlight w:val="none"/>
          <w:lang w:val="zh-CN" w:eastAsia="zh-CN"/>
        </w:rPr>
        <w:t>。</w:t>
      </w:r>
    </w:p>
    <w:p w14:paraId="00D9F39F">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投标人应按照</w:t>
      </w:r>
      <w:r>
        <w:rPr>
          <w:rFonts w:hint="eastAsia" w:ascii="仿宋" w:hAnsi="仿宋" w:eastAsia="仿宋" w:cs="仿宋"/>
          <w:color w:val="auto"/>
          <w:sz w:val="24"/>
          <w:highlight w:val="none"/>
          <w:u w:val="single"/>
          <w:lang w:val="en-US" w:eastAsia="zh-CN"/>
        </w:rPr>
        <w:t>投标人须知前附表</w:t>
      </w:r>
      <w:r>
        <w:rPr>
          <w:rFonts w:hint="eastAsia" w:ascii="仿宋" w:hAnsi="仿宋" w:eastAsia="仿宋" w:cs="仿宋"/>
          <w:color w:val="auto"/>
          <w:sz w:val="24"/>
          <w:highlight w:val="none"/>
          <w:lang w:eastAsia="zh-CN"/>
        </w:rPr>
        <w:t>规定的报价方式进行报价，投标报价中不得包含招标文件要求以外的内容，否则，在评标时不予核减。</w:t>
      </w:r>
      <w:r>
        <w:rPr>
          <w:rFonts w:hint="eastAsia" w:ascii="仿宋" w:hAnsi="仿宋" w:eastAsia="仿宋" w:cs="仿宋"/>
          <w:color w:val="auto"/>
          <w:sz w:val="24"/>
          <w:highlight w:val="none"/>
          <w:lang w:val="en-US" w:eastAsia="zh-CN"/>
        </w:rPr>
        <w:t>投标报价</w:t>
      </w:r>
      <w:r>
        <w:rPr>
          <w:rFonts w:hint="eastAsia" w:ascii="仿宋" w:hAnsi="仿宋" w:eastAsia="仿宋" w:cs="仿宋"/>
          <w:color w:val="auto"/>
          <w:sz w:val="24"/>
          <w:highlight w:val="none"/>
          <w:lang w:eastAsia="zh-CN"/>
        </w:rPr>
        <w:t>不得</w:t>
      </w:r>
      <w:r>
        <w:rPr>
          <w:rFonts w:hint="eastAsia" w:ascii="仿宋" w:hAnsi="仿宋" w:eastAsia="仿宋" w:cs="仿宋"/>
          <w:color w:val="auto"/>
          <w:sz w:val="24"/>
          <w:highlight w:val="none"/>
          <w:lang w:val="en-US" w:eastAsia="zh-CN"/>
        </w:rPr>
        <w:t>缺</w:t>
      </w:r>
      <w:r>
        <w:rPr>
          <w:rFonts w:hint="eastAsia" w:ascii="仿宋" w:hAnsi="仿宋" w:eastAsia="仿宋" w:cs="仿宋"/>
          <w:color w:val="auto"/>
          <w:sz w:val="24"/>
          <w:highlight w:val="none"/>
          <w:lang w:eastAsia="zh-CN"/>
        </w:rPr>
        <w:t>漏招标文件所要求的内容，否则其</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41BDFD38">
      <w:pPr>
        <w:numPr>
          <w:ilvl w:val="1"/>
          <w:numId w:val="7"/>
        </w:numPr>
        <w:tabs>
          <w:tab w:val="left" w:pos="0"/>
        </w:tabs>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投标人的报价应包括为完成本项目所发生的一切费用和税费，采购人将不再支付报价以外的任何费用。</w:t>
      </w:r>
      <w:r>
        <w:rPr>
          <w:rFonts w:hint="eastAsia" w:ascii="仿宋" w:hAnsi="仿宋" w:eastAsia="仿宋" w:cs="仿宋"/>
          <w:color w:val="auto"/>
          <w:sz w:val="24"/>
          <w:highlight w:val="none"/>
          <w:lang w:eastAsia="zh-CN"/>
        </w:rPr>
        <w:t>只要投报了一个确定数额的总价，无论分项价格是否全部填报了相应的金额或免费字样，</w:t>
      </w:r>
      <w:r>
        <w:rPr>
          <w:rFonts w:hint="eastAsia" w:ascii="仿宋" w:hAnsi="仿宋" w:eastAsia="仿宋" w:cs="仿宋"/>
          <w:color w:val="auto"/>
          <w:sz w:val="24"/>
          <w:highlight w:val="none"/>
          <w:lang w:val="en-US" w:eastAsia="zh-CN"/>
        </w:rPr>
        <w:t>该报价应被视为已包含但不限</w:t>
      </w:r>
      <w:r>
        <w:rPr>
          <w:rFonts w:hint="eastAsia" w:ascii="仿宋" w:hAnsi="仿宋" w:eastAsia="仿宋" w:cs="仿宋"/>
          <w:color w:val="auto"/>
          <w:sz w:val="24"/>
          <w:highlight w:val="none"/>
          <w:lang w:eastAsia="zh-CN"/>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
          <w:color w:val="auto"/>
          <w:sz w:val="24"/>
          <w:highlight w:val="none"/>
          <w:lang w:val="en-US" w:eastAsia="zh-CN"/>
        </w:rPr>
        <w:t xml:space="preserve">投标人的报价应包括但不限于下列内容： </w:t>
      </w:r>
    </w:p>
    <w:p w14:paraId="4342C0DA">
      <w:pPr>
        <w:numPr>
          <w:ilvl w:val="0"/>
          <w:numId w:val="0"/>
        </w:numPr>
        <w:tabs>
          <w:tab w:val="left" w:pos="0"/>
        </w:tabs>
        <w:spacing w:line="500" w:lineRule="exact"/>
        <w:ind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12F0384">
      <w:pPr>
        <w:numPr>
          <w:ilvl w:val="0"/>
          <w:numId w:val="0"/>
        </w:numPr>
        <w:tabs>
          <w:tab w:val="left" w:pos="0"/>
        </w:tabs>
        <w:spacing w:line="500" w:lineRule="exact"/>
        <w:ind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2）按照招标文件要求完成本项目的全部相关费用。</w:t>
      </w:r>
    </w:p>
    <w:p w14:paraId="7CE9CCC2">
      <w:pPr>
        <w:numPr>
          <w:ilvl w:val="1"/>
          <w:numId w:val="7"/>
        </w:numPr>
        <w:tabs>
          <w:tab w:val="left" w:pos="0"/>
        </w:tabs>
        <w:spacing w:line="500" w:lineRule="exac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
          <w:color w:val="auto"/>
          <w:sz w:val="24"/>
          <w:highlight w:val="none"/>
          <w:lang w:eastAsia="zh-CN"/>
        </w:rPr>
        <w:t>。</w:t>
      </w:r>
    </w:p>
    <w:p w14:paraId="5E3B6519">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投标人在投标文件中注明免费的项目将视为包含在投标报价中。</w:t>
      </w:r>
    </w:p>
    <w:p w14:paraId="78B9FFCD">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每一</w:t>
      </w:r>
      <w:r>
        <w:rPr>
          <w:rFonts w:hint="eastAsia" w:ascii="仿宋" w:hAnsi="仿宋" w:eastAsia="仿宋" w:cs="仿宋"/>
          <w:color w:val="auto"/>
          <w:sz w:val="24"/>
          <w:highlight w:val="none"/>
          <w:lang w:eastAsia="zh-CN"/>
        </w:rPr>
        <w:t>种采购内容只允许有一个报价，否则其</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。除非招标文件另有规定，不接受可选择或可调整的投标方案和报价，任何有选择的或可调整的投标方案和报价将被视为非</w:t>
      </w:r>
      <w:r>
        <w:rPr>
          <w:rFonts w:hint="eastAsia" w:ascii="仿宋" w:hAnsi="仿宋" w:eastAsia="仿宋" w:cs="仿宋"/>
          <w:color w:val="auto"/>
          <w:sz w:val="24"/>
          <w:highlight w:val="none"/>
          <w:lang w:val="en-US" w:eastAsia="zh-CN"/>
        </w:rPr>
        <w:t>实质性</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lang w:val="en-US" w:eastAsia="zh-CN"/>
        </w:rPr>
        <w:t>招标文件，其</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313FA63F">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投标人对投标报价若有说明应在投标文件中显著处注明。</w:t>
      </w:r>
    </w:p>
    <w:p w14:paraId="2DE4CF29">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除政策性文件规定以外，投标人所报价格在合同实施期间不因市场变化因素而变动。</w:t>
      </w:r>
    </w:p>
    <w:p w14:paraId="2C302D73">
      <w:pPr>
        <w:numPr>
          <w:ilvl w:val="1"/>
          <w:numId w:val="7"/>
        </w:numPr>
        <w:tabs>
          <w:tab w:val="left" w:pos="0"/>
        </w:tabs>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086CB38">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最低报价不能作为中标的保证。</w:t>
      </w:r>
    </w:p>
    <w:p w14:paraId="43809A14">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投标保证金</w:t>
      </w:r>
    </w:p>
    <w:p w14:paraId="35CE4873">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中规定的金额及要求交纳投标保证金，并作为其投标的一部分。</w:t>
      </w:r>
    </w:p>
    <w:p w14:paraId="31822FA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交纳投标保证金的形式除</w:t>
      </w:r>
      <w:r>
        <w:rPr>
          <w:rFonts w:hint="eastAsia" w:ascii="仿宋" w:hAnsi="仿宋" w:eastAsia="仿宋" w:cs="仿宋"/>
          <w:color w:val="auto"/>
          <w:sz w:val="24"/>
          <w:highlight w:val="none"/>
          <w:u w:val="single"/>
        </w:rPr>
        <w:t>投标须知前附表中</w:t>
      </w:r>
      <w:r>
        <w:rPr>
          <w:rFonts w:hint="eastAsia" w:ascii="仿宋" w:hAnsi="仿宋" w:eastAsia="仿宋" w:cs="仿宋"/>
          <w:color w:val="auto"/>
          <w:sz w:val="24"/>
          <w:highlight w:val="none"/>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rPr>
        <w:t>。</w:t>
      </w:r>
    </w:p>
    <w:p w14:paraId="798A08D4">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。电子保函与纸质保函具有同样效力。</w:t>
      </w:r>
    </w:p>
    <w:p w14:paraId="37BE7F16">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投标保证金（保函）有效期同投标有效期。</w:t>
      </w:r>
    </w:p>
    <w:p w14:paraId="1687ED9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联合体投标的，可以由联合体中的</w:t>
      </w:r>
      <w:r>
        <w:rPr>
          <w:rFonts w:hint="eastAsia" w:ascii="仿宋" w:hAnsi="仿宋" w:eastAsia="仿宋" w:cs="仿宋"/>
          <w:color w:val="auto"/>
          <w:sz w:val="24"/>
          <w:highlight w:val="none"/>
          <w:lang w:val="en-US" w:eastAsia="zh-CN"/>
        </w:rPr>
        <w:t>牵头方</w:t>
      </w:r>
      <w:r>
        <w:rPr>
          <w:rFonts w:hint="eastAsia" w:ascii="仿宋" w:hAnsi="仿宋" w:eastAsia="仿宋" w:cs="仿宋"/>
          <w:color w:val="auto"/>
          <w:sz w:val="24"/>
          <w:highlight w:val="none"/>
        </w:rPr>
        <w:t>提交投标保证金，以一方名义提交投标保证金的，对联合体各方均具有约束力。</w:t>
      </w:r>
    </w:p>
    <w:p w14:paraId="6F9AB31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的投标保证金，采用银行保函、担保机构担保函等形式递交的投标保证金，经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同意后采购人、采购代理机构可以不再退还，但因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自身原因导致无法及时退还的除外。</w:t>
      </w:r>
    </w:p>
    <w:p w14:paraId="0AAA9468">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在投标截止时间前撤回已提交的投标文件的，自收到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书面撤回通知之日起 5 个工作日内退还已收取的投标保证金。 </w:t>
      </w:r>
    </w:p>
    <w:p w14:paraId="51CF917E">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中标人的投标保证金，自采购合同签订之日起 5 个工作日内退还中标人。 </w:t>
      </w:r>
    </w:p>
    <w:p w14:paraId="1963C98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的投标保证金，自中标通知书发出之日起 5 个工作日内退还未中标人。</w:t>
      </w:r>
    </w:p>
    <w:p w14:paraId="30AAA38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有下列情形之一的，采购人或采购代理机构可以不予退还投标保证金：</w:t>
      </w:r>
    </w:p>
    <w:p w14:paraId="41C58E72">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在投标有效期内，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撤回投标的； </w:t>
      </w:r>
    </w:p>
    <w:p w14:paraId="42DB3970">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中标人不按本招标文件的规定与采购人签订合同的； </w:t>
      </w:r>
    </w:p>
    <w:p w14:paraId="40993DDC">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中标人不按本招标文件的规定提交履约保证金的； </w:t>
      </w:r>
    </w:p>
    <w:p w14:paraId="6BF2DF97">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中标人不按本招标文件的规定缴纳中标服务费的； </w:t>
      </w:r>
    </w:p>
    <w:p w14:paraId="77B4D476">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存在的串通投标情形的； </w:t>
      </w:r>
    </w:p>
    <w:p w14:paraId="65EB5D52">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存在向采购人、代理机构或评标专家行贿事实的； </w:t>
      </w:r>
    </w:p>
    <w:p w14:paraId="7A0896B4">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法律、法规规定的其它情况。 </w:t>
      </w:r>
    </w:p>
    <w:p w14:paraId="25E0403E">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投标有效期</w:t>
      </w:r>
    </w:p>
    <w:p w14:paraId="6E4168C9">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投标文件应在</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中规定的投标有效期内保持有效，投标有效期少于招标文件规定期限的，其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839E9D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采购人或采购代理机构可根据实际情况，在原投标有效期截止之前，要求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延长投标文件的有效期。接受该要求的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将不会被要求和允许修正其投标，且本须知中有关投标保证金的要求须在延长的有效期内继续有效。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也可以拒绝延长投标有效期的要求，退还其投标保证金。上述要求和答复都应以书面形式提交。</w:t>
      </w:r>
    </w:p>
    <w:p w14:paraId="49823019">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投标文件的制作</w:t>
      </w:r>
    </w:p>
    <w:p w14:paraId="24B8AF29">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投标文件中，所有内容均以电子文件编制，如因不按电子招投标平台要求编制导致系统无法检索、读取相关信息时，其后果由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如有对多个采购包投标的，要对每个采购包独立制作电子投标文件。</w:t>
      </w:r>
    </w:p>
    <w:p w14:paraId="58057AF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须对招标文件的对应要求给予唯一的实质性响应，否则将视为</w:t>
      </w:r>
      <w:r>
        <w:rPr>
          <w:rFonts w:hint="eastAsia" w:ascii="仿宋" w:hAnsi="仿宋" w:eastAsia="仿宋" w:cs="仿宋"/>
          <w:b/>
          <w:bCs/>
          <w:color w:val="auto"/>
          <w:sz w:val="24"/>
          <w:highlight w:val="none"/>
        </w:rPr>
        <w:t>不响应</w:t>
      </w:r>
      <w:r>
        <w:rPr>
          <w:rFonts w:hint="eastAsia" w:ascii="仿宋" w:hAnsi="仿宋" w:eastAsia="仿宋" w:cs="仿宋"/>
          <w:color w:val="auto"/>
          <w:sz w:val="24"/>
          <w:highlight w:val="none"/>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lang w:val="en-US" w:eastAsia="zh-CN"/>
        </w:rPr>
        <w:t>招标文件中，凡标有“★”的地方均为实质性响应条款，投标人若有一项带“★”的条款未响应或不满足，将按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A61B966">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应按招标文件的规定及附件要求的内容和格式完整地填写和提供资料。</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hint="eastAsia" w:ascii="仿宋" w:hAnsi="仿宋" w:eastAsia="仿宋" w:cs="仿宋"/>
          <w:b/>
          <w:bCs/>
          <w:color w:val="auto"/>
          <w:sz w:val="24"/>
          <w:highlight w:val="none"/>
        </w:rPr>
      </w:pPr>
      <w:bookmarkStart w:id="23" w:name="_Toc21719"/>
      <w:bookmarkStart w:id="24" w:name="_Toc29343"/>
      <w:r>
        <w:rPr>
          <w:rFonts w:hint="eastAsia" w:ascii="仿宋" w:hAnsi="仿宋" w:eastAsia="仿宋" w:cs="仿宋"/>
          <w:b/>
          <w:bCs/>
          <w:color w:val="auto"/>
          <w:sz w:val="24"/>
          <w:highlight w:val="none"/>
        </w:rPr>
        <w:t>投标文件的提交</w:t>
      </w:r>
      <w:bookmarkEnd w:id="23"/>
      <w:bookmarkEnd w:id="24"/>
    </w:p>
    <w:p w14:paraId="20F48800">
      <w:pPr>
        <w:numPr>
          <w:ilvl w:val="0"/>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投标文件的提交</w:t>
      </w:r>
    </w:p>
    <w:p w14:paraId="0A20228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上传投标文件，已上传投标文件但未完成传输的文件系统将拒绝接收。</w:t>
      </w:r>
    </w:p>
    <w:p w14:paraId="0023A355">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代理机构对因不可抗力事件造成的投标文件的损坏、丢失的，不承担责任。</w:t>
      </w:r>
    </w:p>
    <w:p w14:paraId="6AB41A7A">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出现下述情形之一，属于未成功提交投标文件，按</w:t>
      </w:r>
      <w:r>
        <w:rPr>
          <w:rFonts w:hint="eastAsia" w:ascii="仿宋" w:hAnsi="仿宋" w:eastAsia="仿宋" w:cs="仿宋"/>
          <w:b/>
          <w:bCs/>
          <w:color w:val="auto"/>
          <w:sz w:val="24"/>
          <w:highlight w:val="none"/>
        </w:rPr>
        <w:t>无效投标</w:t>
      </w:r>
      <w:r>
        <w:rPr>
          <w:rFonts w:hint="eastAsia" w:ascii="仿宋" w:hAnsi="仿宋" w:eastAsia="仿宋" w:cs="仿宋"/>
          <w:b w:val="0"/>
          <w:bCs w:val="0"/>
          <w:color w:val="auto"/>
          <w:sz w:val="24"/>
          <w:highlight w:val="none"/>
        </w:rPr>
        <w:t>处理</w:t>
      </w:r>
      <w:r>
        <w:rPr>
          <w:rFonts w:hint="eastAsia" w:ascii="仿宋" w:hAnsi="仿宋" w:eastAsia="仿宋" w:cs="仿宋"/>
          <w:color w:val="auto"/>
          <w:sz w:val="24"/>
          <w:highlight w:val="none"/>
        </w:rPr>
        <w:t>：</w:t>
      </w:r>
    </w:p>
    <w:p w14:paraId="1FA4B75E">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至提交投标文件截止时，投标文件未完整上传的。 </w:t>
      </w:r>
    </w:p>
    <w:p w14:paraId="2F84D8FC">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投标文件损坏或格式不正确的。</w:t>
      </w:r>
    </w:p>
    <w:p w14:paraId="6249F081">
      <w:pPr>
        <w:numPr>
          <w:ilvl w:val="1"/>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投标文件的修改、撤回与撤销</w:t>
      </w:r>
    </w:p>
    <w:p w14:paraId="73524E0C">
      <w:pPr>
        <w:numPr>
          <w:ilvl w:val="2"/>
          <w:numId w:val="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在提交投标文件截止时间前，</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在提交投标文件截止时间后，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不得补充、修改和更换投标文件。</w:t>
      </w:r>
      <w:r>
        <w:rPr>
          <w:rFonts w:hint="eastAsia" w:ascii="仿宋" w:hAnsi="仿宋" w:eastAsia="仿宋" w:cs="仿宋"/>
          <w:b/>
          <w:bCs/>
          <w:color w:val="auto"/>
          <w:sz w:val="24"/>
          <w:highlight w:val="none"/>
        </w:rPr>
        <w:t xml:space="preserve"> </w:t>
      </w:r>
    </w:p>
    <w:p w14:paraId="600E5414">
      <w:pPr>
        <w:tabs>
          <w:tab w:val="left" w:pos="0"/>
        </w:tabs>
        <w:spacing w:line="500" w:lineRule="exact"/>
        <w:rPr>
          <w:rFonts w:hint="eastAsia" w:ascii="仿宋" w:hAnsi="仿宋" w:eastAsia="仿宋" w:cs="仿宋"/>
          <w:b/>
          <w:bCs/>
          <w:color w:val="auto"/>
          <w:sz w:val="24"/>
          <w:highlight w:val="none"/>
        </w:rPr>
      </w:pPr>
    </w:p>
    <w:p w14:paraId="2F642AF7">
      <w:pPr>
        <w:numPr>
          <w:ilvl w:val="0"/>
          <w:numId w:val="8"/>
        </w:numPr>
        <w:tabs>
          <w:tab w:val="left" w:pos="0"/>
        </w:tabs>
        <w:spacing w:line="500" w:lineRule="exact"/>
        <w:jc w:val="center"/>
        <w:outlineLvl w:val="1"/>
        <w:rPr>
          <w:rFonts w:hint="eastAsia" w:ascii="仿宋" w:hAnsi="仿宋" w:eastAsia="仿宋" w:cs="仿宋"/>
          <w:b/>
          <w:bCs/>
          <w:color w:val="auto"/>
          <w:sz w:val="24"/>
          <w:highlight w:val="none"/>
        </w:rPr>
      </w:pPr>
      <w:bookmarkStart w:id="25" w:name="_Toc15263"/>
      <w:bookmarkStart w:id="26" w:name="_Toc3729"/>
      <w:r>
        <w:rPr>
          <w:rFonts w:hint="eastAsia" w:ascii="仿宋" w:hAnsi="仿宋" w:eastAsia="仿宋" w:cs="仿宋"/>
          <w:b/>
          <w:bCs/>
          <w:color w:val="auto"/>
          <w:sz w:val="24"/>
          <w:highlight w:val="none"/>
        </w:rPr>
        <w:t>开标、资格审查及评标</w:t>
      </w:r>
      <w:bookmarkEnd w:id="25"/>
      <w:bookmarkEnd w:id="26"/>
    </w:p>
    <w:p w14:paraId="1FDC314E">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开标</w:t>
      </w:r>
    </w:p>
    <w:p w14:paraId="3C45E855">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中规定的开标时间和地点组织公开开标并邀请所有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代表参加。开标时，由采购人或者采购代理机构工作人员宣布</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名称、解密情况，投标价格和招标文件规定的需要宣布的其他内容（以开标一览表要求为准），开标为远程电子开标。</w:t>
      </w:r>
    </w:p>
    <w:p w14:paraId="6CBD9218">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采用远程电子开标的：</w:t>
      </w:r>
    </w:p>
    <w:p w14:paraId="7DEBF033">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的法定代表人或其授权代表应当按照本招标公告载明的时间和模式等要求参加开标。在</w:t>
      </w:r>
      <w:r>
        <w:rPr>
          <w:rFonts w:hint="eastAsia" w:ascii="仿宋" w:hAnsi="仿宋" w:eastAsia="仿宋" w:cs="仿宋"/>
          <w:b/>
          <w:bCs/>
          <w:color w:val="auto"/>
          <w:sz w:val="24"/>
          <w:highlight w:val="none"/>
        </w:rPr>
        <w:t>投标截止时间前30分钟</w:t>
      </w:r>
      <w:r>
        <w:rPr>
          <w:rFonts w:hint="eastAsia" w:ascii="仿宋" w:hAnsi="仿宋" w:eastAsia="仿宋" w:cs="仿宋"/>
          <w:color w:val="auto"/>
          <w:sz w:val="24"/>
          <w:highlight w:val="none"/>
        </w:rPr>
        <w:t>，应当登录开标大厅进行签到，并且填写授权代表的姓名与手机号码。若因签到时填写的授权代表信息有误而导致的不良后果，由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自行承担。</w:t>
      </w:r>
    </w:p>
    <w:p w14:paraId="3F18D898">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未携带数字证书或其他非系统原因导致的在规定时间内未解密投标文件，将作</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处理。（采用远程电子开标的，各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在参加开标以前须自行对使用电脑的网络环境、驱动安装、客户端安装以及数字证书的有效性等进行检测，确保可以正常使用）。</w:t>
      </w:r>
    </w:p>
    <w:p w14:paraId="37A94B59">
      <w:pPr>
        <w:numPr>
          <w:ilvl w:val="2"/>
          <w:numId w:val="7"/>
        </w:numPr>
        <w:bidi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无法在代理规定的时间内完成备用电子投标文件的上传，投标将被拒绝，作</w:t>
      </w:r>
      <w:r>
        <w:rPr>
          <w:rFonts w:hint="eastAsia" w:ascii="仿宋" w:hAnsi="仿宋" w:eastAsia="仿宋" w:cs="仿宋"/>
          <w:b/>
          <w:bCs/>
          <w:color w:val="auto"/>
          <w:sz w:val="24"/>
          <w:highlight w:val="none"/>
        </w:rPr>
        <w:t>无效投标</w:t>
      </w:r>
      <w:r>
        <w:rPr>
          <w:rFonts w:hint="eastAsia" w:ascii="仿宋" w:hAnsi="仿宋" w:eastAsia="仿宋" w:cs="仿宋"/>
          <w:b w:val="0"/>
          <w:bCs w:val="0"/>
          <w:color w:val="auto"/>
          <w:sz w:val="24"/>
          <w:highlight w:val="none"/>
        </w:rPr>
        <w:t>处理</w:t>
      </w:r>
      <w:r>
        <w:rPr>
          <w:rFonts w:hint="eastAsia" w:ascii="仿宋" w:hAnsi="仿宋" w:eastAsia="仿宋" w:cs="仿宋"/>
          <w:color w:val="auto"/>
          <w:sz w:val="24"/>
          <w:highlight w:val="none"/>
        </w:rPr>
        <w:t>。</w:t>
      </w:r>
    </w:p>
    <w:p w14:paraId="72538BF0">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未参加开标的，视同认可开标结果。</w:t>
      </w:r>
    </w:p>
    <w:p w14:paraId="02B7F7D0">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不足3家的，不得开标。同时，本次采购活动结束。</w:t>
      </w:r>
    </w:p>
    <w:p w14:paraId="1E86C849">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开标时出现下列情况的，视为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处理：</w:t>
      </w:r>
    </w:p>
    <w:p w14:paraId="608D7A5C">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自身原因，未在规定时间内完成电子投标文件解密的；</w:t>
      </w:r>
    </w:p>
    <w:p w14:paraId="5A001BFB">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采购人或采购代理机构将对开标过程进行记录，由参加开标的各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代表和相关工作人员签字确认。</w:t>
      </w:r>
    </w:p>
    <w:p w14:paraId="4E90FC18">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资格审查</w:t>
      </w:r>
    </w:p>
    <w:p w14:paraId="3E8ECF8B">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采购人或采购代理机构依据法律法规和招标文件中规定的内容，对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及其投标货物或服务的资格进行审查，未通过资格审查的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少于三家的，不进行评标。 </w:t>
      </w:r>
    </w:p>
    <w:p w14:paraId="6A9F4631">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资格审查要求详见第六章《评标程序、评标方法和评标标准》。</w:t>
      </w:r>
    </w:p>
    <w:p w14:paraId="354A6A40">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采购人或采购代理机构将按第六章《评标程序、评标方法和评标标准》中规定的时间查询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的信用记录。采购人或采购代理机构将查询网页打印、签字并存档备查。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w:t>
      </w:r>
    </w:p>
    <w:p w14:paraId="7FD57CFA">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评标程序、评标方法和评标标准</w:t>
      </w:r>
    </w:p>
    <w:p w14:paraId="0CE2AAB3">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详见第六章《评标程序、评标方法和评标标准》</w:t>
      </w:r>
    </w:p>
    <w:p w14:paraId="2F7D4184">
      <w:pPr>
        <w:spacing w:line="500" w:lineRule="exact"/>
        <w:rPr>
          <w:rFonts w:hint="eastAsia" w:ascii="仿宋" w:hAnsi="仿宋" w:eastAsia="仿宋" w:cs="仿宋"/>
          <w:color w:val="auto"/>
          <w:sz w:val="24"/>
          <w:highlight w:val="none"/>
        </w:rPr>
      </w:pPr>
    </w:p>
    <w:p w14:paraId="2D93D033">
      <w:pPr>
        <w:numPr>
          <w:ilvl w:val="0"/>
          <w:numId w:val="8"/>
        </w:numPr>
        <w:spacing w:line="500" w:lineRule="exact"/>
        <w:jc w:val="center"/>
        <w:outlineLvl w:val="1"/>
        <w:rPr>
          <w:rFonts w:hint="eastAsia" w:ascii="仿宋" w:hAnsi="仿宋" w:eastAsia="仿宋" w:cs="仿宋"/>
          <w:b/>
          <w:bCs/>
          <w:color w:val="auto"/>
          <w:sz w:val="24"/>
          <w:highlight w:val="none"/>
        </w:rPr>
      </w:pPr>
      <w:bookmarkStart w:id="27" w:name="_Toc7787"/>
      <w:bookmarkStart w:id="28" w:name="_Toc5211"/>
      <w:r>
        <w:rPr>
          <w:rFonts w:hint="eastAsia" w:ascii="仿宋" w:hAnsi="仿宋" w:eastAsia="仿宋" w:cs="仿宋"/>
          <w:b/>
          <w:bCs/>
          <w:color w:val="auto"/>
          <w:sz w:val="24"/>
          <w:highlight w:val="none"/>
        </w:rPr>
        <w:t>确定中标</w:t>
      </w:r>
      <w:bookmarkEnd w:id="27"/>
      <w:bookmarkEnd w:id="28"/>
    </w:p>
    <w:p w14:paraId="39F62DC6">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确定中标人</w:t>
      </w:r>
    </w:p>
    <w:p w14:paraId="190551B6">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color w:val="auto"/>
          <w:sz w:val="24"/>
          <w:highlight w:val="none"/>
          <w:u w:val="single"/>
          <w:lang w:val="en-US" w:eastAsia="zh-CN"/>
        </w:rPr>
        <w:t>投标须知前附表</w:t>
      </w:r>
      <w:r>
        <w:rPr>
          <w:rFonts w:hint="eastAsia" w:ascii="仿宋" w:hAnsi="仿宋" w:eastAsia="仿宋" w:cs="仿宋"/>
          <w:color w:val="auto"/>
          <w:sz w:val="24"/>
          <w:highlight w:val="none"/>
        </w:rPr>
        <w:t>。</w:t>
      </w:r>
    </w:p>
    <w:p w14:paraId="6C8D67E8">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中标公告与中标通知书</w:t>
      </w:r>
    </w:p>
    <w:p w14:paraId="008350DC">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中标通知书对采购人和中标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均具有法律效力。中标通知书发出后，中标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放弃中标项目的，应当依法承担法律责任。</w:t>
      </w:r>
    </w:p>
    <w:p w14:paraId="0E7194E5">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废标</w:t>
      </w:r>
    </w:p>
    <w:p w14:paraId="44BE1064">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在招标采购中，出现下列情形之一的，应予废标：</w:t>
      </w:r>
    </w:p>
    <w:p w14:paraId="1A97CC78">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符合专业条件的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或者对招标文件作实质响应的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不足三家的；</w:t>
      </w:r>
    </w:p>
    <w:p w14:paraId="5FF8BC04">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7BDAA83D">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的报价均超过了采购预算，采购人不能支付的；</w:t>
      </w:r>
    </w:p>
    <w:p w14:paraId="22A8F17E">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因重大变故，采购任务取消的。</w:t>
      </w:r>
    </w:p>
    <w:p w14:paraId="7D99A5F6">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废标后，采购人将废标理由通知所有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14:paraId="3D33E5CF">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签订合同</w:t>
      </w:r>
    </w:p>
    <w:p w14:paraId="2E5E8486">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政府采购合同不能转包。</w:t>
      </w:r>
      <w:r>
        <w:rPr>
          <w:rFonts w:hint="eastAsia" w:ascii="仿宋" w:hAnsi="仿宋" w:eastAsia="仿宋" w:cs="仿宋"/>
          <w:b w:val="0"/>
          <w:bCs w:val="0"/>
          <w:color w:val="auto"/>
          <w:sz w:val="24"/>
          <w:szCs w:val="24"/>
          <w:highlight w:val="none"/>
          <w:lang w:val="en-US" w:eastAsia="zh-CN"/>
        </w:rPr>
        <w:t>是否允许分包</w:t>
      </w:r>
      <w:r>
        <w:rPr>
          <w:rFonts w:hint="eastAsia" w:ascii="仿宋" w:hAnsi="仿宋" w:eastAsia="仿宋" w:cs="仿宋"/>
          <w:b w:val="0"/>
          <w:bCs w:val="0"/>
          <w:color w:val="auto"/>
          <w:sz w:val="24"/>
          <w:szCs w:val="24"/>
          <w:highlight w:val="none"/>
          <w:u w:val="single"/>
          <w:lang w:val="en-US" w:eastAsia="zh-CN"/>
        </w:rPr>
        <w:t>详见投标人须知前附表</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color w:val="auto"/>
          <w:sz w:val="24"/>
          <w:highlight w:val="none"/>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。中标人就采购项目和分包项目向采购人负责，分包供应商就分包项目承担责任。</w:t>
      </w:r>
    </w:p>
    <w:p w14:paraId="3735D3A6">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履约保证金</w:t>
      </w:r>
    </w:p>
    <w:p w14:paraId="1B2C04B1">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规定的金额、形式和时间向采购人缴纳履约保证金。</w:t>
      </w:r>
    </w:p>
    <w:p w14:paraId="7884D05B">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经采购人同意，中标人也可以自愿采用其他履约保证金的提供方式。</w:t>
      </w:r>
    </w:p>
    <w:p w14:paraId="3732AD76">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代理服务费</w:t>
      </w:r>
    </w:p>
    <w:p w14:paraId="0032755F">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 xml:space="preserve">。由中标人支付的，中标人须一次性向采购代理机构缴纳代理费，投标报价应包含代理费用。 </w:t>
      </w:r>
    </w:p>
    <w:p w14:paraId="09D35BAA">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询问与质疑</w:t>
      </w:r>
    </w:p>
    <w:p w14:paraId="3B74C36B">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p w14:paraId="2D0D746E">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中“采购人、采购代理机构的名称、地址和联系方式”。</w:t>
      </w:r>
    </w:p>
    <w:p w14:paraId="5D98CC99">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w:t>
      </w:r>
    </w:p>
    <w:p w14:paraId="5BDBDEF8">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认为招标文件、采购过程、中标结果使自己的权益受到损害的，可以在知道或者应知其权益受到损害之日起 7 个工作日内，由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派授权代表以书面形式向采购人、采购代理机构提出质疑。采购人、采购代理机构在收到质疑函后 7 个工作日内作出答复。</w:t>
      </w:r>
    </w:p>
    <w:p w14:paraId="33078F9A">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应知其权益受到损害之日是指：</w:t>
      </w:r>
    </w:p>
    <w:p w14:paraId="5AC5BEC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（1）对招标文件提出质疑的，为获取招标文件之日或者招标文件获取期限届满之日；</w:t>
      </w:r>
    </w:p>
    <w:p w14:paraId="6A2BEA1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（2）对采购过程提出质疑的，为各采购程序环节结束之日；</w:t>
      </w:r>
    </w:p>
    <w:p w14:paraId="298CDE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（3）对中标结果提出质疑的，为中标结果公告期限届满之日。 </w:t>
      </w:r>
    </w:p>
    <w:p w14:paraId="165BCFE1">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rPr>
        <w:t>质疑函须使用财政部制定的范本文件。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为自然人的，应当由本人签字；</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1496F190">
      <w:pPr>
        <w:numPr>
          <w:ilvl w:val="2"/>
          <w:numId w:val="7"/>
        </w:numPr>
        <w:spacing w:line="500" w:lineRule="exact"/>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w:t>
      </w:r>
    </w:p>
    <w:p w14:paraId="66822C63">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同意而可以披露关于采购过程、合同文本、签署情况的资料、</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已经泄露或公开的，无须再承担保密责任。</w:t>
      </w:r>
    </w:p>
    <w:p w14:paraId="5A5C6CA2">
      <w:pPr>
        <w:numPr>
          <w:ilvl w:val="1"/>
          <w:numId w:val="7"/>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须知的额外增加的变动详见</w:t>
      </w:r>
      <w:r>
        <w:rPr>
          <w:rFonts w:hint="eastAsia" w:ascii="仿宋" w:hAnsi="仿宋" w:eastAsia="仿宋" w:cs="仿宋"/>
          <w:color w:val="auto"/>
          <w:sz w:val="24"/>
          <w:highlight w:val="none"/>
          <w:u w:val="single"/>
        </w:rPr>
        <w:t>投标须知前附表</w:t>
      </w:r>
      <w:r>
        <w:rPr>
          <w:rFonts w:hint="eastAsia" w:ascii="仿宋" w:hAnsi="仿宋" w:eastAsia="仿宋" w:cs="仿宋"/>
          <w:color w:val="auto"/>
          <w:sz w:val="24"/>
          <w:highlight w:val="none"/>
        </w:rPr>
        <w:t>。</w:t>
      </w:r>
    </w:p>
    <w:p w14:paraId="30D3C335">
      <w:pPr>
        <w:spacing w:line="500" w:lineRule="exact"/>
        <w:rPr>
          <w:rFonts w:hint="eastAsia" w:ascii="仿宋" w:hAnsi="仿宋" w:eastAsia="仿宋" w:cs="仿宋"/>
          <w:color w:val="auto"/>
          <w:sz w:val="24"/>
          <w:highlight w:val="none"/>
        </w:rPr>
      </w:pPr>
    </w:p>
    <w:p w14:paraId="21EB197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284CA36">
      <w:pPr>
        <w:pStyle w:val="2"/>
        <w:numPr>
          <w:ilvl w:val="0"/>
          <w:numId w:val="1"/>
        </w:numPr>
        <w:jc w:val="center"/>
        <w:rPr>
          <w:rFonts w:hint="eastAsia" w:ascii="仿宋" w:hAnsi="仿宋" w:eastAsia="仿宋" w:cs="仿宋"/>
          <w:color w:val="auto"/>
          <w:sz w:val="32"/>
          <w:szCs w:val="32"/>
          <w:highlight w:val="none"/>
        </w:rPr>
      </w:pPr>
      <w:bookmarkStart w:id="29" w:name="_Toc20234"/>
      <w:r>
        <w:rPr>
          <w:rFonts w:hint="eastAsia" w:ascii="仿宋" w:hAnsi="仿宋" w:eastAsia="仿宋" w:cs="仿宋"/>
          <w:color w:val="auto"/>
          <w:sz w:val="32"/>
          <w:szCs w:val="32"/>
          <w:highlight w:val="none"/>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hint="eastAsia" w:ascii="仿宋" w:hAnsi="仿宋" w:eastAsia="仿宋" w:cs="仿宋"/>
          <w:color w:val="auto"/>
          <w:szCs w:val="22"/>
          <w:highlight w:val="none"/>
        </w:rPr>
      </w:pPr>
    </w:p>
    <w:p w14:paraId="59AF6E8E">
      <w:pPr>
        <w:rPr>
          <w:rFonts w:hint="eastAsia" w:ascii="仿宋" w:hAnsi="仿宋" w:eastAsia="仿宋" w:cs="仿宋"/>
          <w:color w:val="auto"/>
          <w:szCs w:val="22"/>
          <w:highlight w:val="none"/>
        </w:rPr>
      </w:pPr>
    </w:p>
    <w:p w14:paraId="74C61FAA">
      <w:pPr>
        <w:spacing w:line="560" w:lineRule="exact"/>
        <w:jc w:val="center"/>
        <w:rPr>
          <w:rFonts w:hint="eastAsia" w:ascii="仿宋" w:hAnsi="仿宋" w:eastAsia="仿宋" w:cs="仿宋"/>
          <w:b/>
          <w:color w:val="auto"/>
          <w:sz w:val="44"/>
          <w:szCs w:val="44"/>
          <w:highlight w:val="none"/>
        </w:rPr>
      </w:pPr>
    </w:p>
    <w:p w14:paraId="4DBED97F">
      <w:pPr>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eastAsia="zh-CN"/>
        </w:rPr>
        <w:br w:type="page"/>
      </w:r>
    </w:p>
    <w:p w14:paraId="7AD48F3B">
      <w:pPr>
        <w:pStyle w:val="24"/>
        <w:keepNext w:val="0"/>
        <w:keepLines w:val="0"/>
        <w:pageBreakBefore w:val="0"/>
        <w:widowControl/>
        <w:wordWrap/>
        <w:overflowPunct/>
        <w:topLinePunct w:val="0"/>
        <w:bidi w:val="0"/>
        <w:spacing w:line="360" w:lineRule="auto"/>
        <w:ind w:firstLine="1044" w:firstLineChars="200"/>
        <w:outlineLvl w:val="9"/>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lang w:eastAsia="zh-CN"/>
        </w:rPr>
        <w:t>玛纳斯县人民医院</w:t>
      </w:r>
      <w:r>
        <w:rPr>
          <w:rFonts w:hint="eastAsia" w:ascii="仿宋" w:hAnsi="仿宋" w:eastAsia="仿宋" w:cs="仿宋"/>
          <w:color w:val="auto"/>
          <w:sz w:val="52"/>
          <w:szCs w:val="52"/>
          <w:highlight w:val="none"/>
        </w:rPr>
        <w:t>设备采购合同</w:t>
      </w:r>
    </w:p>
    <w:p w14:paraId="12CEC191">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p>
    <w:p w14:paraId="528C02A0">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u w:val="single"/>
          <w:lang w:eastAsia="zh-CN"/>
        </w:rPr>
      </w:pPr>
      <w:r>
        <w:rPr>
          <w:rFonts w:hint="eastAsia" w:ascii="仿宋" w:hAnsi="仿宋" w:eastAsia="仿宋" w:cs="仿宋"/>
          <w:b w:val="0"/>
          <w:color w:val="auto"/>
          <w:sz w:val="24"/>
          <w:szCs w:val="24"/>
          <w:highlight w:val="none"/>
        </w:rPr>
        <w:t>采购方（以下简称甲方）：</w:t>
      </w:r>
      <w:r>
        <w:rPr>
          <w:rFonts w:hint="eastAsia" w:ascii="仿宋" w:hAnsi="仿宋" w:eastAsia="仿宋" w:cs="仿宋"/>
          <w:b w:val="0"/>
          <w:color w:val="auto"/>
          <w:sz w:val="24"/>
          <w:szCs w:val="24"/>
          <w:highlight w:val="none"/>
          <w:u w:val="single"/>
          <w:lang w:eastAsia="zh-CN"/>
        </w:rPr>
        <w:t>玛纳斯县人民医院</w:t>
      </w:r>
    </w:p>
    <w:p w14:paraId="2D572F8A">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地址：</w:t>
      </w:r>
      <w:r>
        <w:rPr>
          <w:rFonts w:hint="eastAsia" w:ascii="仿宋" w:hAnsi="仿宋" w:eastAsia="仿宋" w:cs="仿宋"/>
          <w:b w:val="0"/>
          <w:color w:val="auto"/>
          <w:sz w:val="24"/>
          <w:szCs w:val="24"/>
          <w:highlight w:val="none"/>
          <w:u w:val="single"/>
          <w:lang w:eastAsia="zh-CN"/>
        </w:rPr>
        <w:t>新疆维吾尔自治区昌吉回族自治州玛纳斯县凤凰东路26号</w:t>
      </w:r>
    </w:p>
    <w:p w14:paraId="143EF721">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4"/>
          <w:sz w:val="24"/>
          <w:szCs w:val="24"/>
          <w:highlight w:val="none"/>
          <w:lang w:val="en-US" w:eastAsia="zh-CN"/>
        </w:rPr>
        <w:t xml:space="preserve">          </w:t>
      </w:r>
    </w:p>
    <w:p w14:paraId="0ACF6657">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rPr>
        <w:t>供货方（以下简称乙方）：</w:t>
      </w:r>
    </w:p>
    <w:p w14:paraId="1259FD59">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u w:val="none"/>
        </w:rPr>
        <w:t>地址：</w:t>
      </w:r>
    </w:p>
    <w:p w14:paraId="04CD731B">
      <w:pPr>
        <w:pStyle w:val="10"/>
        <w:keepNext w:val="0"/>
        <w:keepLines w:val="0"/>
        <w:pageBreakBefore w:val="0"/>
        <w:wordWrap/>
        <w:overflowPunct/>
        <w:topLinePunct w:val="0"/>
        <w:bidi w:val="0"/>
        <w:spacing w:after="0" w:line="360" w:lineRule="auto"/>
        <w:ind w:left="479" w:leftChars="228"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甲方委托招标代理公司 </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于</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年</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rPr>
        <w:t>月</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日就</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rPr>
        <w:t>，项目编号</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none"/>
        </w:rPr>
        <w:t xml:space="preserve"> 进行公开招标，通过开标评标，</w:t>
      </w:r>
      <w:r>
        <w:rPr>
          <w:rFonts w:hint="eastAsia" w:ascii="仿宋" w:hAnsi="仿宋" w:eastAsia="仿宋" w:cs="仿宋"/>
          <w:b w:val="0"/>
          <w:color w:val="auto"/>
          <w:sz w:val="24"/>
          <w:szCs w:val="24"/>
          <w:highlight w:val="none"/>
        </w:rPr>
        <w:t>乙方作为厂家授权的供货商已成为该项目的中标方。根据《中华人民共和国民法典》、《政府采购法》等法律法规，现经甲乙双方充分协商，就项目设备采购、安装调试、付款、质保、人员培训、售后等相关事宜达成一致，共同信守。本次合同中标金额为</w:t>
      </w:r>
      <w:r>
        <w:rPr>
          <w:rFonts w:hint="eastAsia" w:ascii="仿宋" w:hAnsi="仿宋" w:eastAsia="仿宋" w:cs="仿宋"/>
          <w:i w:val="0"/>
          <w:color w:val="auto"/>
          <w:sz w:val="24"/>
          <w:szCs w:val="24"/>
          <w:highlight w:val="none"/>
          <w:u w:val="none"/>
        </w:rPr>
        <w:t>￥</w:t>
      </w:r>
      <w:r>
        <w:rPr>
          <w:rFonts w:hint="eastAsia" w:ascii="仿宋" w:hAnsi="仿宋" w:eastAsia="仿宋" w:cs="仿宋"/>
          <w:i w:val="0"/>
          <w:color w:val="auto"/>
          <w:sz w:val="24"/>
          <w:szCs w:val="24"/>
          <w:highlight w:val="none"/>
          <w:u w:val="none"/>
          <w:lang w:val="en-US" w:eastAsia="zh-CN"/>
        </w:rPr>
        <w:t xml:space="preserve">  </w:t>
      </w:r>
      <w:r>
        <w:rPr>
          <w:rFonts w:hint="eastAsia" w:ascii="仿宋" w:hAnsi="仿宋" w:eastAsia="仿宋" w:cs="仿宋"/>
          <w:b w:val="0"/>
          <w:color w:val="auto"/>
          <w:sz w:val="24"/>
          <w:szCs w:val="24"/>
          <w:highlight w:val="none"/>
        </w:rPr>
        <w:t>，中标设备明细如下：</w:t>
      </w:r>
    </w:p>
    <w:tbl>
      <w:tblPr>
        <w:tblStyle w:val="27"/>
        <w:tblW w:w="50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576"/>
        <w:gridCol w:w="1725"/>
        <w:gridCol w:w="1367"/>
        <w:gridCol w:w="824"/>
        <w:gridCol w:w="521"/>
        <w:gridCol w:w="689"/>
        <w:gridCol w:w="1021"/>
      </w:tblGrid>
      <w:tr w14:paraId="0FCA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83E9">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序号</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42F">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设备名称</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5F02">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生产厂家</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F299">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规格型号</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1521">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单位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82F9">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B0F5">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单价</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EDB1">
            <w:pPr>
              <w:keepNext w:val="0"/>
              <w:keepLines w:val="0"/>
              <w:pageBreakBefore w:val="0"/>
              <w:widowControl/>
              <w:suppressLineNumbers w:val="0"/>
              <w:wordWrap/>
              <w:overflowPunct/>
              <w:topLinePunct w:val="0"/>
              <w:bidi w:val="0"/>
              <w:snapToGrid w:val="0"/>
              <w:spacing w:line="360" w:lineRule="auto"/>
              <w:ind w:right="0" w:rightChars="0"/>
              <w:jc w:val="center"/>
              <w:textAlignment w:val="center"/>
              <w:rPr>
                <w:rFonts w:hint="eastAsia" w:ascii="仿宋" w:hAnsi="仿宋" w:eastAsia="仿宋" w:cs="仿宋"/>
                <w:b/>
                <w:i w:val="0"/>
                <w:iCs w:val="0"/>
                <w:color w:val="auto"/>
                <w:sz w:val="24"/>
                <w:szCs w:val="24"/>
                <w:highlight w:val="none"/>
                <w:u w:val="none"/>
              </w:rPr>
            </w:pPr>
            <w:r>
              <w:rPr>
                <w:rFonts w:hint="eastAsia" w:ascii="仿宋" w:hAnsi="仿宋" w:eastAsia="仿宋" w:cs="仿宋"/>
                <w:b/>
                <w:i w:val="0"/>
                <w:iCs w:val="0"/>
                <w:snapToGrid w:val="0"/>
                <w:color w:val="auto"/>
                <w:kern w:val="0"/>
                <w:sz w:val="24"/>
                <w:szCs w:val="24"/>
                <w:highlight w:val="none"/>
                <w:u w:val="none"/>
                <w:lang w:val="en-US" w:eastAsia="zh-CN" w:bidi="ar"/>
              </w:rPr>
              <w:t>总价</w:t>
            </w:r>
          </w:p>
        </w:tc>
      </w:tr>
      <w:tr w14:paraId="7898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622">
            <w:pPr>
              <w:keepNext w:val="0"/>
              <w:keepLines w:val="0"/>
              <w:pageBreakBefore w:val="0"/>
              <w:widowControl/>
              <w:suppressLineNumbers w:val="0"/>
              <w:wordWrap/>
              <w:overflowPunct/>
              <w:topLinePunct w:val="0"/>
              <w:bidi w:val="0"/>
              <w:snapToGrid w:val="0"/>
              <w:spacing w:line="360" w:lineRule="auto"/>
              <w:ind w:left="0" w:leftChars="0" w:right="0" w:rightChars="0" w:firstLine="480" w:firstLineChars="20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BDB4">
            <w:pPr>
              <w:keepNext w:val="0"/>
              <w:keepLines w:val="0"/>
              <w:pageBreakBefore w:val="0"/>
              <w:wordWrap/>
              <w:overflowPunct/>
              <w:topLinePunct w:val="0"/>
              <w:bidi w:val="0"/>
              <w:snapToGrid w:val="0"/>
              <w:spacing w:line="360" w:lineRule="auto"/>
              <w:ind w:left="0" w:leftChars="0" w:right="0" w:rightChars="0" w:firstLine="480" w:firstLineChars="200"/>
              <w:jc w:val="center"/>
              <w:rPr>
                <w:rFonts w:hint="eastAsia" w:ascii="仿宋" w:hAnsi="仿宋" w:eastAsia="仿宋" w:cs="仿宋"/>
                <w:i w:val="0"/>
                <w:iCs w:val="0"/>
                <w:color w:val="auto"/>
                <w:sz w:val="24"/>
                <w:szCs w:val="24"/>
                <w:highlight w:val="none"/>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38D">
            <w:pPr>
              <w:keepNext w:val="0"/>
              <w:keepLines w:val="0"/>
              <w:pageBreakBefore w:val="0"/>
              <w:wordWrap/>
              <w:overflowPunct/>
              <w:topLinePunct w:val="0"/>
              <w:bidi w:val="0"/>
              <w:snapToGrid w:val="0"/>
              <w:spacing w:line="360" w:lineRule="auto"/>
              <w:ind w:left="0" w:leftChars="0" w:right="0" w:rightChars="0" w:firstLine="480" w:firstLineChars="200"/>
              <w:jc w:val="center"/>
              <w:rPr>
                <w:rFonts w:hint="eastAsia" w:ascii="仿宋" w:hAnsi="仿宋" w:eastAsia="仿宋" w:cs="仿宋"/>
                <w:i w:val="0"/>
                <w:iCs w:val="0"/>
                <w:color w:val="auto"/>
                <w:sz w:val="24"/>
                <w:szCs w:val="24"/>
                <w:highlight w:val="none"/>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C00">
            <w:pPr>
              <w:keepNext w:val="0"/>
              <w:keepLines w:val="0"/>
              <w:pageBreakBefore w:val="0"/>
              <w:wordWrap/>
              <w:overflowPunct/>
              <w:topLinePunct w:val="0"/>
              <w:bidi w:val="0"/>
              <w:snapToGrid w:val="0"/>
              <w:spacing w:line="360" w:lineRule="auto"/>
              <w:ind w:left="0" w:leftChars="0" w:right="0" w:rightChars="0" w:firstLine="480" w:firstLineChars="200"/>
              <w:jc w:val="center"/>
              <w:rPr>
                <w:rFonts w:hint="eastAsia" w:ascii="仿宋" w:hAnsi="仿宋" w:eastAsia="仿宋" w:cs="仿宋"/>
                <w:i w:val="0"/>
                <w:iCs w:val="0"/>
                <w:color w:val="auto"/>
                <w:sz w:val="24"/>
                <w:szCs w:val="24"/>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6B1E">
            <w:pPr>
              <w:keepNext w:val="0"/>
              <w:keepLines w:val="0"/>
              <w:pageBreakBefore w:val="0"/>
              <w:wordWrap/>
              <w:overflowPunct/>
              <w:topLinePunct w:val="0"/>
              <w:bidi w:val="0"/>
              <w:snapToGrid w:val="0"/>
              <w:spacing w:line="360" w:lineRule="auto"/>
              <w:ind w:left="0" w:leftChars="0" w:right="0" w:rightChars="0" w:firstLine="480" w:firstLineChars="200"/>
              <w:jc w:val="center"/>
              <w:rPr>
                <w:rFonts w:hint="eastAsia" w:ascii="仿宋" w:hAnsi="仿宋" w:eastAsia="仿宋" w:cs="仿宋"/>
                <w:i w:val="0"/>
                <w:iCs w:val="0"/>
                <w:color w:val="auto"/>
                <w:sz w:val="24"/>
                <w:szCs w:val="24"/>
                <w:highlight w:val="none"/>
                <w:u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3D0">
            <w:pPr>
              <w:keepNext w:val="0"/>
              <w:keepLines w:val="0"/>
              <w:pageBreakBefore w:val="0"/>
              <w:wordWrap/>
              <w:overflowPunct/>
              <w:topLinePunct w:val="0"/>
              <w:bidi w:val="0"/>
              <w:snapToGrid w:val="0"/>
              <w:spacing w:line="360" w:lineRule="auto"/>
              <w:ind w:left="0" w:leftChars="0" w:right="0" w:rightChars="0" w:firstLine="480" w:firstLineChars="200"/>
              <w:jc w:val="center"/>
              <w:rPr>
                <w:rFonts w:hint="eastAsia" w:ascii="仿宋" w:hAnsi="仿宋" w:eastAsia="仿宋" w:cs="仿宋"/>
                <w:i w:val="0"/>
                <w:iCs w:val="0"/>
                <w:color w:val="auto"/>
                <w:sz w:val="24"/>
                <w:szCs w:val="24"/>
                <w:highlight w:val="none"/>
                <w:u w:val="none"/>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2940">
            <w:pPr>
              <w:keepNext w:val="0"/>
              <w:keepLines w:val="0"/>
              <w:pageBreakBefore w:val="0"/>
              <w:wordWrap/>
              <w:overflowPunct/>
              <w:topLinePunct w:val="0"/>
              <w:bidi w:val="0"/>
              <w:snapToGrid w:val="0"/>
              <w:spacing w:line="360" w:lineRule="auto"/>
              <w:ind w:left="0" w:leftChars="0" w:right="0" w:rightChars="0" w:firstLine="480" w:firstLineChars="200"/>
              <w:jc w:val="right"/>
              <w:rPr>
                <w:rFonts w:hint="eastAsia" w:ascii="仿宋" w:hAnsi="仿宋" w:eastAsia="仿宋" w:cs="仿宋"/>
                <w:i w:val="0"/>
                <w:iCs w:val="0"/>
                <w:color w:val="auto"/>
                <w:sz w:val="24"/>
                <w:szCs w:val="24"/>
                <w:highlight w:val="none"/>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BBC7">
            <w:pPr>
              <w:keepNext w:val="0"/>
              <w:keepLines w:val="0"/>
              <w:pageBreakBefore w:val="0"/>
              <w:wordWrap/>
              <w:overflowPunct/>
              <w:topLinePunct w:val="0"/>
              <w:bidi w:val="0"/>
              <w:snapToGrid w:val="0"/>
              <w:spacing w:line="360" w:lineRule="auto"/>
              <w:ind w:left="0" w:leftChars="0" w:right="0" w:rightChars="0" w:firstLine="480" w:firstLineChars="200"/>
              <w:jc w:val="right"/>
              <w:rPr>
                <w:rFonts w:hint="eastAsia" w:ascii="仿宋" w:hAnsi="仿宋" w:eastAsia="仿宋" w:cs="仿宋"/>
                <w:i w:val="0"/>
                <w:iCs w:val="0"/>
                <w:color w:val="auto"/>
                <w:sz w:val="24"/>
                <w:szCs w:val="24"/>
                <w:highlight w:val="none"/>
                <w:u w:val="none"/>
                <w:lang w:val="en-US" w:eastAsia="zh-CN"/>
              </w:rPr>
            </w:pPr>
          </w:p>
        </w:tc>
      </w:tr>
      <w:tr w14:paraId="1BB1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DBD4">
            <w:pPr>
              <w:keepNext w:val="0"/>
              <w:keepLines w:val="0"/>
              <w:pageBreakBefore w:val="0"/>
              <w:widowControl/>
              <w:suppressLineNumbers w:val="0"/>
              <w:wordWrap/>
              <w:overflowPunct/>
              <w:topLinePunct w:val="0"/>
              <w:bidi w:val="0"/>
              <w:snapToGrid w:val="0"/>
              <w:spacing w:line="360" w:lineRule="auto"/>
              <w:ind w:left="0" w:leftChars="0" w:right="0" w:rightChars="0" w:firstLine="482" w:firstLineChars="200"/>
              <w:jc w:val="center"/>
              <w:textAlignment w:val="center"/>
              <w:rPr>
                <w:rFonts w:hint="eastAsia" w:ascii="仿宋" w:hAnsi="仿宋" w:eastAsia="仿宋" w:cs="仿宋"/>
                <w:b/>
                <w:i w:val="0"/>
                <w:iCs w:val="0"/>
                <w:color w:val="auto"/>
                <w:sz w:val="24"/>
                <w:szCs w:val="24"/>
                <w:highlight w:val="none"/>
                <w:u w:val="none"/>
                <w:lang w:val="en-US"/>
              </w:rPr>
            </w:pPr>
            <w:bookmarkStart w:id="31" w:name="auto_fouce_2"/>
            <w:r>
              <w:rPr>
                <w:rFonts w:hint="eastAsia" w:ascii="仿宋" w:hAnsi="仿宋" w:eastAsia="仿宋" w:cs="仿宋"/>
                <w:b/>
                <w:i w:val="0"/>
                <w:iCs w:val="0"/>
                <w:snapToGrid w:val="0"/>
                <w:color w:val="auto"/>
                <w:kern w:val="0"/>
                <w:sz w:val="24"/>
                <w:szCs w:val="24"/>
                <w:highlight w:val="none"/>
                <w:u w:val="none"/>
                <w:lang w:val="en-US" w:eastAsia="zh-CN" w:bidi="ar"/>
              </w:rPr>
              <w:t>合计：人民币（大写）：    （小写）：</w:t>
            </w:r>
            <w:bookmarkEnd w:id="31"/>
          </w:p>
        </w:tc>
      </w:tr>
    </w:tbl>
    <w:p w14:paraId="113F18F7">
      <w:pPr>
        <w:pStyle w:val="10"/>
        <w:keepNext w:val="0"/>
        <w:keepLines w:val="0"/>
        <w:pageBreakBefore w:val="0"/>
        <w:widowControl/>
        <w:wordWrap/>
        <w:overflowPunct/>
        <w:topLinePunct w:val="0"/>
        <w:bidi w:val="0"/>
        <w:spacing w:after="0" w:line="360" w:lineRule="auto"/>
        <w:ind w:left="0" w:leftChars="0" w:firstLine="482" w:firstLineChars="200"/>
        <w:rPr>
          <w:rFonts w:hint="eastAsia" w:ascii="仿宋" w:hAnsi="仿宋" w:eastAsia="仿宋" w:cs="仿宋"/>
          <w:b/>
          <w:color w:val="auto"/>
          <w:sz w:val="24"/>
          <w:szCs w:val="24"/>
          <w:highlight w:val="none"/>
        </w:rPr>
      </w:pPr>
      <w:bookmarkStart w:id="32" w:name="tip_risk_bookmark_3"/>
      <w:r>
        <w:rPr>
          <w:rFonts w:hint="eastAsia" w:ascii="仿宋" w:hAnsi="仿宋" w:eastAsia="仿宋" w:cs="仿宋"/>
          <w:b/>
          <w:color w:val="auto"/>
          <w:sz w:val="24"/>
          <w:szCs w:val="24"/>
          <w:highlight w:val="none"/>
        </w:rPr>
        <w:t>设备</w:t>
      </w:r>
      <w:r>
        <w:rPr>
          <w:rFonts w:hint="eastAsia" w:ascii="仿宋" w:hAnsi="仿宋" w:eastAsia="仿宋" w:cs="仿宋"/>
          <w:b/>
          <w:color w:val="auto"/>
          <w:sz w:val="24"/>
          <w:szCs w:val="24"/>
          <w:highlight w:val="none"/>
          <w:lang w:val="en-US" w:eastAsia="zh-CN"/>
        </w:rPr>
        <w:t>技术</w:t>
      </w:r>
      <w:r>
        <w:rPr>
          <w:rFonts w:hint="eastAsia" w:ascii="仿宋" w:hAnsi="仿宋" w:eastAsia="仿宋" w:cs="仿宋"/>
          <w:b/>
          <w:color w:val="auto"/>
          <w:sz w:val="24"/>
          <w:szCs w:val="24"/>
          <w:highlight w:val="none"/>
        </w:rPr>
        <w:t>参数</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配置明细等附后</w:t>
      </w:r>
      <w:bookmarkEnd w:id="32"/>
    </w:p>
    <w:p w14:paraId="50930249">
      <w:pPr>
        <w:pStyle w:val="53"/>
        <w:keepNext w:val="0"/>
        <w:keepLines w:val="0"/>
        <w:pageBreakBefore w:val="0"/>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产品的到货地点、收货单位及合同履约期限：</w:t>
      </w:r>
    </w:p>
    <w:p w14:paraId="766FCF22">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lang w:val="en-US" w:eastAsia="zh-CN"/>
        </w:rPr>
      </w:pPr>
      <w:bookmarkStart w:id="33" w:name="auto_fouce_5"/>
      <w:r>
        <w:rPr>
          <w:rFonts w:hint="eastAsia" w:ascii="仿宋" w:hAnsi="仿宋" w:eastAsia="仿宋" w:cs="仿宋"/>
          <w:color w:val="auto"/>
          <w:sz w:val="24"/>
          <w:szCs w:val="24"/>
          <w:highlight w:val="none"/>
        </w:rPr>
        <w:t>到货地点及收货单位：</w:t>
      </w:r>
      <w:bookmarkEnd w:id="33"/>
      <w:r>
        <w:rPr>
          <w:rFonts w:hint="eastAsia" w:ascii="仿宋" w:hAnsi="仿宋" w:eastAsia="仿宋" w:cs="仿宋"/>
          <w:color w:val="auto"/>
          <w:sz w:val="24"/>
          <w:szCs w:val="24"/>
          <w:highlight w:val="none"/>
        </w:rPr>
        <w:t>采购人指定地点。</w:t>
      </w:r>
    </w:p>
    <w:p w14:paraId="195547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合同履约期限：货物须在 30 日历日内运输到指定地点；到货后 7 个工作日内，乙方应提前 3 天书面通知甲方到场时间，并派具备对应设备安装调试资质的工程技术人员到场，到场后 15 个工作日内完成安装调试并达到验收条件。</w:t>
      </w:r>
      <w:r>
        <w:rPr>
          <w:rFonts w:hint="eastAsia" w:ascii="仿宋" w:hAnsi="仿宋" w:eastAsia="仿宋" w:cs="仿宋"/>
          <w:color w:val="auto"/>
          <w:sz w:val="24"/>
          <w:szCs w:val="24"/>
          <w:highlight w:val="none"/>
          <w:lang w:eastAsia="zh-CN"/>
        </w:rPr>
        <w:t>若乙方未按约定提前通知，每逾期一日，应向甲方支付合同总价款万分之五的违约金，逾期超过三日的，安装调试期限相应顺延，且乙方应承担因此给甲方造成的全部损失。</w:t>
      </w:r>
    </w:p>
    <w:p w14:paraId="24DE269D">
      <w:pPr>
        <w:pStyle w:val="53"/>
        <w:keepNext w:val="0"/>
        <w:keepLines w:val="0"/>
        <w:pageBreakBefore w:val="0"/>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产品的成交价格及付款方式：</w:t>
      </w:r>
    </w:p>
    <w:p w14:paraId="0BC52F1B">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付款途径：</w:t>
      </w:r>
      <w:r>
        <w:rPr>
          <w:rFonts w:hint="eastAsia" w:ascii="仿宋" w:hAnsi="仿宋" w:eastAsia="仿宋" w:cs="仿宋"/>
          <w:color w:val="auto"/>
          <w:sz w:val="24"/>
          <w:szCs w:val="24"/>
          <w:highlight w:val="none"/>
          <w:lang w:val="en-US" w:eastAsia="zh-CN"/>
        </w:rPr>
        <w:t>银行电汇 / 财政平台支付。</w:t>
      </w:r>
    </w:p>
    <w:p w14:paraId="432F75F7">
      <w:pPr>
        <w:pStyle w:val="10"/>
        <w:keepNext w:val="0"/>
        <w:keepLines w:val="0"/>
        <w:pageBreakBefore w:val="0"/>
        <w:widowControl/>
        <w:kinsoku/>
        <w:wordWrap/>
        <w:topLinePunct w:val="0"/>
        <w:autoSpaceDE/>
        <w:autoSpaceDN/>
        <w:bidi w:val="0"/>
        <w:spacing w:before="0" w:after="0" w:afterLines="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付款方式：</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设备合同签订后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个工作日内，甲方支付合同总价款的30%；设备安装调试完毕并验收合格</w:t>
      </w:r>
      <w:r>
        <w:rPr>
          <w:rFonts w:hint="eastAsia" w:ascii="仿宋" w:hAnsi="仿宋" w:eastAsia="仿宋" w:cs="仿宋"/>
          <w:color w:val="auto"/>
          <w:sz w:val="24"/>
          <w:szCs w:val="24"/>
          <w:highlight w:val="none"/>
          <w:lang w:val="en-US" w:eastAsia="zh-CN"/>
        </w:rPr>
        <w:t>后30</w:t>
      </w:r>
      <w:r>
        <w:rPr>
          <w:rFonts w:hint="eastAsia" w:ascii="仿宋" w:hAnsi="仿宋" w:eastAsia="仿宋" w:cs="仿宋"/>
          <w:color w:val="auto"/>
          <w:sz w:val="24"/>
          <w:szCs w:val="24"/>
          <w:highlight w:val="none"/>
        </w:rPr>
        <w:t>个工作日内，甲方支付合同总价款的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设备运行60日后</w:t>
      </w:r>
      <w:r>
        <w:rPr>
          <w:rFonts w:hint="eastAsia" w:ascii="仿宋" w:hAnsi="仿宋" w:eastAsia="仿宋" w:cs="仿宋"/>
          <w:color w:val="auto"/>
          <w:sz w:val="24"/>
          <w:szCs w:val="24"/>
          <w:highlight w:val="none"/>
          <w:lang w:eastAsia="zh-CN"/>
        </w:rPr>
        <w:t>，经甲方书面确认</w:t>
      </w:r>
      <w:r>
        <w:rPr>
          <w:rFonts w:hint="eastAsia" w:ascii="仿宋" w:hAnsi="仿宋" w:eastAsia="仿宋" w:cs="仿宋"/>
          <w:color w:val="auto"/>
          <w:sz w:val="24"/>
          <w:szCs w:val="24"/>
          <w:highlight w:val="none"/>
        </w:rPr>
        <w:t>参数性能</w:t>
      </w:r>
      <w:r>
        <w:rPr>
          <w:rFonts w:hint="eastAsia" w:ascii="仿宋" w:hAnsi="仿宋" w:eastAsia="仿宋" w:cs="仿宋"/>
          <w:color w:val="auto"/>
          <w:sz w:val="24"/>
          <w:szCs w:val="24"/>
          <w:highlight w:val="none"/>
          <w:lang w:eastAsia="zh-CN"/>
        </w:rPr>
        <w:t>持续</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合同约定</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且乙方无任何未履行的合同义务及违约情形，甲方支</w:t>
      </w:r>
      <w:r>
        <w:rPr>
          <w:rFonts w:hint="eastAsia" w:ascii="仿宋" w:hAnsi="仿宋" w:eastAsia="仿宋" w:cs="仿宋"/>
          <w:color w:val="auto"/>
          <w:sz w:val="24"/>
          <w:szCs w:val="24"/>
          <w:highlight w:val="none"/>
        </w:rPr>
        <w:t>付余款</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乙方应向甲方提供符合甲方要求的</w:t>
      </w:r>
      <w:r>
        <w:rPr>
          <w:rStyle w:val="30"/>
          <w:rFonts w:hint="eastAsia" w:ascii="仿宋" w:hAnsi="仿宋" w:eastAsia="仿宋" w:cs="仿宋"/>
          <w:b/>
          <w:bCs/>
          <w:color w:val="auto"/>
          <w:sz w:val="24"/>
          <w:szCs w:val="24"/>
          <w:highlight w:val="none"/>
        </w:rPr>
        <w:t>不可撤销保函</w:t>
      </w:r>
      <w:r>
        <w:rPr>
          <w:rFonts w:hint="eastAsia" w:ascii="仿宋" w:hAnsi="仿宋" w:eastAsia="仿宋" w:cs="仿宋"/>
          <w:color w:val="auto"/>
          <w:sz w:val="24"/>
          <w:szCs w:val="24"/>
          <w:highlight w:val="none"/>
        </w:rPr>
        <w:t>（出具机构为具备相应资质的银行或专业担保公司），作为本合同项下设备质量的担保，保函金额为合同价格的10%，保函有效期自出具之日起至本合同约定的设备质保期届满之日止。</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内设备出现质量问题未解决的，保函有效期自动顺延至质量问题全部解决之日。若在质保期内甲方根据合同约定扣减或索赔导致保函金额减少的，乙方应在收到甲方书面通知后10个工作日内补充相应金额的保函或提供其他甲方认可的担保，以确保担保金额持续符合约定。否则，每逾期一日，乙方应向甲方支付合同总价款万分之五的违约金。质保期</w:t>
      </w:r>
      <w:r>
        <w:rPr>
          <w:rFonts w:hint="eastAsia" w:ascii="仿宋" w:hAnsi="仿宋" w:eastAsia="仿宋" w:cs="仿宋"/>
          <w:color w:val="auto"/>
          <w:sz w:val="24"/>
          <w:szCs w:val="24"/>
          <w:highlight w:val="none"/>
        </w:rPr>
        <w:t>届满后，该保函自动失效，甲方无需退还保函原件。</w:t>
      </w:r>
    </w:p>
    <w:p w14:paraId="6A552AD7">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付款凭证：甲方</w:t>
      </w:r>
      <w:r>
        <w:rPr>
          <w:rFonts w:hint="eastAsia" w:ascii="仿宋" w:hAnsi="仿宋" w:eastAsia="仿宋" w:cs="仿宋"/>
          <w:color w:val="auto"/>
          <w:sz w:val="24"/>
          <w:szCs w:val="24"/>
          <w:highlight w:val="none"/>
          <w:lang w:eastAsia="zh-CN"/>
        </w:rPr>
        <w:t>按付款节点</w:t>
      </w:r>
      <w:r>
        <w:rPr>
          <w:rFonts w:hint="eastAsia" w:ascii="仿宋" w:hAnsi="仿宋" w:eastAsia="仿宋" w:cs="仿宋"/>
          <w:color w:val="auto"/>
          <w:sz w:val="24"/>
          <w:szCs w:val="24"/>
          <w:highlight w:val="none"/>
        </w:rPr>
        <w:t>凭</w:t>
      </w:r>
      <w:r>
        <w:rPr>
          <w:rFonts w:hint="eastAsia" w:ascii="仿宋" w:hAnsi="仿宋" w:eastAsia="仿宋" w:cs="仿宋"/>
          <w:color w:val="auto"/>
          <w:sz w:val="24"/>
          <w:szCs w:val="24"/>
          <w:highlight w:val="none"/>
          <w:lang w:eastAsia="zh-CN"/>
        </w:rPr>
        <w:t>对应资料付款：支付第一笔30%款项时，凭</w:t>
      </w:r>
      <w:r>
        <w:rPr>
          <w:rFonts w:hint="eastAsia" w:ascii="仿宋" w:hAnsi="仿宋" w:eastAsia="仿宋" w:cs="仿宋"/>
          <w:color w:val="auto"/>
          <w:sz w:val="24"/>
          <w:szCs w:val="24"/>
          <w:highlight w:val="none"/>
        </w:rPr>
        <w:t>中标通知单、合同、</w:t>
      </w:r>
      <w:r>
        <w:rPr>
          <w:rFonts w:hint="eastAsia" w:ascii="仿宋" w:hAnsi="仿宋" w:eastAsia="仿宋" w:cs="仿宋"/>
          <w:color w:val="auto"/>
          <w:sz w:val="24"/>
          <w:szCs w:val="24"/>
          <w:highlight w:val="none"/>
          <w:lang w:eastAsia="zh-CN"/>
        </w:rPr>
        <w:t>对应金</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eastAsia="zh-CN"/>
        </w:rPr>
        <w:t>的合格</w:t>
      </w:r>
      <w:r>
        <w:rPr>
          <w:rFonts w:hint="eastAsia" w:ascii="仿宋" w:hAnsi="仿宋" w:eastAsia="仿宋" w:cs="仿宋"/>
          <w:color w:val="auto"/>
          <w:sz w:val="24"/>
          <w:szCs w:val="24"/>
          <w:highlight w:val="none"/>
        </w:rPr>
        <w:t>发票</w:t>
      </w:r>
      <w:r>
        <w:rPr>
          <w:rFonts w:hint="eastAsia" w:ascii="仿宋" w:hAnsi="仿宋" w:eastAsia="仿宋" w:cs="仿宋"/>
          <w:color w:val="auto"/>
          <w:sz w:val="24"/>
          <w:szCs w:val="24"/>
          <w:highlight w:val="none"/>
          <w:lang w:eastAsia="zh-CN"/>
        </w:rPr>
        <w:t>；支付第二笔60%款项时，凭</w:t>
      </w:r>
      <w:r>
        <w:rPr>
          <w:rFonts w:hint="eastAsia" w:ascii="仿宋" w:hAnsi="仿宋" w:eastAsia="仿宋" w:cs="仿宋"/>
          <w:color w:val="auto"/>
          <w:sz w:val="24"/>
          <w:szCs w:val="24"/>
          <w:highlight w:val="none"/>
        </w:rPr>
        <w:t>验收</w:t>
      </w:r>
      <w:r>
        <w:rPr>
          <w:rFonts w:hint="eastAsia" w:ascii="仿宋" w:hAnsi="仿宋" w:eastAsia="仿宋" w:cs="仿宋"/>
          <w:color w:val="auto"/>
          <w:sz w:val="24"/>
          <w:szCs w:val="24"/>
          <w:highlight w:val="none"/>
          <w:lang w:eastAsia="zh-CN"/>
        </w:rPr>
        <w:t>合格证明</w:t>
      </w:r>
      <w:r>
        <w:rPr>
          <w:rFonts w:hint="eastAsia" w:ascii="仿宋" w:hAnsi="仿宋" w:eastAsia="仿宋" w:cs="仿宋"/>
          <w:color w:val="auto"/>
          <w:sz w:val="24"/>
          <w:szCs w:val="24"/>
          <w:highlight w:val="none"/>
        </w:rPr>
        <w:t>、固定资产出入库手续</w:t>
      </w:r>
      <w:r>
        <w:rPr>
          <w:rFonts w:hint="eastAsia" w:ascii="仿宋" w:hAnsi="仿宋" w:eastAsia="仿宋" w:cs="仿宋"/>
          <w:color w:val="auto"/>
          <w:sz w:val="24"/>
          <w:szCs w:val="24"/>
          <w:highlight w:val="none"/>
          <w:lang w:eastAsia="zh-CN"/>
        </w:rPr>
        <w:t>、对应金额的合格发票；支</w:t>
      </w:r>
      <w:r>
        <w:rPr>
          <w:rFonts w:hint="eastAsia" w:ascii="仿宋" w:hAnsi="仿宋" w:eastAsia="仿宋" w:cs="仿宋"/>
          <w:color w:val="auto"/>
          <w:sz w:val="24"/>
          <w:szCs w:val="24"/>
          <w:highlight w:val="none"/>
        </w:rPr>
        <w:t>付</w:t>
      </w:r>
      <w:r>
        <w:rPr>
          <w:rFonts w:hint="eastAsia" w:ascii="仿宋" w:hAnsi="仿宋" w:eastAsia="仿宋" w:cs="仿宋"/>
          <w:color w:val="auto"/>
          <w:sz w:val="24"/>
          <w:szCs w:val="24"/>
          <w:highlight w:val="none"/>
          <w:lang w:eastAsia="zh-CN"/>
        </w:rPr>
        <w:t>第三笔10%</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lang w:eastAsia="zh-CN"/>
        </w:rPr>
        <w:t>项时，凭甲方出具的参数性能符合要求的书面确认文件、对应金额的合格发票</w:t>
      </w:r>
      <w:r>
        <w:rPr>
          <w:rFonts w:hint="eastAsia" w:ascii="仿宋" w:hAnsi="仿宋" w:eastAsia="仿宋" w:cs="仿宋"/>
          <w:color w:val="auto"/>
          <w:sz w:val="24"/>
          <w:szCs w:val="24"/>
          <w:highlight w:val="none"/>
        </w:rPr>
        <w:t>。甲方未收到发票的，有权不予支付相应款项直至乙方提供合格发票，并不承担延迟付款责任。</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提供的发票存在虚开、作废、红冲、信息不符等不合规情形，乙方</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eastAsia="zh-CN"/>
        </w:rPr>
        <w:t>在甲方发出通知后3个工作日内更换为合规发票，否则甲方有权追回已支付的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应款项，由此产生的全部损失由乙方承担。乙方应对</w:t>
      </w:r>
      <w:r>
        <w:rPr>
          <w:rFonts w:hint="eastAsia" w:ascii="仿宋" w:hAnsi="仿宋" w:eastAsia="仿宋" w:cs="仿宋"/>
          <w:color w:val="auto"/>
          <w:sz w:val="24"/>
          <w:szCs w:val="24"/>
          <w:highlight w:val="none"/>
        </w:rPr>
        <w:t>其指定的账号信息的真实性、安全性、正确性负责，因乙方收款信息问题造成的全部后果均由乙方自行承担。</w:t>
      </w:r>
    </w:p>
    <w:p w14:paraId="7B506C41">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p>
    <w:p w14:paraId="0443F3A4">
      <w:pPr>
        <w:pStyle w:val="53"/>
        <w:keepNext w:val="0"/>
        <w:keepLines w:val="0"/>
        <w:pageBreakBefore w:val="0"/>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w:t>
      </w:r>
    </w:p>
    <w:p w14:paraId="0C2665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34" w:name="_Toc256088517"/>
      <w:bookmarkStart w:id="35" w:name="_Toc197842251"/>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、设备质量要求：设备须为合同生效后原厂生产的全新、未使用过的原装合格正品，国产设备出厂日期距交货日期不得超过 60 天。若出厂日期超出规定时限，按以下标准折价：折价金额 = 合同中标价 ÷（设备标定使用年限 ×365）× 超期天数，折价金额由乙方在验收后 10 个工作日内返还至甲方指定账户</w:t>
      </w:r>
      <w:r>
        <w:rPr>
          <w:rFonts w:hint="eastAsia" w:ascii="仿宋" w:hAnsi="仿宋" w:eastAsia="仿宋" w:cs="仿宋"/>
          <w:color w:val="auto"/>
          <w:sz w:val="24"/>
          <w:szCs w:val="24"/>
          <w:highlight w:val="none"/>
          <w:lang w:eastAsia="zh-CN"/>
        </w:rPr>
        <w:t>；若乙方逾期返还，每逾期一日，应按折价金额的千分之一向甲方支付违约金</w:t>
      </w:r>
      <w:r>
        <w:rPr>
          <w:rFonts w:hint="eastAsia" w:ascii="仿宋" w:hAnsi="仿宋" w:eastAsia="仿宋" w:cs="仿宋"/>
          <w:color w:val="auto"/>
          <w:sz w:val="24"/>
          <w:szCs w:val="24"/>
          <w:highlight w:val="none"/>
        </w:rPr>
        <w:t>。</w:t>
      </w:r>
    </w:p>
    <w:p w14:paraId="1099A58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、检测要求：需计量检定或特种设备检验检测的设备，乙方须在验收后 30 日内提供法定检测机构出具的合格检测报告；无法提供的，由甲方委托第三方检测，检测费用由乙方承担。若检测认定质量不合格，乙方须在 15 日内无条件更换合格设备，并承担甲方因此产生的诊疗损失、检测费、误工费等全部责任。</w:t>
      </w:r>
    </w:p>
    <w:p w14:paraId="0F828A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检测违约处理：乙方未在约定时限内提供法定检测机构出具的合格检测报告的，每逾期一日，应向甲方支付合同总价款万分之五的违约金；逾期超过十五日的，甲方有权要求退货，并由乙方承担本合同约定的相应违约责任。</w:t>
      </w:r>
    </w:p>
    <w:p w14:paraId="6A8E530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、开箱验收：乙方负责将货物安全运抵指定地点，到货后由甲方、乙方共同开箱验货，核对设备型号、配置、数量与合同一致性，双方签字确认验货清单。</w:t>
      </w:r>
    </w:p>
    <w:p w14:paraId="552B4D9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、标准与证明：所供货物须符合中国及国际最新通行标准，附原厂测试报告、合格证书；进口设备须提供报关单、商检证。具体质量标准以乙方投标文件中明确的内容为准，经甲方书面确认后作为本合同附件</w:t>
      </w:r>
      <w:r>
        <w:rPr>
          <w:rFonts w:hint="eastAsia" w:ascii="仿宋" w:hAnsi="仿宋" w:eastAsia="仿宋" w:cs="仿宋"/>
          <w:color w:val="auto"/>
          <w:sz w:val="24"/>
          <w:szCs w:val="24"/>
          <w:highlight w:val="none"/>
          <w:lang w:eastAsia="zh-CN"/>
        </w:rPr>
        <w:t>；若乙方投标文件载明的标准低于招标文件要求、国家或行业强制标准的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以较高的标准为准，</w:t>
      </w:r>
      <w:r>
        <w:rPr>
          <w:rFonts w:hint="eastAsia" w:ascii="仿宋" w:hAnsi="仿宋" w:eastAsia="仿宋" w:cs="仿宋"/>
          <w:color w:val="auto"/>
          <w:sz w:val="24"/>
          <w:szCs w:val="24"/>
          <w:highlight w:val="none"/>
        </w:rPr>
        <w:t>是本合同不可分割的组成部分。</w:t>
      </w:r>
    </w:p>
    <w:p w14:paraId="552F749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、技术资料交付：乙方须在验收时提供以下完整资料（中文版本，进口资料须附</w:t>
      </w:r>
      <w:r>
        <w:rPr>
          <w:rFonts w:hint="eastAsia" w:ascii="仿宋" w:hAnsi="仿宋" w:eastAsia="仿宋" w:cs="仿宋"/>
          <w:color w:val="auto"/>
          <w:sz w:val="24"/>
          <w:szCs w:val="24"/>
          <w:highlight w:val="none"/>
          <w:lang w:eastAsia="zh-CN"/>
        </w:rPr>
        <w:t>具备翻译资质的</w:t>
      </w:r>
      <w:r>
        <w:rPr>
          <w:rFonts w:hint="eastAsia" w:ascii="仿宋" w:hAnsi="仿宋" w:eastAsia="仿宋" w:cs="仿宋"/>
          <w:color w:val="auto"/>
          <w:sz w:val="24"/>
          <w:szCs w:val="24"/>
          <w:highlight w:val="none"/>
        </w:rPr>
        <w:t>机构</w:t>
      </w:r>
      <w:r>
        <w:rPr>
          <w:rFonts w:hint="eastAsia" w:ascii="仿宋" w:hAnsi="仿宋" w:eastAsia="仿宋" w:cs="仿宋"/>
          <w:color w:val="auto"/>
          <w:sz w:val="24"/>
          <w:szCs w:val="24"/>
          <w:highlight w:val="none"/>
          <w:lang w:eastAsia="zh-CN"/>
        </w:rPr>
        <w:t>出具的加盖公章的中文</w:t>
      </w:r>
      <w:r>
        <w:rPr>
          <w:rFonts w:hint="eastAsia" w:ascii="仿宋" w:hAnsi="仿宋" w:eastAsia="仿宋" w:cs="仿宋"/>
          <w:color w:val="auto"/>
          <w:sz w:val="24"/>
          <w:szCs w:val="24"/>
          <w:highlight w:val="none"/>
        </w:rPr>
        <w:t>翻译件</w:t>
      </w:r>
      <w:r>
        <w:rPr>
          <w:rFonts w:hint="eastAsia" w:ascii="仿宋" w:hAnsi="仿宋" w:eastAsia="仿宋" w:cs="仿宋"/>
          <w:color w:val="auto"/>
          <w:sz w:val="24"/>
          <w:szCs w:val="24"/>
          <w:highlight w:val="none"/>
          <w:lang w:eastAsia="zh-CN"/>
        </w:rPr>
        <w:t>，若翻译内容与原文不一致导致甲方损失的，由乙方承担全部赔偿责任</w:t>
      </w:r>
      <w:r>
        <w:rPr>
          <w:rFonts w:hint="eastAsia" w:ascii="仿宋" w:hAnsi="仿宋" w:eastAsia="仿宋" w:cs="仿宋"/>
          <w:color w:val="auto"/>
          <w:sz w:val="24"/>
          <w:szCs w:val="24"/>
          <w:highlight w:val="none"/>
        </w:rPr>
        <w:t>），资料不全或不符合甲方要求的，甲方有权拒绝开展后续验收工作，直至乙方补充完善全部符合要求的资料：</w:t>
      </w:r>
    </w:p>
    <w:p w14:paraId="7F6419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（1）设备配置清单、详细说明书、技术参数报告、彩图；</w:t>
      </w:r>
    </w:p>
    <w:p w14:paraId="267E01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（2）维修手册、操作手册、保养指南；</w:t>
      </w:r>
    </w:p>
    <w:p w14:paraId="55459A0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（3）软件合法使用证书、备份安装包及授权文件；</w:t>
      </w:r>
    </w:p>
    <w:p w14:paraId="1FEE31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（4）国家规定的资质证明</w:t>
      </w:r>
    </w:p>
    <w:p w14:paraId="0DEDCF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（5）正规备品备件价格表（明确保修期后价格不高于中标时报价的 120%）；</w:t>
      </w:r>
    </w:p>
    <w:p w14:paraId="7FED76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（6）售中售后服务承诺、免费质保期说明及交付使用日期确认函。</w:t>
      </w:r>
    </w:p>
    <w:p w14:paraId="4BDE01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乙方交付的技术资料不全，导致验收不合格的，除按本合同约定承担逾期安装调试的违约责任外，每缺少一项</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资料（</w:t>
      </w:r>
      <w:r>
        <w:rPr>
          <w:rFonts w:hint="eastAsia" w:ascii="仿宋" w:hAnsi="仿宋" w:eastAsia="仿宋" w:cs="仿宋"/>
          <w:color w:val="auto"/>
          <w:sz w:val="24"/>
          <w:szCs w:val="24"/>
          <w:highlight w:val="none"/>
          <w:lang w:eastAsia="zh-CN"/>
        </w:rPr>
        <w:t>包括但不限于本条第6款所列（1）至（6）项资料，</w:t>
      </w:r>
      <w:r>
        <w:rPr>
          <w:rFonts w:hint="eastAsia" w:ascii="仿宋" w:hAnsi="仿宋" w:eastAsia="仿宋" w:cs="仿宋"/>
          <w:color w:val="auto"/>
          <w:sz w:val="24"/>
          <w:szCs w:val="24"/>
          <w:highlight w:val="none"/>
        </w:rPr>
        <w:t>具体</w:t>
      </w:r>
      <w:r>
        <w:rPr>
          <w:rFonts w:hint="eastAsia" w:ascii="仿宋" w:hAnsi="仿宋" w:eastAsia="仿宋" w:cs="仿宋"/>
          <w:color w:val="auto"/>
          <w:sz w:val="24"/>
          <w:szCs w:val="24"/>
          <w:highlight w:val="none"/>
          <w:lang w:eastAsia="zh-CN"/>
        </w:rPr>
        <w:t>关键资料</w:t>
      </w:r>
      <w:r>
        <w:rPr>
          <w:rFonts w:hint="eastAsia" w:ascii="仿宋" w:hAnsi="仿宋" w:eastAsia="仿宋" w:cs="仿宋"/>
          <w:color w:val="auto"/>
          <w:sz w:val="24"/>
          <w:szCs w:val="24"/>
          <w:highlight w:val="none"/>
        </w:rPr>
        <w:t>清单</w:t>
      </w:r>
      <w:r>
        <w:rPr>
          <w:rFonts w:hint="eastAsia" w:ascii="仿宋" w:hAnsi="仿宋" w:eastAsia="仿宋" w:cs="仿宋"/>
          <w:color w:val="auto"/>
          <w:sz w:val="24"/>
          <w:szCs w:val="24"/>
          <w:highlight w:val="none"/>
          <w:lang w:eastAsia="zh-CN"/>
        </w:rPr>
        <w:t>可另行</w:t>
      </w:r>
      <w:r>
        <w:rPr>
          <w:rFonts w:hint="eastAsia" w:ascii="仿宋" w:hAnsi="仿宋" w:eastAsia="仿宋" w:cs="仿宋"/>
          <w:color w:val="auto"/>
          <w:sz w:val="24"/>
          <w:szCs w:val="24"/>
          <w:highlight w:val="none"/>
        </w:rPr>
        <w:t>在附件中明确</w:t>
      </w:r>
      <w:r>
        <w:rPr>
          <w:rFonts w:hint="eastAsia" w:ascii="仿宋" w:hAnsi="仿宋" w:eastAsia="仿宋" w:cs="仿宋"/>
          <w:color w:val="auto"/>
          <w:sz w:val="24"/>
          <w:szCs w:val="24"/>
          <w:highlight w:val="none"/>
          <w:lang w:eastAsia="zh-CN"/>
        </w:rPr>
        <w:t>，若附件未明确，则视本款所列全部资料为关键资料</w:t>
      </w:r>
      <w:r>
        <w:rPr>
          <w:rFonts w:hint="eastAsia" w:ascii="仿宋" w:hAnsi="仿宋" w:eastAsia="仿宋" w:cs="仿宋"/>
          <w:color w:val="auto"/>
          <w:sz w:val="24"/>
          <w:szCs w:val="24"/>
          <w:highlight w:val="none"/>
        </w:rPr>
        <w:t>），还应向甲方支付人民币5000元的违约金。</w:t>
      </w:r>
    </w:p>
    <w:p w14:paraId="642749B8">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安装调试</w:t>
      </w:r>
    </w:p>
    <w:p w14:paraId="05D6B20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安装费用：乙方免费承担设备装卸、安装、调试、配件、第三方网络接口费、培训等全部费用。设备、系统必须与院内系统进行接口对接，实现数据共享、互通，由此产生的费用由中标单位承担。</w:t>
      </w:r>
    </w:p>
    <w:p w14:paraId="66B23B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验收标准：乙方</w:t>
      </w:r>
      <w:r>
        <w:rPr>
          <w:rFonts w:hint="eastAsia" w:ascii="仿宋" w:hAnsi="仿宋" w:eastAsia="仿宋" w:cs="仿宋"/>
          <w:color w:val="auto"/>
          <w:sz w:val="24"/>
          <w:szCs w:val="24"/>
          <w:highlight w:val="none"/>
          <w:lang w:eastAsia="zh-CN"/>
        </w:rPr>
        <w:t>应于安装调试前7日向甲方</w:t>
      </w:r>
      <w:r>
        <w:rPr>
          <w:rFonts w:hint="eastAsia" w:ascii="仿宋" w:hAnsi="仿宋" w:eastAsia="仿宋" w:cs="仿宋"/>
          <w:color w:val="auto"/>
          <w:sz w:val="24"/>
          <w:szCs w:val="24"/>
          <w:highlight w:val="none"/>
        </w:rPr>
        <w:t>提</w:t>
      </w:r>
      <w:r>
        <w:rPr>
          <w:rFonts w:hint="eastAsia" w:ascii="仿宋" w:hAnsi="仿宋" w:eastAsia="仿宋" w:cs="仿宋"/>
          <w:color w:val="auto"/>
          <w:sz w:val="24"/>
          <w:szCs w:val="24"/>
          <w:highlight w:val="none"/>
          <w:lang w:eastAsia="zh-CN"/>
        </w:rPr>
        <w:t>交</w:t>
      </w:r>
      <w:r>
        <w:rPr>
          <w:rFonts w:hint="eastAsia" w:ascii="仿宋" w:hAnsi="仿宋" w:eastAsia="仿宋" w:cs="仿宋"/>
          <w:color w:val="auto"/>
          <w:sz w:val="24"/>
          <w:szCs w:val="24"/>
          <w:highlight w:val="none"/>
        </w:rPr>
        <w:t>详细验收标准及手册，</w:t>
      </w:r>
      <w:r>
        <w:rPr>
          <w:rFonts w:hint="eastAsia" w:ascii="仿宋" w:hAnsi="仿宋" w:eastAsia="仿宋" w:cs="仿宋"/>
          <w:color w:val="auto"/>
          <w:sz w:val="24"/>
          <w:szCs w:val="24"/>
          <w:highlight w:val="none"/>
          <w:lang w:eastAsia="zh-CN"/>
        </w:rPr>
        <w:t>经甲方书面确认后作为验收依据，</w:t>
      </w:r>
      <w:r>
        <w:rPr>
          <w:rFonts w:hint="eastAsia" w:ascii="仿宋" w:hAnsi="仿宋" w:eastAsia="仿宋" w:cs="仿宋"/>
          <w:color w:val="auto"/>
          <w:sz w:val="24"/>
          <w:szCs w:val="24"/>
          <w:highlight w:val="none"/>
        </w:rPr>
        <w:t>安装后按国际标准、厂方标准及合同约定</w:t>
      </w:r>
      <w:r>
        <w:rPr>
          <w:rFonts w:hint="eastAsia" w:ascii="仿宋" w:hAnsi="仿宋" w:eastAsia="仿宋" w:cs="仿宋"/>
          <w:color w:val="auto"/>
          <w:sz w:val="24"/>
          <w:szCs w:val="24"/>
          <w:highlight w:val="none"/>
          <w:lang w:eastAsia="zh-CN"/>
        </w:rPr>
        <w:t>的较高标准</w:t>
      </w:r>
      <w:r>
        <w:rPr>
          <w:rFonts w:hint="eastAsia" w:ascii="仿宋" w:hAnsi="仿宋" w:eastAsia="仿宋" w:cs="仿宋"/>
          <w:color w:val="auto"/>
          <w:sz w:val="24"/>
          <w:szCs w:val="24"/>
          <w:highlight w:val="none"/>
        </w:rPr>
        <w:t>验收；甲方有权委托法定资质单位进行精度校验，校验费用由乙方承担。</w:t>
      </w:r>
    </w:p>
    <w:p w14:paraId="59A518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违约处理：因乙方原因未按约定时限完成安装调试</w:t>
      </w:r>
      <w:r>
        <w:rPr>
          <w:rFonts w:hint="eastAsia" w:ascii="仿宋" w:hAnsi="仿宋" w:eastAsia="仿宋" w:cs="仿宋"/>
          <w:color w:val="auto"/>
          <w:sz w:val="24"/>
          <w:szCs w:val="24"/>
          <w:highlight w:val="none"/>
          <w:lang w:eastAsia="zh-CN"/>
        </w:rPr>
        <w:t>，逾期未超过15日</w:t>
      </w:r>
      <w:r>
        <w:rPr>
          <w:rFonts w:hint="eastAsia" w:ascii="仿宋" w:hAnsi="仿宋" w:eastAsia="仿宋" w:cs="仿宋"/>
          <w:color w:val="auto"/>
          <w:sz w:val="24"/>
          <w:szCs w:val="24"/>
          <w:highlight w:val="none"/>
        </w:rPr>
        <w:t>的，每延迟1日按合同总价款的0.05%支付违约金</w:t>
      </w:r>
      <w:r>
        <w:rPr>
          <w:rFonts w:hint="eastAsia" w:ascii="仿宋" w:hAnsi="仿宋" w:eastAsia="仿宋" w:cs="仿宋"/>
          <w:color w:val="auto"/>
          <w:sz w:val="24"/>
          <w:szCs w:val="24"/>
          <w:highlight w:val="none"/>
          <w:lang w:eastAsia="zh-CN"/>
        </w:rPr>
        <w:t>，累计违约金总额不超过合同总价款的5%。逾期超过15日的，甲方有权单方解除合同，乙方除支付已产生的违约金外，还应在收到甲方解除通知后10日内退还已收全部款项，并向甲方支付合同总价款20%的违约金作为赔偿</w:t>
      </w:r>
      <w:r>
        <w:rPr>
          <w:rFonts w:hint="eastAsia" w:ascii="仿宋" w:hAnsi="仿宋" w:eastAsia="仿宋" w:cs="仿宋"/>
          <w:color w:val="auto"/>
          <w:sz w:val="24"/>
          <w:szCs w:val="24"/>
          <w:highlight w:val="none"/>
        </w:rPr>
        <w:t>；调试后未达质量或技术指标的，甲方有权要求退货，乙方须在10日内退还已收款项并支付合同总价款20%的违约金。</w:t>
      </w:r>
    </w:p>
    <w:p w14:paraId="2252546C">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w:t>
      </w:r>
    </w:p>
    <w:p w14:paraId="65B9B0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培训计划：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w:t>
      </w:r>
    </w:p>
    <w:p w14:paraId="3FD7EC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2、培训实施：乙方派专业技术人员提供线下集中培训，维修人员培训不少于 2 次，操作人员培训不少于 2 次，每次培训时长不低于 2 小时；需赴上级医院培训的，乙方应提前将培训内容、时间、地点、培训单位资质提交甲方书面确认，经甲方同意后再行安排培训并承担全部培训费用（含交通、食宿、学费）。</w:t>
      </w:r>
    </w:p>
    <w:p w14:paraId="5C14C4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3、考核与记录：培训后组织操作及维修考核，合格率须达 100%；若培训后考核合格率未达 100%，乙方须免费重新组织培训直至所有参训人员考核合格，由此产生的所有延误及相关损失由乙方承担。每次培训填写《培训记录表》，经双方签字确认后作为供货商院内可靠性考核的依据之一。培训科室操作人员，直到科室人员能独立操作。</w:t>
      </w:r>
    </w:p>
    <w:p w14:paraId="086450B0">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p w14:paraId="328787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服务保障：</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提供3名及以上专职维修工程师名单（附资质证明），确保服务响应及时性。</w:t>
      </w:r>
    </w:p>
    <w:p w14:paraId="417B14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2、未</w:t>
      </w:r>
      <w:r>
        <w:rPr>
          <w:rFonts w:hint="eastAsia" w:ascii="仿宋" w:hAnsi="仿宋" w:eastAsia="仿宋" w:cs="仿宋"/>
          <w:color w:val="auto"/>
          <w:sz w:val="24"/>
          <w:szCs w:val="24"/>
          <w:highlight w:val="none"/>
          <w:lang w:eastAsia="zh-CN"/>
        </w:rPr>
        <w:t>确保约定数量的专职维修工程师的，甲方有权要求乙方在15日内整改。逾期未整改或整改后仍不符合约定的，每次甲方检查发现不符合约定时，乙方应向甲方支付合同总价款1%的违约金，且甲方有权自行或委托第三方进行维修，所产生的费用由乙方承担。</w:t>
      </w:r>
    </w:p>
    <w:p w14:paraId="301A8A9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质保期服务：</w:t>
      </w:r>
    </w:p>
    <w:p w14:paraId="34EB32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免费质保期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个月（自验收合格之日起算），质保期内全机（含附件、硬软件）免费维修、更换零配件，免工时费；</w:t>
      </w:r>
    </w:p>
    <w:p w14:paraId="6E6B40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质保期内厂家工程师每年上门保养不少于2次，做好保养记录并经甲方签字确认；</w:t>
      </w:r>
    </w:p>
    <w:p w14:paraId="50A533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开机率要求：按法定工作日计算（不含节假日），年开机率须≥95%（年开机率=（年法定工作日数-停机天数）÷年法定工作日数），停机天数不含甲方操作不当或不可抗力导致的停机。</w:t>
      </w:r>
    </w:p>
    <w:p w14:paraId="62C711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开机率违约处理：</w:t>
      </w:r>
    </w:p>
    <w:p w14:paraId="103AAB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年开机率90%（含）-95%（不含）：延长质保期1年；</w:t>
      </w:r>
    </w:p>
    <w:p w14:paraId="321F49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年开机率85%（含）-90%（不含）：延长质保期2年；</w:t>
      </w:r>
    </w:p>
    <w:p w14:paraId="627014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年开机率＜85%：乙方无条件更换同型号新机，重新计算质保期，并赔偿甲方该设备日均检查收入×停机天数的直接经济损失</w:t>
      </w:r>
      <w:r>
        <w:rPr>
          <w:rFonts w:hint="eastAsia" w:ascii="仿宋" w:hAnsi="仿宋" w:eastAsia="仿宋" w:cs="仿宋"/>
          <w:color w:val="auto"/>
          <w:sz w:val="24"/>
          <w:szCs w:val="24"/>
          <w:highlight w:val="none"/>
          <w:lang w:eastAsia="zh-CN"/>
        </w:rPr>
        <w:t>，该损失包括但不限于直接经济损失、预期利益损失以及甲方为减少损失、采取替代措施所支出的合理费用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日均检查收入以甲方前6个月同类设备日均检查收入的平均值计算；如无历史数据，则参照本地区同类同级医院同类设备的平均收费标准计算。 </w:t>
      </w:r>
    </w:p>
    <w:p w14:paraId="7B6202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若乙方未在甲方发出的换机通知要求的期限内交付并安装调试合格同型号新机的，甲方有权单方解除本合同，乙方应在收到解约通知后10日内退还甲方已支付的全部款项，并向甲方支付合同总价款20%的违约金。</w:t>
      </w:r>
    </w:p>
    <w:p w14:paraId="34A752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7.3.2 </w:t>
      </w:r>
      <w:r>
        <w:rPr>
          <w:rFonts w:hint="eastAsia" w:ascii="仿宋" w:hAnsi="仿宋" w:eastAsia="仿宋" w:cs="仿宋"/>
          <w:color w:val="auto"/>
          <w:sz w:val="24"/>
          <w:szCs w:val="24"/>
          <w:highlight w:val="none"/>
        </w:rPr>
        <w:t>接口与升级：硬件须具备标准数据传输接口，免费开放设备运行数据与第三方系统互联互通；软件须与医院HL7集成平台、HIS、LIS、PACS、HRP等系统对接，接口开发、调试费用由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承担；软件终身免费升级。乙方须提供承诺函（格式自拟）。</w:t>
      </w:r>
    </w:p>
    <w:p w14:paraId="74C32D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7.3.3 </w:t>
      </w:r>
      <w:r>
        <w:rPr>
          <w:rFonts w:hint="eastAsia" w:ascii="仿宋" w:hAnsi="仿宋" w:eastAsia="仿宋" w:cs="仿宋"/>
          <w:color w:val="auto"/>
          <w:sz w:val="24"/>
          <w:szCs w:val="24"/>
          <w:highlight w:val="none"/>
        </w:rPr>
        <w:t>备件与工具：乙方随机提供1套标准备件包及专用工具，附清单及单价；在国内设备件库，保证10年以上备件供应，保修期后备件价格不高于中标时报价的120%。</w:t>
      </w:r>
    </w:p>
    <w:p w14:paraId="2C5804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7.3.4 </w:t>
      </w:r>
      <w:r>
        <w:rPr>
          <w:rFonts w:hint="eastAsia" w:ascii="仿宋" w:hAnsi="仿宋" w:eastAsia="仿宋" w:cs="仿宋"/>
          <w:color w:val="auto"/>
          <w:sz w:val="24"/>
          <w:szCs w:val="24"/>
          <w:highlight w:val="none"/>
        </w:rPr>
        <w:t>维修响应：</w:t>
      </w:r>
    </w:p>
    <w:p w14:paraId="2A08B1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接到故障通知后2小时内响应（节假日同工作日），24小时内到场维修（偏远地区</w:t>
      </w:r>
      <w:r>
        <w:rPr>
          <w:rFonts w:hint="eastAsia" w:ascii="仿宋" w:hAnsi="仿宋" w:eastAsia="仿宋" w:cs="仿宋"/>
          <w:color w:val="auto"/>
          <w:sz w:val="24"/>
          <w:szCs w:val="24"/>
          <w:highlight w:val="none"/>
          <w:lang w:eastAsia="zh-CN"/>
        </w:rPr>
        <w:t>的范围由甲方书面确认，经甲方同意后到场维修时间</w:t>
      </w:r>
      <w:r>
        <w:rPr>
          <w:rFonts w:hint="eastAsia" w:ascii="仿宋" w:hAnsi="仿宋" w:eastAsia="仿宋" w:cs="仿宋"/>
          <w:color w:val="auto"/>
          <w:sz w:val="24"/>
          <w:szCs w:val="24"/>
          <w:highlight w:val="none"/>
        </w:rPr>
        <w:t>可延长至48小时，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需提前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rPr>
        <w:t>书面告知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p>
    <w:p w14:paraId="0D290B0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备件</w:t>
      </w:r>
      <w:r>
        <w:rPr>
          <w:rFonts w:hint="eastAsia" w:ascii="仿宋" w:hAnsi="仿宋" w:eastAsia="仿宋" w:cs="仿宋"/>
          <w:color w:val="auto"/>
          <w:sz w:val="24"/>
          <w:szCs w:val="24"/>
          <w:highlight w:val="none"/>
          <w:lang w:eastAsia="zh-CN"/>
        </w:rPr>
        <w:t>运抵甲方指定地点的</w:t>
      </w:r>
      <w:r>
        <w:rPr>
          <w:rFonts w:hint="eastAsia" w:ascii="仿宋" w:hAnsi="仿宋" w:eastAsia="仿宋" w:cs="仿宋"/>
          <w:color w:val="auto"/>
          <w:sz w:val="24"/>
          <w:szCs w:val="24"/>
          <w:highlight w:val="none"/>
        </w:rPr>
        <w:t>时限不超过2天，每逾期1天按设备日均检查收入赔偿</w:t>
      </w:r>
      <w:r>
        <w:rPr>
          <w:rFonts w:hint="eastAsia" w:ascii="仿宋" w:hAnsi="仿宋" w:eastAsia="仿宋" w:cs="仿宋"/>
          <w:color w:val="auto"/>
          <w:sz w:val="24"/>
          <w:szCs w:val="24"/>
          <w:highlight w:val="none"/>
          <w:lang w:eastAsia="zh-CN"/>
        </w:rPr>
        <w:t>，具体计算标准参照本合同‘开机率违约处理’中约定的方式执行</w:t>
      </w:r>
      <w:r>
        <w:rPr>
          <w:rFonts w:hint="eastAsia" w:ascii="仿宋" w:hAnsi="仿宋" w:eastAsia="仿宋" w:cs="仿宋"/>
          <w:color w:val="auto"/>
          <w:sz w:val="24"/>
          <w:szCs w:val="24"/>
          <w:highlight w:val="none"/>
        </w:rPr>
        <w:t>；</w:t>
      </w:r>
    </w:p>
    <w:p w14:paraId="1A4EB93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提供维修、检测和报错系统软件，质保期后提供无偿技术支持。</w:t>
      </w:r>
    </w:p>
    <w:p w14:paraId="1C41D2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每次提供保养、维修等服务后，应填写由甲方提供的服务工单，详细记录服务内容、时间、人员、更换部件等信息，并经甲方指定人员签字确认。该工单作为乙方履行服务义务及甲方核算设备开机率等指标的依据。</w:t>
      </w:r>
    </w:p>
    <w:p w14:paraId="279A939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乙方到场维修及更换备件期间造成的设备停机时间，全部计入开机率考核范围。</w:t>
      </w:r>
    </w:p>
    <w:p w14:paraId="04F5E3E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7.3.5 </w:t>
      </w:r>
      <w:r>
        <w:rPr>
          <w:rFonts w:hint="eastAsia" w:ascii="仿宋" w:hAnsi="仿宋" w:eastAsia="仿宋" w:cs="仿宋"/>
          <w:color w:val="auto"/>
          <w:sz w:val="24"/>
          <w:szCs w:val="24"/>
          <w:highlight w:val="none"/>
        </w:rPr>
        <w:t>质保后服务：维修实行“先修后付款”，备件实行“先交货后付款”，费用标准以中标时提供的备品备件价格表为准。</w:t>
      </w:r>
    </w:p>
    <w:p w14:paraId="2F4B6AC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7.3.6 </w:t>
      </w:r>
      <w:r>
        <w:rPr>
          <w:rFonts w:hint="eastAsia" w:ascii="仿宋" w:hAnsi="仿宋" w:eastAsia="仿宋" w:cs="仿宋"/>
          <w:color w:val="auto"/>
          <w:sz w:val="24"/>
          <w:szCs w:val="24"/>
          <w:highlight w:val="none"/>
          <w:lang w:eastAsia="zh-CN"/>
        </w:rPr>
        <w:t>质保期结束后，乙方拒绝、无正当理由拖延或在接到甲方书面维修通知后24小时内未书面确认响应‘先修后付款’要求的，甲方有权委托第三方进行维修，乙方应承担因此产生的全部维修费用，并赔偿甲方设备停用期间的损失。</w:t>
      </w:r>
    </w:p>
    <w:p w14:paraId="183BDF7A">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索赔</w:t>
      </w:r>
    </w:p>
    <w:p w14:paraId="7564777F">
      <w:pPr>
        <w:pStyle w:val="10"/>
        <w:keepNext w:val="0"/>
        <w:keepLines w:val="0"/>
        <w:pageBreakBefore w:val="0"/>
        <w:numPr>
          <w:ilvl w:val="0"/>
          <w:numId w:val="10"/>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索赔情形：货物质量、规格、数量与合同不符，或质保期内证实存在缺陷（含潜在缺陷），甲方凭法定质检机构报告向乙方索赔（保险公司或运输部门责任除外）。</w:t>
      </w:r>
    </w:p>
    <w:p w14:paraId="52FF846D">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索赔处理：乙方须在收到索赔通知后7日内答复，逾期</w:t>
      </w:r>
      <w:r>
        <w:rPr>
          <w:rFonts w:hint="eastAsia" w:ascii="仿宋" w:hAnsi="仿宋" w:eastAsia="仿宋" w:cs="仿宋"/>
          <w:color w:val="auto"/>
          <w:sz w:val="24"/>
          <w:szCs w:val="24"/>
          <w:highlight w:val="none"/>
          <w:lang w:eastAsia="zh-CN"/>
        </w:rPr>
        <w:t>未书面提出合理异议的，则</w:t>
      </w:r>
      <w:r>
        <w:rPr>
          <w:rFonts w:hint="eastAsia" w:ascii="仿宋" w:hAnsi="仿宋" w:eastAsia="仿宋" w:cs="仿宋"/>
          <w:color w:val="auto"/>
          <w:sz w:val="24"/>
          <w:szCs w:val="24"/>
          <w:highlight w:val="none"/>
        </w:rPr>
        <w:t>视为认可</w:t>
      </w:r>
      <w:r>
        <w:rPr>
          <w:rFonts w:hint="eastAsia" w:ascii="仿宋" w:hAnsi="仿宋" w:eastAsia="仿宋" w:cs="仿宋"/>
          <w:color w:val="auto"/>
          <w:sz w:val="24"/>
          <w:szCs w:val="24"/>
          <w:highlight w:val="none"/>
          <w:lang w:eastAsia="zh-CN"/>
        </w:rPr>
        <w:t>甲方的</w:t>
      </w:r>
      <w:r>
        <w:rPr>
          <w:rFonts w:hint="eastAsia" w:ascii="仿宋" w:hAnsi="仿宋" w:eastAsia="仿宋" w:cs="仿宋"/>
          <w:color w:val="auto"/>
          <w:sz w:val="24"/>
          <w:szCs w:val="24"/>
          <w:highlight w:val="none"/>
        </w:rPr>
        <w:t>索赔</w:t>
      </w:r>
      <w:r>
        <w:rPr>
          <w:rFonts w:hint="eastAsia" w:ascii="仿宋" w:hAnsi="仿宋" w:eastAsia="仿宋" w:cs="仿宋"/>
          <w:color w:val="auto"/>
          <w:sz w:val="24"/>
          <w:szCs w:val="24"/>
          <w:highlight w:val="none"/>
          <w:lang w:eastAsia="zh-CN"/>
        </w:rPr>
        <w:t>主张</w:t>
      </w:r>
      <w:r>
        <w:rPr>
          <w:rFonts w:hint="eastAsia" w:ascii="仿宋" w:hAnsi="仿宋" w:eastAsia="仿宋" w:cs="仿宋"/>
          <w:color w:val="auto"/>
          <w:sz w:val="24"/>
          <w:szCs w:val="24"/>
          <w:highlight w:val="none"/>
        </w:rPr>
        <w:t>；可选择以下方式处理：</w:t>
      </w:r>
    </w:p>
    <w:p w14:paraId="3F512253">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折价处理：按缺陷程度协商或评估降低价格，折价金额从应付货款中扣除；</w:t>
      </w:r>
    </w:p>
    <w:p w14:paraId="2BFFF954">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更换维修：免费更换缺陷部件并修补，延长修补部件质保期，承担甲方直接损失。</w:t>
      </w:r>
    </w:p>
    <w:p w14:paraId="432FB744">
      <w:pPr>
        <w:pStyle w:val="10"/>
        <w:keepNext w:val="0"/>
        <w:keepLines w:val="0"/>
        <w:pageBreakBefore w:val="0"/>
        <w:numPr>
          <w:ilvl w:val="0"/>
          <w:numId w:val="10"/>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款项抵扣：乙方未按时处理索赔的，甲方从应付货款中扣回索赔金额，不足部分有权追索。</w:t>
      </w:r>
    </w:p>
    <w:p w14:paraId="2F468DF4">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bookmarkStart w:id="36" w:name="auto_fouce_16"/>
      <w:r>
        <w:rPr>
          <w:rFonts w:hint="eastAsia" w:ascii="仿宋" w:hAnsi="仿宋" w:eastAsia="仿宋" w:cs="仿宋"/>
          <w:color w:val="auto"/>
          <w:sz w:val="24"/>
          <w:szCs w:val="24"/>
          <w:highlight w:val="none"/>
        </w:rPr>
        <w:t>违约赔偿</w:t>
      </w:r>
    </w:p>
    <w:p w14:paraId="7FF6BF48">
      <w:pPr>
        <w:pStyle w:val="10"/>
        <w:keepNext w:val="0"/>
        <w:keepLines w:val="0"/>
        <w:pageBreakBefore w:val="0"/>
        <w:numPr>
          <w:ilvl w:val="0"/>
          <w:numId w:val="11"/>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乙方违约：</w:t>
      </w:r>
    </w:p>
    <w:p w14:paraId="5E0B8E18">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延迟交货：每延迟1日按合同总价款0.05%支付违约金；</w:t>
      </w:r>
      <w:r>
        <w:rPr>
          <w:rFonts w:hint="eastAsia" w:ascii="仿宋" w:hAnsi="仿宋" w:eastAsia="仿宋" w:cs="仿宋"/>
          <w:color w:val="auto"/>
          <w:sz w:val="24"/>
          <w:szCs w:val="24"/>
          <w:highlight w:val="none"/>
          <w:lang w:eastAsia="zh-CN"/>
        </w:rPr>
        <w:t>延迟交货超过15日的，甲方有权单方解除合同，乙方须在3日内退还已收全部款项，并支付合同总价款20%的违约金；</w:t>
      </w:r>
    </w:p>
    <w:p w14:paraId="54D643AC">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履行合同不符：除及时调换外，调换期间按调换货物金额每日0.05%支付违约金；</w:t>
      </w:r>
    </w:p>
    <w:p w14:paraId="5F8BD53A">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腐败或欺诈行为：甲方终止合同，乙方承担全部损失并赔偿合同总价款30%的违约金。</w:t>
      </w:r>
      <w:bookmarkEnd w:id="36"/>
    </w:p>
    <w:p w14:paraId="46A72ADE">
      <w:pPr>
        <w:pStyle w:val="10"/>
        <w:keepNext w:val="0"/>
        <w:keepLines w:val="0"/>
        <w:pageBreakBefore w:val="0"/>
        <w:numPr>
          <w:ilvl w:val="0"/>
          <w:numId w:val="11"/>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甲方违约：未按约定付款，每延迟1日按未支付金额0.05%支付违约金。</w:t>
      </w:r>
    </w:p>
    <w:p w14:paraId="7FBF1925">
      <w:pPr>
        <w:pStyle w:val="10"/>
        <w:keepNext w:val="0"/>
        <w:keepLines w:val="0"/>
        <w:pageBreakBefore w:val="0"/>
        <w:numPr>
          <w:ilvl w:val="0"/>
          <w:numId w:val="11"/>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争议费用：因一方违约引发诉讼或仲裁的，违约方承担对方经济损失及律师费、诉讼费等相关费用。</w:t>
      </w:r>
    </w:p>
    <w:p w14:paraId="7F732AA7">
      <w:pPr>
        <w:pStyle w:val="10"/>
        <w:keepNext w:val="0"/>
        <w:keepLines w:val="0"/>
        <w:pageBreakBefore w:val="0"/>
        <w:numPr>
          <w:ilvl w:val="0"/>
          <w:numId w:val="11"/>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款项支付：违约金、赔偿金须在责任明确后3日内付清，逾期按逾期付款处理。</w:t>
      </w:r>
    </w:p>
    <w:p w14:paraId="2C3B99E8">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合同修改</w:t>
      </w:r>
    </w:p>
    <w:p w14:paraId="74A76904">
      <w:pPr>
        <w:pStyle w:val="10"/>
        <w:keepNext w:val="0"/>
        <w:keepLines w:val="0"/>
        <w:pageBreakBefore w:val="0"/>
        <w:numPr>
          <w:ilvl w:val="0"/>
          <w:numId w:val="12"/>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变更限制：双方不得擅自变更合同，确需修改的须共同签署书面文件，报评标中心审核备案。</w:t>
      </w:r>
    </w:p>
    <w:p w14:paraId="1223B40B">
      <w:pPr>
        <w:pStyle w:val="10"/>
        <w:keepNext w:val="0"/>
        <w:keepLines w:val="0"/>
        <w:pageBreakBefore w:val="0"/>
        <w:numPr>
          <w:ilvl w:val="0"/>
          <w:numId w:val="12"/>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违约终止：甲方可书面通知乙方终止部分或全部合同的情形：</w:t>
      </w:r>
    </w:p>
    <w:p w14:paraId="799C0F52">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乙方未在约定时限（含延长时限）内提供货物或服务；</w:t>
      </w:r>
    </w:p>
    <w:p w14:paraId="7CDF542A">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乙方在竞争或实施过程中存在腐败、欺诈行为。</w:t>
      </w:r>
    </w:p>
    <w:p w14:paraId="72C9207A">
      <w:pPr>
        <w:pStyle w:val="10"/>
        <w:keepNext w:val="0"/>
        <w:keepLines w:val="0"/>
        <w:pageBreakBefore w:val="0"/>
        <w:numPr>
          <w:ilvl w:val="0"/>
          <w:numId w:val="12"/>
        </w:numPr>
        <w:tabs>
          <w:tab w:val="left" w:pos="90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终止后果：合同终止后甲方可采购同类货物，乙方承担额外支出；部分终止的，乙方继续履行未终止部分。</w:t>
      </w:r>
    </w:p>
    <w:p w14:paraId="47324DB7">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破产终止合同</w:t>
      </w:r>
    </w:p>
    <w:p w14:paraId="537CD534">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乙方破产或无清偿能力的，甲方可书面通知终止合同且不补偿，不影响甲方已采取或将要采取的补救措施。</w:t>
      </w:r>
    </w:p>
    <w:p w14:paraId="056E8F2F">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bookmarkStart w:id="37" w:name="tip_risk_bookmark_18"/>
      <w:r>
        <w:rPr>
          <w:rFonts w:hint="eastAsia" w:ascii="仿宋" w:hAnsi="仿宋" w:eastAsia="仿宋" w:cs="仿宋"/>
          <w:color w:val="auto"/>
          <w:sz w:val="24"/>
          <w:szCs w:val="24"/>
          <w:highlight w:val="none"/>
        </w:rPr>
        <w:t>不可抗力</w:t>
      </w:r>
    </w:p>
    <w:p w14:paraId="7720C8CC">
      <w:pPr>
        <w:pStyle w:val="10"/>
        <w:keepNext w:val="0"/>
        <w:keepLines w:val="0"/>
        <w:pageBreakBefore w:val="0"/>
        <w:numPr>
          <w:ilvl w:val="0"/>
          <w:numId w:val="13"/>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不可抗力定义：战争、严重火灾、洪水、台风、地震等双方缔结合同时不能预见、无法避免的事件。</w:t>
      </w:r>
    </w:p>
    <w:p w14:paraId="039E8BC5">
      <w:pPr>
        <w:pStyle w:val="10"/>
        <w:keepNext w:val="0"/>
        <w:keepLines w:val="0"/>
        <w:pageBreakBefore w:val="0"/>
        <w:numPr>
          <w:ilvl w:val="0"/>
          <w:numId w:val="13"/>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通知与证明：事件发生后，当事方须立即书面通知对方，15日内提供相关部门证明文件。</w:t>
      </w:r>
      <w:bookmarkEnd w:id="37"/>
    </w:p>
    <w:p w14:paraId="31624774">
      <w:pPr>
        <w:pStyle w:val="10"/>
        <w:keepNext w:val="0"/>
        <w:keepLines w:val="0"/>
        <w:pageBreakBefore w:val="0"/>
        <w:numPr>
          <w:ilvl w:val="0"/>
          <w:numId w:val="13"/>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后续处理：双方协商确定合同履行方案，书面报评标中心备案。</w:t>
      </w:r>
    </w:p>
    <w:p w14:paraId="04D1490A">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税费</w:t>
      </w:r>
    </w:p>
    <w:p w14:paraId="635D776B">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与本合同相关的全部税费（含增值税、商检费、关税等）均由乙方承担，包含在投标总价中。</w:t>
      </w:r>
    </w:p>
    <w:p w14:paraId="1D14E98A">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转让和分包</w:t>
      </w:r>
    </w:p>
    <w:p w14:paraId="7A0D5B92">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本合同项下权利义务不得转让，不得分包，违反者甲方有权终止合同并追究乙方违约责任。</w:t>
      </w:r>
    </w:p>
    <w:p w14:paraId="3430904D">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通知</w:t>
      </w:r>
    </w:p>
    <w:p w14:paraId="5768CC89">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双方通知须以书面形式送达对方指定地址，对方签收确认；通过快递发送的，快递签收日为通知到达日。</w:t>
      </w:r>
    </w:p>
    <w:p w14:paraId="3B79BACC">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合同争议的解决方式</w:t>
      </w:r>
    </w:p>
    <w:p w14:paraId="6938A838">
      <w:pPr>
        <w:pStyle w:val="10"/>
        <w:keepNext w:val="0"/>
        <w:keepLines w:val="0"/>
        <w:pageBreakBefore w:val="0"/>
        <w:wordWrap/>
        <w:overflowPunct/>
        <w:topLinePunct w:val="0"/>
        <w:bidi w:val="0"/>
        <w:spacing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本合同履行过程中发生的争议，由双方协商解决；协商不成的，提交甲方所在地人民法院诉讼解决。</w:t>
      </w:r>
    </w:p>
    <w:p w14:paraId="55C13E76">
      <w:pPr>
        <w:pStyle w:val="53"/>
        <w:keepNext w:val="0"/>
        <w:keepLines w:val="0"/>
        <w:pageBreakBefore w:val="0"/>
        <w:widowControl/>
        <w:numPr>
          <w:ilvl w:val="0"/>
          <w:numId w:val="9"/>
        </w:numPr>
        <w:tabs>
          <w:tab w:val="left" w:pos="1121"/>
        </w:tabs>
        <w:wordWrap/>
        <w:overflowPunct/>
        <w:topLinePunct w:val="0"/>
        <w:bidi w:val="0"/>
        <w:spacing w:before="0" w:after="0" w:line="360" w:lineRule="auto"/>
        <w:ind w:left="0" w:leftChars="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p w14:paraId="72446F68">
      <w:pPr>
        <w:pStyle w:val="10"/>
        <w:keepNext w:val="0"/>
        <w:keepLines w:val="0"/>
        <w:pageBreakBefore w:val="0"/>
        <w:numPr>
          <w:ilvl w:val="0"/>
          <w:numId w:val="14"/>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知识产权：乙方保证所供设备及软件无知识产权纠纷，若引发侵权诉讼，全部责任由乙方承担。</w:t>
      </w:r>
    </w:p>
    <w:p w14:paraId="41BE4D1A">
      <w:pPr>
        <w:pStyle w:val="10"/>
        <w:keepNext w:val="0"/>
        <w:keepLines w:val="0"/>
        <w:pageBreakBefore w:val="0"/>
        <w:numPr>
          <w:ilvl w:val="0"/>
          <w:numId w:val="14"/>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保密义务：乙方对接触的甲方患者信息、设备数据等承担保密责任，保密期限不少于5年。</w:t>
      </w:r>
    </w:p>
    <w:p w14:paraId="5FB03394">
      <w:pPr>
        <w:pStyle w:val="10"/>
        <w:keepNext w:val="0"/>
        <w:keepLines w:val="0"/>
        <w:pageBreakBefore w:val="0"/>
        <w:numPr>
          <w:ilvl w:val="0"/>
          <w:numId w:val="14"/>
        </w:numPr>
        <w:tabs>
          <w:tab w:val="left" w:pos="1020"/>
          <w:tab w:val="clear" w:pos="210"/>
        </w:tabs>
        <w:wordWrap/>
        <w:overflowPunct/>
        <w:topLinePunct w:val="0"/>
        <w:bidi w:val="0"/>
        <w:spacing w:after="0" w:line="360" w:lineRule="auto"/>
        <w:ind w:left="0" w:leftChars="0" w:firstLine="480" w:firstLineChars="20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生效条件：本</w:t>
      </w:r>
      <w:r>
        <w:rPr>
          <w:rFonts w:hint="eastAsia" w:ascii="仿宋" w:hAnsi="仿宋" w:eastAsia="仿宋" w:cs="仿宋"/>
          <w:color w:val="auto"/>
          <w:sz w:val="24"/>
          <w:szCs w:val="24"/>
          <w:highlight w:val="none"/>
          <w:lang w:eastAsia="zh-CN"/>
        </w:rPr>
        <w:t>合同未尽事宜</w:t>
      </w:r>
      <w:r>
        <w:rPr>
          <w:rFonts w:hint="eastAsia" w:ascii="仿宋" w:hAnsi="仿宋" w:eastAsia="仿宋" w:cs="仿宋"/>
          <w:color w:val="auto"/>
          <w:sz w:val="24"/>
          <w:szCs w:val="24"/>
          <w:highlight w:val="none"/>
        </w:rPr>
        <w:t>经双方</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签</w:t>
      </w:r>
      <w:r>
        <w:rPr>
          <w:rFonts w:hint="eastAsia" w:ascii="仿宋" w:hAnsi="仿宋" w:eastAsia="仿宋" w:cs="仿宋"/>
          <w:color w:val="auto"/>
          <w:sz w:val="24"/>
          <w:szCs w:val="24"/>
          <w:highlight w:val="none"/>
          <w:lang w:eastAsia="zh-CN"/>
        </w:rPr>
        <w:t>订的补充协议，需经双方签</w:t>
      </w:r>
      <w:r>
        <w:rPr>
          <w:rFonts w:hint="eastAsia" w:ascii="仿宋" w:hAnsi="仿宋" w:eastAsia="仿宋" w:cs="仿宋"/>
          <w:color w:val="auto"/>
          <w:sz w:val="24"/>
          <w:szCs w:val="24"/>
          <w:highlight w:val="none"/>
        </w:rPr>
        <w:t>字盖章后与</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合同具有同等法律效力</w:t>
      </w:r>
    </w:p>
    <w:bookmarkEnd w:id="34"/>
    <w:bookmarkEnd w:id="35"/>
    <w:p w14:paraId="46EBC6D3">
      <w:pPr>
        <w:pStyle w:val="53"/>
        <w:keepNext w:val="0"/>
        <w:keepLines w:val="0"/>
        <w:pageBreakBefore w:val="0"/>
        <w:numPr>
          <w:ilvl w:val="0"/>
          <w:numId w:val="9"/>
        </w:numPr>
        <w:tabs>
          <w:tab w:val="left" w:pos="1121"/>
        </w:tabs>
        <w:wordWrap/>
        <w:overflowPunct/>
        <w:topLinePunct w:val="0"/>
        <w:bidi w:val="0"/>
        <w:spacing w:before="0" w:after="0" w:line="360" w:lineRule="auto"/>
        <w:ind w:left="0" w:leftChars="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本合同自双方签字、盖章之日生效，一式肆份，甲方叁份，乙方壹份。</w:t>
      </w:r>
    </w:p>
    <w:p w14:paraId="6AC6FD43">
      <w:pPr>
        <w:pStyle w:val="10"/>
        <w:keepNext w:val="0"/>
        <w:keepLines w:val="0"/>
        <w:pageBreakBefore w:val="0"/>
        <w:widowControl/>
        <w:wordWrap/>
        <w:overflowPunct/>
        <w:topLinePunct w:val="0"/>
        <w:bidi w:val="0"/>
        <w:spacing w:after="0"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后附招标参数：</w:t>
      </w:r>
    </w:p>
    <w:p w14:paraId="09B52AE6">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right="0" w:firstLine="480" w:firstLineChars="200"/>
        <w:jc w:val="both"/>
        <w:textAlignment w:val="baseline"/>
        <w:rPr>
          <w:rFonts w:hint="eastAsia" w:ascii="仿宋" w:hAnsi="仿宋" w:eastAsia="仿宋" w:cs="仿宋"/>
          <w:b w:val="0"/>
          <w:bCs/>
          <w:color w:val="auto"/>
          <w:kern w:val="2"/>
          <w:sz w:val="24"/>
          <w:szCs w:val="24"/>
          <w:highlight w:val="none"/>
          <w:lang w:val="en-US" w:eastAsia="zh-CN" w:bidi="ar"/>
        </w:rPr>
      </w:pPr>
    </w:p>
    <w:p w14:paraId="7FADD399">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right="0" w:firstLine="480" w:firstLineChars="200"/>
        <w:jc w:val="both"/>
        <w:textAlignment w:val="baseline"/>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甲方：</w:t>
      </w:r>
      <w:r>
        <w:rPr>
          <w:rFonts w:hint="eastAsia" w:ascii="仿宋" w:hAnsi="仿宋" w:eastAsia="仿宋" w:cs="仿宋"/>
          <w:b w:val="0"/>
          <w:bCs/>
          <w:color w:val="auto"/>
          <w:kern w:val="2"/>
          <w:sz w:val="24"/>
          <w:szCs w:val="24"/>
          <w:highlight w:val="none"/>
          <w:u w:val="single"/>
          <w:lang w:val="en-US" w:eastAsia="zh-CN" w:bidi="ar"/>
        </w:rPr>
        <w:t xml:space="preserve">玛纳斯县人民医院  </w:t>
      </w:r>
      <w:r>
        <w:rPr>
          <w:rFonts w:hint="eastAsia" w:ascii="仿宋" w:hAnsi="仿宋" w:eastAsia="仿宋" w:cs="仿宋"/>
          <w:b w:val="0"/>
          <w:bCs/>
          <w:color w:val="auto"/>
          <w:kern w:val="2"/>
          <w:sz w:val="24"/>
          <w:szCs w:val="24"/>
          <w:highlight w:val="none"/>
          <w:lang w:val="en-US" w:eastAsia="zh-CN" w:bidi="ar"/>
        </w:rPr>
        <w:t xml:space="preserve">                  乙方：</w:t>
      </w:r>
    </w:p>
    <w:p w14:paraId="16D9FB3C">
      <w:pPr>
        <w:keepNext w:val="0"/>
        <w:keepLines w:val="0"/>
        <w:pageBreakBefore w:val="0"/>
        <w:widowControl/>
        <w:suppressLineNumbers w:val="0"/>
        <w:wordWrap/>
        <w:overflowPunct/>
        <w:topLinePunct w:val="0"/>
        <w:bidi w:val="0"/>
        <w:spacing w:afterAutospacing="0" w:line="360" w:lineRule="auto"/>
        <w:ind w:firstLine="480" w:firstLineChars="200"/>
        <w:jc w:val="left"/>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开户行：</w:t>
      </w:r>
      <w:r>
        <w:rPr>
          <w:rFonts w:hint="eastAsia" w:ascii="仿宋" w:hAnsi="仿宋" w:eastAsia="仿宋" w:cs="仿宋"/>
          <w:b w:val="0"/>
          <w:bCs/>
          <w:color w:val="auto"/>
          <w:kern w:val="2"/>
          <w:sz w:val="24"/>
          <w:szCs w:val="24"/>
          <w:highlight w:val="none"/>
          <w:u w:val="single"/>
          <w:lang w:val="en-US" w:eastAsia="zh-CN" w:bidi="ar"/>
        </w:rPr>
        <w:t>中国农业银行玛纳斯县支行</w:t>
      </w:r>
      <w:r>
        <w:rPr>
          <w:rFonts w:hint="eastAsia" w:ascii="仿宋" w:hAnsi="仿宋" w:eastAsia="仿宋" w:cs="仿宋"/>
          <w:b w:val="0"/>
          <w:bCs/>
          <w:color w:val="auto"/>
          <w:kern w:val="2"/>
          <w:sz w:val="24"/>
          <w:szCs w:val="24"/>
          <w:highlight w:val="none"/>
          <w:lang w:val="en-US" w:eastAsia="zh-CN" w:bidi="ar"/>
        </w:rPr>
        <w:t xml:space="preserve">        开户行：</w:t>
      </w:r>
    </w:p>
    <w:p w14:paraId="4510CEBC">
      <w:pPr>
        <w:keepNext w:val="0"/>
        <w:keepLines w:val="0"/>
        <w:pageBreakBefore w:val="0"/>
        <w:widowControl/>
        <w:suppressLineNumbers w:val="0"/>
        <w:wordWrap/>
        <w:overflowPunct/>
        <w:topLinePunct w:val="0"/>
        <w:bidi w:val="0"/>
        <w:spacing w:afterAutospacing="0" w:line="360" w:lineRule="auto"/>
        <w:ind w:left="482" w:leftChars="0" w:firstLine="480" w:firstLineChars="200"/>
        <w:jc w:val="left"/>
        <w:rPr>
          <w:rFonts w:hint="eastAsia" w:ascii="仿宋" w:hAnsi="仿宋" w:eastAsia="仿宋" w:cs="仿宋"/>
          <w:b w:val="0"/>
          <w:bCs/>
          <w:color w:val="auto"/>
          <w:sz w:val="24"/>
          <w:szCs w:val="24"/>
          <w:highlight w:val="none"/>
        </w:rPr>
      </w:pPr>
      <w:bookmarkStart w:id="38" w:name="auto_fouce_21"/>
      <w:r>
        <w:rPr>
          <w:rFonts w:hint="eastAsia" w:ascii="仿宋" w:hAnsi="仿宋" w:eastAsia="仿宋" w:cs="仿宋"/>
          <w:b w:val="0"/>
          <w:bCs/>
          <w:color w:val="auto"/>
          <w:kern w:val="2"/>
          <w:sz w:val="24"/>
          <w:szCs w:val="24"/>
          <w:highlight w:val="none"/>
          <w:lang w:val="en-US" w:eastAsia="zh-CN" w:bidi="ar"/>
        </w:rPr>
        <w:t xml:space="preserve">账号：                          </w:t>
      </w:r>
      <w:r>
        <w:rPr>
          <w:rFonts w:hint="eastAsia" w:ascii="仿宋" w:hAnsi="仿宋" w:eastAsia="仿宋" w:cs="仿宋"/>
          <w:b w:val="0"/>
          <w:bCs/>
          <w:color w:val="auto"/>
          <w:kern w:val="2"/>
          <w:sz w:val="24"/>
          <w:szCs w:val="24"/>
          <w:highlight w:val="none"/>
          <w:u w:val="none"/>
          <w:lang w:val="en-US" w:eastAsia="zh-CN" w:bidi="ar"/>
        </w:rPr>
        <w:t>账号：</w:t>
      </w:r>
      <w:bookmarkEnd w:id="38"/>
    </w:p>
    <w:p w14:paraId="05044073">
      <w:pPr>
        <w:keepNext w:val="0"/>
        <w:keepLines w:val="0"/>
        <w:pageBreakBefore w:val="0"/>
        <w:wordWrap/>
        <w:overflowPunct/>
        <w:topLinePunct w:val="0"/>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经办人：                                 联系人：</w:t>
      </w:r>
    </w:p>
    <w:p w14:paraId="45B65756">
      <w:pPr>
        <w:keepNext w:val="0"/>
        <w:keepLines w:val="0"/>
        <w:pageBreakBefore w:val="0"/>
        <w:kinsoku w:val="0"/>
        <w:wordWrap/>
        <w:overflowPunct/>
        <w:topLinePunct w:val="0"/>
        <w:autoSpaceDE w:val="0"/>
        <w:autoSpaceDN w:val="0"/>
        <w:bidi w:val="0"/>
        <w:adjustRightInd w:val="0"/>
        <w:snapToGrid w:val="0"/>
        <w:spacing w:afterAutospacing="0" w:line="360" w:lineRule="auto"/>
        <w:ind w:left="0" w:firstLine="480" w:firstLineChars="200"/>
        <w:jc w:val="left"/>
        <w:textAlignment w:val="baseline"/>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 xml:space="preserve">    </w:t>
      </w:r>
    </w:p>
    <w:p w14:paraId="67C94442">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right="0"/>
        <w:jc w:val="both"/>
        <w:textAlignment w:val="baseline"/>
        <w:rPr>
          <w:rFonts w:hint="eastAsia" w:ascii="仿宋" w:hAnsi="仿宋" w:eastAsia="仿宋" w:cs="仿宋"/>
          <w:b w:val="0"/>
          <w:bCs/>
          <w:color w:val="auto"/>
          <w:kern w:val="2"/>
          <w:sz w:val="24"/>
          <w:szCs w:val="24"/>
          <w:highlight w:val="none"/>
          <w:u w:val="single"/>
          <w:lang w:val="en-US" w:eastAsia="zh-CN" w:bidi="ar"/>
        </w:rPr>
      </w:pPr>
      <w:bookmarkStart w:id="39" w:name="tip_risk_bookmark_23"/>
      <w:r>
        <w:rPr>
          <w:rFonts w:hint="eastAsia" w:ascii="仿宋" w:hAnsi="仿宋" w:eastAsia="仿宋" w:cs="仿宋"/>
          <w:b w:val="0"/>
          <w:bCs/>
          <w:color w:val="auto"/>
          <w:kern w:val="2"/>
          <w:sz w:val="24"/>
          <w:szCs w:val="24"/>
          <w:highlight w:val="none"/>
          <w:lang w:val="en-US" w:eastAsia="zh-CN" w:bidi="ar"/>
        </w:rPr>
        <w:t>法定（授权）代表人：</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 xml:space="preserve">           法定（授权）代表人：</w:t>
      </w:r>
      <w:r>
        <w:rPr>
          <w:rFonts w:hint="eastAsia" w:ascii="仿宋" w:hAnsi="仿宋" w:eastAsia="仿宋" w:cs="仿宋"/>
          <w:b w:val="0"/>
          <w:bCs/>
          <w:color w:val="auto"/>
          <w:kern w:val="2"/>
          <w:sz w:val="24"/>
          <w:szCs w:val="24"/>
          <w:highlight w:val="none"/>
          <w:u w:val="single"/>
          <w:lang w:val="en-US" w:eastAsia="zh-CN" w:bidi="ar"/>
        </w:rPr>
        <w:t xml:space="preserve">            </w:t>
      </w:r>
    </w:p>
    <w:p w14:paraId="6284AD7B">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482" w:leftChars="0" w:right="0" w:firstLine="480" w:firstLineChars="200"/>
        <w:jc w:val="both"/>
        <w:textAlignment w:val="baseline"/>
        <w:rPr>
          <w:rFonts w:hint="eastAsia" w:ascii="仿宋" w:hAnsi="仿宋" w:eastAsia="仿宋" w:cs="仿宋"/>
          <w:b w:val="0"/>
          <w:bCs/>
          <w:color w:val="auto"/>
          <w:kern w:val="2"/>
          <w:sz w:val="24"/>
          <w:szCs w:val="24"/>
          <w:highlight w:val="none"/>
          <w:lang w:val="en-US" w:eastAsia="zh-CN" w:bidi="ar"/>
        </w:rPr>
      </w:pPr>
    </w:p>
    <w:p w14:paraId="38EA1398">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right="0"/>
        <w:jc w:val="both"/>
        <w:textAlignment w:val="baseline"/>
        <w:rPr>
          <w:rFonts w:hint="eastAsia" w:ascii="仿宋" w:hAnsi="仿宋" w:eastAsia="仿宋" w:cs="仿宋"/>
          <w:b w:val="0"/>
          <w:bCs/>
          <w:color w:val="auto"/>
          <w:kern w:val="2"/>
          <w:sz w:val="24"/>
          <w:szCs w:val="24"/>
          <w:highlight w:val="none"/>
          <w:u w:val="single"/>
          <w:lang w:val="en-US" w:eastAsia="zh-CN" w:bidi="ar"/>
        </w:rPr>
      </w:pPr>
      <w:r>
        <w:rPr>
          <w:rFonts w:hint="eastAsia" w:ascii="仿宋" w:hAnsi="仿宋" w:eastAsia="仿宋" w:cs="仿宋"/>
          <w:b w:val="0"/>
          <w:bCs/>
          <w:color w:val="auto"/>
          <w:kern w:val="2"/>
          <w:sz w:val="24"/>
          <w:szCs w:val="24"/>
          <w:highlight w:val="none"/>
          <w:lang w:val="en-US" w:eastAsia="zh-CN" w:bidi="ar"/>
        </w:rPr>
        <w:t>日  期 ：</w:t>
      </w:r>
      <w:r>
        <w:rPr>
          <w:rFonts w:hint="eastAsia" w:ascii="仿宋" w:hAnsi="仿宋" w:eastAsia="仿宋" w:cs="仿宋"/>
          <w:b w:val="0"/>
          <w:bCs/>
          <w:color w:val="auto"/>
          <w:kern w:val="2"/>
          <w:sz w:val="24"/>
          <w:szCs w:val="24"/>
          <w:highlight w:val="none"/>
          <w:u w:val="single"/>
          <w:lang w:val="en-US" w:eastAsia="zh-CN" w:bidi="ar"/>
        </w:rPr>
        <w:t xml:space="preserve">      年    月   日</w:t>
      </w:r>
      <w:r>
        <w:rPr>
          <w:rFonts w:hint="eastAsia" w:ascii="仿宋" w:hAnsi="仿宋" w:eastAsia="仿宋" w:cs="仿宋"/>
          <w:b w:val="0"/>
          <w:bCs/>
          <w:color w:val="auto"/>
          <w:kern w:val="2"/>
          <w:sz w:val="24"/>
          <w:szCs w:val="24"/>
          <w:highlight w:val="none"/>
          <w:lang w:val="en-US" w:eastAsia="zh-CN" w:bidi="ar"/>
        </w:rPr>
        <w:t xml:space="preserve">             日  期 ：</w:t>
      </w:r>
      <w:r>
        <w:rPr>
          <w:rFonts w:hint="eastAsia" w:ascii="仿宋" w:hAnsi="仿宋" w:eastAsia="仿宋" w:cs="仿宋"/>
          <w:b w:val="0"/>
          <w:bCs/>
          <w:color w:val="auto"/>
          <w:kern w:val="2"/>
          <w:sz w:val="24"/>
          <w:szCs w:val="24"/>
          <w:highlight w:val="none"/>
          <w:u w:val="single"/>
          <w:lang w:val="en-US" w:eastAsia="zh-CN" w:bidi="ar"/>
        </w:rPr>
        <w:t xml:space="preserve">     年   月    日</w:t>
      </w:r>
      <w:bookmarkEnd w:id="39"/>
    </w:p>
    <w:p w14:paraId="5523787E">
      <w:pPr>
        <w:overflowPunct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D372AB">
      <w:pPr>
        <w:spacing w:line="440" w:lineRule="exact"/>
        <w:jc w:val="center"/>
        <w:outlineLvl w:val="9"/>
        <w:rPr>
          <w:rFonts w:hint="eastAsia" w:ascii="仿宋" w:hAnsi="仿宋" w:eastAsia="仿宋" w:cs="仿宋"/>
          <w:color w:val="auto"/>
          <w:sz w:val="24"/>
          <w:szCs w:val="24"/>
          <w:highlight w:val="none"/>
        </w:rPr>
      </w:pPr>
    </w:p>
    <w:p w14:paraId="054A209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p w14:paraId="593721C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1.本范本根据《政府采购法》、《民法典》等法律法规制定。具体项目的采购合同条款，在本范本框架内由甲乙双方协商一致签订。空格处划横线。</w:t>
      </w:r>
    </w:p>
    <w:p w14:paraId="2F736A6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2.收款单位名称应与本合同乙方单位名称、项目成交单位名称、开具发票单位名称相一致。</w:t>
      </w:r>
    </w:p>
    <w:p w14:paraId="42523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color w:val="auto"/>
          <w:sz w:val="24"/>
          <w:highlight w:val="none"/>
        </w:rPr>
        <w:t>3.甲方（采购单位）应盖本单位公章，乙方应盖单位公章或合同专用章，合同双方应盖骑缝章。</w:t>
      </w:r>
    </w:p>
    <w:bookmarkEnd w:id="30"/>
    <w:p w14:paraId="76D28671">
      <w:pPr>
        <w:spacing w:line="500" w:lineRule="exact"/>
        <w:rPr>
          <w:rFonts w:hint="eastAsia" w:ascii="仿宋" w:hAnsi="仿宋" w:eastAsia="仿宋" w:cs="仿宋"/>
          <w:color w:val="auto"/>
          <w:sz w:val="24"/>
          <w:highlight w:val="none"/>
        </w:rPr>
      </w:pPr>
    </w:p>
    <w:p w14:paraId="61E0C72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21DC479">
      <w:pPr>
        <w:pStyle w:val="2"/>
        <w:numPr>
          <w:ilvl w:val="0"/>
          <w:numId w:val="1"/>
        </w:numPr>
        <w:jc w:val="center"/>
        <w:rPr>
          <w:rFonts w:hint="eastAsia" w:ascii="仿宋" w:hAnsi="仿宋" w:eastAsia="仿宋" w:cs="仿宋"/>
          <w:color w:val="auto"/>
          <w:sz w:val="32"/>
          <w:szCs w:val="32"/>
          <w:highlight w:val="none"/>
        </w:rPr>
      </w:pPr>
      <w:bookmarkStart w:id="40" w:name="_Toc28683"/>
      <w:r>
        <w:rPr>
          <w:rFonts w:hint="eastAsia" w:ascii="仿宋" w:hAnsi="仿宋" w:eastAsia="仿宋" w:cs="仿宋"/>
          <w:color w:val="auto"/>
          <w:sz w:val="32"/>
          <w:szCs w:val="32"/>
          <w:highlight w:val="none"/>
        </w:rPr>
        <w:t>采购需求</w:t>
      </w:r>
      <w:bookmarkEnd w:id="40"/>
    </w:p>
    <w:p w14:paraId="27479F58">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w:t>
      </w:r>
    </w:p>
    <w:p w14:paraId="7E7FD2C4">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采购项目内容中凡标有“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”的地方均为</w:t>
      </w:r>
      <w:r>
        <w:rPr>
          <w:rFonts w:hint="eastAsia" w:ascii="仿宋" w:hAnsi="仿宋" w:eastAsia="仿宋" w:cs="仿宋"/>
          <w:color w:val="auto"/>
          <w:sz w:val="24"/>
          <w:szCs w:val="24"/>
          <w:highlight w:val="none"/>
          <w:lang w:val="en-US" w:eastAsia="zh-CN"/>
        </w:rPr>
        <w:t>实质性条款，</w:t>
      </w:r>
      <w:r>
        <w:rPr>
          <w:rFonts w:hint="eastAsia" w:ascii="仿宋" w:hAnsi="仿宋" w:eastAsia="仿宋" w:cs="仿宋"/>
          <w:color w:val="auto"/>
          <w:sz w:val="24"/>
          <w:szCs w:val="24"/>
          <w:highlight w:val="none"/>
        </w:rPr>
        <w:t>必须完全满足条款，投标人要特别加以注意，必须完全满足或优于这些要求，若有一项带“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”的指标要求未响应或不满足，将按</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处理。</w:t>
      </w:r>
    </w:p>
    <w:p w14:paraId="142832C8">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需求书中如有标注“▲”号条款为重要指标，供应商若有部分“▲”条款未响应或不满足，将导致失分，但不作为</w:t>
      </w:r>
      <w:r>
        <w:rPr>
          <w:rFonts w:hint="eastAsia" w:ascii="仿宋" w:hAnsi="仿宋" w:eastAsia="仿宋" w:cs="仿宋"/>
          <w:b/>
          <w:bCs/>
          <w:color w:val="auto"/>
          <w:sz w:val="24"/>
          <w:szCs w:val="24"/>
          <w:highlight w:val="none"/>
        </w:rPr>
        <w:t>无效</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color w:val="auto"/>
          <w:sz w:val="24"/>
          <w:szCs w:val="24"/>
          <w:highlight w:val="none"/>
        </w:rPr>
        <w:t>条款。</w:t>
      </w:r>
    </w:p>
    <w:p w14:paraId="642884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lang w:val="en-US" w:eastAsia="zh-CN"/>
        </w:rPr>
        <w:t>3.以下技术指标及要求中如出现设备或产品品牌，仅作为参考该设备或产品所需达到的具体技术性能要求，不作为该设备或产品的品牌要求。投标人可以选用替代品牌，实质上满足或超过招标文件的要求即可获得评审认可。</w:t>
      </w:r>
    </w:p>
    <w:p w14:paraId="681FCD84">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bookmarkStart w:id="41" w:name="_Toc14928"/>
      <w:r>
        <w:rPr>
          <w:rFonts w:hint="eastAsia" w:ascii="仿宋" w:hAnsi="仿宋" w:eastAsia="仿宋" w:cs="仿宋"/>
          <w:b/>
          <w:bCs/>
          <w:color w:val="auto"/>
          <w:sz w:val="24"/>
          <w:szCs w:val="24"/>
          <w:highlight w:val="none"/>
          <w:lang w:val="en-US" w:eastAsia="zh-CN"/>
        </w:rPr>
        <w:t>标项一</w:t>
      </w:r>
    </w:p>
    <w:p w14:paraId="3D0E5B5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6E3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312">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5F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1E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1F3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EB0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6D3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38B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164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E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3C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超声手术刀系统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6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EE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B3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5E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1D98">
            <w:pPr>
              <w:jc w:val="center"/>
              <w:rPr>
                <w:rFonts w:hint="eastAsia" w:ascii="仿宋" w:hAnsi="仿宋" w:eastAsia="仿宋" w:cs="仿宋"/>
                <w:i w:val="0"/>
                <w:iCs w:val="0"/>
                <w:color w:val="auto"/>
                <w:sz w:val="24"/>
                <w:szCs w:val="24"/>
                <w:highlight w:val="none"/>
                <w:u w:val="none"/>
              </w:rPr>
            </w:pPr>
          </w:p>
        </w:tc>
      </w:tr>
      <w:tr w14:paraId="3164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2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5D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隐疤痕无充气甲状腺器械套装</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B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B5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86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23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6EC7">
            <w:pPr>
              <w:jc w:val="center"/>
              <w:rPr>
                <w:rFonts w:hint="eastAsia" w:ascii="仿宋" w:hAnsi="仿宋" w:eastAsia="仿宋" w:cs="仿宋"/>
                <w:i w:val="0"/>
                <w:iCs w:val="0"/>
                <w:color w:val="auto"/>
                <w:sz w:val="24"/>
                <w:szCs w:val="24"/>
                <w:highlight w:val="none"/>
                <w:u w:val="none"/>
              </w:rPr>
            </w:pPr>
          </w:p>
        </w:tc>
      </w:tr>
      <w:tr w14:paraId="5E4C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5A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A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内窥镜手术刨削器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F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73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F8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ED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94B">
            <w:pPr>
              <w:jc w:val="center"/>
              <w:rPr>
                <w:rFonts w:hint="eastAsia" w:ascii="仿宋" w:hAnsi="仿宋" w:eastAsia="仿宋" w:cs="仿宋"/>
                <w:i w:val="0"/>
                <w:iCs w:val="0"/>
                <w:color w:val="auto"/>
                <w:sz w:val="24"/>
                <w:szCs w:val="24"/>
                <w:highlight w:val="none"/>
                <w:u w:val="none"/>
              </w:rPr>
            </w:pPr>
          </w:p>
        </w:tc>
      </w:tr>
      <w:tr w14:paraId="2C60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C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3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乳房病灶旋切式活检系统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42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E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9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5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BA21">
            <w:pPr>
              <w:jc w:val="center"/>
              <w:rPr>
                <w:rFonts w:hint="eastAsia" w:ascii="仿宋" w:hAnsi="仿宋" w:eastAsia="仿宋" w:cs="仿宋"/>
                <w:i w:val="0"/>
                <w:iCs w:val="0"/>
                <w:color w:val="auto"/>
                <w:sz w:val="24"/>
                <w:szCs w:val="24"/>
                <w:highlight w:val="none"/>
                <w:u w:val="none"/>
              </w:rPr>
            </w:pPr>
          </w:p>
        </w:tc>
      </w:tr>
      <w:tr w14:paraId="0710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65E2C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color w:val="auto"/>
                <w:sz w:val="24"/>
                <w:szCs w:val="24"/>
                <w:highlight w:val="none"/>
                <w:lang w:val="en-US" w:eastAsia="zh-CN" w:bidi="ar"/>
              </w:rPr>
              <w:t>投标无效</w:t>
            </w:r>
            <w:r>
              <w:rPr>
                <w:rStyle w:val="50"/>
                <w:color w:val="auto"/>
                <w:sz w:val="24"/>
                <w:szCs w:val="24"/>
                <w:highlight w:val="none"/>
                <w:lang w:val="en-US" w:eastAsia="zh-CN" w:bidi="ar"/>
              </w:rPr>
              <w:t>处理。</w:t>
            </w:r>
          </w:p>
        </w:tc>
      </w:tr>
    </w:tbl>
    <w:p w14:paraId="13DF7407">
      <w:pPr>
        <w:pStyle w:val="17"/>
        <w:rPr>
          <w:rFonts w:hint="eastAsia" w:ascii="仿宋" w:hAnsi="仿宋" w:eastAsia="仿宋" w:cs="仿宋"/>
          <w:b/>
          <w:bCs/>
          <w:color w:val="auto"/>
          <w:sz w:val="24"/>
          <w:szCs w:val="24"/>
          <w:highlight w:val="none"/>
          <w:lang w:val="en-US" w:eastAsia="zh-CN"/>
        </w:rPr>
      </w:pPr>
    </w:p>
    <w:p w14:paraId="66AF108B">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664994C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5CE07D58">
      <w:pPr>
        <w:pStyle w:val="17"/>
        <w:numPr>
          <w:ilvl w:val="0"/>
          <w:numId w:val="0"/>
        </w:numPr>
        <w:ind w:leftChars="0"/>
        <w:jc w:val="center"/>
        <w:outlineLvl w:val="3"/>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i w:val="0"/>
          <w:iCs w:val="0"/>
          <w:color w:val="auto"/>
          <w:kern w:val="0"/>
          <w:sz w:val="24"/>
          <w:szCs w:val="24"/>
          <w:highlight w:val="none"/>
          <w:u w:val="none"/>
          <w:lang w:val="en-US" w:eastAsia="zh-CN" w:bidi="ar"/>
        </w:rPr>
        <w:t>超声手术刀系统</w:t>
      </w:r>
    </w:p>
    <w:p w14:paraId="7A12C2A1">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用于普外、妇产、胸外、泌尿，乳甲等科室各种腔镜和开腹手术. </w:t>
      </w:r>
    </w:p>
    <w:p w14:paraId="52850720">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输入功率:≥120VA </w:t>
      </w:r>
    </w:p>
    <w:p w14:paraId="1FAFCFFC">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具有自检功能。 </w:t>
      </w:r>
    </w:p>
    <w:p w14:paraId="4F39C1CF">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具备多种操作模式，包括彩色液晶触摸屏、按键等操作；具有过载保护功能。</w:t>
      </w:r>
    </w:p>
    <w:p w14:paraId="33072A84">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输出功率≥5 档可调。具备故障提示音及错误代码等，提示音可调。 </w:t>
      </w:r>
    </w:p>
    <w:p w14:paraId="24817E3E">
      <w:pPr>
        <w:pStyle w:val="10"/>
        <w:keepLines w:val="0"/>
        <w:pageBreakBefore w:val="0"/>
        <w:numPr>
          <w:ilvl w:val="0"/>
          <w:numId w:val="1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▲刀头振动频率 ：55kHz±1kHz，振幅： 50~100 微米，可闭合 3 mm-5 mm血管，、</w:t>
      </w:r>
    </w:p>
    <w:p w14:paraId="163FF74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7、运行模式：间歇加载连续运行模式，间歇加载比 1:5，最长加载时间≤10 秒。 </w:t>
      </w:r>
    </w:p>
    <w:p w14:paraId="4FF5880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8、可匹配≥20 种规格型号的超声刀刀头，一次性和重复性刀头可选</w:t>
      </w:r>
      <w:r>
        <w:rPr>
          <w:rFonts w:hint="eastAsia" w:ascii="仿宋" w:hAnsi="仿宋" w:eastAsia="仿宋" w:cs="仿宋"/>
          <w:color w:val="auto"/>
          <w:sz w:val="24"/>
          <w:szCs w:val="24"/>
          <w:highlight w:val="none"/>
        </w:rPr>
        <w:t xml:space="preserve">。 </w:t>
      </w:r>
    </w:p>
    <w:p w14:paraId="1035E04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9、具备一体化和分体式的换能器 </w:t>
      </w:r>
    </w:p>
    <w:p w14:paraId="122C18D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10、手柄握持部具备≥2种设计</w:t>
      </w:r>
    </w:p>
    <w:p w14:paraId="0BB6C78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11、刀具和手柄握持部采用可拆卸分离式结构</w:t>
      </w:r>
    </w:p>
    <w:p w14:paraId="04ED456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12、手柄具有舱门设计，手柄可低温等离子灭菌使用</w:t>
      </w:r>
    </w:p>
    <w:p w14:paraId="4218425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13、五年质保 </w:t>
      </w:r>
    </w:p>
    <w:p w14:paraId="4432E0D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14、刀头提供注册证。</w:t>
      </w:r>
    </w:p>
    <w:p w14:paraId="60E0E82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15、配专用台车</w:t>
      </w:r>
    </w:p>
    <w:p w14:paraId="622EE5C9">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29969F75">
      <w:pPr>
        <w:pStyle w:val="17"/>
        <w:numPr>
          <w:ilvl w:val="0"/>
          <w:numId w:val="0"/>
        </w:numPr>
        <w:ind w:leftChars="0"/>
        <w:outlineLvl w:val="9"/>
        <w:rPr>
          <w:rFonts w:hint="eastAsia" w:ascii="仿宋" w:hAnsi="仿宋" w:eastAsia="仿宋" w:cs="仿宋"/>
          <w:i w:val="0"/>
          <w:iCs w:val="0"/>
          <w:color w:val="auto"/>
          <w:kern w:val="0"/>
          <w:sz w:val="24"/>
          <w:szCs w:val="24"/>
          <w:highlight w:val="none"/>
          <w:u w:val="none"/>
          <w:lang w:val="en-US" w:eastAsia="zh-CN" w:bidi="ar"/>
        </w:rPr>
      </w:pPr>
    </w:p>
    <w:p w14:paraId="1849F1C9">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2、隐疤痕无充气甲状腺器械套装</w:t>
      </w:r>
    </w:p>
    <w:p w14:paraId="71DCF109">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p w14:paraId="5EEA8E6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经腋窝无充气腔镜甲状腺手术辅助器械，用于甲状腺结节及肿瘤病灶手术、甲状腺癌手术切除等。</w:t>
      </w:r>
    </w:p>
    <w:p w14:paraId="3BDB6E89">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主要技术参数</w:t>
      </w:r>
    </w:p>
    <w:p w14:paraId="2224B985">
      <w:pPr>
        <w:pStyle w:val="10"/>
        <w:keepLines w:val="0"/>
        <w:pageBreakBefore w:val="0"/>
        <w:numPr>
          <w:ilvl w:val="0"/>
          <w:numId w:val="1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固定器：采用医用不锈钢材质，用于固定支架，50N的重力情况下，其垂直位移≤ 1cm，高度可调节。表面粗糙度 Ra 值应≤0.8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w:t>
      </w:r>
    </w:p>
    <w:p w14:paraId="49B7E5A0">
      <w:pPr>
        <w:pStyle w:val="10"/>
        <w:keepLines w:val="0"/>
        <w:pageBreakBefore w:val="0"/>
        <w:numPr>
          <w:ilvl w:val="0"/>
          <w:numId w:val="1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支架(横杆、竖杆)：采用医用不锈钢材料制成，用于共同链接拉钩及悬吊装置的立杆横杆，辅助拉钩。竖杆：约Φ25*625mm，横杆：约12*25*556mm提拉固定器：采用医用不锈钢材质，用于固定拉钩，固定器齿条移动顺畅，提拉力≥150Kg，可上下调节高度提腔拉钩（左弯、右弯）：采用医用不锈钢材质，弹性拉力≥50N，表面粗糙度 Ra值≤0.8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，头宽40mm，尺寸为 91*221 mm，钩头部分与钩体角度30 度；拉钩具有吸烟管。</w:t>
      </w:r>
    </w:p>
    <w:p w14:paraId="39471C9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2.3、甲状腺自动拉钩：采用医用不锈钢材质，规格TSL双头。表面粗糙度Ra值≤0.8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，用于切口处有效的自动撑开创口</w:t>
      </w:r>
    </w:p>
    <w:p w14:paraId="2EDBF8A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2.4.甲状腺拉钩：采用医用不锈钢材质，规格:双头16mm*52mm/16mm*32mm，表面粗糙度 Ra 值≤0.8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，用于切口处有效的分离创口。</w:t>
      </w:r>
    </w:p>
    <w:p w14:paraId="164CEB7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2.5、直角拉钩：用于辅助提腔拉钩更好的进入人体，建立足够的手术空间，采用医用不锈钢材料制成，规格 22mm*80mm*240mm，表面粗糙度 Ra 值≤0.8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，弹性拉力≥50N。</w:t>
      </w:r>
    </w:p>
    <w:p w14:paraId="039CDDA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2.6、直角拉钩（带吸烟冲洗功能）：用于辅助提腔拉钩更好的进入人体，采用医用不锈钢材质，规格22mm*100mm*240mm，表面粗糙度 Ra 值≤0.8</w:t>
      </w:r>
      <w:r>
        <w:rPr>
          <w:rFonts w:hint="eastAsia" w:ascii="仿宋" w:hAnsi="仿宋" w:eastAsia="仿宋" w:cs="仿宋"/>
          <w:color w:val="auto"/>
          <w:sz w:val="24"/>
          <w:szCs w:val="24"/>
          <w:highlight w:val="none"/>
        </w:rPr>
        <w:t>μm</w:t>
      </w:r>
      <w:r>
        <w:rPr>
          <w:rFonts w:hint="eastAsia" w:ascii="仿宋" w:hAnsi="仿宋" w:eastAsia="仿宋" w:cs="仿宋"/>
          <w:color w:val="auto"/>
          <w:sz w:val="24"/>
          <w:szCs w:val="24"/>
          <w:highlight w:val="none"/>
        </w:rPr>
        <w:t>，弹性拉力≥50N。拉钩具有吸烟管，有效的吸收手术中其它器械产生的烟雾和水汽</w:t>
      </w:r>
    </w:p>
    <w:p w14:paraId="612FC06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2.7、锁骨下拉钩：提拉皮肤，使锁骨下到甲状腺上部形成器械通路，采用医用不锈钢材质，表面粗糙度 Ra 值≤0.8μm，弹性拉力≥50N。L=100mm，L=120mm，L=130mm</w:t>
      </w:r>
    </w:p>
    <w:p w14:paraId="20FE418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2.8、消毒盒：采用铝合金材质。</w:t>
      </w:r>
    </w:p>
    <w:p w14:paraId="72093D6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2.9、配置各种性能用途拉钩10件（按医院需求配置）</w:t>
      </w:r>
    </w:p>
    <w:p w14:paraId="27ADA0B0">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7D550591">
      <w:pPr>
        <w:pStyle w:val="17"/>
        <w:numPr>
          <w:ilvl w:val="0"/>
          <w:numId w:val="0"/>
        </w:numPr>
        <w:ind w:leftChars="0"/>
        <w:outlineLvl w:val="9"/>
        <w:rPr>
          <w:rFonts w:hint="eastAsia" w:ascii="仿宋" w:hAnsi="仿宋" w:eastAsia="仿宋" w:cs="仿宋"/>
          <w:i w:val="0"/>
          <w:iCs w:val="0"/>
          <w:color w:val="auto"/>
          <w:kern w:val="0"/>
          <w:sz w:val="24"/>
          <w:szCs w:val="24"/>
          <w:highlight w:val="none"/>
          <w:u w:val="none"/>
          <w:lang w:val="en-US" w:eastAsia="zh-CN" w:bidi="ar"/>
        </w:rPr>
      </w:pPr>
    </w:p>
    <w:p w14:paraId="7B2A1082">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3、内窥镜手术刨削器</w:t>
      </w:r>
    </w:p>
    <w:p w14:paraId="02FB90FE">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主机参数：</w:t>
      </w:r>
    </w:p>
    <w:p w14:paraId="449A31CB">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内窥镜手术刨削器。</w:t>
      </w:r>
    </w:p>
    <w:p w14:paraId="2C8608F3">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应用范围：内窥镜手术下对软组织等进行切除、磨削操作。输入功率：≧140VA。</w:t>
      </w:r>
    </w:p>
    <w:p w14:paraId="4DE3FD1B">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输出转速与档位：≥8000 r/min ，≥10档可调。</w:t>
      </w:r>
    </w:p>
    <w:p w14:paraId="746BA6CF">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正转、反转、往复，多种模式可调。</w:t>
      </w:r>
    </w:p>
    <w:p w14:paraId="45F338C5">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输出扭矩≥6.0mNm。</w:t>
      </w:r>
    </w:p>
    <w:p w14:paraId="320CB9C6">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负压值：≥-88kPa，抽水速率≥400ml/min或抽气速率≥20L/min。</w:t>
      </w:r>
    </w:p>
    <w:p w14:paraId="4F341D7B">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液晶触控屏操作，运行状态能实时监测显示。</w:t>
      </w:r>
    </w:p>
    <w:p w14:paraId="16590E32">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具有有吸引压力调节功能、漏气负压报警功能、电机转速调节功能、电机负载保护等功能、。</w:t>
      </w:r>
    </w:p>
    <w:p w14:paraId="7DB41B7A">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工噪声≦60dB</w:t>
      </w:r>
    </w:p>
    <w:p w14:paraId="3949E638">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吸引、粉碎采用一体式结构，具有组织收集功能。</w:t>
      </w:r>
    </w:p>
    <w:p w14:paraId="593DF2A1">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整机通过“YY0505医用电气设备电磁兼容要求和试验”检测。</w:t>
      </w:r>
    </w:p>
    <w:p w14:paraId="49A5F543">
      <w:pPr>
        <w:pStyle w:val="10"/>
        <w:keepLines w:val="0"/>
        <w:pageBreakBefore w:val="0"/>
        <w:numPr>
          <w:ilvl w:val="0"/>
          <w:numId w:val="1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安全类型：BF</w:t>
      </w:r>
    </w:p>
    <w:p w14:paraId="740C7E2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13.具有防溢流装置具有≥3个10L储液瓶</w:t>
      </w:r>
    </w:p>
    <w:p w14:paraId="7F0191C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14.具有组织收集袋装置</w:t>
      </w:r>
    </w:p>
    <w:p w14:paraId="6B34DD0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15.质保期≥5年</w:t>
      </w:r>
    </w:p>
    <w:p w14:paraId="14E740A6">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刀具参数</w:t>
      </w:r>
    </w:p>
    <w:p w14:paraId="50902C5F">
      <w:pPr>
        <w:pStyle w:val="10"/>
        <w:keepLines w:val="0"/>
        <w:pageBreakBefore w:val="0"/>
        <w:numPr>
          <w:ilvl w:val="0"/>
          <w:numId w:val="0"/>
        </w:numPr>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刀具外径尺寸：Ф4.8mm</w:t>
      </w:r>
    </w:p>
    <w:p w14:paraId="01A20244">
      <w:pPr>
        <w:pStyle w:val="10"/>
        <w:keepLines w:val="0"/>
        <w:pageBreakBefore w:val="0"/>
        <w:numPr>
          <w:ilvl w:val="0"/>
          <w:numId w:val="0"/>
        </w:numPr>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刀具工作长度：≥400mm</w:t>
      </w:r>
    </w:p>
    <w:p w14:paraId="68B91A38">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脚踏开关参数</w:t>
      </w:r>
    </w:p>
    <w:p w14:paraId="3438A644">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控制吸引和切割</w:t>
      </w:r>
    </w:p>
    <w:p w14:paraId="6B5456B1">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防水性能≥IPX8；</w:t>
      </w:r>
    </w:p>
    <w:p w14:paraId="07C68B87">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脚踏开关具有防护罩防误踩。</w:t>
      </w:r>
    </w:p>
    <w:p w14:paraId="7FA6F917">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操作手柄参数</w:t>
      </w:r>
    </w:p>
    <w:p w14:paraId="02F8AF58">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全金属材质、线缆长度≥3米；</w:t>
      </w:r>
    </w:p>
    <w:p w14:paraId="2E2D4D28">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电机寿命≥20000小时； </w:t>
      </w:r>
    </w:p>
    <w:p w14:paraId="0D94047C">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快捷卡口设计；</w:t>
      </w:r>
    </w:p>
    <w:p w14:paraId="4AD16E8D">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可低温等离子和高温高压消毒；</w:t>
      </w:r>
    </w:p>
    <w:p w14:paraId="3182D98E">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配套内窥镜参数</w:t>
      </w:r>
    </w:p>
    <w:p w14:paraId="7B7EE0D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30°尿道膀胱镜：工作长度≥300mm，外径Ф4mm，高清HD镜头，可高温高压灭菌</w:t>
      </w:r>
    </w:p>
    <w:p w14:paraId="1745CA3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0°尿道膀胱镜：镜管为异性管，工作长度≥200mm，样式Y型，器械通道Ф5mm，通道磁吸锁水阀自动锁水。</w:t>
      </w:r>
    </w:p>
    <w:p w14:paraId="7DCF7DB6">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镜鞘（外鞘）：规格Fr26,工作长度192mm，接口快接设计，可360°旋转。（外鞘与膀胱镜及外鞘与內鞘均可360°旋转）</w:t>
      </w:r>
    </w:p>
    <w:p w14:paraId="6D2DC9DE">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镜桥（內鞘）：规格Fr25,工作长度215mm。</w:t>
      </w:r>
    </w:p>
    <w:p w14:paraId="0A584539">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闭孔器：规格Fr21。</w:t>
      </w:r>
    </w:p>
    <w:p w14:paraId="4D5A1024">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操作手件：光纤通道Ф1mm，适用于各品牌激光光纤。</w:t>
      </w:r>
    </w:p>
    <w:p w14:paraId="4306C959">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其他设备（按院方需求配置）</w:t>
      </w:r>
    </w:p>
    <w:p w14:paraId="2A5C897A">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黑白激光双面打印复印机 1台。</w:t>
      </w:r>
    </w:p>
    <w:p w14:paraId="1FB3D71D">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品牌台式计算机 1台（非组装机），配置要求：</w:t>
      </w:r>
    </w:p>
    <w:p w14:paraId="4B52606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265278D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工作桌椅1套。</w:t>
      </w:r>
    </w:p>
    <w:p w14:paraId="0B2CBBFB">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004DA1EB">
      <w:pPr>
        <w:pStyle w:val="17"/>
        <w:numPr>
          <w:ilvl w:val="0"/>
          <w:numId w:val="0"/>
        </w:numPr>
        <w:ind w:leftChars="0"/>
        <w:outlineLvl w:val="9"/>
        <w:rPr>
          <w:rFonts w:hint="eastAsia" w:ascii="仿宋" w:hAnsi="仿宋" w:eastAsia="仿宋" w:cs="仿宋"/>
          <w:i w:val="0"/>
          <w:iCs w:val="0"/>
          <w:color w:val="auto"/>
          <w:kern w:val="0"/>
          <w:sz w:val="24"/>
          <w:szCs w:val="24"/>
          <w:highlight w:val="none"/>
          <w:u w:val="none"/>
          <w:lang w:val="en-US" w:eastAsia="zh-CN" w:bidi="ar"/>
        </w:rPr>
      </w:pPr>
    </w:p>
    <w:p w14:paraId="26902FB3">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4、乳房病灶旋切式活检系统</w:t>
      </w:r>
    </w:p>
    <w:p w14:paraId="705AADF0">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用于对患者影像学检查或触诊异常的乳腺组织进行部分或全部切除活检取样。</w:t>
      </w:r>
    </w:p>
    <w:p w14:paraId="6763836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1.1功 率 ：≥ 450W </w:t>
      </w:r>
    </w:p>
    <w:p w14:paraId="4336225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1.2防电击类型： I类设备 </w:t>
      </w:r>
    </w:p>
    <w:p w14:paraId="4367BA3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1.3防电击程度： BF型应用部分</w:t>
      </w:r>
    </w:p>
    <w:p w14:paraId="763A3F0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1.4运行模式： 短时加载连续运行 </w:t>
      </w:r>
    </w:p>
    <w:p w14:paraId="6FF6690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1.5吸引方式： 连续吸引 </w:t>
      </w:r>
    </w:p>
    <w:p w14:paraId="4707BE4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负压：90±5kPa </w:t>
      </w:r>
    </w:p>
    <w:p w14:paraId="5192A75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1.7抽气速率： ≥12L/min</w:t>
      </w:r>
    </w:p>
    <w:p w14:paraId="2AE3F1E9">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w:t>
      </w:r>
    </w:p>
    <w:p w14:paraId="6E4C845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2.1工作状态实时显示，如：旋切针状态、负压、切割次数等</w:t>
      </w:r>
    </w:p>
    <w:p w14:paraId="3225F03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2.2≥15英寸液晶触摸屏</w:t>
      </w:r>
    </w:p>
    <w:p w14:paraId="5897800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▲2.3具有常规模式/致密模式,可切割不同密度的组织;</w:t>
      </w:r>
    </w:p>
    <w:p w14:paraId="4009A09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2.4具有废液满溢提示功能;</w:t>
      </w:r>
    </w:p>
    <w:p w14:paraId="3823CA3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2.5具有故障自诊断功能;</w:t>
      </w:r>
    </w:p>
    <w:p w14:paraId="1132049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2.6具有活检针自动识别功能;</w:t>
      </w:r>
    </w:p>
    <w:p w14:paraId="0C14087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2.7取样槽可在 5mm-19mm范围内无级调节,;</w:t>
      </w:r>
    </w:p>
    <w:p w14:paraId="5BA009C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2.8触摸屏可控制样品冲洗</w:t>
      </w:r>
    </w:p>
    <w:p w14:paraId="79671A5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2.9：具有自动旋转180度放置标记物功能</w:t>
      </w:r>
    </w:p>
    <w:p w14:paraId="0806BF1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2.10具有术中注射麻醉剂功能，活检针可以自动旋转360度将药液均匀分布到术腔。</w:t>
      </w:r>
    </w:p>
    <w:p w14:paraId="0F81FEC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2.11具有脚踏和手柄控制两种控制方式;</w:t>
      </w:r>
    </w:p>
    <w:p w14:paraId="414B556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电气安全：BF型</w:t>
      </w:r>
    </w:p>
    <w:p w14:paraId="7F343F76">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脚踏</w:t>
      </w:r>
    </w:p>
    <w:p w14:paraId="17B1D07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3.1线缆长≥2.5m;</w:t>
      </w:r>
    </w:p>
    <w:p w14:paraId="334812D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3.2防水等级:≥IPX8</w:t>
      </w:r>
    </w:p>
    <w:p w14:paraId="016CD000">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驱动手柄：</w:t>
      </w:r>
    </w:p>
    <w:p w14:paraId="12C2595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4.1手柄符合人体工学设计</w:t>
      </w:r>
    </w:p>
    <w:p w14:paraId="32F365E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4.2触摸屏操作可控制旋转外针体，取样槽方向角度包括：0°、60°、120°、 180°、240°、360°等角度。</w:t>
      </w:r>
    </w:p>
    <w:p w14:paraId="68374128">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真空桶</w:t>
      </w:r>
    </w:p>
    <w:p w14:paraId="45FEA84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5.1具备防溢流结构设计。</w:t>
      </w:r>
    </w:p>
    <w:p w14:paraId="768AFE17">
      <w:pPr>
        <w:pStyle w:val="10"/>
        <w:keepLines w:val="0"/>
        <w:pageBreakBefore w:val="0"/>
        <w:numPr>
          <w:ilvl w:val="0"/>
          <w:numId w:val="2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活检针规格：</w:t>
      </w:r>
    </w:p>
    <w:p w14:paraId="4BE4495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适用多种型号活检针：外刀管直径如：7G/10G/12G,有效长度110mm/150mm</w:t>
      </w:r>
    </w:p>
    <w:p w14:paraId="5B359CA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7.质保期≥5年，</w:t>
      </w:r>
    </w:p>
    <w:p w14:paraId="565BC4C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.配套设备（按院方需求配置）</w:t>
      </w:r>
    </w:p>
    <w:p w14:paraId="4F03329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.1黑白激光双面打印复印机 1台。</w:t>
      </w:r>
    </w:p>
    <w:p w14:paraId="179F3EB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.2品牌台式计算机 1台，配置要求：</w:t>
      </w:r>
    </w:p>
    <w:p w14:paraId="0ED3AD2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1D9E1C1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.3工作桌椅1套</w:t>
      </w:r>
    </w:p>
    <w:p w14:paraId="42D9753B">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03BA7BDA">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标项二</w:t>
      </w:r>
    </w:p>
    <w:p w14:paraId="0335309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p w14:paraId="6CC909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color w:val="auto"/>
          <w:sz w:val="24"/>
          <w:szCs w:val="24"/>
          <w:highlight w:val="none"/>
          <w:lang w:val="en-US"/>
        </w:rPr>
      </w:pP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1C14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75BD">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83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7E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0A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F4E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693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28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D7E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1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D9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高端便携超声诊断仪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F1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28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B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8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8CE">
            <w:pPr>
              <w:jc w:val="center"/>
              <w:rPr>
                <w:rFonts w:hint="eastAsia" w:ascii="仿宋" w:hAnsi="仿宋" w:eastAsia="仿宋" w:cs="仿宋"/>
                <w:i w:val="0"/>
                <w:iCs w:val="0"/>
                <w:color w:val="auto"/>
                <w:sz w:val="24"/>
                <w:szCs w:val="24"/>
                <w:highlight w:val="none"/>
                <w:u w:val="none"/>
              </w:rPr>
            </w:pPr>
          </w:p>
        </w:tc>
      </w:tr>
      <w:tr w14:paraId="5F4C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E2C6E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color w:val="auto"/>
                <w:sz w:val="24"/>
                <w:szCs w:val="24"/>
                <w:highlight w:val="none"/>
                <w:lang w:val="en-US" w:eastAsia="zh-CN" w:bidi="ar"/>
              </w:rPr>
              <w:t>投标无效</w:t>
            </w:r>
            <w:r>
              <w:rPr>
                <w:rStyle w:val="50"/>
                <w:color w:val="auto"/>
                <w:sz w:val="24"/>
                <w:szCs w:val="24"/>
                <w:highlight w:val="none"/>
                <w:lang w:val="en-US" w:eastAsia="zh-CN" w:bidi="ar"/>
              </w:rPr>
              <w:t>处理。</w:t>
            </w:r>
          </w:p>
        </w:tc>
      </w:tr>
    </w:tbl>
    <w:p w14:paraId="7971B08C">
      <w:pPr>
        <w:pStyle w:val="17"/>
        <w:rPr>
          <w:rFonts w:hint="eastAsia" w:ascii="仿宋" w:hAnsi="仿宋" w:eastAsia="仿宋" w:cs="仿宋"/>
          <w:b/>
          <w:bCs/>
          <w:color w:val="auto"/>
          <w:sz w:val="24"/>
          <w:szCs w:val="24"/>
          <w:highlight w:val="none"/>
          <w:lang w:val="en-US" w:eastAsia="zh-CN"/>
        </w:rPr>
      </w:pPr>
    </w:p>
    <w:p w14:paraId="66F58DAE">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2FF6F11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1A1672D9">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1、高端便携超声诊断仪</w:t>
      </w:r>
    </w:p>
    <w:p w14:paraId="492745C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一、设备用途说及明：</w:t>
      </w:r>
    </w:p>
    <w:p w14:paraId="609FC35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1.用于全身各器官超声诊断，包括腹部、产科、妇科、心脏、小器官、泌尿、血管、儿科、两癌筛查等临床检查及应用</w:t>
      </w:r>
    </w:p>
    <w:p w14:paraId="1B3E1B6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二、技术参数要求：</w:t>
      </w:r>
    </w:p>
    <w:p w14:paraId="636FD56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1.≥15英寸显示器，分辨率≥1920*1080,可根据环境光线自动调节亮度。</w:t>
      </w:r>
    </w:p>
    <w:p w14:paraId="767CCED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2.主机内置无针式探头接口≥1个，可扩展（无针式）3个</w:t>
      </w:r>
    </w:p>
    <w:p w14:paraId="6401C94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3.触摸屏可手写画图、手动圈注、手写标记，用户可编辑线条颜色，粗细，透明度，支持示教，。</w:t>
      </w:r>
    </w:p>
    <w:p w14:paraId="653ACD0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4.关机状态可提示剩余电量。</w:t>
      </w:r>
    </w:p>
    <w:p w14:paraId="3BCF15E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5.具备超声图像存档与病案管理系统。</w:t>
      </w:r>
    </w:p>
    <w:p w14:paraId="52207BF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6.硬盘≥1T。</w:t>
      </w:r>
    </w:p>
    <w:p w14:paraId="2C349AD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7.内置≥2个USB接口和1个TypeC接口，1个DP接口等，可一键快速将图象存储至USB、硬盘。</w:t>
      </w:r>
    </w:p>
    <w:p w14:paraId="4D19A3E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8.支持网络和蓝牙连接</w:t>
      </w:r>
    </w:p>
    <w:p w14:paraId="0E10340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9.支持实时会诊</w:t>
      </w:r>
    </w:p>
    <w:p w14:paraId="7C0C4FE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内置教学功能，持实时动态3D组织解剖结构和标准超声组织结构的实时动态扫查视频同屏对照显示，支持教学画面可进行放大缩小调节，支持扫查教学操作步骤语音解读和扫查手法技巧介绍，包含腹部、浅表、血管、肌骨关节和神经等扫查教学内容。</w:t>
      </w:r>
    </w:p>
    <w:p w14:paraId="15599BD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.远程软件可控制主机并调节图像参数，如切换探头、切换模式、调整机器预设条件可远程保存。</w:t>
      </w:r>
    </w:p>
    <w:p w14:paraId="315174F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.自动工作流协议，可根据医生习惯自定义检查规范</w:t>
      </w:r>
    </w:p>
    <w:p w14:paraId="7F2F653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三、系统成像技术：</w:t>
      </w:r>
    </w:p>
    <w:p w14:paraId="5E6D61D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1.二维灰阶成像功能。</w:t>
      </w:r>
    </w:p>
    <w:p w14:paraId="52D5E1D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2.彩色多普勒成像。</w:t>
      </w:r>
    </w:p>
    <w:p w14:paraId="20B4A0C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3.频谱多普勒显示和分析技术。</w:t>
      </w:r>
    </w:p>
    <w:p w14:paraId="3430929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4.能量血流成像功能。</w:t>
      </w:r>
    </w:p>
    <w:p w14:paraId="2188792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5.全数字式波束形成器。</w:t>
      </w:r>
    </w:p>
    <w:p w14:paraId="6F97FE1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6.B 模式/ CFM / PWD模式分别独立角度偏转功能。</w:t>
      </w:r>
    </w:p>
    <w:p w14:paraId="49617DC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7.二同步/三同步图像显示。</w:t>
      </w:r>
    </w:p>
    <w:p w14:paraId="20083F2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8.具备谐波成像模式,。</w:t>
      </w:r>
    </w:p>
    <w:p w14:paraId="486380F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9.支持连续多普勒。</w:t>
      </w:r>
    </w:p>
    <w:p w14:paraId="50A54EB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10.支持全域相关成像，图像全场无焦点显示，支持一键开启或关闭 。</w:t>
      </w:r>
    </w:p>
    <w:p w14:paraId="10D1558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11.动态范围≥280dB逐级调节。</w:t>
      </w:r>
    </w:p>
    <w:p w14:paraId="5369ACC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12.具备斑点噪音抑制技术。</w:t>
      </w:r>
    </w:p>
    <w:p w14:paraId="63A56C5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具备空间复合成像技术。</w:t>
      </w:r>
    </w:p>
    <w:p w14:paraId="4CB9555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14.支持TGC 8段，支持LGC横向增益补偿功能≥8段</w:t>
      </w:r>
    </w:p>
    <w:p w14:paraId="1CAD68E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15.扩展成像，支持凸阵探头、线阵探头、相控阵探头可用。</w:t>
      </w:r>
    </w:p>
    <w:p w14:paraId="156AB41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16.高灵敏度血流技术。</w:t>
      </w:r>
    </w:p>
    <w:p w14:paraId="1EC4E97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17.二维立体血流成像技术，支持彩色多普勒模式，能量多普勒模式。</w:t>
      </w:r>
    </w:p>
    <w:p w14:paraId="442BA86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18.支持全方位M型功能，取样线 ≥3线，取样线可360度任意角度调整，取样线任意位置移动。</w:t>
      </w:r>
    </w:p>
    <w:p w14:paraId="5DA17B5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19.曲线解剖 M 型</w:t>
      </w:r>
    </w:p>
    <w:p w14:paraId="47F0CAA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20.彩色M型功能。</w:t>
      </w:r>
    </w:p>
    <w:p w14:paraId="61FFC02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21.组织多普勒成像。</w:t>
      </w:r>
    </w:p>
    <w:p w14:paraId="4D77B6F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22.支持组织速度成像，组织速度M型成像。</w:t>
      </w:r>
    </w:p>
    <w:p w14:paraId="2E05799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23.组织速度特征成像</w:t>
      </w:r>
    </w:p>
    <w:p w14:paraId="2816A77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24.二维宽景成像、彩色宽景、能量宽景，并具备实时速度提示功能，冻结后自动显示扫描总长度值，并支持旋转，局部放大调节可进行，后期测量</w:t>
      </w:r>
    </w:p>
    <w:p w14:paraId="18AD939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25.具备穿刺引导，支持单线、双线、容差线区间引导及中心线穿刺定位等多种引导方式。</w:t>
      </w:r>
    </w:p>
    <w:p w14:paraId="29B8494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26.具备穿刺增强，根据不同的进针角度，自动适时调节声束的角度，增强组织与穿刺针的显示能力，穿刺针增益可单独分档位调节</w:t>
      </w:r>
    </w:p>
    <w:p w14:paraId="5310B9E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27.支持多门多普勒，在同一心动周期内，可实时获取2个取样点的多普勒频谱， </w:t>
      </w:r>
    </w:p>
    <w:p w14:paraId="36EA545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28.支持应变式弹性成像，支持组织硬度定量分析、压力稳定性曲线提示图标能以灰阶或彩阶图像方式显示特定组织的弹性硬度。</w:t>
      </w:r>
    </w:p>
    <w:p w14:paraId="0E9F956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四、系统成像技术参数：</w:t>
      </w:r>
    </w:p>
    <w:p w14:paraId="5A5AB4F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1.二维灰阶显像主要参数：</w:t>
      </w:r>
    </w:p>
    <w:p w14:paraId="3F5EE7C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2.复合成像功能：≥5级。</w:t>
      </w:r>
    </w:p>
    <w:p w14:paraId="51C3BAD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3.线密度调节级别：≥5级</w:t>
      </w:r>
    </w:p>
    <w:p w14:paraId="59C8051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▲4.探测深度≥38cm</w:t>
      </w:r>
    </w:p>
    <w:p w14:paraId="714B415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5.彩色多普勒模式：</w:t>
      </w:r>
    </w:p>
    <w:p w14:paraId="4A2BD72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5.1显示方式：速度方差显示、能量显示，速度显示、方差显示等</w:t>
      </w:r>
    </w:p>
    <w:p w14:paraId="00C5C19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5.2具有双同步 / 三同步显示(B/PW/CF、B/PW/PDI)</w:t>
      </w:r>
    </w:p>
    <w:p w14:paraId="2D256FD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5.3取样框偏转：-20°～+20°（线阵探头）</w:t>
      </w:r>
    </w:p>
    <w:p w14:paraId="4A29C93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5.4支持B/C同宽</w:t>
      </w:r>
    </w:p>
    <w:p w14:paraId="7DB6864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6.频谱多普勒模式：</w:t>
      </w:r>
    </w:p>
    <w:p w14:paraId="5184B81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6.1脉冲多普勒模式，连续多谱勒模式</w:t>
      </w:r>
    </w:p>
    <w:p w14:paraId="7F50BD8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6.2显示方式：B,PW，B/PW, B/C/PW, B/CW, B/C/CW等</w:t>
      </w:r>
    </w:p>
    <w:p w14:paraId="339F277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6.3血流速度最大15m/s，</w:t>
      </w:r>
    </w:p>
    <w:p w14:paraId="10304F7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6.4最小速度：≤1mm/s(非噪声信号)。</w:t>
      </w:r>
    </w:p>
    <w:p w14:paraId="5E2AE2C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6.5零位移动：≥12级。</w:t>
      </w:r>
    </w:p>
    <w:p w14:paraId="0503778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6.6取样容积： 0.5mm—30mm。</w:t>
      </w:r>
    </w:p>
    <w:p w14:paraId="08145E1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6.7角度矫正-80°～+80°</w:t>
      </w:r>
    </w:p>
    <w:p w14:paraId="3060BE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6.8支持频谱自动跟踪与测量。</w:t>
      </w:r>
    </w:p>
    <w:p w14:paraId="03743D0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7.全屏放大模式≥2种，单独显示成像区域，隐藏参数剪贴板布局。</w:t>
      </w:r>
    </w:p>
    <w:p w14:paraId="24F6AB0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局部放大（支持前端、后端放大）。</w:t>
      </w:r>
    </w:p>
    <w:p w14:paraId="4D3DE0E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五、应用功能：</w:t>
      </w:r>
    </w:p>
    <w:p w14:paraId="6508F96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1.支持跟踪对比技术，可将不同日期，不同时间、不同病人图像进行同屏对比显示，支持不同探头图像、动静态图像同屏对比显示，并可进行图像处理和测量注释</w:t>
      </w:r>
    </w:p>
    <w:p w14:paraId="355EAF8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2.支持心脏辅助诊疗，可以提供心脏各解剖结构的测量值趋势</w:t>
      </w:r>
    </w:p>
    <w:p w14:paraId="0465D7D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3.应变成像（组织追踪心肌运动）</w:t>
      </w:r>
    </w:p>
    <w:p w14:paraId="29592F7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4.支持负荷成像</w:t>
      </w:r>
    </w:p>
    <w:p w14:paraId="659E02B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5.可进行面积比、应变比值等定量测量。</w:t>
      </w:r>
    </w:p>
    <w:p w14:paraId="77AE173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6.支持造影功能。</w:t>
      </w:r>
    </w:p>
    <w:p w14:paraId="2BC132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7.支持二维卵泡自动测量功能，一键自动识别卵泡无回声信息，用不同颜色、序号来区分和标识卵泡的数量、大小，并自动生成测量数据表格。</w:t>
      </w:r>
    </w:p>
    <w:p w14:paraId="4011383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8.内置甲状腺病灶自动检测分析功能，实时扫查时自动检测并提示单个或多个病灶位置，冻结后自动测量可疑病灶大小，根据病灶特征自动分析提示TI-RADS分类。</w:t>
      </w:r>
    </w:p>
    <w:p w14:paraId="22D2538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9.内置乳腺病灶自动检测分析功能，实时扫查时自动检测并提示单个或多个病灶位置，通过不同颜色的标记框提示病灶风险程度，冻结后自动测量可疑病灶大小，根据病灶特征自动分析提示BI-RADS分类。</w:t>
      </w:r>
    </w:p>
    <w:p w14:paraId="0A52844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10.支持小儿髋关节（DDH）自动辅助测量，一键识别骨性结构建立参考基准线，自动计算α角,β角并提示Graf临床分型，具备测量质控向导图标显示，支持基准线微调。</w:t>
      </w:r>
    </w:p>
    <w:p w14:paraId="78EEA36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11.自定义超声报告模版。可创建一个报告模版，快速保存自定义测量参数，包括距离、面积、速度等测量参数。</w:t>
      </w:r>
    </w:p>
    <w:p w14:paraId="51B0136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12.一键优化，优化二维，彩色，频谱图像。</w:t>
      </w:r>
    </w:p>
    <w:p w14:paraId="3F86376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.测量分析和报告：(B型、M型、频谱多普勒、彩色模式)</w:t>
      </w:r>
    </w:p>
    <w:p w14:paraId="5CA60A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1）一般测量及心脏，血管，妇科，产科，泌尿系等测量包。</w:t>
      </w:r>
    </w:p>
    <w:p w14:paraId="20A1AE5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2）支持膀胱自动测量。</w:t>
      </w:r>
    </w:p>
    <w:p w14:paraId="31ED6F9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3）支持一键自动血流量测量，机器可自动识别血管内径，并自动出具数据，可手动修改血管内径。</w:t>
      </w:r>
    </w:p>
    <w:p w14:paraId="532F79E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4）支持心功能自动测量，一键启动测量，即可自动识别心脏舒张期与收缩期，自动描迹心内膜，同屏展示收缩期与舒张期图像和测量结果及容积变化曲线图。</w:t>
      </w:r>
    </w:p>
    <w:p w14:paraId="3D80C52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5）支持血管内中膜自动测量:支持前壁、后壁同时测量与数值显示，且测量数值包含最大值、平均值、SD、取样点个数，自动生成测量数据结果，具备IMT评估曲线分析。</w:t>
      </w:r>
    </w:p>
    <w:p w14:paraId="791F056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6）支持血管内中膜实时自动测量，中膜厚度值≥5组</w:t>
      </w:r>
    </w:p>
    <w:p w14:paraId="79A2C27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.电影回放和数据处理：</w:t>
      </w:r>
    </w:p>
    <w:p w14:paraId="00A3646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1）所有模式下可用，支持手动，自动回放，</w:t>
      </w:r>
    </w:p>
    <w:p w14:paraId="125F904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2）支持4D电影回放，</w:t>
      </w:r>
    </w:p>
    <w:p w14:paraId="378C383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3）支持向前存储和向后存储，时间长度可预置，回放时间≥1500秒。</w:t>
      </w:r>
    </w:p>
    <w:p w14:paraId="3738901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4）原始数据处理，支持动态，静脉图像冻结后，可处理≥35项参数。</w:t>
      </w:r>
    </w:p>
    <w:p w14:paraId="0C36F18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六、探头技术参数：</w:t>
      </w:r>
    </w:p>
    <w:p w14:paraId="55CE9FA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探头频率：</w:t>
      </w:r>
    </w:p>
    <w:p w14:paraId="5DAB20C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甲乳专用线阵探头1把:频率约6-12MHz，扫查宽度≥50mm</w:t>
      </w:r>
    </w:p>
    <w:p w14:paraId="4EB8E73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血管线阵探头1把：频率约4-12MHz</w:t>
      </w:r>
    </w:p>
    <w:p w14:paraId="3176C19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腔内探头1把:频约4-9MHZ</w:t>
      </w:r>
    </w:p>
    <w:p w14:paraId="0266642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单晶体腹部凸阵探头1把:频率约1.5-6.5MHZ</w:t>
      </w:r>
    </w:p>
    <w:p w14:paraId="3C1172E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单晶体心脏相控阵探头1把:频率约2-5MHZ，角度≥120°  </w:t>
      </w:r>
    </w:p>
    <w:p w14:paraId="0BA79A3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小儿心脏相控阵探头1把：频率约4-9MHZ</w:t>
      </w:r>
    </w:p>
    <w:p w14:paraId="239A0E2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六、配置要求</w:t>
      </w:r>
    </w:p>
    <w:p w14:paraId="0EC965E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便携式主机1台、单晶体相控阵探头1把、小儿心脏探头1把、单晶体腹部凸阵探头1把、甲乳专用线阵探头1把、血管线阵探头1把、腔内探头1把，三探头接口升降台车1台、专用拉杆箱1个，备用电池1块。</w:t>
      </w:r>
    </w:p>
    <w:p w14:paraId="37923E2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2）设计使用年限≥10年</w:t>
      </w:r>
    </w:p>
    <w:p w14:paraId="6ED508D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3）整机含探头质保5年。</w:t>
      </w:r>
    </w:p>
    <w:p w14:paraId="70726EE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其他配置：</w:t>
      </w:r>
    </w:p>
    <w:p w14:paraId="636F22E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1.办公用电脑 1台 、数字高清采集卡一个、品牌激光打印机 1 台（具体配置根据采购人要求）、采图器10个。</w:t>
      </w:r>
    </w:p>
    <w:p w14:paraId="114336F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2.工作桌，椅一套，具体要求根据医院要求配备。</w:t>
      </w:r>
    </w:p>
    <w:p w14:paraId="0416893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中标方承担设备院内接口费用</w:t>
      </w:r>
    </w:p>
    <w:p w14:paraId="7DD3A94B">
      <w:pPr>
        <w:rPr>
          <w:rFonts w:hint="default"/>
          <w:color w:val="auto"/>
          <w:sz w:val="24"/>
          <w:szCs w:val="24"/>
          <w:highlight w:val="none"/>
          <w:lang w:val="en-US"/>
        </w:rPr>
      </w:pPr>
      <w:r>
        <w:rPr>
          <w:rFonts w:hint="default"/>
          <w:color w:val="auto"/>
          <w:sz w:val="24"/>
          <w:szCs w:val="24"/>
          <w:highlight w:val="none"/>
          <w:lang w:val="en-US"/>
        </w:rPr>
        <w:br w:type="page"/>
      </w:r>
    </w:p>
    <w:p w14:paraId="3A41B52D">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标项三</w:t>
      </w:r>
    </w:p>
    <w:p w14:paraId="3A5A061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7F53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EAB4">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66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97A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B8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D03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BE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DD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1EE9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6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1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彩色多普勒超声诊断仪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C8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4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1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5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3160">
            <w:pPr>
              <w:jc w:val="center"/>
              <w:rPr>
                <w:rFonts w:hint="eastAsia" w:ascii="仿宋" w:hAnsi="仿宋" w:eastAsia="仿宋" w:cs="仿宋"/>
                <w:i w:val="0"/>
                <w:iCs w:val="0"/>
                <w:color w:val="auto"/>
                <w:sz w:val="24"/>
                <w:szCs w:val="24"/>
                <w:highlight w:val="none"/>
                <w:u w:val="none"/>
              </w:rPr>
            </w:pPr>
          </w:p>
        </w:tc>
      </w:tr>
      <w:tr w14:paraId="1961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D29A7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color w:val="auto"/>
                <w:sz w:val="24"/>
                <w:szCs w:val="24"/>
                <w:highlight w:val="none"/>
                <w:lang w:val="en-US" w:eastAsia="zh-CN" w:bidi="ar"/>
              </w:rPr>
              <w:t>投标无效</w:t>
            </w:r>
            <w:r>
              <w:rPr>
                <w:rStyle w:val="50"/>
                <w:color w:val="auto"/>
                <w:sz w:val="24"/>
                <w:szCs w:val="24"/>
                <w:highlight w:val="none"/>
                <w:lang w:val="en-US" w:eastAsia="zh-CN" w:bidi="ar"/>
              </w:rPr>
              <w:t>处理。</w:t>
            </w:r>
          </w:p>
        </w:tc>
      </w:tr>
    </w:tbl>
    <w:p w14:paraId="470B7FE9">
      <w:pPr>
        <w:pStyle w:val="17"/>
        <w:rPr>
          <w:rFonts w:hint="eastAsia" w:ascii="仿宋" w:hAnsi="仿宋" w:eastAsia="仿宋" w:cs="仿宋"/>
          <w:b/>
          <w:bCs/>
          <w:color w:val="auto"/>
          <w:sz w:val="24"/>
          <w:szCs w:val="24"/>
          <w:highlight w:val="none"/>
          <w:lang w:val="en-US" w:eastAsia="zh-CN"/>
        </w:rPr>
      </w:pPr>
    </w:p>
    <w:p w14:paraId="5E869B79">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23F6D46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48AC6E65">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1、彩色多普勒超声诊断仪</w:t>
      </w:r>
    </w:p>
    <w:p w14:paraId="6AE586D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设备名称：全数字彩色多普勒超声诊断系统</w:t>
      </w:r>
    </w:p>
    <w:p w14:paraId="0189670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用途：主要用于腹部、产科、妇科、心脏、小器官、血管、泌尿、儿科、神经、急等方面的临床诊断工作，具备持续升级能力，能满足开展新的临床应用需求。</w:t>
      </w:r>
    </w:p>
    <w:p w14:paraId="1B72D5F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设计使用年限≥10年</w:t>
      </w:r>
    </w:p>
    <w:p w14:paraId="4A5DC89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主要技术规格及系统概述：</w:t>
      </w:r>
    </w:p>
    <w:p w14:paraId="7F6E0E3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1.1主机成像系统：</w:t>
      </w:r>
    </w:p>
    <w:p w14:paraId="630689C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1.1.1≥20英寸液晶显示器</w:t>
      </w:r>
    </w:p>
    <w:p w14:paraId="6F4DEC6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1.1.2≥15英寸彩色触摸屏。</w:t>
      </w:r>
    </w:p>
    <w:p w14:paraId="5D81DBB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1.1.3触摸屏支持手势控制，可自定义≥5个双指手势功能</w:t>
      </w:r>
    </w:p>
    <w:p w14:paraId="2507A5E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1.1.4控制面板调节，可同时旋转和升降，前后拉升。旋转角度 ≥180度，上下移动≥30cm</w:t>
      </w:r>
    </w:p>
    <w:p w14:paraId="2959E1B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1.1.5多倍信号并行处理技术</w:t>
      </w:r>
    </w:p>
    <w:p w14:paraId="0726D07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1.1.6数字化全程动态聚焦，数字化可变孔径及动态变迹</w:t>
      </w:r>
    </w:p>
    <w:p w14:paraId="6DDBC6F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1.1.7数字化二维灰阶成像及M型显像单元</w:t>
      </w:r>
    </w:p>
    <w:p w14:paraId="5B92636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1.1.8解剖M型技术≥2条取样线</w:t>
      </w:r>
    </w:p>
    <w:p w14:paraId="10056B0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1.1.9曲线解剖M型技术</w:t>
      </w:r>
    </w:p>
    <w:p w14:paraId="108610D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1.1.10彩色多普勒成像技术</w:t>
      </w:r>
    </w:p>
    <w:p w14:paraId="2A85605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1.1.11彩色多普勒能量图技术</w:t>
      </w:r>
    </w:p>
    <w:p w14:paraId="672E9FA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1.1.12方向性能量图技术</w:t>
      </w:r>
    </w:p>
    <w:p w14:paraId="4F23285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1.1.13数字化频谱多普勒显示和分析单元(包括PW、CW和HPRF)</w:t>
      </w:r>
    </w:p>
    <w:p w14:paraId="783E3C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1.1.14智能化一键图像优化技术，自动连续优化图像，具备独立按键。</w:t>
      </w:r>
    </w:p>
    <w:p w14:paraId="0932656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1.1.15空间复合成像技术，支持彩色多普勒模式</w:t>
      </w:r>
    </w:p>
    <w:p w14:paraId="2F86380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1.1.16斑点噪声抑制技术，在二维图像，造影成像模式及三维成像下可支持≥6档调节。</w:t>
      </w:r>
    </w:p>
    <w:p w14:paraId="0167064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1.1.17具备自动血流跟踪技术</w:t>
      </w:r>
    </w:p>
    <w:p w14:paraId="1991D75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1.1.18穿刺针增强技术，凸阵和线阵探头均可支持，具有双屏实时对比显示，并支持自适应校正角度</w:t>
      </w:r>
    </w:p>
    <w:p w14:paraId="6E55E23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1.1.19支持高清放大和全局放大、局部放大，放大倍数≥8倍;支持≥2种放大全屏放大模式。</w:t>
      </w:r>
    </w:p>
    <w:p w14:paraId="16F6749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1.1.20支持线阵探头双B图像拼接</w:t>
      </w:r>
    </w:p>
    <w:p w14:paraId="72755DD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1.1.21声功率可调</w:t>
      </w:r>
    </w:p>
    <w:p w14:paraId="2952AAC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1.1.22具备腹部、妇科、产科、浅表、心脏模式自动工作流协议</w:t>
      </w:r>
    </w:p>
    <w:p w14:paraId="46150A6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1.1.23支持语音注释</w:t>
      </w:r>
    </w:p>
    <w:p w14:paraId="441B07E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具有血管弹性分析评估工具。</w:t>
      </w:r>
    </w:p>
    <w:p w14:paraId="31D9513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1.1.25支持内置电池，可在不接电源的情况下可进行正常的超声扫查。连续工作时间≥60分钟。</w:t>
      </w:r>
    </w:p>
    <w:p w14:paraId="0C15E28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1.1.26支持超声远程会诊系统。</w:t>
      </w:r>
    </w:p>
    <w:p w14:paraId="781EF1C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1.2成像技术：</w:t>
      </w:r>
    </w:p>
    <w:p w14:paraId="0DC3D70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1.2.1造影成像技术及造影定量分析功能</w:t>
      </w:r>
    </w:p>
    <w:p w14:paraId="39EEA18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1可支持多种探头：凸阵探头、线阵探头，腔内探头，心脏探头、容积探头</w:t>
      </w:r>
    </w:p>
    <w:p w14:paraId="562AB5B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2支持微血管造影增强功能</w:t>
      </w:r>
    </w:p>
    <w:p w14:paraId="6437F2C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3双计时器</w:t>
      </w:r>
    </w:p>
    <w:p w14:paraId="1FA53B4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4支持向后存储，≥6分钟电影；支持向前存储</w:t>
      </w:r>
    </w:p>
    <w:p w14:paraId="09202F7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5具备混合模式</w:t>
      </w:r>
    </w:p>
    <w:p w14:paraId="7F18323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6支持造影图像和组织图像位置互换</w:t>
      </w:r>
    </w:p>
    <w:p w14:paraId="7B60BAC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7造影定量分析</w:t>
      </w:r>
    </w:p>
    <w:p w14:paraId="05DEB2B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D/4D成像技术</w:t>
      </w:r>
    </w:p>
    <w:p w14:paraId="1194B51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1支持探头类型：腹部容积探头、腔内容积探头</w:t>
      </w:r>
    </w:p>
    <w:p w14:paraId="647820D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2常规成像模式：表面模式、最大模式、最小模式、X-Ray模式</w:t>
      </w:r>
    </w:p>
    <w:p w14:paraId="1DAE598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3容积光源渲染成像，支持多种虚拟光源</w:t>
      </w:r>
    </w:p>
    <w:p w14:paraId="3CE5611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4断层切片成像，同屏显示≥24幅不同深度图像，断层间距0.5mm-10.0mm可调。</w:t>
      </w:r>
    </w:p>
    <w:p w14:paraId="52E7586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5容积厚层成像，包括任意剖面成像（提供证明图片）</w:t>
      </w:r>
    </w:p>
    <w:p w14:paraId="58A856F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STIC时空关联成像</w:t>
      </w:r>
    </w:p>
    <w:p w14:paraId="415C372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7血管三维成像，要求彩色及能量模式均可用</w:t>
      </w:r>
    </w:p>
    <w:p w14:paraId="4712D78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8可将3D/4D图像的ABC三个剖面根据其相对的空间位置结合在一起显示</w:t>
      </w:r>
    </w:p>
    <w:p w14:paraId="7998D1E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9支持3D/4D数据离线处理，对存储的数据再调节成像再存储</w:t>
      </w:r>
    </w:p>
    <w:p w14:paraId="0021CA9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胎儿面部自动导航功能。</w:t>
      </w:r>
    </w:p>
    <w:p w14:paraId="618D139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二维/三维自动卵泡测量，一键自动分割无回声结构自动容积测量</w:t>
      </w:r>
    </w:p>
    <w:p w14:paraId="23B5D4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支持容积图像支持斑点噪声抑制</w:t>
      </w:r>
    </w:p>
    <w:p w14:paraId="46EFD6F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1.2.3应变式弹性成像技术</w:t>
      </w:r>
    </w:p>
    <w:p w14:paraId="6DCA31E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1支持探头：线阵探头、腔内探头、容积探头。</w:t>
      </w:r>
    </w:p>
    <w:p w14:paraId="56FAA5E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2具备组织硬度定量分析软件，支持应变、应变率和应变直方图的测量</w:t>
      </w:r>
    </w:p>
    <w:p w14:paraId="6C915C0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3具备肿块周边组织弹性定量分析功能</w:t>
      </w:r>
    </w:p>
    <w:p w14:paraId="7334BF8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4具备定量测量映射分析，即在组织图测量时弹性图同步测量</w:t>
      </w:r>
    </w:p>
    <w:p w14:paraId="4227414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1.2.4剪切波弹性成像</w:t>
      </w:r>
    </w:p>
    <w:p w14:paraId="6C9B4E7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1可在凸阵探头上同时实现应变式弹性及剪切波弹性成像.</w:t>
      </w:r>
    </w:p>
    <w:p w14:paraId="053B924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2可在线阵探头上同时实现应变式弹性及剪切波弹性成像。</w:t>
      </w:r>
    </w:p>
    <w:p w14:paraId="6EB8B74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3支持二维实时剪切波和单点式剪切波成像</w:t>
      </w:r>
    </w:p>
    <w:p w14:paraId="367BD87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4实时剪切波弹性成像取样框大小可调，可得到取样框内≥3种定量参数</w:t>
      </w:r>
    </w:p>
    <w:p w14:paraId="04D8C89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5实时剪切波弹性成像及二维成像双实时成像，图像布局包括上下，左右多种方式可调</w:t>
      </w:r>
    </w:p>
    <w:p w14:paraId="6C80E43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6同时输出以kPa和m/s为单位的组织硬度定量数据</w:t>
      </w:r>
    </w:p>
    <w:p w14:paraId="46360B5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1.2.5TDI组织多普勒成像</w:t>
      </w:r>
    </w:p>
    <w:p w14:paraId="4EFCDB2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1TDI成像模式：彩色速度模式图、能量模式图</w:t>
      </w:r>
    </w:p>
    <w:p w14:paraId="6880AF6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2TDI组织多普勒定量分析软件：支持运动追踪功能；同步显示≥5段心肌组织运动速度曲线图</w:t>
      </w:r>
    </w:p>
    <w:p w14:paraId="615F7CF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3TDI曲线解剖M型模式：同步显示心肌组织节段运动同步性、运动时相对比</w:t>
      </w:r>
    </w:p>
    <w:p w14:paraId="4DF1BAC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1.2.6组织追踪成像定量分析</w:t>
      </w:r>
    </w:p>
    <w:p w14:paraId="16EC282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1二维模式下追踪心肌运动，支持心内膜、心外膜、心肌层三组追踪轨迹</w:t>
      </w:r>
    </w:p>
    <w:p w14:paraId="1400C69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2具有组织向量图（箭头显示）和曲线图分析，数据包括速度、位移、应变及应变率</w:t>
      </w:r>
    </w:p>
    <w:p w14:paraId="061B703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3支持牛眼图显示和报告显示</w:t>
      </w:r>
    </w:p>
    <w:p w14:paraId="04EC1C9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1.2.7盆底测量分析相关技术</w:t>
      </w:r>
    </w:p>
    <w:p w14:paraId="0B03FBB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1.2.8内置超声教学软件，提供解剖示意图、标准超声图像</w:t>
      </w:r>
    </w:p>
    <w:p w14:paraId="38D8030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1.2.9 Stress Echo负荷成像单元</w:t>
      </w:r>
    </w:p>
    <w:p w14:paraId="07E227D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1.3测量和分析：(B型、M型、D型、彩色模式)</w:t>
      </w:r>
    </w:p>
    <w:p w14:paraId="27A3A50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1.3.1常规测量软件包</w:t>
      </w:r>
    </w:p>
    <w:p w14:paraId="2A16F4C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1.3.2基础测量包，2B模式下支持双幅跨幅测量</w:t>
      </w:r>
    </w:p>
    <w:p w14:paraId="5E63001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1.3.3定点测速功能，彩色多普勒模式下可同屏测量血管腔内≥6个任意位置的血流速度</w:t>
      </w:r>
    </w:p>
    <w:p w14:paraId="75F802C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1.3.4半自动面积及径线测量 自动描迹、测量和计算工具</w:t>
      </w:r>
    </w:p>
    <w:p w14:paraId="4D3F668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1.3.5全科测量包，自动生成报告：</w:t>
      </w:r>
    </w:p>
    <w:p w14:paraId="4BF4D3E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1.3.6妇科测量软件包</w:t>
      </w:r>
    </w:p>
    <w:p w14:paraId="21AF34B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1.3.7具备专业卵泡评估报告，多项IVF评估指标及发育曲线分析</w:t>
      </w:r>
    </w:p>
    <w:p w14:paraId="37DBBFE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1.3.8产科测量软件包：自动产科测量，要求自动测量≥5项胎儿发育评估指标。</w:t>
      </w:r>
    </w:p>
    <w:p w14:paraId="46B5093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1.3.9自动NT测量</w:t>
      </w:r>
    </w:p>
    <w:p w14:paraId="792AD49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1.3.10自动胎心率：在M模式下自动计算胎心率，在B模式下实时自动计算胎心率</w:t>
      </w:r>
    </w:p>
    <w:p w14:paraId="3E19418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1.3.11具备心脏测量软件包：可自动识别四腔心、两腔心切面，自动识别心肌边界，并进行自动描迹，无需手动选择切面和手动描记</w:t>
      </w:r>
    </w:p>
    <w:p w14:paraId="283A561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1.3.12腹部测量软件包：支持膀胱自动测量</w:t>
      </w:r>
    </w:p>
    <w:p w14:paraId="6D56CC4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1.3.13自动肝肾比测量 一键自动肝肾器官识别，自动计算肾皮质及肝脏的灰阶比值</w:t>
      </w:r>
    </w:p>
    <w:p w14:paraId="32F0E5F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1.3.14肺水肿B线自动测量</w:t>
      </w:r>
    </w:p>
    <w:p w14:paraId="2F2EBAD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1.3.15小器官测量软件包，包含乳腺测量包</w:t>
      </w:r>
    </w:p>
    <w:p w14:paraId="46DD909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1.3.16血管测量软件包：IMT血管内中膜自动测量，测量结果参数≥7项，具备IMT评估曲线分析。（提供IMT内中膜评估分析曲线证明图片）</w:t>
      </w:r>
    </w:p>
    <w:p w14:paraId="559CAB0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1.3.17支持颈动脉血管内中膜自动实时测量</w:t>
      </w:r>
    </w:p>
    <w:p w14:paraId="4E76A57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1.3.18支持血管体位图手动编辑功能，通过在触摸屏上手动描记体位图</w:t>
      </w:r>
    </w:p>
    <w:p w14:paraId="56EF86F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1.3.19小儿髋关节自动测量功能，可一键自动计算α角,β角，自动进行临床分型</w:t>
      </w:r>
    </w:p>
    <w:p w14:paraId="30CBD39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1.4图像存储(电影)回放重显及病案管理单元</w:t>
      </w:r>
    </w:p>
    <w:p w14:paraId="1F85C8F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1.4.1硬盘≥500G，图像存储，电影回放：≥150秒</w:t>
      </w:r>
    </w:p>
    <w:p w14:paraId="5FCD863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1.4.2多种导出图像格式：动态图像、静态图像以PC格式直接导出。导出、备份图像数据资料同时，可进行实时检查，不影响检查操作</w:t>
      </w:r>
    </w:p>
    <w:p w14:paraId="6887F02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1.4.3支持向后存储和向前存储，时间长度可预置，向后存储≥6分钟的电影</w:t>
      </w:r>
    </w:p>
    <w:p w14:paraId="47AEDB4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1.4.4原始数据处理，支持动、静态图像冻结后，最大可调节参数≥28项</w:t>
      </w:r>
    </w:p>
    <w:p w14:paraId="6F29111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1.5连通性要求：</w:t>
      </w:r>
    </w:p>
    <w:p w14:paraId="77F1D4D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1.5.1支持网络连接，能开放DICOM 3.0接口满足任何厂家PACS联网传输，并可支持DICOM结构化报告</w:t>
      </w:r>
    </w:p>
    <w:p w14:paraId="3FC42A2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1.5.2可直接通过控制面板上的按键存储静态/动态超声图像到工作站（无需外接其他手柄或脚踏开关）</w:t>
      </w:r>
    </w:p>
    <w:p w14:paraId="51A5302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1.5.3支持一键传输图片到其他终端。支持手机等移动终端APP远程操作设备</w:t>
      </w:r>
    </w:p>
    <w:p w14:paraId="464FC57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系统技术参数及要求：</w:t>
      </w:r>
    </w:p>
    <w:p w14:paraId="1E89B75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1.6系统通用功能：</w:t>
      </w:r>
    </w:p>
    <w:p w14:paraId="06F898B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≥5个全激活探头接口，相互通用。</w:t>
      </w:r>
    </w:p>
    <w:p w14:paraId="347FE67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1.6.2预设条件：针对不同的检查脏器，预置最佳化图像的检查条件。</w:t>
      </w:r>
    </w:p>
    <w:p w14:paraId="6F088D4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1.7探头规格</w:t>
      </w:r>
    </w:p>
    <w:p w14:paraId="66715D1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1.7.1频率：超宽频带或变频探头，所配探头均为宽频变频探头</w:t>
      </w:r>
    </w:p>
    <w:p w14:paraId="4D28AF6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1.7.2二维、谐波、彩色及频谱多普勒模式分别独立变频</w:t>
      </w:r>
    </w:p>
    <w:p w14:paraId="339236E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1.7.3单晶体探头</w:t>
      </w:r>
    </w:p>
    <w:p w14:paraId="155A005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1.7.4电子线阵探头</w:t>
      </w:r>
    </w:p>
    <w:p w14:paraId="75178F5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1.7.5腹部凸阵探头</w:t>
      </w:r>
    </w:p>
    <w:p w14:paraId="46E9268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1.7.6血管/小器官线阵探头</w:t>
      </w:r>
    </w:p>
    <w:p w14:paraId="5B8DCD3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1.7.7单晶心脏相控阵探头</w:t>
      </w:r>
    </w:p>
    <w:p w14:paraId="52AE3F0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1.7.8腔内探头</w:t>
      </w:r>
    </w:p>
    <w:p w14:paraId="722F61B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1.8二维显像主要参数：</w:t>
      </w:r>
    </w:p>
    <w:p w14:paraId="6C0E97F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1.8.1成像速度：相控阵探头，18CM深度时, 全视野，帧率≥57帧/秒；凸阵探头，18CM深度时, 全视野， 帧率≥39帧/秒</w:t>
      </w:r>
    </w:p>
    <w:p w14:paraId="3C30726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1.8.2增益调节：B/M/D分别独立可调，≥100，可视可调步进≥1。</w:t>
      </w:r>
    </w:p>
    <w:p w14:paraId="6B26308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1.8.3TGC: ≥8段，LGC: ≥8段</w:t>
      </w:r>
    </w:p>
    <w:p w14:paraId="5818AE2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▲1.8.4探测深度≥38cm</w:t>
      </w:r>
    </w:p>
    <w:p w14:paraId="4625081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1.8.5伪彩图谱: ≥7种</w:t>
      </w:r>
    </w:p>
    <w:p w14:paraId="533DB1D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1.8.6最大帧率: ≥600 帧/秒</w:t>
      </w:r>
    </w:p>
    <w:p w14:paraId="43E8C68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▲1.8.7动态范围：≥240dB，可视可调</w:t>
      </w:r>
    </w:p>
    <w:p w14:paraId="5FCCC63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1.9频谱多普勒：</w:t>
      </w:r>
    </w:p>
    <w:p w14:paraId="49F6920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1.9.1显示模式：脉冲多普勒、高脉冲重复频率、连续多普勒</w:t>
      </w:r>
    </w:p>
    <w:p w14:paraId="00DA5C7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1.9.2最大测量速度：≥7.2m/s（连续多普勒速度: ≥35m/s）</w:t>
      </w:r>
    </w:p>
    <w:p w14:paraId="5EB47FD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1.9.3最低测量速度：≤13.1cm/s</w:t>
      </w:r>
    </w:p>
    <w:p w14:paraId="568DEB1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1.9.4偏转角度: ≥±30° (线阵探头) ，并支持快速角度校正</w:t>
      </w:r>
    </w:p>
    <w:p w14:paraId="055985F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1.9.5取样宽度及位置范围： 0.5-30mm </w:t>
      </w:r>
    </w:p>
    <w:p w14:paraId="20BC19C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1.9.6零位移动：8级</w:t>
      </w:r>
    </w:p>
    <w:p w14:paraId="49FB572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1.9.7实时自动包络频谱并完成频谱测量计算</w:t>
      </w:r>
    </w:p>
    <w:p w14:paraId="692DCFD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1.10彩色多普勒：</w:t>
      </w:r>
    </w:p>
    <w:p w14:paraId="49C1FA3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1.10.1显示方式：包括速度、速度方差、能量、方向能量显示等</w:t>
      </w:r>
    </w:p>
    <w:p w14:paraId="0364582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1.10.2具备速度标识功能，标识不同血流速度边界，观察血流分布及速度梯度</w:t>
      </w:r>
    </w:p>
    <w:p w14:paraId="127065C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1.10.3取样框偏转: ≥±30°，取样框可根据探头血流方向自动调节</w:t>
      </w:r>
    </w:p>
    <w:p w14:paraId="103CC4B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1.10.4最大帧率: ≥220 帧/秒</w:t>
      </w:r>
    </w:p>
    <w:p w14:paraId="1E82442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1.10.5彩色增强功能：彩色多普勒能量图(PDI);组织多普勒(TDI)</w:t>
      </w:r>
    </w:p>
    <w:p w14:paraId="0F501CF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1.10.6彩色频谱自动反转：当调节彩色取样框从一侧偏转向另一侧时，系统可自动触发反转功能</w:t>
      </w:r>
    </w:p>
    <w:p w14:paraId="12A3E12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1.11记录装置：</w:t>
      </w:r>
    </w:p>
    <w:p w14:paraId="605A450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1.11.1内置一体化超声工作站</w:t>
      </w:r>
    </w:p>
    <w:p w14:paraId="6DBA281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1.11.2内置数字录像机可用于教学，存储时间≥60分钟</w:t>
      </w:r>
    </w:p>
    <w:p w14:paraId="19BC489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1.11.3内置USB接口≥6</w:t>
      </w:r>
    </w:p>
    <w:p w14:paraId="3174C1C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1.12外设和附件</w:t>
      </w:r>
    </w:p>
    <w:p w14:paraId="4CAD155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1.12.1支持主机一体化耦合剂加热器温度可调</w:t>
      </w:r>
    </w:p>
    <w:p w14:paraId="6451A20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1.12.2腔内探头放置架</w:t>
      </w:r>
    </w:p>
    <w:p w14:paraId="5A8BDE1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1.12.3背光小键盘</w:t>
      </w:r>
    </w:p>
    <w:p w14:paraId="3DAF58B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1.12.4主机一体式LED照明灯，辅助暗室临床操作 </w:t>
      </w:r>
    </w:p>
    <w:p w14:paraId="1524BCA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1.12.5支持脚踏开关</w:t>
      </w:r>
    </w:p>
    <w:p w14:paraId="2B8F52E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4.8.2配置要求</w:t>
      </w:r>
    </w:p>
    <w:p w14:paraId="516DA5F0">
      <w:pPr>
        <w:pStyle w:val="51"/>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1.超声工作站：与医院目前所运行的PACS系统进行系统连接，并承担由此产生的软、硬件费用（包括接口费、数字高清采集卡、电脑、彩色激光打印机等）。具体型号根据医院要求配备。</w:t>
      </w:r>
    </w:p>
    <w:p w14:paraId="5FA01A8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2.电脑桌椅一套</w:t>
      </w:r>
    </w:p>
    <w:p w14:paraId="0E8B3F4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3.超声检查床椅各一张。</w:t>
      </w:r>
    </w:p>
    <w:p w14:paraId="7A7C51B1">
      <w:pPr>
        <w:pStyle w:val="51"/>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4.≥3000VA精密净化稳压电源一套；</w:t>
      </w:r>
    </w:p>
    <w:p w14:paraId="1FEDD7EF">
      <w:pPr>
        <w:pStyle w:val="51"/>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5.探头消毒机 一台（具备二类医疗器械注册证）</w:t>
      </w:r>
    </w:p>
    <w:p w14:paraId="490C4D90">
      <w:pPr>
        <w:pStyle w:val="51"/>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6.脚踏踩图器4个</w:t>
      </w:r>
    </w:p>
    <w:p w14:paraId="4E649FC3">
      <w:pPr>
        <w:pStyle w:val="51"/>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7.探头配置</w:t>
      </w:r>
      <w:r>
        <w:rPr>
          <w:rFonts w:hint="eastAsia" w:ascii="仿宋" w:hAnsi="仿宋" w:eastAsia="仿宋" w:cs="仿宋"/>
          <w:color w:val="auto"/>
          <w:sz w:val="24"/>
          <w:szCs w:val="24"/>
          <w:highlight w:val="none"/>
        </w:rPr>
        <w:t>.浅表探头1把，腔内探头1把，单晶体腹部探头1把，单晶体心脏探头1把</w:t>
      </w:r>
    </w:p>
    <w:p w14:paraId="661DED5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8.质保：整机含探头质保5年</w:t>
      </w:r>
    </w:p>
    <w:p w14:paraId="7B5F9B74">
      <w:pPr>
        <w:outlineLvl w:val="9"/>
        <w:rPr>
          <w:rFonts w:hint="default"/>
          <w:color w:val="auto"/>
          <w:sz w:val="24"/>
          <w:szCs w:val="24"/>
          <w:highlight w:val="none"/>
          <w:lang w:val="en-US"/>
        </w:rPr>
      </w:pPr>
      <w:r>
        <w:rPr>
          <w:rFonts w:hint="eastAsia" w:ascii="仿宋" w:hAnsi="仿宋" w:eastAsia="仿宋" w:cs="仿宋"/>
          <w:color w:val="auto"/>
          <w:sz w:val="24"/>
          <w:szCs w:val="24"/>
          <w:highlight w:val="none"/>
        </w:rPr>
        <w:t>9.远程超声会诊，支持实时超声影像传输、远程会诊、质控、教学软件一套；</w:t>
      </w:r>
    </w:p>
    <w:p w14:paraId="172E6E4D">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FF9EEDA">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标项四</w:t>
      </w:r>
    </w:p>
    <w:p w14:paraId="275B4DC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4B99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AD1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15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89D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342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A2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C4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FE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2F16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3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E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便携电子支气管镜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C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314">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4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5A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79AA">
            <w:pPr>
              <w:jc w:val="center"/>
              <w:rPr>
                <w:rFonts w:hint="eastAsia" w:ascii="仿宋" w:hAnsi="仿宋" w:eastAsia="仿宋" w:cs="仿宋"/>
                <w:i w:val="0"/>
                <w:iCs w:val="0"/>
                <w:color w:val="auto"/>
                <w:sz w:val="24"/>
                <w:szCs w:val="24"/>
                <w:highlight w:val="none"/>
                <w:u w:val="none"/>
              </w:rPr>
            </w:pPr>
          </w:p>
        </w:tc>
      </w:tr>
      <w:tr w14:paraId="0787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B8A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7F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动态血压仪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0C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FE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D8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9B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CCE0">
            <w:pPr>
              <w:jc w:val="center"/>
              <w:rPr>
                <w:rFonts w:hint="eastAsia" w:ascii="仿宋" w:hAnsi="仿宋" w:eastAsia="仿宋" w:cs="仿宋"/>
                <w:i w:val="0"/>
                <w:iCs w:val="0"/>
                <w:color w:val="auto"/>
                <w:sz w:val="24"/>
                <w:szCs w:val="24"/>
                <w:highlight w:val="none"/>
                <w:u w:val="none"/>
              </w:rPr>
            </w:pPr>
          </w:p>
        </w:tc>
      </w:tr>
      <w:tr w14:paraId="1360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AA3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2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儿童可视喉镜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FC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9BB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DE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E7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D354">
            <w:pPr>
              <w:jc w:val="center"/>
              <w:rPr>
                <w:rFonts w:hint="eastAsia" w:ascii="仿宋" w:hAnsi="仿宋" w:eastAsia="仿宋" w:cs="仿宋"/>
                <w:i w:val="0"/>
                <w:iCs w:val="0"/>
                <w:color w:val="auto"/>
                <w:sz w:val="24"/>
                <w:szCs w:val="24"/>
                <w:highlight w:val="none"/>
                <w:u w:val="none"/>
              </w:rPr>
            </w:pPr>
          </w:p>
        </w:tc>
      </w:tr>
      <w:tr w14:paraId="7F10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46B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FEA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新生儿监护仪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72E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9E4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8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F1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BCB">
            <w:pPr>
              <w:jc w:val="center"/>
              <w:rPr>
                <w:rFonts w:hint="eastAsia" w:ascii="仿宋" w:hAnsi="仿宋" w:eastAsia="仿宋" w:cs="仿宋"/>
                <w:i w:val="0"/>
                <w:iCs w:val="0"/>
                <w:color w:val="auto"/>
                <w:sz w:val="24"/>
                <w:szCs w:val="24"/>
                <w:highlight w:val="none"/>
                <w:u w:val="none"/>
              </w:rPr>
            </w:pPr>
          </w:p>
        </w:tc>
      </w:tr>
      <w:tr w14:paraId="2FDF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2F7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6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多参数生物反馈治疗仪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6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23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6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F5B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FC7">
            <w:pPr>
              <w:jc w:val="center"/>
              <w:rPr>
                <w:rFonts w:hint="eastAsia" w:ascii="仿宋" w:hAnsi="仿宋" w:eastAsia="仿宋" w:cs="仿宋"/>
                <w:i w:val="0"/>
                <w:iCs w:val="0"/>
                <w:color w:val="auto"/>
                <w:sz w:val="24"/>
                <w:szCs w:val="24"/>
                <w:highlight w:val="none"/>
                <w:u w:val="none"/>
              </w:rPr>
            </w:pPr>
          </w:p>
        </w:tc>
      </w:tr>
      <w:tr w14:paraId="4224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36694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66454DD4">
      <w:pPr>
        <w:pStyle w:val="17"/>
        <w:rPr>
          <w:rFonts w:hint="eastAsia" w:ascii="仿宋" w:hAnsi="仿宋" w:eastAsia="仿宋" w:cs="仿宋"/>
          <w:b/>
          <w:bCs/>
          <w:color w:val="auto"/>
          <w:sz w:val="24"/>
          <w:szCs w:val="24"/>
          <w:highlight w:val="none"/>
          <w:lang w:val="en-US" w:eastAsia="zh-CN"/>
        </w:rPr>
      </w:pPr>
    </w:p>
    <w:p w14:paraId="01F70801">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49ABCF1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6ADD6D34">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1、便携电子支气管镜</w:t>
      </w:r>
    </w:p>
    <w:p w14:paraId="614C5B7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1、显示器：</w:t>
      </w:r>
    </w:p>
    <w:p w14:paraId="40C0EC0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≥15寸液晶显示器，高宽比：16:9；</w:t>
      </w:r>
    </w:p>
    <w:p w14:paraId="7BBC361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分辨率≥1920*1080；</w:t>
      </w:r>
    </w:p>
    <w:p w14:paraId="12A9008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 最大亮度≥400cd/m² </w:t>
      </w:r>
    </w:p>
    <w:p w14:paraId="689B040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信号输入： 含:HDMI接口等；</w:t>
      </w:r>
    </w:p>
    <w:p w14:paraId="5D02A71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2、电子内窥镜图像处理器：</w:t>
      </w:r>
    </w:p>
    <w:p w14:paraId="1BB6761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2.1图像处理器具备医疗器械注册证；视频图像信号输出分辨率：≥1920*1080</w:t>
      </w:r>
    </w:p>
    <w:p w14:paraId="28FE188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≥10种菜单模式：，包括如：亮度、对比度、色调、饱和度、锐度、降噪、高级降噪、旋转模式、镜像翻转模式、语言、输出分辨率、时间设定等模式；</w:t>
      </w:r>
    </w:p>
    <w:p w14:paraId="542469C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2.2.1具备图像亮度调节的功能，调节范围0~100；</w:t>
      </w:r>
    </w:p>
    <w:p w14:paraId="4558D0D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2.2.2具备图像对比度调节功能，调节范围0~100；</w:t>
      </w:r>
    </w:p>
    <w:p w14:paraId="7986DD7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2.2.3具备图像色调调节功能，调节范围0~100；</w:t>
      </w:r>
    </w:p>
    <w:p w14:paraId="29DF760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2.2.4具备图像饱和度调节功能，调节范围0~100；</w:t>
      </w:r>
    </w:p>
    <w:p w14:paraId="04605E7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2.2.5具备图像锐度调节功能，调节范围0~3；</w:t>
      </w:r>
    </w:p>
    <w:p w14:paraId="3481E82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2.2.6具备图像降噪调节功能，调节范围0~100；</w:t>
      </w:r>
    </w:p>
    <w:p w14:paraId="302E09F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2.2.7具备图像高级降噪调节功能，可打开或关闭；</w:t>
      </w:r>
    </w:p>
    <w:p w14:paraId="767A701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2.2.8具备图像旋转功能，旋转角度如：0度、90度、180度、270度等）；</w:t>
      </w:r>
    </w:p>
    <w:p w14:paraId="5743EBC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2.2.9具备图像镜像翻转功能</w:t>
      </w:r>
    </w:p>
    <w:p w14:paraId="5FFABB9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2.2.10中文菜单语言；</w:t>
      </w:r>
    </w:p>
    <w:p w14:paraId="6DF47D9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2.3具有缩放功能， ≥3倍调节；</w:t>
      </w:r>
    </w:p>
    <w:p w14:paraId="38FC5E4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具有一键白平衡功能，并有文字提示、具备白平衡记忆功能；</w:t>
      </w:r>
    </w:p>
    <w:p w14:paraId="2AFE49F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2.5≥3种接口，包含：USB 、Type A、SDI、航空接口等；</w:t>
      </w:r>
    </w:p>
    <w:p w14:paraId="78FF58D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2.5.1具备SDI视频输出接口和HDMI视频输出接口，</w:t>
      </w:r>
    </w:p>
    <w:p w14:paraId="1DADB7F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2.5.2具备SDI视频信号、HDMI视频信号同步输出功能，视频信号延时≤150ms；</w:t>
      </w:r>
    </w:p>
    <w:p w14:paraId="5CA2C6EE">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2.5.3 接口具备对应的传输协议</w:t>
      </w:r>
    </w:p>
    <w:p w14:paraId="63AB335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2.5.4图像存储：拍照后，图像可存储在U盘</w:t>
      </w:r>
    </w:p>
    <w:p w14:paraId="14CDC44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2.5.5录像存储：录像后，录像文件可存储在U盘</w:t>
      </w:r>
    </w:p>
    <w:p w14:paraId="269EDCB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2.5.6图像冻结:设备具备图像冻结功能</w:t>
      </w:r>
    </w:p>
    <w:p w14:paraId="4D2EC70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2.6外置存储设备：≥64G</w:t>
      </w:r>
    </w:p>
    <w:p w14:paraId="64B360C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2.7内置电池：≥6800mAh；</w:t>
      </w:r>
    </w:p>
    <w:p w14:paraId="74F4F06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2.8可分辨≥24 种标准色板颜色</w:t>
      </w:r>
    </w:p>
    <w:p w14:paraId="4826AA6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2.9一体化台车：包含镜挂支架、图像处理器操作台、显示器挂架、储物篮等</w:t>
      </w:r>
    </w:p>
    <w:p w14:paraId="08917F6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 内窥镜与电子内窥镜图像处理器的连接方式：通过信号连接线与内窥镜手柄部直接相连；</w:t>
      </w:r>
    </w:p>
    <w:p w14:paraId="46186F9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2.11可兼容同品牌电子支气管镜、电子鼻咽喉内窥镜、电子支气管镜系统（一次性）、可视软性喉镜（一次性）；</w:t>
      </w:r>
    </w:p>
    <w:p w14:paraId="5D8D8E1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3、电子支气管镜：</w:t>
      </w:r>
    </w:p>
    <w:p w14:paraId="6E7F97E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3.1、视场角≥120°</w:t>
      </w:r>
    </w:p>
    <w:p w14:paraId="6117F21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3.2、工作软管有效长度≥600mm</w:t>
      </w:r>
    </w:p>
    <w:p w14:paraId="0D78996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3.3、分辨率：≥9.9lp/mm，工作距7mm；</w:t>
      </w:r>
    </w:p>
    <w:p w14:paraId="3D32F3A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3.4、景深3mm-150mm；</w:t>
      </w:r>
    </w:p>
    <w:p w14:paraId="41A6C92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3.5、插入管外径≤4.9mm，工作通道内径≥2.6mm；</w:t>
      </w:r>
    </w:p>
    <w:p w14:paraId="105C059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3.6、镜体插入管软管前端蛇骨弯曲角度：向上≥180°，向下≥130°；</w:t>
      </w:r>
    </w:p>
    <w:p w14:paraId="588C40C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▲3.7、操作手柄插入管具备旋转功能，旋转≥120°； </w:t>
      </w:r>
    </w:p>
    <w:p w14:paraId="7A2BCE9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3.8、前端内置LED光源，光源光照度≥1000Lux；</w:t>
      </w:r>
    </w:p>
    <w:p w14:paraId="70CFA50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3.9、吸引量≥600ml/min</w:t>
      </w:r>
    </w:p>
    <w:p w14:paraId="770CF537">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3.10、具有高频电烧治疗、激光灼烧治疗等治疗方式；</w:t>
      </w:r>
    </w:p>
    <w:p w14:paraId="4CE314C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3.11、操控部手柄遥控按钮≥2个功能按键，可进行图像摄录，图像冻结，图像缩放等预设功能；</w:t>
      </w:r>
    </w:p>
    <w:p w14:paraId="32033EC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3.12、成像原理： CMOS成像</w:t>
      </w:r>
    </w:p>
    <w:p w14:paraId="4D987CA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3.13、插入部前端部采用医用高分子材质，具备良好的生物兼容性</w:t>
      </w:r>
    </w:p>
    <w:p w14:paraId="27435AE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3.14、LED光源，全密封防水设计，具备防雾功能</w:t>
      </w:r>
    </w:p>
    <w:p w14:paraId="23396FA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3.15、吸引按键具备内固定装置；</w:t>
      </w:r>
    </w:p>
    <w:p w14:paraId="1A1066D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3.16、电子支气管镜接触患者部分的插入管采用聚氨酯材料、弯曲部采用氟橡胶材料、头端部使用PEEK材料 </w:t>
      </w:r>
    </w:p>
    <w:p w14:paraId="5C698BC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3.18、洗消方式≥2种，自带保护帽，ETO帽，可进行全镜体的浸泡洗消或低温等离子灭菌洗消；</w:t>
      </w:r>
    </w:p>
    <w:p w14:paraId="4F5CCD1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3.19、吸引按键组成：密封件、键体、键帽、键杆4部分，经消毒灭菌后可重复使用；</w:t>
      </w:r>
    </w:p>
    <w:p w14:paraId="28D6C4D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、设计使用年限≥6年</w:t>
      </w:r>
    </w:p>
    <w:p w14:paraId="1693A7C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4、便携式显示屏：</w:t>
      </w:r>
    </w:p>
    <w:p w14:paraId="1C264EA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4.1、≥3寸显示屏；</w:t>
      </w:r>
    </w:p>
    <w:p w14:paraId="7BB4110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4.2、分辨率：≥640×480</w:t>
      </w:r>
    </w:p>
    <w:p w14:paraId="7E0A052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4.3、内置可充电式锂电电池， 电池容量≥2300mAH，工作时间≥120分钟</w:t>
      </w:r>
    </w:p>
    <w:p w14:paraId="07FED63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4.4、内置 ≥32G 内存，可拍照≥ 40 万张，或录像 ≥16 个小时；</w:t>
      </w:r>
    </w:p>
    <w:p w14:paraId="47DDFB0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4.5、显示器可左右旋转180°，上下翻动180°</w:t>
      </w:r>
    </w:p>
    <w:p w14:paraId="1602F71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4.6、显示屏带录像显示及电量提示功能，具有摄录时间长短提示功能与循环摄录功能及电量智能检测指示标识</w:t>
      </w:r>
    </w:p>
    <w:p w14:paraId="3E2C9FD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.质保期≥5年</w:t>
      </w:r>
    </w:p>
    <w:p w14:paraId="1799763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.配置要求</w:t>
      </w:r>
    </w:p>
    <w:p w14:paraId="7FBBA41B">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防水盖 1 个 </w:t>
      </w:r>
    </w:p>
    <w:p w14:paraId="04145FA9">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工作通道密封帽 1 个 </w:t>
      </w:r>
    </w:p>
    <w:p w14:paraId="567C5D25">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吸引按钮 1 个 </w:t>
      </w:r>
    </w:p>
    <w:p w14:paraId="68653647">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测漏表 1 个 </w:t>
      </w:r>
    </w:p>
    <w:p w14:paraId="48CF86C8">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清洗灌流器1 个 </w:t>
      </w:r>
    </w:p>
    <w:p w14:paraId="50F07FEF">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吸引清洗刷 1 个 </w:t>
      </w:r>
    </w:p>
    <w:p w14:paraId="404980B1">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口垫（中） 2 个 </w:t>
      </w:r>
    </w:p>
    <w:p w14:paraId="64EF3966">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口垫（大） 2 个 </w:t>
      </w:r>
    </w:p>
    <w:p w14:paraId="6DBBC132">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电源适配器 1 个 </w:t>
      </w:r>
    </w:p>
    <w:p w14:paraId="61AAD33B">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HDMI 线 1 个</w:t>
      </w:r>
    </w:p>
    <w:p w14:paraId="50A84F29">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镜箱 1 个 </w:t>
      </w:r>
    </w:p>
    <w:p w14:paraId="038BD07E">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测漏接头 1个</w:t>
      </w:r>
    </w:p>
    <w:p w14:paraId="6726166D">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说明书 1 个 </w:t>
      </w:r>
    </w:p>
    <w:p w14:paraId="5483EB88">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合格证 1 个 </w:t>
      </w:r>
    </w:p>
    <w:p w14:paraId="447DA611">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保修卡 1 个 </w:t>
      </w:r>
    </w:p>
    <w:p w14:paraId="2B6926E1">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推车  1个</w:t>
      </w:r>
    </w:p>
    <w:p w14:paraId="1EA43CB8">
      <w:pPr>
        <w:pStyle w:val="10"/>
        <w:keepLines w:val="0"/>
        <w:pageBreakBefore w:val="0"/>
        <w:widowControl/>
        <w:numPr>
          <w:ilvl w:val="0"/>
          <w:numId w:val="2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气管镜球囊2个</w:t>
      </w:r>
    </w:p>
    <w:p w14:paraId="4FB9E07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配套设备（按院方需求配置）</w:t>
      </w:r>
    </w:p>
    <w:p w14:paraId="234554C9">
      <w:pPr>
        <w:pStyle w:val="10"/>
        <w:keepLines w:val="0"/>
        <w:pageBreakBefore w:val="0"/>
        <w:numPr>
          <w:ilvl w:val="0"/>
          <w:numId w:val="2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黑白激光双面打印复印机 1台。</w:t>
      </w:r>
    </w:p>
    <w:p w14:paraId="12A3CA67">
      <w:pPr>
        <w:pStyle w:val="10"/>
        <w:keepLines w:val="0"/>
        <w:pageBreakBefore w:val="0"/>
        <w:numPr>
          <w:ilvl w:val="0"/>
          <w:numId w:val="2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品牌台式计算机 1台，配置要求：</w:t>
      </w:r>
    </w:p>
    <w:p w14:paraId="35705333">
      <w:pPr>
        <w:pStyle w:val="10"/>
        <w:keepLines w:val="0"/>
        <w:pageBreakBefore w:val="0"/>
        <w:numPr>
          <w:ilvl w:val="0"/>
          <w:numId w:val="2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处理器：</w:t>
      </w:r>
      <w:r>
        <w:rPr>
          <w:rFonts w:hint="eastAsia" w:ascii="仿宋" w:hAnsi="仿宋" w:eastAsia="仿宋" w:cs="仿宋"/>
          <w:color w:val="auto"/>
          <w:sz w:val="24"/>
          <w:szCs w:val="24"/>
          <w:highlight w:val="none"/>
          <w:lang w:eastAsia="zh-CN"/>
        </w:rPr>
        <w:t xml:space="preserve"> Intel i5 14代或同级别及以上</w:t>
      </w:r>
      <w:r>
        <w:rPr>
          <w:rFonts w:hint="eastAsia" w:ascii="仿宋" w:hAnsi="仿宋" w:eastAsia="仿宋" w:cs="仿宋"/>
          <w:color w:val="auto"/>
          <w:sz w:val="24"/>
          <w:szCs w:val="24"/>
          <w:highlight w:val="none"/>
        </w:rPr>
        <w:t>，集成显卡。内存：≥16GB DDR4，固态硬盘≥1TB显示器：≥23英寸，≥1920×1080，配备HDMI+VGA双接口。</w:t>
      </w:r>
    </w:p>
    <w:p w14:paraId="26ACC1E1">
      <w:pPr>
        <w:pStyle w:val="10"/>
        <w:keepLines w:val="0"/>
        <w:pageBreakBefore w:val="0"/>
        <w:numPr>
          <w:ilvl w:val="0"/>
          <w:numId w:val="2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工作桌椅1套</w:t>
      </w:r>
    </w:p>
    <w:p w14:paraId="6DE74ED9">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26C297D">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14CC92C2">
      <w:pPr>
        <w:pStyle w:val="17"/>
        <w:numPr>
          <w:ilvl w:val="0"/>
          <w:numId w:val="23"/>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动态血压仪</w:t>
      </w:r>
    </w:p>
    <w:p w14:paraId="5BF33E82">
      <w:pPr>
        <w:pStyle w:val="17"/>
        <w:numPr>
          <w:ilvl w:val="0"/>
          <w:numId w:val="0"/>
        </w:numPr>
        <w:ind w:firstLine="240" w:firstLineChars="1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1.测量方法：振荡示波法</w:t>
      </w:r>
    </w:p>
    <w:p w14:paraId="44AF47ED">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2.测量精度：±3mmHg</w:t>
      </w:r>
    </w:p>
    <w:p w14:paraId="27CC35DB">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3.测量范围：</w:t>
      </w:r>
    </w:p>
    <w:p w14:paraId="52D408E8">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3.1收缩压：60-260mmHg</w:t>
      </w:r>
    </w:p>
    <w:p w14:paraId="299E6F69">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3.2舒张压：20-210mmHg</w:t>
      </w:r>
    </w:p>
    <w:p w14:paraId="5AAD22DC">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3.3心 率：40-200bpm</w:t>
      </w:r>
    </w:p>
    <w:p w14:paraId="77A77BD3">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4.记录时间：支持1-3天血压监测，记录天数可通过软件进行设置。</w:t>
      </w:r>
    </w:p>
    <w:p w14:paraId="0A539AF2">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5.测量方案：支持睡眠、清醒及自定义特殊时间段设置，任意设置时段起止时间。</w:t>
      </w:r>
    </w:p>
    <w:p w14:paraId="782DFA25">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6.测量间隔：支持5、10、12、15、20、30、60、90、120分钟等多种时间间隔选择。</w:t>
      </w:r>
    </w:p>
    <w:p w14:paraId="3ACA353B">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7.监测仪自带体位记录功能，能够记录患者站立、躺位、静止、运动状态。</w:t>
      </w:r>
    </w:p>
    <w:p w14:paraId="44257A3D">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8.液晶显示屏可显示收缩压、舒张压和心率，电池电量。</w:t>
      </w:r>
    </w:p>
    <w:p w14:paraId="597706D2">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9.支持自动重测功能，测量失败后2分钟内自动重测。</w:t>
      </w:r>
    </w:p>
    <w:p w14:paraId="24AEE092">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10.支持手动测量模式，同时可以通过软件设置关闭手动测量功能。</w:t>
      </w:r>
    </w:p>
    <w:p w14:paraId="6F6098A0">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11.电池：碱性电池。</w:t>
      </w:r>
    </w:p>
    <w:p w14:paraId="652FBF5E">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12.数据传输： USB传输，支持选配蓝牙通讯方式。</w:t>
      </w:r>
    </w:p>
    <w:p w14:paraId="105AA7CF">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13.重量≤180克，单键操作。</w:t>
      </w:r>
    </w:p>
    <w:p w14:paraId="453D853F">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14.纯棉袖带设计，有金属环固定，支持左右手测量，内囊可换洗。</w:t>
      </w:r>
    </w:p>
    <w:p w14:paraId="436D009C">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15.中文操作界面，支持Windows XP、Win7、Win10等多种操作系统。</w:t>
      </w:r>
    </w:p>
    <w:p w14:paraId="3ABE93CA">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16.支持24小时、48小时、72小时等血压数据分析。</w:t>
      </w:r>
    </w:p>
    <w:p w14:paraId="50684BBC">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17.具备体位标记功能，每次测量数据包含患者测量时体位和运动状态。</w:t>
      </w:r>
    </w:p>
    <w:p w14:paraId="039BD784">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18.支持动态血压报告自动分析结论</w:t>
      </w:r>
    </w:p>
    <w:p w14:paraId="217E200A">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19.支持RPP、血压变异性系数、僵硬指数、晨峰指数等高级分析指标。</w:t>
      </w:r>
    </w:p>
    <w:p w14:paraId="2092DEC3">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20.支持错误值自动剔除、设定范围筛选显示和统计、血压对照分析等功能。</w:t>
      </w:r>
    </w:p>
    <w:p w14:paraId="0B214CCE">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21.提供汇总报告、数据表、小时统计、趋势图、离散图、直方图、饼状图等报告。</w:t>
      </w:r>
    </w:p>
    <w:p w14:paraId="116DBF62">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22.软件支持儿童自动血压自动分析功能，可以根据输入的年龄、性别和身高自动得出诊断标准。</w:t>
      </w:r>
    </w:p>
    <w:p w14:paraId="36472302">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23.动态血压原始数据可导入动态心电分析系统进行对照分析，生成心电血压同步对照报告。</w:t>
      </w:r>
    </w:p>
    <w:p w14:paraId="024FCC69">
      <w:pPr>
        <w:pStyle w:val="10"/>
        <w:keepLines w:val="0"/>
        <w:pageBreakBefore w:val="0"/>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24.动态血压系统支持网络功能，原始数据及报告可接入医院信息管理系统共享。</w:t>
      </w:r>
    </w:p>
    <w:p w14:paraId="37EEBA46">
      <w:pPr>
        <w:pStyle w:val="10"/>
        <w:keepLines w:val="0"/>
        <w:pageBreakBefore w:val="0"/>
        <w:numPr>
          <w:ilvl w:val="0"/>
          <w:numId w:val="24"/>
        </w:numPr>
        <w:kinsoku/>
        <w:wordWrap/>
        <w:overflowPunct/>
        <w:topLinePunct w:val="0"/>
        <w:autoSpaceDE/>
        <w:autoSpaceDN/>
        <w:bidi w:val="0"/>
        <w:spacing w:before="0" w:after="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设计使用年限≥10年。</w:t>
      </w:r>
    </w:p>
    <w:p w14:paraId="4F472B1B">
      <w:pPr>
        <w:rPr>
          <w:rFonts w:hint="eastAsia" w:ascii="仿宋" w:hAnsi="仿宋" w:eastAsia="仿宋" w:cs="仿宋"/>
          <w:b/>
          <w:bCs/>
          <w:color w:val="auto"/>
          <w:sz w:val="24"/>
          <w:szCs w:val="24"/>
          <w:highlight w:val="none"/>
          <w:lang w:val="en-US" w:eastAsia="zh-CN"/>
        </w:rPr>
      </w:pPr>
    </w:p>
    <w:p w14:paraId="4041D4F1">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76BE1143">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3、儿童可视喉镜</w:t>
      </w:r>
    </w:p>
    <w:p w14:paraId="30BC9AF8">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1.显示屏尺寸≥3″</w:t>
      </w:r>
    </w:p>
    <w:p w14:paraId="0EB2F099">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2.显示器前后转动角度110°±10%</w:t>
      </w:r>
    </w:p>
    <w:p w14:paraId="4DBAF816">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3.显示器左右转动角度270°±10%</w:t>
      </w:r>
    </w:p>
    <w:p w14:paraId="7B3630C7">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4.充电时间≤3h</w:t>
      </w:r>
    </w:p>
    <w:p w14:paraId="39B22F60">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5.待机时长≥3.5h</w:t>
      </w:r>
    </w:p>
    <w:p w14:paraId="675C7BE5">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6.镜片支架部件防水等级≥ IPX7</w:t>
      </w:r>
    </w:p>
    <w:p w14:paraId="270911A7">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7.具有配套使用的一次性</w:t>
      </w:r>
      <w:r>
        <w:rPr>
          <w:rFonts w:hint="eastAsia" w:ascii="仿宋" w:hAnsi="仿宋" w:eastAsia="仿宋" w:cs="仿宋"/>
          <w:color w:val="auto"/>
          <w:kern w:val="0"/>
          <w:sz w:val="24"/>
          <w:szCs w:val="24"/>
          <w:highlight w:val="none"/>
          <w:lang w:bidi="ar"/>
        </w:rPr>
        <w:t>喉镜片</w:t>
      </w:r>
    </w:p>
    <w:p w14:paraId="68FD24F0">
      <w:pPr>
        <w:pStyle w:val="51"/>
        <w:keepLines w:val="0"/>
        <w:pageBreakBefore w:val="0"/>
        <w:kinsoku/>
        <w:wordWrap/>
        <w:overflowPunct/>
        <w:topLinePunct w:val="0"/>
        <w:autoSpaceDE/>
        <w:autoSpaceDN/>
        <w:bidi w:val="0"/>
        <w:spacing w:line="360" w:lineRule="auto"/>
        <w:ind w:left="425"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8.连接方式：直插式</w:t>
      </w:r>
    </w:p>
    <w:p w14:paraId="2A7F1120">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9.观察视角60°±15%</w:t>
      </w:r>
    </w:p>
    <w:p w14:paraId="2352F981">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10.光照度≥150Lux</w:t>
      </w:r>
    </w:p>
    <w:p w14:paraId="7441DBDD">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▲11.摄像头分辨率≥7.8lp/mm</w:t>
      </w:r>
    </w:p>
    <w:p w14:paraId="5280690A">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12.景深5-100mm</w:t>
      </w:r>
    </w:p>
    <w:p w14:paraId="3D9DA32F">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13.可分辨灰阶度≥32</w:t>
      </w:r>
    </w:p>
    <w:p w14:paraId="7F21D29B">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14.储存空间≥32G</w:t>
      </w:r>
    </w:p>
    <w:p w14:paraId="1E5D61B4">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15.可储存照片数量≥30万张，照片格式为JPG等，</w:t>
      </w:r>
      <w:r>
        <w:rPr>
          <w:rFonts w:hint="eastAsia" w:ascii="仿宋" w:hAnsi="仿宋" w:eastAsia="仿宋" w:cs="仿宋"/>
          <w:color w:val="auto"/>
          <w:kern w:val="0"/>
          <w:sz w:val="24"/>
          <w:szCs w:val="24"/>
          <w:highlight w:val="none"/>
        </w:rPr>
        <w:t>像素为≥1088*720</w:t>
      </w:r>
    </w:p>
    <w:p w14:paraId="36B94EDC">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16.可储存录像时长≥16小时，视频格式为AVI，</w:t>
      </w:r>
      <w:r>
        <w:rPr>
          <w:rFonts w:hint="eastAsia" w:ascii="仿宋" w:hAnsi="仿宋" w:eastAsia="仿宋" w:cs="仿宋"/>
          <w:color w:val="auto"/>
          <w:kern w:val="0"/>
          <w:sz w:val="24"/>
          <w:szCs w:val="24"/>
          <w:highlight w:val="none"/>
        </w:rPr>
        <w:t>像素为≥1088*720</w:t>
      </w:r>
    </w:p>
    <w:p w14:paraId="20E74F17">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17.具有低电量提示功能18.喉镜片和喉镜配合后具备防雾性能</w:t>
      </w:r>
    </w:p>
    <w:p w14:paraId="575DAAD7">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19.充电次数≥300 次</w:t>
      </w:r>
    </w:p>
    <w:p w14:paraId="4D85CDDE">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20.设计使用期限≥6年或戊二醛3000个消毒周期</w:t>
      </w:r>
    </w:p>
    <w:p w14:paraId="60F29592">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21.手柄部件一</w:t>
      </w:r>
    </w:p>
    <w:p w14:paraId="1ADC934E">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21.1镜片支架长度（儿童）：66.5±5mm</w:t>
      </w:r>
    </w:p>
    <w:p w14:paraId="53E74566">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21.2镜片支架端部宽度（儿童）：8±1.5mm</w:t>
      </w:r>
    </w:p>
    <w:p w14:paraId="73660F5C">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21.3镜片支架端部厚度（儿童）：7±1.5mm</w:t>
      </w:r>
    </w:p>
    <w:p w14:paraId="43D468DE">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22.</w:t>
      </w:r>
      <w:r>
        <w:rPr>
          <w:rFonts w:hint="eastAsia" w:ascii="仿宋" w:hAnsi="仿宋" w:eastAsia="仿宋" w:cs="仿宋"/>
          <w:color w:val="auto"/>
          <w:kern w:val="0"/>
          <w:sz w:val="24"/>
          <w:szCs w:val="24"/>
          <w:highlight w:val="none"/>
          <w:lang w:bidi="ar"/>
        </w:rPr>
        <w:t>手柄部件二</w:t>
      </w:r>
    </w:p>
    <w:p w14:paraId="7ECA9A5A">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22.1镜片支架长度（小儿）：48±3mm</w:t>
      </w:r>
    </w:p>
    <w:p w14:paraId="4F6C5685">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22.2镜片支架端部宽度（小儿）：7.5±1.5mm</w:t>
      </w:r>
    </w:p>
    <w:p w14:paraId="713A7A29">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22.3镜片支架端部厚度（小儿）：7.2±1.5mm</w:t>
      </w:r>
    </w:p>
    <w:p w14:paraId="13CD2C3A">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24.质保期≥5年</w:t>
      </w:r>
    </w:p>
    <w:p w14:paraId="0314AD9C">
      <w:pPr>
        <w:keepLines w:val="0"/>
        <w:pageBreakBefore w:val="0"/>
        <w:kinsoku/>
        <w:wordWrap/>
        <w:overflowPunct/>
        <w:topLinePunct w:val="0"/>
        <w:autoSpaceDE/>
        <w:autoSpaceDN/>
        <w:bidi w:val="0"/>
        <w:spacing w:line="360" w:lineRule="auto"/>
        <w:ind w:left="425"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25配置要求</w:t>
      </w:r>
    </w:p>
    <w:tbl>
      <w:tblPr>
        <w:tblStyle w:val="27"/>
        <w:tblW w:w="5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6"/>
        <w:gridCol w:w="2023"/>
        <w:gridCol w:w="679"/>
        <w:gridCol w:w="679"/>
        <w:gridCol w:w="1688"/>
      </w:tblGrid>
      <w:tr w14:paraId="0EFF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676" w:type="dxa"/>
            <w:noWrap w:val="0"/>
            <w:vAlign w:val="center"/>
          </w:tcPr>
          <w:p w14:paraId="722DF7AD">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2"/>
                <w:sz w:val="24"/>
                <w:szCs w:val="24"/>
                <w:highlight w:val="none"/>
              </w:rPr>
              <w:t>序号</w:t>
            </w:r>
          </w:p>
        </w:tc>
        <w:tc>
          <w:tcPr>
            <w:tcW w:w="2023" w:type="dxa"/>
            <w:noWrap w:val="0"/>
            <w:vAlign w:val="center"/>
          </w:tcPr>
          <w:p w14:paraId="2EF55576">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2"/>
                <w:sz w:val="24"/>
                <w:szCs w:val="24"/>
                <w:highlight w:val="none"/>
              </w:rPr>
              <w:t>名称</w:t>
            </w:r>
          </w:p>
        </w:tc>
        <w:tc>
          <w:tcPr>
            <w:tcW w:w="679" w:type="dxa"/>
            <w:noWrap w:val="0"/>
            <w:vAlign w:val="center"/>
          </w:tcPr>
          <w:p w14:paraId="555336F5">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2"/>
                <w:sz w:val="24"/>
                <w:szCs w:val="24"/>
                <w:highlight w:val="none"/>
              </w:rPr>
              <w:t>数量</w:t>
            </w:r>
          </w:p>
        </w:tc>
        <w:tc>
          <w:tcPr>
            <w:tcW w:w="679" w:type="dxa"/>
            <w:noWrap w:val="0"/>
            <w:vAlign w:val="center"/>
          </w:tcPr>
          <w:p w14:paraId="65615BCE">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2"/>
                <w:sz w:val="24"/>
                <w:szCs w:val="24"/>
                <w:highlight w:val="none"/>
              </w:rPr>
              <w:t>单位</w:t>
            </w:r>
          </w:p>
        </w:tc>
        <w:tc>
          <w:tcPr>
            <w:tcW w:w="1688" w:type="dxa"/>
            <w:noWrap w:val="0"/>
            <w:vAlign w:val="center"/>
          </w:tcPr>
          <w:p w14:paraId="13396D56">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2"/>
                <w:sz w:val="24"/>
                <w:szCs w:val="24"/>
                <w:highlight w:val="none"/>
              </w:rPr>
              <w:t>备注</w:t>
            </w:r>
          </w:p>
        </w:tc>
      </w:tr>
      <w:tr w14:paraId="7593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1C12ED65">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23" w:type="dxa"/>
            <w:noWrap w:val="0"/>
            <w:vAlign w:val="center"/>
          </w:tcPr>
          <w:p w14:paraId="73862904">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显示部件</w:t>
            </w:r>
          </w:p>
        </w:tc>
        <w:tc>
          <w:tcPr>
            <w:tcW w:w="679" w:type="dxa"/>
            <w:noWrap w:val="0"/>
            <w:vAlign w:val="center"/>
          </w:tcPr>
          <w:p w14:paraId="391B7118">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5719ACAA">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701627EA">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4C56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2D23372E">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23" w:type="dxa"/>
            <w:noWrap w:val="0"/>
            <w:vAlign w:val="center"/>
          </w:tcPr>
          <w:p w14:paraId="526F73A9">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镜片支架部件</w:t>
            </w:r>
          </w:p>
        </w:tc>
        <w:tc>
          <w:tcPr>
            <w:tcW w:w="679" w:type="dxa"/>
            <w:noWrap w:val="0"/>
            <w:vAlign w:val="center"/>
          </w:tcPr>
          <w:p w14:paraId="0DFCD27D">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679" w:type="dxa"/>
            <w:noWrap w:val="0"/>
            <w:vAlign w:val="center"/>
          </w:tcPr>
          <w:p w14:paraId="21E28AF5">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349D8F19">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47B3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6C837643">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023" w:type="dxa"/>
            <w:noWrap w:val="0"/>
            <w:vAlign w:val="center"/>
          </w:tcPr>
          <w:p w14:paraId="355D6A98">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充电器</w:t>
            </w:r>
          </w:p>
        </w:tc>
        <w:tc>
          <w:tcPr>
            <w:tcW w:w="679" w:type="dxa"/>
            <w:noWrap w:val="0"/>
            <w:vAlign w:val="center"/>
          </w:tcPr>
          <w:p w14:paraId="3F84D5CD">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2F1614DA">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0C7489B2">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38F5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503AA898">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023" w:type="dxa"/>
            <w:noWrap w:val="0"/>
            <w:vAlign w:val="center"/>
          </w:tcPr>
          <w:p w14:paraId="02397D9C">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数据线</w:t>
            </w:r>
          </w:p>
        </w:tc>
        <w:tc>
          <w:tcPr>
            <w:tcW w:w="679" w:type="dxa"/>
            <w:noWrap w:val="0"/>
            <w:vAlign w:val="center"/>
          </w:tcPr>
          <w:p w14:paraId="72BF1777">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00B65844">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w:t>
            </w:r>
          </w:p>
        </w:tc>
        <w:tc>
          <w:tcPr>
            <w:tcW w:w="1688" w:type="dxa"/>
            <w:noWrap w:val="0"/>
            <w:vAlign w:val="center"/>
          </w:tcPr>
          <w:p w14:paraId="0CE2D96A">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0FBF7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7603EDCF">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023" w:type="dxa"/>
            <w:noWrap w:val="0"/>
            <w:vAlign w:val="center"/>
          </w:tcPr>
          <w:p w14:paraId="2732D570">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消毒帽</w:t>
            </w:r>
          </w:p>
        </w:tc>
        <w:tc>
          <w:tcPr>
            <w:tcW w:w="679" w:type="dxa"/>
            <w:noWrap w:val="0"/>
            <w:vAlign w:val="center"/>
          </w:tcPr>
          <w:p w14:paraId="0CDABBC7">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4013D6C4">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14224289">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4459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1EA5DB2B">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023" w:type="dxa"/>
            <w:noWrap w:val="0"/>
            <w:vAlign w:val="center"/>
          </w:tcPr>
          <w:p w14:paraId="37DD4909">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高清连接线</w:t>
            </w:r>
          </w:p>
        </w:tc>
        <w:tc>
          <w:tcPr>
            <w:tcW w:w="679" w:type="dxa"/>
            <w:noWrap w:val="0"/>
            <w:vAlign w:val="center"/>
          </w:tcPr>
          <w:p w14:paraId="5C1376CA">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679" w:type="dxa"/>
            <w:noWrap w:val="0"/>
            <w:vAlign w:val="center"/>
          </w:tcPr>
          <w:p w14:paraId="1ED82CCA">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w:t>
            </w:r>
          </w:p>
        </w:tc>
        <w:tc>
          <w:tcPr>
            <w:tcW w:w="1688" w:type="dxa"/>
            <w:noWrap w:val="0"/>
            <w:vAlign w:val="center"/>
          </w:tcPr>
          <w:p w14:paraId="7172FFF2">
            <w:pPr>
              <w:pStyle w:val="44"/>
              <w:keepLines w:val="0"/>
              <w:pageBreakBefore w:val="0"/>
              <w:kinsoku/>
              <w:wordWrap/>
              <w:overflowPunct/>
              <w:topLinePunct w:val="0"/>
              <w:autoSpaceDE/>
              <w:autoSpaceDN/>
              <w:bidi w:val="0"/>
              <w:snapToGrid w:val="0"/>
              <w:spacing w:line="360" w:lineRule="auto"/>
              <w:ind w:firstLine="0" w:firstLineChars="0"/>
              <w:rPr>
                <w:rFonts w:hint="eastAsia" w:ascii="仿宋" w:hAnsi="仿宋" w:eastAsia="仿宋" w:cs="仿宋"/>
                <w:color w:val="auto"/>
                <w:sz w:val="24"/>
                <w:szCs w:val="24"/>
                <w:highlight w:val="none"/>
              </w:rPr>
            </w:pPr>
          </w:p>
        </w:tc>
      </w:tr>
      <w:tr w14:paraId="58CE3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723810C2">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023" w:type="dxa"/>
            <w:noWrap w:val="0"/>
            <w:vAlign w:val="center"/>
          </w:tcPr>
          <w:p w14:paraId="54AD494C">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说明书</w:t>
            </w:r>
          </w:p>
        </w:tc>
        <w:tc>
          <w:tcPr>
            <w:tcW w:w="679" w:type="dxa"/>
            <w:noWrap w:val="0"/>
            <w:vAlign w:val="center"/>
          </w:tcPr>
          <w:p w14:paraId="2323581E">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307C1C7D">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688" w:type="dxa"/>
            <w:noWrap w:val="0"/>
            <w:vAlign w:val="center"/>
          </w:tcPr>
          <w:p w14:paraId="5A2F4965">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7955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3C3DA3CE">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023" w:type="dxa"/>
            <w:noWrap w:val="0"/>
            <w:vAlign w:val="center"/>
          </w:tcPr>
          <w:p w14:paraId="2BA05319">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保修卡</w:t>
            </w:r>
          </w:p>
        </w:tc>
        <w:tc>
          <w:tcPr>
            <w:tcW w:w="679" w:type="dxa"/>
            <w:noWrap w:val="0"/>
            <w:vAlign w:val="center"/>
          </w:tcPr>
          <w:p w14:paraId="6E6BDFB4">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6020896F">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2D27922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4278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202AE062">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023" w:type="dxa"/>
            <w:noWrap w:val="0"/>
            <w:vAlign w:val="center"/>
          </w:tcPr>
          <w:p w14:paraId="4602BA99">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合格证</w:t>
            </w:r>
          </w:p>
        </w:tc>
        <w:tc>
          <w:tcPr>
            <w:tcW w:w="679" w:type="dxa"/>
            <w:noWrap w:val="0"/>
            <w:vAlign w:val="center"/>
          </w:tcPr>
          <w:p w14:paraId="2DB74D25">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272BDA36">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688" w:type="dxa"/>
            <w:noWrap w:val="0"/>
            <w:vAlign w:val="center"/>
          </w:tcPr>
          <w:p w14:paraId="06E9B9BA">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r w14:paraId="3AC4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dxa"/>
            <w:noWrap w:val="0"/>
            <w:vAlign w:val="center"/>
          </w:tcPr>
          <w:p w14:paraId="237E391C">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w:t>
            </w:r>
          </w:p>
        </w:tc>
        <w:tc>
          <w:tcPr>
            <w:tcW w:w="2023" w:type="dxa"/>
            <w:noWrap w:val="0"/>
            <w:vAlign w:val="center"/>
          </w:tcPr>
          <w:p w14:paraId="74D18B15">
            <w:pPr>
              <w:pStyle w:val="44"/>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装箱清单</w:t>
            </w:r>
          </w:p>
        </w:tc>
        <w:tc>
          <w:tcPr>
            <w:tcW w:w="679" w:type="dxa"/>
            <w:noWrap w:val="0"/>
            <w:vAlign w:val="center"/>
          </w:tcPr>
          <w:p w14:paraId="26B19B4C">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9" w:type="dxa"/>
            <w:noWrap w:val="0"/>
            <w:vAlign w:val="center"/>
          </w:tcPr>
          <w:p w14:paraId="142F09D7">
            <w:pPr>
              <w:pStyle w:val="44"/>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688" w:type="dxa"/>
            <w:noWrap w:val="0"/>
            <w:vAlign w:val="center"/>
          </w:tcPr>
          <w:p w14:paraId="24D668A2">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p>
        </w:tc>
      </w:tr>
    </w:tbl>
    <w:p w14:paraId="309640C5">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076EA52">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641F87B1">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4、新生儿监护仪</w:t>
      </w:r>
    </w:p>
    <w:p w14:paraId="2F13C17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▲1.主机集成内置≥2槽位插件槽，可支持IBP，CO</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参数模块的即插即用</w:t>
      </w:r>
    </w:p>
    <w:p w14:paraId="19EAB0C0">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无风扇设计，防水等级≥IPX1。</w:t>
      </w:r>
    </w:p>
    <w:p w14:paraId="448172AE">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≥10英寸彩色液晶触摸屏，分辨率≥1280*800，≥8通道波形显示。</w:t>
      </w:r>
    </w:p>
    <w:p w14:paraId="3BBAFA2D">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显示屏亮度可自动调节</w:t>
      </w:r>
    </w:p>
    <w:p w14:paraId="2CE70304">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屏幕倾斜设计。</w:t>
      </w:r>
    </w:p>
    <w:p w14:paraId="4CE8D630">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监测患者类型为小儿、新生儿，不含成人，所有监测参数适用于新生儿，标配新生儿专用附件。</w:t>
      </w:r>
    </w:p>
    <w:p w14:paraId="7FD08E66">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内置锂电池，无需螺丝刀工具支持快速拆卸和安装。满电工作时间≥4小时。</w:t>
      </w:r>
    </w:p>
    <w:p w14:paraId="0F433E9F">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配置3/5导心电，包含呼吸，无创血压，血氧饱和度，脉搏和双通道体温等参数监测。</w:t>
      </w:r>
    </w:p>
    <w:p w14:paraId="4D6F1F7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10.心电监护支持心率，ST段测量，心律失常分析，QT/QTc连续实时测量和对应报警功能，（适用于新生儿）。</w:t>
      </w:r>
    </w:p>
    <w:p w14:paraId="0C497204">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心电波形扫描速度支持6.25mm/s、12.5 mm/s、25 mm/s和50 mm/s等。</w:t>
      </w:r>
    </w:p>
    <w:p w14:paraId="10225CEF">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提供窗口支持心脏下壁，侧壁和前壁对应多个ST片段的同屏实时显示，有提供参考片段和实时片段的对比查看功能。</w:t>
      </w:r>
    </w:p>
    <w:p w14:paraId="447D4A63">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支持≥20种心律失常分析,（适用于新生儿）。</w:t>
      </w:r>
    </w:p>
    <w:p w14:paraId="7C175DC6">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QT和QTc实时监测参数测量范围：200～800 ms。</w:t>
      </w:r>
    </w:p>
    <w:p w14:paraId="755156CF">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可提供过去24小时心电概览报告查看与打印，包括心率统计结果，心律失常统计结果，ST统计和QT/QTc统计结果等。</w:t>
      </w:r>
    </w:p>
    <w:p w14:paraId="2EB53AC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16.提供SpO2,PR和灌注指数(PI)参数的实时监测，适用于小儿和新生儿。</w:t>
      </w:r>
    </w:p>
    <w:p w14:paraId="1A6AF657">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配置无创血压测量，适用于小儿和新生儿。</w:t>
      </w:r>
    </w:p>
    <w:p w14:paraId="7F7B224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18.能提供手动，自动，连续和序列等测量模式，并提供24小时血压统计结果。</w:t>
      </w:r>
    </w:p>
    <w:p w14:paraId="20212216">
      <w:pPr>
        <w:pStyle w:val="10"/>
        <w:keepLines w:val="0"/>
        <w:pageBreakBefore w:val="0"/>
        <w:numPr>
          <w:ilvl w:val="0"/>
          <w:numId w:val="2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无创血压小儿测量范围：收缩压25~240mmHg，舒张压10~200mmHg，平均压15~215mmHg；无创血压新生儿测量范围：收缩压25~140mmHg，舒张压10~115mmHg，平均压15~125mmHg。</w:t>
      </w:r>
    </w:p>
    <w:p w14:paraId="00F9807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.所有监测参数报警限一键自动设置功能，具有多种新生儿监护界面，包括呼吸氧合、大字体、单血氧界面等。</w:t>
      </w:r>
    </w:p>
    <w:p w14:paraId="19EF90D3">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具有单血氧大参数界面，界面至少显示SpO2，PR,PI和多组SpO2监测值列表相关参数。</w:t>
      </w:r>
    </w:p>
    <w:p w14:paraId="43549DB2">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▲具有CCHD筛查工具界面，支持新生儿先天性心脏病通过患者血氧进行筛查。</w:t>
      </w:r>
    </w:p>
    <w:p w14:paraId="36270C0D">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▲具有新生儿呼吸氧合专用界面，实时识别和标记ABD事件，协助临床对于新生儿的呼吸暂停的监测和管理。</w:t>
      </w:r>
    </w:p>
    <w:p w14:paraId="2E54A420">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具备大字体界面，≥5个参数区的设置和显示。</w:t>
      </w:r>
    </w:p>
    <w:p w14:paraId="16E9C140">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21.设计使用年限≥8年</w:t>
      </w:r>
    </w:p>
    <w:p w14:paraId="4F993746">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22.售后服务：质保期5年。</w:t>
      </w:r>
    </w:p>
    <w:p w14:paraId="5D14FEB4">
      <w:pPr>
        <w:pStyle w:val="10"/>
        <w:keepLines w:val="0"/>
        <w:pageBreakBefore w:val="0"/>
        <w:numPr>
          <w:ilvl w:val="0"/>
          <w:numId w:val="0"/>
        </w:numPr>
        <w:kinsoku/>
        <w:wordWrap/>
        <w:overflowPunct/>
        <w:topLinePunct w:val="0"/>
        <w:autoSpaceDE/>
        <w:autoSpaceDN/>
        <w:bidi w:val="0"/>
        <w:spacing w:before="0" w:after="0" w:line="360" w:lineRule="auto"/>
        <w:ind w:left="48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23.新生儿血氧饱和度检测仪1个</w:t>
      </w:r>
    </w:p>
    <w:p w14:paraId="1AC64C5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D73BA75">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52674834">
      <w:pPr>
        <w:pStyle w:val="17"/>
        <w:numPr>
          <w:ilvl w:val="0"/>
          <w:numId w:val="0"/>
        </w:numPr>
        <w:ind w:leftChars="0"/>
        <w:jc w:val="center"/>
        <w:outlineLvl w:val="3"/>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5、多参数生物反馈治疗仪</w:t>
      </w:r>
    </w:p>
    <w:p w14:paraId="6DEA743C">
      <w:pPr>
        <w:pStyle w:val="10"/>
        <w:keepLines w:val="0"/>
        <w:pageBreakBefore w:val="0"/>
        <w:numPr>
          <w:ilvl w:val="0"/>
          <w:numId w:val="2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▲生物反馈仪由信号采集器、生物反馈仪软件组成。信号采集器包含表面肌电传感器、重复性脉搏血氧饱和度探头、脑电传感器三部分。）</w:t>
      </w:r>
    </w:p>
    <w:p w14:paraId="2B6ACDE5">
      <w:pPr>
        <w:pStyle w:val="10"/>
        <w:keepLines w:val="0"/>
        <w:pageBreakBefore w:val="0"/>
        <w:numPr>
          <w:ilvl w:val="0"/>
          <w:numId w:val="2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符合国家食品药品监督管理总局发布的YY0903-2013《脑电生物反馈仪》、YY/T1095-2015《肌电生物反馈仪》标准，符合临床安全有效治疗需求。</w:t>
      </w:r>
    </w:p>
    <w:p w14:paraId="4F9328AC">
      <w:pPr>
        <w:pStyle w:val="10"/>
        <w:keepLines w:val="0"/>
        <w:pageBreakBefore w:val="0"/>
        <w:numPr>
          <w:ilvl w:val="0"/>
          <w:numId w:val="2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提供综合评估平台，用于儿童心理问题与注意力问题的辅助诊断，至少包括视听整合连续测试IVA-CPT及常用儿童心理健康量表。；</w:t>
      </w:r>
    </w:p>
    <w:p w14:paraId="7C351B72">
      <w:pPr>
        <w:pStyle w:val="10"/>
        <w:keepLines w:val="0"/>
        <w:pageBreakBefore w:val="0"/>
        <w:numPr>
          <w:ilvl w:val="0"/>
          <w:numId w:val="2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▲综合管理平台可联合1个评估端与2个治疗终端，实现患者档案多端同步；评估、治疗流程化管理。</w:t>
      </w:r>
    </w:p>
    <w:p w14:paraId="2DD67ACE">
      <w:pPr>
        <w:pStyle w:val="10"/>
        <w:keepLines w:val="0"/>
        <w:pageBreakBefore w:val="0"/>
        <w:numPr>
          <w:ilvl w:val="0"/>
          <w:numId w:val="2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生物反馈仪信号采集器</w:t>
      </w:r>
    </w:p>
    <w:p w14:paraId="79EC4D2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5.1接触材料无致敏性、细胞毒性。</w:t>
      </w:r>
    </w:p>
    <w:p w14:paraId="03867AA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5.2▲采用无线传感器。</w:t>
      </w:r>
    </w:p>
    <w:p w14:paraId="4AB5CDE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5.3实时采集脑电、肌电等生理信号，AD采样位数≥24bit，AD采样率≥2000Hz。</w:t>
      </w:r>
    </w:p>
    <w:p w14:paraId="4B67E55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5.4信号采集器具备状态指示灯</w:t>
      </w:r>
    </w:p>
    <w:p w14:paraId="577725D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6共模抑制比≥100dB，噪声电平：≤2μV。</w:t>
      </w:r>
    </w:p>
    <w:p w14:paraId="09EF7A0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7.治疗方案</w:t>
      </w:r>
    </w:p>
    <w:p w14:paraId="3807CC1E">
      <w:pPr>
        <w:pStyle w:val="10"/>
        <w:keepLines w:val="0"/>
        <w:pageBreakBefore w:val="0"/>
        <w:numPr>
          <w:ilvl w:val="0"/>
          <w:numId w:val="2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提供放松治疗、注意力治疗、注意力训练等。</w:t>
      </w:r>
    </w:p>
    <w:p w14:paraId="00E6653F">
      <w:pPr>
        <w:pStyle w:val="10"/>
        <w:keepLines w:val="0"/>
        <w:pageBreakBefore w:val="0"/>
        <w:numPr>
          <w:ilvl w:val="0"/>
          <w:numId w:val="2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脑电参数可进行单独反馈，具备不同疾病/亚型个体化脑电生物反馈治疗方案。</w:t>
      </w:r>
    </w:p>
    <w:p w14:paraId="3631499D">
      <w:pPr>
        <w:pStyle w:val="10"/>
        <w:keepLines w:val="0"/>
        <w:pageBreakBefore w:val="0"/>
        <w:numPr>
          <w:ilvl w:val="0"/>
          <w:numId w:val="2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提供纯反馈式、互动操作式等多类反馈训练。</w:t>
      </w:r>
    </w:p>
    <w:p w14:paraId="777EC50C">
      <w:pPr>
        <w:pStyle w:val="52"/>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设计使用期限≥8年。</w:t>
      </w:r>
    </w:p>
    <w:p w14:paraId="48A36EB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9.配套设备（按院方需求配置）</w:t>
      </w:r>
    </w:p>
    <w:p w14:paraId="21F9D9B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9.1黑白激光双面打印复印机 1台。</w:t>
      </w:r>
    </w:p>
    <w:p w14:paraId="715F9B2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9.2品牌台式计算机 1台，配置要求：</w:t>
      </w:r>
    </w:p>
    <w:p w14:paraId="2C65BCF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处理器： Intel i5</w:t>
      </w:r>
      <w:r>
        <w:rPr>
          <w:rFonts w:hint="eastAsia" w:ascii="仿宋" w:hAnsi="仿宋" w:eastAsia="仿宋" w:cs="仿宋"/>
          <w:color w:val="auto"/>
          <w:sz w:val="24"/>
          <w:szCs w:val="24"/>
          <w:highlight w:val="none"/>
          <w:lang w:val="en-US" w:eastAsia="zh-CN"/>
        </w:rPr>
        <w:t xml:space="preserve">  15代</w:t>
      </w:r>
      <w:r>
        <w:rPr>
          <w:rFonts w:hint="eastAsia" w:ascii="仿宋" w:hAnsi="仿宋" w:eastAsia="仿宋" w:cs="仿宋"/>
          <w:color w:val="auto"/>
          <w:sz w:val="24"/>
          <w:szCs w:val="24"/>
          <w:highlight w:val="none"/>
        </w:rPr>
        <w:t>或同级别及以上，集成显卡。内存：≥16GB DDR4，固态硬盘≥1TB显示器：≥23英寸，≥1920×1080，配备HDMI+VGA双接口。</w:t>
      </w:r>
    </w:p>
    <w:p w14:paraId="795F25C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9.3工作桌椅1套</w:t>
      </w:r>
    </w:p>
    <w:p w14:paraId="7DF605B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10.质保期≥5年</w:t>
      </w:r>
    </w:p>
    <w:p w14:paraId="6030068B">
      <w:pPr>
        <w:pStyle w:val="17"/>
        <w:numPr>
          <w:ilvl w:val="0"/>
          <w:numId w:val="0"/>
        </w:numPr>
        <w:ind w:leftChars="0"/>
        <w:jc w:val="center"/>
        <w:outlineLvl w:val="9"/>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br w:type="page"/>
      </w:r>
    </w:p>
    <w:p w14:paraId="316FCB67">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标项五</w:t>
      </w:r>
    </w:p>
    <w:p w14:paraId="00906A7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63D1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FA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846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31E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8EC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5BF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92F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F50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52D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E6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40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胎儿监护仪（双床位）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3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6BD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68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9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2038">
            <w:pPr>
              <w:jc w:val="center"/>
              <w:rPr>
                <w:rFonts w:hint="eastAsia" w:ascii="仿宋" w:hAnsi="仿宋" w:eastAsia="仿宋" w:cs="仿宋"/>
                <w:i w:val="0"/>
                <w:iCs w:val="0"/>
                <w:color w:val="auto"/>
                <w:sz w:val="24"/>
                <w:szCs w:val="24"/>
                <w:highlight w:val="none"/>
                <w:u w:val="none"/>
              </w:rPr>
            </w:pPr>
          </w:p>
        </w:tc>
      </w:tr>
      <w:tr w14:paraId="48FB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66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66F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胎心监护仪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6CD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A3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0C8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F6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1CCA">
            <w:pPr>
              <w:jc w:val="center"/>
              <w:rPr>
                <w:rFonts w:hint="eastAsia" w:ascii="仿宋" w:hAnsi="仿宋" w:eastAsia="仿宋" w:cs="仿宋"/>
                <w:i w:val="0"/>
                <w:iCs w:val="0"/>
                <w:color w:val="auto"/>
                <w:sz w:val="24"/>
                <w:szCs w:val="24"/>
                <w:highlight w:val="none"/>
                <w:u w:val="none"/>
              </w:rPr>
            </w:pPr>
          </w:p>
        </w:tc>
      </w:tr>
      <w:tr w14:paraId="0766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7A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95F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生物刺激反馈仪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624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38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C2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6E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5E3">
            <w:pPr>
              <w:jc w:val="center"/>
              <w:rPr>
                <w:rFonts w:hint="eastAsia" w:ascii="仿宋" w:hAnsi="仿宋" w:eastAsia="仿宋" w:cs="仿宋"/>
                <w:i w:val="0"/>
                <w:iCs w:val="0"/>
                <w:color w:val="auto"/>
                <w:sz w:val="24"/>
                <w:szCs w:val="24"/>
                <w:highlight w:val="none"/>
                <w:u w:val="none"/>
              </w:rPr>
            </w:pPr>
          </w:p>
        </w:tc>
      </w:tr>
      <w:tr w14:paraId="3BB4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01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74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臭氧治疗仪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820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DC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6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D6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6B47">
            <w:pPr>
              <w:jc w:val="center"/>
              <w:rPr>
                <w:rFonts w:hint="eastAsia" w:ascii="仿宋" w:hAnsi="仿宋" w:eastAsia="仿宋" w:cs="仿宋"/>
                <w:i w:val="0"/>
                <w:iCs w:val="0"/>
                <w:color w:val="auto"/>
                <w:sz w:val="24"/>
                <w:szCs w:val="24"/>
                <w:highlight w:val="none"/>
                <w:u w:val="none"/>
              </w:rPr>
            </w:pPr>
          </w:p>
        </w:tc>
      </w:tr>
      <w:tr w14:paraId="5696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29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0F9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盆底磁刺激仪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239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436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0A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AB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889">
            <w:pPr>
              <w:jc w:val="center"/>
              <w:rPr>
                <w:rFonts w:hint="eastAsia" w:ascii="仿宋" w:hAnsi="仿宋" w:eastAsia="仿宋" w:cs="仿宋"/>
                <w:i w:val="0"/>
                <w:iCs w:val="0"/>
                <w:color w:val="auto"/>
                <w:sz w:val="24"/>
                <w:szCs w:val="24"/>
                <w:highlight w:val="none"/>
                <w:u w:val="none"/>
              </w:rPr>
            </w:pPr>
          </w:p>
        </w:tc>
      </w:tr>
      <w:tr w14:paraId="123A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5E1B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4A8F8FA5">
      <w:pPr>
        <w:pStyle w:val="17"/>
        <w:rPr>
          <w:rFonts w:hint="eastAsia" w:ascii="仿宋" w:hAnsi="仿宋" w:eastAsia="仿宋" w:cs="仿宋"/>
          <w:b/>
          <w:bCs/>
          <w:color w:val="auto"/>
          <w:sz w:val="24"/>
          <w:szCs w:val="24"/>
          <w:highlight w:val="none"/>
          <w:lang w:val="en-US" w:eastAsia="zh-CN"/>
        </w:rPr>
      </w:pPr>
    </w:p>
    <w:p w14:paraId="3B1CAA9A">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5243B67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199E1F01">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1、胎儿监护仪（双床位）</w:t>
      </w:r>
    </w:p>
    <w:p w14:paraId="45FD9C1A">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具备有线探头、无线探头监护方式，包括如胎心率,宫缩压力,胎动等相关参数。</w:t>
      </w:r>
    </w:p>
    <w:p w14:paraId="73985387">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全中文操作界面，配置双床监护功能：</w:t>
      </w:r>
    </w:p>
    <w:p w14:paraId="70CBCD28">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组成：主机、两套胎心率、宫缩压力、胎动按钮监护探头（有线和无线探头各一套），单机双床位无障碍监护，具备正常胎心率范围标识功能，显示并打印胎心率，宫缩压力曲线和数值。</w:t>
      </w:r>
    </w:p>
    <w:p w14:paraId="1055EDDE">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胎心率探头参数：12晶片探头, 超声发射频率:2MHz。</w:t>
      </w:r>
    </w:p>
    <w:p w14:paraId="6B6E6C96">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胎心率测量范围:30-240BPM。</w:t>
      </w:r>
    </w:p>
    <w:p w14:paraId="3E77B4A3">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宫缩压力测量范围：0-100单位；多档增益调节；可任意选择0、5、10、20等多档宫压基线。</w:t>
      </w:r>
    </w:p>
    <w:p w14:paraId="5B5D32C1">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配备AI智能评分软件</w:t>
      </w:r>
    </w:p>
    <w:p w14:paraId="597180C0">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.1胎动、宫缩、各种加、减速等指标可在图谱上进行标记，Fischer、Krebs、NST、CST等评分结果；</w:t>
      </w:r>
    </w:p>
    <w:p w14:paraId="410F88AA">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.2具有短变异、胎动、胎心率基线随孕周变化的趋势图和具有短变异、胎心率变异功率谱分析功能；</w:t>
      </w:r>
    </w:p>
    <w:p w14:paraId="39059F49">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.3具有实时分析功能：可自动或手动对数据丢失率、宫缩次数、胎动次数、FHR基线值、加速次数、减速次数、高变异时间、短变异等参数指标进行分析，并实时提供数据；</w:t>
      </w:r>
    </w:p>
    <w:p w14:paraId="5DAF21F2">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.4具有面积分析法，自动识别加、减速类型；</w:t>
      </w:r>
    </w:p>
    <w:p w14:paraId="77489063">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具有声光报警，报警范围、报警声音大小，声报警延时可调，具有探头离位报警和监护异常报警及文字提示，具有报警回顾功能。</w:t>
      </w:r>
    </w:p>
    <w:p w14:paraId="2EE91D75">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数据库保存≥10万个数据档案，数据档案可打包导出、导入、刻录光盘，可以统计、回放历史档案。 </w:t>
      </w:r>
    </w:p>
    <w:p w14:paraId="6F59011C">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具有自动记录数据功能。</w:t>
      </w:r>
    </w:p>
    <w:p w14:paraId="6F59D883">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支持自动播放CTG；全程CTG浏览，可以选段诊断、打印。</w:t>
      </w:r>
    </w:p>
    <w:p w14:paraId="3064A377">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配置无线打印服务器和激光打印机，使用A4纸打印，打印速度可调，具备≥5种打印报表格式。</w:t>
      </w:r>
    </w:p>
    <w:p w14:paraId="294E0816">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电脑配置:显示器≥19寸；固态硬盘≥120G</w:t>
      </w:r>
    </w:p>
    <w:p w14:paraId="124BA100">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软件功能终身免费升级服务。</w:t>
      </w:r>
    </w:p>
    <w:p w14:paraId="16E8B19C">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提供备用机供医院临时使用。</w:t>
      </w:r>
    </w:p>
    <w:p w14:paraId="0F24FCFA">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53491F2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18.质保期≥5年</w:t>
      </w:r>
    </w:p>
    <w:p w14:paraId="0146A80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其他配置要求：</w:t>
      </w:r>
    </w:p>
    <w:p w14:paraId="7D764BC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配置医用多普勒胎心监测仪：4个</w:t>
      </w:r>
    </w:p>
    <w:p w14:paraId="2430BDD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静音推车1辆</w:t>
      </w:r>
    </w:p>
    <w:p w14:paraId="7E3B8B2B">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11E7DD1">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438B8F75">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2、胎心监护仪 </w:t>
      </w:r>
    </w:p>
    <w:p w14:paraId="313B7CFF">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一、技术参数</w:t>
      </w:r>
    </w:p>
    <w:p w14:paraId="765E210D">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监测参数包括：如胎心率、宫缩压力、胎动等。</w:t>
      </w:r>
    </w:p>
    <w:p w14:paraId="4FDC1FFD">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便携式手提结构，一体化探头架。</w:t>
      </w:r>
    </w:p>
    <w:p w14:paraId="3466147B">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寸彩色显示屏，可0-70 度翻转，同屏显示监护曲线与数据，110-160bpm 正常范围区域标识（根据胎心率报警界限，自动调节正常区域标识 范围）。</w:t>
      </w:r>
    </w:p>
    <w:p w14:paraId="6092359D">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支持中文语言操作界面，</w:t>
      </w:r>
    </w:p>
    <w:p w14:paraId="76944849">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宽波束 12 晶片探头，超声发射频率:2MHz</w:t>
      </w:r>
    </w:p>
    <w:p w14:paraId="6ED1B6F1">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胎心率测量范围：30-240BPM</w:t>
      </w:r>
    </w:p>
    <w:p w14:paraId="61837E14">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超声输出功率：≤20mW/cm</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w:t>
      </w:r>
    </w:p>
    <w:p w14:paraId="13144AB5">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宫缩压力探头：测量范围 0-100 单位多档增益调节；0、5、10、15、20等 多档宫压基线可选。</w:t>
      </w:r>
    </w:p>
    <w:p w14:paraId="5BEA2BCC">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胎心率探头、宫缩压力探头防护等级≥IP68             </w:t>
      </w:r>
    </w:p>
    <w:p w14:paraId="66E8571D">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具备实时分析功能： Fischer、Krebs、NST、CST 等多种分析算法，可自动对 FHR 基线值、加速次数、减速次数、短变异、胎动次数等参数指标进行计算分析，并实时提供数据。</w:t>
      </w:r>
    </w:p>
    <w:p w14:paraId="143AC5A0">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可自动存储档案，支持档案回放浏览、打印功能，关机后数据不丢失。</w:t>
      </w:r>
    </w:p>
    <w:p w14:paraId="3A95E514">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具有声光报警功能，报警延时 0~30 秒可调，具有探头离位报警和监护异常报警及文字提示，具备报警回顾功能。</w:t>
      </w:r>
    </w:p>
    <w:p w14:paraId="45660FC6">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配置宽行内置热敏打印机，打印纸宽度：156mm，实时打印走纸速度 1、2、3cm/min 可调，连续准确记录胎心率、宫缩压力及胎动标记。，具备选段打印、档案打印及定时打印功能。</w:t>
      </w:r>
    </w:p>
    <w:p w14:paraId="5FC897C9">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具备≥50mm/s 高速打印功能。</w:t>
      </w:r>
    </w:p>
    <w:p w14:paraId="777278C4">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监护过程中可以回放浏览监护曲线，并可选段打印、档案打印及定时打印。</w:t>
      </w:r>
    </w:p>
    <w:p w14:paraId="269940F6">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能够对胎动信号进行自动识别。                    </w:t>
      </w:r>
    </w:p>
    <w:p w14:paraId="716C795E">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配无线探头监护功能，单机双床位监护，支持有线探头和无线探头监护功能，单双床自由切换可实现双胞胎监护功能。</w:t>
      </w:r>
    </w:p>
    <w:p w14:paraId="0BC6815B">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1托4中央站。（根据院方需求配置）</w:t>
      </w:r>
    </w:p>
    <w:p w14:paraId="4FB124AD">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配锂离子充电电池。满电工作时间≥1小时</w:t>
      </w:r>
    </w:p>
    <w:p w14:paraId="1679D981">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具有无线电管理局颁发的无线电发射设备型号核准证</w:t>
      </w:r>
    </w:p>
    <w:p w14:paraId="73B7F590">
      <w:pPr>
        <w:pStyle w:val="10"/>
        <w:keepLines w:val="0"/>
        <w:pageBreakBefore w:val="0"/>
        <w:numPr>
          <w:ilvl w:val="0"/>
          <w:numId w:val="2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可升级为有线双胞胎/三胞胎监护功能：支持有线双胞胎/三胞胎监护功能。</w:t>
      </w:r>
    </w:p>
    <w:p w14:paraId="439F390F">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22.设计使用年限≥8年</w:t>
      </w:r>
    </w:p>
    <w:p w14:paraId="0B7EB8C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23.质保期≥5年</w:t>
      </w:r>
    </w:p>
    <w:p w14:paraId="64E2D30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配置要求：（按院方需求配置）</w:t>
      </w:r>
    </w:p>
    <w:p w14:paraId="6FD1C57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配备中央站系统，配备</w:t>
      </w:r>
      <w:r>
        <w:rPr>
          <w:rFonts w:hint="eastAsia" w:ascii="仿宋" w:hAnsi="仿宋" w:eastAsia="仿宋" w:cs="仿宋"/>
          <w:color w:val="auto"/>
          <w:sz w:val="24"/>
          <w:szCs w:val="24"/>
          <w:highlight w:val="none"/>
          <w:lang w:val="en-US" w:eastAsia="zh-CN"/>
        </w:rPr>
        <w:t>台式电脑、</w:t>
      </w:r>
      <w:r>
        <w:rPr>
          <w:rFonts w:hint="eastAsia" w:ascii="仿宋" w:hAnsi="仿宋" w:eastAsia="仿宋" w:cs="仿宋"/>
          <w:color w:val="auto"/>
          <w:sz w:val="24"/>
          <w:szCs w:val="24"/>
          <w:highlight w:val="none"/>
        </w:rPr>
        <w:t>打印机，图纸报告采用A4纸张打印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静音推车</w:t>
      </w:r>
    </w:p>
    <w:p w14:paraId="33689D27">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0DB6E73">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6775FFC9">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3、生物刺激反馈仪</w:t>
      </w:r>
    </w:p>
    <w:p w14:paraId="633CB7BF">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电刺激通道≥4个、肌电采集通道≥4个、1个压力反馈通道。</w:t>
      </w:r>
    </w:p>
    <w:p w14:paraId="0A3BBFEC">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肌电采集测量范围：1μV～3000μV（r.m.s）</w:t>
      </w:r>
    </w:p>
    <w:p w14:paraId="35F958B3">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分辨率：≤0.2μV（r.m.s）</w:t>
      </w:r>
    </w:p>
    <w:p w14:paraId="1ED5FDC4">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通频带：20Hz～550Hz </w:t>
      </w:r>
    </w:p>
    <w:p w14:paraId="3A801D77">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系统噪声：≤1μV</w:t>
      </w:r>
    </w:p>
    <w:p w14:paraId="3F77E629">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差模输入阻抗：≥5MΩ。</w:t>
      </w:r>
    </w:p>
    <w:p w14:paraId="6D152A63">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共模抑制比：≥100dB。</w:t>
      </w:r>
    </w:p>
    <w:p w14:paraId="70DBAC3F">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低频刺激强度：0-100mA可调。</w:t>
      </w:r>
    </w:p>
    <w:p w14:paraId="1A666C1D">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低频刺激频率：0.5Hz-1000Hz可调。</w:t>
      </w:r>
    </w:p>
    <w:p w14:paraId="488A511C">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输出脉冲宽度：30μs-2000μs可调</w:t>
      </w:r>
    </w:p>
    <w:p w14:paraId="299F11FC">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电刺激基础输出波形：如三角波、方波、正弦波、指数三角波、梯形波、马鞍波、CI波、CS波等8个以上波形</w:t>
      </w:r>
      <w:r>
        <w:rPr>
          <w:rFonts w:hint="eastAsia" w:ascii="仿宋" w:hAnsi="仿宋" w:eastAsia="仿宋" w:cs="仿宋"/>
          <w:color w:val="auto"/>
          <w:sz w:val="24"/>
          <w:szCs w:val="24"/>
          <w:highlight w:val="none"/>
        </w:rPr>
        <w:t>。</w:t>
      </w:r>
    </w:p>
    <w:p w14:paraId="5AE1B10D">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中频刺激频率：1kHz-10kHz可调。</w:t>
      </w:r>
    </w:p>
    <w:p w14:paraId="2CC65EBE">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调幅度：0%～100%的调幅度范围内可调</w:t>
      </w:r>
    </w:p>
    <w:p w14:paraId="47D451E4">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压力模块测量范围为0-400mmHg可调。</w:t>
      </w:r>
    </w:p>
    <w:p w14:paraId="3566045E">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流强度可通过物理旋钮等方式调节，具备≥9种盆腹动力评估功能，包括盆底表面肌电快速筛查、标准筛查、标准评估（Glazer评估）、性功能评估、控尿反射评估、腰背痛评估、肌电压力综合筛查、肌电压力综合评估、专科检查等。</w:t>
      </w:r>
    </w:p>
    <w:p w14:paraId="4F5C7C62">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系统可根据盆底筛查或评估结果自动生成针对不同患者的疗程化盆底训练方案。</w:t>
      </w:r>
    </w:p>
    <w:p w14:paraId="0175FD88">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输出脉冲电刺激波形可调，在基本脉冲波形的基础上，可进行包括交替、非交替、单极性、双极性、对称波、非对称波的调节，输出≥35种刺激波形。</w:t>
      </w:r>
    </w:p>
    <w:p w14:paraId="6371277E">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标配可同时监测肌电信号与压力信号的阴道电极，治疗过程中，压力通道可对接入的电极进行自动充气。</w:t>
      </w:r>
    </w:p>
    <w:p w14:paraId="62648969">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盆底康复治疗时，可实现对于盆底肌牵张热身、电刺激治疗、kegel生物反馈训练和牵张拉伸的自动治疗。</w:t>
      </w:r>
    </w:p>
    <w:p w14:paraId="18D88C66">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盆底电刺激治疗过程中，可实时反馈阴道由于电刺激被动收缩产生的压力变化，反馈信息包括实时压力曲线和实时压力值。</w:t>
      </w:r>
    </w:p>
    <w:p w14:paraId="1DFF2A62">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具有离心电刺激模式，可在扩张拉长盆底肌纤维的过程中进行电刺激，。</w:t>
      </w:r>
    </w:p>
    <w:p w14:paraId="3BA3FB62">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具有kegel抗阻模式，治疗过程中可实时调整阴道内电极的大小。</w:t>
      </w:r>
    </w:p>
    <w:p w14:paraId="3365593E">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系统支持自动生成磁电联合疗程化治疗方案，并实现实时数据同步共享。</w:t>
      </w:r>
    </w:p>
    <w:p w14:paraId="1B4C6ED1">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数据管理功能，对工作量进行统计，还可对所有筛查、评估及治疗数据进行统计分析，可以回顾数据结果、波形。</w:t>
      </w:r>
    </w:p>
    <w:p w14:paraId="2222FAC4">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系统可对多个筛查评估结果进行趋势分析，并自动绘制趋势分析折线图，显示不同阶段的结果。可自由选择需要分析的检测类型和不同时间段的盆底肌电报告。</w:t>
      </w:r>
    </w:p>
    <w:p w14:paraId="115B1E0E">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可与超声影像设备数据同步，可在同一页面展示肌电评估数据和超声影像检查数据，同时支持智能生成磁、电、热联合治疗方案。</w:t>
      </w:r>
    </w:p>
    <w:p w14:paraId="02F0F8C2">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支持扫码读取患者信息，标配扫描器，通过扫描器可识别患者在手机端填写的基本信息，实现扫码后读取所填写的全部信息并在设备中自动建立病患档案，其中信息至少包括姓名、电话、出生日期、身份证号、身高、体重、分娩史、分娩情况等，。</w:t>
      </w:r>
    </w:p>
    <w:p w14:paraId="7B1DE2E7">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专科病例记录系统，包括妇科检查、POP-Q测量、手检肌力、疼痛检查等专科检查及诊断结果、治疗建议。其中，诊断结果和治疗建议均可自定义添加内容选项。可打印集成POP-Q、手检肌力、腹直肌分离情况、疼痛检查情况、妇科检查情况、尿垫试验等内容的专科检查报告。</w:t>
      </w:r>
    </w:p>
    <w:p w14:paraId="4FA4681F">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2B2E0C5F">
      <w:pPr>
        <w:pStyle w:val="10"/>
        <w:keepLines w:val="0"/>
        <w:pageBreakBefore w:val="0"/>
        <w:numPr>
          <w:ilvl w:val="0"/>
          <w:numId w:val="3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售后服务：质保期5年。</w:t>
      </w:r>
    </w:p>
    <w:p w14:paraId="0235D46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其他配置要求：</w:t>
      </w:r>
    </w:p>
    <w:p w14:paraId="15F984CD">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配备便携式产后康复仪（符合国家质量检测，有明确合规收费项目）</w:t>
      </w:r>
    </w:p>
    <w:p w14:paraId="3A22F870">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黑白激光双面打印复印机 1台。</w:t>
      </w:r>
    </w:p>
    <w:p w14:paraId="11B1906F">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品牌台式计算机 1台，配置要求：</w:t>
      </w:r>
    </w:p>
    <w:p w14:paraId="3452B45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4DA3E11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电脑桌椅1套</w:t>
      </w:r>
    </w:p>
    <w:p w14:paraId="08AAB725">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辅助照明工具：移动式LED无影灯1台。</w:t>
      </w:r>
    </w:p>
    <w:p w14:paraId="2BADB9D4">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B8CE6A1">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12EBFF4C">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4、臭氧治疗仪</w:t>
      </w:r>
    </w:p>
    <w:p w14:paraId="2C4F0296">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冲洗流量：≥0.5L/min</w:t>
      </w:r>
    </w:p>
    <w:p w14:paraId="53CB32C6">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冲洗出水压力：≥11Kpa</w:t>
      </w:r>
    </w:p>
    <w:p w14:paraId="6E932012">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臭氧水浓度：≥0.75mg/L。</w:t>
      </w:r>
    </w:p>
    <w:p w14:paraId="5C4A58BE">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雾化率：≥12ml/min</w:t>
      </w:r>
    </w:p>
    <w:p w14:paraId="08398D79">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臭氧气体浓度：≥3.5mg/L。</w:t>
      </w:r>
    </w:p>
    <w:p w14:paraId="5991CA34">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臭氧气体流量：3.5L/min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4L/min可调</w:t>
      </w:r>
    </w:p>
    <w:p w14:paraId="5E615393">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臭氧产量：≥800mg/h。</w:t>
      </w:r>
    </w:p>
    <w:p w14:paraId="3B75C82C">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具有气、雾、水等多种工作模式</w:t>
      </w:r>
    </w:p>
    <w:p w14:paraId="1C7EF49A">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▲冲洗液全自动进水，配备净水装置（按院方需求安装到位）。</w:t>
      </w:r>
    </w:p>
    <w:p w14:paraId="3BEAADA2">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冲洗部分和治疗部分采用单独的显示屏显示，臭氧水治疗、雾化治疗可同时启动，或单独使用，自动记录冲洗及治疗的次数。</w:t>
      </w:r>
    </w:p>
    <w:p w14:paraId="262595CC">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冲洗液加热温度范围：18-40℃，可调。</w:t>
      </w:r>
    </w:p>
    <w:p w14:paraId="6CD7A7DA">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内置水箱，自动加热，自动恒温功能，具备缺水声光报警</w:t>
      </w:r>
    </w:p>
    <w:p w14:paraId="3E8C3EBC">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治疗定时：多档可调，可长开。</w:t>
      </w:r>
    </w:p>
    <w:p w14:paraId="5660F83D">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具有臭氧气治疗和超声波臭氧雾化治疗一键自动切换功能。</w:t>
      </w:r>
    </w:p>
    <w:p w14:paraId="6749E64D">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治疗仪正常工作时臭氧气体泄露量≤0.03mg/m³，工作环境臭氧气体残留量工作一周期（15min)后臭氧气体残留量≤0.1mg/m³，</w:t>
      </w:r>
    </w:p>
    <w:p w14:paraId="3B95006B">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▲具有对残留气体催化分解装置。</w:t>
      </w:r>
    </w:p>
    <w:p w14:paraId="060512E0">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冲洗系统配有脚踏开关，与控制面板冲洗开关并联控制，使用寿命≥25000次。</w:t>
      </w:r>
    </w:p>
    <w:p w14:paraId="6DC8FBC1">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45BD8DDA">
      <w:pPr>
        <w:pStyle w:val="10"/>
        <w:keepLines w:val="0"/>
        <w:pageBreakBefore w:val="0"/>
        <w:numPr>
          <w:ilvl w:val="0"/>
          <w:numId w:val="3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质保期≥5年</w:t>
      </w:r>
    </w:p>
    <w:p w14:paraId="306E30D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其他要求:（按院方需求配置）</w:t>
      </w:r>
    </w:p>
    <w:p w14:paraId="4D948F33">
      <w:pPr>
        <w:pStyle w:val="10"/>
        <w:keepLines w:val="0"/>
        <w:pageBreakBefore w:val="0"/>
        <w:numPr>
          <w:ilvl w:val="0"/>
          <w:numId w:val="3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 医用屏风2套，防滑阶梯脚踏凳2个。</w:t>
      </w:r>
    </w:p>
    <w:p w14:paraId="3E1B3C6A">
      <w:pPr>
        <w:pStyle w:val="10"/>
        <w:keepLines w:val="0"/>
        <w:pageBreakBefore w:val="0"/>
        <w:numPr>
          <w:ilvl w:val="0"/>
          <w:numId w:val="3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配备耗材（冲洗、雾化治疗头</w:t>
      </w:r>
      <w:r>
        <w:rPr>
          <w:rFonts w:hint="eastAsia" w:ascii="仿宋" w:hAnsi="仿宋" w:eastAsia="仿宋" w:cs="仿宋"/>
          <w:color w:val="auto"/>
          <w:sz w:val="24"/>
          <w:szCs w:val="24"/>
          <w:highlight w:val="none"/>
          <w:lang w:val="en-US" w:eastAsia="zh-CN"/>
        </w:rPr>
        <w:t>300个</w:t>
      </w:r>
      <w:r>
        <w:rPr>
          <w:rFonts w:hint="eastAsia" w:ascii="仿宋" w:hAnsi="仿宋" w:eastAsia="仿宋" w:cs="仿宋"/>
          <w:color w:val="auto"/>
          <w:sz w:val="24"/>
          <w:szCs w:val="24"/>
          <w:highlight w:val="none"/>
        </w:rPr>
        <w:t>）</w:t>
      </w:r>
    </w:p>
    <w:p w14:paraId="0F1A515D">
      <w:pPr>
        <w:pStyle w:val="10"/>
        <w:keepLines w:val="0"/>
        <w:pageBreakBefore w:val="0"/>
        <w:numPr>
          <w:ilvl w:val="0"/>
          <w:numId w:val="3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医用静音移动推车2部。</w:t>
      </w:r>
    </w:p>
    <w:p w14:paraId="020B5CAD">
      <w:pPr>
        <w:pStyle w:val="10"/>
        <w:keepLines w:val="0"/>
        <w:pageBreakBefore w:val="0"/>
        <w:numPr>
          <w:ilvl w:val="0"/>
          <w:numId w:val="32"/>
        </w:numPr>
        <w:kinsoku/>
        <w:wordWrap/>
        <w:overflowPunct/>
        <w:topLinePunct w:val="0"/>
        <w:autoSpaceDE/>
        <w:autoSpaceDN/>
        <w:bidi w:val="0"/>
        <w:spacing w:before="0" w:after="0" w:line="360" w:lineRule="auto"/>
        <w:ind w:firstLine="0" w:firstLineChars="0"/>
        <w:rPr>
          <w:rFonts w:hint="eastAsia" w:ascii="仿宋" w:hAnsi="仿宋" w:eastAsia="仿宋" w:cs="仿宋"/>
          <w:b/>
          <w:bCs/>
          <w:color w:val="auto"/>
          <w:kern w:val="44"/>
          <w:sz w:val="24"/>
          <w:szCs w:val="24"/>
          <w:highlight w:val="none"/>
        </w:rPr>
      </w:pPr>
      <w:r>
        <w:rPr>
          <w:rFonts w:hint="eastAsia" w:ascii="仿宋" w:hAnsi="仿宋" w:eastAsia="仿宋" w:cs="仿宋"/>
          <w:color w:val="auto"/>
          <w:sz w:val="24"/>
          <w:szCs w:val="24"/>
          <w:highlight w:val="none"/>
        </w:rPr>
        <w:t>移动式LED无影灯2台。</w:t>
      </w:r>
    </w:p>
    <w:p w14:paraId="6B7CBAE7">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203C5FB">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1D36B8CC">
      <w:pPr>
        <w:pStyle w:val="17"/>
        <w:numPr>
          <w:ilvl w:val="0"/>
          <w:numId w:val="0"/>
        </w:numPr>
        <w:ind w:leftChars="0"/>
        <w:jc w:val="center"/>
        <w:outlineLvl w:val="3"/>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5、盆底磁刺激仪</w:t>
      </w:r>
    </w:p>
    <w:p w14:paraId="7ED2EE04">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整机通过YY/T 0994-2015 磁刺激设备行业标准，通过EMC电磁兼容测试。</w:t>
      </w:r>
    </w:p>
    <w:p w14:paraId="55747A88">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▲用于刺激人体中枢神经和外周神经，适用范围包含骶神经功能障碍的辅助治疗。</w:t>
      </w:r>
    </w:p>
    <w:p w14:paraId="11C793E4">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结构及组成包含主机、刺激线圈、座椅或治疗椅、软件等。</w:t>
      </w:r>
    </w:p>
    <w:p w14:paraId="7790E9F6">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磁刺激脉冲源、冷却系统集成在同一主机机箱内；非堆叠结构</w:t>
      </w:r>
    </w:p>
    <w:p w14:paraId="4A658521">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标配盆底磁刺激专用座椅，</w:t>
      </w:r>
      <w:bookmarkStart w:id="42" w:name="OLE_LINK2"/>
      <w:r>
        <w:rPr>
          <w:rFonts w:hint="eastAsia" w:ascii="仿宋" w:hAnsi="仿宋" w:eastAsia="仿宋" w:cs="仿宋"/>
          <w:color w:val="auto"/>
          <w:sz w:val="24"/>
          <w:szCs w:val="24"/>
          <w:highlight w:val="none"/>
        </w:rPr>
        <w:t>座椅靠背角度可调，可放平至180</w:t>
      </w:r>
      <w:bookmarkEnd w:id="42"/>
      <w:r>
        <w:rPr>
          <w:rFonts w:hint="eastAsia" w:ascii="仿宋" w:hAnsi="仿宋" w:eastAsia="仿宋" w:cs="仿宋"/>
          <w:color w:val="auto"/>
          <w:sz w:val="24"/>
          <w:szCs w:val="24"/>
          <w:highlight w:val="none"/>
        </w:rPr>
        <w:t>°，座椅靠背及腿托可通过按键、电脑软件与磁刺激主机等调节，软件控制治疗座椅进行盆底坐位、骶神经仰卧位与俯卧位一键自动切换标配1个液冷线圈，盆底铁芯线圈同时适用于盆底刺激和骶神经刺激。</w:t>
      </w:r>
    </w:p>
    <w:p w14:paraId="144E8724">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支持一键开机，。</w:t>
      </w:r>
    </w:p>
    <w:p w14:paraId="750F1E6F">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具备实体按键进行选择、键入等动作，非触摸屏操作</w:t>
      </w:r>
    </w:p>
    <w:p w14:paraId="5C31D7DE">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采用液冷+风冷冷却系统。防护系统实时监测线圈温度。</w:t>
      </w:r>
    </w:p>
    <w:p w14:paraId="0A3246E1">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磁刺激设备包含体外反馈模块</w:t>
      </w:r>
    </w:p>
    <w:p w14:paraId="315221F1">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体外反馈模块（盆底运动检测模块）工作频率：60GHz±5%</w:t>
      </w:r>
    </w:p>
    <w:p w14:paraId="2C8C23F1">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脉冲磁场磁感应强度≥7T。</w:t>
      </w:r>
    </w:p>
    <w:p w14:paraId="3A01BD61">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bookmarkStart w:id="43" w:name="OLE_LINK3"/>
      <w:bookmarkStart w:id="44" w:name="OLE_LINK4"/>
      <w:r>
        <w:rPr>
          <w:rFonts w:hint="eastAsia" w:ascii="仿宋" w:hAnsi="仿宋" w:eastAsia="仿宋" w:cs="仿宋"/>
          <w:color w:val="auto"/>
          <w:sz w:val="24"/>
          <w:szCs w:val="24"/>
          <w:highlight w:val="none"/>
        </w:rPr>
        <w:t>脉冲磁场刺激频率0-100Hz可调。</w:t>
      </w:r>
    </w:p>
    <w:bookmarkEnd w:id="43"/>
    <w:bookmarkEnd w:id="44"/>
    <w:p w14:paraId="5987AA07">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单个脉冲持续时间：340μs±20μs。</w:t>
      </w:r>
    </w:p>
    <w:p w14:paraId="2216DD69">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配置原厂双通道无线运动诱发电位检测模块。</w:t>
      </w:r>
    </w:p>
    <w:p w14:paraId="6200D977">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运动诱发电位测量灵敏度范围：1～2700μV</w:t>
      </w:r>
    </w:p>
    <w:p w14:paraId="2EEEF0B5">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具有磁刺激、助力磁刺激、触发磁刺激、kegel训练、多媒体训练等多种体外主动和被动训练功能。</w:t>
      </w:r>
      <w:bookmarkStart w:id="45" w:name="OLE_LINK11"/>
      <w:bookmarkStart w:id="46" w:name="OLE_LINK12"/>
    </w:p>
    <w:p w14:paraId="38F5B919">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内置多种临床治疗方案供医生选择，包含压力性尿失禁、急迫性尿失禁、尿潴留、盆腔脏器脱垂、便秘、大便失禁、慢性前列腺炎、慢性盆腔疼痛等。且所有内置方案参数可查看，也可以导入导出。</w:t>
      </w:r>
    </w:p>
    <w:p w14:paraId="2A99673C">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体外评估功能，可用于评估盆底肌运动水平，评估指标包括：快速收缩阶段最大值、快速收缩阶段上升时间、快速收缩阶段恢复时间、持续收缩阶段平均值、持续收缩阶段变异性、持续收缩阶段上升时间、持续收缩阶段恢复时间等。</w:t>
      </w:r>
      <w:bookmarkEnd w:id="45"/>
      <w:bookmarkEnd w:id="46"/>
    </w:p>
    <w:p w14:paraId="506E490B">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系统可根据盆底评估结果自动生成针对不同患者的组合治疗方案。</w:t>
      </w:r>
    </w:p>
    <w:p w14:paraId="19086A07">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系统支持自动接收超声影像设备生成磁、电、热联合治疗方案，可实现数据同步。</w:t>
      </w:r>
    </w:p>
    <w:p w14:paraId="228275EA">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治疗过程中可对刺激强度进行连续调节，同时显示方案的输出进程，已完成/剩余脉冲个数及刺激时间。</w:t>
      </w:r>
    </w:p>
    <w:p w14:paraId="7EE7335F">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刺激方案具有患者体位示意图，提示患者磁刺激刺激部位或摆放姿势体位。</w:t>
      </w:r>
    </w:p>
    <w:p w14:paraId="025680A5">
      <w:pPr>
        <w:pStyle w:val="10"/>
        <w:keepLines w:val="0"/>
        <w:pageBreakBefore w:val="0"/>
        <w:numPr>
          <w:ilvl w:val="0"/>
          <w:numId w:val="2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具有数据管理功能，可以对工作量等治疗数据进行统计分析，还可以回顾数据结果、波形，实现病历管理或病历导出。</w:t>
      </w:r>
    </w:p>
    <w:p w14:paraId="7B6DF685">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10CF158E">
      <w:pPr>
        <w:pStyle w:val="10"/>
        <w:keepLines w:val="0"/>
        <w:pageBreakBefore w:val="0"/>
        <w:numPr>
          <w:ilvl w:val="0"/>
          <w:numId w:val="3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质保期≥5年</w:t>
      </w:r>
    </w:p>
    <w:p w14:paraId="11A2F9E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其他配置要求：（按院方需求）</w:t>
      </w:r>
    </w:p>
    <w:p w14:paraId="2337C801">
      <w:pPr>
        <w:pStyle w:val="10"/>
        <w:keepLines w:val="0"/>
        <w:pageBreakBefore w:val="0"/>
        <w:numPr>
          <w:ilvl w:val="0"/>
          <w:numId w:val="34"/>
        </w:numPr>
        <w:kinsoku/>
        <w:wordWrap/>
        <w:overflowPunct/>
        <w:topLinePunct w:val="0"/>
        <w:autoSpaceDE/>
        <w:autoSpaceDN/>
        <w:bidi w:val="0"/>
        <w:spacing w:before="0" w:after="0" w:line="360" w:lineRule="auto"/>
        <w:ind w:left="0" w:leftChars="0" w:firstLine="0" w:firstLineChars="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医用屏风2个，打印机1台，</w:t>
      </w:r>
      <w:r>
        <w:rPr>
          <w:rFonts w:hint="eastAsia" w:ascii="仿宋" w:hAnsi="仿宋" w:eastAsia="仿宋" w:cs="仿宋"/>
          <w:b w:val="0"/>
          <w:color w:val="auto"/>
          <w:sz w:val="24"/>
          <w:szCs w:val="24"/>
          <w:highlight w:val="none"/>
        </w:rPr>
        <w:t>盆底专用治疗床</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张</w:t>
      </w:r>
      <w:r>
        <w:rPr>
          <w:rFonts w:hint="eastAsia" w:ascii="仿宋" w:hAnsi="仿宋" w:eastAsia="仿宋" w:cs="仿宋"/>
          <w:b w:val="0"/>
          <w:color w:val="auto"/>
          <w:sz w:val="24"/>
          <w:szCs w:val="24"/>
          <w:highlight w:val="none"/>
          <w:lang w:eastAsia="zh-CN"/>
        </w:rPr>
        <w:t>，防滑阶梯脚踏凳3个。</w:t>
      </w:r>
    </w:p>
    <w:p w14:paraId="4E1930CD">
      <w:pPr>
        <w:pStyle w:val="10"/>
        <w:keepLines w:val="0"/>
        <w:pageBreakBefore w:val="0"/>
        <w:numPr>
          <w:ilvl w:val="0"/>
          <w:numId w:val="34"/>
        </w:numPr>
        <w:kinsoku/>
        <w:wordWrap/>
        <w:overflowPunct/>
        <w:topLinePunct w:val="0"/>
        <w:autoSpaceDE/>
        <w:autoSpaceDN/>
        <w:bidi w:val="0"/>
        <w:spacing w:before="0" w:after="0"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lang w:val="en-US" w:eastAsia="zh-CN"/>
        </w:rPr>
        <w:t>妇科用微波治疗仪1台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适宜范围必须有妇科</w:t>
      </w:r>
      <w:r>
        <w:rPr>
          <w:rFonts w:hint="eastAsia" w:ascii="仿宋" w:hAnsi="仿宋" w:eastAsia="仿宋" w:cs="仿宋"/>
          <w:color w:val="auto"/>
          <w:sz w:val="24"/>
          <w:szCs w:val="24"/>
          <w:highlight w:val="none"/>
        </w:rPr>
        <w:t>）。</w:t>
      </w:r>
    </w:p>
    <w:p w14:paraId="670CD50B">
      <w:pPr>
        <w:pStyle w:val="10"/>
        <w:keepLines w:val="0"/>
        <w:pageBreakBefore w:val="0"/>
        <w:numPr>
          <w:ilvl w:val="0"/>
          <w:numId w:val="3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制作各种盆底康复训练宣传版面。</w:t>
      </w:r>
    </w:p>
    <w:p w14:paraId="108BF65A">
      <w:pPr>
        <w:pStyle w:val="10"/>
        <w:keepLines w:val="0"/>
        <w:pageBreakBefore w:val="0"/>
        <w:numPr>
          <w:ilvl w:val="0"/>
          <w:numId w:val="34"/>
        </w:numPr>
        <w:kinsoku/>
        <w:wordWrap/>
        <w:overflowPunct/>
        <w:topLinePunct w:val="0"/>
        <w:autoSpaceDE/>
        <w:autoSpaceDN/>
        <w:bidi w:val="0"/>
        <w:spacing w:before="0" w:after="0" w:line="36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配置一台妇科用红光治疗仪（符合国家质量检测要求，有明确对应的合规收费项目，</w:t>
      </w:r>
      <w:r>
        <w:rPr>
          <w:rFonts w:hint="eastAsia" w:ascii="仿宋" w:hAnsi="仿宋" w:eastAsia="仿宋" w:cs="仿宋"/>
          <w:color w:val="auto"/>
          <w:kern w:val="0"/>
          <w:sz w:val="24"/>
          <w:szCs w:val="24"/>
          <w:highlight w:val="none"/>
          <w:lang w:val="en-US" w:eastAsia="zh-CN"/>
        </w:rPr>
        <w:t>适用范围明确有妇科</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0968DBB2">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5.黑白激光双面</w:t>
      </w:r>
      <w:r>
        <w:rPr>
          <w:rFonts w:hint="eastAsia" w:ascii="仿宋" w:hAnsi="仿宋" w:eastAsia="仿宋" w:cs="仿宋"/>
          <w:color w:val="auto"/>
          <w:sz w:val="24"/>
          <w:szCs w:val="24"/>
          <w:highlight w:val="none"/>
          <w:lang w:val="en-US" w:eastAsia="zh-CN"/>
        </w:rPr>
        <w:t>打印复印</w:t>
      </w:r>
      <w:r>
        <w:rPr>
          <w:rFonts w:hint="eastAsia" w:ascii="仿宋" w:hAnsi="仿宋" w:eastAsia="仿宋" w:cs="仿宋"/>
          <w:color w:val="auto"/>
          <w:sz w:val="24"/>
          <w:szCs w:val="24"/>
          <w:highlight w:val="none"/>
        </w:rPr>
        <w:t>一体机 1台。</w:t>
      </w:r>
    </w:p>
    <w:p w14:paraId="6DBBFFCC">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6.品牌台式计算机 1台，配置要求：</w:t>
      </w:r>
    </w:p>
    <w:p w14:paraId="2F8A422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1618A43B">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7.工作桌椅1套</w:t>
      </w:r>
    </w:p>
    <w:p w14:paraId="705B75D1">
      <w:pPr>
        <w:rPr>
          <w:rFonts w:hint="default"/>
          <w:color w:val="auto"/>
          <w:sz w:val="24"/>
          <w:szCs w:val="24"/>
          <w:highlight w:val="none"/>
          <w:lang w:val="en-US"/>
        </w:rPr>
      </w:pPr>
      <w:r>
        <w:rPr>
          <w:rFonts w:hint="default"/>
          <w:color w:val="auto"/>
          <w:sz w:val="24"/>
          <w:szCs w:val="24"/>
          <w:highlight w:val="none"/>
          <w:lang w:val="en-US"/>
        </w:rPr>
        <w:br w:type="page"/>
      </w:r>
    </w:p>
    <w:p w14:paraId="7DF3B927">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标项六</w:t>
      </w:r>
    </w:p>
    <w:p w14:paraId="12DC998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2E11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26A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92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71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ECD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78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88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6F0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3553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E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3B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氩气高频电刀</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E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B5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C5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D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3FEF">
            <w:pPr>
              <w:jc w:val="center"/>
              <w:rPr>
                <w:rFonts w:hint="eastAsia" w:ascii="仿宋" w:hAnsi="仿宋" w:eastAsia="仿宋" w:cs="仿宋"/>
                <w:i w:val="0"/>
                <w:iCs w:val="0"/>
                <w:color w:val="auto"/>
                <w:sz w:val="24"/>
                <w:szCs w:val="24"/>
                <w:highlight w:val="none"/>
                <w:u w:val="none"/>
              </w:rPr>
            </w:pPr>
          </w:p>
        </w:tc>
      </w:tr>
      <w:tr w14:paraId="5452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44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F7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高频电刀</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C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0A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0C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04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680">
            <w:pPr>
              <w:jc w:val="center"/>
              <w:rPr>
                <w:rFonts w:hint="eastAsia" w:ascii="仿宋" w:hAnsi="仿宋" w:eastAsia="仿宋" w:cs="仿宋"/>
                <w:i w:val="0"/>
                <w:iCs w:val="0"/>
                <w:color w:val="auto"/>
                <w:sz w:val="24"/>
                <w:szCs w:val="24"/>
                <w:highlight w:val="none"/>
                <w:u w:val="none"/>
              </w:rPr>
            </w:pPr>
          </w:p>
        </w:tc>
      </w:tr>
      <w:tr w14:paraId="19B2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E96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3C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经颅磁刺激仪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F12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FA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2F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0C7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21A">
            <w:pPr>
              <w:jc w:val="center"/>
              <w:rPr>
                <w:rFonts w:hint="eastAsia" w:ascii="仿宋" w:hAnsi="仿宋" w:eastAsia="仿宋" w:cs="仿宋"/>
                <w:i w:val="0"/>
                <w:iCs w:val="0"/>
                <w:color w:val="auto"/>
                <w:sz w:val="24"/>
                <w:szCs w:val="24"/>
                <w:highlight w:val="none"/>
                <w:u w:val="none"/>
              </w:rPr>
            </w:pPr>
          </w:p>
        </w:tc>
      </w:tr>
      <w:tr w14:paraId="4EF4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4FF9D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0F4141BE">
      <w:pPr>
        <w:pStyle w:val="17"/>
        <w:rPr>
          <w:rFonts w:hint="eastAsia" w:ascii="仿宋" w:hAnsi="仿宋" w:eastAsia="仿宋" w:cs="仿宋"/>
          <w:b/>
          <w:bCs/>
          <w:color w:val="auto"/>
          <w:sz w:val="24"/>
          <w:szCs w:val="24"/>
          <w:highlight w:val="none"/>
          <w:lang w:val="en-US" w:eastAsia="zh-CN"/>
        </w:rPr>
      </w:pPr>
    </w:p>
    <w:p w14:paraId="68CF4C62">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7FF3188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4976F504">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1、氩气高频电刀</w:t>
      </w:r>
    </w:p>
    <w:p w14:paraId="65B3B9CF">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工作频率≤400KHz 输入功率约880VA，</w:t>
      </w:r>
    </w:p>
    <w:p w14:paraId="3A93DDF9">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整机一体化设计，具有氩离子电凝止血术（氩气刀）：用于术中止血和组织的失活。</w:t>
      </w:r>
    </w:p>
    <w:p w14:paraId="2E3B16AD">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支持普通单极、氩气单极输出，匹配各类镜下手术。</w:t>
      </w:r>
    </w:p>
    <w:p w14:paraId="4C31ED41">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≥7寸液晶彩色显示屏、具有纯切、混切、内镜电切、柔和电凝、强力电凝、喷凝、喷射电凝等多种工作模式。</w:t>
      </w:r>
    </w:p>
    <w:p w14:paraId="63BE7DD8">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每种工作模式支持≥4种输出效果。</w:t>
      </w:r>
    </w:p>
    <w:p w14:paraId="46D448AE">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最大电切功率≤300W，电凝功能≤120W，输出功率偏差率：≤±20%（额定负载）。</w:t>
      </w:r>
    </w:p>
    <w:p w14:paraId="78833EB8">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具有PPS功率峰值补偿系统。</w:t>
      </w:r>
    </w:p>
    <w:p w14:paraId="647815F1">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具有组织密度即时反馈技术。 </w:t>
      </w:r>
    </w:p>
    <w:p w14:paraId="1C01E704">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▲具有专用内镜手术模式，可根据阻抗变化自动调节功率。</w:t>
      </w:r>
    </w:p>
    <w:p w14:paraId="6290E70B">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内镜切输出功率≥400W</w:t>
      </w:r>
    </w:p>
    <w:p w14:paraId="45A288E5">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混切输出功率≥200W</w:t>
      </w:r>
    </w:p>
    <w:p w14:paraId="691C914F">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柔凝输出功率≥150W</w:t>
      </w:r>
    </w:p>
    <w:p w14:paraId="677B4072">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喷凝输出功率≥100W</w:t>
      </w:r>
    </w:p>
    <w:p w14:paraId="63A77A8A">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具备电极板接触质量数字化显示检测系统</w:t>
      </w:r>
    </w:p>
    <w:p w14:paraId="6C8E9B47">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具有氩气流量恒定输出监测系统及末端压力自动恒定系统。</w:t>
      </w:r>
    </w:p>
    <w:p w14:paraId="0F5D8AFB">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具有开机自检，漏电检测功能。</w:t>
      </w:r>
    </w:p>
    <w:p w14:paraId="56A9BCC1">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氩离子喷射电凝模式,功率调节范围：1-100W，凝血深度≤3mm。氩气输入压力：0.15～0.90Mpa；氩气输出流量范围：0.1 L/min ～ 9.0 L/min。</w:t>
      </w:r>
    </w:p>
    <w:p w14:paraId="3FFF2EE2">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氩气电极具有色环标记，并有多种喷口方向的软管可供选择。</w:t>
      </w:r>
    </w:p>
    <w:p w14:paraId="38C244D0">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1C0863F6">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售后服务：质保期≥5年。</w:t>
      </w:r>
    </w:p>
    <w:p w14:paraId="5B6DB3A9">
      <w:pPr>
        <w:pStyle w:val="10"/>
        <w:keepLines w:val="0"/>
        <w:pageBreakBefore w:val="0"/>
        <w:numPr>
          <w:ilvl w:val="0"/>
          <w:numId w:val="3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配置要求</w:t>
      </w:r>
    </w:p>
    <w:p w14:paraId="616C695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氩气高频电刀主机系统 1台</w:t>
      </w:r>
    </w:p>
    <w:p w14:paraId="2972FB9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智能内镜切割软件（内置集成） 1套</w:t>
      </w:r>
    </w:p>
    <w:p w14:paraId="78792C6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仪器车固定件 1套</w:t>
      </w:r>
    </w:p>
    <w:p w14:paraId="565219D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负极片连线 5条</w:t>
      </w:r>
    </w:p>
    <w:p w14:paraId="1902053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减压阀 1个</w:t>
      </w:r>
    </w:p>
    <w:p w14:paraId="5A3EAC9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氩气喷管（直喷） 1根</w:t>
      </w:r>
    </w:p>
    <w:p w14:paraId="0199BAD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氩气瓶 1个</w:t>
      </w:r>
    </w:p>
    <w:p w14:paraId="3EA8FC7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台车 1台</w:t>
      </w:r>
    </w:p>
    <w:p w14:paraId="48F6B05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高频连接线 1条</w:t>
      </w:r>
    </w:p>
    <w:p w14:paraId="0441F13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负极片 20片</w:t>
      </w:r>
    </w:p>
    <w:p w14:paraId="3A2A3D8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内窥镜送水装置1台</w:t>
      </w:r>
    </w:p>
    <w:p w14:paraId="2EEB4CF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配套设备 </w:t>
      </w:r>
    </w:p>
    <w:p w14:paraId="51F198EA">
      <w:pPr>
        <w:pStyle w:val="10"/>
        <w:keepLines w:val="0"/>
        <w:pageBreakBefore w:val="0"/>
        <w:numPr>
          <w:ilvl w:val="0"/>
          <w:numId w:val="3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黑白激光双面打印复印机 1台。</w:t>
      </w:r>
    </w:p>
    <w:p w14:paraId="42D125AC">
      <w:pPr>
        <w:pStyle w:val="10"/>
        <w:keepLines w:val="0"/>
        <w:pageBreakBefore w:val="0"/>
        <w:numPr>
          <w:ilvl w:val="0"/>
          <w:numId w:val="3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彩色打印机1台</w:t>
      </w:r>
    </w:p>
    <w:p w14:paraId="0AF3DCB4">
      <w:pPr>
        <w:pStyle w:val="10"/>
        <w:keepLines w:val="0"/>
        <w:pageBreakBefore w:val="0"/>
        <w:numPr>
          <w:ilvl w:val="0"/>
          <w:numId w:val="3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品牌台式计算机 1台，配置要求：</w:t>
      </w:r>
    </w:p>
    <w:p w14:paraId="1BAF88C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4F8EF373">
      <w:pPr>
        <w:pStyle w:val="10"/>
        <w:keepLines w:val="0"/>
        <w:pageBreakBefore w:val="0"/>
        <w:numPr>
          <w:ilvl w:val="0"/>
          <w:numId w:val="3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办公桌椅1套</w:t>
      </w:r>
    </w:p>
    <w:p w14:paraId="2A75EF9C">
      <w:pPr>
        <w:rPr>
          <w:rFonts w:hint="eastAsia" w:ascii="仿宋" w:hAnsi="仿宋" w:eastAsia="仿宋" w:cs="仿宋"/>
          <w:b/>
          <w:bCs/>
          <w:color w:val="auto"/>
          <w:sz w:val="24"/>
          <w:szCs w:val="24"/>
          <w:highlight w:val="none"/>
          <w:lang w:val="en-US" w:eastAsia="zh-CN"/>
        </w:rPr>
      </w:pPr>
    </w:p>
    <w:p w14:paraId="3B61AA88">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1E402D11">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38C3CF0">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2、高频电刀 </w:t>
      </w:r>
    </w:p>
    <w:p w14:paraId="25778B5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1、输出：≥5路输出，两路单极手控输出，两路单极脚控输出，一路双极脚控输出。</w:t>
      </w:r>
    </w:p>
    <w:p w14:paraId="7303B58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2、采用CPU 控制，可记忆上次手术功率。</w:t>
      </w:r>
    </w:p>
    <w:p w14:paraId="6ECBEBE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3、输出频率：单极≥512KHZ，双极≥1024KHZ。</w:t>
      </w:r>
    </w:p>
    <w:p w14:paraId="0E95353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4、输出控制：手控和脚控等多种方式。</w:t>
      </w:r>
    </w:p>
    <w:p w14:paraId="5FB2A0D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5、输出功率：单极≥350W，双极≥120W。</w:t>
      </w:r>
    </w:p>
    <w:p w14:paraId="13299AE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6、单极切、凝和双极凝具有独立的功率设定和显示装置。</w:t>
      </w:r>
    </w:p>
    <w:p w14:paraId="3F2950B1">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7、具有主机故障识别功能，</w:t>
      </w:r>
    </w:p>
    <w:p w14:paraId="3545DF6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8、具有面板按键、手控和脚踏启动按键防粘连识别。</w:t>
      </w:r>
    </w:p>
    <w:p w14:paraId="19D726F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9、具备开机参数自检功能，</w:t>
      </w:r>
    </w:p>
    <w:p w14:paraId="520FCDB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10、具有断线自检技术。</w:t>
      </w:r>
    </w:p>
    <w:p w14:paraId="459FD62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11、极板接触质量全程动态监测，。</w:t>
      </w:r>
    </w:p>
    <w:p w14:paraId="42912A9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12、输出功率具备双重采样和双重控制。</w:t>
      </w:r>
    </w:p>
    <w:p w14:paraId="6EF45AD5">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13、主机具有开路、短路、过功率、过电流自动保护等功能。</w:t>
      </w:r>
    </w:p>
    <w:p w14:paraId="7D96626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14、冷却方式 ： 自然冷却</w:t>
      </w:r>
    </w:p>
    <w:p w14:paraId="63D2934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15、间歇加载允许连续使用，允许长时间开路和短路。</w:t>
      </w:r>
    </w:p>
    <w:p w14:paraId="2DE515A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16、可连接单联脚踏开关和双联脚踏开关，脚踏开关防水等级≥IPX8 级。</w:t>
      </w:r>
    </w:p>
    <w:p w14:paraId="3CF4E58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输出模式：≥7种单极模式，≥2种双极模式。</w:t>
      </w:r>
    </w:p>
    <w:p w14:paraId="439FB1B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19、单极切割模式≥4种</w:t>
      </w:r>
    </w:p>
    <w:p w14:paraId="0D69F8FB">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19.1.纯切：功率 0-350W 工作频率≥512KHZ 负载 500 Ω ;</w:t>
      </w:r>
    </w:p>
    <w:p w14:paraId="7FF2AEE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19.2.混切：功率 0-250W多档可调 工作频率≥512KHZ 负载 500 Ω ;</w:t>
      </w:r>
    </w:p>
    <w:p w14:paraId="14ADD83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20.单极凝血模式≥3种</w:t>
      </w:r>
    </w:p>
    <w:p w14:paraId="309A7AE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20.1.软凝：功率 0-150W 工作频率≥512KHZ 负载 200 Ω ;</w:t>
      </w:r>
    </w:p>
    <w:p w14:paraId="69D9EEC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20.2.点凝：功率 0-120W 工作频率≥512KHZ 负载 500 Ω ;</w:t>
      </w:r>
    </w:p>
    <w:p w14:paraId="0A647FC3">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20.3.面凝：功率 0-100W 工作频率≥512KHZ 负载 1000 Ω。</w:t>
      </w:r>
    </w:p>
    <w:p w14:paraId="027B311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21.双极模式≥2种</w:t>
      </w:r>
    </w:p>
    <w:p w14:paraId="67FABBC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21.1.双极凝：功率 0-120W 工作频率≥1024KHZ 负载 100 Ω ;</w:t>
      </w:r>
    </w:p>
    <w:p w14:paraId="59EB8D29">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p>
    <w:p w14:paraId="29438712">
      <w:pPr>
        <w:keepLines w:val="0"/>
        <w:pageBreakBefore w:val="0"/>
        <w:widowControl/>
        <w:kinsoku/>
        <w:wordWrap/>
        <w:overflowPunct/>
        <w:topLinePunct w:val="0"/>
        <w:autoSpaceDE/>
        <w:autoSpaceDN/>
        <w:bidi w:val="0"/>
        <w:spacing w:line="360" w:lineRule="auto"/>
        <w:ind w:firstLine="0" w:firstLineChars="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22.设计使用期限≥8年。</w:t>
      </w:r>
    </w:p>
    <w:p w14:paraId="3C34C6CC">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23.质保期5年，提供终身技术维修服务。</w:t>
      </w:r>
    </w:p>
    <w:p w14:paraId="3C0AC2DC">
      <w:pPr>
        <w:keepNext w:val="0"/>
        <w:keepLines w:val="0"/>
        <w:pageBreakBefore w:val="0"/>
        <w:numPr>
          <w:ilvl w:val="0"/>
          <w:numId w:val="0"/>
        </w:numPr>
        <w:kinsoku/>
        <w:wordWrap/>
        <w:overflowPunct/>
        <w:topLinePunct w:val="0"/>
        <w:autoSpaceDE/>
        <w:autoSpaceDN/>
        <w:bidi w:val="0"/>
        <w:snapToGrid/>
        <w:spacing w:line="360" w:lineRule="auto"/>
        <w:ind w:lef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24.配手术室过床器1张</w:t>
      </w:r>
    </w:p>
    <w:p w14:paraId="242D8AD7">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E9EB134">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5B709C74">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3、经颅磁刺激仪</w:t>
      </w:r>
    </w:p>
    <w:p w14:paraId="1C70846A">
      <w:pPr>
        <w:pStyle w:val="17"/>
        <w:numPr>
          <w:ilvl w:val="0"/>
          <w:numId w:val="0"/>
        </w:numPr>
        <w:ind w:leftChars="0"/>
        <w:rPr>
          <w:rFonts w:hint="default"/>
          <w:color w:val="auto"/>
          <w:sz w:val="24"/>
          <w:szCs w:val="24"/>
          <w:highlight w:val="none"/>
          <w:lang w:val="en-US"/>
        </w:rPr>
      </w:pPr>
    </w:p>
    <w:p w14:paraId="3B08F8D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47" w:name="OLE_LINK59"/>
      <w:r>
        <w:rPr>
          <w:rFonts w:hint="eastAsia" w:ascii="仿宋" w:hAnsi="仿宋" w:eastAsia="仿宋" w:cs="仿宋"/>
          <w:color w:val="auto"/>
          <w:sz w:val="24"/>
          <w:szCs w:val="24"/>
          <w:highlight w:val="none"/>
        </w:rPr>
        <w:t>用于人体中枢神经刺激和外周神经刺激，可用于神经电生理检查、精神科、神经科运动功能评定及</w:t>
      </w:r>
      <w:r>
        <w:rPr>
          <w:rFonts w:hint="eastAsia" w:ascii="仿宋" w:hAnsi="仿宋" w:eastAsia="仿宋" w:cs="仿宋"/>
          <w:color w:val="auto"/>
          <w:kern w:val="44"/>
          <w:sz w:val="24"/>
          <w:szCs w:val="24"/>
          <w:highlight w:val="none"/>
        </w:rPr>
        <w:t>辅助治疗</w:t>
      </w:r>
      <w:bookmarkEnd w:id="47"/>
      <w:bookmarkStart w:id="48" w:name="_Hlk32936791"/>
      <w:bookmarkStart w:id="49" w:name="_Hlk32936590"/>
      <w:r>
        <w:rPr>
          <w:rFonts w:hint="eastAsia" w:ascii="仿宋" w:hAnsi="仿宋" w:eastAsia="仿宋" w:cs="仿宋"/>
          <w:color w:val="auto"/>
          <w:sz w:val="24"/>
          <w:szCs w:val="24"/>
          <w:highlight w:val="none"/>
        </w:rPr>
        <w:t>。</w:t>
      </w:r>
    </w:p>
    <w:bookmarkEnd w:id="48"/>
    <w:bookmarkEnd w:id="49"/>
    <w:p w14:paraId="29FADAF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781AEE17">
      <w:pPr>
        <w:pStyle w:val="51"/>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50" w:name="OLE_LINK55"/>
      <w:bookmarkStart w:id="51" w:name="OLE_LINK83"/>
      <w:bookmarkStart w:id="52" w:name="OLE_LINK23"/>
      <w:bookmarkStart w:id="53" w:name="_Hlk32936864"/>
      <w:bookmarkStart w:id="54" w:name="OLE_LINK54"/>
      <w:r>
        <w:rPr>
          <w:rFonts w:hint="eastAsia" w:ascii="仿宋" w:hAnsi="仿宋" w:eastAsia="仿宋" w:cs="仿宋"/>
          <w:color w:val="auto"/>
          <w:sz w:val="24"/>
          <w:szCs w:val="24"/>
          <w:highlight w:val="none"/>
        </w:rPr>
        <w:t>（一）</w:t>
      </w:r>
      <w:bookmarkEnd w:id="50"/>
      <w:r>
        <w:rPr>
          <w:rFonts w:hint="eastAsia" w:ascii="仿宋" w:hAnsi="仿宋" w:eastAsia="仿宋" w:cs="仿宋"/>
          <w:color w:val="auto"/>
          <w:sz w:val="24"/>
          <w:szCs w:val="24"/>
          <w:highlight w:val="none"/>
        </w:rPr>
        <w:t>主机性能：</w:t>
      </w:r>
    </w:p>
    <w:bookmarkEnd w:id="51"/>
    <w:p w14:paraId="25E219BE">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刺激频率：</w:t>
      </w:r>
      <w:bookmarkStart w:id="55" w:name="OLE_LINK86"/>
      <w:r>
        <w:rPr>
          <w:rFonts w:hint="eastAsia" w:ascii="仿宋" w:hAnsi="仿宋" w:eastAsia="仿宋" w:cs="仿宋"/>
          <w:color w:val="auto"/>
          <w:sz w:val="24"/>
          <w:szCs w:val="24"/>
          <w:highlight w:val="none"/>
        </w:rPr>
        <w:t>0.1～</w:t>
      </w:r>
      <w:bookmarkEnd w:id="55"/>
      <w:r>
        <w:rPr>
          <w:rFonts w:hint="eastAsia" w:ascii="仿宋" w:hAnsi="仿宋" w:eastAsia="仿宋" w:cs="仿宋"/>
          <w:color w:val="auto"/>
          <w:sz w:val="24"/>
          <w:szCs w:val="24"/>
          <w:highlight w:val="none"/>
        </w:rPr>
        <w:t>60Hz</w:t>
      </w:r>
      <w:bookmarkStart w:id="56" w:name="OLE_LINK73"/>
      <w:r>
        <w:rPr>
          <w:rFonts w:hint="eastAsia" w:ascii="仿宋" w:hAnsi="仿宋" w:eastAsia="仿宋" w:cs="仿宋"/>
          <w:color w:val="auto"/>
          <w:sz w:val="24"/>
          <w:szCs w:val="24"/>
          <w:highlight w:val="none"/>
        </w:rPr>
        <w:t>。</w:t>
      </w:r>
      <w:bookmarkStart w:id="57" w:name="OLE_LINK106"/>
      <w:bookmarkStart w:id="58" w:name="OLE_LINK90"/>
      <w:bookmarkStart w:id="59" w:name="OLE_LINK19"/>
      <w:bookmarkStart w:id="60" w:name="OLE_LINK36"/>
      <w:bookmarkStart w:id="61" w:name="OLE_LINK30"/>
    </w:p>
    <w:p w14:paraId="45EBA33F">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刺激频率步长：1 Hz以下步长≤0.1Hz, 1Hz以上步长</w:t>
      </w:r>
      <w:bookmarkStart w:id="62" w:name="OLE_LINK88"/>
      <w:r>
        <w:rPr>
          <w:rFonts w:hint="eastAsia" w:ascii="仿宋" w:hAnsi="仿宋" w:eastAsia="仿宋" w:cs="仿宋"/>
          <w:color w:val="auto"/>
          <w:sz w:val="24"/>
          <w:szCs w:val="24"/>
          <w:highlight w:val="none"/>
        </w:rPr>
        <w:t>≥1Hz</w:t>
      </w:r>
      <w:bookmarkEnd w:id="57"/>
      <w:r>
        <w:rPr>
          <w:rFonts w:hint="eastAsia" w:ascii="仿宋" w:hAnsi="仿宋" w:eastAsia="仿宋" w:cs="仿宋"/>
          <w:color w:val="auto"/>
          <w:sz w:val="24"/>
          <w:szCs w:val="24"/>
          <w:highlight w:val="none"/>
        </w:rPr>
        <w:t>。</w:t>
      </w:r>
      <w:bookmarkEnd w:id="58"/>
      <w:bookmarkEnd w:id="62"/>
      <w:bookmarkStart w:id="63" w:name="OLE_LINK62"/>
      <w:bookmarkStart w:id="64" w:name="OLE_LINK107"/>
    </w:p>
    <w:p w14:paraId="586CB04E">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bookmarkEnd w:id="63"/>
      <w:r>
        <w:rPr>
          <w:rFonts w:hint="eastAsia" w:ascii="仿宋" w:hAnsi="仿宋" w:eastAsia="仿宋" w:cs="仿宋"/>
          <w:color w:val="auto"/>
          <w:sz w:val="24"/>
          <w:szCs w:val="24"/>
          <w:highlight w:val="none"/>
        </w:rPr>
        <w:t>最大磁感应强度：≥6T</w:t>
      </w:r>
      <w:bookmarkEnd w:id="59"/>
      <w:bookmarkEnd w:id="60"/>
      <w:bookmarkEnd w:id="61"/>
      <w:bookmarkEnd w:id="64"/>
      <w:r>
        <w:rPr>
          <w:rFonts w:hint="eastAsia" w:ascii="仿宋" w:hAnsi="仿宋" w:eastAsia="仿宋" w:cs="仿宋"/>
          <w:color w:val="auto"/>
          <w:sz w:val="24"/>
          <w:szCs w:val="24"/>
          <w:highlight w:val="none"/>
        </w:rPr>
        <w:t>。</w:t>
      </w:r>
    </w:p>
    <w:bookmarkEnd w:id="56"/>
    <w:p w14:paraId="54A1E3DB">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65" w:name="OLE_LINK108"/>
      <w:r>
        <w:rPr>
          <w:rFonts w:hint="eastAsia" w:ascii="仿宋" w:hAnsi="仿宋" w:eastAsia="仿宋" w:cs="仿宋"/>
          <w:color w:val="auto"/>
          <w:sz w:val="24"/>
          <w:szCs w:val="24"/>
          <w:highlight w:val="none"/>
        </w:rPr>
        <w:t>脉冲上升时间：</w:t>
      </w:r>
      <w:bookmarkStart w:id="66" w:name="OLE_LINK43"/>
      <w:r>
        <w:rPr>
          <w:rFonts w:hint="eastAsia" w:ascii="仿宋" w:hAnsi="仿宋" w:eastAsia="仿宋" w:cs="仿宋"/>
          <w:color w:val="auto"/>
          <w:sz w:val="24"/>
          <w:szCs w:val="24"/>
          <w:highlight w:val="none"/>
        </w:rPr>
        <w:t>50μs ±10μs</w:t>
      </w:r>
      <w:bookmarkEnd w:id="65"/>
      <w:bookmarkEnd w:id="66"/>
      <w:r>
        <w:rPr>
          <w:rFonts w:hint="eastAsia" w:ascii="仿宋" w:hAnsi="仿宋" w:eastAsia="仿宋" w:cs="仿宋"/>
          <w:color w:val="auto"/>
          <w:sz w:val="24"/>
          <w:szCs w:val="24"/>
          <w:highlight w:val="none"/>
        </w:rPr>
        <w:t>。</w:t>
      </w:r>
      <w:bookmarkStart w:id="67" w:name="OLE_LINK33"/>
    </w:p>
    <w:p w14:paraId="03FA28C4">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68" w:name="OLE_LINK109"/>
      <w:r>
        <w:rPr>
          <w:rFonts w:hint="eastAsia" w:ascii="仿宋" w:hAnsi="仿宋" w:eastAsia="仿宋" w:cs="仿宋"/>
          <w:color w:val="auto"/>
          <w:sz w:val="24"/>
          <w:szCs w:val="24"/>
          <w:highlight w:val="none"/>
        </w:rPr>
        <w:t>脉冲持续时间：320-360μs</w:t>
      </w:r>
      <w:bookmarkEnd w:id="67"/>
      <w:r>
        <w:rPr>
          <w:rFonts w:hint="eastAsia" w:ascii="仿宋" w:hAnsi="仿宋" w:eastAsia="仿宋" w:cs="仿宋"/>
          <w:color w:val="auto"/>
          <w:sz w:val="24"/>
          <w:szCs w:val="24"/>
          <w:highlight w:val="none"/>
        </w:rPr>
        <w:t>。</w:t>
      </w:r>
    </w:p>
    <w:bookmarkEnd w:id="68"/>
    <w:p w14:paraId="447A0DA2">
      <w:pPr>
        <w:pStyle w:val="52"/>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磁感应强度最大变化率范围：</w:t>
      </w:r>
      <w:bookmarkStart w:id="69" w:name="OLE_LINK29"/>
      <w:r>
        <w:rPr>
          <w:rFonts w:hint="eastAsia" w:ascii="仿宋" w:hAnsi="仿宋" w:eastAsia="仿宋" w:cs="仿宋"/>
          <w:color w:val="auto"/>
          <w:sz w:val="24"/>
          <w:szCs w:val="24"/>
          <w:highlight w:val="none"/>
        </w:rPr>
        <w:t>≥</w:t>
      </w:r>
      <w:bookmarkStart w:id="70" w:name="OLE_LINK65"/>
      <w:r>
        <w:rPr>
          <w:rFonts w:hint="eastAsia" w:ascii="仿宋" w:hAnsi="仿宋" w:eastAsia="仿宋" w:cs="仿宋"/>
          <w:color w:val="auto"/>
          <w:sz w:val="24"/>
          <w:szCs w:val="24"/>
          <w:highlight w:val="none"/>
        </w:rPr>
        <w:t>9</w:t>
      </w:r>
      <w:bookmarkEnd w:id="69"/>
      <w:r>
        <w:rPr>
          <w:rFonts w:hint="eastAsia" w:ascii="仿宋" w:hAnsi="仿宋" w:eastAsia="仿宋" w:cs="仿宋"/>
          <w:color w:val="auto"/>
          <w:sz w:val="24"/>
          <w:szCs w:val="24"/>
          <w:highlight w:val="none"/>
        </w:rPr>
        <w:t>0kT/s</w:t>
      </w:r>
      <w:bookmarkEnd w:id="70"/>
      <w:r>
        <w:rPr>
          <w:rFonts w:hint="eastAsia" w:ascii="仿宋" w:hAnsi="仿宋" w:eastAsia="仿宋" w:cs="仿宋"/>
          <w:color w:val="auto"/>
          <w:sz w:val="24"/>
          <w:szCs w:val="24"/>
          <w:highlight w:val="none"/>
        </w:rPr>
        <w:t>。</w:t>
      </w:r>
      <w:bookmarkStart w:id="71" w:name="OLE_LINK89"/>
    </w:p>
    <w:bookmarkEnd w:id="71"/>
    <w:p w14:paraId="047520BB">
      <w:pPr>
        <w:pStyle w:val="51"/>
        <w:keepLines w:val="0"/>
        <w:pageBreakBefore w:val="0"/>
        <w:numPr>
          <w:ilvl w:val="0"/>
          <w:numId w:val="37"/>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具有手动停止磁场输出功能。</w:t>
      </w:r>
    </w:p>
    <w:p w14:paraId="7338DEB2">
      <w:pPr>
        <w:pStyle w:val="51"/>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72" w:name="OLE_LINK17"/>
      <w:r>
        <w:rPr>
          <w:rFonts w:hint="eastAsia" w:ascii="仿宋" w:hAnsi="仿宋" w:eastAsia="仿宋" w:cs="仿宋"/>
          <w:color w:val="auto"/>
          <w:sz w:val="24"/>
          <w:szCs w:val="24"/>
          <w:highlight w:val="none"/>
        </w:rPr>
        <w:t>（二）冷却系统：</w:t>
      </w:r>
      <w:bookmarkEnd w:id="72"/>
    </w:p>
    <w:p w14:paraId="1167C34F">
      <w:pPr>
        <w:pStyle w:val="51"/>
        <w:keepLines w:val="0"/>
        <w:pageBreakBefore w:val="0"/>
        <w:numPr>
          <w:ilvl w:val="0"/>
          <w:numId w:val="38"/>
        </w:numPr>
        <w:kinsoku/>
        <w:wordWrap/>
        <w:overflowPunct/>
        <w:topLinePunct w:val="0"/>
        <w:autoSpaceDE/>
        <w:autoSpaceDN/>
        <w:bidi w:val="0"/>
        <w:spacing w:line="360" w:lineRule="auto"/>
        <w:ind w:left="-420" w:firstLine="0" w:firstLineChars="0"/>
        <w:rPr>
          <w:rFonts w:hint="eastAsia" w:ascii="仿宋" w:hAnsi="仿宋" w:eastAsia="仿宋" w:cs="仿宋"/>
          <w:color w:val="auto"/>
          <w:sz w:val="24"/>
          <w:szCs w:val="24"/>
          <w:highlight w:val="none"/>
        </w:rPr>
      </w:pPr>
      <w:bookmarkStart w:id="73" w:name="OLE_LINK111"/>
      <w:r>
        <w:rPr>
          <w:rFonts w:hint="eastAsia" w:ascii="仿宋" w:hAnsi="仿宋" w:eastAsia="仿宋" w:cs="仿宋"/>
          <w:color w:val="auto"/>
          <w:sz w:val="24"/>
          <w:szCs w:val="24"/>
          <w:highlight w:val="none"/>
        </w:rPr>
        <w:t>冷却方式：液冷散热系统。</w:t>
      </w:r>
    </w:p>
    <w:bookmarkEnd w:id="73"/>
    <w:p w14:paraId="03E8CE34">
      <w:pPr>
        <w:pStyle w:val="51"/>
        <w:keepLines w:val="0"/>
        <w:pageBreakBefore w:val="0"/>
        <w:numPr>
          <w:ilvl w:val="0"/>
          <w:numId w:val="38"/>
        </w:numPr>
        <w:kinsoku/>
        <w:wordWrap/>
        <w:overflowPunct/>
        <w:topLinePunct w:val="0"/>
        <w:autoSpaceDE/>
        <w:autoSpaceDN/>
        <w:bidi w:val="0"/>
        <w:spacing w:line="360" w:lineRule="auto"/>
        <w:ind w:left="-420" w:firstLine="0" w:firstLineChars="0"/>
        <w:rPr>
          <w:rFonts w:hint="eastAsia" w:ascii="仿宋" w:hAnsi="仿宋" w:eastAsia="仿宋" w:cs="仿宋"/>
          <w:color w:val="auto"/>
          <w:sz w:val="24"/>
          <w:szCs w:val="24"/>
          <w:highlight w:val="none"/>
        </w:rPr>
      </w:pPr>
      <w:bookmarkStart w:id="74" w:name="OLE_LINK112"/>
      <w:r>
        <w:rPr>
          <w:rFonts w:hint="eastAsia" w:ascii="仿宋" w:hAnsi="仿宋" w:eastAsia="仿宋" w:cs="仿宋"/>
          <w:color w:val="auto"/>
          <w:sz w:val="24"/>
          <w:szCs w:val="24"/>
          <w:highlight w:val="none"/>
        </w:rPr>
        <w:t>冷却系统可24h持续工作。</w:t>
      </w:r>
    </w:p>
    <w:bookmarkEnd w:id="74"/>
    <w:p w14:paraId="2A393B36">
      <w:pPr>
        <w:pStyle w:val="51"/>
        <w:keepLines w:val="0"/>
        <w:pageBreakBefore w:val="0"/>
        <w:numPr>
          <w:ilvl w:val="0"/>
          <w:numId w:val="38"/>
        </w:numPr>
        <w:kinsoku/>
        <w:wordWrap/>
        <w:overflowPunct/>
        <w:topLinePunct w:val="0"/>
        <w:autoSpaceDE/>
        <w:autoSpaceDN/>
        <w:bidi w:val="0"/>
        <w:spacing w:line="360" w:lineRule="auto"/>
        <w:ind w:left="-42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冷却系统与刺激</w:t>
      </w:r>
      <w:bookmarkStart w:id="75" w:name="OLE_LINK64"/>
      <w:r>
        <w:rPr>
          <w:rFonts w:hint="eastAsia" w:ascii="仿宋" w:hAnsi="仿宋" w:eastAsia="仿宋" w:cs="仿宋"/>
          <w:color w:val="auto"/>
          <w:sz w:val="24"/>
          <w:szCs w:val="24"/>
          <w:highlight w:val="none"/>
        </w:rPr>
        <w:t>主机</w:t>
      </w:r>
      <w:bookmarkEnd w:id="75"/>
      <w:r>
        <w:rPr>
          <w:rFonts w:hint="eastAsia" w:ascii="仿宋" w:hAnsi="仿宋" w:eastAsia="仿宋" w:cs="仿宋"/>
          <w:color w:val="auto"/>
          <w:sz w:val="24"/>
          <w:szCs w:val="24"/>
          <w:highlight w:val="none"/>
        </w:rPr>
        <w:t>分体式设计</w:t>
      </w:r>
      <w:bookmarkStart w:id="76" w:name="OLE_LINK113"/>
      <w:r>
        <w:rPr>
          <w:rFonts w:hint="eastAsia" w:ascii="仿宋" w:hAnsi="仿宋" w:eastAsia="仿宋" w:cs="仿宋"/>
          <w:color w:val="auto"/>
          <w:sz w:val="24"/>
          <w:szCs w:val="24"/>
          <w:highlight w:val="none"/>
        </w:rPr>
        <w:t>当冷却系统发生故障时，停止磁场输出。</w:t>
      </w:r>
      <w:bookmarkStart w:id="77" w:name="OLE_LINK58"/>
      <w:bookmarkStart w:id="78" w:name="OLE_LINK56"/>
    </w:p>
    <w:bookmarkEnd w:id="76"/>
    <w:p w14:paraId="51D7FA8B">
      <w:pPr>
        <w:pStyle w:val="51"/>
        <w:keepLines w:val="0"/>
        <w:pageBreakBefore w:val="0"/>
        <w:numPr>
          <w:ilvl w:val="0"/>
          <w:numId w:val="38"/>
        </w:numPr>
        <w:kinsoku/>
        <w:wordWrap/>
        <w:overflowPunct/>
        <w:topLinePunct w:val="0"/>
        <w:autoSpaceDE/>
        <w:autoSpaceDN/>
        <w:bidi w:val="0"/>
        <w:spacing w:line="360" w:lineRule="auto"/>
        <w:ind w:left="-420" w:firstLine="0" w:firstLineChars="0"/>
        <w:rPr>
          <w:rFonts w:hint="eastAsia" w:ascii="仿宋" w:hAnsi="仿宋" w:eastAsia="仿宋" w:cs="仿宋"/>
          <w:color w:val="auto"/>
          <w:sz w:val="24"/>
          <w:szCs w:val="24"/>
          <w:highlight w:val="none"/>
        </w:rPr>
      </w:pPr>
      <w:bookmarkStart w:id="79" w:name="OLE_LINK114"/>
      <w:r>
        <w:rPr>
          <w:rFonts w:hint="eastAsia" w:ascii="仿宋" w:hAnsi="仿宋" w:eastAsia="仿宋" w:cs="仿宋"/>
          <w:color w:val="auto"/>
          <w:sz w:val="24"/>
          <w:szCs w:val="24"/>
          <w:highlight w:val="none"/>
        </w:rPr>
        <w:t>冷却系统可以实时显示刺激线圈温度。</w:t>
      </w:r>
      <w:bookmarkEnd w:id="79"/>
    </w:p>
    <w:p w14:paraId="03C025C6">
      <w:pPr>
        <w:pStyle w:val="51"/>
        <w:keepLines w:val="0"/>
        <w:pageBreakBefore w:val="0"/>
        <w:numPr>
          <w:ilvl w:val="0"/>
          <w:numId w:val="38"/>
        </w:numPr>
        <w:kinsoku/>
        <w:wordWrap/>
        <w:overflowPunct/>
        <w:topLinePunct w:val="0"/>
        <w:autoSpaceDE/>
        <w:autoSpaceDN/>
        <w:bidi w:val="0"/>
        <w:spacing w:line="360" w:lineRule="auto"/>
        <w:ind w:left="-42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刺激线圈表面温度≤40℃。</w:t>
      </w:r>
    </w:p>
    <w:bookmarkEnd w:id="77"/>
    <w:bookmarkEnd w:id="78"/>
    <w:p w14:paraId="16BDDA42">
      <w:pPr>
        <w:pStyle w:val="51"/>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80" w:name="OLE_LINK98"/>
      <w:bookmarkStart w:id="81" w:name="OLE_LINK15"/>
      <w:bookmarkStart w:id="82" w:name="OLE_LINK41"/>
      <w:bookmarkStart w:id="83" w:name="OLE_LINK27"/>
      <w:bookmarkStart w:id="84" w:name="OLE_LINK47"/>
      <w:r>
        <w:rPr>
          <w:rFonts w:hint="eastAsia" w:ascii="仿宋" w:hAnsi="仿宋" w:eastAsia="仿宋" w:cs="仿宋"/>
          <w:color w:val="auto"/>
          <w:sz w:val="24"/>
          <w:szCs w:val="24"/>
          <w:highlight w:val="none"/>
        </w:rPr>
        <w:t>（三）刺激线圈：</w:t>
      </w:r>
    </w:p>
    <w:bookmarkEnd w:id="80"/>
    <w:p w14:paraId="3D61CEEF">
      <w:pPr>
        <w:pStyle w:val="51"/>
        <w:keepLines w:val="0"/>
        <w:pageBreakBefore w:val="0"/>
        <w:numPr>
          <w:ilvl w:val="0"/>
          <w:numId w:val="39"/>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85" w:name="OLE_LINK123"/>
      <w:r>
        <w:rPr>
          <w:rFonts w:hint="eastAsia" w:ascii="仿宋" w:hAnsi="仿宋" w:eastAsia="仿宋" w:cs="仿宋"/>
          <w:color w:val="auto"/>
          <w:sz w:val="24"/>
          <w:szCs w:val="24"/>
          <w:highlight w:val="none"/>
          <w:lang w:val="en-US" w:eastAsia="zh-CN"/>
        </w:rPr>
        <w:t>标配</w:t>
      </w:r>
      <w:r>
        <w:rPr>
          <w:rFonts w:hint="eastAsia" w:ascii="仿宋" w:hAnsi="仿宋" w:eastAsia="仿宋" w:cs="仿宋"/>
          <w:color w:val="auto"/>
          <w:sz w:val="24"/>
          <w:szCs w:val="24"/>
          <w:highlight w:val="none"/>
        </w:rPr>
        <w:t>蝶形线圈</w:t>
      </w:r>
      <w:r>
        <w:rPr>
          <w:rFonts w:hint="eastAsia" w:ascii="仿宋" w:hAnsi="仿宋" w:eastAsia="仿宋" w:cs="仿宋"/>
          <w:color w:val="auto"/>
          <w:sz w:val="24"/>
          <w:szCs w:val="24"/>
          <w:highlight w:val="none"/>
          <w:lang w:val="en-US" w:eastAsia="zh-CN"/>
        </w:rPr>
        <w:t>1个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圆形线圈1个。</w:t>
      </w:r>
      <w:bookmarkEnd w:id="85"/>
    </w:p>
    <w:p w14:paraId="6F73A08B">
      <w:pPr>
        <w:pStyle w:val="51"/>
        <w:keepLines w:val="0"/>
        <w:pageBreakBefore w:val="0"/>
        <w:numPr>
          <w:ilvl w:val="0"/>
          <w:numId w:val="39"/>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后期可增配深部盔式线圈、儿童线圈、深部双锥型线圈、伪刺激线圈等科研线圈。</w:t>
      </w:r>
      <w:bookmarkStart w:id="86" w:name="OLE_LINK75"/>
    </w:p>
    <w:p w14:paraId="7B4BB1EF">
      <w:pPr>
        <w:pStyle w:val="51"/>
        <w:keepLines w:val="0"/>
        <w:pageBreakBefore w:val="0"/>
        <w:numPr>
          <w:ilvl w:val="0"/>
          <w:numId w:val="39"/>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刺激线圈上具有强度调节按键与触发刺激按键，可调节刺激强度</w:t>
      </w:r>
      <w:bookmarkStart w:id="87" w:name="OLE_LINK21"/>
      <w:r>
        <w:rPr>
          <w:rFonts w:hint="eastAsia" w:ascii="仿宋" w:hAnsi="仿宋" w:eastAsia="仿宋" w:cs="仿宋"/>
          <w:color w:val="auto"/>
          <w:sz w:val="24"/>
          <w:szCs w:val="24"/>
          <w:highlight w:val="none"/>
        </w:rPr>
        <w:t>和</w:t>
      </w:r>
      <w:bookmarkEnd w:id="87"/>
      <w:r>
        <w:rPr>
          <w:rFonts w:hint="eastAsia" w:ascii="仿宋" w:hAnsi="仿宋" w:eastAsia="仿宋" w:cs="仿宋"/>
          <w:color w:val="auto"/>
          <w:sz w:val="24"/>
          <w:szCs w:val="24"/>
          <w:highlight w:val="none"/>
        </w:rPr>
        <w:t>触发刺激，</w:t>
      </w:r>
      <w:bookmarkEnd w:id="86"/>
      <w:r>
        <w:rPr>
          <w:rFonts w:hint="eastAsia" w:ascii="仿宋" w:hAnsi="仿宋" w:eastAsia="仿宋" w:cs="仿宋"/>
          <w:color w:val="auto"/>
          <w:sz w:val="24"/>
          <w:szCs w:val="24"/>
          <w:highlight w:val="none"/>
        </w:rPr>
        <w:t>刺激线圈具有显示屏，可实时显示线圈强度。</w:t>
      </w:r>
      <w:bookmarkStart w:id="88" w:name="OLE_LINK96"/>
    </w:p>
    <w:p w14:paraId="343A1FAB">
      <w:pPr>
        <w:pStyle w:val="51"/>
        <w:keepLines w:val="0"/>
        <w:pageBreakBefore w:val="0"/>
        <w:numPr>
          <w:ilvl w:val="0"/>
          <w:numId w:val="39"/>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89" w:name="OLE_LINK116"/>
      <w:r>
        <w:rPr>
          <w:rFonts w:hint="eastAsia" w:ascii="仿宋" w:hAnsi="仿宋" w:eastAsia="仿宋" w:cs="仿宋"/>
          <w:color w:val="auto"/>
          <w:sz w:val="24"/>
          <w:szCs w:val="24"/>
          <w:highlight w:val="none"/>
        </w:rPr>
        <w:t>▲</w:t>
      </w:r>
      <w:bookmarkEnd w:id="88"/>
      <w:r>
        <w:rPr>
          <w:rFonts w:hint="eastAsia" w:ascii="仿宋" w:hAnsi="仿宋" w:eastAsia="仿宋" w:cs="仿宋"/>
          <w:color w:val="auto"/>
          <w:sz w:val="24"/>
          <w:szCs w:val="24"/>
          <w:highlight w:val="none"/>
        </w:rPr>
        <w:t>线圈支持热插拔。</w:t>
      </w:r>
      <w:bookmarkEnd w:id="89"/>
    </w:p>
    <w:bookmarkEnd w:id="81"/>
    <w:bookmarkEnd w:id="82"/>
    <w:bookmarkEnd w:id="83"/>
    <w:bookmarkEnd w:id="84"/>
    <w:p w14:paraId="28EA27FA">
      <w:pPr>
        <w:pStyle w:val="51"/>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90" w:name="OLE_LINK37"/>
      <w:bookmarkStart w:id="91" w:name="OLE_LINK49"/>
      <w:r>
        <w:rPr>
          <w:rFonts w:hint="eastAsia" w:ascii="仿宋" w:hAnsi="仿宋" w:eastAsia="仿宋" w:cs="仿宋"/>
          <w:color w:val="auto"/>
          <w:sz w:val="24"/>
          <w:szCs w:val="24"/>
          <w:highlight w:val="none"/>
        </w:rPr>
        <w:t>（四）MEP模块：</w:t>
      </w:r>
    </w:p>
    <w:p w14:paraId="529322E2">
      <w:pPr>
        <w:pStyle w:val="52"/>
        <w:keepLines w:val="0"/>
        <w:pageBreakBefore w:val="0"/>
        <w:numPr>
          <w:ilvl w:val="0"/>
          <w:numId w:val="4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MEP通道数：≥2通道。</w:t>
      </w:r>
    </w:p>
    <w:p w14:paraId="350FA5C1">
      <w:pPr>
        <w:pStyle w:val="51"/>
        <w:keepLines w:val="0"/>
        <w:pageBreakBefore w:val="0"/>
        <w:numPr>
          <w:ilvl w:val="0"/>
          <w:numId w:val="4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92" w:name="OLE_LINK117"/>
      <w:r>
        <w:rPr>
          <w:rFonts w:hint="eastAsia" w:ascii="仿宋" w:hAnsi="仿宋" w:eastAsia="仿宋" w:cs="仿宋"/>
          <w:color w:val="auto"/>
          <w:sz w:val="24"/>
          <w:szCs w:val="24"/>
          <w:highlight w:val="none"/>
        </w:rPr>
        <w:t>▲</w:t>
      </w:r>
      <w:bookmarkStart w:id="93" w:name="OLE_LINK97"/>
      <w:r>
        <w:rPr>
          <w:rFonts w:hint="eastAsia" w:ascii="仿宋" w:hAnsi="仿宋" w:eastAsia="仿宋" w:cs="仿宋"/>
          <w:color w:val="auto"/>
          <w:sz w:val="24"/>
          <w:szCs w:val="24"/>
          <w:highlight w:val="none"/>
        </w:rPr>
        <w:t>运动诱发电位检查模块支持无线传输功能</w:t>
      </w:r>
      <w:bookmarkStart w:id="94" w:name="OLE_LINK20"/>
      <w:r>
        <w:rPr>
          <w:rFonts w:hint="eastAsia" w:ascii="仿宋" w:hAnsi="仿宋" w:eastAsia="仿宋" w:cs="仿宋"/>
          <w:color w:val="auto"/>
          <w:sz w:val="24"/>
          <w:szCs w:val="24"/>
          <w:highlight w:val="none"/>
        </w:rPr>
        <w:t>。</w:t>
      </w:r>
      <w:bookmarkEnd w:id="52"/>
      <w:bookmarkEnd w:id="53"/>
      <w:bookmarkEnd w:id="90"/>
      <w:bookmarkEnd w:id="91"/>
      <w:bookmarkEnd w:id="92"/>
      <w:bookmarkEnd w:id="93"/>
      <w:bookmarkEnd w:id="94"/>
      <w:bookmarkStart w:id="95" w:name="OLE_LINK28"/>
      <w:bookmarkStart w:id="96" w:name="_Hlk32936998"/>
    </w:p>
    <w:p w14:paraId="7585558F">
      <w:pPr>
        <w:pStyle w:val="51"/>
        <w:keepLines w:val="0"/>
        <w:pageBreakBefore w:val="0"/>
        <w:numPr>
          <w:ilvl w:val="0"/>
          <w:numId w:val="4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MEP采样率：≥100kHz。</w:t>
      </w:r>
    </w:p>
    <w:bookmarkEnd w:id="54"/>
    <w:bookmarkEnd w:id="95"/>
    <w:bookmarkEnd w:id="96"/>
    <w:p w14:paraId="79D2AE64">
      <w:pPr>
        <w:pStyle w:val="52"/>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97" w:name="OLE_LINK99"/>
      <w:r>
        <w:rPr>
          <w:rFonts w:hint="eastAsia" w:ascii="仿宋" w:hAnsi="仿宋" w:eastAsia="仿宋" w:cs="仿宋"/>
          <w:color w:val="auto"/>
          <w:sz w:val="24"/>
          <w:szCs w:val="24"/>
          <w:highlight w:val="none"/>
        </w:rPr>
        <w:t>（五）软件系统：</w:t>
      </w:r>
    </w:p>
    <w:bookmarkEnd w:id="97"/>
    <w:p w14:paraId="1E587B6D">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采用触屏一体机承载软件系统，。</w:t>
      </w:r>
      <w:bookmarkStart w:id="98" w:name="OLE_LINK118"/>
    </w:p>
    <w:p w14:paraId="3189FC4D">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刺激模式：具备单脉冲刺激、重复脉冲刺激和模式化刺激功能。</w:t>
      </w:r>
    </w:p>
    <w:bookmarkEnd w:id="98"/>
    <w:p w14:paraId="7B0E39F9">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99" w:name="OLE_LINK128"/>
      <w:bookmarkStart w:id="100" w:name="OLE_LINK119"/>
      <w:bookmarkStart w:id="101" w:name="OLE_LINK102"/>
      <w:bookmarkStart w:id="102" w:name="OLE_LINK100"/>
      <w:r>
        <w:rPr>
          <w:rFonts w:hint="eastAsia" w:ascii="仿宋" w:hAnsi="仿宋" w:eastAsia="仿宋" w:cs="仿宋"/>
          <w:color w:val="auto"/>
          <w:sz w:val="24"/>
          <w:szCs w:val="24"/>
          <w:highlight w:val="none"/>
        </w:rPr>
        <w:t>双通道，具备双人独立治疗功能，可独立调节每位患者的相关参数，如刺激频率、刺激部位、刺激强度、治疗时间、串数等。</w:t>
      </w:r>
    </w:p>
    <w:bookmarkEnd w:id="99"/>
    <w:bookmarkEnd w:id="100"/>
    <w:bookmarkEnd w:id="101"/>
    <w:bookmarkEnd w:id="102"/>
    <w:p w14:paraId="2BA1AAC7">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103" w:name="OLE_LINK25"/>
      <w:r>
        <w:rPr>
          <w:rFonts w:hint="eastAsia" w:ascii="仿宋" w:hAnsi="仿宋" w:eastAsia="仿宋" w:cs="仿宋"/>
          <w:color w:val="auto"/>
          <w:sz w:val="24"/>
          <w:szCs w:val="24"/>
          <w:highlight w:val="none"/>
        </w:rPr>
        <w:t>内置多种专家方案，支持自定义编辑方案，支持组合方案。</w:t>
      </w:r>
    </w:p>
    <w:bookmarkEnd w:id="103"/>
    <w:p w14:paraId="39AF006E">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104" w:name="OLE_LINK51"/>
      <w:bookmarkStart w:id="105" w:name="OLE_LINK120"/>
      <w:bookmarkStart w:id="106" w:name="OLE_LINK32"/>
      <w:r>
        <w:rPr>
          <w:rFonts w:hint="eastAsia" w:ascii="仿宋" w:hAnsi="仿宋" w:eastAsia="仿宋" w:cs="仿宋"/>
          <w:color w:val="auto"/>
          <w:sz w:val="24"/>
          <w:szCs w:val="24"/>
          <w:highlight w:val="none"/>
        </w:rPr>
        <w:t>开放式设计平台，具备延时触发功能</w:t>
      </w:r>
      <w:bookmarkEnd w:id="104"/>
      <w:r>
        <w:rPr>
          <w:rFonts w:hint="eastAsia" w:ascii="仿宋" w:hAnsi="仿宋" w:eastAsia="仿宋" w:cs="仿宋"/>
          <w:color w:val="auto"/>
          <w:sz w:val="24"/>
          <w:szCs w:val="24"/>
          <w:highlight w:val="none"/>
        </w:rPr>
        <w:t>。</w:t>
      </w:r>
      <w:bookmarkEnd w:id="105"/>
    </w:p>
    <w:p w14:paraId="1504FA99">
      <w:pPr>
        <w:pStyle w:val="52"/>
        <w:keepLines w:val="0"/>
        <w:pageBreakBefore w:val="0"/>
        <w:numPr>
          <w:ilvl w:val="0"/>
          <w:numId w:val="4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治疗界面提供大脑解剖定位图辅助定位。</w:t>
      </w:r>
      <w:bookmarkEnd w:id="106"/>
    </w:p>
    <w:p w14:paraId="65C0222D">
      <w:pPr>
        <w:pStyle w:val="52"/>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w:t>
      </w:r>
    </w:p>
    <w:p w14:paraId="40C7385D">
      <w:pPr>
        <w:pStyle w:val="52"/>
        <w:keepLines w:val="0"/>
        <w:pageBreakBefore w:val="0"/>
        <w:numPr>
          <w:ilvl w:val="0"/>
          <w:numId w:val="42"/>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设计使用期限：≥10年。</w:t>
      </w:r>
    </w:p>
    <w:p w14:paraId="2C569726">
      <w:pPr>
        <w:pStyle w:val="10"/>
        <w:keepLines w:val="0"/>
        <w:pageBreakBefore w:val="0"/>
        <w:numPr>
          <w:ilvl w:val="0"/>
          <w:numId w:val="4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售后服务：质保期5年。</w:t>
      </w:r>
    </w:p>
    <w:p w14:paraId="733BB5D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（七）配套设备</w:t>
      </w:r>
    </w:p>
    <w:p w14:paraId="3E004AC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1.黑白激光双面打印复印机 1台。</w:t>
      </w:r>
    </w:p>
    <w:p w14:paraId="572AD20B">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2.品牌台式计算机 1台，配置要求：</w:t>
      </w: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0439F3D4">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3.办公桌椅1套</w:t>
      </w:r>
    </w:p>
    <w:p w14:paraId="3B01337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59322D3">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标项七</w:t>
      </w:r>
    </w:p>
    <w:p w14:paraId="721CA35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1AC2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CDF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79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D6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520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CC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B9A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9F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20A0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B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10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血液透析机双泵带模块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90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EF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5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11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A1B">
            <w:pPr>
              <w:jc w:val="center"/>
              <w:rPr>
                <w:rFonts w:hint="eastAsia" w:ascii="仿宋" w:hAnsi="仿宋" w:eastAsia="仿宋" w:cs="仿宋"/>
                <w:i w:val="0"/>
                <w:iCs w:val="0"/>
                <w:color w:val="auto"/>
                <w:sz w:val="24"/>
                <w:szCs w:val="24"/>
                <w:highlight w:val="none"/>
                <w:u w:val="none"/>
              </w:rPr>
            </w:pPr>
          </w:p>
        </w:tc>
      </w:tr>
      <w:tr w14:paraId="4260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6F26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7E35DE3E">
      <w:pPr>
        <w:pStyle w:val="17"/>
        <w:rPr>
          <w:rFonts w:hint="eastAsia" w:ascii="仿宋" w:hAnsi="仿宋" w:eastAsia="仿宋" w:cs="仿宋"/>
          <w:b/>
          <w:bCs/>
          <w:color w:val="auto"/>
          <w:sz w:val="24"/>
          <w:szCs w:val="24"/>
          <w:highlight w:val="none"/>
          <w:lang w:val="en-US" w:eastAsia="zh-CN"/>
        </w:rPr>
      </w:pPr>
    </w:p>
    <w:p w14:paraId="57C9D859">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534F133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14A83DA7">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1、血液透析机双泵带模块</w:t>
      </w:r>
    </w:p>
    <w:p w14:paraId="44D2AE2D">
      <w:pPr>
        <w:pStyle w:val="17"/>
        <w:numPr>
          <w:ilvl w:val="0"/>
          <w:numId w:val="0"/>
        </w:numPr>
        <w:ind w:leftChars="0"/>
        <w:rPr>
          <w:rFonts w:hint="default"/>
          <w:color w:val="auto"/>
          <w:sz w:val="24"/>
          <w:szCs w:val="24"/>
          <w:highlight w:val="none"/>
          <w:lang w:val="en-US"/>
        </w:rPr>
      </w:pPr>
    </w:p>
    <w:tbl>
      <w:tblPr>
        <w:tblStyle w:val="27"/>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8348"/>
      </w:tblGrid>
      <w:tr w14:paraId="36C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44" w:type="dxa"/>
            <w:tcBorders>
              <w:top w:val="double" w:color="auto" w:sz="4" w:space="0"/>
              <w:left w:val="double" w:color="auto" w:sz="4" w:space="0"/>
            </w:tcBorders>
            <w:noWrap w:val="0"/>
            <w:vAlign w:val="center"/>
          </w:tcPr>
          <w:p w14:paraId="4C53473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8348" w:type="dxa"/>
            <w:tcBorders>
              <w:top w:val="double" w:color="auto" w:sz="4" w:space="0"/>
            </w:tcBorders>
            <w:noWrap w:val="0"/>
            <w:vAlign w:val="center"/>
          </w:tcPr>
          <w:p w14:paraId="34670C4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招标规格</w:t>
            </w:r>
          </w:p>
        </w:tc>
      </w:tr>
      <w:tr w14:paraId="71E6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575ECEF">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p>
        </w:tc>
        <w:tc>
          <w:tcPr>
            <w:tcW w:w="8348" w:type="dxa"/>
            <w:noWrap w:val="0"/>
            <w:vAlign w:val="center"/>
          </w:tcPr>
          <w:p w14:paraId="2F2A7518">
            <w:pPr>
              <w:keepLines w:val="0"/>
              <w:pageBreakBefore w:val="0"/>
              <w:widowControl/>
              <w:tabs>
                <w:tab w:val="left" w:pos="1056"/>
                <w:tab w:val="left" w:pos="8633"/>
              </w:tabs>
              <w:kinsoku/>
              <w:wordWrap/>
              <w:overflowPunct/>
              <w:topLinePunct w:val="0"/>
              <w:autoSpaceDE/>
              <w:autoSpaceDN/>
              <w:bidi w:val="0"/>
              <w:snapToGrid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设备用途：</w:t>
            </w:r>
          </w:p>
        </w:tc>
      </w:tr>
      <w:tr w14:paraId="672B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1EE5296">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48" w:type="dxa"/>
            <w:noWrap w:val="0"/>
            <w:vAlign w:val="center"/>
          </w:tcPr>
          <w:p w14:paraId="1AD91D3F">
            <w:pPr>
              <w:keepLines w:val="0"/>
              <w:pageBreakBefore w:val="0"/>
              <w:widowControl/>
              <w:tabs>
                <w:tab w:val="left" w:pos="1056"/>
                <w:tab w:val="left" w:pos="8633"/>
              </w:tabs>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用于血液透析</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血液滤过、</w:t>
            </w:r>
            <w:r>
              <w:rPr>
                <w:rFonts w:hint="eastAsia" w:ascii="仿宋" w:hAnsi="仿宋" w:eastAsia="仿宋" w:cs="仿宋"/>
                <w:color w:val="auto"/>
                <w:kern w:val="0"/>
                <w:sz w:val="24"/>
                <w:szCs w:val="24"/>
                <w:highlight w:val="none"/>
              </w:rPr>
              <w:t>血液透析滤过治疗。</w:t>
            </w:r>
          </w:p>
        </w:tc>
      </w:tr>
      <w:tr w14:paraId="610F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60761E53">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p>
        </w:tc>
        <w:tc>
          <w:tcPr>
            <w:tcW w:w="8348" w:type="dxa"/>
            <w:noWrap w:val="0"/>
            <w:vAlign w:val="center"/>
          </w:tcPr>
          <w:p w14:paraId="1BE84F65">
            <w:pPr>
              <w:keepLines w:val="0"/>
              <w:pageBreakBefore w:val="0"/>
              <w:widowControl/>
              <w:tabs>
                <w:tab w:val="left" w:pos="910"/>
                <w:tab w:val="left" w:pos="8230"/>
              </w:tabs>
              <w:kinsoku/>
              <w:wordWrap/>
              <w:overflowPunct/>
              <w:topLinePunct w:val="0"/>
              <w:autoSpaceDE/>
              <w:autoSpaceDN/>
              <w:bidi w:val="0"/>
              <w:snapToGrid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功能及配置：</w:t>
            </w:r>
          </w:p>
        </w:tc>
      </w:tr>
      <w:tr w14:paraId="2DF0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5CFD299F">
            <w:pPr>
              <w:keepLines w:val="0"/>
              <w:pageBreakBefore w:val="0"/>
              <w:kinsoku/>
              <w:wordWrap/>
              <w:overflowPunct/>
              <w:topLinePunct w:val="0"/>
              <w:autoSpaceDE/>
              <w:autoSpaceDN/>
              <w:bidi w:val="0"/>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8348" w:type="dxa"/>
            <w:noWrap w:val="0"/>
            <w:vAlign w:val="center"/>
          </w:tcPr>
          <w:p w14:paraId="734E8692">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具有多种治疗功能：血液透析（HD），血液滤过（HF），血液透析滤过 （on-line HDF），可进行全天24小时的缓慢持续的治疗，可应用于急性肾脏替代治疗</w:t>
            </w:r>
          </w:p>
        </w:tc>
      </w:tr>
      <w:tr w14:paraId="2604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6920D162">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8348" w:type="dxa"/>
            <w:noWrap w:val="0"/>
            <w:vAlign w:val="center"/>
          </w:tcPr>
          <w:p w14:paraId="4D357B2A">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彩色触摸显示屏≥15寸，中文操作界面</w:t>
            </w:r>
          </w:p>
        </w:tc>
      </w:tr>
      <w:tr w14:paraId="0E8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33FB1187">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8348" w:type="dxa"/>
            <w:noWrap w:val="0"/>
            <w:vAlign w:val="center"/>
          </w:tcPr>
          <w:p w14:paraId="50F72614">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机器辅助自动管路安装和拆除</w:t>
            </w:r>
          </w:p>
        </w:tc>
      </w:tr>
      <w:tr w14:paraId="74B2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672C720">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8348" w:type="dxa"/>
            <w:noWrap w:val="0"/>
            <w:vAlign w:val="center"/>
          </w:tcPr>
          <w:p w14:paraId="0CA1BAF9">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具备静脉脱针报警功能，最大失血量≤250ml</w:t>
            </w:r>
          </w:p>
        </w:tc>
      </w:tr>
      <w:tr w14:paraId="52BF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2F9EBBF">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8348" w:type="dxa"/>
            <w:noWrap w:val="0"/>
            <w:vAlign w:val="center"/>
          </w:tcPr>
          <w:p w14:paraId="177E7F51">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配置透析液滤过器，≥11次氯酸钠消毒，。</w:t>
            </w:r>
          </w:p>
        </w:tc>
      </w:tr>
      <w:tr w14:paraId="686D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8A4EF8C">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8348" w:type="dxa"/>
            <w:noWrap w:val="0"/>
            <w:vAlign w:val="center"/>
          </w:tcPr>
          <w:p w14:paraId="2385EF0E">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配置B干粉装置</w:t>
            </w:r>
          </w:p>
        </w:tc>
      </w:tr>
      <w:tr w14:paraId="6948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BB0A40E">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8348" w:type="dxa"/>
            <w:noWrap w:val="0"/>
            <w:vAlign w:val="center"/>
          </w:tcPr>
          <w:p w14:paraId="19F71C67">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配置血压监测仪，可显示血压图表趋势，自动或预先设定测量间隔5-15-30-60分钟以及快速测量，可测量收缩压，舒张压，平均动脉压和脉搏。</w:t>
            </w:r>
          </w:p>
        </w:tc>
      </w:tr>
      <w:tr w14:paraId="48E8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37F9AF1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8348" w:type="dxa"/>
            <w:noWrap w:val="0"/>
            <w:vAlign w:val="center"/>
          </w:tcPr>
          <w:p w14:paraId="5389D8F8">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配置联机清除率监测装置：可实时持续监测体内尿素清除率（K），透析剂量（Kt/V）,血浆钠浓度</w:t>
            </w:r>
          </w:p>
        </w:tc>
      </w:tr>
      <w:tr w14:paraId="5CE9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23BEFBBA">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8348" w:type="dxa"/>
            <w:noWrap w:val="0"/>
            <w:vAlign w:val="center"/>
          </w:tcPr>
          <w:p w14:paraId="34D49889">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具备一键式紧急操作按键功能，能够自动终止超滤，自动进行血压监测，自动追加补液，自动降低有效血流量至100ml/min。</w:t>
            </w:r>
          </w:p>
        </w:tc>
      </w:tr>
      <w:tr w14:paraId="2B4C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80AAA3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p>
        </w:tc>
        <w:tc>
          <w:tcPr>
            <w:tcW w:w="8348" w:type="dxa"/>
            <w:noWrap w:val="0"/>
            <w:vAlign w:val="center"/>
          </w:tcPr>
          <w:p w14:paraId="5268DF0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透析液控制</w:t>
            </w:r>
          </w:p>
        </w:tc>
      </w:tr>
      <w:tr w14:paraId="5BD1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583C930E">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8348" w:type="dxa"/>
            <w:noWrap w:val="0"/>
            <w:vAlign w:val="center"/>
          </w:tcPr>
          <w:p w14:paraId="18A09AA8">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采用密闭式平衡腔超滤控制系统，双容量平衡腔控制, 在治疗中定期进行系统密闭自检</w:t>
            </w:r>
          </w:p>
        </w:tc>
      </w:tr>
      <w:tr w14:paraId="2E97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701E3D2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8348" w:type="dxa"/>
            <w:noWrap w:val="0"/>
            <w:vAlign w:val="center"/>
          </w:tcPr>
          <w:p w14:paraId="1F762951">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超滤率0～4000mL/h可调</w:t>
            </w:r>
          </w:p>
        </w:tc>
      </w:tr>
      <w:tr w14:paraId="6FE4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66CFC03">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8348" w:type="dxa"/>
            <w:noWrap w:val="0"/>
            <w:vAlign w:val="center"/>
          </w:tcPr>
          <w:p w14:paraId="4ABD7386">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透析液自动加热34.0ºC~39.0ºC可调。</w:t>
            </w:r>
          </w:p>
        </w:tc>
      </w:tr>
      <w:tr w14:paraId="2411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44" w:type="dxa"/>
            <w:tcBorders>
              <w:left w:val="double" w:color="auto" w:sz="4" w:space="0"/>
            </w:tcBorders>
            <w:noWrap w:val="0"/>
            <w:vAlign w:val="center"/>
          </w:tcPr>
          <w:p w14:paraId="407411F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8348" w:type="dxa"/>
            <w:noWrap w:val="0"/>
            <w:vAlign w:val="center"/>
          </w:tcPr>
          <w:p w14:paraId="5CC8EB21">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透析液流量：0-1000ml/min可调，透析液流量自动适应有效血流量</w:t>
            </w:r>
          </w:p>
        </w:tc>
      </w:tr>
      <w:tr w14:paraId="7114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2184A427">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8348" w:type="dxa"/>
            <w:noWrap w:val="0"/>
            <w:vAlign w:val="center"/>
          </w:tcPr>
          <w:p w14:paraId="71C8C01F">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透析液浓度（电导率）：显示范围13.0 -15.5mS/cm，精度：0.1mS/cm</w:t>
            </w:r>
          </w:p>
        </w:tc>
      </w:tr>
      <w:tr w14:paraId="59B2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DD1DA12">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8348" w:type="dxa"/>
            <w:noWrap w:val="0"/>
            <w:vAlign w:val="center"/>
          </w:tcPr>
          <w:p w14:paraId="14988017">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水与各浓缩液的比例可在面板调节，兼容多种透析液配方。</w:t>
            </w:r>
          </w:p>
        </w:tc>
      </w:tr>
      <w:tr w14:paraId="7388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38146CFA">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8348" w:type="dxa"/>
            <w:noWrap w:val="0"/>
            <w:vAlign w:val="center"/>
          </w:tcPr>
          <w:p w14:paraId="4B850E3C">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满足三种透析液供给方式：小桶浓缩液供给；中央浓缩液供给；联机浓缩干粉自动配液系统。</w:t>
            </w:r>
          </w:p>
        </w:tc>
      </w:tr>
      <w:tr w14:paraId="7813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57F97C1">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p>
        </w:tc>
        <w:tc>
          <w:tcPr>
            <w:tcW w:w="8348" w:type="dxa"/>
            <w:noWrap w:val="0"/>
            <w:vAlign w:val="center"/>
          </w:tcPr>
          <w:p w14:paraId="1881EDF0">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置换液控制</w:t>
            </w:r>
          </w:p>
        </w:tc>
      </w:tr>
      <w:tr w14:paraId="256D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5204CD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8348" w:type="dxa"/>
            <w:noWrap w:val="0"/>
            <w:vAlign w:val="center"/>
          </w:tcPr>
          <w:p w14:paraId="327D569A">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置换液流量：25-600ml/min, 精确度 ±10%,置换液与有效血流量自动匹配, HDF时机器可通过监测分析血泵压力脉冲及TMP监测判断凝血趋势，自动计算并设定置换液速率以匹配血流速。</w:t>
            </w:r>
          </w:p>
        </w:tc>
      </w:tr>
      <w:tr w14:paraId="78FF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5080DC3C">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p>
        </w:tc>
        <w:tc>
          <w:tcPr>
            <w:tcW w:w="8348" w:type="dxa"/>
            <w:noWrap w:val="0"/>
            <w:vAlign w:val="center"/>
          </w:tcPr>
          <w:p w14:paraId="2A364019">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清洗/消毒</w:t>
            </w:r>
          </w:p>
        </w:tc>
      </w:tr>
      <w:tr w14:paraId="47CB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7595B463">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8348" w:type="dxa"/>
            <w:noWrap w:val="0"/>
            <w:vAlign w:val="center"/>
          </w:tcPr>
          <w:p w14:paraId="3B70AA36">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自动设置多种消毒和清洗模式，具有化学消毒及加热消毒功能；热消毒温度85至93度。</w:t>
            </w:r>
          </w:p>
        </w:tc>
      </w:tr>
      <w:tr w14:paraId="547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2292F947">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8348" w:type="dxa"/>
            <w:noWrap w:val="0"/>
            <w:vAlign w:val="center"/>
          </w:tcPr>
          <w:p w14:paraId="5AEFD1E7">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消毒＋脱钙一键完成，≤40分钟。</w:t>
            </w:r>
          </w:p>
        </w:tc>
      </w:tr>
      <w:tr w14:paraId="263B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0F56B2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w:t>
            </w:r>
          </w:p>
        </w:tc>
        <w:tc>
          <w:tcPr>
            <w:tcW w:w="8348" w:type="dxa"/>
            <w:noWrap w:val="0"/>
            <w:vAlign w:val="center"/>
          </w:tcPr>
          <w:p w14:paraId="3C65CEC3">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透析液吸管（A\B管）自动消毒。</w:t>
            </w:r>
          </w:p>
        </w:tc>
      </w:tr>
      <w:tr w14:paraId="7C79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9F0308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w:t>
            </w:r>
          </w:p>
        </w:tc>
        <w:tc>
          <w:tcPr>
            <w:tcW w:w="8348" w:type="dxa"/>
            <w:noWrap w:val="0"/>
            <w:vAlign w:val="center"/>
          </w:tcPr>
          <w:p w14:paraId="203BB242">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后备电源配置</w:t>
            </w:r>
          </w:p>
        </w:tc>
      </w:tr>
      <w:tr w14:paraId="45D9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7B92D80E">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p>
        </w:tc>
        <w:tc>
          <w:tcPr>
            <w:tcW w:w="8348" w:type="dxa"/>
            <w:noWrap w:val="0"/>
            <w:vAlign w:val="center"/>
          </w:tcPr>
          <w:p w14:paraId="212505C5">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内置的后备电源可支持整机维持体外循环≥15分钟。</w:t>
            </w:r>
          </w:p>
        </w:tc>
      </w:tr>
      <w:tr w14:paraId="1C5A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113B81E">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w:t>
            </w:r>
          </w:p>
        </w:tc>
        <w:tc>
          <w:tcPr>
            <w:tcW w:w="8348" w:type="dxa"/>
            <w:noWrap w:val="0"/>
            <w:vAlign w:val="center"/>
          </w:tcPr>
          <w:p w14:paraId="7089959E">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所有监测功能正常运作，治疗数据不丢失。</w:t>
            </w:r>
          </w:p>
        </w:tc>
      </w:tr>
      <w:tr w14:paraId="2CCC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58EA5A3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w:t>
            </w:r>
          </w:p>
        </w:tc>
        <w:tc>
          <w:tcPr>
            <w:tcW w:w="8348" w:type="dxa"/>
            <w:noWrap w:val="0"/>
            <w:vAlign w:val="center"/>
          </w:tcPr>
          <w:p w14:paraId="4BB33FB4">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体外循环通路及安全监测</w:t>
            </w:r>
          </w:p>
        </w:tc>
      </w:tr>
      <w:tr w14:paraId="2A3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162C37A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8348" w:type="dxa"/>
            <w:noWrap w:val="0"/>
            <w:vAlign w:val="center"/>
          </w:tcPr>
          <w:p w14:paraId="3AE2F4FC">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漏血监测：采用超声波和光学侦测。灵敏度≤0.5ml血流/min(Hct=25%)，流速100ml/min-1000ml/min</w:t>
            </w:r>
          </w:p>
        </w:tc>
      </w:tr>
      <w:tr w14:paraId="381C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3BC23A1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p>
        </w:tc>
        <w:tc>
          <w:tcPr>
            <w:tcW w:w="8348" w:type="dxa"/>
            <w:noWrap w:val="0"/>
            <w:vAlign w:val="center"/>
          </w:tcPr>
          <w:p w14:paraId="6038EF88">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动脉压监测</w:t>
            </w:r>
          </w:p>
          <w:p w14:paraId="78BCF75F">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显示范围 -300mmHg～+300mmHg；精确度±7mmHg；分辨率：5mmHg</w:t>
            </w:r>
          </w:p>
        </w:tc>
      </w:tr>
      <w:tr w14:paraId="3722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07412EAD">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w:t>
            </w:r>
          </w:p>
        </w:tc>
        <w:tc>
          <w:tcPr>
            <w:tcW w:w="8348" w:type="dxa"/>
            <w:noWrap w:val="0"/>
            <w:vAlign w:val="center"/>
          </w:tcPr>
          <w:p w14:paraId="6C39A661">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静脉压监测</w:t>
            </w:r>
          </w:p>
          <w:p w14:paraId="1A217B68">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显示范围 -100mmHg～+500mmHg；精确度±7mmHg；分辨率：5mmHg</w:t>
            </w:r>
          </w:p>
        </w:tc>
      </w:tr>
      <w:tr w14:paraId="78BE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74774A4C">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w:t>
            </w:r>
          </w:p>
        </w:tc>
        <w:tc>
          <w:tcPr>
            <w:tcW w:w="8348" w:type="dxa"/>
            <w:noWrap w:val="0"/>
            <w:vAlign w:val="center"/>
          </w:tcPr>
          <w:p w14:paraId="56368439">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跨膜压监测：</w:t>
            </w:r>
          </w:p>
          <w:p w14:paraId="03DBAB2E">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显示范围 -100mmHg～+400mmHg；分辨率：5mmHg</w:t>
            </w:r>
          </w:p>
        </w:tc>
      </w:tr>
      <w:tr w14:paraId="0AE9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2C277F1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8348" w:type="dxa"/>
            <w:noWrap w:val="0"/>
            <w:vAlign w:val="center"/>
          </w:tcPr>
          <w:p w14:paraId="1F3EEE5F">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动脉血泵</w:t>
            </w:r>
          </w:p>
          <w:p w14:paraId="6DC6A240">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血流量范围 30～600ml/min；精确度 ±10%</w:t>
            </w:r>
          </w:p>
        </w:tc>
      </w:tr>
      <w:tr w14:paraId="087E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04281120">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w:t>
            </w:r>
          </w:p>
        </w:tc>
        <w:tc>
          <w:tcPr>
            <w:tcW w:w="8348" w:type="dxa"/>
            <w:noWrap w:val="0"/>
            <w:vAlign w:val="center"/>
          </w:tcPr>
          <w:p w14:paraId="5CB0388B">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空气监测器：对于血液管路的超声波传导测量、附加液面水平和光学监测器</w:t>
            </w:r>
          </w:p>
        </w:tc>
      </w:tr>
      <w:tr w14:paraId="66E3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566BCB1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w:t>
            </w:r>
          </w:p>
        </w:tc>
        <w:tc>
          <w:tcPr>
            <w:tcW w:w="8348" w:type="dxa"/>
            <w:noWrap w:val="0"/>
            <w:vAlign w:val="center"/>
          </w:tcPr>
          <w:p w14:paraId="297BA427">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肝素泵：可编定停止时间，读取累计肝素容量。</w:t>
            </w:r>
          </w:p>
          <w:p w14:paraId="7B7B67CB">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流速 0～10ml/h；单次追加剂量0.1～5ml，注射器尺寸 20ml，30ml等</w:t>
            </w:r>
          </w:p>
        </w:tc>
      </w:tr>
      <w:tr w14:paraId="5C45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left w:val="double" w:color="auto" w:sz="4" w:space="0"/>
            </w:tcBorders>
            <w:noWrap w:val="0"/>
            <w:vAlign w:val="center"/>
          </w:tcPr>
          <w:p w14:paraId="4B854FB1">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w:t>
            </w:r>
          </w:p>
        </w:tc>
        <w:tc>
          <w:tcPr>
            <w:tcW w:w="8348" w:type="dxa"/>
            <w:noWrap w:val="0"/>
            <w:vAlign w:val="center"/>
          </w:tcPr>
          <w:p w14:paraId="704D0955">
            <w:pPr>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具备血容量、血压、在线清除率、血温监测功能。</w:t>
            </w:r>
          </w:p>
        </w:tc>
      </w:tr>
    </w:tbl>
    <w:p w14:paraId="497EB445">
      <w:pPr>
        <w:keepLines w:val="0"/>
        <w:pageBreakBefore w:val="0"/>
        <w:kinsoku/>
        <w:wordWrap/>
        <w:overflowPunct/>
        <w:topLinePunct w:val="0"/>
        <w:autoSpaceDE/>
        <w:autoSpaceDN/>
        <w:bidi w:val="0"/>
        <w:adjustRightInd w:val="0"/>
        <w:spacing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8.售后服务：质保期5年。</w:t>
      </w:r>
    </w:p>
    <w:p w14:paraId="249B554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9.配套设备</w:t>
      </w:r>
    </w:p>
    <w:p w14:paraId="1C201D0F">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9.1黑白激光双面打印复印机 1台。</w:t>
      </w:r>
    </w:p>
    <w:p w14:paraId="4219EFF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9.2品牌台式计算机 1台，配置要求：</w:t>
      </w:r>
    </w:p>
    <w:p w14:paraId="0D5C105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517D278A">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9.3办公桌椅1套</w:t>
      </w:r>
    </w:p>
    <w:p w14:paraId="381F266B">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C326395">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标项八</w:t>
      </w:r>
    </w:p>
    <w:p w14:paraId="008CD38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2196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D9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9E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A4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DE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33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69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6F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0F9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0B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0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电脑恒温电蜡疗仪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5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28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4D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5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0D2">
            <w:pPr>
              <w:jc w:val="center"/>
              <w:rPr>
                <w:rFonts w:hint="eastAsia" w:ascii="仿宋" w:hAnsi="仿宋" w:eastAsia="仿宋" w:cs="仿宋"/>
                <w:i w:val="0"/>
                <w:iCs w:val="0"/>
                <w:color w:val="auto"/>
                <w:sz w:val="24"/>
                <w:szCs w:val="24"/>
                <w:highlight w:val="none"/>
                <w:u w:val="none"/>
              </w:rPr>
            </w:pPr>
          </w:p>
        </w:tc>
      </w:tr>
      <w:tr w14:paraId="4B3D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BE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2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微波治疗仪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A85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4台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21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C7F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9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B76">
            <w:pPr>
              <w:jc w:val="center"/>
              <w:rPr>
                <w:rFonts w:hint="eastAsia" w:ascii="仿宋" w:hAnsi="仿宋" w:eastAsia="仿宋" w:cs="仿宋"/>
                <w:i w:val="0"/>
                <w:iCs w:val="0"/>
                <w:color w:val="auto"/>
                <w:sz w:val="24"/>
                <w:szCs w:val="24"/>
                <w:highlight w:val="none"/>
                <w:u w:val="none"/>
              </w:rPr>
            </w:pPr>
          </w:p>
        </w:tc>
      </w:tr>
      <w:tr w14:paraId="7821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AC5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59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超短波治疗仪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77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76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ABF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6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7C75">
            <w:pPr>
              <w:jc w:val="center"/>
              <w:rPr>
                <w:rFonts w:hint="eastAsia" w:ascii="仿宋" w:hAnsi="仿宋" w:eastAsia="仿宋" w:cs="仿宋"/>
                <w:i w:val="0"/>
                <w:iCs w:val="0"/>
                <w:color w:val="auto"/>
                <w:sz w:val="24"/>
                <w:szCs w:val="24"/>
                <w:highlight w:val="none"/>
                <w:u w:val="none"/>
              </w:rPr>
            </w:pPr>
          </w:p>
        </w:tc>
      </w:tr>
      <w:tr w14:paraId="7B28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15A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A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颈腰椎治疗多功能牵引床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DCC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4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50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6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1FE">
            <w:pPr>
              <w:jc w:val="center"/>
              <w:rPr>
                <w:rFonts w:hint="eastAsia" w:ascii="仿宋" w:hAnsi="仿宋" w:eastAsia="仿宋" w:cs="仿宋"/>
                <w:i w:val="0"/>
                <w:iCs w:val="0"/>
                <w:color w:val="auto"/>
                <w:sz w:val="24"/>
                <w:szCs w:val="24"/>
                <w:highlight w:val="none"/>
                <w:u w:val="none"/>
              </w:rPr>
            </w:pPr>
          </w:p>
        </w:tc>
      </w:tr>
      <w:tr w14:paraId="4A17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1AD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25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红光治疗仪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2A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4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26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D07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EC81">
            <w:pPr>
              <w:jc w:val="center"/>
              <w:rPr>
                <w:rFonts w:hint="eastAsia" w:ascii="仿宋" w:hAnsi="仿宋" w:eastAsia="仿宋" w:cs="仿宋"/>
                <w:i w:val="0"/>
                <w:iCs w:val="0"/>
                <w:color w:val="auto"/>
                <w:sz w:val="24"/>
                <w:szCs w:val="24"/>
                <w:highlight w:val="none"/>
                <w:u w:val="none"/>
              </w:rPr>
            </w:pPr>
          </w:p>
        </w:tc>
      </w:tr>
      <w:tr w14:paraId="2A71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B49E2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18BBCEF9">
      <w:pPr>
        <w:pStyle w:val="17"/>
        <w:rPr>
          <w:rFonts w:hint="eastAsia" w:ascii="仿宋" w:hAnsi="仿宋" w:eastAsia="仿宋" w:cs="仿宋"/>
          <w:b/>
          <w:bCs/>
          <w:color w:val="auto"/>
          <w:sz w:val="24"/>
          <w:szCs w:val="24"/>
          <w:highlight w:val="none"/>
          <w:lang w:val="en-US" w:eastAsia="zh-CN"/>
        </w:rPr>
      </w:pPr>
    </w:p>
    <w:p w14:paraId="122D67B1">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242F583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53F32F20">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1、电脑恒温电蜡疗仪</w:t>
      </w:r>
    </w:p>
    <w:p w14:paraId="256F7B00">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C89D167">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1.蜡饼数：≥12层，蜡饼≥18块。</w:t>
      </w:r>
    </w:p>
    <w:p w14:paraId="223CF549">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2.功率：2700VA±10%。</w:t>
      </w:r>
    </w:p>
    <w:p w14:paraId="79D35FE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3、温度设定范围：浸蜡温度1～57℃可调，熔蜡温度58～99℃可调。</w:t>
      </w:r>
    </w:p>
    <w:p w14:paraId="1A4DA7EA">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4.恒温箱(制饼箱)温度范围：46～80℃可调。</w:t>
      </w:r>
    </w:p>
    <w:p w14:paraId="12D0EC1A">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5.外形尺寸(长宽高):1320×700×1150mm,允差±10%。</w:t>
      </w:r>
    </w:p>
    <w:p w14:paraId="62E9CDD6">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6.具有双重软件温度保护功能，并有声音提示，配备独立的硬件温度保护装置。</w:t>
      </w:r>
    </w:p>
    <w:p w14:paraId="771EE33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▲7、熔蜡箱≥140L,。</w:t>
      </w:r>
    </w:p>
    <w:p w14:paraId="6182F990">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8.出蜡系统：≥3组独立出蜡系统。</w:t>
      </w:r>
    </w:p>
    <w:p w14:paraId="505906B3">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9.制饼时间：≤2小时。</w:t>
      </w:r>
    </w:p>
    <w:p w14:paraId="3558A913">
      <w:pPr>
        <w:pStyle w:val="10"/>
        <w:keepLines w:val="0"/>
        <w:pageBreakBefore w:val="0"/>
        <w:numPr>
          <w:ilvl w:val="0"/>
          <w:numId w:val="4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10、断电记忆：恒温功能、制饼时化蜡状态可记忆。</w:t>
      </w:r>
    </w:p>
    <w:p w14:paraId="43D16C4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11、制蜡工作程序：自动、手动。</w:t>
      </w:r>
    </w:p>
    <w:p w14:paraId="4D76EA7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12.自动工作程序：根据外界温度，自动选择外界温度较高模式和外界温度较低模式。</w:t>
      </w:r>
    </w:p>
    <w:p w14:paraId="2C2F5BC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手动工作程序：可自行选择外界温度。</w:t>
      </w:r>
    </w:p>
    <w:p w14:paraId="57282DEA">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一键自动完成制饼恒温储存。</w:t>
      </w:r>
    </w:p>
    <w:p w14:paraId="0309974D">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13、设备自带操作平台。</w:t>
      </w:r>
    </w:p>
    <w:p w14:paraId="7C077BAA">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蜡液过滤装置：无水化蜡，双重侧滤，过滤密度50目。</w:t>
      </w:r>
    </w:p>
    <w:p w14:paraId="0A228E7A">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.饼厚度：≥3级可调。</w:t>
      </w:r>
    </w:p>
    <w:p w14:paraId="5F7FBB4C">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.制蜡工作模式：正常制蜡、预约制蜡、快速制蜡等。</w:t>
      </w:r>
    </w:p>
    <w:p w14:paraId="32B882E4">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.具有双重自动消毒模式(紫外线+高温)。</w:t>
      </w:r>
    </w:p>
    <w:p w14:paraId="08B1202E">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≥8英寸液晶触摸屏，支持一键锁屏，具有语音播报功能。</w:t>
      </w:r>
    </w:p>
    <w:p w14:paraId="2B90FE08">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.恒温箱内设有照明，并设有观察窗(高650mm×宽200mm),。</w:t>
      </w:r>
    </w:p>
    <w:p w14:paraId="3146FBB2">
      <w:pPr>
        <w:pStyle w:val="10"/>
        <w:keepLines w:val="0"/>
        <w:pageBreakBefore w:val="0"/>
        <w:numPr>
          <w:ilvl w:val="0"/>
          <w:numId w:val="4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、提示功能：故障自检报警功能，并附有错误代码提示具有一键恢复出厂设置具备防堵设计。</w:t>
      </w:r>
    </w:p>
    <w:p w14:paraId="6FE4C91E">
      <w:pPr>
        <w:pStyle w:val="10"/>
        <w:keepLines w:val="0"/>
        <w:pageBreakBefore w:val="0"/>
        <w:numPr>
          <w:ilvl w:val="0"/>
          <w:numId w:val="4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22、蜡盘尺寸(长宽高):470×390×21mm,允差±5%。可制作多尺寸蜡饼</w:t>
      </w:r>
    </w:p>
    <w:p w14:paraId="4B6C3DDC">
      <w:pPr>
        <w:pStyle w:val="10"/>
        <w:keepLines w:val="0"/>
        <w:pageBreakBefore w:val="0"/>
        <w:numPr>
          <w:ilvl w:val="0"/>
          <w:numId w:val="4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23、具有薄膜切割功能。</w:t>
      </w:r>
    </w:p>
    <w:p w14:paraId="258462E9">
      <w:pPr>
        <w:pStyle w:val="10"/>
        <w:keepLines w:val="0"/>
        <w:pageBreakBefore w:val="0"/>
        <w:numPr>
          <w:ilvl w:val="0"/>
          <w:numId w:val="4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24.设计使用年限≥8年</w:t>
      </w:r>
    </w:p>
    <w:p w14:paraId="3D680971">
      <w:pPr>
        <w:pStyle w:val="10"/>
        <w:keepLines w:val="0"/>
        <w:pageBreakBefore w:val="0"/>
        <w:numPr>
          <w:ilvl w:val="0"/>
          <w:numId w:val="4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25.售后服务：质保期5年。</w:t>
      </w:r>
    </w:p>
    <w:p w14:paraId="04FA24B9">
      <w:pPr>
        <w:pStyle w:val="10"/>
        <w:spacing w:before="0" w:after="0" w:line="360" w:lineRule="auto"/>
        <w:ind w:left="480" w:firstLine="0" w:firstLineChars="0"/>
        <w:rPr>
          <w:rFonts w:hint="eastAsia" w:ascii="仿宋" w:hAnsi="仿宋" w:eastAsia="仿宋" w:cs="仿宋"/>
          <w:b/>
          <w:bCs/>
          <w:color w:val="auto"/>
          <w:kern w:val="44"/>
          <w:sz w:val="24"/>
          <w:szCs w:val="24"/>
          <w:highlight w:val="none"/>
        </w:rPr>
      </w:pPr>
      <w:r>
        <w:rPr>
          <w:rFonts w:hint="eastAsia" w:ascii="仿宋" w:hAnsi="仿宋" w:eastAsia="仿宋" w:cs="仿宋"/>
          <w:color w:val="auto"/>
          <w:sz w:val="24"/>
          <w:szCs w:val="24"/>
          <w:highlight w:val="none"/>
        </w:rPr>
        <w:t>26.有医疗器械注册证</w:t>
      </w:r>
    </w:p>
    <w:p w14:paraId="30E556BD">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9892DA5">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7DB53CAB">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2、微波治疗仪</w:t>
      </w:r>
    </w:p>
    <w:p w14:paraId="33D2446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65EADE4E">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辐</w:t>
      </w:r>
      <w:r>
        <w:rPr>
          <w:rFonts w:hint="eastAsia" w:ascii="仿宋" w:hAnsi="仿宋" w:eastAsia="仿宋" w:cs="仿宋"/>
          <w:color w:val="auto"/>
          <w:sz w:val="24"/>
          <w:szCs w:val="24"/>
          <w:highlight w:val="none"/>
        </w:rPr>
        <w:t>射器规格：Φ170mm，允差±15%。</w:t>
      </w:r>
    </w:p>
    <w:p w14:paraId="380AB00B">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辐射面积</w:t>
      </w:r>
      <w:r>
        <w:rPr>
          <w:rFonts w:hint="eastAsia" w:ascii="仿宋" w:hAnsi="仿宋" w:eastAsia="仿宋" w:cs="仿宋"/>
          <w:color w:val="auto"/>
          <w:sz w:val="24"/>
          <w:szCs w:val="24"/>
          <w:highlight w:val="none"/>
        </w:rPr>
        <w:t>≥225cm²。</w:t>
      </w:r>
    </w:p>
    <w:p w14:paraId="1DDCC801">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配可旋转支臂,可多角度调节。</w:t>
      </w:r>
    </w:p>
    <w:p w14:paraId="45A17B06">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治疗时间：0～30min，连续可调。</w:t>
      </w:r>
    </w:p>
    <w:p w14:paraId="3003EAB7">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输出方式：连续式和脉冲式。</w:t>
      </w:r>
    </w:p>
    <w:p w14:paraId="503E463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6、触控操作平台。</w:t>
      </w:r>
    </w:p>
    <w:p w14:paraId="584855D6">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推车式设计。</w:t>
      </w:r>
    </w:p>
    <w:p w14:paraId="654948A3">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工作频率：2450MHz±50MHz</w:t>
      </w:r>
    </w:p>
    <w:p w14:paraId="0741B2E1">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输出功率： 0~150W连续可调</w:t>
      </w:r>
      <w:r>
        <w:rPr>
          <w:rFonts w:hint="eastAsia" w:ascii="仿宋" w:hAnsi="仿宋" w:eastAsia="仿宋" w:cs="仿宋"/>
          <w:color w:val="auto"/>
          <w:sz w:val="24"/>
          <w:szCs w:val="24"/>
          <w:highlight w:val="none"/>
        </w:rPr>
        <w:t>。</w:t>
      </w:r>
    </w:p>
    <w:p w14:paraId="6BF99BB3">
      <w:pPr>
        <w:pStyle w:val="10"/>
        <w:keepLines w:val="0"/>
        <w:pageBreakBefore w:val="0"/>
        <w:numPr>
          <w:ilvl w:val="0"/>
          <w:numId w:val="4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采用磁控管控制。</w:t>
      </w:r>
    </w:p>
    <w:p w14:paraId="5836EF5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11、辐射器具有实时输出提示功能。</w:t>
      </w:r>
    </w:p>
    <w:p w14:paraId="04F0EB5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▲12、辐射器驻波比≤2。</w:t>
      </w:r>
    </w:p>
    <w:p w14:paraId="48DFFB7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13、外壳泄漏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0.5 mW/</w:t>
      </w:r>
      <w:r>
        <w:rPr>
          <w:rFonts w:hint="eastAsia" w:ascii="仿宋" w:hAnsi="仿宋" w:eastAsia="仿宋" w:cs="仿宋"/>
          <w:color w:val="auto"/>
          <w:sz w:val="24"/>
          <w:szCs w:val="24"/>
          <w:highlight w:val="none"/>
        </w:rPr>
        <w:t>cm²。</w:t>
      </w:r>
    </w:p>
    <w:p w14:paraId="35F44D4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14、非期望辐射: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4 mW/</w:t>
      </w:r>
      <w:r>
        <w:rPr>
          <w:rFonts w:hint="eastAsia" w:ascii="仿宋" w:hAnsi="仿宋" w:eastAsia="仿宋" w:cs="仿宋"/>
          <w:color w:val="auto"/>
          <w:sz w:val="24"/>
          <w:szCs w:val="24"/>
          <w:highlight w:val="none"/>
        </w:rPr>
        <w:t>cm²。</w:t>
      </w:r>
    </w:p>
    <w:p w14:paraId="5687A835">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治疗功率可自动锁定</w:t>
      </w:r>
      <w:r>
        <w:rPr>
          <w:rFonts w:hint="eastAsia" w:ascii="仿宋" w:hAnsi="仿宋" w:eastAsia="仿宋" w:cs="仿宋"/>
          <w:color w:val="auto"/>
          <w:sz w:val="24"/>
          <w:szCs w:val="24"/>
          <w:highlight w:val="none"/>
        </w:rPr>
        <w:t>。</w:t>
      </w:r>
    </w:p>
    <w:p w14:paraId="2F0C1774">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具有预热功能。</w:t>
      </w:r>
    </w:p>
    <w:p w14:paraId="28201E33">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具有超温报警功能、空载保护功能、过压、过流、闭锁等保护功能。</w:t>
      </w:r>
    </w:p>
    <w:p w14:paraId="6A628099">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符合GB 9706.1-2020、GB 9706.206-2020的要求。</w:t>
      </w:r>
    </w:p>
    <w:p w14:paraId="735CDF2B">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附件符合YY0899-2020的要求。</w:t>
      </w:r>
    </w:p>
    <w:p w14:paraId="64C7987D">
      <w:pPr>
        <w:pStyle w:val="10"/>
        <w:keepLines w:val="0"/>
        <w:pageBreakBefore w:val="0"/>
        <w:numPr>
          <w:ilvl w:val="0"/>
          <w:numId w:val="4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4AE520E5">
      <w:pPr>
        <w:pStyle w:val="10"/>
        <w:keepLines w:val="0"/>
        <w:pageBreakBefore w:val="0"/>
        <w:numPr>
          <w:ilvl w:val="0"/>
          <w:numId w:val="4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售后服务：质保期5年。</w:t>
      </w:r>
    </w:p>
    <w:p w14:paraId="6D0BF51D">
      <w:pPr>
        <w:pStyle w:val="10"/>
        <w:keepLines w:val="0"/>
        <w:pageBreakBefore w:val="0"/>
        <w:numPr>
          <w:ilvl w:val="0"/>
          <w:numId w:val="4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具有医疗器械注册证</w:t>
      </w:r>
    </w:p>
    <w:p w14:paraId="232CBD4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适应范围</w:t>
      </w:r>
    </w:p>
    <w:p w14:paraId="3DC6BD6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适用于软组织、骨关节和神经系统疾病引发的炎症、疼痛、肿胀的治疗。</w:t>
      </w:r>
    </w:p>
    <w:p w14:paraId="08E19C5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DA5C101">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7CE908B8">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3、超短波治疗仪</w:t>
      </w:r>
    </w:p>
    <w:p w14:paraId="77D2D2C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4AD722D7">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操作显示：数码显示。</w:t>
      </w:r>
    </w:p>
    <w:p w14:paraId="113A436C">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便携台式机。</w:t>
      </w:r>
    </w:p>
    <w:p w14:paraId="1FC54086">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规格尺寸：455×360×235mm,允差±15%。</w:t>
      </w:r>
    </w:p>
    <w:p w14:paraId="48CDA3C5">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工作频率：27.12MHz,允差±1.5%。</w:t>
      </w:r>
    </w:p>
    <w:p w14:paraId="61E366FD">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输出功率：20W、30W、40W、50W多档可调。</w:t>
      </w:r>
    </w:p>
    <w:p w14:paraId="02F773E4">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输出稳定性：连续工作30min,输出功率变化≤±10%。</w:t>
      </w:r>
    </w:p>
    <w:p w14:paraId="32AC3223">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治疗时间：10min、15min、20min、25min、30min多档可调，预热时间≤120s。</w:t>
      </w:r>
    </w:p>
    <w:p w14:paraId="1F91F015">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具备指示输出强度。</w:t>
      </w:r>
    </w:p>
    <w:p w14:paraId="114F50F7">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治疗结束后输出保护功能：有声音提示并断开输出。</w:t>
      </w:r>
    </w:p>
    <w:p w14:paraId="39D0ABF1">
      <w:pPr>
        <w:pStyle w:val="10"/>
        <w:keepLines w:val="0"/>
        <w:pageBreakBefore w:val="0"/>
        <w:numPr>
          <w:ilvl w:val="0"/>
          <w:numId w:val="4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具有手动调谐功能。</w:t>
      </w:r>
    </w:p>
    <w:p w14:paraId="1F18C3E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11、配备4个电子管。</w:t>
      </w:r>
    </w:p>
    <w:p w14:paraId="715702C7">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符合GB 9706.1-2020、GB9706.203-2020的要求。</w:t>
      </w:r>
    </w:p>
    <w:p w14:paraId="3CF066F1">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设计使用年限≥8年</w:t>
      </w:r>
    </w:p>
    <w:p w14:paraId="2337D10E">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售后服务：质保期5年。</w:t>
      </w:r>
    </w:p>
    <w:p w14:paraId="76CD5837">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.具有医疗器械注册证</w:t>
      </w:r>
    </w:p>
    <w:p w14:paraId="22AC8347">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07C7663">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0760D2F9">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4、颈腰椎治疗多功能牵引床</w:t>
      </w:r>
    </w:p>
    <w:p w14:paraId="1F6564E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1D1D4BB4">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额定输入功率：120VA。</w:t>
      </w:r>
    </w:p>
    <w:p w14:paraId="5A1D1A3D">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腰椎牵引行程：0～300mm,。</w:t>
      </w:r>
    </w:p>
    <w:p w14:paraId="6C8F8F86">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主动牵引行程：0～200mm,。</w:t>
      </w:r>
    </w:p>
    <w:p w14:paraId="7C66E345">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对抗加力牵引行程：0～100mm。</w:t>
      </w:r>
    </w:p>
    <w:p w14:paraId="3EDB0E41">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腰椎牵引力：0～990N可调。</w:t>
      </w:r>
    </w:p>
    <w:p w14:paraId="74733DC2">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牵引总时间：0～99min,。</w:t>
      </w:r>
    </w:p>
    <w:p w14:paraId="23AC32C4">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牵引时间：0～9min,。</w:t>
      </w:r>
    </w:p>
    <w:p w14:paraId="63E55486">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间歇时间：0～9min。</w:t>
      </w:r>
    </w:p>
    <w:p w14:paraId="5406A87F">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颈椎牵引力：0～300N可调。</w:t>
      </w:r>
    </w:p>
    <w:p w14:paraId="5F7D0855">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颈椎牵引行程：0～300mm。</w:t>
      </w:r>
    </w:p>
    <w:p w14:paraId="28D4F158">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成角动作范围：-10°~+30°。</w:t>
      </w:r>
    </w:p>
    <w:p w14:paraId="3DB60F4A">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平摆动作范围：±20°。</w:t>
      </w:r>
    </w:p>
    <w:p w14:paraId="227E5709">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旋转动作范围：±25°。</w:t>
      </w:r>
    </w:p>
    <w:p w14:paraId="1CB3F4B5">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腰部热疗加热温度45℃,允差±3℃,超过45℃超温保护装置启动。</w:t>
      </w:r>
    </w:p>
    <w:p w14:paraId="7C2C3940">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微电脑控制颈椎、腰椎牵引。</w:t>
      </w:r>
    </w:p>
    <w:p w14:paraId="1D28B071">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≥8种腰椎牵引模式。</w:t>
      </w:r>
    </w:p>
    <w:p w14:paraId="5EA4167E">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具备牵引力自动补偿功能。</w:t>
      </w:r>
    </w:p>
    <w:p w14:paraId="1E0004B9">
      <w:pPr>
        <w:pStyle w:val="10"/>
        <w:keepLines w:val="0"/>
        <w:pageBreakBefore w:val="0"/>
        <w:numPr>
          <w:ilvl w:val="0"/>
          <w:numId w:val="4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≥20种治疗方案可存储并读取。</w:t>
      </w:r>
    </w:p>
    <w:p w14:paraId="10AD307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▲20、可在成角旋转平摆状态下进行对抗式牵引。</w:t>
      </w:r>
    </w:p>
    <w:p w14:paraId="412D2EA9">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具备多种安全设计：如最大牵引力≥990N，患者应急线控按键，医务人员操作急退键。</w:t>
      </w:r>
    </w:p>
    <w:p w14:paraId="45372E7A">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颈腰椎一体化牵引，可以针对不同的患者分别进行颈椎和腰椎牵引</w:t>
      </w:r>
    </w:p>
    <w:p w14:paraId="54275662">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设计使用年限≥8年</w:t>
      </w:r>
    </w:p>
    <w:p w14:paraId="47FD4BE5">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、售后服务：质保期5年。</w:t>
      </w:r>
    </w:p>
    <w:p w14:paraId="53DFFE18">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、具有医疗器械注册证</w:t>
      </w:r>
    </w:p>
    <w:p w14:paraId="02ADF66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适用范围</w:t>
      </w:r>
    </w:p>
    <w:p w14:paraId="77275F9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适用于颈椎、腰椎牵引。</w:t>
      </w:r>
    </w:p>
    <w:p w14:paraId="5F5F93B2">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37FA686C">
      <w:pPr>
        <w:pStyle w:val="17"/>
        <w:numPr>
          <w:ilvl w:val="0"/>
          <w:numId w:val="0"/>
        </w:numPr>
        <w:ind w:leftChars="0"/>
        <w:jc w:val="center"/>
        <w:outlineLvl w:val="3"/>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5、红光治疗仪</w:t>
      </w:r>
    </w:p>
    <w:p w14:paraId="71F42DEF">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光源类型：矩阵集成高功率半导体固态光源。</w:t>
      </w:r>
    </w:p>
    <w:p w14:paraId="3BD651D5">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灯珠数量及排列方式：每治疗头≥100颗灯珠，10×10矩阵排布。</w:t>
      </w:r>
    </w:p>
    <w:p w14:paraId="6B7E1254">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治疗时间：1～60min可调。</w:t>
      </w:r>
    </w:p>
    <w:p w14:paraId="42C7F1E2">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具备智能化时间记忆功能，自动设定设备治疗时间一键启动。</w:t>
      </w:r>
    </w:p>
    <w:p w14:paraId="3982CCB0">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≥3级能量调节。</w:t>
      </w:r>
    </w:p>
    <w:p w14:paraId="3FA23D4C">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波长范围：640nm±10nm。</w:t>
      </w:r>
    </w:p>
    <w:p w14:paraId="6DCB9686">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光功率密度：在距离光杯口15cm处测量时≥60mW/cm²。</w:t>
      </w:r>
    </w:p>
    <w:p w14:paraId="4EC67526">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有效辐照面积：≥350cm²。</w:t>
      </w:r>
    </w:p>
    <w:p w14:paraId="7887DD06">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≥7寸液晶触摸屏、智能触控操作。</w:t>
      </w:r>
    </w:p>
    <w:p w14:paraId="7FE1F222">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辐照度均匀性：采用光学透镜式聚光设计，有效红光辐照度的均匀性≥0.7。</w:t>
      </w:r>
    </w:p>
    <w:p w14:paraId="7479797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▲11、皮肤温度动态管理：内置无线测温模块，实时监测及显示治疗面皮肤温度。可自主设置报警阈值，高于阈值自动停止输出并发出提示报警声音。</w:t>
      </w:r>
    </w:p>
    <w:p w14:paraId="73E0CD76">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支臂结构：≥2节支臂，可根据灯头重力无级调节支撑力度。</w:t>
      </w:r>
    </w:p>
    <w:p w14:paraId="4FEB877F">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支臂活动范围：支臂长度：≥700mm；垂直调节角度30°～160°；水平调节角度0～180°。</w:t>
      </w:r>
    </w:p>
    <w:p w14:paraId="4956376D">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输出通道：双通道输出，能同时治疗两个病人。具备防倾倒设计，倾倒自动断电。</w:t>
      </w:r>
    </w:p>
    <w:p w14:paraId="1D627E58">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漏电保护：具有自动漏电保护功能。</w:t>
      </w:r>
    </w:p>
    <w:p w14:paraId="15B28EB2">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灯珠功率：≥100W。</w:t>
      </w:r>
    </w:p>
    <w:p w14:paraId="03223679">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551EA9A5">
      <w:pPr>
        <w:pStyle w:val="10"/>
        <w:keepLines w:val="0"/>
        <w:pageBreakBefore w:val="0"/>
        <w:numPr>
          <w:ilvl w:val="0"/>
          <w:numId w:val="5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售后服务：质保期5年。</w:t>
      </w:r>
    </w:p>
    <w:p w14:paraId="4D70900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适用范围</w:t>
      </w:r>
    </w:p>
    <w:p w14:paraId="1EA3E5F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适用于消炎、镇痛，对体表创面有止渗液、促进肉芽组织生长、加速愈合的作用。</w:t>
      </w:r>
    </w:p>
    <w:p w14:paraId="508807B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55E166B">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标项九</w:t>
      </w:r>
    </w:p>
    <w:p w14:paraId="573156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color w:val="auto"/>
          <w:sz w:val="24"/>
          <w:szCs w:val="24"/>
          <w:highlight w:val="none"/>
          <w:lang w:val="en-US"/>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0A4C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56E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55F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82B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93E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0C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60F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81F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2D5C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2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2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中频电疗仪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0E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428">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1.55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B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C4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3AF">
            <w:pPr>
              <w:jc w:val="center"/>
              <w:rPr>
                <w:rFonts w:hint="eastAsia" w:ascii="仿宋" w:hAnsi="仿宋" w:eastAsia="仿宋" w:cs="仿宋"/>
                <w:i w:val="0"/>
                <w:iCs w:val="0"/>
                <w:color w:val="auto"/>
                <w:sz w:val="24"/>
                <w:szCs w:val="24"/>
                <w:highlight w:val="none"/>
                <w:u w:val="none"/>
              </w:rPr>
            </w:pPr>
          </w:p>
        </w:tc>
      </w:tr>
      <w:tr w14:paraId="57E0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AB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00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电针治疗仪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9F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7B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9D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6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4CD0">
            <w:pPr>
              <w:jc w:val="center"/>
              <w:rPr>
                <w:rFonts w:hint="eastAsia" w:ascii="仿宋" w:hAnsi="仿宋" w:eastAsia="仿宋" w:cs="仿宋"/>
                <w:i w:val="0"/>
                <w:iCs w:val="0"/>
                <w:color w:val="auto"/>
                <w:sz w:val="24"/>
                <w:szCs w:val="24"/>
                <w:highlight w:val="none"/>
                <w:u w:val="none"/>
              </w:rPr>
            </w:pPr>
          </w:p>
        </w:tc>
      </w:tr>
      <w:tr w14:paraId="58E2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91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85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干扰电治疗仪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665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CFB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710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84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0F92">
            <w:pPr>
              <w:jc w:val="center"/>
              <w:rPr>
                <w:rFonts w:hint="eastAsia" w:ascii="仿宋" w:hAnsi="仿宋" w:eastAsia="仿宋" w:cs="仿宋"/>
                <w:i w:val="0"/>
                <w:iCs w:val="0"/>
                <w:color w:val="auto"/>
                <w:sz w:val="24"/>
                <w:szCs w:val="24"/>
                <w:highlight w:val="none"/>
                <w:u w:val="none"/>
              </w:rPr>
            </w:pPr>
          </w:p>
        </w:tc>
      </w:tr>
      <w:tr w14:paraId="24E4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495D7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4B2685CF">
      <w:pPr>
        <w:pStyle w:val="17"/>
        <w:rPr>
          <w:rFonts w:hint="eastAsia" w:ascii="仿宋" w:hAnsi="仿宋" w:eastAsia="仿宋" w:cs="仿宋"/>
          <w:b/>
          <w:bCs/>
          <w:color w:val="auto"/>
          <w:sz w:val="24"/>
          <w:szCs w:val="24"/>
          <w:highlight w:val="none"/>
          <w:lang w:val="en-US" w:eastAsia="zh-CN"/>
        </w:rPr>
      </w:pPr>
    </w:p>
    <w:p w14:paraId="672C33DE">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42DA8D0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17CB8D23">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1、中频电疗仪</w:t>
      </w:r>
    </w:p>
    <w:p w14:paraId="6905D44D">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电极≥2种，自粘型理疗电极片、硅胶型理疗电极片等 </w:t>
      </w:r>
    </w:p>
    <w:p w14:paraId="30DFCFB5">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结构形式：台式</w:t>
      </w:r>
    </w:p>
    <w:p w14:paraId="7B6CC7B9">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液晶屏全参数显示</w:t>
      </w:r>
    </w:p>
    <w:p w14:paraId="3CF53DA7">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≥4通道输出</w:t>
      </w:r>
    </w:p>
    <w:p w14:paraId="657AC09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≥6种调制波包含等幅波、方波、三角波、锯齿波、指数波、尖波等</w:t>
      </w:r>
    </w:p>
    <w:p w14:paraId="368212F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、≥100种处方</w:t>
      </w:r>
    </w:p>
    <w:p w14:paraId="6031D553">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中频频率≥10kHz；</w:t>
      </w:r>
    </w:p>
    <w:p w14:paraId="0635258E">
      <w:pPr>
        <w:pStyle w:val="10"/>
        <w:keepLines w:val="0"/>
        <w:pageBreakBefore w:val="0"/>
        <w:numPr>
          <w:ilvl w:val="0"/>
          <w:numId w:val="5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调幅度为0-100%，</w:t>
      </w:r>
    </w:p>
    <w:p w14:paraId="14D5ACC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输出电压幅度值≤45V</w:t>
      </w:r>
    </w:p>
    <w:p w14:paraId="4E369EE1">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电流强度：≥80mA(rms)</w:t>
      </w:r>
    </w:p>
    <w:p w14:paraId="177696E9">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开路电压：≥500V</w:t>
      </w:r>
    </w:p>
    <w:p w14:paraId="3BC6ED3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rPr>
        <w:t>同步/异步功能：可选择同步输出或异步独立输出</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、电极线导通电阻≤5Ω。</w:t>
      </w:r>
    </w:p>
    <w:p w14:paraId="12C403F2">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设计使用年限≥8年</w:t>
      </w:r>
    </w:p>
    <w:p w14:paraId="237341DE">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配理疗电极片≥500贴</w:t>
      </w:r>
    </w:p>
    <w:p w14:paraId="09C3E1AB">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14、静音推车1辆</w:t>
      </w:r>
    </w:p>
    <w:p w14:paraId="04BBE562">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5B475C2F">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2、电针治疗仪</w:t>
      </w:r>
    </w:p>
    <w:p w14:paraId="070B396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246217D5">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输出波形为非对称双向三角尖波，输出基波为正矩形波。</w:t>
      </w:r>
    </w:p>
    <w:p w14:paraId="158E1463">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输出频率：1-100Hz可调</w:t>
      </w:r>
    </w:p>
    <w:p w14:paraId="2E8FFC1F">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脉冲宽度：0.175ms，允差范围±20%</w:t>
      </w:r>
    </w:p>
    <w:p w14:paraId="173B7498">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输出脉冲路数：≥6路</w:t>
      </w:r>
    </w:p>
    <w:p w14:paraId="5A97B4AE">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无直流分量输出。</w:t>
      </w:r>
    </w:p>
    <w:p w14:paraId="5EF04E44">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治疗仪在1000Ω和250Ω负载时，输出电流有效值≤10mA（r.m.s）。</w:t>
      </w:r>
    </w:p>
    <w:p w14:paraId="0D3F4EC3">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定时：1min~100min可调</w:t>
      </w:r>
    </w:p>
    <w:p w14:paraId="02C00648">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电源：交直流两用。脉冲波形：“连续波”、“断续波”、“疏密波”等波形选择。</w:t>
      </w:r>
    </w:p>
    <w:p w14:paraId="2800612E">
      <w:pPr>
        <w:pStyle w:val="10"/>
        <w:keepLines w:val="0"/>
        <w:pageBreakBefore w:val="0"/>
        <w:numPr>
          <w:ilvl w:val="0"/>
          <w:numId w:val="5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在不同模式下，频率有差异，脉宽、强度无差异。</w:t>
      </w:r>
    </w:p>
    <w:p w14:paraId="5884BA6F">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、具有医疗器械注册证</w:t>
      </w:r>
    </w:p>
    <w:p w14:paraId="2FED2C08">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420E0E1">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63C91B6A">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3、干扰电治疗仪</w:t>
      </w:r>
    </w:p>
    <w:p w14:paraId="533435BB">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具备废水回收系统。</w:t>
      </w:r>
    </w:p>
    <w:p w14:paraId="5ED6592A">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由主机和两根4极吸附输出线、两根2极吸附输出线、两根6极自粘输出线组成。</w:t>
      </w:r>
    </w:p>
    <w:p w14:paraId="010654E3">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结构形式：柜机推车式。</w:t>
      </w:r>
    </w:p>
    <w:p w14:paraId="1A3EBE97">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显示及按键方式：两块彩色触摸屏，分别独立控制两个通道</w:t>
      </w:r>
    </w:p>
    <w:p w14:paraId="612E2699">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输出频率：2KHz、3KHz、4KHz、5KHz等。</w:t>
      </w:r>
    </w:p>
    <w:p w14:paraId="230ECD43">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输出电流：有效值≥60mA。</w:t>
      </w:r>
    </w:p>
    <w:p w14:paraId="577C0839">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≥5种干涉模式、≥5种电疗模式、≥5种调制方式、≥5种向量选择、≥4种扫引时间。</w:t>
      </w:r>
    </w:p>
    <w:p w14:paraId="156A1125">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干拢方式：三维立体干扰模</w:t>
      </w:r>
      <w:r>
        <w:rPr>
          <w:rFonts w:hint="eastAsia" w:ascii="仿宋" w:hAnsi="仿宋" w:eastAsia="仿宋" w:cs="仿宋"/>
          <w:b/>
          <w:bCs/>
          <w:color w:val="auto"/>
          <w:sz w:val="24"/>
          <w:szCs w:val="24"/>
          <w:highlight w:val="none"/>
        </w:rPr>
        <w:t>式</w:t>
      </w:r>
      <w:r>
        <w:rPr>
          <w:rFonts w:hint="eastAsia" w:ascii="仿宋" w:hAnsi="仿宋" w:eastAsia="仿宋" w:cs="仿宋"/>
          <w:color w:val="auto"/>
          <w:sz w:val="24"/>
          <w:szCs w:val="24"/>
          <w:highlight w:val="none"/>
        </w:rPr>
        <w:t>与二维平面干扰模式任意组合。</w:t>
      </w:r>
    </w:p>
    <w:p w14:paraId="70F2B62C">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干涉（差频）频率：≥200Hz。</w:t>
      </w:r>
    </w:p>
    <w:p w14:paraId="071FF900">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电疗模式：低、中、高、广域、低高（低、高交替）。</w:t>
      </w:r>
    </w:p>
    <w:p w14:paraId="59B31645">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干涉模式：IFC、IFCW、PMC、PMC2、自定义程序模式。</w:t>
      </w:r>
    </w:p>
    <w:p w14:paraId="5A714487">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调制方式：OFF、25%、50%、75%、100%、巴斯特方式。</w:t>
      </w:r>
    </w:p>
    <w:p w14:paraId="1A4AAC44">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向量选择：1秒-5秒，步距1秒。</w:t>
      </w:r>
    </w:p>
    <w:p w14:paraId="63F080E6">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扫引时间：15秒-60秒。</w:t>
      </w:r>
    </w:p>
    <w:p w14:paraId="17566045">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吸附压力：≥300mmHg可调.</w:t>
      </w:r>
    </w:p>
    <w:p w14:paraId="40E36763">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吸附模式：连续、15回/分、30回/分、60回/分、自动模式。</w:t>
      </w:r>
    </w:p>
    <w:p w14:paraId="04A8E86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17、顶盘可加热。</w:t>
      </w:r>
    </w:p>
    <w:p w14:paraId="74E95BF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18、任何一路电极输出均可在吸附电极及自粘电极之间任意转换。</w:t>
      </w:r>
    </w:p>
    <w:p w14:paraId="6AC48492">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具有强度自动锁定功能电极线短路保护和停止输出功能；</w:t>
      </w:r>
    </w:p>
    <w:p w14:paraId="3A599A38">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过电压保护和停止输出功能；</w:t>
      </w:r>
    </w:p>
    <w:p w14:paraId="63983943">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电极脱落报警和停止输出功能；</w:t>
      </w:r>
    </w:p>
    <w:p w14:paraId="61D8761B">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吸附电极吸力保护；</w:t>
      </w:r>
    </w:p>
    <w:p w14:paraId="3979C8C9">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顶盘加热双重温度保护；</w:t>
      </w:r>
    </w:p>
    <w:p w14:paraId="05AC7389">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配台车一辆</w:t>
      </w:r>
    </w:p>
    <w:p w14:paraId="3CBD5838">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另配4极吸附输出线4根、2极吸附输出线2根、6极自粘输出线2根</w:t>
      </w:r>
    </w:p>
    <w:p w14:paraId="28996060">
      <w:pPr>
        <w:pStyle w:val="10"/>
        <w:keepLines w:val="0"/>
        <w:pageBreakBefore w:val="0"/>
        <w:numPr>
          <w:ilvl w:val="0"/>
          <w:numId w:val="5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设计使用年限≥8年</w:t>
      </w:r>
    </w:p>
    <w:p w14:paraId="3370FBF3">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、售后服务：质保期5年。</w:t>
      </w:r>
    </w:p>
    <w:p w14:paraId="357F40F1">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、具备医疗器械注册证</w:t>
      </w:r>
    </w:p>
    <w:p w14:paraId="3E2D080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配套设备</w:t>
      </w:r>
    </w:p>
    <w:p w14:paraId="54CCAD43">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1.黑白激光双面打印复印机 1台。</w:t>
      </w:r>
    </w:p>
    <w:p w14:paraId="779994A3">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2.品牌台式计算机 1台，</w:t>
      </w:r>
    </w:p>
    <w:p w14:paraId="489A632E">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配置要求：</w:t>
      </w: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15EB58B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3.办公桌椅1套</w:t>
      </w:r>
    </w:p>
    <w:p w14:paraId="19570A8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E646A8C">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w:t>
      </w:r>
    </w:p>
    <w:p w14:paraId="39DAE0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71C3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CD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69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A18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F3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5C3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3D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9E9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4D1F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F4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冲击波治疗仪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02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B199">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3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B6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4D9">
            <w:pPr>
              <w:jc w:val="center"/>
              <w:rPr>
                <w:rFonts w:hint="eastAsia" w:ascii="仿宋" w:hAnsi="仿宋" w:eastAsia="仿宋" w:cs="仿宋"/>
                <w:i w:val="0"/>
                <w:iCs w:val="0"/>
                <w:color w:val="auto"/>
                <w:sz w:val="24"/>
                <w:szCs w:val="24"/>
                <w:highlight w:val="none"/>
                <w:u w:val="none"/>
              </w:rPr>
            </w:pPr>
          </w:p>
        </w:tc>
      </w:tr>
      <w:tr w14:paraId="0C5F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371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51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电动按摩治疗床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45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344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1D4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8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203">
            <w:pPr>
              <w:jc w:val="center"/>
              <w:rPr>
                <w:rFonts w:hint="eastAsia" w:ascii="仿宋" w:hAnsi="仿宋" w:eastAsia="仿宋" w:cs="仿宋"/>
                <w:i w:val="0"/>
                <w:iCs w:val="0"/>
                <w:color w:val="auto"/>
                <w:sz w:val="24"/>
                <w:szCs w:val="24"/>
                <w:highlight w:val="none"/>
                <w:u w:val="none"/>
              </w:rPr>
            </w:pPr>
          </w:p>
        </w:tc>
      </w:tr>
      <w:tr w14:paraId="7DAB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E1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84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多段位手法床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FD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3F5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724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D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E0B">
            <w:pPr>
              <w:jc w:val="center"/>
              <w:rPr>
                <w:rFonts w:hint="eastAsia" w:ascii="仿宋" w:hAnsi="仿宋" w:eastAsia="仿宋" w:cs="仿宋"/>
                <w:i w:val="0"/>
                <w:iCs w:val="0"/>
                <w:color w:val="auto"/>
                <w:sz w:val="24"/>
                <w:szCs w:val="24"/>
                <w:highlight w:val="none"/>
                <w:u w:val="none"/>
              </w:rPr>
            </w:pPr>
          </w:p>
        </w:tc>
      </w:tr>
      <w:tr w14:paraId="7E63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47554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451C089B">
      <w:pPr>
        <w:pStyle w:val="17"/>
        <w:rPr>
          <w:rFonts w:hint="eastAsia" w:ascii="仿宋" w:hAnsi="仿宋" w:eastAsia="仿宋" w:cs="仿宋"/>
          <w:b/>
          <w:bCs/>
          <w:color w:val="auto"/>
          <w:sz w:val="24"/>
          <w:szCs w:val="24"/>
          <w:highlight w:val="none"/>
          <w:lang w:val="en-US" w:eastAsia="zh-CN"/>
        </w:rPr>
      </w:pPr>
    </w:p>
    <w:p w14:paraId="09372F1E">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28FF65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二）、技术要求</w:t>
      </w:r>
    </w:p>
    <w:p w14:paraId="70639B95">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1、冲击波治疗仪</w:t>
      </w:r>
    </w:p>
    <w:p w14:paraId="7DE23ACE">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气压弹道式；</w:t>
      </w:r>
    </w:p>
    <w:p w14:paraId="6F22740E">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整机（含主机、空压机和手柄）重量≤10kg，</w:t>
      </w:r>
    </w:p>
    <w:p w14:paraId="1A5F8360">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≥10寸彩色触摸显示屏；</w:t>
      </w:r>
    </w:p>
    <w:p w14:paraId="28912EE8">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无油空压机，；</w:t>
      </w:r>
    </w:p>
    <w:p w14:paraId="7F003282">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单套手柄运动套件寿命≥100万冲击次数；</w:t>
      </w:r>
    </w:p>
    <w:p w14:paraId="5852553E">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具有实时输出压力显示、实时剩余治疗时间显示功能；</w:t>
      </w:r>
    </w:p>
    <w:p w14:paraId="2E77E66B">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具有压力不足提示功能；具有过压安全装置;</w:t>
      </w:r>
    </w:p>
    <w:p w14:paraId="19C94708">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▲具有智能梯度压力模式，调节范围：10%-100%，可自动线性调节压力值。治疗处方≥18种，自定义处方≥20种，可自由新增并保存治疗处方，具有人体彩色图谱，可根据人体部位选择相应治疗处方；</w:t>
      </w:r>
    </w:p>
    <w:p w14:paraId="3D2DEFF7">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可查看和导出治疗记录，可追溯≥10000条治疗记录；</w:t>
      </w:r>
    </w:p>
    <w:p w14:paraId="68E13F4A">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内置VAS疼痛评估量表，面部表情测量功能；</w:t>
      </w:r>
    </w:p>
    <w:p w14:paraId="749A0CD8">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内置治疗流程介绍；</w:t>
      </w:r>
    </w:p>
    <w:p w14:paraId="5659379F">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手柄具有缓冲技术，治疗头伸缩行程≥10mm，治疗头可伸缩，；</w:t>
      </w:r>
    </w:p>
    <w:p w14:paraId="667C6930">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具有高频能量守恒技术，；</w:t>
      </w:r>
    </w:p>
    <w:p w14:paraId="72C1C759">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手柄治疗头上有施压指示器，带压力刻度，</w:t>
      </w:r>
      <w:bookmarkStart w:id="107" w:name="OLE_LINK14"/>
      <w:r>
        <w:rPr>
          <w:rFonts w:hint="eastAsia" w:ascii="仿宋" w:hAnsi="仿宋" w:eastAsia="仿宋" w:cs="仿宋"/>
          <w:color w:val="auto"/>
          <w:sz w:val="24"/>
          <w:szCs w:val="24"/>
          <w:highlight w:val="none"/>
        </w:rPr>
        <w:t>；</w:t>
      </w:r>
    </w:p>
    <w:p w14:paraId="5051A5CB">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手柄上的操作开关区域带有独立手柄计数器，能记录手柄累计使用次数，； </w:t>
      </w:r>
      <w:bookmarkEnd w:id="107"/>
    </w:p>
    <w:p w14:paraId="21626FC4">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具备360°可旋转医用硅胶挡圈；</w:t>
      </w:r>
    </w:p>
    <w:p w14:paraId="54217697">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标配≥6种治疗头：如15mm标准治疗头；15mm加长治疗头；36mm治疗头；15mm聚焦治疗头；10mm治疗头；6mm针灸治疗头；</w:t>
      </w:r>
    </w:p>
    <w:p w14:paraId="0AAD9CD1">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最大输出能量密度≥7.5mj/mm²；</w:t>
      </w:r>
    </w:p>
    <w:p w14:paraId="1D1ACF48">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L*D*H:约 300mm*220mm*315mm;</w:t>
      </w:r>
    </w:p>
    <w:p w14:paraId="0DF51837">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治疗次数100-9900可调；</w:t>
      </w:r>
    </w:p>
    <w:p w14:paraId="5E9AAE14">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输出频率：1-25Hz，；</w:t>
      </w:r>
    </w:p>
    <w:p w14:paraId="19C4E05C">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输出压力：1-5Bar，；</w:t>
      </w:r>
    </w:p>
    <w:p w14:paraId="6D94CE9A">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▲最小脉宽≤2.1us；</w:t>
      </w:r>
    </w:p>
    <w:p w14:paraId="7075CD1C">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软件免费升级；</w:t>
      </w:r>
    </w:p>
    <w:p w14:paraId="2F0AF92B">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具有连接WiFi功能；</w:t>
      </w:r>
    </w:p>
    <w:p w14:paraId="401653DF">
      <w:pPr>
        <w:pStyle w:val="10"/>
        <w:keepLines w:val="0"/>
        <w:pageBreakBefore w:val="0"/>
        <w:numPr>
          <w:ilvl w:val="0"/>
          <w:numId w:val="5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主机5年质保，设计使用寿命≥10年；</w:t>
      </w:r>
    </w:p>
    <w:p w14:paraId="61538B7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28、配置要求</w:t>
      </w:r>
    </w:p>
    <w:p w14:paraId="74BFD5C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、主机     1台 </w:t>
      </w:r>
    </w:p>
    <w:p w14:paraId="08F964BA">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、治疗手柄 1把</w:t>
      </w:r>
    </w:p>
    <w:p w14:paraId="2052CA32">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、15mm治疗头（已装在手柄上） 1个</w:t>
      </w:r>
    </w:p>
    <w:p w14:paraId="29EE7168">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、15mm加长治疗头 1个</w:t>
      </w:r>
    </w:p>
    <w:p w14:paraId="0E0E011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、36mm治疗头 1个</w:t>
      </w:r>
    </w:p>
    <w:p w14:paraId="36BBC1EF">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6、黑白激光双面打印复印机 1台。</w:t>
      </w:r>
    </w:p>
    <w:p w14:paraId="695A1A57">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7、品牌台式计算机 1台，配置要求：</w:t>
      </w:r>
    </w:p>
    <w:p w14:paraId="66F6FD63">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11A7FCB0">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9、桌椅1套</w:t>
      </w:r>
    </w:p>
    <w:p w14:paraId="7B5A012B">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440D289">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2A81B98A">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2、电动按摩治疗床</w:t>
      </w:r>
    </w:p>
    <w:p w14:paraId="46C8B7AF">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1、额定输入功率：140VA。</w:t>
      </w:r>
    </w:p>
    <w:p w14:paraId="1180E824">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2、尺寸：长×宽×高（mm）：2000×620×480，允差±3%。</w:t>
      </w:r>
    </w:p>
    <w:p w14:paraId="389BD241">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3、最大起升重量：≥200kg。</w:t>
      </w:r>
    </w:p>
    <w:p w14:paraId="5B440CBE">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4、诊疗床的床面升降行程0～299mm连续可调,。</w:t>
      </w:r>
    </w:p>
    <w:p w14:paraId="171A1515">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5、床面升降速度：≥10mm/s；</w:t>
      </w:r>
    </w:p>
    <w:p w14:paraId="4D1FC29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6、具有电动脚踏开关进行电动升降，同时具有手柄开关，可进行电动升降治疗床面。</w:t>
      </w:r>
    </w:p>
    <w:p w14:paraId="61A7CAA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7、具有直线电机，</w:t>
      </w:r>
    </w:p>
    <w:p w14:paraId="48F2F17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8、噪音≤60dB。</w:t>
      </w:r>
    </w:p>
    <w:p w14:paraId="12315D79">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9、具有有床腿调节螺杆。</w:t>
      </w:r>
    </w:p>
    <w:p w14:paraId="20443B0D">
      <w:pPr>
        <w:pStyle w:val="10"/>
        <w:keepLines w:val="0"/>
        <w:pageBreakBefore w:val="0"/>
        <w:kinsoku/>
        <w:wordWrap/>
        <w:overflowPunct/>
        <w:topLinePunct w:val="0"/>
        <w:autoSpaceDE/>
        <w:autoSpaceDN/>
        <w:bidi w:val="0"/>
        <w:spacing w:before="0" w:after="0" w:line="360" w:lineRule="auto"/>
        <w:ind w:left="-6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10、配有患者呼吸孔及肩孔。</w:t>
      </w:r>
    </w:p>
    <w:p w14:paraId="6E66BFDD">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、设计使用年限≥8年</w:t>
      </w:r>
    </w:p>
    <w:p w14:paraId="2B447B0B">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693FDE8">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631A74B6">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3、多段位手法床</w:t>
      </w:r>
    </w:p>
    <w:p w14:paraId="44C9F2F1">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尺寸： ≥195x67x(50-94)cm</w:t>
      </w:r>
    </w:p>
    <w:p w14:paraId="70BC2EBF">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净重：≥90kg</w:t>
      </w:r>
    </w:p>
    <w:p w14:paraId="28AB30C0">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铁框架，表面喷塑处理</w:t>
      </w:r>
    </w:p>
    <w:p w14:paraId="53D78E94">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承重：≥250kg</w:t>
      </w:r>
    </w:p>
    <w:p w14:paraId="5460C3DC">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升降高度：50-95cm</w:t>
      </w:r>
    </w:p>
    <w:p w14:paraId="2E8252A1">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调节时间约30秒</w:t>
      </w:r>
    </w:p>
    <w:p w14:paraId="27962EF8">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第一段长度≥3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cm，调节角度：-45度到35度；扶手调节距离约15cm；</w:t>
      </w:r>
    </w:p>
    <w:p w14:paraId="392EDDC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9、第二段长度≥4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cm ，调节角度：0度到55度；扶手调节旋转角度90度；</w:t>
      </w:r>
    </w:p>
    <w:p w14:paraId="1F0973A9">
      <w:pPr>
        <w:pStyle w:val="10"/>
        <w:keepLines w:val="0"/>
        <w:pageBreakBefore w:val="0"/>
        <w:numPr>
          <w:ilvl w:val="0"/>
          <w:numId w:val="5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第三段长度≥50cm ，调节角度：0度到20度；</w:t>
      </w:r>
    </w:p>
    <w:p w14:paraId="37F7A3B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10、第四段长度≥5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cm ，调节角度：0度到-45度；</w:t>
      </w:r>
    </w:p>
    <w:p w14:paraId="3C7E6AF1">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11、头部气杆控制角度可调整</w:t>
      </w:r>
    </w:p>
    <w:p w14:paraId="3037E6D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12、海绵厚度≥5cm ，密度≥35kg/m³</w:t>
      </w:r>
    </w:p>
    <w:p w14:paraId="2E9C6BA7">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13、透气孔加孔塞设计</w:t>
      </w:r>
    </w:p>
    <w:p w14:paraId="02998AD2">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14、伸缩脚轮设计</w:t>
      </w:r>
    </w:p>
    <w:p w14:paraId="15F71ED7">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电机 6000N</w:t>
      </w:r>
    </w:p>
    <w:p w14:paraId="4C1A3ED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16、360度环形碰触式升降调节开关</w:t>
      </w:r>
    </w:p>
    <w:p w14:paraId="12D10C3A">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17、直径约7.5cm医用承压轮</w:t>
      </w:r>
    </w:p>
    <w:p w14:paraId="1ABD62F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18、四调节螺杆设计</w:t>
      </w:r>
    </w:p>
    <w:p w14:paraId="15AD790A">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、设备使用年限≥8年</w:t>
      </w:r>
    </w:p>
    <w:p w14:paraId="17CAAEB8">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0F31208">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标项十一</w:t>
      </w:r>
    </w:p>
    <w:p w14:paraId="14EFF70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3"/>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2879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DF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A35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59E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70C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1A2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4C8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84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233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C3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3F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煎药包装一体机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2D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7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2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1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B26">
            <w:pPr>
              <w:jc w:val="center"/>
              <w:rPr>
                <w:rFonts w:hint="eastAsia" w:ascii="仿宋" w:hAnsi="仿宋" w:eastAsia="仿宋" w:cs="仿宋"/>
                <w:i w:val="0"/>
                <w:iCs w:val="0"/>
                <w:color w:val="auto"/>
                <w:sz w:val="24"/>
                <w:szCs w:val="24"/>
                <w:highlight w:val="none"/>
                <w:u w:val="none"/>
              </w:rPr>
            </w:pPr>
          </w:p>
        </w:tc>
      </w:tr>
      <w:tr w14:paraId="04C7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88B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06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智能化煎药机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2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C1C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2D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8E9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3A4">
            <w:pPr>
              <w:jc w:val="center"/>
              <w:rPr>
                <w:rFonts w:hint="eastAsia" w:ascii="仿宋" w:hAnsi="仿宋" w:eastAsia="仿宋" w:cs="仿宋"/>
                <w:i w:val="0"/>
                <w:iCs w:val="0"/>
                <w:color w:val="auto"/>
                <w:sz w:val="24"/>
                <w:szCs w:val="24"/>
                <w:highlight w:val="none"/>
                <w:u w:val="none"/>
              </w:rPr>
            </w:pPr>
          </w:p>
        </w:tc>
      </w:tr>
      <w:tr w14:paraId="7A71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592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CD0E">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中药汤剂包装机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77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35C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C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336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D11">
            <w:pPr>
              <w:jc w:val="center"/>
              <w:rPr>
                <w:rFonts w:hint="eastAsia" w:ascii="仿宋" w:hAnsi="仿宋" w:eastAsia="仿宋" w:cs="仿宋"/>
                <w:i w:val="0"/>
                <w:iCs w:val="0"/>
                <w:color w:val="auto"/>
                <w:sz w:val="24"/>
                <w:szCs w:val="24"/>
                <w:highlight w:val="none"/>
                <w:u w:val="none"/>
              </w:rPr>
            </w:pPr>
          </w:p>
        </w:tc>
      </w:tr>
      <w:tr w14:paraId="6C35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E6F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205C">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智能艾灸排烟系统6张床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55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BD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D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01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08F">
            <w:pPr>
              <w:jc w:val="center"/>
              <w:rPr>
                <w:rFonts w:hint="eastAsia" w:ascii="仿宋" w:hAnsi="仿宋" w:eastAsia="仿宋" w:cs="仿宋"/>
                <w:i w:val="0"/>
                <w:iCs w:val="0"/>
                <w:color w:val="auto"/>
                <w:sz w:val="24"/>
                <w:szCs w:val="24"/>
                <w:highlight w:val="none"/>
                <w:u w:val="none"/>
              </w:rPr>
            </w:pPr>
          </w:p>
        </w:tc>
      </w:tr>
      <w:tr w14:paraId="35EC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C1591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61C43D68">
      <w:pPr>
        <w:pStyle w:val="17"/>
        <w:rPr>
          <w:rFonts w:hint="eastAsia" w:ascii="仿宋" w:hAnsi="仿宋" w:eastAsia="仿宋" w:cs="仿宋"/>
          <w:b/>
          <w:bCs/>
          <w:color w:val="auto"/>
          <w:sz w:val="24"/>
          <w:szCs w:val="24"/>
          <w:highlight w:val="none"/>
          <w:lang w:val="en-US" w:eastAsia="zh-CN"/>
        </w:rPr>
      </w:pPr>
    </w:p>
    <w:p w14:paraId="3D3ADF89">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703163A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3"/>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238E6904">
      <w:pPr>
        <w:pStyle w:val="17"/>
        <w:numPr>
          <w:ilvl w:val="0"/>
          <w:numId w:val="0"/>
        </w:numPr>
        <w:ind w:leftChars="0"/>
        <w:jc w:val="center"/>
        <w:outlineLvl w:val="4"/>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1、煎药包装一体机</w:t>
      </w:r>
    </w:p>
    <w:p w14:paraId="74BD295A">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容量：≥20L</w:t>
      </w:r>
    </w:p>
    <w:p w14:paraId="56D86611">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功率：≥2000W</w:t>
      </w:r>
    </w:p>
    <w:p w14:paraId="6F9526F7">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尺寸：约1170*550*1250（mm）</w:t>
      </w:r>
    </w:p>
    <w:p w14:paraId="65216405">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可同时煎≥2个处方</w:t>
      </w:r>
    </w:p>
    <w:p w14:paraId="5514BE6B">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每锅可煎3-20付药。</w:t>
      </w:r>
    </w:p>
    <w:p w14:paraId="1A58D677">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配50-250ml包装机， 变量1ml。</w:t>
      </w:r>
    </w:p>
    <w:p w14:paraId="431E770F">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可设定高温时间（沸腾时间）1-255分钟，采用倒计时自动显示。</w:t>
      </w:r>
    </w:p>
    <w:p w14:paraId="29923FF0">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采用数控技术。</w:t>
      </w:r>
    </w:p>
    <w:p w14:paraId="15B4E82A">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武火文火自动转换。</w:t>
      </w:r>
    </w:p>
    <w:p w14:paraId="1A3FBD3D">
      <w:pPr>
        <w:pStyle w:val="10"/>
        <w:keepLines w:val="0"/>
        <w:pageBreakBefore w:val="0"/>
        <w:numPr>
          <w:ilvl w:val="0"/>
          <w:numId w:val="5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内筒采用不锈钢，外筒采用玻璃。</w:t>
      </w:r>
    </w:p>
    <w:p w14:paraId="4A91EE7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11、包装速度：≥8袋/分钟。</w:t>
      </w:r>
    </w:p>
    <w:p w14:paraId="14A666EB">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设计使用年限≥8年</w:t>
      </w:r>
    </w:p>
    <w:p w14:paraId="4D1DA4C4">
      <w:pPr>
        <w:pStyle w:val="10"/>
        <w:keepLines w:val="0"/>
        <w:pageBreakBefore w:val="0"/>
        <w:numPr>
          <w:ilvl w:val="0"/>
          <w:numId w:val="0"/>
        </w:numPr>
        <w:kinsoku/>
        <w:wordWrap/>
        <w:overflowPunct/>
        <w:topLinePunct w:val="0"/>
        <w:autoSpaceDE/>
        <w:autoSpaceDN/>
        <w:bidi w:val="0"/>
        <w:spacing w:before="0" w:after="0" w:line="360" w:lineRule="auto"/>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配标准打包袋≥5000个。</w:t>
      </w:r>
    </w:p>
    <w:p w14:paraId="29BFCFB5">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73C8BBE1">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96DD736">
      <w:pPr>
        <w:pStyle w:val="17"/>
        <w:numPr>
          <w:ilvl w:val="0"/>
          <w:numId w:val="0"/>
        </w:numPr>
        <w:ind w:leftChars="0"/>
        <w:jc w:val="center"/>
        <w:outlineLvl w:val="4"/>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2、智能化煎药机</w:t>
      </w:r>
    </w:p>
    <w:p w14:paraId="08993F1D">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功率：≥2500W</w:t>
      </w:r>
    </w:p>
    <w:p w14:paraId="19FE13BD">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容量：≥20L</w:t>
      </w:r>
    </w:p>
    <w:p w14:paraId="6B898701">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煎药效果有效成份煎出率≥80%。</w:t>
      </w:r>
    </w:p>
    <w:p w14:paraId="0332F818">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具有常压煎药功能，自动完成一煎两煎的全过程。可实现二煎煎药，二煎时自动加水，自动清洗；</w:t>
      </w:r>
    </w:p>
    <w:p w14:paraId="59100A29">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可联网预设≥12种煎药方案，并具备联网通讯功能。可支持通讯协议自动设置及实现煎药单据传输等通讯协议；</w:t>
      </w:r>
    </w:p>
    <w:p w14:paraId="0699B63A">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一键式滑盖锁紧装置,具有锅盖开启助力功能.</w:t>
      </w:r>
    </w:p>
    <w:p w14:paraId="5372F58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8、≥8寸液晶触摸屏.</w:t>
      </w:r>
    </w:p>
    <w:p w14:paraId="2E5D045E">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具备先煎后下提示功能，可实现常压煎药、密闭煎药、循环煎药等功能；</w:t>
      </w:r>
    </w:p>
    <w:p w14:paraId="04DCE254">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采用双滑道定位的电动机械挤压系统。</w:t>
      </w:r>
    </w:p>
    <w:p w14:paraId="5304A5E7">
      <w:pPr>
        <w:pStyle w:val="10"/>
        <w:keepLines w:val="0"/>
        <w:pageBreakBefore w:val="0"/>
        <w:numPr>
          <w:ilvl w:val="0"/>
          <w:numId w:val="5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通过管理软件可实现无线连接手持终端,可对煎药模式、煎药时间进行扫描一键式设定；</w:t>
      </w:r>
    </w:p>
    <w:p w14:paraId="61C56F9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10、煎药机可拓展实现无线传输，手持端扫码录入处方信息，煎药全过程可溯源管理，同步实现温度曲线上传、查询。</w:t>
      </w:r>
    </w:p>
    <w:p w14:paraId="2084F25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11、煎药锅体采用304不锈钢一次成型锅体.</w:t>
      </w:r>
    </w:p>
    <w:p w14:paraId="076C653D">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12、内置二煎储液桶，竖直设计。</w:t>
      </w:r>
    </w:p>
    <w:p w14:paraId="656F02AD">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13、具有防高温和防干烧功能，具有计时、定时设定控制功能；</w:t>
      </w:r>
    </w:p>
    <w:p w14:paraId="341860FC">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14、具有文火、武火自动转换；</w:t>
      </w:r>
    </w:p>
    <w:p w14:paraId="7A69A331">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15、具备自动浸泡、自动煎煮、自动过滤功能</w:t>
      </w:r>
    </w:p>
    <w:p w14:paraId="0624CE0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16、具有安全卸压阀，超压自动报警，自动卸压自动闭合；</w:t>
      </w:r>
    </w:p>
    <w:p w14:paraId="6BED1E18">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17、设备使用年限≥8年</w:t>
      </w:r>
    </w:p>
    <w:p w14:paraId="642F35B1">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1E11850">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464BE5BB">
      <w:pPr>
        <w:pStyle w:val="17"/>
        <w:numPr>
          <w:ilvl w:val="0"/>
          <w:numId w:val="0"/>
        </w:numPr>
        <w:ind w:leftChars="0"/>
        <w:jc w:val="center"/>
        <w:outlineLvl w:val="4"/>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3、中药汤剂包装机</w:t>
      </w:r>
    </w:p>
    <w:p w14:paraId="5424BED8">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功率：≥2500W</w:t>
      </w:r>
    </w:p>
    <w:p w14:paraId="264A70B4">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容量：≥20L</w:t>
      </w:r>
    </w:p>
    <w:p w14:paraId="20A5F341">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包装速度: ≥8袋/分钟；</w:t>
      </w:r>
    </w:p>
    <w:p w14:paraId="2CEE0A61">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具备联网通讯功能。可实现煎药单数据传输等通讯协议，并支持包数、包装量通讯协议的自动设置；</w:t>
      </w:r>
    </w:p>
    <w:p w14:paraId="69F04689">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包装量：50—250mL，变量1mL可调；</w:t>
      </w:r>
    </w:p>
    <w:p w14:paraId="1A9945ED">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包装温度、包装量自动显示；</w:t>
      </w:r>
    </w:p>
    <w:p w14:paraId="15CB3EB3">
      <w:pPr>
        <w:pStyle w:val="10"/>
        <w:keepLines w:val="0"/>
        <w:pageBreakBefore w:val="0"/>
        <w:numPr>
          <w:ilvl w:val="0"/>
          <w:numId w:val="5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封合温度数字化控制，可以设定自动恒定；</w:t>
      </w:r>
    </w:p>
    <w:p w14:paraId="554AE4C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8、具有喷淋清洗装置，分为储液桶清洗、喷嘴清洗；</w:t>
      </w:r>
    </w:p>
    <w:p w14:paraId="5107DE1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9、具有药液快速加热及浓缩功能；</w:t>
      </w:r>
    </w:p>
    <w:p w14:paraId="5751F9E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10、具有断卷及无卷保护功能，自动停机；</w:t>
      </w:r>
    </w:p>
    <w:p w14:paraId="49C7CBC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11、具有防干烧功能；</w:t>
      </w:r>
    </w:p>
    <w:p w14:paraId="560AE99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12、液晶触摸屏；</w:t>
      </w:r>
    </w:p>
    <w:p w14:paraId="03F5F1D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13、设备可扩展连接院内电子处方对接接口标准，his按照标准接入；仓储对接接口标准，his按照标准接入；并拓展支持第三方快递平台的对接；</w:t>
      </w:r>
    </w:p>
    <w:p w14:paraId="1A17E33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14、包装机可实现拓展功能：数据无线传输，手持端扫码录入成品信息，包装过程可溯源管理，同步实现温度处方打印、查询，体现工作人员量化数据；</w:t>
      </w:r>
    </w:p>
    <w:p w14:paraId="13458FC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15、设备使用年限≥8年</w:t>
      </w:r>
    </w:p>
    <w:p w14:paraId="2FC764D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16、每台配标准中药打包袋≥5000个。</w:t>
      </w:r>
    </w:p>
    <w:p w14:paraId="45EA6B1D">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5883C58">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25FE0579">
      <w:pPr>
        <w:pStyle w:val="17"/>
        <w:numPr>
          <w:ilvl w:val="0"/>
          <w:numId w:val="0"/>
        </w:numPr>
        <w:ind w:leftChars="0"/>
        <w:jc w:val="center"/>
        <w:outlineLvl w:val="4"/>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4、智能艾灸排烟系统6张床</w:t>
      </w:r>
    </w:p>
    <w:p w14:paraId="02709E7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1、语音、无线遥控双重控制功能，配备脚轮。     </w:t>
      </w:r>
    </w:p>
    <w:p w14:paraId="290A9FCC">
      <w:pPr>
        <w:pStyle w:val="10"/>
        <w:keepLines w:val="0"/>
        <w:pageBreakBefore w:val="0"/>
        <w:numPr>
          <w:ilvl w:val="0"/>
          <w:numId w:val="5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纯铜电机，采用涡轮增压排风技术   </w:t>
      </w:r>
    </w:p>
    <w:p w14:paraId="5849A4A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3、智能化电机过热保护装置</w:t>
      </w:r>
    </w:p>
    <w:p w14:paraId="67869BE3">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4、采用直流无刷电机和涡流式合金风轮，噪音≤40dB。</w:t>
      </w:r>
    </w:p>
    <w:p w14:paraId="43B3179A">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5、具有风柜循环过滤系统，机型采用内置循环过滤模式。</w:t>
      </w:r>
    </w:p>
    <w:p w14:paraId="42B0FB67">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6、具有万向吸烟臂和集烟罩，烟罩直径≥800mm。</w:t>
      </w:r>
    </w:p>
    <w:p w14:paraId="7D23FAB0">
      <w:pPr>
        <w:pStyle w:val="10"/>
        <w:keepLines w:val="0"/>
        <w:pageBreakBefore w:val="0"/>
        <w:kinsoku/>
        <w:wordWrap/>
        <w:overflowPunct/>
        <w:topLinePunct w:val="0"/>
        <w:autoSpaceDE/>
        <w:autoSpaceDN/>
        <w:bidi w:val="0"/>
        <w:spacing w:before="0" w:after="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7、铝箔PVC 钢丝软管长度≥7米，软性固定线卡。</w:t>
      </w:r>
    </w:p>
    <w:p w14:paraId="4673BA8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2BDD0F5">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标项十二</w:t>
      </w:r>
    </w:p>
    <w:p w14:paraId="71A972C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5CF7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2E3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616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B6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13F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E2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0C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EF5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09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63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25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中医经络信息采集系统（中医经络治疗仪）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F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EF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0B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4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D9CA">
            <w:pPr>
              <w:jc w:val="center"/>
              <w:rPr>
                <w:rFonts w:hint="eastAsia" w:ascii="仿宋" w:hAnsi="仿宋" w:eastAsia="仿宋" w:cs="仿宋"/>
                <w:i w:val="0"/>
                <w:iCs w:val="0"/>
                <w:color w:val="auto"/>
                <w:sz w:val="24"/>
                <w:szCs w:val="24"/>
                <w:highlight w:val="none"/>
                <w:u w:val="none"/>
              </w:rPr>
            </w:pPr>
          </w:p>
        </w:tc>
      </w:tr>
      <w:tr w14:paraId="0814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EC5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C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四诊仪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14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2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0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FC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E4C0">
            <w:pPr>
              <w:jc w:val="center"/>
              <w:rPr>
                <w:rFonts w:hint="eastAsia" w:ascii="仿宋" w:hAnsi="仿宋" w:eastAsia="仿宋" w:cs="仿宋"/>
                <w:i w:val="0"/>
                <w:iCs w:val="0"/>
                <w:color w:val="auto"/>
                <w:sz w:val="24"/>
                <w:szCs w:val="24"/>
                <w:highlight w:val="none"/>
                <w:u w:val="none"/>
              </w:rPr>
            </w:pPr>
          </w:p>
        </w:tc>
      </w:tr>
      <w:tr w14:paraId="2AD6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1AF31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073BF1FF">
      <w:pPr>
        <w:pStyle w:val="17"/>
        <w:rPr>
          <w:rFonts w:hint="eastAsia" w:ascii="仿宋" w:hAnsi="仿宋" w:eastAsia="仿宋" w:cs="仿宋"/>
          <w:b/>
          <w:bCs/>
          <w:color w:val="auto"/>
          <w:sz w:val="24"/>
          <w:szCs w:val="24"/>
          <w:highlight w:val="none"/>
          <w:lang w:val="en-US" w:eastAsia="zh-CN"/>
        </w:rPr>
      </w:pPr>
    </w:p>
    <w:p w14:paraId="49199984">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4BAFD26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4F083A56">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1、中医经络信息采集系统（中医经络治疗仪）</w:t>
      </w:r>
    </w:p>
    <w:p w14:paraId="2BCC63EC">
      <w:pPr>
        <w:keepLines w:val="0"/>
        <w:pageBreakBefore w:val="0"/>
        <w:numPr>
          <w:ilvl w:val="0"/>
          <w:numId w:val="60"/>
        </w:numPr>
        <w:kinsoku/>
        <w:wordWrap/>
        <w:overflowPunct/>
        <w:topLinePunct w:val="0"/>
        <w:autoSpaceDE/>
        <w:autoSpaceDN/>
        <w:bidi w:val="0"/>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功能特点：</w:t>
      </w:r>
    </w:p>
    <w:p w14:paraId="7822E27B">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1、可进行中医≥20个经络和≥48个穴位检测</w:t>
      </w:r>
    </w:p>
    <w:p w14:paraId="7602F518">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2、具备移动终端实时在线互动系统</w:t>
      </w:r>
    </w:p>
    <w:p w14:paraId="6BE95ED3">
      <w:pPr>
        <w:keepLines w:val="0"/>
        <w:pageBreakBefore w:val="0"/>
        <w:numPr>
          <w:ilvl w:val="0"/>
          <w:numId w:val="6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E3E695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1、测量阻抗范围100Ω～10KΩ；测量结果连续显示，显示值与实际值的误差≤±10%。显示阻抗值（Ω）。</w:t>
      </w:r>
    </w:p>
    <w:p w14:paraId="3E4EE63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2、检测电压为7.8V±0.2V（RMS）。</w:t>
      </w:r>
    </w:p>
    <w:p w14:paraId="33E8CC64">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3、直流输出，检测电流≤0.2mA（RMS）。</w:t>
      </w:r>
    </w:p>
    <w:p w14:paraId="0289140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4、检测电极有效尺寸内径9mm±10%。</w:t>
      </w:r>
    </w:p>
    <w:p w14:paraId="4CAC0D48">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5、辅助电极的有效面积≥300mm</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w:t>
      </w:r>
    </w:p>
    <w:p w14:paraId="435E64E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6、检测精度阻抗：R≤3Ω。 辅助电极阻抗：R≤3Ω。</w:t>
      </w:r>
    </w:p>
    <w:p w14:paraId="52FFA32C">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7、软件性能指标</w:t>
      </w:r>
    </w:p>
    <w:p w14:paraId="1B7140C7">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7.1、通过主机硬件设备连接计算机，在windows系统界面下显示人体十二条经络分别对应的穴位图形标示点及穴位位置确定点及文字描述位置确定点。</w:t>
      </w:r>
    </w:p>
    <w:p w14:paraId="3A0BECA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7.2、通过主机硬件设备连接计算机，按着相关控制键可控制主机附属探测采集器发出采集信号</w:t>
      </w:r>
    </w:p>
    <w:p w14:paraId="70B0819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8种检测报告。（五行藏象气血报告、五行藏象阴阳报告、经络虚实分析报告、未病测评报告、足底反射穴位刺激方案、美体塑身健康报告、人体成份报告、针灸艾灸中频电疗穴位方案等）检测报告以数字表格、柱状图形、曲线图和文字形式等方式显示。</w:t>
      </w:r>
    </w:p>
    <w:p w14:paraId="32A5D29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7.4、五行藏象气血报告提示人体五行气血状态。</w:t>
      </w:r>
    </w:p>
    <w:p w14:paraId="086A8BA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7.5、五行藏象阴阳报告提示人体五行阴阳状态。</w:t>
      </w:r>
    </w:p>
    <w:p w14:paraId="51740D9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7.6、经络虚实分析报告显示人体每条经络虚、实信息，中医脏腑关联器官和相对应的临床表现。</w:t>
      </w:r>
    </w:p>
    <w:p w14:paraId="4875FA7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7.7、未病评测报告提示人体相关脏腑功能趋势。</w:t>
      </w:r>
    </w:p>
    <w:p w14:paraId="6220B59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7.8、足底反射穴位刺激方案提供足底反射区治疗方案。</w:t>
      </w:r>
    </w:p>
    <w:p w14:paraId="7FD8F2E1">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7.9、美体塑身健康报告提供美容美体方案。</w:t>
      </w:r>
    </w:p>
    <w:p w14:paraId="5D39B94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7.10、人体成份报告提供人体基础数据、机体成分、脂肪分析、体质指数等各项检测指标。</w:t>
      </w:r>
    </w:p>
    <w:p w14:paraId="567FA1A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7.11、针灸艾灸中频电疗穴位方案提供针灸艾灸治疗穴位。</w:t>
      </w:r>
    </w:p>
    <w:p w14:paraId="6F06906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7.12、、设计使用年限≥10年</w:t>
      </w:r>
    </w:p>
    <w:p w14:paraId="6FB55D6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8、中医辩证问诊系统基于中医国标证为基础，由病症、病因、证型、证候组成。</w:t>
      </w:r>
      <w:r>
        <w:rPr>
          <w:rFonts w:hint="eastAsia" w:ascii="仿宋" w:hAnsi="仿宋" w:eastAsia="仿宋" w:cs="仿宋"/>
          <w:color w:val="auto"/>
          <w:sz w:val="24"/>
          <w:szCs w:val="24"/>
          <w:highlight w:val="none"/>
        </w:rPr>
        <w:t xml:space="preserve">  </w:t>
      </w:r>
    </w:p>
    <w:p w14:paraId="364D6E1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9、配套设备</w:t>
      </w:r>
    </w:p>
    <w:p w14:paraId="6E1E6A80">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9.1、激光双面打印复印机 1台。</w:t>
      </w:r>
    </w:p>
    <w:p w14:paraId="2B8AEAD3">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9.2.台式计算机 1台，</w:t>
      </w: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4EC7C055">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3.电脑桌椅1套</w:t>
      </w:r>
    </w:p>
    <w:p w14:paraId="409267C4">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6A176DB">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p>
    <w:p w14:paraId="036EF831">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2、四诊仪</w:t>
      </w:r>
    </w:p>
    <w:p w14:paraId="2B0D9A8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1、具有舌面象、脉象、体质辨识等中医诊断数据采集与分析功能，提供医疗器械注册证。</w:t>
      </w:r>
    </w:p>
    <w:p w14:paraId="158E104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2、整台仪器各诊可单独使用自动出检测报告。</w:t>
      </w:r>
    </w:p>
    <w:p w14:paraId="0F6CABE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3、具有紫外线消毒功能。</w:t>
      </w:r>
    </w:p>
    <w:p w14:paraId="6E0A9BC6">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3、舌面诊采集单元:</w:t>
      </w:r>
    </w:p>
    <w:p w14:paraId="17895EA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3.1、照度：≥3600Lux。</w:t>
      </w:r>
    </w:p>
    <w:p w14:paraId="7B59EC1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3.2、色温：4500K-7000K。</w:t>
      </w:r>
    </w:p>
    <w:p w14:paraId="43B6D83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3.3、显色指数：Ra≥85。</w:t>
      </w:r>
    </w:p>
    <w:p w14:paraId="07B73FE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3.4、辐射照度：在300nm～2500nm光谱范围内的最大照度时的辐射照度≤350W/m</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w:t>
      </w:r>
    </w:p>
    <w:p w14:paraId="42FACB8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3.5紫外辐射照度：在200nm～400nm光谱范围内的最大照度时的紫外辐射照度≤0.008W/m</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w:t>
      </w:r>
    </w:p>
    <w:p w14:paraId="7B620A88">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3.6分辨率：≥5 lp/mm。</w:t>
      </w:r>
    </w:p>
    <w:p w14:paraId="209FB37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3.7空间色差≤20。</w:t>
      </w:r>
    </w:p>
    <w:p w14:paraId="326592D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3.8相对畸变：≤±5%。</w:t>
      </w:r>
    </w:p>
    <w:p w14:paraId="575E80E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3.9具有对舌图像和面图像的采集、存储和对比功能。</w:t>
      </w:r>
    </w:p>
    <w:p w14:paraId="2670DBD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3.10采用LED光源，高频无闪烁。</w:t>
      </w:r>
    </w:p>
    <w:p w14:paraId="08AC4D4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3.11采集箱内配备风扇。</w:t>
      </w:r>
    </w:p>
    <w:p w14:paraId="5D9D31B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3.12具有紫外线消毒功能</w:t>
      </w:r>
    </w:p>
    <w:p w14:paraId="4657D63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3.13具有对光源辐射的防护措施</w:t>
      </w:r>
    </w:p>
    <w:p w14:paraId="2A9C467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3.14具有远程无线人体舌象信息采集系统、中医舌面象标准化采集系统</w:t>
      </w:r>
    </w:p>
    <w:p w14:paraId="12C312B4">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4.脉诊采集单元：</w:t>
      </w:r>
    </w:p>
    <w:p w14:paraId="7F96700F">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4.1一次伸出长度≤1mm，最大伸出长度≤6mm。</w:t>
      </w:r>
    </w:p>
    <w:p w14:paraId="69C8F9A3">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4.2外加力学量显示范围为30g～300g，允差±15%。</w:t>
      </w:r>
    </w:p>
    <w:p w14:paraId="1D5840EC">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4.3脉压采集范围0～250g，允差±10%。</w:t>
      </w:r>
    </w:p>
    <w:p w14:paraId="3307CBAB">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4.4脉率显示范围40次/min～200次/min，分辨率为1次/min，允差±3次/min。</w:t>
      </w:r>
    </w:p>
    <w:p w14:paraId="220090E4">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4.5传感器的有效表面与脉管垂直的尺寸在3mm～9mm。</w:t>
      </w:r>
    </w:p>
    <w:p w14:paraId="28DE90D4">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4.6动态放大器部分采用交流耦合，时间常数≥2s。</w:t>
      </w:r>
    </w:p>
    <w:p w14:paraId="2CFF4A1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4.7具有中医脉诊3D模型，多维度表达中医脉象特征。</w:t>
      </w:r>
    </w:p>
    <w:p w14:paraId="581A7600">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4.8寸关尺三点脉诊信息同时采集、量化并作出辅助分析。</w:t>
      </w:r>
    </w:p>
    <w:p w14:paraId="3FC739CF">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4.9根据检测结果给出脉象分析：脉率、脉象说明、脉象原理、主病等分析报告。</w:t>
      </w:r>
    </w:p>
    <w:p w14:paraId="72C49810">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4.10根据检测结果给出经络分析：病灶、辩证的分析报告。</w:t>
      </w:r>
    </w:p>
    <w:p w14:paraId="5D3AAE1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4.11根据检测结果给出气血津液：气、血、津、液、注释的分析报告。并进行气血津液，饮湿寒热的预警提示。</w:t>
      </w:r>
    </w:p>
    <w:p w14:paraId="744C6CD2">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4.12根据检测结果给出养生建议：如饮食、运动、生活等报告。</w:t>
      </w:r>
    </w:p>
    <w:p w14:paraId="25661FB9">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4.13具有远程无线人体脉象信息采集系统、中医脉象标准化采集系统</w:t>
      </w:r>
    </w:p>
    <w:p w14:paraId="6E002B2F">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5.问诊采集单元：</w:t>
      </w:r>
    </w:p>
    <w:p w14:paraId="2B2E9B0B">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5.1可对中医九大体质做辨识判定。</w:t>
      </w:r>
    </w:p>
    <w:p w14:paraId="191A4A9E">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5.2可对28种具体体质分型进行判断。</w:t>
      </w:r>
    </w:p>
    <w:p w14:paraId="180CA093">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5.3≥5种中医体质辨识版本，包括但不限于成人版、老年版、孕妇版、儿童版、中医五态人格版等。</w:t>
      </w:r>
    </w:p>
    <w:p w14:paraId="0BD5DF5D">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5.4具有儿童版体质辨识，评估报告，包含如体质类型、总体特征、膳食调养、起居调养、运动调养，小儿推拿调理建议等。</w:t>
      </w:r>
    </w:p>
    <w:p w14:paraId="0B19158E">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5.5中医五态人格辨识功能，评估报告包含：五态人格特征、总体特征、心理调节方案、行为调节方案、音乐调节方案等。</w:t>
      </w:r>
    </w:p>
    <w:p w14:paraId="0EE5C4F1">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5.6中医体质检测结果综合说明，包含特征，体质成因，形体特征，心里特征，发病倾向，常见表现，重点人群，对外界环境适应能力，日常表现等常规提示。</w:t>
      </w:r>
    </w:p>
    <w:p w14:paraId="62186E2C">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5.7中医体质检测健康建议，包含营养膳食，用药参考，中医保健建议，精神调养方案，饮食建议，药膳调补，运动建议，健康生活提示，针对儿童增加起居调养建议，小儿推拿康复建议等。</w:t>
      </w:r>
    </w:p>
    <w:p w14:paraId="71CFE88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5.8具有中医体质辨识标准化采集系统</w:t>
      </w:r>
    </w:p>
    <w:p w14:paraId="62727EA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5.9具有中医辩证问诊系统</w:t>
      </w:r>
    </w:p>
    <w:p w14:paraId="4E8401E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6.配套设备</w:t>
      </w:r>
    </w:p>
    <w:p w14:paraId="3A656479">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6.1激光双面打印复印机 1台。</w:t>
      </w:r>
    </w:p>
    <w:p w14:paraId="2D3EB4BD">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6.2台式计算机 1台，</w:t>
      </w:r>
      <w:r>
        <w:rPr>
          <w:rFonts w:hint="eastAsia" w:ascii="仿宋" w:hAnsi="仿宋" w:eastAsia="仿宋" w:cs="仿宋"/>
          <w:color w:val="auto"/>
          <w:sz w:val="24"/>
          <w:szCs w:val="24"/>
          <w:highlight w:val="none"/>
          <w:lang w:eastAsia="zh-CN"/>
        </w:rPr>
        <w:t>处理器： Intel i5 14代或同级别及以上，集成显卡。内存：≥16GB DDR4，固态硬盘≥1TB显示器：≥23英寸，≥1920×1080，配备HDMI+VGA双接口。</w:t>
      </w:r>
    </w:p>
    <w:p w14:paraId="5049B988">
      <w:pPr>
        <w:pStyle w:val="10"/>
        <w:keepLines w:val="0"/>
        <w:pageBreakBefore w:val="0"/>
        <w:kinsoku/>
        <w:wordWrap/>
        <w:overflowPunct/>
        <w:topLinePunct w:val="0"/>
        <w:autoSpaceDE/>
        <w:autoSpaceDN/>
        <w:bidi w:val="0"/>
        <w:spacing w:before="0" w:after="0" w:line="360" w:lineRule="auto"/>
        <w:ind w:left="48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6.3工作桌椅1套</w:t>
      </w:r>
    </w:p>
    <w:p w14:paraId="09263F32">
      <w:pPr>
        <w:pStyle w:val="17"/>
        <w:numPr>
          <w:ilvl w:val="0"/>
          <w:numId w:val="0"/>
        </w:numPr>
        <w:ind w:leftChars="0"/>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B661FCE">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标项十三</w:t>
      </w:r>
    </w:p>
    <w:p w14:paraId="2810A8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2A2D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B2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243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68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EAC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6D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C1C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C5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5B1B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4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3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中医适宜技术教学实训考核系统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F3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F02">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19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F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660">
            <w:pPr>
              <w:jc w:val="center"/>
              <w:rPr>
                <w:rFonts w:hint="eastAsia" w:ascii="仿宋" w:hAnsi="仿宋" w:eastAsia="仿宋" w:cs="仿宋"/>
                <w:i w:val="0"/>
                <w:iCs w:val="0"/>
                <w:color w:val="auto"/>
                <w:sz w:val="24"/>
                <w:szCs w:val="24"/>
                <w:highlight w:val="none"/>
                <w:u w:val="none"/>
              </w:rPr>
            </w:pPr>
          </w:p>
        </w:tc>
      </w:tr>
      <w:tr w14:paraId="1898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D51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05370D55">
      <w:pPr>
        <w:pStyle w:val="17"/>
        <w:rPr>
          <w:rFonts w:hint="eastAsia" w:ascii="仿宋" w:hAnsi="仿宋" w:eastAsia="仿宋" w:cs="仿宋"/>
          <w:b/>
          <w:bCs/>
          <w:color w:val="auto"/>
          <w:sz w:val="24"/>
          <w:szCs w:val="24"/>
          <w:highlight w:val="none"/>
          <w:lang w:val="en-US" w:eastAsia="zh-CN"/>
        </w:rPr>
      </w:pPr>
    </w:p>
    <w:p w14:paraId="4E3F6EF9">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2B91C49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4BAAA68E">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1、中医适宜技术教学实训考核系统</w:t>
      </w:r>
    </w:p>
    <w:p w14:paraId="2E274FC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一、中医适宜技术智慧实训教学系统（教师机） 1套</w:t>
      </w:r>
    </w:p>
    <w:p w14:paraId="6D66844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1.教师机应包含适宜技术、虚拟展厅、设置等多个单元，多单元在一个程序中操作。</w:t>
      </w:r>
    </w:p>
    <w:p w14:paraId="351500E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2.适宜技术单元包括基础知识、自由练习、试卷考核、病例实训等多个模块。</w:t>
      </w:r>
    </w:p>
    <w:p w14:paraId="6C91EFF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2.1适宜技术-基础知识：</w:t>
      </w:r>
    </w:p>
    <w:p w14:paraId="51D5DE4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2.1.1包含中医内科、妇科、儿科、五官科、外科等多个科别，≥60个疾病的基础知识讲解。</w:t>
      </w:r>
    </w:p>
    <w:p w14:paraId="2D7E5A6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2.1.2疾病可支持查看科别、疾病类别、中医病名及西医病名等基础内容，及疾病概述、诊断要点、病因病机、类症鉴别、推荐检查、证型分型、治疗方案等≥7类内容。</w:t>
      </w:r>
    </w:p>
    <w:p w14:paraId="57127C5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2.1.3疾病的治疗方案包含文字、图片等多种格式。</w:t>
      </w:r>
    </w:p>
    <w:p w14:paraId="3597AB5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包含针刺、推拿、刮痧、拔罐、灸类、敷熨熏浴、地域特色技术及其他分类等≥8种大类，≥120种适宜技术的知识讲解包括但不限于针刺类，推拿类，刮痧类，拔罐类4种，灸类，敷熨熏浴，地域特色技术含藏医、蒙医、傣医、壮医、瑶医等多种。</w:t>
      </w:r>
    </w:p>
    <w:p w14:paraId="53C4014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2.1.5支持查看适宜技术的基本介绍、操作、疾病治疗、注意事项等内容；部分适宜技术的操作中包含操作演示视频。</w:t>
      </w:r>
    </w:p>
    <w:p w14:paraId="72E574F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2.1.6包含≥10个中医科别≥30个的典型病案，支持教师机上传病案。</w:t>
      </w:r>
    </w:p>
    <w:p w14:paraId="3005A4E7">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2243592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2.2适宜技术-自由练习：</w:t>
      </w:r>
    </w:p>
    <w:p w14:paraId="59B7F57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2.2.1包括理论练习和操作练习，自动记录试题练习和操作练习的进度。</w:t>
      </w:r>
    </w:p>
    <w:p w14:paraId="4636542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2.2.2理论练习为随机试题练习，不限定试题类型。</w:t>
      </w:r>
    </w:p>
    <w:p w14:paraId="064D58B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2.2.3支持从处方、毫针针刺、耳针、皮肤针、三棱针、头针、温和灸、雀啄灸、拔罐、走罐、刮痧、推拿等≥30种试题类型中，选择一种或多种试题进行随机试题训练。</w:t>
      </w:r>
    </w:p>
    <w:p w14:paraId="1D66D5E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2.2.4试题训练提交后，可查看答案及试题解析，可显示当前试题作答数量和答对情况。</w:t>
      </w:r>
    </w:p>
    <w:p w14:paraId="49D34B1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2.2.5支持从毫针针刺、刮痧、拔罐、灸法、穴位贴敷中选择操作练习内容，单个手法操作练习数量≥3600种，开始练习后，既可在软件上练习；也可在硬件设备上进行练习。</w:t>
      </w:r>
    </w:p>
    <w:p w14:paraId="23543D9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支持通过不适部位及症状进行疾病方案练习训练，通过点击左侧虚拟小人可选择部位与症状，含男性、女性两个虚拟人体。可根据针刺、刮痧、拔罐、灸法、穴位贴敷查看不同类别的治疗方案，方案种类≥600种。方案介绍包括方案内容与考核内容。</w:t>
      </w:r>
    </w:p>
    <w:p w14:paraId="6DDB3AF3">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2.2.7支持以列表的方式进行方案筛选查看，筛选包括部位与症状。</w:t>
      </w:r>
    </w:p>
    <w:p w14:paraId="1E3A50E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2.2.8训练开始时，可进行器具、体位、物品选择练习，系统会给出正确的答案以供参考。 </w:t>
      </w:r>
    </w:p>
    <w:p w14:paraId="592D1D4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2.2.9在进行毫针针刺练习时，可查看实时操作数据，如针刺深度、针刺角度、旋转情况等。。</w:t>
      </w:r>
    </w:p>
    <w:p w14:paraId="0DBE042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2.2.10支持在选配的仿真模型上进行走罐、刮痧及取穴的模拟操作训练。</w:t>
      </w:r>
    </w:p>
    <w:p w14:paraId="1D7E953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2.2.11使用智能视觉识别，记录在选配的模型上进行的操作路径等内容，进行多维度、数据化的判断，并分析出操作是否正确。</w:t>
      </w:r>
    </w:p>
    <w:p w14:paraId="3702292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2.2.12支持在虚拟人身上进行虚拟艾灸训练，训练隔物灸、悬灸的相关技能。</w:t>
      </w:r>
    </w:p>
    <w:p w14:paraId="5E64C8E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2.2.13操作练习时，支持对模型进行体位切换、一键穿衣。</w:t>
      </w:r>
    </w:p>
    <w:p w14:paraId="5D54E52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547D850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2.3适宜技术-试卷考核：</w:t>
      </w:r>
    </w:p>
    <w:p w14:paraId="08FBAB8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2.3.1支持自定义组卷、随机组卷、试卷预览、下发考试等功能。</w:t>
      </w:r>
    </w:p>
    <w:p w14:paraId="602FBA4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2.3.2当局域网内存在有同系列软件时，教师机可选择试卷向学生机下发试卷开始考核。</w:t>
      </w:r>
    </w:p>
    <w:p w14:paraId="680F250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2.3.3支持教师用户查看不同试卷、不同班级的成绩及错题汇总。</w:t>
      </w:r>
    </w:p>
    <w:p w14:paraId="3AA5A74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57DEB2C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2.4适宜技术-病例训练：</w:t>
      </w:r>
    </w:p>
    <w:p w14:paraId="5D2FB79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2.4.1内置≥40个可用于训练、考核的病例，包括内科、妇科、外科、眼科、耳鼻喉科等科别。</w:t>
      </w:r>
    </w:p>
    <w:p w14:paraId="143EAAF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2.4.2支持病例考核功能，当局域网内存在有同系列软件时，教师机可选择向学生机下发病例开始考核。</w:t>
      </w:r>
    </w:p>
    <w:p w14:paraId="0DE207E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2.4.3教师用户可查看或编辑患者的姓名、性别、年龄等基本信息，病例的主诉、诊查过程，病例的中医疾病诊断、中医证型诊断、西医诊断等诊断信息，病例的治则治法、治疗方案等内容。</w:t>
      </w:r>
    </w:p>
    <w:p w14:paraId="7E2087C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2.4.4病例训练或考核的方式包括治疗方案的选择、治疗方案的编辑、治疗方案的判断、已有处方的审核、操作考核等多种方式。</w:t>
      </w:r>
    </w:p>
    <w:p w14:paraId="703A022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2.4.5治疗方案内置了包含处方、针刺、刮痧、拔罐、穴位贴敷、隔盐灸、温和灸、回旋灸、皮肤针等多种治疗方案。</w:t>
      </w:r>
    </w:p>
    <w:p w14:paraId="110447C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2.4.6支持教师自行选择及编辑病例的正确治疗方案。</w:t>
      </w:r>
    </w:p>
    <w:p w14:paraId="28DD954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2.4.7支持教师选定治疗处方后，对病例的治疗处方进行组成、剂量、煎煮法的调整。</w:t>
      </w:r>
    </w:p>
    <w:p w14:paraId="1B6668D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2.4.8支持教师选定“操作考核”考核方式及治疗方案后，编辑每个治疗方案的考核内容。</w:t>
      </w:r>
    </w:p>
    <w:p w14:paraId="232F756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2.4.9模拟考核功能：支持对多种考核方式（治疗方案的选择、治疗方案的编辑、治疗方案的判断、已有处方的审核、操作考核等）</w:t>
      </w:r>
    </w:p>
    <w:p w14:paraId="7DAED6A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2.4.10支持在选配的仿真模型上进行走罐、刮痧及取穴的模拟考核，并实现操作的分析判断功能。</w:t>
      </w:r>
    </w:p>
    <w:p w14:paraId="001FD00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2.4.11选配模型具有智能视觉识别，记录在实际模型上进行的操作路径等内容，进行多维度、数据化的判断，并分析出操作是否正确。</w:t>
      </w:r>
    </w:p>
    <w:p w14:paraId="448695A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2.4.12支持在选配的针刺智能识别训练装置上通过识别针刺深度、针刺角度、旋转情况等操作考核。</w:t>
      </w:r>
    </w:p>
    <w:p w14:paraId="794C872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2.4.13模拟考核结束、提交后，可查看考核的得分。支持教师查看不同班级、不同病例的历史训练记录和考核记录，查看成绩、错题汇总等内容。</w:t>
      </w:r>
    </w:p>
    <w:p w14:paraId="56FC218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7925BF9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3.虚拟展厅单元</w:t>
      </w:r>
    </w:p>
    <w:p w14:paraId="048797F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3.1展示内容包含针具、拔罐、刮痧等类型器具，≥40个三维虚拟适宜技术操作器具。</w:t>
      </w:r>
    </w:p>
    <w:p w14:paraId="1C52599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3.2三维虚拟器具均可选中，支持任意角度旋转，查看详情介绍等内容。</w:t>
      </w:r>
    </w:p>
    <w:p w14:paraId="6292A63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7B22592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4.设置单元</w:t>
      </w:r>
    </w:p>
    <w:p w14:paraId="4038EF77">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4.1包含教师、学生两种权限账户管理，支持进行用户的增、删、改、查等操作。</w:t>
      </w:r>
    </w:p>
    <w:p w14:paraId="065D411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4.2支持进行单选、多选、判断、填空等多类试题的管理，也支持自行编写、导入试题。</w:t>
      </w:r>
    </w:p>
    <w:p w14:paraId="25AEA17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4.3支持用户自行添加治疗方案，增加范围含处方、针刺、艾灸、刮痧、拔罐等。</w:t>
      </w:r>
    </w:p>
    <w:p w14:paraId="3F87D1B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4.4支持用户自行编辑治疗方案，可上传图片或视频等多媒体资源。</w:t>
      </w:r>
    </w:p>
    <w:p w14:paraId="58E9482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791301F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5.监控功能</w:t>
      </w:r>
    </w:p>
    <w:p w14:paraId="772B1E4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5.1支持共享功能，当局域网内存在有同系列软件时，支持教师机共享当前界面。</w:t>
      </w:r>
    </w:p>
    <w:p w14:paraId="0C98EC6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5.2当局域网内存在同系列软件时，教师机可选择学生机实时查看该学生机当前的屏幕画面，并支持放大、还原学生机的监控画面。</w:t>
      </w:r>
    </w:p>
    <w:p w14:paraId="761F8EE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6.硬件参数</w:t>
      </w:r>
    </w:p>
    <w:p w14:paraId="7C0EFE7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6.1操作平台搭配静音轮台车设计。</w:t>
      </w:r>
    </w:p>
    <w:p w14:paraId="4BE8110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6.2主机要求：内存：≥32G；硬盘：≥固态256G+机械硬盘1T。</w:t>
      </w:r>
    </w:p>
    <w:p w14:paraId="71F4426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6.3≥30寸触摸屏。</w:t>
      </w:r>
    </w:p>
    <w:p w14:paraId="3EDDC9F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6AEFF8E3">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二、中医适宜技术智慧实训教学系统-学生端软件     2套</w:t>
      </w:r>
    </w:p>
    <w:p w14:paraId="4844797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包含适宜技术、虚拟展厅两个单元，两个单元应在一个程序中操作。</w:t>
      </w:r>
    </w:p>
    <w:p w14:paraId="27F6A93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适宜技术单元应包括基础知识、自由练习、考核、病例训练等多个模块。</w:t>
      </w:r>
    </w:p>
    <w:p w14:paraId="4B21575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2.1基础知识模块</w:t>
      </w:r>
    </w:p>
    <w:p w14:paraId="73159FF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2.1.1包含中医内科、妇科、儿科、五官科、外科等多个科别，≥60个疾病的基础知识讲解。</w:t>
      </w:r>
    </w:p>
    <w:p w14:paraId="153A929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2.1.2支持查看科别、疾病类别、中医病名及西医病名等基础内容，及疾病概述、诊断要点、病因病机、类症鉴别、推荐检查、证型分型、治疗方案等。</w:t>
      </w:r>
    </w:p>
    <w:p w14:paraId="16A8F1A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2.1.3治疗方案包含文字、图片等多种格式。</w:t>
      </w:r>
    </w:p>
    <w:p w14:paraId="79E7B3E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包含针刺、推拿、刮痧、拔罐、灸类、敷熨熏浴、地域特色技术等，≥120种适宜技术的知识讲解（包括针刺类，推拿类，刮痧类，拔罐类4种，灸类，敷熨熏浴，地域特色技术含藏医、蒙医、傣医、壮医、瑶医等）。</w:t>
      </w:r>
    </w:p>
    <w:p w14:paraId="4348935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2.1.5支持查看适宜技术的基本介绍、操作、疾病治疗、注意事项等。部分适宜技术的操作包含操作演示视频。</w:t>
      </w:r>
    </w:p>
    <w:p w14:paraId="30589D2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2.1.6典型病案包含≥10个中医科别，≥30个典型病案，供学生查看、学习。</w:t>
      </w:r>
    </w:p>
    <w:p w14:paraId="7739D6E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2.2自由练习模块</w:t>
      </w:r>
    </w:p>
    <w:p w14:paraId="66C807F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2.2.1包括理论练习和操作练习，可自动记录试题练习和操作练习的进度。</w:t>
      </w:r>
    </w:p>
    <w:p w14:paraId="6D24CFF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2.2.2理论练习为随机试题练习，不限定试题类型。</w:t>
      </w:r>
    </w:p>
    <w:p w14:paraId="28048ED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2.2.3支持从处方、毫针针刺、耳针、皮肤针、三棱针、头针、温和灸、雀啄灸、拔罐、走罐、刮痧、推拿等≥30种试题类型中，选择一种或多种试题进行随机试题训练。</w:t>
      </w:r>
    </w:p>
    <w:p w14:paraId="5917B56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2.2.4试题训练提交后，可查看答案及试题解析，可显示当前试题作答数量和答对情况。</w:t>
      </w:r>
    </w:p>
    <w:p w14:paraId="5F097707">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2.2.5支持从毫针针刺、刮痧、拔罐、灸法、穴位贴敷中选择操作练习内容，单个手法操作练习数量≥3600种，开始练习后，既可在软件上进行练习；也可在硬件设备上操作练习。</w:t>
      </w:r>
    </w:p>
    <w:p w14:paraId="0B68280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支持通过不适部位及症状进行疾病方案练习训练，通过点击左侧虚拟小人可选择部位与症状，含男性、女性两个虚拟人体。可根据针刺、刮痧、拔罐、灸法、穴位贴敷查看不同类别的治疗方案，方案种类600种。方案介绍包括方案内容与考核内容，</w:t>
      </w:r>
    </w:p>
    <w:p w14:paraId="2FD8BDF3">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2.2.7支持以列表的方式进行方案筛选查看，筛选包括部位与症状。</w:t>
      </w:r>
    </w:p>
    <w:p w14:paraId="33989B0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2.2.8训练开始时，可进器具、体位、物品选择练习，系统会给出正确的答案以供参考。 </w:t>
      </w:r>
    </w:p>
    <w:p w14:paraId="0206AD9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2.2.9在进行毫针针刺练习时，支持查看实时操作数据针刺深度、针刺角度、旋转情况等。</w:t>
      </w:r>
    </w:p>
    <w:p w14:paraId="78B81A7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2.2.10支持在选配的仿真模型上进行走罐、刮痧及取穴的模拟操作训练。</w:t>
      </w:r>
    </w:p>
    <w:p w14:paraId="47E16E7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2.2.11使用智能视觉识别，记录在选配的模型上进行的操作路径等内容，进行多维度、数据化的判断，并分析出操作是否正确。</w:t>
      </w:r>
    </w:p>
    <w:p w14:paraId="5ECCD5F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2.2.12支持在虚拟人身上进行虚拟艾灸训练，训练隔物灸、悬灸的相关技能。</w:t>
      </w:r>
    </w:p>
    <w:p w14:paraId="4D26B0C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2.2.13操作练习时，支持对模型进行体位切换、透视功能、一键穿衣。</w:t>
      </w:r>
    </w:p>
    <w:p w14:paraId="381EB09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298B9F7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2.3考核模块</w:t>
      </w:r>
    </w:p>
    <w:p w14:paraId="6AA27A0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2.3.1支持学生自行进行模拟考试、错题训练，训练结束、提交后，支持查看成绩、正确答案等内容。</w:t>
      </w:r>
    </w:p>
    <w:p w14:paraId="77B3637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2.3.2当局域网内存在有同系列软件时，支持学生机接收教师机下发的试卷并强制进入试卷考试界面；答卷结束、提交之后，支持学生查看成绩、正确答案等内容。</w:t>
      </w:r>
    </w:p>
    <w:p w14:paraId="61E1E97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3)应支持学生用户查看不同试卷、不同类型的成绩及错题汇总。</w:t>
      </w:r>
    </w:p>
    <w:p w14:paraId="0B8A96F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11DB150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2.4病例训练模块</w:t>
      </w:r>
    </w:p>
    <w:p w14:paraId="5AE01E5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2.4.1内置≥40个可用于训练、考核的病例，包括内科、妇科、外科等科别。</w:t>
      </w:r>
    </w:p>
    <w:p w14:paraId="50C78B7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2.4.2支持病例考核功能，当局域网内存在有同系列软件时，学生机可接收教师机下发的病例并直接进入病例考核。</w:t>
      </w:r>
    </w:p>
    <w:p w14:paraId="264B213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2.4.3学生用户可查看患者的姓名、性别、年龄等基本信息，病例的主诉、诊查过程，病例的中医疾病诊断、中医证型诊断等诊断信息，病例的治则治法等内容，对治疗方案进行作答。</w:t>
      </w:r>
    </w:p>
    <w:p w14:paraId="0812984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2.4.4病例训练或考核的方式包括治疗方案的选择、治疗方案的编辑、治疗方案的判断、已有处方的审核、操作考核等多种方式。</w:t>
      </w:r>
    </w:p>
    <w:p w14:paraId="6AF2A86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2.4.5治疗方案内置处方、针刺、刮痧、拔罐、穴位贴敷、隔盐灸、温和灸、回旋灸、皮肤针等。</w:t>
      </w:r>
    </w:p>
    <w:p w14:paraId="48E9A59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2.4.6支持学生自行选择病例的正确治疗方案，提交后可查看得分及正确答案。</w:t>
      </w:r>
    </w:p>
    <w:p w14:paraId="6F4A6D5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2.4.7支持学生从已有处方中选择当前处方错误的内容，选择完成之后，提交可查看得分及正确答案。</w:t>
      </w:r>
    </w:p>
    <w:p w14:paraId="111BC6B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2.4.8支持在选配的仿真模型上进行走罐、刮痧及取穴的模拟考核，并实现操作的分析判断功能。</w:t>
      </w:r>
    </w:p>
    <w:p w14:paraId="39EDB65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2.4.9可使用选配模型的智能视觉识别，记录在实际模型上进行的操作路径等内容，进行多维度、数据化的判断，并分析出操作是否正确。</w:t>
      </w:r>
    </w:p>
    <w:p w14:paraId="37703AF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2.4.10支持在选配的针刺智能识别训练装置上通过识别针刺深度、针刺角度、旋转情况等，实现手法操作考核。</w:t>
      </w:r>
    </w:p>
    <w:p w14:paraId="7DD165B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2.4.11训练或考核结束、提交后，可查看考核的得分。支持学生查看个人不同病例的历史训练记录和考核记录，查看成绩、错题等内容。</w:t>
      </w:r>
    </w:p>
    <w:p w14:paraId="03A20CE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2515F76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3.虚拟展厅单元</w:t>
      </w:r>
    </w:p>
    <w:p w14:paraId="4721B9E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3.1展示内容包含针刺、拔罐、刮痧等器具，≥40个三维虚拟适宜技术操作器具。</w:t>
      </w:r>
    </w:p>
    <w:p w14:paraId="67FAF4C2">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3.2三维虚拟器具均可选中，支持任意角度旋转。</w:t>
      </w:r>
    </w:p>
    <w:p w14:paraId="4CE07EE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2447150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4.硬件参数</w:t>
      </w:r>
    </w:p>
    <w:p w14:paraId="6FD3BFC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4.1主机配置：内存：≥32G；</w:t>
      </w:r>
    </w:p>
    <w:p w14:paraId="05AC3A4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4.2硬盘：≥256G固态+1T机械。</w:t>
      </w:r>
    </w:p>
    <w:p w14:paraId="527FB313">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4.3电脑桌椅：2套</w:t>
      </w:r>
    </w:p>
    <w:p w14:paraId="46B2F67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显示屏大小按科室需求配置</w:t>
      </w:r>
    </w:p>
    <w:p w14:paraId="1670216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1E036C2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三、仿真人体实训模块</w:t>
      </w:r>
    </w:p>
    <w:p w14:paraId="395A59E8">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1.包含：智能定位操作台、视觉识别摄像头、多功能背部操作仿真模型等。</w:t>
      </w:r>
    </w:p>
    <w:p w14:paraId="2EEE749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2.智能定位操作台支持电动升降；桌面应具有≥8个视觉识别标记点位。</w:t>
      </w:r>
    </w:p>
    <w:p w14:paraId="57844C97">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3.视觉识别摄像头分辨率≥1024×768。</w:t>
      </w:r>
    </w:p>
    <w:p w14:paraId="235D6151">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4.多功能背部操作仿真模型：尺寸约875mm×370mm×140mm（L×W×H）</w:t>
      </w:r>
    </w:p>
    <w:p w14:paraId="6524B93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5.由头部至臀裂处，模型具有和真人相近的背部肌肉造型，模型具有完整头部外形；模拟皮肤柔软有弹性，采用耐火、耐高温复合材料制成，可进行真实的拔罐、艾灸操作；</w:t>
      </w:r>
    </w:p>
    <w:p w14:paraId="752FBFF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6.模型具有真实的背部骨性标志，可触及肩胛骨、第7颈椎、各胸椎、腰椎的棘突等。</w:t>
      </w:r>
    </w:p>
    <w:p w14:paraId="19518B4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7.支持进行操作练习，从刮痧、走罐、穴位定位中选择操作练习内容。</w:t>
      </w:r>
    </w:p>
    <w:p w14:paraId="1C9BB7C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8.支持在仿真模型上进行走罐、刮痧及取穴的模拟考核，并实现操作的分析判断功能。</w:t>
      </w:r>
    </w:p>
    <w:p w14:paraId="2B4BD98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9.支持使用智能视觉识别，记录在实际模型上进行的操作路径等内容，在中医适宜技术智慧实训教学系统上进行多维度、数据化的判断，并分析出操作是否正确。</w:t>
      </w:r>
    </w:p>
    <w:p w14:paraId="38FE049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28812B3A">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四、仿真人体实训模块</w:t>
      </w:r>
    </w:p>
    <w:p w14:paraId="50357AF6">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1、硬件包含：智能定位操作台、视觉识别摄像头、多功能针灸仿真模</w:t>
      </w:r>
    </w:p>
    <w:p w14:paraId="644B9D27">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2、智能定位操作台支持电动升降；桌面应具有≥8个视觉识别标记点位。</w:t>
      </w:r>
    </w:p>
    <w:p w14:paraId="0B720435">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3、视觉识别摄像头分辨率≥1024×768。</w:t>
      </w:r>
    </w:p>
    <w:p w14:paraId="7308523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多功能针灸仿真模型含针灸头部模型、针灸臀部模型、针灸手臂模型，模拟成年男性的体型，具有与人体相同的皮肤手感；穴位标记常见光下不可见，使用配备的专用光源的照射下可显现。可进行多种针刺方法的训练，针刺手感真实；</w:t>
      </w:r>
    </w:p>
    <w:p w14:paraId="202CE41B">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针灸头部训练模型：头围约55cm；模型上标记有≥20个常用穴位，如百会，四神聪，太阳，风池，头维，率谷，翳风，颊车，下关，地仓，四白，睛明，攒竹，鱼腰，耳门，听宫，听会，水沟，头临泣，印堂等；</w:t>
      </w:r>
    </w:p>
    <w:p w14:paraId="5B02280C">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针灸臀部训练模型：臀围约90cm；模型上标记≥20个常用穴位，如环跳、长强、会阳、神阙、关元、气海、天枢、归来、大横、承扶、居髎、维道、五枢、带脉、腰阳关、大肠俞、小肠俞、膀胱俞、秩边、次髎等；</w:t>
      </w:r>
    </w:p>
    <w:p w14:paraId="6D942E5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针灸手臂训练模型：模拟成人手臂外观，手臂外皮采用仿真性材质制作，有皮肤纹理，触之柔软；解剖结构包括尺骨、桡骨、尺骨鹰嘴等；可进行≥40个上肢常用穴（如合谷、曲池、列缺及上肢五腧穴等）的定位、针刺示教、练习及考核；</w:t>
      </w:r>
    </w:p>
    <w:p w14:paraId="248EC73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8、可在中医适宜技术智慧实训教学系统上进行多维度、数据化的判断，并分析出操作是否正确。</w:t>
      </w:r>
    </w:p>
    <w:p w14:paraId="75184C8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p w14:paraId="1E688AD9">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五、针刺训练模块    1台</w:t>
      </w:r>
    </w:p>
    <w:p w14:paraId="78E7059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1.硬件包含针刺智能识别训练装置（内置针刺盒与穿刺针）、硅胶类仿真皮肤，数据识别摄像头。</w:t>
      </w:r>
    </w:p>
    <w:p w14:paraId="7511C85F">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2.尺寸约320mm×220mm×260mm（L×W×H）。</w:t>
      </w:r>
    </w:p>
    <w:p w14:paraId="2DE81980">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3.进行针刺训练的区域为硅胶类仿真皮肤，区域面积≥140mm×70mm（L×W），深度≥65mm。</w:t>
      </w:r>
    </w:p>
    <w:p w14:paraId="5FA8E504">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4.数据识别摄像头，识别分辨率≥1280x1024、识别帧率≥210FPS，摄像头自带补光灯。</w:t>
      </w:r>
    </w:p>
    <w:p w14:paraId="329036ED">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5.可通过视频识别的方式识别针刺姿态与软件实现联动。在进行毫针针刺练习时，支持查看实时操作数据，辅助学生进行手法操作的练习。</w:t>
      </w:r>
    </w:p>
    <w:p w14:paraId="414ACDCE">
      <w:pPr>
        <w:keepLines w:val="0"/>
        <w:pageBreakBefore w:val="0"/>
        <w:kinsoku/>
        <w:wordWrap/>
        <w:overflowPunct/>
        <w:topLinePunct w:val="0"/>
        <w:autoSpaceDE/>
        <w:autoSpaceDN/>
        <w:bidi w:val="0"/>
        <w:spacing w:line="360" w:lineRule="auto"/>
        <w:ind w:firstLine="0" w:firstLineChars="0"/>
        <w:jc w:val="left"/>
        <w:rPr>
          <w:rFonts w:hint="eastAsia" w:ascii="仿宋" w:hAnsi="仿宋" w:eastAsia="仿宋" w:cs="仿宋"/>
          <w:color w:val="auto"/>
          <w:sz w:val="24"/>
          <w:szCs w:val="24"/>
          <w:highlight w:val="none"/>
        </w:rPr>
      </w:pPr>
    </w:p>
    <w:tbl>
      <w:tblPr>
        <w:tblStyle w:val="27"/>
        <w:tblW w:w="9130" w:type="dxa"/>
        <w:jc w:val="center"/>
        <w:tblLayout w:type="fixed"/>
        <w:tblCellMar>
          <w:top w:w="0" w:type="dxa"/>
          <w:left w:w="108" w:type="dxa"/>
          <w:bottom w:w="0" w:type="dxa"/>
          <w:right w:w="108" w:type="dxa"/>
        </w:tblCellMar>
      </w:tblPr>
      <w:tblGrid>
        <w:gridCol w:w="854"/>
        <w:gridCol w:w="7414"/>
        <w:gridCol w:w="862"/>
      </w:tblGrid>
      <w:tr w14:paraId="3142101C">
        <w:tblPrEx>
          <w:tblCellMar>
            <w:top w:w="0" w:type="dxa"/>
            <w:left w:w="108" w:type="dxa"/>
            <w:bottom w:w="0" w:type="dxa"/>
            <w:right w:w="108" w:type="dxa"/>
          </w:tblCellMar>
        </w:tblPrEx>
        <w:trPr>
          <w:tblHeader/>
          <w:jc w:val="center"/>
        </w:trPr>
        <w:tc>
          <w:tcPr>
            <w:tcW w:w="9130" w:type="dxa"/>
            <w:gridSpan w:val="3"/>
            <w:tcBorders>
              <w:top w:val="single" w:color="000000" w:sz="4" w:space="0"/>
              <w:left w:val="single" w:color="000000" w:sz="4" w:space="0"/>
              <w:bottom w:val="single" w:color="000000" w:sz="4" w:space="0"/>
              <w:right w:val="single" w:color="000000" w:sz="4" w:space="0"/>
            </w:tcBorders>
            <w:noWrap w:val="0"/>
            <w:vAlign w:val="center"/>
          </w:tcPr>
          <w:p w14:paraId="4F645647">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bCs/>
                <w:color w:val="auto"/>
                <w:sz w:val="24"/>
                <w:szCs w:val="24"/>
                <w:highlight w:val="none"/>
              </w:rPr>
            </w:pPr>
            <w:r>
              <w:rPr>
                <w:rStyle w:val="50"/>
                <w:rFonts w:hint="eastAsia" w:ascii="仿宋" w:hAnsi="仿宋" w:eastAsia="仿宋" w:cs="仿宋"/>
                <w:color w:val="auto"/>
                <w:sz w:val="24"/>
                <w:szCs w:val="24"/>
                <w:highlight w:val="none"/>
                <w:lang w:bidi="ar"/>
              </w:rPr>
              <w:t>配置要求</w:t>
            </w:r>
          </w:p>
        </w:tc>
      </w:tr>
      <w:tr w14:paraId="2DB0907A">
        <w:tblPrEx>
          <w:tblCellMar>
            <w:top w:w="0" w:type="dxa"/>
            <w:left w:w="108" w:type="dxa"/>
            <w:bottom w:w="0" w:type="dxa"/>
            <w:right w:w="108" w:type="dxa"/>
          </w:tblCellMar>
        </w:tblPrEx>
        <w:trPr>
          <w:tblHeade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2B494FD1">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序号</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27148C91">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名称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F6CB767">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数量</w:t>
            </w:r>
          </w:p>
        </w:tc>
      </w:tr>
      <w:tr w14:paraId="65608049">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38E9EF7A">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6BE45CD1">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中医适宜技术智慧实训教学系统-教师机</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B6AF250">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r>
      <w:tr w14:paraId="6C8CB811">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68B46665">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71476E14">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中医适宜技术智慧实训教学系统-学生端软件</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57910F9">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r>
      <w:tr w14:paraId="249E78AA">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3BD304A1">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78CF7BFF">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仿真人体实训模块1(含电动升降桌、相机、相机支架）</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6A53CF5">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r>
      <w:tr w14:paraId="10330158">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73EC94B5">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75814134">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仿真人体实训模块2（含电动升降桌、相机、相机支架）</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F968F43">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r>
      <w:tr w14:paraId="1375C827">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38D1A8F2">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69BD2339">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仿真人体实训模块-针刺模块（含针刺针）</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F1D6B20">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r>
      <w:tr w14:paraId="7157F07B">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525375A9">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37C4A4EB">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电脑-用于安装学生端软件</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7B11824">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w:t>
            </w:r>
          </w:p>
        </w:tc>
      </w:tr>
      <w:tr w14:paraId="74F60D59">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3D8E3DD2">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4E08A791">
            <w:pPr>
              <w:keepLines w:val="0"/>
              <w:pageBreakBefore w:val="0"/>
              <w:widowControl/>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黑白激光双面打印</w:t>
            </w:r>
            <w:r>
              <w:rPr>
                <w:rFonts w:hint="eastAsia" w:ascii="仿宋" w:hAnsi="仿宋" w:eastAsia="仿宋" w:cs="仿宋"/>
                <w:color w:val="auto"/>
                <w:sz w:val="24"/>
                <w:szCs w:val="24"/>
                <w:highlight w:val="none"/>
                <w:lang w:val="en-US" w:eastAsia="zh-CN"/>
              </w:rPr>
              <w:t>复印</w:t>
            </w:r>
            <w:r>
              <w:rPr>
                <w:rFonts w:hint="eastAsia" w:ascii="仿宋" w:hAnsi="仿宋" w:eastAsia="仿宋" w:cs="仿宋"/>
                <w:color w:val="auto"/>
                <w:sz w:val="24"/>
                <w:szCs w:val="24"/>
                <w:highlight w:val="none"/>
              </w:rPr>
              <w:t>机</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9DEC65B">
            <w:pPr>
              <w:keepLines w:val="0"/>
              <w:pageBreakBefore w:val="0"/>
              <w:widowControl/>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p>
        </w:tc>
      </w:tr>
      <w:tr w14:paraId="166D26C5">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443F80A0">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505DBDC5">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笔记本电脑（按客户需求配置）</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5A03735">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r>
      <w:tr w14:paraId="0B433F1C">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180ADB96">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3D65A967">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扩音器（30W大功率、40000mAh、3.0降噪）</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5E3A6A0">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11B0C94B">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72646438">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4DCD0F2D">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硬盘（1TB、传输速度2000MB/s）</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C837B75">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r>
      <w:tr w14:paraId="036FC55E">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121520C0">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5ADE9F30">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木质多层展示柜（实木、隔板厚度18mm、箱框结构、1.6m*2.0m）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365301A">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r>
      <w:tr w14:paraId="70070582">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5374CE4E">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5A4809EC">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虎符铜砭刮痧板（180mm、132mm  纯铜）</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D3F4FD1">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r>
      <w:tr w14:paraId="6B39C54B">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1C47002B">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681C3164">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火龙罐1套（砭石材质、直径≥9.2cm、≥7.2cm、≥6cm）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8E3059D">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r>
      <w:tr w14:paraId="6ACFFF92">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7EA39484">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759AB21F">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玻璃火罐（4号火罐、罐口内径5.3cm）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98F3225">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50</w:t>
            </w:r>
          </w:p>
        </w:tc>
      </w:tr>
      <w:tr w14:paraId="2FFF14C2">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2B7241B7">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2D10D850">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艾灸盒（木质艾灸盒、两柱、三柱）</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7F4064D">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323DB595">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74D67862">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082C2453">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脉枕（可拆洗、内里添加荞麦壳）</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4F34717">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3DC0B3F0">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0C3B6125">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243311AB">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U盘（USB3.2   64GB）</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F015C9F">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2C3E3C06">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390FDBA6">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0D8A60C0">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激光翻页笔（PPT翻页笔、充电款、220mAh电池）</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67E1E83">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w:t>
            </w:r>
          </w:p>
        </w:tc>
      </w:tr>
      <w:tr w14:paraId="267A446E">
        <w:tblPrEx>
          <w:tblCellMar>
            <w:top w:w="0" w:type="dxa"/>
            <w:left w:w="108" w:type="dxa"/>
            <w:bottom w:w="0" w:type="dxa"/>
            <w:right w:w="108" w:type="dxa"/>
          </w:tblCellMar>
        </w:tblPrEx>
        <w:trPr>
          <w:jc w:val="center"/>
        </w:trPr>
        <w:tc>
          <w:tcPr>
            <w:tcW w:w="854" w:type="dxa"/>
            <w:tcBorders>
              <w:top w:val="single" w:color="000000" w:sz="4" w:space="0"/>
              <w:left w:val="single" w:color="000000" w:sz="4" w:space="0"/>
              <w:bottom w:val="single" w:color="000000" w:sz="4" w:space="0"/>
              <w:right w:val="single" w:color="000000" w:sz="4" w:space="0"/>
            </w:tcBorders>
            <w:noWrap/>
            <w:vAlign w:val="center"/>
          </w:tcPr>
          <w:p w14:paraId="7192168D">
            <w:pPr>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14:paraId="002D42D2">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过塑机（可塑封A3、A4、8寸幅面）</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4FF4D10">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r>
    </w:tbl>
    <w:p w14:paraId="4F514DB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65C256C">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标项十四</w:t>
      </w:r>
    </w:p>
    <w:p w14:paraId="1147D3F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3EFC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28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40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E9B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C0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78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431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EC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5C0A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3D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7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药师合理用药审方系统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D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627">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84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A5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32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0024">
            <w:pPr>
              <w:jc w:val="center"/>
              <w:rPr>
                <w:rFonts w:hint="eastAsia" w:ascii="仿宋" w:hAnsi="仿宋" w:eastAsia="仿宋" w:cs="仿宋"/>
                <w:i w:val="0"/>
                <w:iCs w:val="0"/>
                <w:color w:val="auto"/>
                <w:sz w:val="24"/>
                <w:szCs w:val="24"/>
                <w:highlight w:val="none"/>
                <w:u w:val="none"/>
              </w:rPr>
            </w:pPr>
          </w:p>
        </w:tc>
      </w:tr>
      <w:tr w14:paraId="3ED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D470A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1C2D4C4B">
      <w:pPr>
        <w:pStyle w:val="17"/>
        <w:rPr>
          <w:rFonts w:hint="eastAsia" w:ascii="仿宋" w:hAnsi="仿宋" w:eastAsia="仿宋" w:cs="仿宋"/>
          <w:b/>
          <w:bCs/>
          <w:color w:val="auto"/>
          <w:sz w:val="24"/>
          <w:szCs w:val="24"/>
          <w:highlight w:val="none"/>
          <w:lang w:val="en-US" w:eastAsia="zh-CN"/>
        </w:rPr>
      </w:pPr>
    </w:p>
    <w:p w14:paraId="0F863480">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1FC170D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29D44E4D">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1、药师合理用药审方系统</w:t>
      </w:r>
    </w:p>
    <w:p w14:paraId="32B538FE">
      <w:pPr>
        <w:keepLines w:val="0"/>
        <w:pageBreakBefore w:val="0"/>
        <w:numPr>
          <w:ilvl w:val="0"/>
          <w:numId w:val="6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招标清单</w:t>
      </w:r>
    </w:p>
    <w:tbl>
      <w:tblPr>
        <w:tblStyle w:val="2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208"/>
        <w:gridCol w:w="5202"/>
      </w:tblGrid>
      <w:tr w14:paraId="1D6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8" w:type="dxa"/>
            <w:noWrap w:val="0"/>
            <w:vAlign w:val="center"/>
          </w:tcPr>
          <w:p w14:paraId="1E86EF50">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208" w:type="dxa"/>
            <w:noWrap w:val="0"/>
            <w:vAlign w:val="center"/>
          </w:tcPr>
          <w:p w14:paraId="7390B095">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产品模块</w:t>
            </w:r>
          </w:p>
        </w:tc>
        <w:tc>
          <w:tcPr>
            <w:tcW w:w="5202" w:type="dxa"/>
            <w:noWrap w:val="0"/>
            <w:vAlign w:val="center"/>
          </w:tcPr>
          <w:p w14:paraId="46E97012">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建设范围</w:t>
            </w:r>
          </w:p>
        </w:tc>
      </w:tr>
      <w:tr w14:paraId="6C6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D343BC7">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08" w:type="dxa"/>
            <w:noWrap w:val="0"/>
            <w:vAlign w:val="center"/>
          </w:tcPr>
          <w:p w14:paraId="47024DBE">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合理用药监测系统</w:t>
            </w:r>
          </w:p>
        </w:tc>
        <w:tc>
          <w:tcPr>
            <w:tcW w:w="5202" w:type="dxa"/>
            <w:noWrap w:val="0"/>
            <w:vAlign w:val="center"/>
          </w:tcPr>
          <w:p w14:paraId="34655C92">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玛纳斯县人民医院、中医医院、妇幼保健院。</w:t>
            </w:r>
          </w:p>
        </w:tc>
      </w:tr>
      <w:tr w14:paraId="3F3E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FF22C8B">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208" w:type="dxa"/>
            <w:noWrap w:val="0"/>
            <w:vAlign w:val="center"/>
          </w:tcPr>
          <w:p w14:paraId="6817620A">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药师审方干预功能</w:t>
            </w:r>
          </w:p>
        </w:tc>
        <w:tc>
          <w:tcPr>
            <w:tcW w:w="5202" w:type="dxa"/>
            <w:noWrap w:val="0"/>
            <w:vAlign w:val="center"/>
          </w:tcPr>
          <w:p w14:paraId="267FF3BD">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玛纳斯县人民医院、中医医院、妇幼保健院。</w:t>
            </w:r>
          </w:p>
        </w:tc>
      </w:tr>
      <w:tr w14:paraId="7A5E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4283C23">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208" w:type="dxa"/>
            <w:noWrap w:val="0"/>
            <w:vAlign w:val="center"/>
          </w:tcPr>
          <w:p w14:paraId="72468916">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临床药学处方点评数据上报</w:t>
            </w:r>
          </w:p>
        </w:tc>
        <w:tc>
          <w:tcPr>
            <w:tcW w:w="5202" w:type="dxa"/>
            <w:noWrap w:val="0"/>
            <w:vAlign w:val="center"/>
          </w:tcPr>
          <w:p w14:paraId="48C2DD69">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玛纳斯县人民医院、中医医院、妇幼保健院。</w:t>
            </w:r>
          </w:p>
        </w:tc>
      </w:tr>
      <w:tr w14:paraId="7B3D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708FF77">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208" w:type="dxa"/>
            <w:noWrap w:val="0"/>
            <w:vAlign w:val="center"/>
          </w:tcPr>
          <w:p w14:paraId="29E284A3">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药物信息查询功能</w:t>
            </w:r>
          </w:p>
        </w:tc>
        <w:tc>
          <w:tcPr>
            <w:tcW w:w="5202" w:type="dxa"/>
            <w:noWrap w:val="0"/>
            <w:vAlign w:val="center"/>
          </w:tcPr>
          <w:p w14:paraId="7037939F">
            <w:pPr>
              <w:keepNext/>
              <w:keepLines w:val="0"/>
              <w:pageBreakBefore w:val="0"/>
              <w:kinsoku/>
              <w:wordWrap/>
              <w:overflowPunct/>
              <w:topLinePunct w:val="0"/>
              <w:autoSpaceDE/>
              <w:autoSpaceDN/>
              <w:bidi w:val="0"/>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玛纳斯县人民医院、中医医院、妇幼保健院。</w:t>
            </w:r>
          </w:p>
        </w:tc>
      </w:tr>
    </w:tbl>
    <w:p w14:paraId="0BB56689">
      <w:pPr>
        <w:keepLines w:val="0"/>
        <w:pageBreakBefore w:val="0"/>
        <w:numPr>
          <w:ilvl w:val="0"/>
          <w:numId w:val="61"/>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招标参数要求</w:t>
      </w:r>
    </w:p>
    <w:p w14:paraId="64FEC840">
      <w:pPr>
        <w:keepLines w:val="0"/>
        <w:pageBreakBefore w:val="0"/>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bookmarkStart w:id="108" w:name="_Toc17623"/>
      <w:r>
        <w:rPr>
          <w:rFonts w:hint="eastAsia" w:ascii="仿宋" w:hAnsi="仿宋" w:eastAsia="仿宋" w:cs="仿宋"/>
          <w:color w:val="auto"/>
          <w:sz w:val="24"/>
          <w:szCs w:val="24"/>
          <w:highlight w:val="none"/>
        </w:rPr>
        <w:t>(一)总体目标</w:t>
      </w:r>
      <w:bookmarkEnd w:id="108"/>
      <w:bookmarkStart w:id="109" w:name="OLE_LINK7"/>
    </w:p>
    <w:p w14:paraId="5857214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建全区一体化合理用药管理平台，该平台不仅能帮助药学人员快速开展跨机构合理用药审查、前置审方和处方点评等工作，还能促进统一标准的药品知识库、药品审查规则库、药学服务健康教育资料库等数据库的建立，使得各医疗机构能够开展同质化药学服务，大大提升基层医疗机构合理用药整体水平，保障患者用药安全。</w:t>
      </w:r>
    </w:p>
    <w:bookmarkEnd w:id="109"/>
    <w:tbl>
      <w:tblPr>
        <w:tblStyle w:val="27"/>
        <w:tblW w:w="9130" w:type="dxa"/>
        <w:jc w:val="center"/>
        <w:tblLayout w:type="fixed"/>
        <w:tblCellMar>
          <w:top w:w="0" w:type="dxa"/>
          <w:left w:w="108" w:type="dxa"/>
          <w:bottom w:w="0" w:type="dxa"/>
          <w:right w:w="108" w:type="dxa"/>
        </w:tblCellMar>
      </w:tblPr>
      <w:tblGrid>
        <w:gridCol w:w="1852"/>
        <w:gridCol w:w="1125"/>
        <w:gridCol w:w="6153"/>
      </w:tblGrid>
      <w:tr w14:paraId="7963A43C">
        <w:tblPrEx>
          <w:tblCellMar>
            <w:top w:w="0" w:type="dxa"/>
            <w:left w:w="108" w:type="dxa"/>
            <w:bottom w:w="0" w:type="dxa"/>
            <w:right w:w="108" w:type="dxa"/>
          </w:tblCellMar>
        </w:tblPrEx>
        <w:trPr>
          <w:tblHeader/>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36D36DC4">
            <w:pPr>
              <w:keepNext/>
              <w:keepLines w:val="0"/>
              <w:pageBreakBefore w:val="0"/>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模块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DAB5D8">
            <w:pPr>
              <w:keepNext/>
              <w:keepLines w:val="0"/>
              <w:pageBreakBefore w:val="0"/>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子模块</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2BCC82F">
            <w:pPr>
              <w:keepNext/>
              <w:keepLines w:val="0"/>
              <w:pageBreakBefore w:val="0"/>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参数需求</w:t>
            </w:r>
          </w:p>
        </w:tc>
      </w:tr>
      <w:tr w14:paraId="1E701044">
        <w:tblPrEx>
          <w:tblCellMar>
            <w:top w:w="0" w:type="dxa"/>
            <w:left w:w="108" w:type="dxa"/>
            <w:bottom w:w="0" w:type="dxa"/>
            <w:right w:w="108" w:type="dxa"/>
          </w:tblCellMar>
        </w:tblPrEx>
        <w:trPr>
          <w:jc w:val="center"/>
        </w:trPr>
        <w:tc>
          <w:tcPr>
            <w:tcW w:w="2977" w:type="dxa"/>
            <w:gridSpan w:val="2"/>
            <w:tcBorders>
              <w:top w:val="single" w:color="000000" w:sz="4" w:space="0"/>
              <w:left w:val="single" w:color="000000" w:sz="4" w:space="0"/>
              <w:bottom w:val="single" w:color="000000" w:sz="4" w:space="0"/>
              <w:right w:val="single" w:color="000000" w:sz="4" w:space="0"/>
            </w:tcBorders>
            <w:noWrap/>
            <w:vAlign w:val="center"/>
          </w:tcPr>
          <w:p w14:paraId="473A9F3D">
            <w:pPr>
              <w:keepNext/>
              <w:keepLines w:val="0"/>
              <w:pageBreakBefore w:val="0"/>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整体要求</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25ACD9F">
            <w:pPr>
              <w:keepNext/>
              <w:keepLines w:val="0"/>
              <w:pageBreakBefore w:val="0"/>
              <w:kinsoku/>
              <w:wordWrap/>
              <w:overflowPunct/>
              <w:topLinePunct w:val="0"/>
              <w:autoSpaceDE/>
              <w:autoSpaceDN/>
              <w:bidi w:val="0"/>
              <w:snapToGrid w:val="0"/>
              <w:spacing w:line="36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一）软件应具有良好的稳定性、兼容性（软件需与人民医院院区、中医医院院区、妇幼保健院院区的HIS软件系统和甲方要求的其他系统、软件进行接口对接和数据交互，并具有良好的架构，易于扩展和维护和安全性。（本项目中所涉及到的接口费，全部由中标供应商承担）</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（二）界面友好、操作方便、结果清晰明了，运行速度快，无明显的并发延迟。允许操作使用人员根据自己的习惯对相关功能进行个性化设置。</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（三）应通过对数据进行预处理等手段以提高系统运行和统计效率。</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（四）所有采购内容全部包含3个院区（人民医院院区、中医医院院区、妇幼保健院院区）支持区域化管理、一体化运营，实现资源共享。</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五）质保期内，数据库、知识库、规则库免费升级。在医院电子病历应用水平评审、等级医院评审等各种评审、评价过程中提供现场支持。由于信息系统改造（包括但不限于：数据平台对接，单点登录等应用场景）过程中与所投产品的数据交换功能不再收取任何费用。</w:t>
            </w:r>
          </w:p>
        </w:tc>
      </w:tr>
      <w:tr w14:paraId="1C9730D7">
        <w:tblPrEx>
          <w:tblCellMar>
            <w:top w:w="0" w:type="dxa"/>
            <w:left w:w="108" w:type="dxa"/>
            <w:bottom w:w="0" w:type="dxa"/>
            <w:right w:w="108" w:type="dxa"/>
          </w:tblCellMar>
        </w:tblPrEx>
        <w:trPr>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64E48">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合理用药监测系统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618CD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处方（医嘱）用药审查功能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AD1586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住院医嘱支持用药天数预警，提醒医生及时调整用药方案。</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超多日用量审查可结合退费情况，管控提前取药患者药量累计持有天数。</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利用大数据分析，自动生成药品品种单次异常剂量审查规则。</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相互作用联合审查可排除已服用完毕的药品。</w:t>
            </w:r>
          </w:p>
        </w:tc>
      </w:tr>
      <w:tr w14:paraId="1CB31F2B">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4BF7B">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5B4E6E">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药品信息提示功能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4DBFE75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可快捷查看药品相关重要信息；药品厂家说明书，并可查看药监局发布的说明书修订勘误，修改和新增药品说明书内容；查询相应药品的中药材专论信息。</w:t>
            </w:r>
          </w:p>
        </w:tc>
      </w:tr>
      <w:tr w14:paraId="340BA073">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CB1FD">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A2235D">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质子泵抑制药专项管控</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1AD01D1">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医生开具质子泵抑制剂药品时，需填写用药评估单。提供评估单专项统计分析。</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▲系统可评估患者病生状态，若存在应激性溃疡风险，提供质子泵抑制剂用药建议。</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围术期不合理使用质子泵抑制剂时，系统可警示医生。</w:t>
            </w:r>
          </w:p>
        </w:tc>
      </w:tr>
      <w:tr w14:paraId="7E57FCC3">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12278">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84A09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协定方专项管控</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C69976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系统提供医院中药协定方证型适宜性审查。</w:t>
            </w:r>
          </w:p>
        </w:tc>
      </w:tr>
      <w:tr w14:paraId="2996A2E9">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41614">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E8A6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经验性用药专项管控</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918CDE5">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系统提供抗肿瘤药物过敏反应预处理用药合理性审查。</w:t>
            </w:r>
          </w:p>
        </w:tc>
      </w:tr>
      <w:tr w14:paraId="4D8C1116">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49934">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6EFD7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抗菌药物专项管控</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0005C4D">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医生开具预防用抗菌药物时，需填写用药评估单，评估单区分非手术预防用药和手术预防用药。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系统提供抗菌药物用药指征审查。医生开具抗菌药物必须有用药指征，否则系统将予以警示。</w:t>
            </w:r>
          </w:p>
        </w:tc>
      </w:tr>
      <w:tr w14:paraId="135A181A">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EF221">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9A967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审查提示屏蔽功能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9F3EF9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2F772E98">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EA33F">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A6210A">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审查规则自定义功能（医院专家知识库）</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D3F7601">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▲系统可以提供多种自定义方式：</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（1）基于系统审查数据自定义方式，节省药师工作量；</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（2）可完全由用户新建审查规则包括审查要素和审查逻辑。</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用户可自定义药品警示、拦截规则，被拦截的问题处方必须返回修改，否则不可进行下一步操作。用户可设置已执行的长期医嘱是否拦截。</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其中部分审查项目可支持以下功能：</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剂量：可显示某个药品在本院近一个月医嘱用量统计，查看不同科室的剂量使用情况。用户只需维护药品一种给药单位的剂量审查规则，系统可自动将规则匹配到该药品其余给药单位。</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体外注射剂配伍：可设置小剂量胰岛素不参与体外配伍审查，具体剂量标准可由用户自行设置。</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妊娠用药：提供多元化妊娠状态判断方式，可设置妊娠状态判断优先级。</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可设置应激性溃疡风险的预警规则；设置可预防使用质子泵抑制剂的手术、质子泵抑制剂药品及术后质子泵抑制剂用药疗程；</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用户可维护医院协定方及对应证型；</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用户可设置抗肿瘤药物过敏反应预防药品品种。</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用户可设置质子泵抑制药、抗菌药物用药评估单模板。</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规则复制功能：系统支持将其它药品已有的自定义规则分模块复制到被选择的药品上。</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豁免对象：可根据药品、医生、科室、患者年龄、手术信息、医嘱备注等条件设置特定对象不参与某些模块审查，并可按照模块查看对各种豁免情况的统计。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自定义规则查询：可查询药品、科室以及各模块的自定义规则。</w:t>
            </w:r>
          </w:p>
        </w:tc>
      </w:tr>
      <w:tr w14:paraId="320D6D69">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4EB40">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C915A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统计分析功能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D27545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问题处方（医嘱）保存、查询，以及不合理问题统计分析。</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提供不合理问题评估功能，便于药师在做回顾性分析时对已评估的问题做记录。</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用药理由统计</w:t>
            </w:r>
          </w:p>
        </w:tc>
      </w:tr>
      <w:tr w14:paraId="51760FC4">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25383">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B36E1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通讯功能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CCABB8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系统应提供药师和医生的在线沟通平台，提供截图、发送图片、文件传输、消息撤回、消息已读提示功能。</w:t>
            </w:r>
          </w:p>
        </w:tc>
      </w:tr>
      <w:tr w14:paraId="6FC03AF5">
        <w:tblPrEx>
          <w:tblCellMar>
            <w:top w:w="0" w:type="dxa"/>
            <w:left w:w="108" w:type="dxa"/>
            <w:bottom w:w="0" w:type="dxa"/>
            <w:right w:w="108" w:type="dxa"/>
          </w:tblCellMar>
        </w:tblPrEx>
        <w:trPr>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B177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药师审方干预功能要求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541761">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审方时机和过程</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24BA8FA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14:paraId="6E986C6D">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71E12">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66BA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审方干预功能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600348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药师审查时，可在审查界面一体化查看当前处方（医嘱）历史干预记录，如医生操作、用药理由等。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药师审查时可查看当前处方（医嘱）历史修改版本信息。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药师可选择审核意见中的重点文字变色处理后发给医生。药师还可预设常用问题模板。</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药师可以根据不同任务情况选择医生处方（医嘱）直接双签通过还是需要药师复核。</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若一张处方（医嘱）通过前有多个修改版本，系统可以标记每个版本的处置状态。</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系统支持根据医生提交至药师处的中药处方智能检索近似经典方剂供药师参考。</w:t>
            </w:r>
          </w:p>
        </w:tc>
      </w:tr>
      <w:tr w14:paraId="19FADC85">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B7006">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03480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质量评价功能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79BE471">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系统提供多种筛选方案设置功能，进行待评价任务筛选。评价人可对每个任务输入审核意见并打分。系统可自动生成任务评分表，并可导出到Excel。</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评价人可评估历史审核任务并设置问题推荐处置方案，供审方药师审核同一问题时参考。</w:t>
            </w:r>
          </w:p>
        </w:tc>
      </w:tr>
      <w:tr w14:paraId="7E87E2A8">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543BF">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7119D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审方干预自定义功能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AB8FCE5">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用户可将任意科室、医生、患者、疾病、药品设置为重点关注，可按科室、医生、患者、疾病、药品、问题类型、警示级别多条件组合设置重点关注，包含重点关注信息的处方由药师进行全面审查。</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用户可设置双盲审方、单盲审方，在需要时隐藏医生、药师信息。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用户可根据使用习惯进行个性化设置，如任务提示音（支持上传），处置按钮顺序及样式，审方界面字体及颜色，发送给医生的常用语等。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用户可设置自动干预模式，并设置医生填写用药理由的模式。药师不在岗时，系统自动干预，医生填写用药理由后方可执行，支持全院和分科室设置。</w:t>
            </w:r>
          </w:p>
        </w:tc>
      </w:tr>
      <w:tr w14:paraId="6911E16C">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E0CAE">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92AF2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患者信息查看</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6FBDBB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药师审方界面：可查看患者基本信息、患者过敏史、手术信息、检验检查信息、会诊信息、病程记录，检验结果异常项可单独显示。可链接EMR系统查看患者详细信息。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可标记门诊特殊病人。</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可标记慢病处方。</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药师审查时可查看当前患者的其他处方。</w:t>
            </w:r>
          </w:p>
        </w:tc>
      </w:tr>
      <w:tr w14:paraId="300947E6">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C37A1">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3E7F3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系统审查</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66854A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24878F01">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0B8A5">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B9158D">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统计分析</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225F5F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可以分别统计门诊、住院任务的审核率、干预率、合格率等重要指标，并可提供统计图。可按照科室、医生、药品、药师、药物类进行干预情况分类统计。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可以统计每个药师的监测时长、审核工作量、干预工作量和干预有效率，并可提供统计图。</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可以提供不合理问题统计分析，支持按时间、问题类型、警示等级等条件进行统计，并可生成统计图。可以查看在人工审方时药师主动添加的问题的发生次数、发生率。</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可以分科室、医生、药品、问题类型提供干预效果追踪，并以统计图的方式体现干预效果。</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可按不同的处方（医嘱）通过状态进行统计，并可生成统计图。</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医生端可通过用药自查，查看自身任务的审核干预相关统计数据。</w:t>
            </w:r>
          </w:p>
        </w:tc>
      </w:tr>
      <w:tr w14:paraId="15382A72">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0F645">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D1CBB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大屏展示功能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8D6274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系统应支持将重要审方指标通过图表在用户大屏上展示。</w:t>
            </w:r>
          </w:p>
        </w:tc>
      </w:tr>
      <w:tr w14:paraId="5945CB2C">
        <w:tblPrEx>
          <w:tblCellMar>
            <w:top w:w="0" w:type="dxa"/>
            <w:left w:w="108" w:type="dxa"/>
            <w:bottom w:w="0" w:type="dxa"/>
            <w:right w:w="108" w:type="dxa"/>
          </w:tblCellMar>
        </w:tblPrEx>
        <w:trPr>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A6B9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临床药学处方点评数据上报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6E3AA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智慧中心</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608CEE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系统主页应能显示门诊/住院点评率、合理率、住院抗菌药物使用强度、门诊基本药物占比、住院静脉输液使用率等指标。</w:t>
            </w:r>
          </w:p>
        </w:tc>
      </w:tr>
      <w:tr w14:paraId="585E0267">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633F5">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25FB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读取和查看病人信息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83A462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系统应能筛选患者并查看患者基本信息、医嘱、诊断、检查、检验、手术、费用、会诊、病程等信息，提供数据交互，随时查看相关信息。</w:t>
            </w:r>
          </w:p>
        </w:tc>
      </w:tr>
      <w:tr w14:paraId="04E802DA">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54AD2">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767447">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处方点评</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4553E2F">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3.1系统应结合国家处方点评相关政策要求，实现对处方（医嘱）电子化评价功能。</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3.2 ▲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3.3 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3.4 ▲系统应提供双盲点评设置、医生处理点评结果逾期设置、增补处方或病人、高亮显示被点评药品功能，方便药师点评。</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3.5 系统应能自定义点评模板及点评点，实现个性化点评需求。</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3.6 系统应能自动生成住院患者用药联用图、时序图，并支持自定义。住院患者时序图包含患者体征、用药、手术和检验信息等内容。</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3.7 系统应能自动生成点评相关报表及任务完成情况等管理报表。</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3.6系统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3.7▲住院病人肠外营养专项点评、住院病人自备药专项点评、门（急）诊外延处方点评。</w:t>
            </w:r>
          </w:p>
        </w:tc>
      </w:tr>
      <w:tr w14:paraId="004D5B2D">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61BB7">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1930F">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抗菌药物临床应用监测</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C25A70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4.1系统应根据卫生部《抗菌药物临床应用监测方案》中的相关规定，完成抗菌药物临床应用监测网要求的抗菌药物使用情况统计及上报工作。</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4.2▲系统应提供手术/非手术抗菌药物使用情况调查表、门诊/急诊处方用药情况、住院患者抗菌药物使用情况统计报表的离线上报功能，可直接上传文档至监测网完成填报工作，。</w:t>
            </w:r>
          </w:p>
        </w:tc>
      </w:tr>
      <w:tr w14:paraId="3844F464">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8A8E5">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AC1CD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电子药历</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BC3A4AA">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系统应提供工作药历、教学药历、查房记录填写模块，同时允许用户自定义药历的显示内容。系统应提供药历提交、审阅、退回、导出流程。应提供工作量统计，按时间段分别统计药历书写量及药历审阅量。</w:t>
            </w:r>
          </w:p>
        </w:tc>
      </w:tr>
      <w:tr w14:paraId="2C9C36A6">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054D8">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D0C2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统计分析</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F077B37">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系统应提供对医院合理用药指标及药品使用情况的统计分析，并能自定义显示和导出。同时提供关键字检索功能，便于快速查询指标。</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 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1.2 自定义合理用药指标</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▲系统应提供自定义合理用药指标功能，可自行设置指标分子、分母进行统计。自定义要素包含药品、治疗金额、药品金额、处方数、病人数、药品品种数、使用量DDDs、人天数、用药医嘱条目数。</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1.3 药品使用强度统计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1.4 药品金额、数量、DDDs统计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1.5 药品使用人次统计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1.6 注射剂/大容量注射液统计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1.7 药品品种/费用构成统计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1.8 门（急）诊大处方分析</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1.9 抗菌药物使用清单及统计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1.10 基本药物使用清单及统计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1.11 重点监控合理用药药品监测</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1.12 麻精药品管理处方登记表</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1.13 ▲国家三级公立医院绩效考核</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1.14 药事管理专业医疗质量控制指标</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1.15 全国抗菌药物临床应用管理数据统计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1.16 国家卫生健康委抗菌药物临床应用管理数据上报</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1.17 全国合理用药监测系统数据统计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1.18 医疗机构药品使用监测</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1.19 抗肿瘤药物临床应用情况调查表</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1.20 静脉输液使用情况调查表</w:t>
            </w:r>
          </w:p>
        </w:tc>
      </w:tr>
      <w:tr w14:paraId="6F92EBF6">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68C15">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5C9E55">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其它</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01BE0B1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7.1 自维护功能</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系统应对医院药品属性、给药途径、给药频次、感染疾病类型、检验申请/结果/收费项目类型、手术分类、科室类型、医生抗菌药物权限、围术期用药等基础数据进行程序自动维护。</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7.2 权限管理</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 系统应对各项功能设置严格的权限管理，包括处方点评权限、报表的统计权限、打印/导出权限等。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(2) 系统应提供用户操作日志、版本更新内容查询功能。</w:t>
            </w:r>
          </w:p>
        </w:tc>
      </w:tr>
      <w:tr w14:paraId="51CC7A57">
        <w:tblPrEx>
          <w:tblCellMar>
            <w:top w:w="0" w:type="dxa"/>
            <w:left w:w="108" w:type="dxa"/>
            <w:bottom w:w="0" w:type="dxa"/>
            <w:right w:w="108" w:type="dxa"/>
          </w:tblCellMar>
        </w:tblPrEx>
        <w:trPr>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ign w:val="center"/>
          </w:tcPr>
          <w:p w14:paraId="451FAD8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药物信息查询功能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41F3CE">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药物信息参考</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BC2A2FD">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“系统”应提供国内外上市药品的详细临床用药信息，内容包括药物的各种名称、临床应用、用法与用量、注意事项、不良反应、药物相互作用、给药说明、药理、制剂与规格等信息。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应可查看特殊人群（老人、儿童、妊娠期妇女、哺乳期妇女）及特殊疾病状态（如肝功能不全、肾功能不全、心力衰竭等）患者用药的注意事项。</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应提供与药物临床应用密切相关的信息如不良反应处理方法、药物对检验值或诊断的影响等。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应提供高警讯药物、国外专科信息供临床参考。</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所有信息均应提供参考文献。</w:t>
            </w:r>
          </w:p>
        </w:tc>
      </w:tr>
      <w:tr w14:paraId="0A3AFE12">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4A2B8D66">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FC9D8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药品说明书</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6A7926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“系统”应提供国家药品监督管理局（NMPA）批准的厂家药品说明书，应可查看NMPA发布的说明书修订通知。还应提供高级检索的功能。</w:t>
            </w:r>
          </w:p>
        </w:tc>
      </w:tr>
      <w:tr w14:paraId="3196125D">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088B1A43">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D190F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▲妊娠哺乳</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用药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5990EF7A">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14:paraId="1541D4EA">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384B9E5F">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93AE7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用药教育</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67B7E7F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“系统”应为专业人员提供便于辅导病人用药的信息，以通俗易懂的语言，借助图片等形式描述药品的用途、副作用、用药期间注意事项、特殊给药方式图示等信息。</w:t>
            </w:r>
          </w:p>
        </w:tc>
      </w:tr>
      <w:tr w14:paraId="754CE5D7">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4A72C882">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7A3AE7">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ICD</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485574E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“系统”应提供ICD10、ICD-9-CM-3、肿瘤形态学编码、ICD-11和国家医疗保障DRG分组的查询功能。</w:t>
            </w:r>
          </w:p>
        </w:tc>
      </w:tr>
      <w:tr w14:paraId="384C64FC">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3387CF92">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4F628">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ATC编码与DDD值</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2B20B8C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“系统”应提供国内外权威机构发布的药物ATC编码与DDD值，应可查看药物对应的上市药品信息。</w:t>
            </w:r>
          </w:p>
        </w:tc>
      </w:tr>
      <w:tr w14:paraId="65F91146">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21A9C071">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63C7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检验值</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B30FFC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“系统”应提供常用检验项目信息，应包含检验项目正常参考值范围、结果及临床意义、药物对检验结果的影响等内容。可按检验类别查询，也可按检验名称查询检验值信息。</w:t>
            </w:r>
          </w:p>
        </w:tc>
      </w:tr>
      <w:tr w14:paraId="22EE665D">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4B739D6A">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D2CE3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药品基本信息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B9BF80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14:paraId="20C84D0E">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075AFC6D">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B20765">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临床路径</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429458B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“系统”应提供国家卫健委发布的临床路径，应覆盖临床常见疾病品种。可按临床科室分类浏览，也可按疾病关键词检索临床路径。</w:t>
            </w:r>
          </w:p>
        </w:tc>
      </w:tr>
      <w:tr w14:paraId="606099D8">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411A1EA7">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C051C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医药公式</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5B03FA4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“系统”应提供常用医药公式、评分、分级标准量表等，内容涵盖了内科、外科、妇产科、儿科、神经科等，公式应提供计算功能。可按临床科室分类浏览，也可按公式名称检索。</w:t>
            </w:r>
          </w:p>
        </w:tc>
      </w:tr>
      <w:tr w14:paraId="563256DA">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59A31B07">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ED2697">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医药时讯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FEA8D9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“系统”应提供国内外政府网站和医药学专业数据库、核心期刊发布的最新药物研究成果、药物警戒信息、新药研发和上市资讯等内容。</w:t>
            </w:r>
          </w:p>
        </w:tc>
      </w:tr>
      <w:tr w14:paraId="680D26AC">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160A3FD3">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8EF02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医药法规</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56D47111">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14:paraId="208F51FE">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294C2B1A">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894557">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国家基本药物</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2CCF4CD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“系统”应提供最新版《国家基本药物目录》中的信息，包括目录中的化学药品、生物制品以及中成药品种。应可查看国家基本药物目录对应的上市药品品种的信息（包括生产厂家、批准文号等）。</w:t>
            </w:r>
          </w:p>
        </w:tc>
      </w:tr>
      <w:tr w14:paraId="0EBAE187">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6DF14016">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1D562A">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FDA妊娠用药安全性分级</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1287E6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“系统”应提供美国食品药品监督管理局（FDA）根据药物对动物和妊娠期妇女致畸危险而作的妊娠期用药安全性分级，可通过药理分类或药名检索的方式实现，查询范围为临床各科室常用药物。</w:t>
            </w:r>
          </w:p>
        </w:tc>
      </w:tr>
      <w:tr w14:paraId="3F7F6DB4">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5ECFE8A2">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4D707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中医药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70ADAAE">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“系统”应提供中药材、中医方剂、中医诊疗方案、中医临床路径、中医标准术语、中医病证分类与代码等中医药信息内容。</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中药材：应包含权威专著中的品种信息，内容应侧重于中药材的基本属性和临床应用指导，应可便捷的查看毒性药材和妊娠期禁慎用药材。</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中医方剂：应包括临床常用方、中医经典方等方剂，应可查看方剂相关的附方及中成药信息。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中医诊疗方案：应收录国家中医药管理局发布的诊疗方案。</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中医临床路径：应收录国家中医药管理局发布的临床路径。</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中医标准术语：应收录国家中医药管理局发布的各种临床标准术语。</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中医病症分类与代码：应收录国家中医药管理局发布中医病证分类与代码。</w:t>
            </w:r>
          </w:p>
        </w:tc>
      </w:tr>
      <w:tr w14:paraId="1FF818FB">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591830AD">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B3D476">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▲EMA药品说明书</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572162D9">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“系统”应提供欧洲药品管理局（EMA）发布的英文原文药品说明书，英文说明书应提供中文翻译，并可便捷的查看对应的中文药品说明书。</w:t>
            </w:r>
          </w:p>
        </w:tc>
      </w:tr>
      <w:tr w14:paraId="019461E9">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7EA027E0">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EFB9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FDA药品说明书</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7492B4C">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“系统”应提供美国食品药品监督管理局(FDA)发布的英文原文药品说明书，英文说明书应提供中文翻译，并可便捷的查看对应的中文药品说明书。</w:t>
            </w:r>
          </w:p>
        </w:tc>
      </w:tr>
      <w:tr w14:paraId="79DCB3A1">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2376B66C">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981A1E">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超说明用药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FFC183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“系统”应提供权威的超说明书用药信息，内容应包括用药类型、适应症、用法用量、循证医学证据等。</w:t>
            </w:r>
          </w:p>
        </w:tc>
      </w:tr>
      <w:tr w14:paraId="53924D0D">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3EDC2CA0">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6DB93B">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儿童用药</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758C57B0">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“系统”应提供婴幼儿或儿童的用药相关信息，内容应包括儿童用药的注意事项、用法用量、药代动力学等。并提供婴幼儿或儿童用药剂量计算功能。</w:t>
            </w:r>
          </w:p>
        </w:tc>
      </w:tr>
      <w:tr w14:paraId="35BE0DE8">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26D7B618">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08C35">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药物相互作用审查</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3EA714C4">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“系统”应提供药物-药物、药物-食物、药物-咖啡因、药物-酒精、药物-保健品、保健品-保健品之间的相互作用信息，应提供西药和西药、中药和中药、中药和西药的相互作用信息。</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内容应包括药物相互作用的结果、机制、临床处理、严重级别、案例评价及讨论等内容。</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▲应可实现单药相互作用分析及多药相互作用审查。</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参考文献应包含国内外的期刊文献、数据库等。</w:t>
            </w:r>
          </w:p>
        </w:tc>
      </w:tr>
      <w:tr w14:paraId="723218EA">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0F0F4CD3">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40842D">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注射剂配伍审查</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1957E67E">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“系统”应提供注射药物配伍的信息，内容包括了注射药物配伍的物理化学变化及药效学变化、支持配伍结论的实验数据等。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▲应可实现单药注射剂配伍分析及多药注射配伍进行审查。</w:t>
            </w:r>
          </w:p>
        </w:tc>
      </w:tr>
      <w:tr w14:paraId="23B74480">
        <w:tblPrEx>
          <w:tblCellMar>
            <w:top w:w="0" w:type="dxa"/>
            <w:left w:w="108" w:type="dxa"/>
            <w:bottom w:w="0" w:type="dxa"/>
            <w:right w:w="108" w:type="dxa"/>
          </w:tblCellMar>
        </w:tblPrEx>
        <w:trPr>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ign w:val="center"/>
          </w:tcPr>
          <w:p w14:paraId="11B16357">
            <w:pPr>
              <w:keepNext/>
              <w:keepLines w:val="0"/>
              <w:pageBreakBefore w:val="0"/>
              <w:kinsoku/>
              <w:wordWrap/>
              <w:overflowPunct/>
              <w:topLinePunct w:val="0"/>
              <w:autoSpaceDE/>
              <w:autoSpaceDN/>
              <w:bidi w:val="0"/>
              <w:snapToGrid w:val="0"/>
              <w:spacing w:line="360" w:lineRule="auto"/>
              <w:ind w:firstLine="0" w:firstLineChars="0"/>
              <w:jc w:val="left"/>
              <w:rPr>
                <w:rFonts w:hint="eastAsia" w:ascii="仿宋" w:hAnsi="仿宋" w:eastAsia="仿宋" w:cs="仿宋"/>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E6F633">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其他功能</w:t>
            </w:r>
          </w:p>
        </w:tc>
        <w:tc>
          <w:tcPr>
            <w:tcW w:w="6153" w:type="dxa"/>
            <w:tcBorders>
              <w:top w:val="single" w:color="000000" w:sz="4" w:space="0"/>
              <w:left w:val="single" w:color="000000" w:sz="4" w:space="0"/>
              <w:bottom w:val="single" w:color="000000" w:sz="4" w:space="0"/>
              <w:right w:val="single" w:color="000000" w:sz="4" w:space="0"/>
            </w:tcBorders>
            <w:noWrap w:val="0"/>
            <w:vAlign w:val="center"/>
          </w:tcPr>
          <w:p w14:paraId="42E59CA2">
            <w:pPr>
              <w:keepNext/>
              <w:keepLines w:val="0"/>
              <w:pageBreakBefore w:val="0"/>
              <w:kinsoku/>
              <w:wordWrap/>
              <w:overflowPunct/>
              <w:topLinePunct w:val="0"/>
              <w:autoSpaceDE/>
              <w:autoSpaceDN/>
              <w:bidi w:val="0"/>
              <w:snapToGrid w:val="0"/>
              <w:spacing w:line="360" w:lineRule="auto"/>
              <w:ind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系统应支持分类浏览、关键词检索，可通过适应症、禁忌症、不良反应、全文检索等方式检索，支持名称及拼音简码检索，支持单数据库检索及多数据库检索。</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系统应支持对药物信息进行比较。</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系统应支持数据库之间相互关联和快速跳转。</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▲支持手机APP在线访问。</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定期更新，更新频率应不少于2-3次/年。</w:t>
            </w:r>
          </w:p>
        </w:tc>
      </w:tr>
    </w:tbl>
    <w:p w14:paraId="76561DA0">
      <w:pPr>
        <w:keepLines w:val="0"/>
        <w:pageBreakBefore w:val="0"/>
        <w:numPr>
          <w:ilvl w:val="0"/>
          <w:numId w:val="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lang w:val="en-US" w:eastAsia="zh-CN"/>
        </w:rPr>
      </w:pPr>
    </w:p>
    <w:p w14:paraId="4382870D">
      <w:pPr>
        <w:keepLines w:val="0"/>
        <w:pageBreakBefore w:val="0"/>
        <w:numPr>
          <w:ilvl w:val="0"/>
          <w:numId w:val="0"/>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硬件配置</w:t>
      </w:r>
    </w:p>
    <w:tbl>
      <w:tblPr>
        <w:tblStyle w:val="27"/>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3"/>
        <w:gridCol w:w="3290"/>
        <w:gridCol w:w="1745"/>
        <w:gridCol w:w="1745"/>
      </w:tblGrid>
      <w:tr w14:paraId="509C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14:paraId="5583F89E">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0" w:type="auto"/>
            <w:tcBorders>
              <w:top w:val="single" w:color="000000" w:sz="8" w:space="0"/>
              <w:left w:val="nil"/>
              <w:bottom w:val="single" w:color="000000" w:sz="8" w:space="0"/>
              <w:right w:val="single" w:color="000000" w:sz="8" w:space="0"/>
            </w:tcBorders>
            <w:noWrap/>
            <w:vAlign w:val="center"/>
          </w:tcPr>
          <w:p w14:paraId="5AE4EED2">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设备名称</w:t>
            </w:r>
          </w:p>
        </w:tc>
        <w:tc>
          <w:tcPr>
            <w:tcW w:w="0" w:type="auto"/>
            <w:tcBorders>
              <w:top w:val="single" w:color="000000" w:sz="8" w:space="0"/>
              <w:left w:val="nil"/>
              <w:bottom w:val="single" w:color="000000" w:sz="8" w:space="0"/>
              <w:right w:val="single" w:color="000000" w:sz="8" w:space="0"/>
            </w:tcBorders>
            <w:noWrap/>
            <w:vAlign w:val="center"/>
          </w:tcPr>
          <w:p w14:paraId="7AC29312">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1745" w:type="dxa"/>
            <w:tcBorders>
              <w:top w:val="single" w:color="000000" w:sz="8" w:space="0"/>
              <w:left w:val="nil"/>
              <w:bottom w:val="single" w:color="000000" w:sz="8" w:space="0"/>
              <w:right w:val="single" w:color="000000" w:sz="8" w:space="0"/>
            </w:tcBorders>
            <w:noWrap/>
            <w:vAlign w:val="center"/>
          </w:tcPr>
          <w:p w14:paraId="33E9230A">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7B38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noWrap/>
            <w:vAlign w:val="center"/>
          </w:tcPr>
          <w:p w14:paraId="57B4BC2F">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74C8A909">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电脑工作站</w:t>
            </w:r>
          </w:p>
        </w:tc>
        <w:tc>
          <w:tcPr>
            <w:tcW w:w="0" w:type="auto"/>
            <w:tcBorders>
              <w:top w:val="nil"/>
              <w:left w:val="nil"/>
              <w:bottom w:val="single" w:color="000000" w:sz="8" w:space="0"/>
              <w:right w:val="single" w:color="000000" w:sz="8" w:space="0"/>
            </w:tcBorders>
            <w:noWrap/>
            <w:vAlign w:val="center"/>
          </w:tcPr>
          <w:p w14:paraId="62CBFD09">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1745" w:type="dxa"/>
            <w:tcBorders>
              <w:top w:val="nil"/>
              <w:left w:val="nil"/>
              <w:bottom w:val="single" w:color="000000" w:sz="8" w:space="0"/>
              <w:right w:val="single" w:color="000000" w:sz="8" w:space="0"/>
            </w:tcBorders>
            <w:noWrap/>
            <w:vAlign w:val="center"/>
          </w:tcPr>
          <w:p w14:paraId="1B9E4597">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r>
      <w:tr w14:paraId="5344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noWrap/>
            <w:vAlign w:val="center"/>
          </w:tcPr>
          <w:p w14:paraId="16CCAB71">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5B897E2A">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打印机</w:t>
            </w:r>
          </w:p>
        </w:tc>
        <w:tc>
          <w:tcPr>
            <w:tcW w:w="0" w:type="auto"/>
            <w:tcBorders>
              <w:top w:val="nil"/>
              <w:left w:val="nil"/>
              <w:bottom w:val="single" w:color="000000" w:sz="8" w:space="0"/>
              <w:right w:val="single" w:color="000000" w:sz="8" w:space="0"/>
            </w:tcBorders>
            <w:noWrap/>
            <w:vAlign w:val="center"/>
          </w:tcPr>
          <w:p w14:paraId="169225EF">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745" w:type="dxa"/>
            <w:tcBorders>
              <w:top w:val="nil"/>
              <w:left w:val="nil"/>
              <w:bottom w:val="single" w:color="000000" w:sz="8" w:space="0"/>
              <w:right w:val="single" w:color="000000" w:sz="8" w:space="0"/>
            </w:tcBorders>
            <w:noWrap/>
            <w:vAlign w:val="center"/>
          </w:tcPr>
          <w:p w14:paraId="5668101C">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r>
      <w:tr w14:paraId="5A2B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noWrap/>
            <w:vAlign w:val="center"/>
          </w:tcPr>
          <w:p w14:paraId="53414153">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3A99341B">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投影仪</w:t>
            </w:r>
          </w:p>
        </w:tc>
        <w:tc>
          <w:tcPr>
            <w:tcW w:w="0" w:type="auto"/>
            <w:tcBorders>
              <w:top w:val="nil"/>
              <w:left w:val="nil"/>
              <w:bottom w:val="single" w:color="000000" w:sz="8" w:space="0"/>
              <w:right w:val="single" w:color="000000" w:sz="8" w:space="0"/>
            </w:tcBorders>
            <w:noWrap/>
            <w:vAlign w:val="center"/>
          </w:tcPr>
          <w:p w14:paraId="77E817E0">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745" w:type="dxa"/>
            <w:tcBorders>
              <w:top w:val="nil"/>
              <w:left w:val="nil"/>
              <w:bottom w:val="single" w:color="000000" w:sz="8" w:space="0"/>
              <w:right w:val="single" w:color="000000" w:sz="8" w:space="0"/>
            </w:tcBorders>
            <w:noWrap/>
            <w:vAlign w:val="center"/>
          </w:tcPr>
          <w:p w14:paraId="69BA5B42">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B57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noWrap/>
            <w:vAlign w:val="center"/>
          </w:tcPr>
          <w:p w14:paraId="1D132B76">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10A0CBC9">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培训桌</w:t>
            </w:r>
          </w:p>
        </w:tc>
        <w:tc>
          <w:tcPr>
            <w:tcW w:w="0" w:type="auto"/>
            <w:tcBorders>
              <w:top w:val="nil"/>
              <w:left w:val="nil"/>
              <w:bottom w:val="single" w:color="000000" w:sz="8" w:space="0"/>
              <w:right w:val="single" w:color="000000" w:sz="8" w:space="0"/>
            </w:tcBorders>
            <w:noWrap/>
            <w:vAlign w:val="center"/>
          </w:tcPr>
          <w:p w14:paraId="72464DD1">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1745" w:type="dxa"/>
            <w:tcBorders>
              <w:top w:val="nil"/>
              <w:left w:val="nil"/>
              <w:bottom w:val="single" w:color="000000" w:sz="8" w:space="0"/>
              <w:right w:val="single" w:color="000000" w:sz="8" w:space="0"/>
            </w:tcBorders>
            <w:noWrap/>
            <w:vAlign w:val="center"/>
          </w:tcPr>
          <w:p w14:paraId="46CBA409">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2E2F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noWrap/>
            <w:vAlign w:val="center"/>
          </w:tcPr>
          <w:p w14:paraId="24E3B952">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08AF9267">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培训椅子</w:t>
            </w:r>
          </w:p>
        </w:tc>
        <w:tc>
          <w:tcPr>
            <w:tcW w:w="0" w:type="auto"/>
            <w:tcBorders>
              <w:top w:val="nil"/>
              <w:left w:val="nil"/>
              <w:bottom w:val="single" w:color="000000" w:sz="8" w:space="0"/>
              <w:right w:val="single" w:color="000000" w:sz="8" w:space="0"/>
            </w:tcBorders>
            <w:noWrap/>
            <w:vAlign w:val="center"/>
          </w:tcPr>
          <w:p w14:paraId="0BA0843B">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1745" w:type="dxa"/>
            <w:tcBorders>
              <w:top w:val="nil"/>
              <w:left w:val="nil"/>
              <w:bottom w:val="single" w:color="000000" w:sz="8" w:space="0"/>
              <w:right w:val="single" w:color="000000" w:sz="8" w:space="0"/>
            </w:tcBorders>
            <w:noWrap/>
            <w:vAlign w:val="center"/>
          </w:tcPr>
          <w:p w14:paraId="0A5EF5AD">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w:t>
            </w:r>
          </w:p>
        </w:tc>
      </w:tr>
      <w:tr w14:paraId="5D90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43" w:type="dxa"/>
            <w:tcBorders>
              <w:top w:val="nil"/>
              <w:left w:val="single" w:color="000000" w:sz="8" w:space="0"/>
              <w:bottom w:val="single" w:color="000000" w:sz="8" w:space="0"/>
              <w:right w:val="single" w:color="000000" w:sz="8" w:space="0"/>
            </w:tcBorders>
            <w:noWrap/>
            <w:vAlign w:val="center"/>
          </w:tcPr>
          <w:p w14:paraId="7BD9550D">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3290" w:type="dxa"/>
            <w:tcBorders>
              <w:top w:val="nil"/>
              <w:left w:val="nil"/>
              <w:bottom w:val="single" w:color="000000" w:sz="8" w:space="0"/>
              <w:right w:val="single" w:color="000000" w:sz="8" w:space="0"/>
            </w:tcBorders>
            <w:noWrap/>
            <w:vAlign w:val="center"/>
          </w:tcPr>
          <w:p w14:paraId="0E58D88A">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文件柜</w:t>
            </w:r>
          </w:p>
        </w:tc>
        <w:tc>
          <w:tcPr>
            <w:tcW w:w="1745" w:type="dxa"/>
            <w:tcBorders>
              <w:top w:val="nil"/>
              <w:left w:val="nil"/>
              <w:bottom w:val="single" w:color="000000" w:sz="8" w:space="0"/>
              <w:right w:val="single" w:color="000000" w:sz="8" w:space="0"/>
            </w:tcBorders>
            <w:noWrap/>
            <w:vAlign w:val="center"/>
          </w:tcPr>
          <w:p w14:paraId="0784B57F">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1745" w:type="dxa"/>
            <w:tcBorders>
              <w:top w:val="nil"/>
              <w:left w:val="nil"/>
              <w:bottom w:val="single" w:color="000000" w:sz="8" w:space="0"/>
              <w:right w:val="single" w:color="000000" w:sz="8" w:space="0"/>
            </w:tcBorders>
            <w:noWrap/>
            <w:vAlign w:val="center"/>
          </w:tcPr>
          <w:p w14:paraId="3B57E736">
            <w:pPr>
              <w:keepNext/>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r>
    </w:tbl>
    <w:p w14:paraId="50C9A490">
      <w:pPr>
        <w:rPr>
          <w:rFonts w:hint="eastAsia" w:ascii="仿宋" w:hAnsi="仿宋" w:eastAsia="仿宋" w:cs="仿宋"/>
          <w:b/>
          <w:color w:val="auto"/>
          <w:sz w:val="24"/>
          <w:szCs w:val="24"/>
          <w:highlight w:val="none"/>
        </w:rPr>
      </w:pPr>
    </w:p>
    <w:p w14:paraId="72D7AE60">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标项十五</w:t>
      </w:r>
    </w:p>
    <w:p w14:paraId="55F7FD7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default"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一）采购标的物清单</w:t>
      </w:r>
    </w:p>
    <w:tbl>
      <w:tblPr>
        <w:tblStyle w:val="27"/>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71"/>
        <w:gridCol w:w="1044"/>
        <w:gridCol w:w="1191"/>
        <w:gridCol w:w="1353"/>
        <w:gridCol w:w="1162"/>
        <w:gridCol w:w="1176"/>
      </w:tblGrid>
      <w:tr w14:paraId="506F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1F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F3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E4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44E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单价最高限价（万元）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5B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中小企业划分标准所属行业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30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是否允许进口产品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E2E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BF7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C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9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儿童综合素质测评系统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D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9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0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50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221">
            <w:pPr>
              <w:jc w:val="center"/>
              <w:rPr>
                <w:rFonts w:hint="eastAsia" w:ascii="仿宋" w:hAnsi="仿宋" w:eastAsia="仿宋" w:cs="仿宋"/>
                <w:i w:val="0"/>
                <w:iCs w:val="0"/>
                <w:color w:val="auto"/>
                <w:sz w:val="24"/>
                <w:szCs w:val="24"/>
                <w:highlight w:val="none"/>
                <w:u w:val="none"/>
              </w:rPr>
            </w:pPr>
          </w:p>
        </w:tc>
      </w:tr>
      <w:tr w14:paraId="684E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638A1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本项目每种设备报价不得超过该设备最高限价，超过按</w:t>
            </w:r>
            <w:r>
              <w:rPr>
                <w:rStyle w:val="49"/>
                <w:rFonts w:hint="eastAsia" w:ascii="仿宋" w:hAnsi="仿宋" w:eastAsia="仿宋" w:cs="仿宋"/>
                <w:color w:val="auto"/>
                <w:sz w:val="24"/>
                <w:szCs w:val="24"/>
                <w:highlight w:val="none"/>
                <w:lang w:val="en-US" w:eastAsia="zh-CN" w:bidi="ar"/>
              </w:rPr>
              <w:t>投标无效</w:t>
            </w:r>
            <w:r>
              <w:rPr>
                <w:rStyle w:val="50"/>
                <w:rFonts w:hint="eastAsia" w:ascii="仿宋" w:hAnsi="仿宋" w:eastAsia="仿宋" w:cs="仿宋"/>
                <w:color w:val="auto"/>
                <w:sz w:val="24"/>
                <w:szCs w:val="24"/>
                <w:highlight w:val="none"/>
                <w:lang w:val="en-US" w:eastAsia="zh-CN" w:bidi="ar"/>
              </w:rPr>
              <w:t>处理。</w:t>
            </w:r>
          </w:p>
        </w:tc>
      </w:tr>
    </w:tbl>
    <w:p w14:paraId="7AC84199">
      <w:pPr>
        <w:pStyle w:val="17"/>
        <w:rPr>
          <w:rFonts w:hint="eastAsia" w:ascii="仿宋" w:hAnsi="仿宋" w:eastAsia="仿宋" w:cs="仿宋"/>
          <w:b/>
          <w:bCs/>
          <w:color w:val="auto"/>
          <w:sz w:val="24"/>
          <w:szCs w:val="24"/>
          <w:highlight w:val="none"/>
          <w:lang w:val="en-US" w:eastAsia="zh-CN"/>
        </w:rPr>
      </w:pPr>
    </w:p>
    <w:p w14:paraId="1A12A29E">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576AD0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2"/>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二）、</w:t>
      </w:r>
      <w:r>
        <w:rPr>
          <w:rFonts w:hint="eastAsia" w:ascii="仿宋" w:hAnsi="仿宋" w:eastAsia="仿宋" w:cs="仿宋"/>
          <w:b/>
          <w:bCs/>
          <w:i w:val="0"/>
          <w:caps w:val="0"/>
          <w:color w:val="auto"/>
          <w:spacing w:val="0"/>
          <w:w w:val="100"/>
          <w:sz w:val="24"/>
          <w:szCs w:val="24"/>
          <w:highlight w:val="none"/>
          <w:lang w:val="en-US" w:eastAsia="zh-CN"/>
        </w:rPr>
        <w:t>技术要求</w:t>
      </w:r>
    </w:p>
    <w:p w14:paraId="13A6E70E">
      <w:pPr>
        <w:pStyle w:val="17"/>
        <w:numPr>
          <w:ilvl w:val="0"/>
          <w:numId w:val="0"/>
        </w:numPr>
        <w:ind w:leftChars="0"/>
        <w:jc w:val="center"/>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1、儿童综合素质测评系统</w:t>
      </w:r>
    </w:p>
    <w:p w14:paraId="76CEA798">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系统硬件配置：</w:t>
      </w:r>
    </w:p>
    <w:p w14:paraId="394F02DC">
      <w:pPr>
        <w:pStyle w:val="10"/>
        <w:keepLines w:val="0"/>
        <w:pageBreakBefore w:val="0"/>
        <w:numPr>
          <w:ilvl w:val="0"/>
          <w:numId w:val="6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台车 1 台 ：可移动，脚轮可锁定；</w:t>
      </w:r>
    </w:p>
    <w:p w14:paraId="4FF486B8">
      <w:pPr>
        <w:pStyle w:val="10"/>
        <w:keepLines w:val="0"/>
        <w:pageBreakBefore w:val="0"/>
        <w:numPr>
          <w:ilvl w:val="0"/>
          <w:numId w:val="6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打印机 2 台：黑白激光双面打印复印机；</w:t>
      </w:r>
    </w:p>
    <w:p w14:paraId="7FB08030">
      <w:pPr>
        <w:pStyle w:val="10"/>
        <w:keepLines w:val="0"/>
        <w:pageBreakBefore w:val="0"/>
        <w:numPr>
          <w:ilvl w:val="0"/>
          <w:numId w:val="6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电脑 1 台 ：主流配置（6核12线程）</w:t>
      </w:r>
    </w:p>
    <w:p w14:paraId="71C18595">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固态硬盘，内置式摄像头；</w:t>
      </w:r>
    </w:p>
    <w:p w14:paraId="20304FDF">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4、0-3 岁婴幼儿全功能体检仪 1 台；</w:t>
      </w:r>
    </w:p>
    <w:p w14:paraId="7D9873E2">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5、3-18 岁儿童全功能体检仪 1 台；</w:t>
      </w:r>
    </w:p>
    <w:p w14:paraId="7468C3CD">
      <w:pPr>
        <w:pStyle w:val="10"/>
        <w:keepLines w:val="0"/>
        <w:pageBreakBefore w:val="0"/>
        <w:numPr>
          <w:ilvl w:val="0"/>
          <w:numId w:val="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无线微型打印机 1 个（全功能体检仪专用）。</w:t>
      </w:r>
    </w:p>
    <w:p w14:paraId="75BC57EF">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系统软件配置：</w:t>
      </w:r>
    </w:p>
    <w:p w14:paraId="7D414DE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儿童素质综合测评项目，主要包括：</w:t>
      </w:r>
    </w:p>
    <w:p w14:paraId="465F569B">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儿童智力测评模块，包含多种智力评测软件；</w:t>
      </w:r>
    </w:p>
    <w:p w14:paraId="2602D9B6">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新生儿 20 项行为神经测查方法（NBNA）</w:t>
      </w:r>
    </w:p>
    <w:p w14:paraId="13D429D1">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丹佛智力筛查（DDST）</w:t>
      </w:r>
    </w:p>
    <w:p w14:paraId="039BD4B2">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皮博迪图片词汇智力测试（PPVT）</w:t>
      </w:r>
    </w:p>
    <w:p w14:paraId="66A392CC">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瑞文智力测验（RIT）</w:t>
      </w:r>
    </w:p>
    <w:p w14:paraId="0124585B">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 岁婴幼儿发育量表（CDCC）</w:t>
      </w:r>
    </w:p>
    <w:p w14:paraId="7369B88C">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婴儿 20 项神经运动检查（INMA）</w:t>
      </w:r>
    </w:p>
    <w:p w14:paraId="691059CE">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项神经运动检查</w:t>
      </w:r>
    </w:p>
    <w:p w14:paraId="16F2F721">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 岁儿童智能发育筛查测验（DST）</w:t>
      </w:r>
    </w:p>
    <w:p w14:paraId="3176B6AE">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感觉统合评定 3-12 岁</w:t>
      </w:r>
    </w:p>
    <w:p w14:paraId="112908C8">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Gesell 发育诊断量表(GDS)</w:t>
      </w:r>
    </w:p>
    <w:p w14:paraId="17AA1419">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 韦氏儿童智力量表(WISC)</w:t>
      </w:r>
    </w:p>
    <w:p w14:paraId="11898F2B">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韦氏学前儿童智力量表(WPPSI)</w:t>
      </w:r>
    </w:p>
    <w:p w14:paraId="76C8DF65">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儿童感觉开发指导</w:t>
      </w:r>
    </w:p>
    <w:p w14:paraId="71A78411">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Peabody 运动发育量表 0-72 月</w:t>
      </w:r>
    </w:p>
    <w:p w14:paraId="7E525CCB">
      <w:pPr>
        <w:pStyle w:val="10"/>
        <w:keepLines w:val="0"/>
        <w:pageBreakBefore w:val="0"/>
        <w:numPr>
          <w:ilvl w:val="0"/>
          <w:numId w:val="6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Alberta 婴儿运动量表 0-18 月</w:t>
      </w:r>
    </w:p>
    <w:p w14:paraId="6DA9E2EA">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儿童心理评估模块；</w:t>
      </w:r>
    </w:p>
    <w:p w14:paraId="4941EF9A">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Achenbach 儿童行为量表（CBCL）</w:t>
      </w:r>
    </w:p>
    <w:p w14:paraId="75906F19">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Rutter 父母问卷</w:t>
      </w:r>
    </w:p>
    <w:p w14:paraId="46055342">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Rutter 教师问卷</w:t>
      </w:r>
    </w:p>
    <w:p w14:paraId="659B0AAA">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Conners 教师评定量表（TRS）</w:t>
      </w:r>
    </w:p>
    <w:p w14:paraId="633517F4">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Conners 父母症状问卷（PSQ）</w:t>
      </w:r>
    </w:p>
    <w:p w14:paraId="76A8B0CF">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Conners 教师简明问卷</w:t>
      </w:r>
    </w:p>
    <w:p w14:paraId="77444FEE">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产后忧郁症评估问卷</w:t>
      </w:r>
    </w:p>
    <w:p w14:paraId="12BC0F5C">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家庭养育环境问卷(0-6 岁儿童家庭养育环境量表 CHNEQ）</w:t>
      </w:r>
    </w:p>
    <w:p w14:paraId="5AE3D48C">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孤独症行为量表（ABC）</w:t>
      </w:r>
    </w:p>
    <w:p w14:paraId="2A6A3F8F">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儿童孤独症评估量表（CARS）</w:t>
      </w:r>
    </w:p>
    <w:p w14:paraId="278E4C81">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 婴儿-初中学生社会生活能力量表（S-M）</w:t>
      </w:r>
    </w:p>
    <w:p w14:paraId="2AE4BB62">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学习障碍儿童筛查量表（PRS）</w:t>
      </w:r>
    </w:p>
    <w:p w14:paraId="70B79358">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注意力控制测验（中小学生注意力测验）</w:t>
      </w:r>
    </w:p>
    <w:p w14:paraId="28BF63DD">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儿童多动症核查问卷</w:t>
      </w:r>
    </w:p>
    <w:p w14:paraId="627BBF5C">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儿童焦虑性情绪障碍筛查表（SCARED）</w:t>
      </w:r>
    </w:p>
    <w:p w14:paraId="62F64CFF">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婴幼儿孤独症量表（M-CHAT 改良修订版）</w:t>
      </w:r>
    </w:p>
    <w:p w14:paraId="4B47EC54">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孤独症谱系及相关发育障碍儿童评估量表（PEP-3）</w:t>
      </w:r>
    </w:p>
    <w:p w14:paraId="0E2F63C6">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阿斯伯格综合征筛查量表（AS）</w:t>
      </w:r>
    </w:p>
    <w:p w14:paraId="3737CAB3">
      <w:pPr>
        <w:pStyle w:val="10"/>
        <w:keepLines w:val="0"/>
        <w:pageBreakBefore w:val="0"/>
        <w:numPr>
          <w:ilvl w:val="0"/>
          <w:numId w:val="6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注意缺陷-多动障碍评估（ADHD）</w:t>
      </w:r>
    </w:p>
    <w:p w14:paraId="70C8015F">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儿童气质评估模块；</w:t>
      </w:r>
    </w:p>
    <w:p w14:paraId="7BD02872">
      <w:pPr>
        <w:pStyle w:val="10"/>
        <w:keepLines w:val="0"/>
        <w:pageBreakBefore w:val="0"/>
        <w:numPr>
          <w:ilvl w:val="0"/>
          <w:numId w:val="6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 小婴儿气质问卷（EITQ）</w:t>
      </w:r>
    </w:p>
    <w:p w14:paraId="4EEA08E3">
      <w:pPr>
        <w:pStyle w:val="10"/>
        <w:keepLines w:val="0"/>
        <w:pageBreakBefore w:val="0"/>
        <w:numPr>
          <w:ilvl w:val="0"/>
          <w:numId w:val="6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婴儿气质问卷修订版（RITQ）</w:t>
      </w:r>
    </w:p>
    <w:p w14:paraId="6433D6E3">
      <w:pPr>
        <w:pStyle w:val="10"/>
        <w:keepLines w:val="0"/>
        <w:pageBreakBefore w:val="0"/>
        <w:numPr>
          <w:ilvl w:val="0"/>
          <w:numId w:val="6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 幼儿气质评估表（TTS）</w:t>
      </w:r>
    </w:p>
    <w:p w14:paraId="6CA44217">
      <w:pPr>
        <w:pStyle w:val="10"/>
        <w:keepLines w:val="0"/>
        <w:pageBreakBefore w:val="0"/>
        <w:numPr>
          <w:ilvl w:val="0"/>
          <w:numId w:val="6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岁儿童气质问卷（BSQ）</w:t>
      </w:r>
    </w:p>
    <w:p w14:paraId="20F40CF7">
      <w:pPr>
        <w:pStyle w:val="10"/>
        <w:keepLines w:val="0"/>
        <w:pageBreakBefore w:val="0"/>
        <w:numPr>
          <w:ilvl w:val="0"/>
          <w:numId w:val="65"/>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 岁儿童气质问卷（MCTQ）</w:t>
      </w:r>
    </w:p>
    <w:p w14:paraId="2D9D7729">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睡眠指导问卷</w:t>
      </w:r>
    </w:p>
    <w:p w14:paraId="4A43A795">
      <w:pPr>
        <w:pStyle w:val="10"/>
        <w:keepLines w:val="0"/>
        <w:pageBreakBefore w:val="0"/>
        <w:numPr>
          <w:ilvl w:val="0"/>
          <w:numId w:val="6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BISQ 简明婴幼儿睡眠问卷 0-2 岁</w:t>
      </w:r>
    </w:p>
    <w:p w14:paraId="5D7D9FC7">
      <w:pPr>
        <w:pStyle w:val="10"/>
        <w:keepLines w:val="0"/>
        <w:pageBreakBefore w:val="0"/>
        <w:numPr>
          <w:ilvl w:val="0"/>
          <w:numId w:val="6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CSHQ 儿童睡眠习惯问卷 3-5 岁</w:t>
      </w:r>
    </w:p>
    <w:p w14:paraId="20B4ED0A">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体弱儿管理指导模块；</w:t>
      </w:r>
    </w:p>
    <w:p w14:paraId="4C1BE41B">
      <w:pPr>
        <w:pStyle w:val="10"/>
        <w:keepLines w:val="0"/>
        <w:pageBreakBefore w:val="0"/>
        <w:numPr>
          <w:ilvl w:val="0"/>
          <w:numId w:val="6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缺铁性贫血管理</w:t>
      </w:r>
    </w:p>
    <w:p w14:paraId="788E6EAC">
      <w:pPr>
        <w:pStyle w:val="10"/>
        <w:keepLines w:val="0"/>
        <w:pageBreakBefore w:val="0"/>
        <w:numPr>
          <w:ilvl w:val="0"/>
          <w:numId w:val="6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儿童肥胖管理</w:t>
      </w:r>
    </w:p>
    <w:p w14:paraId="4FB44366">
      <w:pPr>
        <w:pStyle w:val="10"/>
        <w:keepLines w:val="0"/>
        <w:pageBreakBefore w:val="0"/>
        <w:numPr>
          <w:ilvl w:val="0"/>
          <w:numId w:val="6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儿童营养不良管理</w:t>
      </w:r>
    </w:p>
    <w:p w14:paraId="31A8BA68">
      <w:pPr>
        <w:pStyle w:val="10"/>
        <w:keepLines w:val="0"/>
        <w:pageBreakBefore w:val="0"/>
        <w:numPr>
          <w:ilvl w:val="0"/>
          <w:numId w:val="6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儿童佝偻病管理</w:t>
      </w:r>
    </w:p>
    <w:p w14:paraId="50F27E66">
      <w:pPr>
        <w:pStyle w:val="10"/>
        <w:keepLines w:val="0"/>
        <w:pageBreakBefore w:val="0"/>
        <w:numPr>
          <w:ilvl w:val="0"/>
          <w:numId w:val="6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普通体弱儿管理；</w:t>
      </w:r>
    </w:p>
    <w:p w14:paraId="6B92533B">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高危儿管理模块；</w:t>
      </w:r>
    </w:p>
    <w:p w14:paraId="371B0093">
      <w:pPr>
        <w:pStyle w:val="10"/>
        <w:keepLines w:val="0"/>
        <w:pageBreakBefore w:val="0"/>
        <w:numPr>
          <w:ilvl w:val="0"/>
          <w:numId w:val="6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高危儿综合管理</w:t>
      </w:r>
    </w:p>
    <w:p w14:paraId="1C4CC74B">
      <w:pPr>
        <w:pStyle w:val="10"/>
        <w:keepLines w:val="0"/>
        <w:pageBreakBefore w:val="0"/>
        <w:numPr>
          <w:ilvl w:val="0"/>
          <w:numId w:val="6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高危儿脑损伤专项评估管理</w:t>
      </w:r>
    </w:p>
    <w:p w14:paraId="53EA0CEA">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儿童营养膳食指导模块；</w:t>
      </w:r>
    </w:p>
    <w:p w14:paraId="383F8176">
      <w:pPr>
        <w:pStyle w:val="10"/>
        <w:keepLines w:val="0"/>
        <w:pageBreakBefore w:val="0"/>
        <w:numPr>
          <w:ilvl w:val="0"/>
          <w:numId w:val="6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儿童喂养指导</w:t>
      </w:r>
    </w:p>
    <w:p w14:paraId="344D4C8E">
      <w:pPr>
        <w:pStyle w:val="10"/>
        <w:keepLines w:val="0"/>
        <w:pageBreakBefore w:val="0"/>
        <w:numPr>
          <w:ilvl w:val="0"/>
          <w:numId w:val="6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儿童营养膳食指导</w:t>
      </w:r>
    </w:p>
    <w:p w14:paraId="4923CB06">
      <w:pPr>
        <w:pStyle w:val="10"/>
        <w:keepLines w:val="0"/>
        <w:pageBreakBefore w:val="0"/>
        <w:numPr>
          <w:ilvl w:val="0"/>
          <w:numId w:val="69"/>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儿童营养膳食调查评估</w:t>
      </w:r>
    </w:p>
    <w:p w14:paraId="7C5B685F">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儿童成长指导模块，包括：</w:t>
      </w:r>
    </w:p>
    <w:p w14:paraId="1FAA97B4">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儿童睡眠指导；</w:t>
      </w:r>
    </w:p>
    <w:p w14:paraId="46FD2F9C">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儿童大运动开发指导；</w:t>
      </w:r>
    </w:p>
    <w:p w14:paraId="21581E67">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儿童精细运动开发指导；</w:t>
      </w:r>
    </w:p>
    <w:p w14:paraId="14EC03BD">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儿童语言及交流开发指导；</w:t>
      </w:r>
    </w:p>
    <w:p w14:paraId="4091594B">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儿童认知/思维/智能开发指导；</w:t>
      </w:r>
    </w:p>
    <w:p w14:paraId="396B32AF">
      <w:pPr>
        <w:pStyle w:val="10"/>
        <w:keepLines w:val="0"/>
        <w:pageBreakBefore w:val="0"/>
        <w:numPr>
          <w:ilvl w:val="0"/>
          <w:numId w:val="70"/>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儿童早期教育指导。</w:t>
      </w:r>
    </w:p>
    <w:p w14:paraId="6C5B3058">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儿童常规检查模块；</w:t>
      </w:r>
    </w:p>
    <w:p w14:paraId="67572759">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体格测量评估</w:t>
      </w:r>
    </w:p>
    <w:p w14:paraId="67DBC96A">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儿童身高预测</w:t>
      </w:r>
    </w:p>
    <w:p w14:paraId="0FDF7412">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早产儿生长发育评估</w:t>
      </w:r>
    </w:p>
    <w:p w14:paraId="460F3C1F">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体重增长速率评估</w:t>
      </w:r>
    </w:p>
    <w:p w14:paraId="292E27FF">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身长增长速率评估</w:t>
      </w:r>
    </w:p>
    <w:p w14:paraId="01E8A6F6">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头围增长速率评估</w:t>
      </w:r>
    </w:p>
    <w:p w14:paraId="23E3ACDB">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儿童个性化成长管理</w:t>
      </w:r>
    </w:p>
    <w:p w14:paraId="0CFD8BCC">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新生儿访视管理</w:t>
      </w:r>
    </w:p>
    <w:p w14:paraId="7371F756">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（3）儿童生长发育指导</w:t>
      </w:r>
    </w:p>
    <w:p w14:paraId="7FFD6E57">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儿童定期体检指导</w:t>
      </w:r>
    </w:p>
    <w:p w14:paraId="2F9A8F6F">
      <w:pPr>
        <w:pStyle w:val="10"/>
        <w:keepLines w:val="0"/>
        <w:pageBreakBefore w:val="0"/>
        <w:numPr>
          <w:ilvl w:val="0"/>
          <w:numId w:val="71"/>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儿童健康教育指导</w:t>
      </w:r>
    </w:p>
    <w:p w14:paraId="68CD347E">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八大儿童早期发育专项管理模块；</w:t>
      </w:r>
    </w:p>
    <w:p w14:paraId="2F508475">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儿童口腔保健管理</w:t>
      </w:r>
    </w:p>
    <w:p w14:paraId="47AD61BC">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儿童龋齿防治管理</w:t>
      </w:r>
    </w:p>
    <w:p w14:paraId="3ABFE9EF">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儿童耳鼻检查管理</w:t>
      </w:r>
    </w:p>
    <w:p w14:paraId="7B9BDF15">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儿童眼保健检查管理</w:t>
      </w:r>
    </w:p>
    <w:p w14:paraId="162FDF0D">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儿童视力筛查管理</w:t>
      </w:r>
    </w:p>
    <w:p w14:paraId="5E407060">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儿童听力筛查管理</w:t>
      </w:r>
    </w:p>
    <w:p w14:paraId="1DDDF4D6">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心脏病筛查管理</w:t>
      </w:r>
    </w:p>
    <w:p w14:paraId="43153EE1">
      <w:pPr>
        <w:pStyle w:val="10"/>
        <w:keepLines w:val="0"/>
        <w:pageBreakBefore w:val="0"/>
        <w:numPr>
          <w:ilvl w:val="0"/>
          <w:numId w:val="72"/>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髋关节筛查管理</w:t>
      </w:r>
    </w:p>
    <w:p w14:paraId="63DBED37">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其它功能包括：</w:t>
      </w:r>
    </w:p>
    <w:p w14:paraId="6DF63C18">
      <w:pPr>
        <w:pStyle w:val="10"/>
        <w:keepLines w:val="0"/>
        <w:pageBreakBefore w:val="0"/>
        <w:numPr>
          <w:ilvl w:val="0"/>
          <w:numId w:val="7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数据库管理模块；</w:t>
      </w:r>
    </w:p>
    <w:p w14:paraId="102DC72A">
      <w:pPr>
        <w:pStyle w:val="10"/>
        <w:keepLines w:val="0"/>
        <w:pageBreakBefore w:val="0"/>
        <w:numPr>
          <w:ilvl w:val="0"/>
          <w:numId w:val="7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综合查询和统计分析功能；</w:t>
      </w:r>
    </w:p>
    <w:p w14:paraId="32173DFF">
      <w:pPr>
        <w:pStyle w:val="10"/>
        <w:keepLines w:val="0"/>
        <w:pageBreakBefore w:val="0"/>
        <w:numPr>
          <w:ilvl w:val="0"/>
          <w:numId w:val="7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支持摄像头，可进行照片管理；</w:t>
      </w:r>
    </w:p>
    <w:p w14:paraId="50A37B30">
      <w:pPr>
        <w:pStyle w:val="10"/>
        <w:keepLines w:val="0"/>
        <w:pageBreakBefore w:val="0"/>
        <w:numPr>
          <w:ilvl w:val="0"/>
          <w:numId w:val="73"/>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预留全功能体检仪无线数据收发接口，可与 0-7 岁全功能儿童体检工作</w:t>
      </w:r>
    </w:p>
    <w:p w14:paraId="50B992E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站无缝对接，可实时自动获取体检仪测量数据；</w:t>
      </w:r>
    </w:p>
    <w:p w14:paraId="444DC72F">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六合一工具箱：</w:t>
      </w:r>
    </w:p>
    <w:p w14:paraId="1CBBD3AC">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格赛尔智能诊断量表 Gesell(0-6 岁）</w:t>
      </w:r>
    </w:p>
    <w:p w14:paraId="5EE8F5EF">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丹佛小儿智能发育筛查 DDST(0-6 岁）</w:t>
      </w:r>
    </w:p>
    <w:p w14:paraId="7B5E6F8E">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儿童智能发育筛查测验 DST(0-6 岁）</w:t>
      </w:r>
    </w:p>
    <w:p w14:paraId="1BA84B4C">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小儿神经心理发育检查表儿心-ll (0-6 岁）</w:t>
      </w:r>
    </w:p>
    <w:p w14:paraId="29085D5D">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 项行为神经评定心理量表 NBNA(新生儿）</w:t>
      </w:r>
    </w:p>
    <w:p w14:paraId="075F8841">
      <w:pPr>
        <w:pStyle w:val="10"/>
        <w:keepLines w:val="0"/>
        <w:pageBreakBefore w:val="0"/>
        <w:numPr>
          <w:ilvl w:val="0"/>
          <w:numId w:val="74"/>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 项神经运动检查 NBNA2（0-1 岁）</w:t>
      </w:r>
    </w:p>
    <w:p w14:paraId="2E9C94C9">
      <w:pPr>
        <w:keepLines w:val="0"/>
        <w:pageBreakBefore w:val="0"/>
        <w:numPr>
          <w:ilvl w:val="0"/>
          <w:numId w:val="75"/>
        </w:numPr>
        <w:kinsoku/>
        <w:wordWrap/>
        <w:overflowPunct/>
        <w:topLinePunct w:val="0"/>
        <w:autoSpaceDE/>
        <w:autoSpaceDN/>
        <w:bidi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0-18 岁全功能儿童体检工作站的技术参数：</w:t>
      </w:r>
    </w:p>
    <w:p w14:paraId="5237787A">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主要功能：0-18 岁儿童体格一站式高精密测评。</w:t>
      </w:r>
    </w:p>
    <w:p w14:paraId="73FB55B4">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岁卧式和 3-18 岁立式各自拥有独立全彩色大尺寸触摸屏，高清显示，支持中文输入，无需电脑即可独立快速智能测评；</w:t>
      </w:r>
    </w:p>
    <w:p w14:paraId="3417DA9D">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采用无线数据传输，体检仪上检测数据可同步无线传输到电脑数据库管理系统，配无线微型打印机；</w:t>
      </w:r>
    </w:p>
    <w:p w14:paraId="7722F8DA">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分析测评项目：身高、体重、BMI、坐高、头围、胸围等，采用全电子高精度传感检测技术，智能防抖；</w:t>
      </w:r>
    </w:p>
    <w:p w14:paraId="260D8EA9">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儿童生长发育评估标准：支持九城市标准和 WHO 标准；</w:t>
      </w:r>
    </w:p>
    <w:p w14:paraId="0518DDC7">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、0-3 岁婴幼儿身长测量的最大量程≥110cm，测量精度±1mm，非超声或红外的测量技术；</w:t>
      </w:r>
    </w:p>
    <w:p w14:paraId="0AFC12DB">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测量 0-3 岁婴幼儿（卧姿）体格时，承载主体一次性注塑成型；</w:t>
      </w:r>
    </w:p>
    <w:p w14:paraId="6DDA18BD">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7、0-3 岁卧式婴幼儿体重测量范围 0-25kg，体重最大量程≥25kg,测量精度±10g；</w:t>
      </w:r>
    </w:p>
    <w:p w14:paraId="6B0376C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8、3-18 岁立式儿童身高测量范围 60-200cm，坐高测量范围：50-90cm，测量精度±1mm；</w:t>
      </w:r>
    </w:p>
    <w:p w14:paraId="3E4002C0">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体重测量范围 0-150kg， 测量精度±50g（注：以上精度均为需达到的测量精度，仅分度值或显示精度指标达到无效，身长测量不得采用超声或红外的测量技术）；</w:t>
      </w:r>
    </w:p>
    <w:p w14:paraId="0EEDF0FB">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9、0-18 岁儿童高精度体格检测功能：通过无线接收卡将 0-3 岁婴幼儿和 3-18 岁儿童的体格检测集成在一套软件系统上可自由切换，具备儿童生长发育数据图表打印、数据分析、数据统计等专业功能；能 A4 报告单；可以跟医院 HIS 对接，产生的接口费用由中标单位承担。 </w:t>
      </w:r>
    </w:p>
    <w:p w14:paraId="627DD28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配置要求：</w:t>
      </w:r>
    </w:p>
    <w:p w14:paraId="6B80B714">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系统硬件配置：</w:t>
      </w:r>
    </w:p>
    <w:p w14:paraId="6B6BA11A">
      <w:pPr>
        <w:pStyle w:val="10"/>
        <w:keepLines w:val="0"/>
        <w:pageBreakBefore w:val="0"/>
        <w:numPr>
          <w:ilvl w:val="0"/>
          <w:numId w:val="7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台车 1 台 </w:t>
      </w:r>
    </w:p>
    <w:p w14:paraId="625664D8">
      <w:pPr>
        <w:pStyle w:val="10"/>
        <w:keepLines w:val="0"/>
        <w:pageBreakBefore w:val="0"/>
        <w:numPr>
          <w:ilvl w:val="0"/>
          <w:numId w:val="7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打印机 2 台</w:t>
      </w:r>
    </w:p>
    <w:p w14:paraId="6794ECA7">
      <w:pPr>
        <w:pStyle w:val="10"/>
        <w:keepLines w:val="0"/>
        <w:pageBreakBefore w:val="0"/>
        <w:numPr>
          <w:ilvl w:val="0"/>
          <w:numId w:val="7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电脑 1 台 </w:t>
      </w:r>
    </w:p>
    <w:p w14:paraId="00F2B493">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4、0-3 岁婴幼儿全功能体检仪 1 台；</w:t>
      </w:r>
    </w:p>
    <w:p w14:paraId="22E055CC">
      <w:pPr>
        <w:pStyle w:val="10"/>
        <w:keepLines w:val="0"/>
        <w:pageBreakBefore w:val="0"/>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5、3-18 岁儿童全功能体检仪 1 台；</w:t>
      </w:r>
    </w:p>
    <w:p w14:paraId="7F4462E6">
      <w:pPr>
        <w:pStyle w:val="10"/>
        <w:keepLines w:val="0"/>
        <w:pageBreakBefore w:val="0"/>
        <w:numPr>
          <w:ilvl w:val="0"/>
          <w:numId w:val="76"/>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无线微型打印机 1 个（全功能体检仪专用）。 </w:t>
      </w:r>
    </w:p>
    <w:p w14:paraId="062B4CF5">
      <w:pPr>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系统软件配置： </w:t>
      </w:r>
    </w:p>
    <w:p w14:paraId="427DE66E">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儿童智力测评模块，包含多种智力评测软件； </w:t>
      </w:r>
    </w:p>
    <w:p w14:paraId="2672B668">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儿童心理评估模块； </w:t>
      </w:r>
    </w:p>
    <w:p w14:paraId="1B566810">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儿童气质评估模块； </w:t>
      </w:r>
    </w:p>
    <w:p w14:paraId="248A9A3B">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睡眠指导问卷 </w:t>
      </w:r>
    </w:p>
    <w:p w14:paraId="13DB0C69">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体弱儿管理指导模块； </w:t>
      </w:r>
    </w:p>
    <w:p w14:paraId="5BC1109A">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高危儿管理模块； </w:t>
      </w:r>
    </w:p>
    <w:p w14:paraId="475B8C1D">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儿童营养膳食指导模块； </w:t>
      </w:r>
    </w:p>
    <w:p w14:paraId="0925A815">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儿童成长指导模块 </w:t>
      </w:r>
    </w:p>
    <w:p w14:paraId="63253EF1">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儿童常规检查模块； </w:t>
      </w:r>
    </w:p>
    <w:p w14:paraId="17FB2987">
      <w:pPr>
        <w:pStyle w:val="10"/>
        <w:keepLines w:val="0"/>
        <w:pageBreakBefore w:val="0"/>
        <w:numPr>
          <w:ilvl w:val="0"/>
          <w:numId w:val="77"/>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八大儿童早期发育专项管理模块； </w:t>
      </w:r>
    </w:p>
    <w:p w14:paraId="254E343A">
      <w:pPr>
        <w:pStyle w:val="10"/>
        <w:keepLines w:val="0"/>
        <w:pageBreakBefore w:val="0"/>
        <w:numPr>
          <w:ilvl w:val="0"/>
          <w:numId w:val="0"/>
        </w:numPr>
        <w:kinsoku/>
        <w:wordWrap/>
        <w:overflowPunct/>
        <w:topLinePunct w:val="0"/>
        <w:autoSpaceDE/>
        <w:autoSpaceDN/>
        <w:bidi w:val="0"/>
        <w:spacing w:before="0" w:after="0" w:line="360" w:lineRule="auto"/>
        <w:ind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p w14:paraId="49AA3E24">
      <w:pPr>
        <w:pStyle w:val="10"/>
        <w:keepLines w:val="0"/>
        <w:pageBreakBefore w:val="0"/>
        <w:numPr>
          <w:ilvl w:val="0"/>
          <w:numId w:val="78"/>
        </w:numPr>
        <w:kinsoku/>
        <w:wordWrap/>
        <w:overflowPunct/>
        <w:topLinePunct w:val="0"/>
        <w:autoSpaceDE/>
        <w:autoSpaceDN/>
        <w:bidi w:val="0"/>
        <w:spacing w:before="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质保期≥5年</w:t>
      </w:r>
    </w:p>
    <w:p w14:paraId="2B2A3009">
      <w:pPr>
        <w:pStyle w:val="10"/>
        <w:numPr>
          <w:ilvl w:val="0"/>
          <w:numId w:val="78"/>
        </w:numPr>
        <w:spacing w:before="0" w:after="0" w:line="360" w:lineRule="auto"/>
        <w:ind w:firstLine="0" w:firstLineChars="0"/>
        <w:rPr>
          <w:rFonts w:hint="eastAsia" w:ascii="仿宋" w:hAnsi="仿宋" w:eastAsia="仿宋" w:cs="仿宋"/>
          <w:b/>
          <w:bCs/>
          <w:color w:val="auto"/>
          <w:kern w:val="44"/>
          <w:sz w:val="24"/>
          <w:szCs w:val="24"/>
          <w:highlight w:val="none"/>
        </w:rPr>
      </w:pPr>
      <w:r>
        <w:rPr>
          <w:rFonts w:hint="eastAsia" w:ascii="仿宋" w:hAnsi="仿宋" w:eastAsia="仿宋" w:cs="仿宋"/>
          <w:color w:val="auto"/>
          <w:sz w:val="24"/>
          <w:szCs w:val="24"/>
          <w:highlight w:val="none"/>
        </w:rPr>
        <w:t>5年后每年系统维护服务费不超过中标金额的5%。</w:t>
      </w:r>
    </w:p>
    <w:p w14:paraId="3747EEB9">
      <w:pPr>
        <w:rPr>
          <w:rFonts w:hint="eastAsia" w:ascii="仿宋" w:hAnsi="仿宋" w:eastAsia="仿宋" w:cs="仿宋"/>
          <w:b/>
          <w:color w:val="auto"/>
          <w:sz w:val="24"/>
          <w:szCs w:val="24"/>
          <w:highlight w:val="none"/>
        </w:rPr>
      </w:pPr>
    </w:p>
    <w:p w14:paraId="1E881B32">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十六</w:t>
      </w:r>
      <w:r>
        <w:rPr>
          <w:rFonts w:hint="eastAsia" w:ascii="仿宋" w:hAnsi="仿宋" w:eastAsia="仿宋" w:cs="仿宋"/>
          <w:b/>
          <w:color w:val="auto"/>
          <w:sz w:val="24"/>
          <w:szCs w:val="24"/>
          <w:highlight w:val="none"/>
        </w:rPr>
        <w:t>、商务要求</w:t>
      </w:r>
      <w:bookmarkEnd w:id="41"/>
    </w:p>
    <w:p w14:paraId="6F038114">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、履约与交货要求</w:t>
      </w:r>
    </w:p>
    <w:p w14:paraId="5BB8A5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bookmarkStart w:id="110" w:name="auto_fouce_1"/>
      <w:r>
        <w:rPr>
          <w:rFonts w:hint="eastAsia" w:ascii="仿宋" w:hAnsi="仿宋" w:eastAsia="仿宋" w:cs="仿宋"/>
          <w:color w:val="auto"/>
          <w:sz w:val="24"/>
          <w:szCs w:val="24"/>
          <w:highlight w:val="none"/>
        </w:rPr>
        <w:t>★1、合同履约期限：货物须在 30 日历日内运输到指定地点；到货后 7 个工作日内，乙方应提前 3 天书面通知甲方到场时间，并派具备对应设备安装调试资质的工程技术人员到场，到场后 15 个工作日内完成安装调试并达到验收条件。</w:t>
      </w:r>
      <w:r>
        <w:rPr>
          <w:rFonts w:hint="eastAsia" w:ascii="仿宋" w:hAnsi="仿宋" w:eastAsia="仿宋" w:cs="仿宋"/>
          <w:color w:val="auto"/>
          <w:sz w:val="24"/>
          <w:szCs w:val="24"/>
          <w:highlight w:val="none"/>
          <w:lang w:eastAsia="zh-CN"/>
        </w:rPr>
        <w:t>若乙方未按约定提前通知，每逾期一日，应向甲方支付合同总价款万分之五的违约金，逾期超过三日的，安装调试期限相应顺延，且乙方应承担因此给甲方造成的全部损失。</w:t>
      </w:r>
      <w:bookmarkEnd w:id="110"/>
    </w:p>
    <w:p w14:paraId="596149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11" w:name="tip_risk_bookmark_2"/>
      <w:r>
        <w:rPr>
          <w:rFonts w:hint="eastAsia" w:ascii="仿宋" w:hAnsi="仿宋" w:eastAsia="仿宋" w:cs="仿宋"/>
          <w:color w:val="auto"/>
          <w:sz w:val="24"/>
          <w:szCs w:val="24"/>
          <w:highlight w:val="none"/>
        </w:rPr>
        <w:t>★2、交货地点：采购人指定地点。</w:t>
      </w:r>
      <w:bookmarkEnd w:id="111"/>
    </w:p>
    <w:p w14:paraId="0183E5C0">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、成交价格及付款方式</w:t>
      </w:r>
    </w:p>
    <w:p w14:paraId="75F0E257">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1、付款途径：银行电汇 / 财政平台支付。</w:t>
      </w:r>
    </w:p>
    <w:p w14:paraId="202CC652">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2、付款方式：</w:t>
      </w:r>
    </w:p>
    <w:p w14:paraId="493F418C">
      <w:pPr>
        <w:pStyle w:val="10"/>
        <w:keepNext w:val="0"/>
        <w:keepLines w:val="0"/>
        <w:pageBreakBefore w:val="0"/>
        <w:widowControl/>
        <w:kinsoku/>
        <w:wordWrap/>
        <w:topLinePunct w:val="0"/>
        <w:autoSpaceDE/>
        <w:autoSpaceDN/>
        <w:bidi w:val="0"/>
        <w:spacing w:before="0" w:after="0" w:afterLines="0" w:line="360" w:lineRule="auto"/>
        <w:ind w:left="0" w:leftChars="0" w:firstLine="480" w:firstLineChars="200"/>
        <w:textAlignment w:val="auto"/>
        <w:rPr>
          <w:rFonts w:hint="eastAsia" w:ascii="仿宋" w:hAnsi="仿宋" w:eastAsia="仿宋" w:cs="仿宋"/>
          <w:color w:val="auto"/>
          <w:sz w:val="24"/>
          <w:szCs w:val="24"/>
          <w:highlight w:val="none"/>
        </w:rPr>
      </w:pPr>
      <w:bookmarkStart w:id="112" w:name="auto_fouce_3"/>
      <w:bookmarkStart w:id="113" w:name="tip_risk_bookmark_5"/>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设备合同签订后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个工作日内，甲方支付合同总价款的30%；设备安装调试完毕并验收合格</w:t>
      </w:r>
      <w:r>
        <w:rPr>
          <w:rFonts w:hint="eastAsia" w:ascii="仿宋" w:hAnsi="仿宋" w:eastAsia="仿宋" w:cs="仿宋"/>
          <w:color w:val="auto"/>
          <w:sz w:val="24"/>
          <w:szCs w:val="24"/>
          <w:highlight w:val="none"/>
          <w:lang w:val="en-US" w:eastAsia="zh-CN"/>
        </w:rPr>
        <w:t>后30</w:t>
      </w:r>
      <w:r>
        <w:rPr>
          <w:rFonts w:hint="eastAsia" w:ascii="仿宋" w:hAnsi="仿宋" w:eastAsia="仿宋" w:cs="仿宋"/>
          <w:color w:val="auto"/>
          <w:sz w:val="24"/>
          <w:szCs w:val="24"/>
          <w:highlight w:val="none"/>
        </w:rPr>
        <w:t>个工作日内，甲方支付合同总价款的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设备运行60日后</w:t>
      </w:r>
      <w:r>
        <w:rPr>
          <w:rFonts w:hint="eastAsia" w:ascii="仿宋" w:hAnsi="仿宋" w:eastAsia="仿宋" w:cs="仿宋"/>
          <w:color w:val="auto"/>
          <w:sz w:val="24"/>
          <w:szCs w:val="24"/>
          <w:highlight w:val="none"/>
          <w:lang w:eastAsia="zh-CN"/>
        </w:rPr>
        <w:t>，经甲方书面确认</w:t>
      </w:r>
      <w:r>
        <w:rPr>
          <w:rFonts w:hint="eastAsia" w:ascii="仿宋" w:hAnsi="仿宋" w:eastAsia="仿宋" w:cs="仿宋"/>
          <w:color w:val="auto"/>
          <w:sz w:val="24"/>
          <w:szCs w:val="24"/>
          <w:highlight w:val="none"/>
        </w:rPr>
        <w:t>参数性能</w:t>
      </w:r>
      <w:r>
        <w:rPr>
          <w:rFonts w:hint="eastAsia" w:ascii="仿宋" w:hAnsi="仿宋" w:eastAsia="仿宋" w:cs="仿宋"/>
          <w:color w:val="auto"/>
          <w:sz w:val="24"/>
          <w:szCs w:val="24"/>
          <w:highlight w:val="none"/>
          <w:lang w:eastAsia="zh-CN"/>
        </w:rPr>
        <w:t>持续</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合同约定</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且乙方无任何未履行的合同义务及违约情形，甲方支</w:t>
      </w:r>
      <w:r>
        <w:rPr>
          <w:rFonts w:hint="eastAsia" w:ascii="仿宋" w:hAnsi="仿宋" w:eastAsia="仿宋" w:cs="仿宋"/>
          <w:color w:val="auto"/>
          <w:sz w:val="24"/>
          <w:szCs w:val="24"/>
          <w:highlight w:val="none"/>
        </w:rPr>
        <w:t>付余款</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乙方应向甲方提供符合甲方要求的</w:t>
      </w:r>
      <w:r>
        <w:rPr>
          <w:rStyle w:val="30"/>
          <w:rFonts w:hint="eastAsia" w:ascii="仿宋" w:hAnsi="仿宋" w:eastAsia="仿宋" w:cs="仿宋"/>
          <w:b/>
          <w:bCs/>
          <w:color w:val="auto"/>
          <w:sz w:val="24"/>
          <w:szCs w:val="24"/>
          <w:highlight w:val="none"/>
        </w:rPr>
        <w:t>不可撤销保函</w:t>
      </w:r>
      <w:r>
        <w:rPr>
          <w:rFonts w:hint="eastAsia" w:ascii="仿宋" w:hAnsi="仿宋" w:eastAsia="仿宋" w:cs="仿宋"/>
          <w:color w:val="auto"/>
          <w:sz w:val="24"/>
          <w:szCs w:val="24"/>
          <w:highlight w:val="none"/>
        </w:rPr>
        <w:t>（出具机构为具备相应资质的银行或专业担保公司），作为本合同项下设备质量的担保，保函金额为合同价格的10%，保函有效期自出具之日起至本合同约定的设备质保期届满之日止。</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内设备出现质量问题未解决的，保函有效期自动顺延至质量问题全部解决之日。若在质保期内甲方根据合同约定扣减或索赔导致保函金额减少的，乙方应在收到甲方书面通知后10个工作日内补充相应金额的保函或提供其他甲方认可的担保，以确保担保金额持续符合约定。否则，每逾期一日，乙方应向甲方支付合同总价款万分之五的违约金。质保期</w:t>
      </w:r>
      <w:r>
        <w:rPr>
          <w:rFonts w:hint="eastAsia" w:ascii="仿宋" w:hAnsi="仿宋" w:eastAsia="仿宋" w:cs="仿宋"/>
          <w:color w:val="auto"/>
          <w:sz w:val="24"/>
          <w:szCs w:val="24"/>
          <w:highlight w:val="none"/>
        </w:rPr>
        <w:t>届满后，该保函自动失效，甲方无需退还保函原件。</w:t>
      </w:r>
      <w:bookmarkEnd w:id="112"/>
      <w:bookmarkEnd w:id="113"/>
    </w:p>
    <w:p w14:paraId="6C87A5D7">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14" w:name="auto_fouce_6"/>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付款凭证：甲方</w:t>
      </w:r>
      <w:r>
        <w:rPr>
          <w:rFonts w:hint="eastAsia" w:ascii="仿宋" w:hAnsi="仿宋" w:eastAsia="仿宋" w:cs="仿宋"/>
          <w:color w:val="auto"/>
          <w:sz w:val="24"/>
          <w:szCs w:val="24"/>
          <w:highlight w:val="none"/>
          <w:lang w:eastAsia="zh-CN"/>
        </w:rPr>
        <w:t>按付款节点</w:t>
      </w:r>
      <w:r>
        <w:rPr>
          <w:rFonts w:hint="eastAsia" w:ascii="仿宋" w:hAnsi="仿宋" w:eastAsia="仿宋" w:cs="仿宋"/>
          <w:color w:val="auto"/>
          <w:sz w:val="24"/>
          <w:szCs w:val="24"/>
          <w:highlight w:val="none"/>
        </w:rPr>
        <w:t>凭</w:t>
      </w:r>
      <w:r>
        <w:rPr>
          <w:rFonts w:hint="eastAsia" w:ascii="仿宋" w:hAnsi="仿宋" w:eastAsia="仿宋" w:cs="仿宋"/>
          <w:color w:val="auto"/>
          <w:sz w:val="24"/>
          <w:szCs w:val="24"/>
          <w:highlight w:val="none"/>
          <w:lang w:eastAsia="zh-CN"/>
        </w:rPr>
        <w:t>对应资料付款：支付第一笔30%款项时，凭</w:t>
      </w:r>
      <w:r>
        <w:rPr>
          <w:rFonts w:hint="eastAsia" w:ascii="仿宋" w:hAnsi="仿宋" w:eastAsia="仿宋" w:cs="仿宋"/>
          <w:color w:val="auto"/>
          <w:sz w:val="24"/>
          <w:szCs w:val="24"/>
          <w:highlight w:val="none"/>
        </w:rPr>
        <w:t>中标通知单、合同、</w:t>
      </w:r>
      <w:r>
        <w:rPr>
          <w:rFonts w:hint="eastAsia" w:ascii="仿宋" w:hAnsi="仿宋" w:eastAsia="仿宋" w:cs="仿宋"/>
          <w:color w:val="auto"/>
          <w:sz w:val="24"/>
          <w:szCs w:val="24"/>
          <w:highlight w:val="none"/>
          <w:lang w:eastAsia="zh-CN"/>
        </w:rPr>
        <w:t>对应金</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eastAsia="zh-CN"/>
        </w:rPr>
        <w:t>的合格</w:t>
      </w:r>
      <w:r>
        <w:rPr>
          <w:rFonts w:hint="eastAsia" w:ascii="仿宋" w:hAnsi="仿宋" w:eastAsia="仿宋" w:cs="仿宋"/>
          <w:color w:val="auto"/>
          <w:sz w:val="24"/>
          <w:szCs w:val="24"/>
          <w:highlight w:val="none"/>
        </w:rPr>
        <w:t>发票</w:t>
      </w:r>
      <w:r>
        <w:rPr>
          <w:rFonts w:hint="eastAsia" w:ascii="仿宋" w:hAnsi="仿宋" w:eastAsia="仿宋" w:cs="仿宋"/>
          <w:color w:val="auto"/>
          <w:sz w:val="24"/>
          <w:szCs w:val="24"/>
          <w:highlight w:val="none"/>
          <w:lang w:eastAsia="zh-CN"/>
        </w:rPr>
        <w:t>；支付第二笔60%款项时，凭</w:t>
      </w:r>
      <w:r>
        <w:rPr>
          <w:rFonts w:hint="eastAsia" w:ascii="仿宋" w:hAnsi="仿宋" w:eastAsia="仿宋" w:cs="仿宋"/>
          <w:color w:val="auto"/>
          <w:sz w:val="24"/>
          <w:szCs w:val="24"/>
          <w:highlight w:val="none"/>
        </w:rPr>
        <w:t>验收</w:t>
      </w:r>
      <w:r>
        <w:rPr>
          <w:rFonts w:hint="eastAsia" w:ascii="仿宋" w:hAnsi="仿宋" w:eastAsia="仿宋" w:cs="仿宋"/>
          <w:color w:val="auto"/>
          <w:sz w:val="24"/>
          <w:szCs w:val="24"/>
          <w:highlight w:val="none"/>
          <w:lang w:eastAsia="zh-CN"/>
        </w:rPr>
        <w:t>合格证明</w:t>
      </w:r>
      <w:r>
        <w:rPr>
          <w:rFonts w:hint="eastAsia" w:ascii="仿宋" w:hAnsi="仿宋" w:eastAsia="仿宋" w:cs="仿宋"/>
          <w:color w:val="auto"/>
          <w:sz w:val="24"/>
          <w:szCs w:val="24"/>
          <w:highlight w:val="none"/>
        </w:rPr>
        <w:t>、固定资产出入库手续</w:t>
      </w:r>
      <w:r>
        <w:rPr>
          <w:rFonts w:hint="eastAsia" w:ascii="仿宋" w:hAnsi="仿宋" w:eastAsia="仿宋" w:cs="仿宋"/>
          <w:color w:val="auto"/>
          <w:sz w:val="24"/>
          <w:szCs w:val="24"/>
          <w:highlight w:val="none"/>
          <w:lang w:eastAsia="zh-CN"/>
        </w:rPr>
        <w:t>、对应金额的合格发票；支</w:t>
      </w:r>
      <w:r>
        <w:rPr>
          <w:rFonts w:hint="eastAsia" w:ascii="仿宋" w:hAnsi="仿宋" w:eastAsia="仿宋" w:cs="仿宋"/>
          <w:color w:val="auto"/>
          <w:sz w:val="24"/>
          <w:szCs w:val="24"/>
          <w:highlight w:val="none"/>
        </w:rPr>
        <w:t>付</w:t>
      </w:r>
      <w:r>
        <w:rPr>
          <w:rFonts w:hint="eastAsia" w:ascii="仿宋" w:hAnsi="仿宋" w:eastAsia="仿宋" w:cs="仿宋"/>
          <w:color w:val="auto"/>
          <w:sz w:val="24"/>
          <w:szCs w:val="24"/>
          <w:highlight w:val="none"/>
          <w:lang w:eastAsia="zh-CN"/>
        </w:rPr>
        <w:t>第三笔10%</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lang w:eastAsia="zh-CN"/>
        </w:rPr>
        <w:t>项时，凭甲方出具的参数性能符合要求的书面确认文件、对应金额的合格发票</w:t>
      </w:r>
      <w:r>
        <w:rPr>
          <w:rFonts w:hint="eastAsia" w:ascii="仿宋" w:hAnsi="仿宋" w:eastAsia="仿宋" w:cs="仿宋"/>
          <w:color w:val="auto"/>
          <w:sz w:val="24"/>
          <w:szCs w:val="24"/>
          <w:highlight w:val="none"/>
        </w:rPr>
        <w:t>。甲方未收到发票的，有权不予支付相应款项直至乙方提供合格发票，并不承担延迟付款责任。</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提供的发票存在虚开、作废、红冲、信息不符等不合规情形，乙方</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eastAsia="zh-CN"/>
        </w:rPr>
        <w:t>在甲方发出通知后3个工作日内更换为合规发票，否则甲方有权追回已支付的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应款项，由此产生的全部损失由乙方承担。乙方应对</w:t>
      </w:r>
      <w:r>
        <w:rPr>
          <w:rFonts w:hint="eastAsia" w:ascii="仿宋" w:hAnsi="仿宋" w:eastAsia="仿宋" w:cs="仿宋"/>
          <w:color w:val="auto"/>
          <w:sz w:val="24"/>
          <w:szCs w:val="24"/>
          <w:highlight w:val="none"/>
        </w:rPr>
        <w:t>其指定的账号信息的真实性、安全性、正确性负责，因乙方收款信息问题造成的全部后果均由乙方自行承担。</w:t>
      </w:r>
      <w:bookmarkEnd w:id="114"/>
    </w:p>
    <w:p w14:paraId="65BD346C">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、验收要求</w:t>
      </w:r>
    </w:p>
    <w:p w14:paraId="5FFE7D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bookmarkStart w:id="115" w:name="auto_fouce_7"/>
      <w:r>
        <w:rPr>
          <w:rFonts w:hint="eastAsia" w:ascii="仿宋" w:hAnsi="仿宋" w:eastAsia="仿宋" w:cs="仿宋"/>
          <w:color w:val="auto"/>
          <w:sz w:val="24"/>
          <w:szCs w:val="24"/>
          <w:highlight w:val="none"/>
        </w:rPr>
        <w:t>设备质量要求：设备须为合同生效后原厂生产的全新、未使用过的原装合格正品，国产设备出厂日期距交货日期不得超过 60 天。若出厂日期超出规定时限，按以下标准折价：折价金额 = 合同中标价 ÷（设备标定使用年限 ×365）× 超期天数，折价金额由乙方在验收后 10 个工作日内返还至甲方指定账户</w:t>
      </w:r>
      <w:r>
        <w:rPr>
          <w:rFonts w:hint="eastAsia" w:ascii="仿宋" w:hAnsi="仿宋" w:eastAsia="仿宋" w:cs="仿宋"/>
          <w:color w:val="auto"/>
          <w:sz w:val="24"/>
          <w:szCs w:val="24"/>
          <w:highlight w:val="none"/>
          <w:lang w:eastAsia="zh-CN"/>
        </w:rPr>
        <w:t>；若乙方逾期返还，每逾期一日，应按折价金额的千分之一向甲方支付违约金</w:t>
      </w:r>
      <w:r>
        <w:rPr>
          <w:rFonts w:hint="eastAsia" w:ascii="仿宋" w:hAnsi="仿宋" w:eastAsia="仿宋" w:cs="仿宋"/>
          <w:color w:val="auto"/>
          <w:sz w:val="24"/>
          <w:szCs w:val="24"/>
          <w:highlight w:val="none"/>
        </w:rPr>
        <w:t>。</w:t>
      </w:r>
      <w:bookmarkEnd w:id="115"/>
    </w:p>
    <w:p w14:paraId="50C54E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、检测要求：需计量检定或特种设备检验检测的设备，乙方须在验收后 30 日内提供法定检测机构出具的合格检测报告；无法提供的，由甲方委托第三方检测，检测费用由乙方承担。若检测认定质量不合格，乙方须在 15 日内无条件更换合格设备，并承担甲方因此产生的诊疗损失、检测费、误工费等全部责任。</w:t>
      </w:r>
    </w:p>
    <w:p w14:paraId="79FDB3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bookmarkStart w:id="116" w:name="tip_risk_bookmark_8"/>
      <w:r>
        <w:rPr>
          <w:rFonts w:hint="eastAsia" w:ascii="仿宋" w:hAnsi="仿宋" w:eastAsia="仿宋" w:cs="仿宋"/>
          <w:color w:val="auto"/>
          <w:sz w:val="24"/>
          <w:szCs w:val="24"/>
          <w:highlight w:val="none"/>
        </w:rPr>
        <w:t>检测违约处理：乙方未在约定时限内提供法定检测机构出具的合格检测报告的，每逾期一日，应向甲方支付合同总价款万分之五的违约金；逾期超过十五日的，甲方有权要求退货，并由乙方承担本合同约定的相应违约责任。</w:t>
      </w:r>
      <w:bookmarkEnd w:id="116"/>
    </w:p>
    <w:p w14:paraId="15FEB8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、开箱验收：乙方负责将货物安全运抵指定地点，到货后由甲方、乙方共同开箱验货，核对设备型号、配置、数量与合同一致性，双方签字确认验货清单。</w:t>
      </w:r>
    </w:p>
    <w:p w14:paraId="57164B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bookmarkStart w:id="117" w:name="auto_fouce_9"/>
      <w:r>
        <w:rPr>
          <w:rFonts w:hint="eastAsia" w:ascii="仿宋" w:hAnsi="仿宋" w:eastAsia="仿宋" w:cs="仿宋"/>
          <w:color w:val="auto"/>
          <w:sz w:val="24"/>
          <w:szCs w:val="24"/>
          <w:highlight w:val="none"/>
        </w:rPr>
        <w:t>标准与证明：所供货物须符合中国及国际最新通行标准，附原厂测试报告、合格证书；进口设备须提供报关单、商检证。具体质量标准以乙方投标文件中明确的内容为准，经甲方书面确认后作为本合同附件</w:t>
      </w:r>
      <w:r>
        <w:rPr>
          <w:rFonts w:hint="eastAsia" w:ascii="仿宋" w:hAnsi="仿宋" w:eastAsia="仿宋" w:cs="仿宋"/>
          <w:color w:val="auto"/>
          <w:sz w:val="24"/>
          <w:szCs w:val="24"/>
          <w:highlight w:val="none"/>
          <w:lang w:eastAsia="zh-CN"/>
        </w:rPr>
        <w:t>；若乙方投标文件载明的标准低于招标文件要求、国家或行业强制标准的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以较高的标准为准，</w:t>
      </w:r>
      <w:r>
        <w:rPr>
          <w:rFonts w:hint="eastAsia" w:ascii="仿宋" w:hAnsi="仿宋" w:eastAsia="仿宋" w:cs="仿宋"/>
          <w:color w:val="auto"/>
          <w:sz w:val="24"/>
          <w:szCs w:val="24"/>
          <w:highlight w:val="none"/>
        </w:rPr>
        <w:t>是本合同不可分割的组成部分。</w:t>
      </w:r>
      <w:bookmarkEnd w:id="117"/>
    </w:p>
    <w:p w14:paraId="2CD7C6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Start w:id="118" w:name="auto_fouce_10"/>
      <w:r>
        <w:rPr>
          <w:rFonts w:hint="eastAsia" w:ascii="仿宋" w:hAnsi="仿宋" w:eastAsia="仿宋" w:cs="仿宋"/>
          <w:color w:val="auto"/>
          <w:sz w:val="24"/>
          <w:szCs w:val="24"/>
          <w:highlight w:val="none"/>
        </w:rPr>
        <w:t>技术资料交付：乙方须在验收时提供以下完整资料（中文版本，进口资料须附</w:t>
      </w:r>
      <w:r>
        <w:rPr>
          <w:rFonts w:hint="eastAsia" w:ascii="仿宋" w:hAnsi="仿宋" w:eastAsia="仿宋" w:cs="仿宋"/>
          <w:color w:val="auto"/>
          <w:sz w:val="24"/>
          <w:szCs w:val="24"/>
          <w:highlight w:val="none"/>
          <w:lang w:eastAsia="zh-CN"/>
        </w:rPr>
        <w:t>具备翻译资质的</w:t>
      </w:r>
      <w:r>
        <w:rPr>
          <w:rFonts w:hint="eastAsia" w:ascii="仿宋" w:hAnsi="仿宋" w:eastAsia="仿宋" w:cs="仿宋"/>
          <w:color w:val="auto"/>
          <w:sz w:val="24"/>
          <w:szCs w:val="24"/>
          <w:highlight w:val="none"/>
        </w:rPr>
        <w:t>机构</w:t>
      </w:r>
      <w:r>
        <w:rPr>
          <w:rFonts w:hint="eastAsia" w:ascii="仿宋" w:hAnsi="仿宋" w:eastAsia="仿宋" w:cs="仿宋"/>
          <w:color w:val="auto"/>
          <w:sz w:val="24"/>
          <w:szCs w:val="24"/>
          <w:highlight w:val="none"/>
          <w:lang w:eastAsia="zh-CN"/>
        </w:rPr>
        <w:t>出具的加盖公章的中文</w:t>
      </w:r>
      <w:r>
        <w:rPr>
          <w:rFonts w:hint="eastAsia" w:ascii="仿宋" w:hAnsi="仿宋" w:eastAsia="仿宋" w:cs="仿宋"/>
          <w:color w:val="auto"/>
          <w:sz w:val="24"/>
          <w:szCs w:val="24"/>
          <w:highlight w:val="none"/>
        </w:rPr>
        <w:t>翻译件</w:t>
      </w:r>
      <w:r>
        <w:rPr>
          <w:rFonts w:hint="eastAsia" w:ascii="仿宋" w:hAnsi="仿宋" w:eastAsia="仿宋" w:cs="仿宋"/>
          <w:color w:val="auto"/>
          <w:sz w:val="24"/>
          <w:szCs w:val="24"/>
          <w:highlight w:val="none"/>
          <w:lang w:eastAsia="zh-CN"/>
        </w:rPr>
        <w:t>，若翻译内容与原文不一致导致甲方损失的，由乙方承担全部赔偿责任</w:t>
      </w:r>
      <w:r>
        <w:rPr>
          <w:rFonts w:hint="eastAsia" w:ascii="仿宋" w:hAnsi="仿宋" w:eastAsia="仿宋" w:cs="仿宋"/>
          <w:color w:val="auto"/>
          <w:sz w:val="24"/>
          <w:szCs w:val="24"/>
          <w:highlight w:val="none"/>
        </w:rPr>
        <w:t>），资料不全或不符合甲方要求的，甲方有权拒绝开展后续验收工作，直至乙方补充完善全部符合要求的资料：</w:t>
      </w:r>
      <w:bookmarkEnd w:id="118"/>
    </w:p>
    <w:p w14:paraId="1A0AD6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（1）设备配置清单、详细说明书、技术参数报告、彩图；</w:t>
      </w:r>
    </w:p>
    <w:p w14:paraId="26D26E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（2）维修手册、操作手册、保养指南；</w:t>
      </w:r>
    </w:p>
    <w:p w14:paraId="0C0880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（3）软件合法使用证书、备份安装包及授权文件；</w:t>
      </w:r>
    </w:p>
    <w:p w14:paraId="16FCDE4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（4）国家规定的资质证明</w:t>
      </w:r>
    </w:p>
    <w:p w14:paraId="5C2CF17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（5）正规备品备件价格表（明确保修期后价格不高于中标时报价的 120%）；</w:t>
      </w:r>
    </w:p>
    <w:p w14:paraId="2A60366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（6）售中售后服务承诺、免费质保期说明及交付使用日期确认函。</w:t>
      </w:r>
    </w:p>
    <w:p w14:paraId="027E21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19" w:name="auto_fouce_11"/>
      <w:r>
        <w:rPr>
          <w:rFonts w:hint="eastAsia" w:ascii="仿宋" w:hAnsi="仿宋" w:eastAsia="仿宋" w:cs="仿宋"/>
          <w:color w:val="auto"/>
          <w:sz w:val="24"/>
          <w:szCs w:val="24"/>
          <w:highlight w:val="none"/>
        </w:rPr>
        <w:t>乙方交付的技术资料不全，导致验收不合格的，除按本合同约定承担逾期安装调试的违约责任外，每缺少一项</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资料（</w:t>
      </w:r>
      <w:r>
        <w:rPr>
          <w:rFonts w:hint="eastAsia" w:ascii="仿宋" w:hAnsi="仿宋" w:eastAsia="仿宋" w:cs="仿宋"/>
          <w:color w:val="auto"/>
          <w:sz w:val="24"/>
          <w:szCs w:val="24"/>
          <w:highlight w:val="none"/>
          <w:lang w:eastAsia="zh-CN"/>
        </w:rPr>
        <w:t>包括但不限于本条第6款所列（1）至（6）项资料，</w:t>
      </w:r>
      <w:r>
        <w:rPr>
          <w:rFonts w:hint="eastAsia" w:ascii="仿宋" w:hAnsi="仿宋" w:eastAsia="仿宋" w:cs="仿宋"/>
          <w:color w:val="auto"/>
          <w:sz w:val="24"/>
          <w:szCs w:val="24"/>
          <w:highlight w:val="none"/>
        </w:rPr>
        <w:t>具体</w:t>
      </w:r>
      <w:r>
        <w:rPr>
          <w:rFonts w:hint="eastAsia" w:ascii="仿宋" w:hAnsi="仿宋" w:eastAsia="仿宋" w:cs="仿宋"/>
          <w:color w:val="auto"/>
          <w:sz w:val="24"/>
          <w:szCs w:val="24"/>
          <w:highlight w:val="none"/>
          <w:lang w:eastAsia="zh-CN"/>
        </w:rPr>
        <w:t>关键资料</w:t>
      </w:r>
      <w:r>
        <w:rPr>
          <w:rFonts w:hint="eastAsia" w:ascii="仿宋" w:hAnsi="仿宋" w:eastAsia="仿宋" w:cs="仿宋"/>
          <w:color w:val="auto"/>
          <w:sz w:val="24"/>
          <w:szCs w:val="24"/>
          <w:highlight w:val="none"/>
        </w:rPr>
        <w:t>清单</w:t>
      </w:r>
      <w:r>
        <w:rPr>
          <w:rFonts w:hint="eastAsia" w:ascii="仿宋" w:hAnsi="仿宋" w:eastAsia="仿宋" w:cs="仿宋"/>
          <w:color w:val="auto"/>
          <w:sz w:val="24"/>
          <w:szCs w:val="24"/>
          <w:highlight w:val="none"/>
          <w:lang w:eastAsia="zh-CN"/>
        </w:rPr>
        <w:t>可另行</w:t>
      </w:r>
      <w:r>
        <w:rPr>
          <w:rFonts w:hint="eastAsia" w:ascii="仿宋" w:hAnsi="仿宋" w:eastAsia="仿宋" w:cs="仿宋"/>
          <w:color w:val="auto"/>
          <w:sz w:val="24"/>
          <w:szCs w:val="24"/>
          <w:highlight w:val="none"/>
        </w:rPr>
        <w:t>在附件中明确</w:t>
      </w:r>
      <w:r>
        <w:rPr>
          <w:rFonts w:hint="eastAsia" w:ascii="仿宋" w:hAnsi="仿宋" w:eastAsia="仿宋" w:cs="仿宋"/>
          <w:color w:val="auto"/>
          <w:sz w:val="24"/>
          <w:szCs w:val="24"/>
          <w:highlight w:val="none"/>
          <w:lang w:eastAsia="zh-CN"/>
        </w:rPr>
        <w:t>，若附件未明确，则视本款所列全部资料为关键资料</w:t>
      </w:r>
      <w:r>
        <w:rPr>
          <w:rFonts w:hint="eastAsia" w:ascii="仿宋" w:hAnsi="仿宋" w:eastAsia="仿宋" w:cs="仿宋"/>
          <w:color w:val="auto"/>
          <w:sz w:val="24"/>
          <w:szCs w:val="24"/>
          <w:highlight w:val="none"/>
        </w:rPr>
        <w:t>），还应向甲方支付人民币5000元的违约金。</w:t>
      </w:r>
      <w:bookmarkEnd w:id="119"/>
    </w:p>
    <w:p w14:paraId="561C12DB">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、安装调试</w:t>
      </w:r>
    </w:p>
    <w:p w14:paraId="57F55E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安装费用：乙方免费承担设备装卸、安装、调试、配件、第三方网络接口费、培训等全部费用。设备、系统必须与院内系统进行接口对接，实现数据共享、互通，由此产生的费用由中标单位承担。</w:t>
      </w:r>
    </w:p>
    <w:p w14:paraId="37EF5B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bookmarkStart w:id="120" w:name="auto_fouce_12"/>
      <w:r>
        <w:rPr>
          <w:rFonts w:hint="eastAsia" w:ascii="仿宋" w:hAnsi="仿宋" w:eastAsia="仿宋" w:cs="仿宋"/>
          <w:color w:val="auto"/>
          <w:sz w:val="24"/>
          <w:szCs w:val="24"/>
          <w:highlight w:val="none"/>
        </w:rPr>
        <w:t>验收标准：乙方</w:t>
      </w:r>
      <w:r>
        <w:rPr>
          <w:rFonts w:hint="eastAsia" w:ascii="仿宋" w:hAnsi="仿宋" w:eastAsia="仿宋" w:cs="仿宋"/>
          <w:color w:val="auto"/>
          <w:sz w:val="24"/>
          <w:szCs w:val="24"/>
          <w:highlight w:val="none"/>
          <w:lang w:eastAsia="zh-CN"/>
        </w:rPr>
        <w:t>应于安装调试前7日向甲方</w:t>
      </w:r>
      <w:r>
        <w:rPr>
          <w:rFonts w:hint="eastAsia" w:ascii="仿宋" w:hAnsi="仿宋" w:eastAsia="仿宋" w:cs="仿宋"/>
          <w:color w:val="auto"/>
          <w:sz w:val="24"/>
          <w:szCs w:val="24"/>
          <w:highlight w:val="none"/>
        </w:rPr>
        <w:t>提</w:t>
      </w:r>
      <w:r>
        <w:rPr>
          <w:rFonts w:hint="eastAsia" w:ascii="仿宋" w:hAnsi="仿宋" w:eastAsia="仿宋" w:cs="仿宋"/>
          <w:color w:val="auto"/>
          <w:sz w:val="24"/>
          <w:szCs w:val="24"/>
          <w:highlight w:val="none"/>
          <w:lang w:eastAsia="zh-CN"/>
        </w:rPr>
        <w:t>交</w:t>
      </w:r>
      <w:r>
        <w:rPr>
          <w:rFonts w:hint="eastAsia" w:ascii="仿宋" w:hAnsi="仿宋" w:eastAsia="仿宋" w:cs="仿宋"/>
          <w:color w:val="auto"/>
          <w:sz w:val="24"/>
          <w:szCs w:val="24"/>
          <w:highlight w:val="none"/>
        </w:rPr>
        <w:t>详细验收标准及手册，</w:t>
      </w:r>
      <w:r>
        <w:rPr>
          <w:rFonts w:hint="eastAsia" w:ascii="仿宋" w:hAnsi="仿宋" w:eastAsia="仿宋" w:cs="仿宋"/>
          <w:color w:val="auto"/>
          <w:sz w:val="24"/>
          <w:szCs w:val="24"/>
          <w:highlight w:val="none"/>
          <w:lang w:eastAsia="zh-CN"/>
        </w:rPr>
        <w:t>经甲方书面确认后作为验收依据，</w:t>
      </w:r>
      <w:r>
        <w:rPr>
          <w:rFonts w:hint="eastAsia" w:ascii="仿宋" w:hAnsi="仿宋" w:eastAsia="仿宋" w:cs="仿宋"/>
          <w:color w:val="auto"/>
          <w:sz w:val="24"/>
          <w:szCs w:val="24"/>
          <w:highlight w:val="none"/>
        </w:rPr>
        <w:t>安装后按国际标准、厂方标准及合同约定</w:t>
      </w:r>
      <w:r>
        <w:rPr>
          <w:rFonts w:hint="eastAsia" w:ascii="仿宋" w:hAnsi="仿宋" w:eastAsia="仿宋" w:cs="仿宋"/>
          <w:color w:val="auto"/>
          <w:sz w:val="24"/>
          <w:szCs w:val="24"/>
          <w:highlight w:val="none"/>
          <w:lang w:eastAsia="zh-CN"/>
        </w:rPr>
        <w:t>的较高标准</w:t>
      </w:r>
      <w:r>
        <w:rPr>
          <w:rFonts w:hint="eastAsia" w:ascii="仿宋" w:hAnsi="仿宋" w:eastAsia="仿宋" w:cs="仿宋"/>
          <w:color w:val="auto"/>
          <w:sz w:val="24"/>
          <w:szCs w:val="24"/>
          <w:highlight w:val="none"/>
        </w:rPr>
        <w:t>验收；甲方有权委托法定资质单位进行精度校验，校验费用由乙方承担。</w:t>
      </w:r>
      <w:bookmarkEnd w:id="120"/>
    </w:p>
    <w:p w14:paraId="7BF94CC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bookmarkStart w:id="121" w:name="tip_risk_bookmark_14"/>
      <w:bookmarkStart w:id="122" w:name="auto_fouce_15"/>
      <w:bookmarkStart w:id="123" w:name="tip_risk_bookmark_13"/>
      <w:r>
        <w:rPr>
          <w:rFonts w:hint="eastAsia" w:ascii="仿宋" w:hAnsi="仿宋" w:eastAsia="仿宋" w:cs="仿宋"/>
          <w:color w:val="auto"/>
          <w:sz w:val="24"/>
          <w:szCs w:val="24"/>
          <w:highlight w:val="none"/>
        </w:rPr>
        <w:t>违约处理：因乙方原因未按约定时限完成安装调试</w:t>
      </w:r>
      <w:r>
        <w:rPr>
          <w:rFonts w:hint="eastAsia" w:ascii="仿宋" w:hAnsi="仿宋" w:eastAsia="仿宋" w:cs="仿宋"/>
          <w:color w:val="auto"/>
          <w:sz w:val="24"/>
          <w:szCs w:val="24"/>
          <w:highlight w:val="none"/>
          <w:lang w:eastAsia="zh-CN"/>
        </w:rPr>
        <w:t>，逾期未超过15日</w:t>
      </w:r>
      <w:r>
        <w:rPr>
          <w:rFonts w:hint="eastAsia" w:ascii="仿宋" w:hAnsi="仿宋" w:eastAsia="仿宋" w:cs="仿宋"/>
          <w:color w:val="auto"/>
          <w:sz w:val="24"/>
          <w:szCs w:val="24"/>
          <w:highlight w:val="none"/>
        </w:rPr>
        <w:t>的，每延迟1日按合同总价款的0.05%支付违约金</w:t>
      </w:r>
      <w:r>
        <w:rPr>
          <w:rFonts w:hint="eastAsia" w:ascii="仿宋" w:hAnsi="仿宋" w:eastAsia="仿宋" w:cs="仿宋"/>
          <w:color w:val="auto"/>
          <w:sz w:val="24"/>
          <w:szCs w:val="24"/>
          <w:highlight w:val="none"/>
          <w:lang w:eastAsia="zh-CN"/>
        </w:rPr>
        <w:t>，累计违约金总额不超过合同总价款的5%。逾期超过15日的，甲方有权单方解除合同，乙方除支付已产生的违约金外，还应在收到甲方解除通知后10日内退还已收全部款项，并向甲方支付合同总价款20%的违约金作为赔偿</w:t>
      </w:r>
      <w:r>
        <w:rPr>
          <w:rFonts w:hint="eastAsia" w:ascii="仿宋" w:hAnsi="仿宋" w:eastAsia="仿宋" w:cs="仿宋"/>
          <w:color w:val="auto"/>
          <w:sz w:val="24"/>
          <w:szCs w:val="24"/>
          <w:highlight w:val="none"/>
        </w:rPr>
        <w:t>；调试后未达质量或技术指标的，甲方有权要求退货，乙方须在10日内退还已收款项并支付合同总价款20%的违约金。</w:t>
      </w:r>
      <w:bookmarkEnd w:id="121"/>
      <w:bookmarkEnd w:id="122"/>
      <w:bookmarkEnd w:id="123"/>
    </w:p>
    <w:p w14:paraId="6488E361">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、培训要求</w:t>
      </w:r>
    </w:p>
    <w:p w14:paraId="579D83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培训计划：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w:t>
      </w:r>
    </w:p>
    <w:p w14:paraId="2AD76E7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2、培训实施：乙方派专业技术人员提供线下集中培训，维修人员培训不少于 2 次，操作人员培训不少于 2 次，每次培训时长不低于 2 小时；需赴上级医院培训的，乙方应提前将培训内容、时间、地点、培训单位资质提交甲方书面确认，经甲方同意后再行安排培训并承担全部培训费用（含交通、食宿、学费）。</w:t>
      </w:r>
    </w:p>
    <w:p w14:paraId="520711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3、考核与记录：培训后组织操作及维修考核，合格率须达 100%；若培训后考核合格率未达 100%，乙方须免费重新组织培训直至所有参训人员考核合格，由此产生的所有延误及相关损失由乙方承担。每次培训填写《培训记录表》，经双方签字确认后作为供货商院内可靠性考核的依据之一。培训科室操作人员，直到科室人员能独立操作。</w:t>
      </w:r>
    </w:p>
    <w:p w14:paraId="707CBC6B">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、质保期要求</w:t>
      </w:r>
    </w:p>
    <w:p w14:paraId="5100DF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★1、质保期：</w:t>
      </w:r>
      <w:r>
        <w:rPr>
          <w:rFonts w:hint="eastAsia" w:ascii="仿宋" w:hAnsi="仿宋" w:eastAsia="仿宋" w:cs="仿宋"/>
          <w:color w:val="auto"/>
          <w:sz w:val="24"/>
          <w:szCs w:val="24"/>
          <w:highlight w:val="none"/>
          <w:lang w:eastAsia="zh-CN"/>
        </w:rPr>
        <w:t>免费</w:t>
      </w:r>
      <w:r>
        <w:rPr>
          <w:rFonts w:hint="eastAsia" w:ascii="仿宋" w:hAnsi="仿宋" w:eastAsia="仿宋" w:cs="仿宋"/>
          <w:color w:val="auto"/>
          <w:sz w:val="24"/>
          <w:szCs w:val="24"/>
          <w:highlight w:val="none"/>
        </w:rPr>
        <w:t>质保期为5年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若采购需求</w:t>
      </w:r>
      <w:r>
        <w:rPr>
          <w:rFonts w:hint="eastAsia" w:ascii="仿宋" w:hAnsi="仿宋" w:eastAsia="仿宋" w:cs="仿宋"/>
          <w:color w:val="auto"/>
          <w:sz w:val="24"/>
          <w:szCs w:val="24"/>
          <w:highlight w:val="none"/>
          <w:lang w:eastAsia="zh-CN"/>
        </w:rPr>
        <w:t>技术要求</w:t>
      </w:r>
      <w:r>
        <w:rPr>
          <w:rFonts w:hint="eastAsia" w:ascii="仿宋" w:hAnsi="仿宋" w:eastAsia="仿宋" w:cs="仿宋"/>
          <w:color w:val="auto"/>
          <w:sz w:val="24"/>
          <w:szCs w:val="24"/>
          <w:highlight w:val="none"/>
        </w:rPr>
        <w:t>中有明确质保期要求的，按</w:t>
      </w:r>
      <w:r>
        <w:rPr>
          <w:rFonts w:hint="eastAsia" w:ascii="仿宋" w:hAnsi="仿宋" w:eastAsia="仿宋" w:cs="仿宋"/>
          <w:color w:val="auto"/>
          <w:sz w:val="24"/>
          <w:szCs w:val="24"/>
          <w:highlight w:val="none"/>
          <w:lang w:eastAsia="zh-CN"/>
        </w:rPr>
        <w:t>技术要求</w:t>
      </w:r>
      <w:r>
        <w:rPr>
          <w:rFonts w:hint="eastAsia" w:ascii="仿宋" w:hAnsi="仿宋" w:eastAsia="仿宋" w:cs="仿宋"/>
          <w:color w:val="auto"/>
          <w:sz w:val="24"/>
          <w:szCs w:val="24"/>
          <w:highlight w:val="none"/>
        </w:rPr>
        <w:t>规定执行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含整机、第三方设备、配件、硬软件等。质保期自甲方书面验收合格之日起计算。</w:t>
      </w:r>
      <w:r>
        <w:rPr>
          <w:rFonts w:hint="eastAsia" w:ascii="仿宋" w:hAnsi="仿宋" w:eastAsia="仿宋" w:cs="仿宋"/>
          <w:color w:val="auto"/>
          <w:sz w:val="24"/>
          <w:szCs w:val="24"/>
          <w:highlight w:val="none"/>
          <w:lang w:eastAsia="zh-CN"/>
        </w:rPr>
        <w:t>须提供承诺</w:t>
      </w:r>
      <w:r>
        <w:rPr>
          <w:rFonts w:hint="eastAsia" w:ascii="仿宋" w:hAnsi="仿宋" w:eastAsia="仿宋" w:cs="仿宋"/>
          <w:color w:val="auto"/>
          <w:sz w:val="24"/>
          <w:szCs w:val="24"/>
          <w:highlight w:val="none"/>
        </w:rPr>
        <w:t>（格式自拟）</w:t>
      </w:r>
    </w:p>
    <w:p w14:paraId="217458DA">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、售后服务要求</w:t>
      </w:r>
      <w:bookmarkStart w:id="124" w:name="tip_risk_bookmark_16"/>
    </w:p>
    <w:p w14:paraId="2C4CDC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服务保障：</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提供3名及以上专职维修工程师名单（附资质证明），确保服务响应及时性。</w:t>
      </w:r>
      <w:bookmarkEnd w:id="124"/>
    </w:p>
    <w:p w14:paraId="65D259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bookmarkStart w:id="125" w:name="auto_fouce_17"/>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lang w:eastAsia="zh-CN"/>
        </w:rPr>
        <w:t>确保约定数量的专职维修工程师的，甲方有权要求乙方在15日内整改。逾期未整改或整改后仍不符合约定的，每次甲方检查发现不符合约定时，乙方应向甲方支付合同总价款1%的违约金，且甲方有权自行或委托第三方进行维修，所产生的费用由乙方承担。</w:t>
      </w:r>
      <w:bookmarkEnd w:id="125"/>
    </w:p>
    <w:p w14:paraId="2184EA0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质保期服务：</w:t>
      </w:r>
    </w:p>
    <w:p w14:paraId="2DD55E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免费质保期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个月（自验收合格之日起算），质保期内全机（含附件、硬软件）免费维修、更换零配件，免工时费；</w:t>
      </w:r>
    </w:p>
    <w:p w14:paraId="677362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质保期内厂家工程师每年上门保养不少于2次，做好保养记录并经甲方签字确认；</w:t>
      </w:r>
    </w:p>
    <w:p w14:paraId="413B4E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开机率要求：按法定工作日计算（不含节假日），年开机率须≥95%（年开机率=（年法定工作日数-停机天数）÷年法定工作日数），停机天数不含甲方操作不当或不可抗力导致的停机。</w:t>
      </w:r>
    </w:p>
    <w:p w14:paraId="064060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开机率违约处理：</w:t>
      </w:r>
    </w:p>
    <w:p w14:paraId="1389E0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26" w:name="auto_fouce_18"/>
      <w:r>
        <w:rPr>
          <w:rFonts w:hint="eastAsia" w:ascii="仿宋" w:hAnsi="仿宋" w:eastAsia="仿宋" w:cs="仿宋"/>
          <w:color w:val="auto"/>
          <w:sz w:val="24"/>
          <w:szCs w:val="24"/>
          <w:highlight w:val="none"/>
        </w:rPr>
        <w:t>年开机率90%（含）-95%（不含）：延长质保期1年；</w:t>
      </w:r>
    </w:p>
    <w:p w14:paraId="157B756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年开机率85%（含）-90%（不含）：延长质保期2年；</w:t>
      </w:r>
    </w:p>
    <w:p w14:paraId="70D4935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bookmarkStart w:id="127" w:name="tip_risk_bookmark_21"/>
      <w:bookmarkStart w:id="128" w:name="auto_fouce_20"/>
      <w:r>
        <w:rPr>
          <w:rFonts w:hint="eastAsia" w:ascii="仿宋" w:hAnsi="仿宋" w:eastAsia="仿宋" w:cs="仿宋"/>
          <w:color w:val="auto"/>
          <w:sz w:val="24"/>
          <w:szCs w:val="24"/>
          <w:highlight w:val="none"/>
        </w:rPr>
        <w:t>年开机率＜85%：乙方无条件更换同型号新机，重新计算质保期，并赔偿甲方该设备日均检查收入×停机天数的直接经济损失</w:t>
      </w:r>
      <w:r>
        <w:rPr>
          <w:rFonts w:hint="eastAsia" w:ascii="仿宋" w:hAnsi="仿宋" w:eastAsia="仿宋" w:cs="仿宋"/>
          <w:color w:val="auto"/>
          <w:sz w:val="24"/>
          <w:szCs w:val="24"/>
          <w:highlight w:val="none"/>
          <w:lang w:eastAsia="zh-CN"/>
        </w:rPr>
        <w:t>，该损失包括但不限于直接经济损失、预期利益损失以及甲方为减少损失、采取替代措施所支出的合理费用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日均检查收入以甲方前6个月同类设备日均检查收入的平均值计算；如无历史数据，则参照本地区同类同级医院同类设备的平均收费标准计算。</w:t>
      </w:r>
      <w:bookmarkEnd w:id="127"/>
      <w:bookmarkEnd w:id="128"/>
      <w:r>
        <w:rPr>
          <w:rFonts w:hint="eastAsia" w:ascii="仿宋" w:hAnsi="仿宋" w:eastAsia="仿宋" w:cs="仿宋"/>
          <w:color w:val="auto"/>
          <w:sz w:val="24"/>
          <w:szCs w:val="24"/>
          <w:highlight w:val="none"/>
          <w:lang w:eastAsia="zh-CN"/>
        </w:rPr>
        <w:t xml:space="preserve"> </w:t>
      </w:r>
      <w:bookmarkStart w:id="129" w:name="auto_fouce_19"/>
    </w:p>
    <w:p w14:paraId="4D90F6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若乙方未在甲方发出的换机通知要求的期限内交付并安装调试合格同型号新机的，甲方有权单方解除本合同，乙方应在收到解约通知后10日内退还甲方已支付的全部款项，并向甲方支付合同总价款20%的违约金。</w:t>
      </w:r>
      <w:bookmarkEnd w:id="129"/>
    </w:p>
    <w:p w14:paraId="3E42A34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30" w:name="tip_risk_bookmark_22"/>
      <w:bookmarkStart w:id="131" w:name="tip_risk_bookmark_24"/>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7.3.2 </w:t>
      </w:r>
      <w:r>
        <w:rPr>
          <w:rFonts w:hint="eastAsia" w:ascii="仿宋" w:hAnsi="仿宋" w:eastAsia="仿宋" w:cs="仿宋"/>
          <w:color w:val="auto"/>
          <w:sz w:val="24"/>
          <w:szCs w:val="24"/>
          <w:highlight w:val="none"/>
        </w:rPr>
        <w:t>接口与升级：硬件须具备标准数据传输接口，免费开放设备运行数据与第三方系统互联互通；软件须与医院HL7集成平台、HIS、LIS、PACS、HRP等系统对接，接口开发、调试费用由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承担；软件终身免费升级。乙方须提供承诺函（格式自拟）。</w:t>
      </w:r>
      <w:bookmarkEnd w:id="130"/>
      <w:bookmarkEnd w:id="131"/>
    </w:p>
    <w:p w14:paraId="4C25BC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7.3.3 </w:t>
      </w:r>
      <w:r>
        <w:rPr>
          <w:rFonts w:hint="eastAsia" w:ascii="仿宋" w:hAnsi="仿宋" w:eastAsia="仿宋" w:cs="仿宋"/>
          <w:color w:val="auto"/>
          <w:sz w:val="24"/>
          <w:szCs w:val="24"/>
          <w:highlight w:val="none"/>
        </w:rPr>
        <w:t>备件与工具：乙方随机提供1套标准备件包及专用工具，附清单及单价；在国内设备件库，保证10年以上备件供应，保修期后备件价格不高于中标时报价的120%。</w:t>
      </w:r>
    </w:p>
    <w:p w14:paraId="588CB1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7.3.4 </w:t>
      </w:r>
      <w:r>
        <w:rPr>
          <w:rFonts w:hint="eastAsia" w:ascii="仿宋" w:hAnsi="仿宋" w:eastAsia="仿宋" w:cs="仿宋"/>
          <w:color w:val="auto"/>
          <w:sz w:val="24"/>
          <w:szCs w:val="24"/>
          <w:highlight w:val="none"/>
        </w:rPr>
        <w:t>维修响应：</w:t>
      </w:r>
    </w:p>
    <w:p w14:paraId="0608DA6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32" w:name="tip_risk_bookmark_26"/>
      <w:bookmarkStart w:id="133" w:name="auto_fouce_25"/>
      <w:r>
        <w:rPr>
          <w:rFonts w:hint="eastAsia" w:ascii="仿宋" w:hAnsi="仿宋" w:eastAsia="仿宋" w:cs="仿宋"/>
          <w:color w:val="auto"/>
          <w:sz w:val="24"/>
          <w:szCs w:val="24"/>
          <w:highlight w:val="none"/>
        </w:rPr>
        <w:t>接到故障通知后2小时内响应（节假日同工作日），24小时内到场维修（偏远地区</w:t>
      </w:r>
      <w:r>
        <w:rPr>
          <w:rFonts w:hint="eastAsia" w:ascii="仿宋" w:hAnsi="仿宋" w:eastAsia="仿宋" w:cs="仿宋"/>
          <w:color w:val="auto"/>
          <w:sz w:val="24"/>
          <w:szCs w:val="24"/>
          <w:highlight w:val="none"/>
          <w:lang w:eastAsia="zh-CN"/>
        </w:rPr>
        <w:t>的范围由甲方书面确认，经甲方同意后到场维修时间</w:t>
      </w:r>
      <w:r>
        <w:rPr>
          <w:rFonts w:hint="eastAsia" w:ascii="仿宋" w:hAnsi="仿宋" w:eastAsia="仿宋" w:cs="仿宋"/>
          <w:color w:val="auto"/>
          <w:sz w:val="24"/>
          <w:szCs w:val="24"/>
          <w:highlight w:val="none"/>
        </w:rPr>
        <w:t>可延长至48小时，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需提前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rPr>
        <w:t>书面告知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bookmarkEnd w:id="132"/>
    </w:p>
    <w:p w14:paraId="7C94C8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bookmarkStart w:id="134" w:name="auto_fouce_27"/>
      <w:r>
        <w:rPr>
          <w:rFonts w:hint="eastAsia" w:ascii="仿宋" w:hAnsi="仿宋" w:eastAsia="仿宋" w:cs="仿宋"/>
          <w:color w:val="auto"/>
          <w:sz w:val="24"/>
          <w:szCs w:val="24"/>
          <w:highlight w:val="none"/>
        </w:rPr>
        <w:t>备件</w:t>
      </w:r>
      <w:r>
        <w:rPr>
          <w:rFonts w:hint="eastAsia" w:ascii="仿宋" w:hAnsi="仿宋" w:eastAsia="仿宋" w:cs="仿宋"/>
          <w:color w:val="auto"/>
          <w:sz w:val="24"/>
          <w:szCs w:val="24"/>
          <w:highlight w:val="none"/>
          <w:lang w:eastAsia="zh-CN"/>
        </w:rPr>
        <w:t>运抵甲方指定地点的</w:t>
      </w:r>
      <w:r>
        <w:rPr>
          <w:rFonts w:hint="eastAsia" w:ascii="仿宋" w:hAnsi="仿宋" w:eastAsia="仿宋" w:cs="仿宋"/>
          <w:color w:val="auto"/>
          <w:sz w:val="24"/>
          <w:szCs w:val="24"/>
          <w:highlight w:val="none"/>
        </w:rPr>
        <w:t>时限不超过2天，每逾期1天按设备日均检查收入赔偿</w:t>
      </w:r>
      <w:r>
        <w:rPr>
          <w:rFonts w:hint="eastAsia" w:ascii="仿宋" w:hAnsi="仿宋" w:eastAsia="仿宋" w:cs="仿宋"/>
          <w:color w:val="auto"/>
          <w:sz w:val="24"/>
          <w:szCs w:val="24"/>
          <w:highlight w:val="none"/>
          <w:lang w:eastAsia="zh-CN"/>
        </w:rPr>
        <w:t>，具体计算标准参照本合同‘开机率违约处理’中约定的方式执行</w:t>
      </w:r>
      <w:r>
        <w:rPr>
          <w:rFonts w:hint="eastAsia" w:ascii="仿宋" w:hAnsi="仿宋" w:eastAsia="仿宋" w:cs="仿宋"/>
          <w:color w:val="auto"/>
          <w:sz w:val="24"/>
          <w:szCs w:val="24"/>
          <w:highlight w:val="none"/>
        </w:rPr>
        <w:t>；</w:t>
      </w:r>
      <w:bookmarkEnd w:id="134"/>
    </w:p>
    <w:p w14:paraId="7E0129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提供维修、检测和报错系统软件，质保期后提供无偿技术支持。</w:t>
      </w:r>
    </w:p>
    <w:p w14:paraId="343D7D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每次提供保养、维修等服务后，应填写由甲方提供的服务工单，详细记录服务内容、时间、人员、更换部件等信息，并经甲方指定人员签字确认。该工单作为乙方履行服务义务及甲方核算设备开机率等指标的依据。</w:t>
      </w:r>
    </w:p>
    <w:p w14:paraId="677C60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乙方到场维修及更换备件期间造成的设备停机时间，全部计入开机率考核范围。</w:t>
      </w:r>
      <w:bookmarkEnd w:id="133"/>
    </w:p>
    <w:p w14:paraId="1515B85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7.3.5 </w:t>
      </w:r>
      <w:r>
        <w:rPr>
          <w:rFonts w:hint="eastAsia" w:ascii="仿宋" w:hAnsi="仿宋" w:eastAsia="仿宋" w:cs="仿宋"/>
          <w:color w:val="auto"/>
          <w:sz w:val="24"/>
          <w:szCs w:val="24"/>
          <w:highlight w:val="none"/>
        </w:rPr>
        <w:t>质保后服务：维修实行“先修后付款”，备件实行“先交货后付款”，费用标准以中标时提供的备品备件价格表为准。</w:t>
      </w:r>
    </w:p>
    <w:p w14:paraId="630E84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7.3.6 </w:t>
      </w:r>
      <w:bookmarkStart w:id="135" w:name="auto_fouce_28"/>
      <w:r>
        <w:rPr>
          <w:rFonts w:hint="eastAsia" w:ascii="仿宋" w:hAnsi="仿宋" w:eastAsia="仿宋" w:cs="仿宋"/>
          <w:color w:val="auto"/>
          <w:sz w:val="24"/>
          <w:szCs w:val="24"/>
          <w:highlight w:val="none"/>
          <w:lang w:eastAsia="zh-CN"/>
        </w:rPr>
        <w:t>质保期结束后，乙方拒绝、无正当理由拖延或在接到甲方书面维修通知后24小时内未书面确认响应‘先修后付款’要求的，甲方有权委托第三方进行维修，乙方应承担因此产生的全部维修费用，并赔偿甲方设备停用期间的损失。</w:t>
      </w:r>
      <w:bookmarkEnd w:id="126"/>
      <w:bookmarkEnd w:id="135"/>
    </w:p>
    <w:p w14:paraId="41BB93D1">
      <w:pPr>
        <w:keepNext w:val="0"/>
        <w:keepLines w:val="0"/>
        <w:pageBreakBefore w:val="0"/>
        <w:widowControl w:val="0"/>
        <w:kinsoku/>
        <w:wordWrap/>
        <w:topLinePunct w:val="0"/>
        <w:autoSpaceDE/>
        <w:autoSpaceDN/>
        <w:bidi w:val="0"/>
        <w:adjustRightInd/>
        <w:spacing w:line="360" w:lineRule="auto"/>
        <w:ind w:left="0" w:firstLine="482" w:firstLineChars="200"/>
        <w:jc w:val="left"/>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、其他要求</w:t>
      </w:r>
    </w:p>
    <w:p w14:paraId="261929D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1、技术文件：提供全套的操作手册及维修手册、光盘等，如有密码，则密码开放。</w:t>
      </w:r>
    </w:p>
    <w:p w14:paraId="240F776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bookmarkStart w:id="136" w:name="auto_fouce_29"/>
      <w:r>
        <w:rPr>
          <w:rFonts w:hint="eastAsia" w:ascii="仿宋" w:hAnsi="仿宋" w:eastAsia="仿宋" w:cs="仿宋"/>
          <w:color w:val="auto"/>
          <w:sz w:val="24"/>
          <w:szCs w:val="24"/>
          <w:highlight w:val="none"/>
          <w:lang w:val="en-US" w:eastAsia="zh-CN"/>
        </w:rPr>
        <w:t>本项目为交钥匙工程，包括但不限于设备采购、运输、安装、调试、培训、售后服务、接口对接、检测验收等全部内容，乙方已完成现场勘察，确认全部现场条件及需求，不得以此为由要求增加费用或延长工期。</w:t>
      </w:r>
      <w:bookmarkEnd w:id="136"/>
    </w:p>
    <w:p w14:paraId="614C0E5D">
      <w:pPr>
        <w:keepNext w:val="0"/>
        <w:keepLines w:val="0"/>
        <w:pageBreakBefore w:val="0"/>
        <w:widowControl w:val="0"/>
        <w:numPr>
          <w:ilvl w:val="0"/>
          <w:numId w:val="0"/>
        </w:numPr>
        <w:tabs>
          <w:tab w:val="left" w:pos="0"/>
        </w:tabs>
        <w:kinsoku/>
        <w:wordWrap/>
        <w:topLinePunct w:val="0"/>
        <w:autoSpaceDE/>
        <w:autoSpaceDN/>
        <w:bidi w:val="0"/>
        <w:adjustRightIn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p>
    <w:p w14:paraId="73098D3D">
      <w:pPr>
        <w:pStyle w:val="17"/>
        <w:keepNext w:val="0"/>
        <w:keepLines w:val="0"/>
        <w:pageBreakBefore w:val="0"/>
        <w:widowControl w:val="0"/>
        <w:kinsoku/>
        <w:wordWrap/>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45C3B975">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检测机构出具的检测报告为准。</w:t>
      </w:r>
    </w:p>
    <w:p w14:paraId="2BFCB1D8">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投标产品属于医疗器械的，应按国家市场监督管理总局颁发的 《医疗器械注册与备案管理办法》，办理医疗器械注册证或者办理备案，提供注册或备案证书。</w:t>
      </w:r>
    </w:p>
    <w:p w14:paraId="0EC0068D">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bookmarkStart w:id="137" w:name="auto_fouce_30"/>
      <w:r>
        <w:rPr>
          <w:rFonts w:hint="eastAsia" w:ascii="仿宋" w:hAnsi="仿宋" w:eastAsia="仿宋" w:cs="仿宋"/>
          <w:b w:val="0"/>
          <w:bCs w:val="0"/>
          <w:color w:val="auto"/>
          <w:sz w:val="24"/>
          <w:szCs w:val="24"/>
          <w:highlight w:val="none"/>
          <w:lang w:val="en-US" w:eastAsia="zh-CN"/>
        </w:rPr>
        <w:t>编制响应文件时，投标人应详细列出所投产品的品牌、型号、配置参数及所投产品的技术支持资料，不得复制招标文件中的技术参数，否则视为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w:t>
      </w:r>
      <w:bookmarkEnd w:id="137"/>
      <w:r>
        <w:rPr>
          <w:rFonts w:hint="eastAsia" w:ascii="仿宋" w:hAnsi="仿宋" w:eastAsia="仿宋" w:cs="仿宋"/>
          <w:b w:val="0"/>
          <w:bCs w:val="0"/>
          <w:color w:val="auto"/>
          <w:sz w:val="24"/>
          <w:szCs w:val="24"/>
          <w:highlight w:val="none"/>
          <w:lang w:val="en-US" w:eastAsia="zh-CN"/>
        </w:rPr>
        <w:t xml:space="preserve"> </w:t>
      </w:r>
    </w:p>
    <w:p w14:paraId="7CD0B723">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投标分项报价表的填写内容如型号规格、产地等如与医疗器械注册证或其它要求配套证书不一致或填写不明确，供货时以所附证书中的最高端型号或最高配置为准。</w:t>
      </w:r>
    </w:p>
    <w:p w14:paraId="20260A60">
      <w:pPr>
        <w:keepNext w:val="0"/>
        <w:keepLines w:val="0"/>
        <w:pageBreakBefore w:val="0"/>
        <w:widowControl w:val="0"/>
        <w:kinsoku/>
        <w:wordWrap/>
        <w:topLinePunct w:val="0"/>
        <w:autoSpaceDE/>
        <w:autoSpaceDN/>
        <w:bidi w:val="0"/>
        <w:adjustRightIn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要求：编制响应文件时，投标人应详细列出所投产品的品牌、型号、配置参数及所投产品的技术支持资料，不得复制招标文件中的技术参数，否则视为无效投标。投标分项报价表的填写内容如型号规格、产地等如与医疗器械注册证或其它要求配套证书不一致或填写不明确，供货时以所附证书中的最高端型号或最高配置为准。</w:t>
      </w:r>
    </w:p>
    <w:p w14:paraId="35FCF952">
      <w:pPr>
        <w:keepNext w:val="0"/>
        <w:keepLines w:val="0"/>
        <w:pageBreakBefore w:val="0"/>
        <w:widowControl w:val="0"/>
        <w:kinsoku/>
        <w:wordWrap/>
        <w:topLinePunct w:val="0"/>
        <w:autoSpaceDE/>
        <w:autoSpaceDN/>
        <w:bidi w:val="0"/>
        <w:adjustRightIn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w:t>
      </w:r>
      <w:bookmarkStart w:id="138" w:name="auto_fouce_31"/>
      <w:r>
        <w:rPr>
          <w:rFonts w:hint="eastAsia" w:ascii="仿宋" w:hAnsi="仿宋" w:eastAsia="仿宋" w:cs="仿宋"/>
          <w:color w:val="auto"/>
          <w:sz w:val="24"/>
          <w:szCs w:val="24"/>
          <w:highlight w:val="none"/>
        </w:rPr>
        <w:t>知识产权：乙方保证所供设备及软件无知识产权纠纷，若引发侵权诉讼，全部责任由乙方承担。若任何第三方就本合同项下设备或软件主张知识产权侵权，乙方应在知</w:t>
      </w:r>
      <w:r>
        <w:rPr>
          <w:rFonts w:hint="eastAsia" w:ascii="仿宋" w:hAnsi="仿宋" w:eastAsia="仿宋" w:cs="仿宋"/>
          <w:color w:val="auto"/>
          <w:sz w:val="24"/>
          <w:szCs w:val="24"/>
          <w:highlight w:val="none"/>
          <w:lang w:eastAsia="zh-CN"/>
        </w:rPr>
        <w:t>道或应当知道该等侵权主张之日起</w:t>
      </w:r>
      <w:r>
        <w:rPr>
          <w:rFonts w:hint="eastAsia" w:ascii="仿宋" w:hAnsi="仿宋" w:eastAsia="仿宋" w:cs="仿宋"/>
          <w:color w:val="auto"/>
          <w:sz w:val="24"/>
          <w:szCs w:val="24"/>
          <w:highlight w:val="none"/>
        </w:rPr>
        <w:t>二十四小时内书面通知甲方，并负责与该第三方协商解决，承担因此产生的全部费用（包括但不限于和解费、赔偿金）及甲方因此遭受的损失。若诉讼或行政程序已启动，乙方应积极应诉或抗辩，或按甲方要求采取必要措施使设备或软件可继续合法使用。</w:t>
      </w:r>
      <w:r>
        <w:rPr>
          <w:rFonts w:hint="eastAsia" w:ascii="仿宋" w:hAnsi="仿宋" w:eastAsia="仿宋" w:cs="仿宋"/>
          <w:color w:val="auto"/>
          <w:sz w:val="24"/>
          <w:szCs w:val="24"/>
          <w:highlight w:val="none"/>
          <w:lang w:eastAsia="zh-CN"/>
        </w:rPr>
        <w:t>若因知识产权纠纷导致甲方无法正常使用设备或软件的，乙方应于24小时内采取更换、取得合法授权或免费提供同等或更高配置的替代设备/软件等补救措施保障甲方正常使用，并按本合同约定的设备日均检查收入标准向甲方支付停用期间的全部损失；若停用超过30日的，甲方有权要求乙方全额退还全部已付款项，并承担甲方因此产生的全部损失，或单方解除本合同，乙方应退还全部已付款项并支付合同总价款20%的违约金。</w:t>
      </w:r>
      <w:bookmarkEnd w:id="138"/>
    </w:p>
    <w:p w14:paraId="2D01D7FE">
      <w:pPr>
        <w:keepNext w:val="0"/>
        <w:keepLines w:val="0"/>
        <w:pageBreakBefore w:val="0"/>
        <w:widowControl w:val="0"/>
        <w:kinsoku/>
        <w:wordWrap/>
        <w:topLinePunct w:val="0"/>
        <w:autoSpaceDE/>
        <w:autoSpaceDN/>
        <w:bidi w:val="0"/>
        <w:adjustRightIn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39" w:name="auto_fouce_32"/>
      <w:r>
        <w:rPr>
          <w:rFonts w:hint="eastAsia" w:ascii="仿宋" w:hAnsi="仿宋" w:eastAsia="仿宋" w:cs="仿宋"/>
          <w:color w:val="auto"/>
          <w:sz w:val="24"/>
          <w:szCs w:val="24"/>
          <w:highlight w:val="none"/>
        </w:rPr>
        <w:t>保密义务：乙方对接触的甲方患者信息、设备数据等承担保密责任，</w:t>
      </w:r>
      <w:r>
        <w:rPr>
          <w:rFonts w:hint="eastAsia" w:ascii="仿宋" w:hAnsi="仿宋" w:eastAsia="仿宋" w:cs="仿宋"/>
          <w:color w:val="auto"/>
          <w:sz w:val="24"/>
          <w:szCs w:val="24"/>
          <w:highlight w:val="none"/>
          <w:lang w:eastAsia="zh-CN"/>
        </w:rPr>
        <w:t>对于患者个人信息等依法需永久</w:t>
      </w:r>
      <w:r>
        <w:rPr>
          <w:rFonts w:hint="eastAsia" w:ascii="仿宋" w:hAnsi="仿宋" w:eastAsia="仿宋" w:cs="仿宋"/>
          <w:color w:val="auto"/>
          <w:sz w:val="24"/>
          <w:szCs w:val="24"/>
          <w:highlight w:val="none"/>
        </w:rPr>
        <w:t>保密</w:t>
      </w:r>
      <w:r>
        <w:rPr>
          <w:rFonts w:hint="eastAsia" w:ascii="仿宋" w:hAnsi="仿宋" w:eastAsia="仿宋" w:cs="仿宋"/>
          <w:color w:val="auto"/>
          <w:sz w:val="24"/>
          <w:szCs w:val="24"/>
          <w:highlight w:val="none"/>
          <w:lang w:eastAsia="zh-CN"/>
        </w:rPr>
        <w:t>的信息，保密</w:t>
      </w:r>
      <w:r>
        <w:rPr>
          <w:rFonts w:hint="eastAsia" w:ascii="仿宋" w:hAnsi="仿宋" w:eastAsia="仿宋" w:cs="仿宋"/>
          <w:color w:val="auto"/>
          <w:sz w:val="24"/>
          <w:szCs w:val="24"/>
          <w:highlight w:val="none"/>
        </w:rPr>
        <w:t>期限</w:t>
      </w:r>
      <w:r>
        <w:rPr>
          <w:rFonts w:hint="eastAsia" w:ascii="仿宋" w:hAnsi="仿宋" w:eastAsia="仿宋" w:cs="仿宋"/>
          <w:color w:val="auto"/>
          <w:sz w:val="24"/>
          <w:szCs w:val="24"/>
          <w:highlight w:val="none"/>
          <w:lang w:eastAsia="zh-CN"/>
        </w:rPr>
        <w:t>为永久；对于构成甲方核心秘密的信息，保密义务持续至该等信息进入公有领域为止；其他保密信息保密期限</w:t>
      </w:r>
      <w:r>
        <w:rPr>
          <w:rFonts w:hint="eastAsia" w:ascii="仿宋" w:hAnsi="仿宋" w:eastAsia="仿宋" w:cs="仿宋"/>
          <w:color w:val="auto"/>
          <w:sz w:val="24"/>
          <w:szCs w:val="24"/>
          <w:highlight w:val="none"/>
        </w:rPr>
        <w:t>不少于</w:t>
      </w: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年。保密信息的接收方应将保密信息的知悉范围限定于为履行本合同目的而必须知悉的雇员、顾问等，并确保该等人员承担同等保密义务。除为履行本合同外，接收方不得复制、抄录保密信息。在本合同终止或甲方提出要求时，接收方应立即返还或按照甲方要求销毁所有保密信息及其载体。</w:t>
      </w:r>
      <w:bookmarkEnd w:id="139"/>
    </w:p>
    <w:p w14:paraId="0C6AE4D4">
      <w:pPr>
        <w:keepNext w:val="0"/>
        <w:keepLines w:val="0"/>
        <w:pageBreakBefore w:val="0"/>
        <w:kinsoku/>
        <w:wordWrap/>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p>
    <w:p w14:paraId="1C238429">
      <w:pPr>
        <w:pStyle w:val="2"/>
        <w:numPr>
          <w:ilvl w:val="0"/>
          <w:numId w:val="1"/>
        </w:numPr>
        <w:jc w:val="center"/>
        <w:rPr>
          <w:rFonts w:hint="eastAsia" w:ascii="仿宋" w:hAnsi="仿宋" w:eastAsia="仿宋" w:cs="仿宋"/>
          <w:color w:val="auto"/>
          <w:sz w:val="32"/>
          <w:szCs w:val="32"/>
          <w:highlight w:val="none"/>
        </w:rPr>
      </w:pPr>
      <w:bookmarkStart w:id="140" w:name="_Toc12889"/>
      <w:r>
        <w:rPr>
          <w:rFonts w:hint="eastAsia" w:ascii="仿宋" w:hAnsi="仿宋" w:eastAsia="仿宋" w:cs="仿宋"/>
          <w:color w:val="auto"/>
          <w:sz w:val="32"/>
          <w:szCs w:val="32"/>
          <w:highlight w:val="none"/>
        </w:rPr>
        <w:t>评标程序、评标方法和评标标准</w:t>
      </w:r>
      <w:bookmarkEnd w:id="140"/>
    </w:p>
    <w:p w14:paraId="26FB5882">
      <w:pPr>
        <w:pStyle w:val="48"/>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iCs w:val="0"/>
          <w:color w:val="auto"/>
          <w:kern w:val="2"/>
          <w:sz w:val="24"/>
          <w:szCs w:val="24"/>
          <w:highlight w:val="none"/>
          <w:shd w:val="clear"/>
          <w:lang w:val="en-US" w:eastAsia="zh-CN" w:bidi="ar-SA"/>
        </w:rPr>
      </w:pPr>
      <w:bookmarkStart w:id="141" w:name="_Toc27440"/>
      <w:bookmarkStart w:id="142" w:name="_Toc27045"/>
      <w:r>
        <w:rPr>
          <w:rFonts w:hint="eastAsia" w:ascii="仿宋" w:hAnsi="仿宋" w:eastAsia="仿宋" w:cs="仿宋"/>
          <w:iCs w:val="0"/>
          <w:color w:val="auto"/>
          <w:kern w:val="2"/>
          <w:sz w:val="24"/>
          <w:szCs w:val="24"/>
          <w:highlight w:val="none"/>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80"/>
        </w:num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评标方法</w:t>
      </w:r>
      <w:bookmarkEnd w:id="141"/>
      <w:bookmarkEnd w:id="142"/>
      <w:r>
        <w:rPr>
          <w:rFonts w:hint="eastAsia" w:ascii="仿宋" w:hAnsi="仿宋" w:eastAsia="仿宋" w:cs="仿宋"/>
          <w:b/>
          <w:bCs/>
          <w:color w:val="auto"/>
          <w:sz w:val="24"/>
          <w:highlight w:val="none"/>
        </w:rPr>
        <w:t xml:space="preserve"> </w:t>
      </w:r>
    </w:p>
    <w:p w14:paraId="2ADD8052">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本项目采用综合评分法，是指投标文件满足招标文件全部实质性要求，且按照评审因素的量化指标评审得分最高的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为中标候选人的评标方法。</w:t>
      </w:r>
    </w:p>
    <w:p w14:paraId="28E5ECD0">
      <w:pPr>
        <w:numPr>
          <w:ilvl w:val="0"/>
          <w:numId w:val="80"/>
        </w:numPr>
        <w:spacing w:line="500" w:lineRule="exact"/>
        <w:outlineLvl w:val="1"/>
        <w:rPr>
          <w:rFonts w:hint="eastAsia" w:ascii="仿宋" w:hAnsi="仿宋" w:eastAsia="仿宋" w:cs="仿宋"/>
          <w:b/>
          <w:bCs/>
          <w:color w:val="auto"/>
          <w:sz w:val="24"/>
          <w:highlight w:val="none"/>
        </w:rPr>
      </w:pPr>
      <w:bookmarkStart w:id="143" w:name="_Toc14780"/>
      <w:bookmarkStart w:id="144" w:name="_Toc12617"/>
      <w:r>
        <w:rPr>
          <w:rFonts w:hint="eastAsia" w:ascii="仿宋" w:hAnsi="仿宋" w:eastAsia="仿宋" w:cs="仿宋"/>
          <w:b/>
          <w:bCs/>
          <w:color w:val="auto"/>
          <w:sz w:val="24"/>
          <w:highlight w:val="none"/>
        </w:rPr>
        <w:t>评标原则</w:t>
      </w:r>
      <w:bookmarkEnd w:id="143"/>
      <w:bookmarkEnd w:id="144"/>
    </w:p>
    <w:p w14:paraId="6B83DC44">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14:paraId="4D148331">
      <w:pPr>
        <w:numPr>
          <w:ilvl w:val="0"/>
          <w:numId w:val="80"/>
        </w:numPr>
        <w:spacing w:line="500" w:lineRule="exact"/>
        <w:outlineLvl w:val="1"/>
        <w:rPr>
          <w:rFonts w:hint="eastAsia" w:ascii="仿宋" w:hAnsi="仿宋" w:eastAsia="仿宋" w:cs="仿宋"/>
          <w:b/>
          <w:bCs/>
          <w:color w:val="auto"/>
          <w:sz w:val="24"/>
          <w:highlight w:val="none"/>
        </w:rPr>
      </w:pPr>
      <w:bookmarkStart w:id="145" w:name="_Toc6046"/>
      <w:bookmarkStart w:id="146" w:name="_Toc11000"/>
      <w:r>
        <w:rPr>
          <w:rFonts w:hint="eastAsia" w:ascii="仿宋" w:hAnsi="仿宋" w:eastAsia="仿宋" w:cs="仿宋"/>
          <w:b/>
          <w:bCs/>
          <w:color w:val="auto"/>
          <w:sz w:val="24"/>
          <w:highlight w:val="none"/>
        </w:rPr>
        <w:t>资格审查</w:t>
      </w:r>
      <w:bookmarkEnd w:id="145"/>
      <w:bookmarkEnd w:id="146"/>
    </w:p>
    <w:p w14:paraId="3DC80E69">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开标结束后，采购人或采购代理机构将根据《资格审查要求》中的规定，对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进行资格审查，以确定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处理，不进入符合性审查。</w:t>
      </w:r>
      <w:r>
        <w:rPr>
          <w:rFonts w:hint="eastAsia" w:ascii="仿宋" w:hAnsi="仿宋" w:eastAsia="仿宋" w:cs="仿宋"/>
          <w:color w:val="auto"/>
          <w:sz w:val="24"/>
          <w:highlight w:val="none"/>
          <w:lang w:val="en-US" w:eastAsia="zh-CN"/>
        </w:rPr>
        <w:t>资格审查合格的投标人不足 3 家的，应当终止采购活动，发布项目终止公告并说明原因，重新开展采购活动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资格审查要求如下：</w:t>
      </w:r>
    </w:p>
    <w:p w14:paraId="337F5ED0">
      <w:pPr>
        <w:spacing w:line="50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资格审查要求</w:t>
      </w:r>
      <w:r>
        <w:rPr>
          <w:rFonts w:hint="eastAsia" w:ascii="仿宋" w:hAnsi="仿宋" w:eastAsia="仿宋" w:cs="仿宋"/>
          <w:b/>
          <w:bCs/>
          <w:color w:val="auto"/>
          <w:sz w:val="24"/>
          <w:highlight w:val="none"/>
          <w:lang w:eastAsia="zh-CN"/>
        </w:rPr>
        <w:t>（适用于</w:t>
      </w:r>
      <w:r>
        <w:rPr>
          <w:rFonts w:hint="eastAsia" w:ascii="仿宋" w:hAnsi="仿宋" w:eastAsia="仿宋" w:cs="仿宋"/>
          <w:b/>
          <w:bCs/>
          <w:color w:val="auto"/>
          <w:sz w:val="24"/>
          <w:highlight w:val="none"/>
          <w:lang w:val="en-US" w:eastAsia="zh-CN"/>
        </w:rPr>
        <w:t>所有标项</w:t>
      </w:r>
      <w:r>
        <w:rPr>
          <w:rFonts w:hint="eastAsia" w:ascii="仿宋" w:hAnsi="仿宋" w:eastAsia="仿宋" w:cs="仿宋"/>
          <w:b/>
          <w:bCs/>
          <w:color w:val="auto"/>
          <w:sz w:val="24"/>
          <w:highlight w:val="none"/>
          <w:lang w:eastAsia="zh-CN"/>
        </w:rPr>
        <w:t>）</w:t>
      </w:r>
    </w:p>
    <w:tbl>
      <w:tblPr>
        <w:tblStyle w:val="2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5"/>
        <w:gridCol w:w="5015"/>
        <w:gridCol w:w="3051"/>
      </w:tblGrid>
      <w:tr w14:paraId="5B5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6" w:type="dxa"/>
            <w:vAlign w:val="center"/>
          </w:tcPr>
          <w:p w14:paraId="13881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095" w:type="dxa"/>
            <w:vAlign w:val="center"/>
          </w:tcPr>
          <w:p w14:paraId="6D4587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015" w:type="dxa"/>
            <w:vAlign w:val="center"/>
          </w:tcPr>
          <w:p w14:paraId="55B349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审查要求</w:t>
            </w:r>
          </w:p>
        </w:tc>
        <w:tc>
          <w:tcPr>
            <w:tcW w:w="3051" w:type="dxa"/>
            <w:vAlign w:val="center"/>
          </w:tcPr>
          <w:p w14:paraId="6E757D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lang w:val="en-US" w:eastAsia="zh-CN"/>
              </w:rPr>
              <w:t>要求说明</w:t>
            </w:r>
          </w:p>
        </w:tc>
      </w:tr>
      <w:tr w14:paraId="67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C95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095" w:type="dxa"/>
            <w:vAlign w:val="center"/>
          </w:tcPr>
          <w:p w14:paraId="24A037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015"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7A8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051" w:type="dxa"/>
            <w:vAlign w:val="center"/>
          </w:tcPr>
          <w:p w14:paraId="6DA9E5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7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369FD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095" w:type="dxa"/>
            <w:vAlign w:val="center"/>
          </w:tcPr>
          <w:p w14:paraId="2BE71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015" w:type="dxa"/>
            <w:vAlign w:val="center"/>
          </w:tcPr>
          <w:p w14:paraId="5CC4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3051" w:type="dxa"/>
            <w:vAlign w:val="center"/>
          </w:tcPr>
          <w:p w14:paraId="5FA5E5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65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56EC0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095" w:type="dxa"/>
            <w:vAlign w:val="center"/>
          </w:tcPr>
          <w:p w14:paraId="71EF6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015" w:type="dxa"/>
            <w:vAlign w:val="center"/>
          </w:tcPr>
          <w:p w14:paraId="304619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3051" w:type="dxa"/>
            <w:vAlign w:val="center"/>
          </w:tcPr>
          <w:p w14:paraId="6C0242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0A0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833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095" w:type="dxa"/>
            <w:vAlign w:val="center"/>
          </w:tcPr>
          <w:p w14:paraId="015250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015" w:type="dxa"/>
            <w:vAlign w:val="center"/>
          </w:tcPr>
          <w:p w14:paraId="717852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26653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3051" w:type="dxa"/>
            <w:vAlign w:val="center"/>
          </w:tcPr>
          <w:p w14:paraId="0BC421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76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FCE43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095" w:type="dxa"/>
            <w:vAlign w:val="center"/>
          </w:tcPr>
          <w:p w14:paraId="7C2DA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015" w:type="dxa"/>
            <w:vAlign w:val="center"/>
          </w:tcPr>
          <w:p w14:paraId="6AB69A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3051" w:type="dxa"/>
            <w:vAlign w:val="center"/>
          </w:tcPr>
          <w:p w14:paraId="1424A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1B1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682EA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095" w:type="dxa"/>
            <w:vAlign w:val="center"/>
          </w:tcPr>
          <w:p w14:paraId="5C52A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特定资格要求（1）</w:t>
            </w:r>
          </w:p>
        </w:tc>
        <w:tc>
          <w:tcPr>
            <w:tcW w:w="5015" w:type="dxa"/>
            <w:shd w:val="clear" w:color="auto" w:fill="auto"/>
            <w:vAlign w:val="center"/>
          </w:tcPr>
          <w:p w14:paraId="176BF2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3051" w:type="dxa"/>
            <w:shd w:val="clear" w:color="auto" w:fill="auto"/>
            <w:vAlign w:val="center"/>
          </w:tcPr>
          <w:p w14:paraId="578B7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color w:val="auto"/>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09CE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2FED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095" w:type="dxa"/>
            <w:shd w:val="clear" w:color="auto" w:fill="auto"/>
            <w:vAlign w:val="center"/>
          </w:tcPr>
          <w:p w14:paraId="7E7A8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特定资格要求（2）</w:t>
            </w:r>
          </w:p>
        </w:tc>
        <w:tc>
          <w:tcPr>
            <w:tcW w:w="5015" w:type="dxa"/>
            <w:shd w:val="clear" w:color="auto" w:fill="auto"/>
            <w:vAlign w:val="center"/>
          </w:tcPr>
          <w:p w14:paraId="41023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单位负责人为同一人或者存在直接控股、管理关系的不同供应商，不得同时参加本采购项目（或采购包）投标（响应）。</w:t>
            </w:r>
          </w:p>
        </w:tc>
        <w:tc>
          <w:tcPr>
            <w:tcW w:w="3051" w:type="dxa"/>
            <w:vAlign w:val="center"/>
          </w:tcPr>
          <w:p w14:paraId="41D0B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pacing w:val="0"/>
                <w:kern w:val="2"/>
                <w:sz w:val="21"/>
                <w:szCs w:val="21"/>
                <w:highlight w:val="none"/>
                <w:u w:val="none"/>
                <w:vertAlign w:val="baseline"/>
                <w:lang w:val="en-US" w:eastAsia="zh-CN" w:bidi="ar"/>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提供声明函，格式以招标文件要求为准，无格式自行拟定。</w:t>
            </w:r>
          </w:p>
        </w:tc>
      </w:tr>
      <w:tr w14:paraId="3F49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5B3DB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095" w:type="dxa"/>
            <w:shd w:val="clear" w:color="auto" w:fill="auto"/>
            <w:vAlign w:val="center"/>
          </w:tcPr>
          <w:p w14:paraId="6D195C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特定资格要求（3）</w:t>
            </w:r>
          </w:p>
        </w:tc>
        <w:tc>
          <w:tcPr>
            <w:tcW w:w="5015" w:type="dxa"/>
            <w:shd w:val="clear" w:color="auto" w:fill="auto"/>
            <w:vAlign w:val="center"/>
          </w:tcPr>
          <w:p w14:paraId="306156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为本项目提供整体设计、规范编制或者项目管理、监理、 检测等服务的供应商，不得再参与本项目投标（响应）。</w:t>
            </w:r>
          </w:p>
        </w:tc>
        <w:tc>
          <w:tcPr>
            <w:tcW w:w="3051" w:type="dxa"/>
            <w:vAlign w:val="center"/>
          </w:tcPr>
          <w:p w14:paraId="773717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pacing w:val="0"/>
                <w:kern w:val="2"/>
                <w:sz w:val="21"/>
                <w:szCs w:val="21"/>
                <w:highlight w:val="none"/>
                <w:u w:val="none"/>
                <w:vertAlign w:val="baseline"/>
                <w:lang w:val="en-US" w:eastAsia="zh-CN" w:bidi="ar"/>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提供声明函，格式以招标文件要求为准，无格式自行拟定。</w:t>
            </w:r>
          </w:p>
        </w:tc>
      </w:tr>
      <w:tr w14:paraId="0CA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80DB7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095" w:type="dxa"/>
            <w:vAlign w:val="center"/>
          </w:tcPr>
          <w:p w14:paraId="788C09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特定资格要求（4）</w:t>
            </w:r>
          </w:p>
        </w:tc>
        <w:tc>
          <w:tcPr>
            <w:tcW w:w="5015" w:type="dxa"/>
            <w:vAlign w:val="center"/>
          </w:tcPr>
          <w:p w14:paraId="1F84EC1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投标产品属于医疗器械的，若</w:t>
            </w:r>
            <w:r>
              <w:rPr>
                <w:rFonts w:hint="eastAsia" w:ascii="仿宋" w:hAnsi="仿宋" w:eastAsia="仿宋" w:cs="仿宋"/>
                <w:b/>
                <w:bCs w:val="0"/>
                <w:color w:val="auto"/>
                <w:sz w:val="21"/>
                <w:szCs w:val="21"/>
                <w:highlight w:val="none"/>
                <w:lang w:val="en-US" w:eastAsia="zh-CN"/>
              </w:rPr>
              <w:t>投标人为货物制造商，全部采购标的</w:t>
            </w:r>
            <w:r>
              <w:rPr>
                <w:rFonts w:hint="eastAsia" w:ascii="仿宋" w:hAnsi="仿宋" w:eastAsia="仿宋" w:cs="仿宋"/>
                <w:b w:val="0"/>
                <w:bCs/>
                <w:color w:val="auto"/>
                <w:sz w:val="21"/>
                <w:szCs w:val="21"/>
                <w:highlight w:val="none"/>
                <w:lang w:val="en-US" w:eastAsia="zh-CN"/>
              </w:rPr>
              <w:t>使用</w:t>
            </w:r>
            <w:r>
              <w:rPr>
                <w:rFonts w:hint="eastAsia" w:ascii="仿宋" w:hAnsi="仿宋" w:eastAsia="仿宋" w:cs="仿宋"/>
                <w:b/>
                <w:bCs w:val="0"/>
                <w:color w:val="auto"/>
                <w:sz w:val="21"/>
                <w:szCs w:val="21"/>
                <w:highlight w:val="none"/>
                <w:lang w:val="en-US" w:eastAsia="zh-CN"/>
              </w:rPr>
              <w:t>自身生产</w:t>
            </w:r>
            <w:r>
              <w:rPr>
                <w:rFonts w:hint="eastAsia" w:ascii="仿宋" w:hAnsi="仿宋" w:eastAsia="仿宋" w:cs="仿宋"/>
                <w:b w:val="0"/>
                <w:bCs/>
                <w:color w:val="auto"/>
                <w:sz w:val="21"/>
                <w:szCs w:val="21"/>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val="0"/>
                <w:color w:val="auto"/>
                <w:sz w:val="21"/>
                <w:szCs w:val="21"/>
                <w:highlight w:val="none"/>
                <w:lang w:val="en-US" w:eastAsia="zh-CN"/>
              </w:rPr>
              <w:t>若投标人为代理商</w:t>
            </w:r>
            <w:r>
              <w:rPr>
                <w:rFonts w:hint="eastAsia" w:ascii="仿宋" w:hAnsi="仿宋" w:eastAsia="仿宋" w:cs="仿宋"/>
                <w:color w:val="auto"/>
                <w:sz w:val="21"/>
                <w:szCs w:val="21"/>
                <w:highlight w:val="none"/>
                <w:lang w:val="en-US" w:eastAsia="zh-CN"/>
              </w:rPr>
              <w:t>所投产品属于第二类医疗器械的的须具有《医疗器械经营备案凭证》或《医疗器械经营许可证》；所投产品属于第三类医疗器械的的须具有《医疗器械经营许可证》，投标产品不属于医疗器械的，无需提供上述相关凭证及许可证。</w:t>
            </w:r>
          </w:p>
        </w:tc>
        <w:tc>
          <w:tcPr>
            <w:tcW w:w="3051" w:type="dxa"/>
            <w:vAlign w:val="center"/>
          </w:tcPr>
          <w:p w14:paraId="04D15E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pacing w:val="0"/>
                <w:kern w:val="2"/>
                <w:sz w:val="21"/>
                <w:szCs w:val="21"/>
                <w:highlight w:val="none"/>
                <w:u w:val="none"/>
                <w:vertAlign w:val="baseline"/>
                <w:lang w:val="en-US" w:eastAsia="zh-CN" w:bidi="ar"/>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根据所投产品，上传对应的资格文件扫描件加盖电子印章。如果是联合体投标，联合体各方均需提供。</w:t>
            </w:r>
          </w:p>
        </w:tc>
      </w:tr>
    </w:tbl>
    <w:p w14:paraId="15A3CB46">
      <w:pPr>
        <w:rPr>
          <w:rFonts w:hint="eastAsia" w:ascii="仿宋" w:hAnsi="仿宋" w:eastAsia="仿宋" w:cs="仿宋"/>
          <w:b/>
          <w:bCs/>
          <w:color w:val="auto"/>
          <w:sz w:val="24"/>
          <w:highlight w:val="none"/>
        </w:rPr>
      </w:pPr>
      <w:bookmarkStart w:id="147" w:name="_Toc4337"/>
      <w:bookmarkStart w:id="148" w:name="_Toc10351"/>
      <w:r>
        <w:rPr>
          <w:rFonts w:hint="eastAsia" w:ascii="仿宋" w:hAnsi="仿宋" w:eastAsia="仿宋" w:cs="仿宋"/>
          <w:b/>
          <w:bCs/>
          <w:color w:val="auto"/>
          <w:sz w:val="24"/>
          <w:highlight w:val="none"/>
        </w:rPr>
        <w:br w:type="page"/>
      </w:r>
    </w:p>
    <w:p w14:paraId="02E048B9">
      <w:pPr>
        <w:numPr>
          <w:ilvl w:val="0"/>
          <w:numId w:val="80"/>
        </w:num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符合性审查</w:t>
      </w:r>
      <w:bookmarkEnd w:id="147"/>
      <w:bookmarkEnd w:id="148"/>
    </w:p>
    <w:p w14:paraId="31FBA98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color w:val="auto"/>
          <w:sz w:val="24"/>
          <w:highlight w:val="none"/>
        </w:rPr>
        <w:t>评标委员会根据《符合性审查要求》中规定的审查因素和审查内容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的投标文件是否实质上响应招标文件进行符合性审查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符合性审查中凡有其中任意一项未通过的，评审结果为未通过，未通过符合性审查的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处理，不进入详细评审。</w:t>
      </w:r>
      <w:r>
        <w:rPr>
          <w:rFonts w:hint="eastAsia" w:ascii="仿宋" w:hAnsi="仿宋" w:eastAsia="仿宋" w:cs="仿宋"/>
          <w:color w:val="auto"/>
          <w:sz w:val="24"/>
          <w:highlight w:val="none"/>
          <w:lang w:val="en-US" w:eastAsia="zh-CN"/>
        </w:rPr>
        <w:t>通过</w:t>
      </w:r>
      <w:r>
        <w:rPr>
          <w:rFonts w:hint="eastAsia" w:ascii="仿宋" w:hAnsi="仿宋" w:eastAsia="仿宋" w:cs="仿宋"/>
          <w:color w:val="auto"/>
          <w:sz w:val="24"/>
          <w:highlight w:val="none"/>
        </w:rPr>
        <w:t>符合性审查</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有效</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不足3家的应当终止采购活动，发布项目终止公告并说明原因，重新开展采购活动。符合性审查要求如下：</w:t>
      </w:r>
    </w:p>
    <w:p w14:paraId="51640980">
      <w:pPr>
        <w:spacing w:line="50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符合性审查要求</w:t>
      </w:r>
      <w:r>
        <w:rPr>
          <w:rFonts w:hint="eastAsia" w:ascii="仿宋" w:hAnsi="仿宋" w:eastAsia="仿宋" w:cs="仿宋"/>
          <w:b/>
          <w:bCs/>
          <w:color w:val="auto"/>
          <w:sz w:val="24"/>
          <w:highlight w:val="none"/>
          <w:lang w:eastAsia="zh-CN"/>
        </w:rPr>
        <w:t>（适用于所有标项）</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6"/>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 w:hAnsi="仿宋" w:eastAsia="仿宋" w:cs="仿宋"/>
                <w:b w:val="0"/>
                <w:bCs w:val="0"/>
                <w:color w:val="auto"/>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 w:hAnsi="仿宋" w:eastAsia="仿宋" w:cs="仿宋"/>
                <w:b w:val="0"/>
                <w:bCs w:val="0"/>
                <w:color w:val="auto"/>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6"/>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15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医疗器械产品注册或备案</w:t>
            </w:r>
          </w:p>
        </w:tc>
        <w:tc>
          <w:tcPr>
            <w:tcW w:w="4217" w:type="dxa"/>
            <w:shd w:val="clear" w:color="auto" w:fill="auto"/>
            <w:vAlign w:val="center"/>
          </w:tcPr>
          <w:p w14:paraId="245EAC7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属于医疗器械的投标产品是否具备医疗器械产品注册证或备案文件</w:t>
            </w:r>
          </w:p>
        </w:tc>
        <w:tc>
          <w:tcPr>
            <w:tcW w:w="3434"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属于医疗器械的投标产品，根据《医疗器械监督管理条例》（国务院令第 650 号）有关内容办理医疗器械产品注册证或备案文件。</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4）.评审委员会基于专业判断，认为供应商报价过低，有可能影响产品质量或者不能诚信履约的其他情形。 </w:t>
            </w:r>
          </w:p>
          <w:p w14:paraId="7384323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注：相关法律法规对供应商报价有规定的，从其规定。</w:t>
            </w:r>
          </w:p>
          <w:p w14:paraId="53074C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p>
          <w:p w14:paraId="6C76F6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auto"/>
                <w:kern w:val="0"/>
                <w:sz w:val="21"/>
                <w:szCs w:val="21"/>
                <w:highlight w:val="none"/>
                <w:lang w:val="en-US" w:eastAsia="zh-CN" w:bidi="ar"/>
              </w:rPr>
              <w:t>无效投标（响应）</w:t>
            </w:r>
            <w:r>
              <w:rPr>
                <w:rFonts w:hint="eastAsia" w:ascii="仿宋" w:hAnsi="仿宋" w:eastAsia="仿宋" w:cs="仿宋"/>
                <w:color w:val="auto"/>
                <w:kern w:val="0"/>
                <w:sz w:val="21"/>
                <w:szCs w:val="21"/>
                <w:highlight w:val="none"/>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15</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80"/>
        </w:numPr>
        <w:spacing w:line="500" w:lineRule="exact"/>
        <w:outlineLvl w:val="1"/>
        <w:rPr>
          <w:rFonts w:hint="eastAsia" w:ascii="仿宋" w:hAnsi="仿宋" w:eastAsia="仿宋" w:cs="仿宋"/>
          <w:b/>
          <w:bCs/>
          <w:color w:val="auto"/>
          <w:sz w:val="24"/>
          <w:highlight w:val="none"/>
        </w:rPr>
      </w:pPr>
      <w:bookmarkStart w:id="149" w:name="_Toc23924"/>
      <w:bookmarkStart w:id="150" w:name="_Toc7033"/>
      <w:r>
        <w:rPr>
          <w:rFonts w:hint="eastAsia" w:ascii="仿宋" w:hAnsi="仿宋" w:eastAsia="仿宋" w:cs="仿宋"/>
          <w:b/>
          <w:bCs/>
          <w:color w:val="auto"/>
          <w:sz w:val="24"/>
          <w:highlight w:val="none"/>
        </w:rPr>
        <w:t>投标文件有关事项的澄清或者说明</w:t>
      </w:r>
      <w:bookmarkEnd w:id="149"/>
      <w:bookmarkEnd w:id="150"/>
    </w:p>
    <w:p w14:paraId="56F3CF0C">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代理机构可根据开标环节记录的授权代表人联系方式电话告知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，若因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联系方式错误未接收短信、未接听电话或超时未进行澄清（响应）造成的不利后果由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自行承担。</w:t>
      </w:r>
    </w:p>
    <w:p w14:paraId="1D306C57">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投标人需登录电子招投标系统平台项目采购系统的等候大厅，在规定时间内完成澄清（响应）</w:t>
      </w:r>
      <w:r>
        <w:rPr>
          <w:rFonts w:hint="eastAsia" w:ascii="仿宋" w:hAnsi="仿宋" w:eastAsia="仿宋" w:cs="仿宋"/>
          <w:color w:val="auto"/>
          <w:sz w:val="24"/>
          <w:highlight w:val="none"/>
          <w:lang w:val="en-US" w:eastAsia="zh-CN"/>
        </w:rPr>
        <w:t>。</w:t>
      </w:r>
    </w:p>
    <w:p w14:paraId="58979B8F">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18CB4224">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评标委员会不接受</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主动提出的澄清、说明或补正。</w:t>
      </w:r>
    </w:p>
    <w:p w14:paraId="24A0BD2A">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提交的澄清、说明或补正有疑问的，可以要求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进一步澄清、说明或补正。</w:t>
      </w:r>
    </w:p>
    <w:p w14:paraId="40C9E09A">
      <w:pPr>
        <w:numPr>
          <w:ilvl w:val="0"/>
          <w:numId w:val="80"/>
        </w:numPr>
        <w:spacing w:line="500" w:lineRule="exact"/>
        <w:outlineLvl w:val="1"/>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价格修正</w:t>
      </w:r>
    </w:p>
    <w:p w14:paraId="3EB3102D">
      <w:pPr>
        <w:keepNext w:val="0"/>
        <w:keepLines w:val="0"/>
        <w:pageBreakBefore w:val="0"/>
        <w:widowControl w:val="0"/>
        <w:numPr>
          <w:ilvl w:val="1"/>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对报价的计算错误按以下原则修正：</w:t>
      </w:r>
    </w:p>
    <w:p w14:paraId="7D4F5D2D">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投标文件中开标一览表内容与投标文件中相应内容不一致的，以开标一览表为准；</w:t>
      </w:r>
    </w:p>
    <w:p w14:paraId="40659458">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5CA57522">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14:paraId="47BE5FE4">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w:t>
      </w:r>
    </w:p>
    <w:p w14:paraId="4FB37841">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不确认的，其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2A82B6F">
      <w:pPr>
        <w:numPr>
          <w:ilvl w:val="0"/>
          <w:numId w:val="80"/>
        </w:numPr>
        <w:spacing w:line="500" w:lineRule="exact"/>
        <w:outlineLvl w:val="1"/>
        <w:rPr>
          <w:rFonts w:hint="eastAsia" w:ascii="仿宋" w:hAnsi="仿宋" w:eastAsia="仿宋" w:cs="仿宋"/>
          <w:b/>
          <w:bCs/>
          <w:color w:val="auto"/>
          <w:sz w:val="24"/>
          <w:highlight w:val="none"/>
        </w:rPr>
      </w:pPr>
      <w:bookmarkStart w:id="151" w:name="_Toc22049"/>
      <w:bookmarkStart w:id="152" w:name="_Toc9022"/>
      <w:r>
        <w:rPr>
          <w:rFonts w:hint="eastAsia" w:ascii="仿宋" w:hAnsi="仿宋" w:eastAsia="仿宋" w:cs="仿宋"/>
          <w:b/>
          <w:bCs/>
          <w:color w:val="auto"/>
          <w:sz w:val="24"/>
          <w:highlight w:val="none"/>
        </w:rPr>
        <w:t>详细评审</w:t>
      </w:r>
      <w:bookmarkEnd w:id="151"/>
      <w:bookmarkEnd w:id="152"/>
    </w:p>
    <w:p w14:paraId="4AA7A922">
      <w:pPr>
        <w:numPr>
          <w:ilvl w:val="0"/>
          <w:numId w:val="0"/>
        </w:numPr>
        <w:spacing w:line="500" w:lineRule="exact"/>
        <w:ind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详细评审标准</w:t>
      </w:r>
      <w:r>
        <w:rPr>
          <w:rFonts w:hint="eastAsia" w:ascii="仿宋" w:hAnsi="仿宋" w:eastAsia="仿宋" w:cs="仿宋"/>
          <w:b/>
          <w:bCs/>
          <w:color w:val="auto"/>
          <w:sz w:val="24"/>
          <w:highlight w:val="none"/>
          <w:lang w:eastAsia="zh-CN"/>
        </w:rPr>
        <w:t>（适用于标项</w:t>
      </w:r>
      <w:r>
        <w:rPr>
          <w:rFonts w:hint="eastAsia" w:ascii="仿宋" w:hAnsi="仿宋" w:eastAsia="仿宋" w:cs="仿宋"/>
          <w:b/>
          <w:bCs/>
          <w:color w:val="auto"/>
          <w:sz w:val="24"/>
          <w:highlight w:val="none"/>
          <w:lang w:val="en-US" w:eastAsia="zh-CN"/>
        </w:rPr>
        <w:t>1、2、3、4、5、6、8、9、10、11</w:t>
      </w:r>
      <w:r>
        <w:rPr>
          <w:rFonts w:hint="eastAsia" w:ascii="仿宋" w:hAnsi="仿宋" w:eastAsia="仿宋" w:cs="仿宋"/>
          <w:b/>
          <w:bCs/>
          <w:color w:val="auto"/>
          <w:sz w:val="24"/>
          <w:highlight w:val="none"/>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627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FB28EF9">
            <w:pPr>
              <w:ind w:right="638" w:rightChars="304"/>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 xml:space="preserve"> 评分因素</w:t>
            </w:r>
          </w:p>
        </w:tc>
        <w:tc>
          <w:tcPr>
            <w:tcW w:w="567" w:type="dxa"/>
            <w:vAlign w:val="center"/>
          </w:tcPr>
          <w:p w14:paraId="1B90C7E7">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分值</w:t>
            </w:r>
          </w:p>
        </w:tc>
        <w:tc>
          <w:tcPr>
            <w:tcW w:w="6146" w:type="dxa"/>
            <w:vAlign w:val="center"/>
          </w:tcPr>
          <w:p w14:paraId="78659A94">
            <w:pPr>
              <w:ind w:right="-31" w:rightChars="-15"/>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评分细则</w:t>
            </w:r>
          </w:p>
        </w:tc>
      </w:tr>
      <w:tr w14:paraId="24C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2B276CF">
            <w:pPr>
              <w:ind w:right="638" w:rightChars="304"/>
              <w:jc w:val="center"/>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分值构成</w:t>
            </w:r>
          </w:p>
        </w:tc>
        <w:tc>
          <w:tcPr>
            <w:tcW w:w="6713" w:type="dxa"/>
            <w:gridSpan w:val="2"/>
            <w:vAlign w:val="center"/>
          </w:tcPr>
          <w:p w14:paraId="44B62CFB">
            <w:pPr>
              <w:ind w:right="-31" w:rightChars="-15"/>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商务部分</w:t>
            </w:r>
            <w:r>
              <w:rPr>
                <w:rFonts w:hint="eastAsia" w:ascii="仿宋" w:hAnsi="仿宋" w:eastAsia="仿宋" w:cs="仿宋"/>
                <w:bCs/>
                <w:color w:val="auto"/>
                <w:kern w:val="0"/>
                <w:szCs w:val="21"/>
                <w:highlight w:val="none"/>
                <w:lang w:val="en-US" w:eastAsia="zh-CN"/>
              </w:rPr>
              <w:t>15.0</w:t>
            </w:r>
            <w:r>
              <w:rPr>
                <w:rFonts w:hint="eastAsia" w:ascii="仿宋" w:hAnsi="仿宋" w:eastAsia="仿宋" w:cs="仿宋"/>
                <w:bCs/>
                <w:color w:val="auto"/>
                <w:kern w:val="0"/>
                <w:szCs w:val="21"/>
                <w:highlight w:val="none"/>
              </w:rPr>
              <w:t>分</w:t>
            </w:r>
          </w:p>
          <w:p w14:paraId="7686D79E">
            <w:pPr>
              <w:ind w:right="-31" w:rightChars="-15"/>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技术部分</w:t>
            </w:r>
            <w:r>
              <w:rPr>
                <w:rFonts w:hint="eastAsia" w:ascii="仿宋" w:hAnsi="仿宋" w:eastAsia="仿宋" w:cs="仿宋"/>
                <w:bCs/>
                <w:color w:val="auto"/>
                <w:kern w:val="0"/>
                <w:szCs w:val="21"/>
                <w:highlight w:val="none"/>
                <w:lang w:val="en-US" w:eastAsia="zh-CN"/>
              </w:rPr>
              <w:t>55</w:t>
            </w:r>
            <w:r>
              <w:rPr>
                <w:rFonts w:hint="eastAsia" w:ascii="仿宋" w:hAnsi="仿宋" w:eastAsia="仿宋" w:cs="仿宋"/>
                <w:bCs/>
                <w:color w:val="auto"/>
                <w:kern w:val="0"/>
                <w:szCs w:val="21"/>
                <w:highlight w:val="none"/>
              </w:rPr>
              <w:t>.0分</w:t>
            </w:r>
          </w:p>
          <w:p w14:paraId="05158B95">
            <w:pPr>
              <w:ind w:right="-31" w:rightChars="-15"/>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报价得分30.0分</w:t>
            </w:r>
          </w:p>
        </w:tc>
      </w:tr>
      <w:tr w14:paraId="4CE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831BF8C">
            <w:pPr>
              <w:pStyle w:val="17"/>
              <w:ind w:right="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报价部分（30分）</w:t>
            </w:r>
          </w:p>
        </w:tc>
        <w:tc>
          <w:tcPr>
            <w:tcW w:w="567" w:type="dxa"/>
            <w:vAlign w:val="center"/>
          </w:tcPr>
          <w:p w14:paraId="3B168D54">
            <w:pPr>
              <w:pStyle w:val="1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6146" w:type="dxa"/>
            <w:vAlign w:val="center"/>
          </w:tcPr>
          <w:p w14:paraId="3AEE60D2">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满足招标文件要求且投标价格最低的有效投标报价（即除低于成本报价以外的报价）为评标基准价。其他</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的价格分统一按照下列公式计算：</w:t>
            </w:r>
          </w:p>
          <w:p w14:paraId="631987D2">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投标报价得分=（评标基准价/投标报价）×价格满分分值</w:t>
            </w:r>
          </w:p>
          <w:p w14:paraId="40D80400">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color w:val="auto"/>
                <w:sz w:val="21"/>
                <w:szCs w:val="21"/>
                <w:highlight w:val="none"/>
                <w:lang w:val="en-US" w:eastAsia="zh-CN"/>
              </w:rPr>
              <w:t>因落实政府采购政策进行价格调整的，以调整后的价格</w:t>
            </w:r>
            <w:r>
              <w:rPr>
                <w:rFonts w:hint="eastAsia" w:ascii="仿宋" w:hAnsi="仿宋" w:eastAsia="仿宋" w:cs="仿宋"/>
                <w:color w:val="auto"/>
                <w:sz w:val="21"/>
                <w:szCs w:val="21"/>
                <w:highlight w:val="none"/>
              </w:rPr>
              <w:t>参与评审。</w:t>
            </w:r>
          </w:p>
        </w:tc>
      </w:tr>
      <w:tr w14:paraId="741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059B9F1">
            <w:pPr>
              <w:pStyle w:val="17"/>
              <w:ind w:right="-19" w:rightChars="-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tc>
        <w:tc>
          <w:tcPr>
            <w:tcW w:w="1134" w:type="dxa"/>
            <w:tcBorders>
              <w:left w:val="single" w:color="000000" w:sz="4" w:space="0"/>
            </w:tcBorders>
            <w:vAlign w:val="center"/>
          </w:tcPr>
          <w:p w14:paraId="0D327B82">
            <w:pPr>
              <w:pStyle w:val="17"/>
              <w:ind w:right="31" w:rightChars="1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类似项目业绩</w:t>
            </w:r>
          </w:p>
        </w:tc>
        <w:tc>
          <w:tcPr>
            <w:tcW w:w="567" w:type="dxa"/>
            <w:vAlign w:val="center"/>
          </w:tcPr>
          <w:p w14:paraId="3A6507DB">
            <w:pPr>
              <w:pStyle w:val="17"/>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6146" w:type="dxa"/>
            <w:vAlign w:val="center"/>
          </w:tcPr>
          <w:p w14:paraId="36FF1D20">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
                <w:color w:val="auto"/>
                <w:sz w:val="21"/>
                <w:szCs w:val="21"/>
                <w:highlight w:val="none"/>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2CFB84A8">
            <w:pPr>
              <w:pStyle w:val="17"/>
              <w:ind w:right="-31" w:rightChars="-15"/>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5BA4F204">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2.销售给经销商或代理商等非使用方的销售业绩不予认可。</w:t>
            </w:r>
          </w:p>
        </w:tc>
      </w:tr>
      <w:tr w14:paraId="5614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1F746F9">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2BC5F501">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政策性加分（节能环保产品）</w:t>
            </w:r>
          </w:p>
        </w:tc>
        <w:tc>
          <w:tcPr>
            <w:tcW w:w="567" w:type="dxa"/>
            <w:shd w:val="clear" w:color="auto" w:fill="auto"/>
            <w:vAlign w:val="center"/>
          </w:tcPr>
          <w:p w14:paraId="03EE3D9D">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w:t>
            </w:r>
          </w:p>
        </w:tc>
        <w:tc>
          <w:tcPr>
            <w:tcW w:w="6146" w:type="dxa"/>
            <w:shd w:val="clear" w:color="auto" w:fill="auto"/>
            <w:vAlign w:val="top"/>
          </w:tcPr>
          <w:p w14:paraId="1D258826">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节能产品（满分0.5分）；</w:t>
            </w:r>
          </w:p>
          <w:p w14:paraId="258A3233">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投标产品（除政府强制采购节能产品外）为节能产品并提供在有效期内的认证证书得0.5分，不提供的不得分；</w:t>
            </w:r>
          </w:p>
          <w:p w14:paraId="3225F4EA">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环境标志产品（满分0.5分）；</w:t>
            </w:r>
          </w:p>
          <w:p w14:paraId="6A1B324D">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投标产品为环境标志产品并提供在有效期内的认证证书得0.5分，不提供的不得分。</w:t>
            </w:r>
          </w:p>
          <w:p w14:paraId="32F4DA22">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注：</w:t>
            </w:r>
            <w:r>
              <w:rPr>
                <w:rFonts w:hint="eastAsia" w:ascii="仿宋" w:hAnsi="仿宋" w:eastAsia="仿宋" w:cs="仿宋"/>
                <w:color w:val="auto"/>
                <w:sz w:val="21"/>
                <w:szCs w:val="21"/>
                <w:highlight w:val="none"/>
                <w:vertAlign w:val="baseline"/>
                <w:lang w:val="en-US" w:eastAsia="zh-CN"/>
              </w:rPr>
              <w:t>投标产品须为</w:t>
            </w:r>
            <w:r>
              <w:rPr>
                <w:rFonts w:hint="eastAsia" w:ascii="仿宋" w:hAnsi="仿宋" w:eastAsia="仿宋" w:cs="仿宋"/>
                <w:color w:val="auto"/>
                <w:kern w:val="0"/>
                <w:sz w:val="21"/>
                <w:szCs w:val="21"/>
                <w:highlight w:val="none"/>
                <w:lang w:val="en-US" w:eastAsia="zh-CN" w:bidi="ar"/>
              </w:rPr>
              <w:t>第五章采购需求“采购标的物清单”列明的产品，“采购标的物清单”未列明的附属产品不予认可。</w:t>
            </w:r>
          </w:p>
        </w:tc>
      </w:tr>
      <w:tr w14:paraId="5DC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58123AA">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vAlign w:val="center"/>
          </w:tcPr>
          <w:p w14:paraId="0717E319">
            <w:pPr>
              <w:pStyle w:val="17"/>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质保期</w:t>
            </w:r>
          </w:p>
        </w:tc>
        <w:tc>
          <w:tcPr>
            <w:tcW w:w="567" w:type="dxa"/>
            <w:vAlign w:val="center"/>
          </w:tcPr>
          <w:p w14:paraId="40B7B54C">
            <w:pPr>
              <w:pStyle w:val="17"/>
              <w:keepNext w:val="0"/>
              <w:keepLines w:val="0"/>
              <w:pageBreakBefore w:val="0"/>
              <w:kinsoku/>
              <w:wordWrap/>
              <w:overflowPunct/>
              <w:topLinePunct w:val="0"/>
              <w:autoSpaceDE/>
              <w:autoSpaceDN/>
              <w:bidi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6146" w:type="dxa"/>
            <w:vAlign w:val="center"/>
          </w:tcPr>
          <w:p w14:paraId="147D6831">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vertAlign w:val="baseline"/>
                <w:lang w:val="en-US" w:eastAsia="zh-CN"/>
              </w:rPr>
              <w:t>在满足采购需求的质保期的基础上,质保期每延长1年得1分，最高可得2分。</w:t>
            </w:r>
          </w:p>
        </w:tc>
      </w:tr>
      <w:tr w14:paraId="115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D716579">
            <w:pPr>
              <w:pStyle w:val="17"/>
              <w:ind w:right="-19" w:rightChars="-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技术部分 </w:t>
            </w:r>
          </w:p>
        </w:tc>
        <w:tc>
          <w:tcPr>
            <w:tcW w:w="1134" w:type="dxa"/>
            <w:tcBorders>
              <w:left w:val="single" w:color="000000" w:sz="4" w:space="0"/>
            </w:tcBorders>
            <w:vAlign w:val="center"/>
          </w:tcPr>
          <w:p w14:paraId="3D5E98F9">
            <w:pPr>
              <w:pStyle w:val="17"/>
              <w:ind w:right="31" w:rightChars="1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产品符合性</w:t>
            </w:r>
          </w:p>
        </w:tc>
        <w:tc>
          <w:tcPr>
            <w:tcW w:w="567" w:type="dxa"/>
            <w:vAlign w:val="center"/>
          </w:tcPr>
          <w:p w14:paraId="1F636402">
            <w:pPr>
              <w:pStyle w:val="1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40</w:t>
            </w:r>
          </w:p>
        </w:tc>
        <w:tc>
          <w:tcPr>
            <w:tcW w:w="6146" w:type="dxa"/>
          </w:tcPr>
          <w:p w14:paraId="3A99BA6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40分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sz w:val="21"/>
                <w:szCs w:val="21"/>
                <w:highlight w:val="none"/>
                <w:vertAlign w:val="baseline"/>
                <w:lang w:val="en-US" w:eastAsia="zh-CN"/>
              </w:rPr>
              <w:t>带</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vertAlign w:val="baseline"/>
              </w:rPr>
              <w:t>”号</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sz w:val="21"/>
                <w:szCs w:val="21"/>
                <w:highlight w:val="none"/>
                <w:vertAlign w:val="baseline"/>
              </w:rPr>
              <w:t>不满足扣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w:t>
            </w:r>
            <w:r>
              <w:rPr>
                <w:rFonts w:hint="eastAsia" w:ascii="仿宋" w:hAnsi="仿宋" w:eastAsia="仿宋" w:cs="仿宋"/>
                <w:color w:val="auto"/>
                <w:sz w:val="21"/>
                <w:szCs w:val="21"/>
                <w:highlight w:val="none"/>
                <w:vertAlign w:val="baseline"/>
                <w:lang w:val="en-US" w:eastAsia="zh-CN"/>
              </w:rPr>
              <w:t>不带</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vertAlign w:val="baseline"/>
              </w:rPr>
              <w:t>”号</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sz w:val="21"/>
                <w:szCs w:val="21"/>
                <w:highlight w:val="none"/>
                <w:vertAlign w:val="baseline"/>
              </w:rPr>
              <w:t>不满足扣</w:t>
            </w:r>
            <w:r>
              <w:rPr>
                <w:rFonts w:hint="eastAsia" w:ascii="仿宋" w:hAnsi="仿宋" w:eastAsia="仿宋" w:cs="仿宋"/>
                <w:color w:val="auto"/>
                <w:sz w:val="21"/>
                <w:szCs w:val="21"/>
                <w:highlight w:val="none"/>
                <w:vertAlign w:val="baseline"/>
                <w:lang w:val="en-US" w:eastAsia="zh-CN"/>
              </w:rPr>
              <w:t>0.5</w:t>
            </w:r>
            <w:r>
              <w:rPr>
                <w:rFonts w:hint="eastAsia" w:ascii="仿宋" w:hAnsi="仿宋" w:eastAsia="仿宋" w:cs="仿宋"/>
                <w:color w:val="auto"/>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 xml:space="preserve"> </w:t>
            </w:r>
          </w:p>
          <w:p w14:paraId="1B65FE71">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val="0"/>
                <w:bCs/>
                <w:color w:val="auto"/>
                <w:kern w:val="0"/>
                <w:sz w:val="21"/>
                <w:szCs w:val="21"/>
                <w:highlight w:val="none"/>
                <w:lang w:val="en-US" w:eastAsia="zh-CN" w:bidi="ar-SA"/>
              </w:rPr>
              <w:t>1、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155FCE5A">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2、若制造商公开发布的印刷资料与检测机构出具的检测报告不一致，以检测机构出具的检测报告为准。</w:t>
            </w:r>
          </w:p>
          <w:p w14:paraId="5AA554F4">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6FCD9142">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28B3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6103BF15">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491575E6">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34212A7A">
            <w:pPr>
              <w:pStyle w:val="17"/>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4</w:t>
            </w:r>
          </w:p>
        </w:tc>
        <w:tc>
          <w:tcPr>
            <w:tcW w:w="6146" w:type="dxa"/>
            <w:shd w:val="clear" w:color="auto" w:fill="auto"/>
            <w:vAlign w:val="top"/>
          </w:tcPr>
          <w:p w14:paraId="67DC8AB3">
            <w:pPr>
              <w:pStyle w:val="17"/>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根据投标人针对本项目提供的配送方案进行评审，方案内容至少包含（1）职责分工（2）配送环节及注意事项（3）配送车辆（4）配备人员。</w:t>
            </w:r>
            <w:r>
              <w:rPr>
                <w:rFonts w:hint="eastAsia" w:ascii="仿宋" w:hAnsi="仿宋" w:eastAsia="仿宋" w:cs="仿宋"/>
                <w:color w:val="auto"/>
                <w:sz w:val="21"/>
                <w:szCs w:val="21"/>
                <w:highlight w:val="none"/>
                <w:vertAlign w:val="baseline"/>
                <w:lang w:val="en-US" w:eastAsia="zh-CN"/>
              </w:rPr>
              <w:t>等4项内容，方案内容完整齐全，符合项目实际的，得4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236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469E2B7">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5C0B241E">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售后服务方案</w:t>
            </w:r>
          </w:p>
        </w:tc>
        <w:tc>
          <w:tcPr>
            <w:tcW w:w="567" w:type="dxa"/>
            <w:shd w:val="clear" w:color="auto" w:fill="auto"/>
            <w:vAlign w:val="center"/>
          </w:tcPr>
          <w:p w14:paraId="64643AD8">
            <w:pPr>
              <w:pStyle w:val="17"/>
              <w:spacing w:line="240" w:lineRule="auto"/>
              <w:ind w:right="0" w:rightChars="0"/>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6146" w:type="dxa"/>
            <w:shd w:val="clear" w:color="auto" w:fill="auto"/>
            <w:vAlign w:val="top"/>
          </w:tcPr>
          <w:p w14:paraId="7C8BBCC0">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根据供应商提供的售后服务方案进行评分：项目售后服务方案包括但不限于①售后服务承诺、②巡检方案、③备品备件更换方案、④服务人员配备（含专职维修工程师、保证设备的日常维护及故障排除、厂家技术方面专职维修工程师以提供技术服务支持）、⑤故障响应措施、⑥故障维修响应时间、⑦质保外服务措施等7项内容，方案内容完整齐全，符合项目实际的，得7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560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825FBDE">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2D0200EC">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培训方案</w:t>
            </w:r>
          </w:p>
        </w:tc>
        <w:tc>
          <w:tcPr>
            <w:tcW w:w="567" w:type="dxa"/>
            <w:shd w:val="clear" w:color="auto" w:fill="auto"/>
            <w:vAlign w:val="center"/>
          </w:tcPr>
          <w:p w14:paraId="13F5A776">
            <w:pPr>
              <w:pStyle w:val="17"/>
              <w:spacing w:line="240" w:lineRule="auto"/>
              <w:ind w:right="0" w:rightChars="0"/>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6146" w:type="dxa"/>
            <w:shd w:val="clear" w:color="auto" w:fill="auto"/>
            <w:vAlign w:val="top"/>
          </w:tcPr>
          <w:p w14:paraId="3632BADB">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根据供应商提供的项目技术培训方案进行评分：</w:t>
            </w:r>
          </w:p>
          <w:p w14:paraId="26D3C560">
            <w:pPr>
              <w:pStyle w:val="17"/>
              <w:spacing w:line="240" w:lineRule="auto"/>
              <w:ind w:right="-31" w:rightChars="-15"/>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项目培训方案包括但不限于①培训内容、②培训方式、③培训计划、④培训团队人员配置等4项内容，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bl>
    <w:p w14:paraId="0B9D3BC3">
      <w:pPr>
        <w:spacing w:line="500" w:lineRule="exact"/>
        <w:rPr>
          <w:rFonts w:hint="eastAsia" w:ascii="仿宋" w:hAnsi="仿宋" w:eastAsia="仿宋" w:cs="仿宋"/>
          <w:color w:val="auto"/>
          <w:sz w:val="24"/>
          <w:highlight w:val="none"/>
        </w:rPr>
      </w:pPr>
    </w:p>
    <w:p w14:paraId="4C8C2D9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C143F6E">
      <w:pPr>
        <w:spacing w:line="50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详细评审标准</w:t>
      </w:r>
      <w:r>
        <w:rPr>
          <w:rFonts w:hint="eastAsia" w:ascii="仿宋" w:hAnsi="仿宋" w:eastAsia="仿宋" w:cs="仿宋"/>
          <w:b/>
          <w:bCs/>
          <w:color w:val="auto"/>
          <w:sz w:val="24"/>
          <w:highlight w:val="none"/>
          <w:lang w:eastAsia="zh-CN"/>
        </w:rPr>
        <w:t>（适用于标项</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532C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68BE5A9F">
            <w:pPr>
              <w:ind w:right="638" w:rightChars="304"/>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 xml:space="preserve"> 评分因素</w:t>
            </w:r>
          </w:p>
        </w:tc>
        <w:tc>
          <w:tcPr>
            <w:tcW w:w="567" w:type="dxa"/>
            <w:vAlign w:val="center"/>
          </w:tcPr>
          <w:p w14:paraId="622D5A89">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分值</w:t>
            </w:r>
          </w:p>
        </w:tc>
        <w:tc>
          <w:tcPr>
            <w:tcW w:w="6146" w:type="dxa"/>
            <w:vAlign w:val="center"/>
          </w:tcPr>
          <w:p w14:paraId="0D08EF96">
            <w:pPr>
              <w:ind w:right="-31" w:rightChars="-15"/>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评分细则</w:t>
            </w:r>
          </w:p>
        </w:tc>
      </w:tr>
      <w:tr w14:paraId="5A6F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D5A9A94">
            <w:pPr>
              <w:ind w:right="638" w:rightChars="304"/>
              <w:jc w:val="center"/>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分值构成</w:t>
            </w:r>
          </w:p>
        </w:tc>
        <w:tc>
          <w:tcPr>
            <w:tcW w:w="6713" w:type="dxa"/>
            <w:gridSpan w:val="2"/>
            <w:vAlign w:val="center"/>
          </w:tcPr>
          <w:p w14:paraId="6E57657F">
            <w:pPr>
              <w:ind w:right="-31" w:rightChars="-15"/>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商务部分</w:t>
            </w:r>
            <w:r>
              <w:rPr>
                <w:rFonts w:hint="eastAsia" w:ascii="仿宋" w:hAnsi="仿宋" w:eastAsia="仿宋" w:cs="仿宋"/>
                <w:bCs/>
                <w:color w:val="auto"/>
                <w:kern w:val="0"/>
                <w:szCs w:val="21"/>
                <w:highlight w:val="none"/>
                <w:lang w:val="en-US" w:eastAsia="zh-CN"/>
              </w:rPr>
              <w:t>15.0</w:t>
            </w:r>
            <w:r>
              <w:rPr>
                <w:rFonts w:hint="eastAsia" w:ascii="仿宋" w:hAnsi="仿宋" w:eastAsia="仿宋" w:cs="仿宋"/>
                <w:bCs/>
                <w:color w:val="auto"/>
                <w:kern w:val="0"/>
                <w:szCs w:val="21"/>
                <w:highlight w:val="none"/>
              </w:rPr>
              <w:t>分</w:t>
            </w:r>
          </w:p>
          <w:p w14:paraId="65D2314A">
            <w:pPr>
              <w:ind w:right="-31" w:rightChars="-15"/>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技术部分</w:t>
            </w:r>
            <w:r>
              <w:rPr>
                <w:rFonts w:hint="eastAsia" w:ascii="仿宋" w:hAnsi="仿宋" w:eastAsia="仿宋" w:cs="仿宋"/>
                <w:bCs/>
                <w:color w:val="auto"/>
                <w:kern w:val="0"/>
                <w:szCs w:val="21"/>
                <w:highlight w:val="none"/>
                <w:lang w:val="en-US" w:eastAsia="zh-CN"/>
              </w:rPr>
              <w:t>55</w:t>
            </w:r>
            <w:r>
              <w:rPr>
                <w:rFonts w:hint="eastAsia" w:ascii="仿宋" w:hAnsi="仿宋" w:eastAsia="仿宋" w:cs="仿宋"/>
                <w:bCs/>
                <w:color w:val="auto"/>
                <w:kern w:val="0"/>
                <w:szCs w:val="21"/>
                <w:highlight w:val="none"/>
              </w:rPr>
              <w:t>.0分</w:t>
            </w:r>
          </w:p>
          <w:p w14:paraId="78333BA9">
            <w:pPr>
              <w:ind w:right="-31" w:rightChars="-15"/>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报价得分30.0分</w:t>
            </w:r>
          </w:p>
        </w:tc>
      </w:tr>
      <w:tr w14:paraId="007C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653BEC60">
            <w:pPr>
              <w:pStyle w:val="17"/>
              <w:ind w:right="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报价部分（30分）</w:t>
            </w:r>
          </w:p>
        </w:tc>
        <w:tc>
          <w:tcPr>
            <w:tcW w:w="567" w:type="dxa"/>
            <w:vAlign w:val="center"/>
          </w:tcPr>
          <w:p w14:paraId="22CD2EFE">
            <w:pPr>
              <w:pStyle w:val="1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6146" w:type="dxa"/>
            <w:vAlign w:val="center"/>
          </w:tcPr>
          <w:p w14:paraId="12B585D7">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满足招标文件要求且投标价格最低的有效投标报价（即除低于成本报价以外的报价）为评标基准价。其他</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的价格分统一按照下列公式计算：</w:t>
            </w:r>
          </w:p>
          <w:p w14:paraId="296973FB">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投标报价得分=（评标基准价/投标报价）×价格满分分值</w:t>
            </w:r>
          </w:p>
          <w:p w14:paraId="5A9E2845">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color w:val="auto"/>
                <w:sz w:val="21"/>
                <w:szCs w:val="21"/>
                <w:highlight w:val="none"/>
                <w:lang w:val="en-US" w:eastAsia="zh-CN"/>
              </w:rPr>
              <w:t>因落实政府采购政策进行价格调整的，以调整后的价格</w:t>
            </w:r>
            <w:r>
              <w:rPr>
                <w:rFonts w:hint="eastAsia" w:ascii="仿宋" w:hAnsi="仿宋" w:eastAsia="仿宋" w:cs="仿宋"/>
                <w:color w:val="auto"/>
                <w:sz w:val="21"/>
                <w:szCs w:val="21"/>
                <w:highlight w:val="none"/>
              </w:rPr>
              <w:t>参与评审。</w:t>
            </w:r>
          </w:p>
        </w:tc>
      </w:tr>
      <w:tr w14:paraId="631D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4C638E60">
            <w:pPr>
              <w:pStyle w:val="17"/>
              <w:ind w:right="-19" w:rightChars="-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tc>
        <w:tc>
          <w:tcPr>
            <w:tcW w:w="1134" w:type="dxa"/>
            <w:tcBorders>
              <w:left w:val="single" w:color="000000" w:sz="4" w:space="0"/>
            </w:tcBorders>
            <w:vAlign w:val="center"/>
          </w:tcPr>
          <w:p w14:paraId="77140029">
            <w:pPr>
              <w:pStyle w:val="17"/>
              <w:ind w:right="31" w:rightChars="1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类似项目业绩</w:t>
            </w:r>
          </w:p>
        </w:tc>
        <w:tc>
          <w:tcPr>
            <w:tcW w:w="567" w:type="dxa"/>
            <w:vAlign w:val="center"/>
          </w:tcPr>
          <w:p w14:paraId="6383F566">
            <w:pPr>
              <w:pStyle w:val="17"/>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6146" w:type="dxa"/>
            <w:vAlign w:val="center"/>
          </w:tcPr>
          <w:p w14:paraId="62A82A82">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
                <w:color w:val="auto"/>
                <w:sz w:val="21"/>
                <w:szCs w:val="21"/>
                <w:highlight w:val="none"/>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029617F3">
            <w:pPr>
              <w:pStyle w:val="17"/>
              <w:ind w:right="-31" w:rightChars="-15"/>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465FD456">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2.销售给经销商或代理商等非使用方的销售业绩不予认可。</w:t>
            </w:r>
          </w:p>
        </w:tc>
      </w:tr>
      <w:tr w14:paraId="65C9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179D142">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1A863DD0">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政策性加分（节能环保产品）</w:t>
            </w:r>
          </w:p>
        </w:tc>
        <w:tc>
          <w:tcPr>
            <w:tcW w:w="567" w:type="dxa"/>
            <w:shd w:val="clear" w:color="auto" w:fill="auto"/>
            <w:vAlign w:val="center"/>
          </w:tcPr>
          <w:p w14:paraId="205D8EBF">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w:t>
            </w:r>
          </w:p>
        </w:tc>
        <w:tc>
          <w:tcPr>
            <w:tcW w:w="6146" w:type="dxa"/>
            <w:shd w:val="clear" w:color="auto" w:fill="auto"/>
            <w:vAlign w:val="top"/>
          </w:tcPr>
          <w:p w14:paraId="33A57E5C">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节能产品（满分0.5分）；</w:t>
            </w:r>
          </w:p>
          <w:p w14:paraId="06563DB7">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投标产品（除政府强制采购节能产品外）为节能产品并提供在有效期内的认证证书得0.5分，不提供的不得分；</w:t>
            </w:r>
          </w:p>
          <w:p w14:paraId="0BDC9300">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环境标志产品（满分0.5分）；</w:t>
            </w:r>
          </w:p>
          <w:p w14:paraId="6ACEA332">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投标产品为环境标志产品并提供在有效期内的认证证书得0.5分，不提供的不得分。</w:t>
            </w:r>
          </w:p>
          <w:p w14:paraId="0DA9E720">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注：</w:t>
            </w:r>
            <w:r>
              <w:rPr>
                <w:rFonts w:hint="eastAsia" w:ascii="仿宋" w:hAnsi="仿宋" w:eastAsia="仿宋" w:cs="仿宋"/>
                <w:color w:val="auto"/>
                <w:sz w:val="21"/>
                <w:szCs w:val="21"/>
                <w:highlight w:val="none"/>
                <w:vertAlign w:val="baseline"/>
                <w:lang w:val="en-US" w:eastAsia="zh-CN"/>
              </w:rPr>
              <w:t>投标产品须为</w:t>
            </w:r>
            <w:r>
              <w:rPr>
                <w:rFonts w:hint="eastAsia" w:ascii="仿宋" w:hAnsi="仿宋" w:eastAsia="仿宋" w:cs="仿宋"/>
                <w:color w:val="auto"/>
                <w:kern w:val="0"/>
                <w:sz w:val="21"/>
                <w:szCs w:val="21"/>
                <w:highlight w:val="none"/>
                <w:lang w:val="en-US" w:eastAsia="zh-CN" w:bidi="ar"/>
              </w:rPr>
              <w:t>第五章采购需求“采购标的物清单”列明的产品，“采购标的物清单”未列明的附属产品不予认可。</w:t>
            </w:r>
          </w:p>
        </w:tc>
      </w:tr>
      <w:tr w14:paraId="59C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21B365C3">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vAlign w:val="center"/>
          </w:tcPr>
          <w:p w14:paraId="6EF8B6FC">
            <w:pPr>
              <w:pStyle w:val="17"/>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质保期</w:t>
            </w:r>
          </w:p>
        </w:tc>
        <w:tc>
          <w:tcPr>
            <w:tcW w:w="567" w:type="dxa"/>
            <w:vAlign w:val="center"/>
          </w:tcPr>
          <w:p w14:paraId="4DF1CD93">
            <w:pPr>
              <w:pStyle w:val="17"/>
              <w:keepNext w:val="0"/>
              <w:keepLines w:val="0"/>
              <w:pageBreakBefore w:val="0"/>
              <w:kinsoku/>
              <w:wordWrap/>
              <w:overflowPunct/>
              <w:topLinePunct w:val="0"/>
              <w:autoSpaceDE/>
              <w:autoSpaceDN/>
              <w:bidi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6146" w:type="dxa"/>
            <w:vAlign w:val="center"/>
          </w:tcPr>
          <w:p w14:paraId="13CB72B4">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vertAlign w:val="baseline"/>
                <w:lang w:val="en-US" w:eastAsia="zh-CN"/>
              </w:rPr>
              <w:t>在满足采购需求的质保期的基础上,质保期每延长1年得1分，最高可得2分。</w:t>
            </w:r>
          </w:p>
        </w:tc>
      </w:tr>
      <w:tr w14:paraId="628F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0DD7C286">
            <w:pPr>
              <w:pStyle w:val="17"/>
              <w:ind w:right="-19" w:rightChars="-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技术部分 </w:t>
            </w:r>
          </w:p>
        </w:tc>
        <w:tc>
          <w:tcPr>
            <w:tcW w:w="1134" w:type="dxa"/>
            <w:tcBorders>
              <w:left w:val="single" w:color="000000" w:sz="4" w:space="0"/>
            </w:tcBorders>
            <w:vAlign w:val="center"/>
          </w:tcPr>
          <w:p w14:paraId="430E99F3">
            <w:pPr>
              <w:pStyle w:val="17"/>
              <w:ind w:right="31" w:rightChars="1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产品符合性</w:t>
            </w:r>
          </w:p>
        </w:tc>
        <w:tc>
          <w:tcPr>
            <w:tcW w:w="567" w:type="dxa"/>
            <w:vAlign w:val="center"/>
          </w:tcPr>
          <w:p w14:paraId="53F0D55C">
            <w:pPr>
              <w:pStyle w:val="1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40</w:t>
            </w:r>
          </w:p>
        </w:tc>
        <w:tc>
          <w:tcPr>
            <w:tcW w:w="6146" w:type="dxa"/>
          </w:tcPr>
          <w:p w14:paraId="402A493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40分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sz w:val="21"/>
                <w:szCs w:val="21"/>
                <w:highlight w:val="none"/>
                <w:vertAlign w:val="baseline"/>
              </w:rPr>
              <w:t>不满足扣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 xml:space="preserve"> </w:t>
            </w:r>
          </w:p>
          <w:p w14:paraId="37033C48">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val="0"/>
                <w:bCs/>
                <w:color w:val="auto"/>
                <w:kern w:val="0"/>
                <w:sz w:val="21"/>
                <w:szCs w:val="21"/>
                <w:highlight w:val="none"/>
                <w:lang w:val="en-US" w:eastAsia="zh-CN" w:bidi="ar-SA"/>
              </w:rPr>
              <w:t>1、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769537C1">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2、若制造商公开发布的印刷资料与检测机构出具的检测报告不一致，以检测机构出具的检测报告为准。</w:t>
            </w:r>
          </w:p>
          <w:p w14:paraId="2CB3FCAE">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3FF6E962">
            <w:pPr>
              <w:pStyle w:val="17"/>
              <w:ind w:right="-31" w:rightChars="-15"/>
              <w:jc w:val="both"/>
              <w:rPr>
                <w:rFonts w:hint="eastAsia" w:ascii="仿宋" w:hAnsi="仿宋" w:eastAsia="仿宋" w:cs="仿宋"/>
                <w:color w:val="auto"/>
                <w:sz w:val="21"/>
                <w:szCs w:val="21"/>
                <w:highlight w:val="none"/>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55D8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2A5A5D3C">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39254EFF">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042AE282">
            <w:pPr>
              <w:pStyle w:val="17"/>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4</w:t>
            </w:r>
          </w:p>
        </w:tc>
        <w:tc>
          <w:tcPr>
            <w:tcW w:w="6146" w:type="dxa"/>
            <w:shd w:val="clear" w:color="auto" w:fill="auto"/>
            <w:vAlign w:val="top"/>
          </w:tcPr>
          <w:p w14:paraId="165B4FE5">
            <w:pPr>
              <w:pStyle w:val="17"/>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根据投标人针对本项目提供的配送方案进行评审，方案内容至少包含（1）职责分工（2）配送环节及注意事项（3）配送车辆（4）配备人员。</w:t>
            </w:r>
            <w:r>
              <w:rPr>
                <w:rFonts w:hint="eastAsia" w:ascii="仿宋" w:hAnsi="仿宋" w:eastAsia="仿宋" w:cs="仿宋"/>
                <w:color w:val="auto"/>
                <w:sz w:val="21"/>
                <w:szCs w:val="21"/>
                <w:highlight w:val="none"/>
                <w:vertAlign w:val="baseline"/>
                <w:lang w:val="en-US" w:eastAsia="zh-CN"/>
              </w:rPr>
              <w:t>等4项内容，方案内容完整齐全，符合项目实际的，得4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0097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62C60781">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32124FD4">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售后服务方案</w:t>
            </w:r>
          </w:p>
        </w:tc>
        <w:tc>
          <w:tcPr>
            <w:tcW w:w="567" w:type="dxa"/>
            <w:shd w:val="clear" w:color="auto" w:fill="auto"/>
            <w:vAlign w:val="center"/>
          </w:tcPr>
          <w:p w14:paraId="5BB37D87">
            <w:pPr>
              <w:pStyle w:val="17"/>
              <w:spacing w:line="240" w:lineRule="auto"/>
              <w:ind w:right="0" w:rightChars="0"/>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6146" w:type="dxa"/>
            <w:shd w:val="clear" w:color="auto" w:fill="auto"/>
            <w:vAlign w:val="top"/>
          </w:tcPr>
          <w:p w14:paraId="3F46091A">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根据供应商提供的售后服务方案进行评分：项目售后服务方案包括但不限于①售后服务承诺、②巡检方案、③备品备件更换方案、④服务人员配备（含专职维修工程师、保证设备的日常维护及故障排除、厂家技术方面专职维修工程师以提供技术服务支持）、⑤故障响应措施、⑥故障维修响应时间、⑦质保外服务措施等7项内容，方案内容完整齐全，符合项目实际的，得7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1632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CF69009">
            <w:pPr>
              <w:pStyle w:val="17"/>
              <w:ind w:right="-19" w:rightChars="-9"/>
              <w:jc w:val="center"/>
              <w:rPr>
                <w:rFonts w:hint="eastAsia" w:ascii="仿宋" w:hAnsi="仿宋" w:eastAsia="仿宋" w:cs="仿宋"/>
                <w:color w:val="auto"/>
                <w:sz w:val="21"/>
                <w:szCs w:val="21"/>
                <w:highlight w:val="none"/>
              </w:rPr>
            </w:pPr>
          </w:p>
        </w:tc>
        <w:tc>
          <w:tcPr>
            <w:tcW w:w="1134" w:type="dxa"/>
            <w:tcBorders>
              <w:left w:val="single" w:color="000000" w:sz="4" w:space="0"/>
            </w:tcBorders>
            <w:shd w:val="clear" w:color="auto" w:fill="auto"/>
            <w:vAlign w:val="center"/>
          </w:tcPr>
          <w:p w14:paraId="38F0287B">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培训方案</w:t>
            </w:r>
          </w:p>
        </w:tc>
        <w:tc>
          <w:tcPr>
            <w:tcW w:w="567" w:type="dxa"/>
            <w:shd w:val="clear" w:color="auto" w:fill="auto"/>
            <w:vAlign w:val="center"/>
          </w:tcPr>
          <w:p w14:paraId="2C725FC3">
            <w:pPr>
              <w:pStyle w:val="17"/>
              <w:spacing w:line="240" w:lineRule="auto"/>
              <w:ind w:right="0" w:rightChars="0"/>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6146" w:type="dxa"/>
            <w:shd w:val="clear" w:color="auto" w:fill="auto"/>
            <w:vAlign w:val="top"/>
          </w:tcPr>
          <w:p w14:paraId="69E5D1AA">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根据供应商提供的项目技术培训方案进行评分：</w:t>
            </w:r>
          </w:p>
          <w:p w14:paraId="034DA71E">
            <w:pPr>
              <w:pStyle w:val="17"/>
              <w:spacing w:line="240" w:lineRule="auto"/>
              <w:ind w:right="-31" w:rightChars="-15"/>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项目培训方案包括但不限于①培训内容、②培训方式、③培训计划、④培训团队人员配置等4项内容，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bl>
    <w:p w14:paraId="7EF6F90D">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43543EB5">
      <w:pPr>
        <w:spacing w:line="50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详细评审标准</w:t>
      </w:r>
      <w:r>
        <w:rPr>
          <w:rFonts w:hint="eastAsia" w:ascii="仿宋" w:hAnsi="仿宋" w:eastAsia="仿宋" w:cs="仿宋"/>
          <w:b/>
          <w:bCs/>
          <w:color w:val="auto"/>
          <w:sz w:val="24"/>
          <w:highlight w:val="none"/>
          <w:lang w:eastAsia="zh-CN"/>
        </w:rPr>
        <w:t>（适用于标项</w:t>
      </w:r>
      <w:r>
        <w:rPr>
          <w:rFonts w:hint="eastAsia" w:ascii="仿宋" w:hAnsi="仿宋" w:eastAsia="仿宋" w:cs="仿宋"/>
          <w:b/>
          <w:bCs/>
          <w:color w:val="auto"/>
          <w:sz w:val="24"/>
          <w:highlight w:val="none"/>
          <w:lang w:val="en-US" w:eastAsia="zh-CN"/>
        </w:rPr>
        <w:t>12、13、14、15</w:t>
      </w:r>
      <w:r>
        <w:rPr>
          <w:rFonts w:hint="eastAsia" w:ascii="仿宋" w:hAnsi="仿宋" w:eastAsia="仿宋" w:cs="仿宋"/>
          <w:b/>
          <w:bCs/>
          <w:color w:val="auto"/>
          <w:sz w:val="24"/>
          <w:highlight w:val="none"/>
          <w:lang w:eastAsia="zh-CN"/>
        </w:rPr>
        <w:t>）</w:t>
      </w:r>
    </w:p>
    <w:tbl>
      <w:tblPr>
        <w:tblStyle w:val="2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447"/>
      </w:tblGrid>
      <w:tr w14:paraId="1CA1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09" w:type="dxa"/>
            <w:gridSpan w:val="2"/>
            <w:vAlign w:val="center"/>
          </w:tcPr>
          <w:p w14:paraId="0BB57126">
            <w:pPr>
              <w:keepNext w:val="0"/>
              <w:keepLines w:val="0"/>
              <w:pageBreakBefore w:val="0"/>
              <w:kinsoku/>
              <w:wordWrap/>
              <w:overflowPunct/>
              <w:topLinePunct w:val="0"/>
              <w:autoSpaceDE/>
              <w:autoSpaceDN/>
              <w:bidi w:val="0"/>
              <w:spacing w:line="280" w:lineRule="exact"/>
              <w:ind w:right="638" w:rightChars="304"/>
              <w:jc w:val="center"/>
              <w:rPr>
                <w:rFonts w:ascii="仿宋" w:hAnsi="仿宋" w:eastAsia="仿宋" w:cs="仿宋_GB2312"/>
                <w:b/>
                <w:color w:val="auto"/>
                <w:szCs w:val="21"/>
                <w:highlight w:val="none"/>
              </w:rPr>
            </w:pPr>
            <w:r>
              <w:rPr>
                <w:rFonts w:hint="eastAsia" w:ascii="仿宋" w:hAnsi="仿宋" w:eastAsia="仿宋" w:cs="仿宋_GB2312"/>
                <w:b/>
                <w:color w:val="auto"/>
                <w:kern w:val="0"/>
                <w:szCs w:val="21"/>
                <w:highlight w:val="none"/>
              </w:rPr>
              <w:t xml:space="preserve"> 评分因素</w:t>
            </w:r>
          </w:p>
        </w:tc>
        <w:tc>
          <w:tcPr>
            <w:tcW w:w="567" w:type="dxa"/>
            <w:vAlign w:val="center"/>
          </w:tcPr>
          <w:p w14:paraId="7F96F295">
            <w:pPr>
              <w:keepNext w:val="0"/>
              <w:keepLines w:val="0"/>
              <w:pageBreakBefore w:val="0"/>
              <w:kinsoku/>
              <w:wordWrap/>
              <w:overflowPunct/>
              <w:topLinePunct w:val="0"/>
              <w:autoSpaceDE/>
              <w:autoSpaceDN/>
              <w:bidi w:val="0"/>
              <w:spacing w:line="280" w:lineRule="exact"/>
              <w:jc w:val="center"/>
              <w:rPr>
                <w:rFonts w:ascii="仿宋" w:hAnsi="仿宋" w:eastAsia="仿宋" w:cs="仿宋_GB2312"/>
                <w:b/>
                <w:color w:val="auto"/>
                <w:szCs w:val="21"/>
                <w:highlight w:val="none"/>
              </w:rPr>
            </w:pPr>
            <w:r>
              <w:rPr>
                <w:rFonts w:hint="eastAsia" w:ascii="仿宋" w:hAnsi="仿宋" w:eastAsia="仿宋" w:cs="仿宋_GB2312"/>
                <w:b/>
                <w:color w:val="auto"/>
                <w:kern w:val="0"/>
                <w:szCs w:val="21"/>
                <w:highlight w:val="none"/>
              </w:rPr>
              <w:t>分值</w:t>
            </w:r>
          </w:p>
        </w:tc>
        <w:tc>
          <w:tcPr>
            <w:tcW w:w="6447" w:type="dxa"/>
            <w:vAlign w:val="center"/>
          </w:tcPr>
          <w:p w14:paraId="707A2E2B">
            <w:pPr>
              <w:keepNext w:val="0"/>
              <w:keepLines w:val="0"/>
              <w:pageBreakBefore w:val="0"/>
              <w:kinsoku/>
              <w:wordWrap/>
              <w:overflowPunct/>
              <w:topLinePunct w:val="0"/>
              <w:autoSpaceDE/>
              <w:autoSpaceDN/>
              <w:bidi w:val="0"/>
              <w:spacing w:line="280" w:lineRule="exact"/>
              <w:ind w:right="-31" w:rightChars="-15"/>
              <w:jc w:val="center"/>
              <w:rPr>
                <w:rFonts w:ascii="仿宋" w:hAnsi="仿宋" w:eastAsia="仿宋" w:cs="仿宋_GB2312"/>
                <w:b/>
                <w:color w:val="auto"/>
                <w:szCs w:val="21"/>
                <w:highlight w:val="none"/>
              </w:rPr>
            </w:pPr>
            <w:r>
              <w:rPr>
                <w:rFonts w:hint="eastAsia" w:ascii="仿宋" w:hAnsi="仿宋" w:eastAsia="仿宋" w:cs="仿宋_GB2312"/>
                <w:b/>
                <w:color w:val="auto"/>
                <w:kern w:val="0"/>
                <w:szCs w:val="21"/>
                <w:highlight w:val="none"/>
              </w:rPr>
              <w:t>评分细则</w:t>
            </w:r>
          </w:p>
        </w:tc>
      </w:tr>
      <w:tr w14:paraId="101B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09" w:type="dxa"/>
            <w:gridSpan w:val="2"/>
            <w:vAlign w:val="center"/>
          </w:tcPr>
          <w:p w14:paraId="05C08CB3">
            <w:pPr>
              <w:keepNext w:val="0"/>
              <w:keepLines w:val="0"/>
              <w:pageBreakBefore w:val="0"/>
              <w:kinsoku/>
              <w:wordWrap/>
              <w:overflowPunct/>
              <w:topLinePunct w:val="0"/>
              <w:autoSpaceDE/>
              <w:autoSpaceDN/>
              <w:bidi w:val="0"/>
              <w:spacing w:line="280" w:lineRule="exact"/>
              <w:ind w:right="638" w:rightChars="304"/>
              <w:jc w:val="center"/>
              <w:rPr>
                <w:rFonts w:ascii="仿宋" w:hAnsi="仿宋" w:eastAsia="仿宋" w:cs="仿宋_GB2312"/>
                <w:b/>
                <w:color w:val="auto"/>
                <w:kern w:val="0"/>
                <w:szCs w:val="21"/>
                <w:highlight w:val="none"/>
              </w:rPr>
            </w:pPr>
            <w:r>
              <w:rPr>
                <w:rFonts w:hint="eastAsia" w:ascii="仿宋" w:hAnsi="仿宋" w:eastAsia="仿宋" w:cs="仿宋_GB2312"/>
                <w:bCs/>
                <w:color w:val="auto"/>
                <w:kern w:val="0"/>
                <w:szCs w:val="21"/>
                <w:highlight w:val="none"/>
              </w:rPr>
              <w:t>分值构成</w:t>
            </w:r>
          </w:p>
        </w:tc>
        <w:tc>
          <w:tcPr>
            <w:tcW w:w="7014" w:type="dxa"/>
            <w:gridSpan w:val="2"/>
            <w:vAlign w:val="center"/>
          </w:tcPr>
          <w:p w14:paraId="2D6DEA0E">
            <w:pPr>
              <w:keepNext w:val="0"/>
              <w:keepLines w:val="0"/>
              <w:pageBreakBefore w:val="0"/>
              <w:kinsoku/>
              <w:wordWrap/>
              <w:overflowPunct/>
              <w:topLinePunct w:val="0"/>
              <w:autoSpaceDE/>
              <w:autoSpaceDN/>
              <w:bidi w:val="0"/>
              <w:spacing w:line="280" w:lineRule="exact"/>
              <w:ind w:right="-31" w:rightChars="-15"/>
              <w:jc w:val="left"/>
              <w:rPr>
                <w:rFonts w:ascii="仿宋" w:hAnsi="仿宋" w:eastAsia="仿宋" w:cs="仿宋_GB2312"/>
                <w:bCs/>
                <w:color w:val="auto"/>
                <w:kern w:val="0"/>
                <w:szCs w:val="21"/>
                <w:highlight w:val="none"/>
              </w:rPr>
            </w:pPr>
            <w:r>
              <w:rPr>
                <w:rFonts w:hint="eastAsia" w:ascii="仿宋" w:hAnsi="仿宋" w:eastAsia="仿宋" w:cs="仿宋_GB2312"/>
                <w:bCs/>
                <w:color w:val="auto"/>
                <w:kern w:val="0"/>
                <w:szCs w:val="21"/>
                <w:highlight w:val="none"/>
              </w:rPr>
              <w:t>商务部分</w:t>
            </w:r>
            <w:r>
              <w:rPr>
                <w:rFonts w:hint="eastAsia" w:ascii="仿宋" w:hAnsi="仿宋" w:eastAsia="仿宋" w:cs="仿宋_GB2312"/>
                <w:bCs/>
                <w:color w:val="auto"/>
                <w:kern w:val="0"/>
                <w:szCs w:val="21"/>
                <w:highlight w:val="none"/>
                <w:lang w:val="en-US" w:eastAsia="zh-CN"/>
              </w:rPr>
              <w:t>15</w:t>
            </w:r>
            <w:r>
              <w:rPr>
                <w:rFonts w:hint="eastAsia" w:ascii="仿宋" w:hAnsi="仿宋" w:eastAsia="仿宋" w:cs="仿宋_GB2312"/>
                <w:bCs/>
                <w:color w:val="auto"/>
                <w:kern w:val="0"/>
                <w:szCs w:val="21"/>
                <w:highlight w:val="none"/>
              </w:rPr>
              <w:t>.0分</w:t>
            </w:r>
          </w:p>
          <w:p w14:paraId="1AE9F606">
            <w:pPr>
              <w:keepNext w:val="0"/>
              <w:keepLines w:val="0"/>
              <w:pageBreakBefore w:val="0"/>
              <w:kinsoku/>
              <w:wordWrap/>
              <w:overflowPunct/>
              <w:topLinePunct w:val="0"/>
              <w:autoSpaceDE/>
              <w:autoSpaceDN/>
              <w:bidi w:val="0"/>
              <w:spacing w:line="280" w:lineRule="exact"/>
              <w:ind w:right="-31" w:rightChars="-15"/>
              <w:jc w:val="left"/>
              <w:rPr>
                <w:rFonts w:ascii="仿宋" w:hAnsi="仿宋" w:eastAsia="仿宋" w:cs="仿宋_GB2312"/>
                <w:bCs/>
                <w:color w:val="auto"/>
                <w:kern w:val="0"/>
                <w:szCs w:val="21"/>
                <w:highlight w:val="none"/>
              </w:rPr>
            </w:pPr>
            <w:r>
              <w:rPr>
                <w:rFonts w:hint="eastAsia" w:ascii="仿宋" w:hAnsi="仿宋" w:eastAsia="仿宋" w:cs="仿宋_GB2312"/>
                <w:bCs/>
                <w:color w:val="auto"/>
                <w:kern w:val="0"/>
                <w:szCs w:val="21"/>
                <w:highlight w:val="none"/>
              </w:rPr>
              <w:t>技术部分</w:t>
            </w:r>
            <w:r>
              <w:rPr>
                <w:rFonts w:hint="eastAsia" w:ascii="仿宋" w:hAnsi="仿宋" w:eastAsia="仿宋" w:cs="仿宋_GB2312"/>
                <w:bCs/>
                <w:color w:val="auto"/>
                <w:kern w:val="0"/>
                <w:szCs w:val="21"/>
                <w:highlight w:val="none"/>
                <w:lang w:val="en-US" w:eastAsia="zh-CN"/>
              </w:rPr>
              <w:t>55</w:t>
            </w:r>
            <w:r>
              <w:rPr>
                <w:rFonts w:hint="eastAsia" w:ascii="仿宋" w:hAnsi="仿宋" w:eastAsia="仿宋" w:cs="仿宋_GB2312"/>
                <w:bCs/>
                <w:color w:val="auto"/>
                <w:kern w:val="0"/>
                <w:szCs w:val="21"/>
                <w:highlight w:val="none"/>
              </w:rPr>
              <w:t>.0分</w:t>
            </w:r>
          </w:p>
          <w:p w14:paraId="07D02C26">
            <w:pPr>
              <w:keepNext w:val="0"/>
              <w:keepLines w:val="0"/>
              <w:pageBreakBefore w:val="0"/>
              <w:kinsoku/>
              <w:wordWrap/>
              <w:overflowPunct/>
              <w:topLinePunct w:val="0"/>
              <w:autoSpaceDE/>
              <w:autoSpaceDN/>
              <w:bidi w:val="0"/>
              <w:spacing w:line="280" w:lineRule="exact"/>
              <w:ind w:right="-31" w:rightChars="-15"/>
              <w:jc w:val="left"/>
              <w:rPr>
                <w:rFonts w:ascii="仿宋" w:hAnsi="仿宋" w:eastAsia="仿宋" w:cs="仿宋_GB2312"/>
                <w:b/>
                <w:color w:val="auto"/>
                <w:kern w:val="0"/>
                <w:szCs w:val="21"/>
                <w:highlight w:val="none"/>
              </w:rPr>
            </w:pPr>
            <w:r>
              <w:rPr>
                <w:rFonts w:hint="eastAsia" w:ascii="仿宋" w:hAnsi="仿宋" w:eastAsia="仿宋" w:cs="仿宋_GB2312"/>
                <w:bCs/>
                <w:color w:val="auto"/>
                <w:kern w:val="0"/>
                <w:szCs w:val="21"/>
                <w:highlight w:val="none"/>
              </w:rPr>
              <w:t>报价得分</w:t>
            </w:r>
            <w:r>
              <w:rPr>
                <w:rFonts w:hint="eastAsia" w:ascii="仿宋" w:hAnsi="仿宋" w:eastAsia="仿宋" w:cs="仿宋_GB2312"/>
                <w:bCs/>
                <w:color w:val="auto"/>
                <w:kern w:val="0"/>
                <w:szCs w:val="21"/>
                <w:highlight w:val="none"/>
                <w:lang w:val="en-US" w:eastAsia="zh-CN"/>
              </w:rPr>
              <w:t>30</w:t>
            </w:r>
            <w:r>
              <w:rPr>
                <w:rFonts w:hint="eastAsia" w:ascii="仿宋" w:hAnsi="仿宋" w:eastAsia="仿宋" w:cs="仿宋_GB2312"/>
                <w:bCs/>
                <w:color w:val="auto"/>
                <w:kern w:val="0"/>
                <w:szCs w:val="21"/>
                <w:highlight w:val="none"/>
              </w:rPr>
              <w:t>.0分</w:t>
            </w:r>
          </w:p>
        </w:tc>
      </w:tr>
      <w:tr w14:paraId="5F24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809" w:type="dxa"/>
            <w:gridSpan w:val="2"/>
            <w:vAlign w:val="center"/>
          </w:tcPr>
          <w:p w14:paraId="7A7C5798">
            <w:pPr>
              <w:pStyle w:val="17"/>
              <w:keepNext w:val="0"/>
              <w:keepLines w:val="0"/>
              <w:pageBreakBefore w:val="0"/>
              <w:kinsoku/>
              <w:wordWrap/>
              <w:overflowPunct/>
              <w:topLinePunct w:val="0"/>
              <w:autoSpaceDE/>
              <w:autoSpaceDN/>
              <w:bidi w:val="0"/>
              <w:spacing w:line="280" w:lineRule="exact"/>
              <w:ind w:right="8"/>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报价部分</w:t>
            </w:r>
          </w:p>
        </w:tc>
        <w:tc>
          <w:tcPr>
            <w:tcW w:w="567" w:type="dxa"/>
            <w:vAlign w:val="center"/>
          </w:tcPr>
          <w:p w14:paraId="429F03BF">
            <w:pPr>
              <w:pStyle w:val="17"/>
              <w:keepNext w:val="0"/>
              <w:keepLines w:val="0"/>
              <w:pageBreakBefore w:val="0"/>
              <w:kinsoku/>
              <w:wordWrap/>
              <w:overflowPunct/>
              <w:topLinePunct w:val="0"/>
              <w:autoSpaceDE/>
              <w:autoSpaceDN/>
              <w:bidi w:val="0"/>
              <w:spacing w:line="280" w:lineRule="exact"/>
              <w:jc w:val="center"/>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30</w:t>
            </w:r>
          </w:p>
        </w:tc>
        <w:tc>
          <w:tcPr>
            <w:tcW w:w="6447" w:type="dxa"/>
            <w:vAlign w:val="center"/>
          </w:tcPr>
          <w:p w14:paraId="1F7E4678">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满足招标文件要求且投标价格最低的有效投标报价（即除低于成本报价以外的报价）为评标基准价。其他</w:t>
            </w:r>
            <w:r>
              <w:rPr>
                <w:rFonts w:hint="eastAsia" w:ascii="仿宋" w:hAnsi="仿宋" w:eastAsia="仿宋" w:cs="仿宋_GB2312"/>
                <w:color w:val="auto"/>
                <w:sz w:val="21"/>
                <w:szCs w:val="21"/>
                <w:highlight w:val="none"/>
                <w:lang w:eastAsia="zh-CN"/>
              </w:rPr>
              <w:t>投标人</w:t>
            </w:r>
            <w:r>
              <w:rPr>
                <w:rFonts w:hint="eastAsia" w:ascii="仿宋" w:hAnsi="仿宋" w:eastAsia="仿宋" w:cs="仿宋_GB2312"/>
                <w:color w:val="auto"/>
                <w:sz w:val="21"/>
                <w:szCs w:val="21"/>
                <w:highlight w:val="none"/>
              </w:rPr>
              <w:t>的价格分统一按照下列公式计算：</w:t>
            </w:r>
          </w:p>
          <w:p w14:paraId="24B811FE">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投标报价得分=（评标基准价/投标报价）×价格满分分值</w:t>
            </w:r>
          </w:p>
          <w:p w14:paraId="280F5C71">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注:因落实政府采购政策进行价格调整的，以调整后的价格参与评审</w:t>
            </w:r>
          </w:p>
        </w:tc>
      </w:tr>
      <w:tr w14:paraId="3BE4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75" w:type="dxa"/>
            <w:vMerge w:val="restart"/>
            <w:tcBorders>
              <w:right w:val="single" w:color="000000" w:sz="4" w:space="0"/>
            </w:tcBorders>
            <w:vAlign w:val="center"/>
          </w:tcPr>
          <w:p w14:paraId="5AF19D17">
            <w:pPr>
              <w:pStyle w:val="17"/>
              <w:keepNext w:val="0"/>
              <w:keepLines w:val="0"/>
              <w:pageBreakBefore w:val="0"/>
              <w:kinsoku/>
              <w:wordWrap/>
              <w:overflowPunct/>
              <w:topLinePunct w:val="0"/>
              <w:autoSpaceDE/>
              <w:autoSpaceDN/>
              <w:bidi w:val="0"/>
              <w:spacing w:line="280" w:lineRule="exact"/>
              <w:ind w:right="-19" w:rightChars="-9"/>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商务部分</w:t>
            </w:r>
          </w:p>
        </w:tc>
        <w:tc>
          <w:tcPr>
            <w:tcW w:w="1134" w:type="dxa"/>
            <w:tcBorders>
              <w:left w:val="single" w:color="000000" w:sz="4" w:space="0"/>
            </w:tcBorders>
            <w:vAlign w:val="center"/>
          </w:tcPr>
          <w:p w14:paraId="5A4AC045">
            <w:pPr>
              <w:pStyle w:val="17"/>
              <w:keepNext w:val="0"/>
              <w:keepLines w:val="0"/>
              <w:pageBreakBefore w:val="0"/>
              <w:kinsoku/>
              <w:wordWrap/>
              <w:overflowPunct/>
              <w:topLinePunct w:val="0"/>
              <w:autoSpaceDE/>
              <w:autoSpaceDN/>
              <w:bidi w:val="0"/>
              <w:spacing w:line="280" w:lineRule="exact"/>
              <w:ind w:right="31" w:rightChars="15"/>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类似项目业绩</w:t>
            </w:r>
          </w:p>
        </w:tc>
        <w:tc>
          <w:tcPr>
            <w:tcW w:w="567" w:type="dxa"/>
            <w:vAlign w:val="center"/>
          </w:tcPr>
          <w:p w14:paraId="4E7B84F8">
            <w:pPr>
              <w:pStyle w:val="17"/>
              <w:keepNext w:val="0"/>
              <w:keepLines w:val="0"/>
              <w:pageBreakBefore w:val="0"/>
              <w:kinsoku/>
              <w:wordWrap/>
              <w:overflowPunct/>
              <w:topLinePunct w:val="0"/>
              <w:autoSpaceDE/>
              <w:autoSpaceDN/>
              <w:bidi w:val="0"/>
              <w:spacing w:line="280" w:lineRule="exact"/>
              <w:jc w:val="center"/>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12</w:t>
            </w:r>
          </w:p>
        </w:tc>
        <w:tc>
          <w:tcPr>
            <w:tcW w:w="6447" w:type="dxa"/>
            <w:vAlign w:val="center"/>
          </w:tcPr>
          <w:p w14:paraId="6D35C3B7">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
                <w:color w:val="auto"/>
                <w:sz w:val="21"/>
                <w:szCs w:val="21"/>
                <w:highlight w:val="none"/>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157DC5EF">
            <w:pPr>
              <w:pStyle w:val="17"/>
              <w:ind w:right="-31" w:rightChars="-15"/>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4FD95E11">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color w:val="auto"/>
                <w:sz w:val="21"/>
                <w:szCs w:val="21"/>
                <w:highlight w:val="none"/>
              </w:rPr>
            </w:pPr>
            <w:r>
              <w:rPr>
                <w:rFonts w:hint="eastAsia" w:ascii="仿宋" w:hAnsi="仿宋" w:eastAsia="仿宋" w:cs="仿宋"/>
                <w:color w:val="auto"/>
                <w:sz w:val="21"/>
                <w:szCs w:val="21"/>
                <w:highlight w:val="none"/>
                <w:lang w:val="en-US" w:eastAsia="zh-CN"/>
              </w:rPr>
              <w:t>2.销售给经销商或代理商等非使用方的销售业绩不予认可。</w:t>
            </w:r>
          </w:p>
        </w:tc>
      </w:tr>
      <w:tr w14:paraId="4E01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75" w:type="dxa"/>
            <w:vMerge w:val="continue"/>
            <w:tcBorders>
              <w:right w:val="single" w:color="000000" w:sz="4" w:space="0"/>
            </w:tcBorders>
            <w:vAlign w:val="center"/>
          </w:tcPr>
          <w:p w14:paraId="711181AD">
            <w:pPr>
              <w:pStyle w:val="17"/>
              <w:keepNext w:val="0"/>
              <w:keepLines w:val="0"/>
              <w:pageBreakBefore w:val="0"/>
              <w:kinsoku/>
              <w:wordWrap/>
              <w:overflowPunct/>
              <w:topLinePunct w:val="0"/>
              <w:autoSpaceDE/>
              <w:autoSpaceDN/>
              <w:bidi w:val="0"/>
              <w:spacing w:line="280" w:lineRule="exact"/>
              <w:ind w:right="-19" w:rightChars="-9"/>
              <w:jc w:val="center"/>
              <w:rPr>
                <w:rFonts w:hint="eastAsia" w:ascii="仿宋" w:hAnsi="仿宋" w:eastAsia="仿宋" w:cs="仿宋_GB2312"/>
                <w:color w:val="auto"/>
                <w:sz w:val="21"/>
                <w:szCs w:val="21"/>
                <w:highlight w:val="none"/>
              </w:rPr>
            </w:pPr>
          </w:p>
        </w:tc>
        <w:tc>
          <w:tcPr>
            <w:tcW w:w="1134" w:type="dxa"/>
            <w:tcBorders>
              <w:left w:val="single" w:color="000000" w:sz="4" w:space="0"/>
            </w:tcBorders>
            <w:shd w:val="clear" w:color="auto" w:fill="auto"/>
            <w:vAlign w:val="center"/>
          </w:tcPr>
          <w:p w14:paraId="24444D58">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政策性加分（节能环保产品）</w:t>
            </w:r>
          </w:p>
        </w:tc>
        <w:tc>
          <w:tcPr>
            <w:tcW w:w="567" w:type="dxa"/>
            <w:shd w:val="clear" w:color="auto" w:fill="auto"/>
            <w:vAlign w:val="center"/>
          </w:tcPr>
          <w:p w14:paraId="2DEF0E25">
            <w:pPr>
              <w:pStyle w:val="17"/>
              <w:spacing w:line="240" w:lineRule="auto"/>
              <w:ind w:right="-31" w:rightChars="-15"/>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w:t>
            </w:r>
          </w:p>
        </w:tc>
        <w:tc>
          <w:tcPr>
            <w:tcW w:w="6447" w:type="dxa"/>
            <w:shd w:val="clear" w:color="auto" w:fill="auto"/>
            <w:vAlign w:val="top"/>
          </w:tcPr>
          <w:p w14:paraId="72889E81">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节能产品（满分0.5分）；</w:t>
            </w:r>
          </w:p>
          <w:p w14:paraId="46A7CD2F">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投标产品（除政府强制采购节能产品外）为节能产品并提供在有效期内的认证证书得0.5分，不提供的不得分；</w:t>
            </w:r>
          </w:p>
          <w:p w14:paraId="1F56EAA8">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环境标志产品（满分0.5分）；</w:t>
            </w:r>
          </w:p>
          <w:p w14:paraId="6A549A78">
            <w:pPr>
              <w:pStyle w:val="17"/>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投标产品为环境标志产品并提供在有效期内的认证证书得0.5分，不提供的不得分。</w:t>
            </w:r>
          </w:p>
          <w:p w14:paraId="590D6D09">
            <w:pPr>
              <w:pStyle w:val="17"/>
              <w:spacing w:line="240" w:lineRule="auto"/>
              <w:ind w:right="-31" w:rightChars="-15"/>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注：</w:t>
            </w:r>
            <w:r>
              <w:rPr>
                <w:rFonts w:hint="eastAsia" w:ascii="仿宋" w:hAnsi="仿宋" w:eastAsia="仿宋" w:cs="仿宋"/>
                <w:color w:val="auto"/>
                <w:sz w:val="21"/>
                <w:szCs w:val="21"/>
                <w:highlight w:val="none"/>
                <w:vertAlign w:val="baseline"/>
                <w:lang w:val="en-US" w:eastAsia="zh-CN"/>
              </w:rPr>
              <w:t>投标产品须为</w:t>
            </w:r>
            <w:r>
              <w:rPr>
                <w:rFonts w:hint="eastAsia" w:ascii="仿宋" w:hAnsi="仿宋" w:eastAsia="仿宋" w:cs="仿宋"/>
                <w:color w:val="auto"/>
                <w:kern w:val="0"/>
                <w:sz w:val="21"/>
                <w:szCs w:val="21"/>
                <w:highlight w:val="none"/>
                <w:lang w:val="en-US" w:eastAsia="zh-CN" w:bidi="ar"/>
              </w:rPr>
              <w:t>第五章采购需求“采购标的物清单”列明的产品，“采购标的物清单”未列明的附属产品不予认可。</w:t>
            </w:r>
          </w:p>
        </w:tc>
      </w:tr>
      <w:tr w14:paraId="1668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5" w:type="dxa"/>
            <w:vMerge w:val="continue"/>
            <w:tcBorders>
              <w:right w:val="single" w:color="000000" w:sz="4" w:space="0"/>
            </w:tcBorders>
            <w:vAlign w:val="center"/>
          </w:tcPr>
          <w:p w14:paraId="01CF6E2C">
            <w:pPr>
              <w:pStyle w:val="17"/>
              <w:keepNext w:val="0"/>
              <w:keepLines w:val="0"/>
              <w:pageBreakBefore w:val="0"/>
              <w:kinsoku/>
              <w:wordWrap/>
              <w:overflowPunct/>
              <w:topLinePunct w:val="0"/>
              <w:autoSpaceDE/>
              <w:autoSpaceDN/>
              <w:bidi w:val="0"/>
              <w:spacing w:line="280" w:lineRule="exact"/>
              <w:ind w:right="-19" w:rightChars="-9"/>
              <w:jc w:val="center"/>
              <w:rPr>
                <w:rFonts w:hint="eastAsia" w:ascii="仿宋" w:hAnsi="仿宋" w:eastAsia="仿宋" w:cs="仿宋_GB2312"/>
                <w:color w:val="auto"/>
                <w:sz w:val="21"/>
                <w:szCs w:val="21"/>
                <w:highlight w:val="none"/>
              </w:rPr>
            </w:pPr>
          </w:p>
        </w:tc>
        <w:tc>
          <w:tcPr>
            <w:tcW w:w="1134" w:type="dxa"/>
            <w:tcBorders>
              <w:left w:val="single" w:color="000000" w:sz="4" w:space="0"/>
            </w:tcBorders>
            <w:vAlign w:val="center"/>
          </w:tcPr>
          <w:p w14:paraId="69D47BB7">
            <w:pPr>
              <w:pStyle w:val="17"/>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质保期</w:t>
            </w:r>
          </w:p>
        </w:tc>
        <w:tc>
          <w:tcPr>
            <w:tcW w:w="567" w:type="dxa"/>
            <w:vAlign w:val="center"/>
          </w:tcPr>
          <w:p w14:paraId="25FA7F28">
            <w:pPr>
              <w:pStyle w:val="17"/>
              <w:keepNext w:val="0"/>
              <w:keepLines w:val="0"/>
              <w:pageBreakBefore w:val="0"/>
              <w:kinsoku/>
              <w:wordWrap/>
              <w:overflowPunct/>
              <w:topLinePunct w:val="0"/>
              <w:autoSpaceDE/>
              <w:autoSpaceDN/>
              <w:bidi w:val="0"/>
              <w:spacing w:line="280" w:lineRule="exact"/>
              <w:jc w:val="center"/>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2</w:t>
            </w:r>
          </w:p>
        </w:tc>
        <w:tc>
          <w:tcPr>
            <w:tcW w:w="6447" w:type="dxa"/>
            <w:vAlign w:val="center"/>
          </w:tcPr>
          <w:p w14:paraId="64686E95">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能够满足项目需求的质保期,质保期每延长1年得1分，最高可得 3分。</w:t>
            </w:r>
          </w:p>
        </w:tc>
      </w:tr>
      <w:tr w14:paraId="1B69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5" w:type="dxa"/>
            <w:vMerge w:val="restart"/>
            <w:tcBorders>
              <w:right w:val="single" w:color="000000" w:sz="4" w:space="0"/>
            </w:tcBorders>
            <w:vAlign w:val="center"/>
          </w:tcPr>
          <w:p w14:paraId="16F7362E">
            <w:pPr>
              <w:pStyle w:val="17"/>
              <w:keepNext w:val="0"/>
              <w:keepLines w:val="0"/>
              <w:pageBreakBefore w:val="0"/>
              <w:kinsoku/>
              <w:wordWrap/>
              <w:overflowPunct/>
              <w:topLinePunct w:val="0"/>
              <w:autoSpaceDE/>
              <w:autoSpaceDN/>
              <w:bidi w:val="0"/>
              <w:spacing w:line="280" w:lineRule="exact"/>
              <w:ind w:right="-19" w:rightChars="-9"/>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技术部分 </w:t>
            </w:r>
          </w:p>
        </w:tc>
        <w:tc>
          <w:tcPr>
            <w:tcW w:w="1134" w:type="dxa"/>
            <w:tcBorders>
              <w:left w:val="single" w:color="000000" w:sz="4" w:space="0"/>
            </w:tcBorders>
            <w:shd w:val="clear" w:color="auto" w:fill="auto"/>
            <w:vAlign w:val="center"/>
          </w:tcPr>
          <w:p w14:paraId="5EB4C6B0">
            <w:pPr>
              <w:pStyle w:val="17"/>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_GB2312"/>
                <w:color w:val="auto"/>
                <w:kern w:val="2"/>
                <w:sz w:val="21"/>
                <w:szCs w:val="21"/>
                <w:highlight w:val="none"/>
                <w:lang w:val="en-US" w:eastAsia="zh-CN" w:bidi="ar-SA"/>
              </w:rPr>
            </w:pPr>
            <w:r>
              <w:rPr>
                <w:rFonts w:hint="eastAsia" w:ascii="仿宋" w:hAnsi="仿宋" w:eastAsia="仿宋" w:cs="仿宋"/>
                <w:color w:val="auto"/>
                <w:sz w:val="21"/>
                <w:szCs w:val="21"/>
                <w:highlight w:val="none"/>
                <w:vertAlign w:val="baseline"/>
              </w:rPr>
              <w:t>需求分析</w:t>
            </w:r>
          </w:p>
        </w:tc>
        <w:tc>
          <w:tcPr>
            <w:tcW w:w="567" w:type="dxa"/>
            <w:shd w:val="clear" w:color="auto" w:fill="auto"/>
            <w:vAlign w:val="center"/>
          </w:tcPr>
          <w:p w14:paraId="1D24F5ED">
            <w:pPr>
              <w:pStyle w:val="17"/>
              <w:keepNext w:val="0"/>
              <w:keepLines w:val="0"/>
              <w:pageBreakBefore w:val="0"/>
              <w:kinsoku/>
              <w:wordWrap/>
              <w:overflowPunct/>
              <w:topLinePunct w:val="0"/>
              <w:autoSpaceDE/>
              <w:autoSpaceDN/>
              <w:bidi w:val="0"/>
              <w:spacing w:line="280" w:lineRule="exact"/>
              <w:jc w:val="center"/>
              <w:rPr>
                <w:rFonts w:hint="default" w:ascii="仿宋" w:hAnsi="仿宋" w:eastAsia="仿宋" w:cs="仿宋_GB2312"/>
                <w:color w:val="auto"/>
                <w:kern w:val="2"/>
                <w:sz w:val="21"/>
                <w:szCs w:val="21"/>
                <w:highlight w:val="none"/>
                <w:lang w:val="en-US" w:eastAsia="zh-CN" w:bidi="ar-SA"/>
              </w:rPr>
            </w:pPr>
            <w:r>
              <w:rPr>
                <w:rFonts w:hint="eastAsia" w:ascii="仿宋" w:hAnsi="仿宋" w:eastAsia="仿宋" w:cs="仿宋_GB2312"/>
                <w:color w:val="auto"/>
                <w:kern w:val="2"/>
                <w:sz w:val="21"/>
                <w:szCs w:val="21"/>
                <w:highlight w:val="none"/>
                <w:lang w:val="en-US" w:eastAsia="zh-CN" w:bidi="ar-SA"/>
              </w:rPr>
              <w:t>4</w:t>
            </w:r>
          </w:p>
        </w:tc>
        <w:tc>
          <w:tcPr>
            <w:tcW w:w="6447" w:type="dxa"/>
            <w:shd w:val="clear" w:color="auto" w:fill="auto"/>
            <w:vAlign w:val="top"/>
          </w:tcPr>
          <w:p w14:paraId="3A5A044C">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根据投标人针对本项目提供的需求分析方案进行评审，方案内容至少包含：（1）本项目业务需求全面分析（2）系统建设需求详细梳理（3）项目建设重点分析（4）项目建设难点分析。</w:t>
            </w:r>
          </w:p>
          <w:p w14:paraId="5CB6BB19">
            <w:pPr>
              <w:pStyle w:val="17"/>
              <w:keepNext w:val="0"/>
              <w:keepLines w:val="0"/>
              <w:pageBreakBefore w:val="0"/>
              <w:kinsoku/>
              <w:wordWrap/>
              <w:overflowPunct/>
              <w:topLinePunct w:val="0"/>
              <w:autoSpaceDE/>
              <w:autoSpaceDN/>
              <w:bidi w:val="0"/>
              <w:spacing w:line="280" w:lineRule="exact"/>
              <w:ind w:right="-31" w:rightChars="-15"/>
              <w:jc w:val="both"/>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方案内容完整齐全，符合项目实际的，得4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7C3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5" w:type="dxa"/>
            <w:vMerge w:val="continue"/>
            <w:tcBorders>
              <w:right w:val="single" w:color="000000" w:sz="4" w:space="0"/>
            </w:tcBorders>
            <w:vAlign w:val="center"/>
          </w:tcPr>
          <w:p w14:paraId="4B81B979">
            <w:pPr>
              <w:pStyle w:val="17"/>
              <w:keepNext w:val="0"/>
              <w:keepLines w:val="0"/>
              <w:pageBreakBefore w:val="0"/>
              <w:kinsoku/>
              <w:wordWrap/>
              <w:overflowPunct/>
              <w:topLinePunct w:val="0"/>
              <w:autoSpaceDE/>
              <w:autoSpaceDN/>
              <w:bidi w:val="0"/>
              <w:spacing w:line="280" w:lineRule="exact"/>
              <w:ind w:right="-19" w:rightChars="-9"/>
              <w:jc w:val="center"/>
              <w:rPr>
                <w:rFonts w:hint="eastAsia" w:ascii="仿宋" w:hAnsi="仿宋" w:eastAsia="仿宋" w:cs="仿宋_GB2312"/>
                <w:color w:val="auto"/>
                <w:sz w:val="21"/>
                <w:szCs w:val="21"/>
                <w:highlight w:val="none"/>
              </w:rPr>
            </w:pPr>
          </w:p>
        </w:tc>
        <w:tc>
          <w:tcPr>
            <w:tcW w:w="1134" w:type="dxa"/>
            <w:tcBorders>
              <w:left w:val="single" w:color="000000" w:sz="4" w:space="0"/>
            </w:tcBorders>
            <w:shd w:val="clear" w:color="auto" w:fill="auto"/>
            <w:vAlign w:val="center"/>
          </w:tcPr>
          <w:p w14:paraId="765A5741">
            <w:pPr>
              <w:pStyle w:val="17"/>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_GB2312"/>
                <w:color w:val="auto"/>
                <w:kern w:val="2"/>
                <w:sz w:val="21"/>
                <w:szCs w:val="21"/>
                <w:highlight w:val="none"/>
                <w:lang w:val="en-US" w:eastAsia="zh-CN" w:bidi="ar-SA"/>
              </w:rPr>
            </w:pPr>
            <w:r>
              <w:rPr>
                <w:rFonts w:hint="eastAsia" w:ascii="仿宋" w:hAnsi="仿宋" w:eastAsia="仿宋" w:cs="仿宋_GB2312"/>
                <w:color w:val="auto"/>
                <w:sz w:val="21"/>
                <w:szCs w:val="21"/>
                <w:highlight w:val="none"/>
                <w:lang w:val="en-US" w:eastAsia="zh-CN"/>
              </w:rPr>
              <w:t>产品符合性</w:t>
            </w:r>
          </w:p>
        </w:tc>
        <w:tc>
          <w:tcPr>
            <w:tcW w:w="567" w:type="dxa"/>
            <w:shd w:val="clear" w:color="auto" w:fill="auto"/>
            <w:vAlign w:val="center"/>
          </w:tcPr>
          <w:p w14:paraId="582D279B">
            <w:pPr>
              <w:pStyle w:val="17"/>
              <w:keepNext w:val="0"/>
              <w:keepLines w:val="0"/>
              <w:pageBreakBefore w:val="0"/>
              <w:kinsoku/>
              <w:wordWrap/>
              <w:overflowPunct/>
              <w:topLinePunct w:val="0"/>
              <w:autoSpaceDE/>
              <w:autoSpaceDN/>
              <w:bidi w:val="0"/>
              <w:spacing w:line="280" w:lineRule="exact"/>
              <w:jc w:val="center"/>
              <w:rPr>
                <w:rFonts w:hint="default" w:ascii="仿宋" w:hAnsi="仿宋" w:eastAsia="仿宋" w:cs="仿宋_GB2312"/>
                <w:color w:val="auto"/>
                <w:kern w:val="2"/>
                <w:sz w:val="21"/>
                <w:szCs w:val="21"/>
                <w:highlight w:val="none"/>
                <w:lang w:val="en-US" w:eastAsia="zh-CN" w:bidi="ar-SA"/>
              </w:rPr>
            </w:pPr>
            <w:r>
              <w:rPr>
                <w:rFonts w:hint="eastAsia" w:ascii="仿宋" w:hAnsi="仿宋" w:eastAsia="仿宋" w:cs="仿宋_GB2312"/>
                <w:color w:val="auto"/>
                <w:sz w:val="21"/>
                <w:szCs w:val="21"/>
                <w:highlight w:val="none"/>
                <w:lang w:val="en-US" w:eastAsia="zh-CN"/>
              </w:rPr>
              <w:t>35</w:t>
            </w:r>
          </w:p>
        </w:tc>
        <w:tc>
          <w:tcPr>
            <w:tcW w:w="6447" w:type="dxa"/>
            <w:shd w:val="clear" w:color="auto" w:fill="auto"/>
            <w:vAlign w:val="top"/>
          </w:tcPr>
          <w:p w14:paraId="2C54936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35分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sz w:val="21"/>
                <w:szCs w:val="21"/>
                <w:highlight w:val="none"/>
                <w:vertAlign w:val="baseline"/>
                <w:lang w:val="en-US" w:eastAsia="zh-CN"/>
              </w:rPr>
              <w:t>带</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vertAlign w:val="baseline"/>
              </w:rPr>
              <w:t>”号</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sz w:val="21"/>
                <w:szCs w:val="21"/>
                <w:highlight w:val="none"/>
                <w:vertAlign w:val="baseline"/>
              </w:rPr>
              <w:t>不满足扣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w:t>
            </w:r>
            <w:r>
              <w:rPr>
                <w:rFonts w:hint="eastAsia" w:ascii="仿宋" w:hAnsi="仿宋" w:eastAsia="仿宋" w:cs="仿宋"/>
                <w:color w:val="auto"/>
                <w:sz w:val="21"/>
                <w:szCs w:val="21"/>
                <w:highlight w:val="none"/>
                <w:vertAlign w:val="baseline"/>
                <w:lang w:val="en-US" w:eastAsia="zh-CN"/>
              </w:rPr>
              <w:t>不带</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vertAlign w:val="baseline"/>
              </w:rPr>
              <w:t>”号</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sz w:val="21"/>
                <w:szCs w:val="21"/>
                <w:highlight w:val="none"/>
                <w:vertAlign w:val="baseline"/>
              </w:rPr>
              <w:t>不满足扣</w:t>
            </w:r>
            <w:r>
              <w:rPr>
                <w:rFonts w:hint="eastAsia" w:ascii="仿宋" w:hAnsi="仿宋" w:eastAsia="仿宋" w:cs="仿宋"/>
                <w:color w:val="auto"/>
                <w:sz w:val="21"/>
                <w:szCs w:val="21"/>
                <w:highlight w:val="none"/>
                <w:vertAlign w:val="baseline"/>
                <w:lang w:val="en-US" w:eastAsia="zh-CN"/>
              </w:rPr>
              <w:t>0.5</w:t>
            </w:r>
            <w:r>
              <w:rPr>
                <w:rFonts w:hint="eastAsia" w:ascii="仿宋" w:hAnsi="仿宋" w:eastAsia="仿宋" w:cs="仿宋"/>
                <w:color w:val="auto"/>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 xml:space="preserve"> </w:t>
            </w:r>
          </w:p>
          <w:p w14:paraId="03084BD6">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val="0"/>
                <w:bCs/>
                <w:color w:val="auto"/>
                <w:kern w:val="0"/>
                <w:sz w:val="21"/>
                <w:szCs w:val="21"/>
                <w:highlight w:val="none"/>
                <w:lang w:val="en-US" w:eastAsia="zh-CN" w:bidi="ar-SA"/>
              </w:rPr>
              <w:t>1、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4FA42014">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2、若制造商公开发布的印刷资料与检测机构出具的检测报告不一致，以检测机构出具的检测报告为准。</w:t>
            </w:r>
          </w:p>
          <w:p w14:paraId="06A5F656">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19B76AC2">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_GB2312"/>
                <w:color w:val="auto"/>
                <w:kern w:val="2"/>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3E5B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75" w:type="dxa"/>
            <w:vMerge w:val="continue"/>
            <w:tcBorders>
              <w:right w:val="single" w:color="000000" w:sz="4" w:space="0"/>
            </w:tcBorders>
            <w:vAlign w:val="center"/>
          </w:tcPr>
          <w:p w14:paraId="1C3EA915">
            <w:pPr>
              <w:pStyle w:val="17"/>
              <w:keepNext w:val="0"/>
              <w:keepLines w:val="0"/>
              <w:pageBreakBefore w:val="0"/>
              <w:kinsoku/>
              <w:wordWrap/>
              <w:overflowPunct/>
              <w:topLinePunct w:val="0"/>
              <w:autoSpaceDE/>
              <w:autoSpaceDN/>
              <w:bidi w:val="0"/>
              <w:spacing w:line="280" w:lineRule="exact"/>
              <w:ind w:right="-19" w:rightChars="-9"/>
              <w:jc w:val="center"/>
              <w:rPr>
                <w:rFonts w:ascii="仿宋" w:hAnsi="仿宋" w:eastAsia="仿宋" w:cs="仿宋_GB2312"/>
                <w:color w:val="auto"/>
                <w:sz w:val="21"/>
                <w:szCs w:val="21"/>
                <w:highlight w:val="none"/>
              </w:rPr>
            </w:pPr>
          </w:p>
        </w:tc>
        <w:tc>
          <w:tcPr>
            <w:tcW w:w="1134" w:type="dxa"/>
            <w:tcBorders>
              <w:left w:val="single" w:color="000000" w:sz="4" w:space="0"/>
            </w:tcBorders>
            <w:shd w:val="clear" w:color="auto" w:fill="auto"/>
            <w:vAlign w:val="center"/>
          </w:tcPr>
          <w:p w14:paraId="73E7247D">
            <w:pPr>
              <w:keepNext w:val="0"/>
              <w:keepLines w:val="0"/>
              <w:pageBreakBefore w:val="0"/>
              <w:widowControl/>
              <w:kinsoku/>
              <w:wordWrap/>
              <w:overflowPunct/>
              <w:topLinePunct w:val="0"/>
              <w:bidi w:val="0"/>
              <w:spacing w:line="340" w:lineRule="exact"/>
              <w:ind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项目实 </w:t>
            </w:r>
          </w:p>
          <w:p w14:paraId="6D00CF37">
            <w:pPr>
              <w:keepNext w:val="0"/>
              <w:keepLines w:val="0"/>
              <w:pageBreakBefore w:val="0"/>
              <w:widowControl/>
              <w:kinsoku/>
              <w:wordWrap/>
              <w:overflowPunct/>
              <w:topLinePunct w:val="0"/>
              <w:bidi w:val="0"/>
              <w:spacing w:line="340" w:lineRule="exact"/>
              <w:ind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施方案</w:t>
            </w:r>
          </w:p>
          <w:p w14:paraId="0EA1EC30">
            <w:pPr>
              <w:keepNext w:val="0"/>
              <w:keepLines w:val="0"/>
              <w:pageBreakBefore w:val="0"/>
              <w:widowControl/>
              <w:kinsoku/>
              <w:wordWrap/>
              <w:overflowPunct/>
              <w:topLinePunct w:val="0"/>
              <w:bidi w:val="0"/>
              <w:spacing w:line="340" w:lineRule="exact"/>
              <w:ind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67" w:type="dxa"/>
            <w:shd w:val="clear" w:color="auto" w:fill="auto"/>
            <w:vAlign w:val="center"/>
          </w:tcPr>
          <w:p w14:paraId="5F5D03ED">
            <w:pPr>
              <w:pStyle w:val="17"/>
              <w:keepNext w:val="0"/>
              <w:keepLines w:val="0"/>
              <w:pageBreakBefore w:val="0"/>
              <w:kinsoku/>
              <w:wordWrap/>
              <w:overflowPunct/>
              <w:topLinePunct w:val="0"/>
              <w:bidi w:val="0"/>
              <w:spacing w:line="340" w:lineRule="exact"/>
              <w:ind w:right="0" w:rightChars="0"/>
              <w:jc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w:t>
            </w:r>
          </w:p>
        </w:tc>
        <w:tc>
          <w:tcPr>
            <w:tcW w:w="6447" w:type="dxa"/>
            <w:shd w:val="clear" w:color="auto" w:fill="auto"/>
            <w:vAlign w:val="center"/>
          </w:tcPr>
          <w:p w14:paraId="574A0ABF">
            <w:pPr>
              <w:keepNext w:val="0"/>
              <w:keepLines w:val="0"/>
              <w:pageBreakBefore w:val="0"/>
              <w:widowControl/>
              <w:suppressLineNumbers w:val="0"/>
              <w:kinsoku/>
              <w:wordWrap/>
              <w:overflowPunct/>
              <w:topLinePunct w:val="0"/>
              <w:bidi w:val="0"/>
              <w:spacing w:line="340" w:lineRule="exact"/>
              <w:ind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根据投标人针对本项目提供的项目实施方案进行评审，方案内容至少包 含：（1）项目部各职能机构设置（2）组织管理体系（3）本项目实施的具体方法与流程（4）项目实施过程环节的注意事项及现场管控措施(5)质量管理体系及措施(6)安全管理体系及措施(7)进度计划方案。</w:t>
            </w:r>
            <w:r>
              <w:rPr>
                <w:rFonts w:hint="eastAsia" w:ascii="仿宋" w:hAnsi="仿宋" w:eastAsia="仿宋" w:cs="仿宋"/>
                <w:color w:val="auto"/>
                <w:sz w:val="21"/>
                <w:szCs w:val="21"/>
                <w:highlight w:val="none"/>
                <w:vertAlign w:val="baseline"/>
                <w:lang w:val="en-US" w:eastAsia="zh-CN"/>
              </w:rPr>
              <w:t>方案内容完整齐全，符合项目实际的，得7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r w14:paraId="25B2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75" w:type="dxa"/>
            <w:vMerge w:val="continue"/>
            <w:tcBorders>
              <w:right w:val="single" w:color="000000" w:sz="4" w:space="0"/>
            </w:tcBorders>
            <w:vAlign w:val="center"/>
          </w:tcPr>
          <w:p w14:paraId="1768DA7C">
            <w:pPr>
              <w:pStyle w:val="17"/>
              <w:keepNext w:val="0"/>
              <w:keepLines w:val="0"/>
              <w:pageBreakBefore w:val="0"/>
              <w:kinsoku/>
              <w:wordWrap/>
              <w:overflowPunct/>
              <w:topLinePunct w:val="0"/>
              <w:autoSpaceDE/>
              <w:autoSpaceDN/>
              <w:bidi w:val="0"/>
              <w:spacing w:line="280" w:lineRule="exact"/>
              <w:ind w:right="-19" w:rightChars="-9"/>
              <w:jc w:val="center"/>
              <w:rPr>
                <w:rFonts w:ascii="仿宋" w:hAnsi="仿宋" w:eastAsia="仿宋" w:cs="仿宋_GB2312"/>
                <w:color w:val="auto"/>
                <w:sz w:val="21"/>
                <w:szCs w:val="21"/>
                <w:highlight w:val="none"/>
              </w:rPr>
            </w:pPr>
          </w:p>
        </w:tc>
        <w:tc>
          <w:tcPr>
            <w:tcW w:w="1134" w:type="dxa"/>
            <w:tcBorders>
              <w:left w:val="single" w:color="000000" w:sz="4" w:space="0"/>
            </w:tcBorders>
            <w:shd w:val="clear" w:color="auto" w:fill="auto"/>
            <w:vAlign w:val="center"/>
          </w:tcPr>
          <w:p w14:paraId="2CD7740C">
            <w:pPr>
              <w:keepNext w:val="0"/>
              <w:keepLines w:val="0"/>
              <w:pageBreakBefore w:val="0"/>
              <w:widowControl/>
              <w:suppressLineNumbers w:val="0"/>
              <w:kinsoku/>
              <w:wordWrap/>
              <w:overflowPunct/>
              <w:topLinePunct w:val="0"/>
              <w:bidi w:val="0"/>
              <w:spacing w:line="340" w:lineRule="exact"/>
              <w:ind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培训方案</w:t>
            </w:r>
          </w:p>
          <w:p w14:paraId="1266ABA1">
            <w:pPr>
              <w:keepNext w:val="0"/>
              <w:keepLines w:val="0"/>
              <w:pageBreakBefore w:val="0"/>
              <w:widowControl/>
              <w:suppressLineNumbers w:val="0"/>
              <w:kinsoku/>
              <w:wordWrap/>
              <w:overflowPunct/>
              <w:topLinePunct w:val="0"/>
              <w:bidi w:val="0"/>
              <w:spacing w:line="340" w:lineRule="exact"/>
              <w:ind w:right="0" w:rightChars="0"/>
              <w:jc w:val="center"/>
              <w:rPr>
                <w:rFonts w:hint="eastAsia" w:ascii="仿宋" w:hAnsi="仿宋" w:eastAsia="仿宋" w:cs="仿宋"/>
                <w:color w:val="auto"/>
                <w:kern w:val="0"/>
                <w:sz w:val="21"/>
                <w:szCs w:val="21"/>
                <w:highlight w:val="none"/>
                <w:lang w:val="en-US" w:eastAsia="zh-CN" w:bidi="ar"/>
              </w:rPr>
            </w:pPr>
          </w:p>
        </w:tc>
        <w:tc>
          <w:tcPr>
            <w:tcW w:w="567" w:type="dxa"/>
            <w:shd w:val="clear" w:color="auto" w:fill="auto"/>
            <w:vAlign w:val="center"/>
          </w:tcPr>
          <w:p w14:paraId="3CD7835D">
            <w:pPr>
              <w:keepNext w:val="0"/>
              <w:keepLines w:val="0"/>
              <w:pageBreakBefore w:val="0"/>
              <w:widowControl/>
              <w:suppressLineNumbers w:val="0"/>
              <w:kinsoku/>
              <w:wordWrap/>
              <w:overflowPunct/>
              <w:topLinePunct w:val="0"/>
              <w:bidi w:val="0"/>
              <w:spacing w:line="340" w:lineRule="exact"/>
              <w:ind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w:t>
            </w:r>
          </w:p>
        </w:tc>
        <w:tc>
          <w:tcPr>
            <w:tcW w:w="6447" w:type="dxa"/>
            <w:shd w:val="clear" w:color="auto" w:fill="auto"/>
            <w:vAlign w:val="center"/>
          </w:tcPr>
          <w:p w14:paraId="29D46235">
            <w:pPr>
              <w:keepNext w:val="0"/>
              <w:keepLines w:val="0"/>
              <w:pageBreakBefore w:val="0"/>
              <w:kinsoku/>
              <w:wordWrap/>
              <w:overflowPunct/>
              <w:topLinePunct w:val="0"/>
              <w:bidi w:val="0"/>
              <w:adjustRightInd w:val="0"/>
              <w:snapToGrid w:val="0"/>
              <w:spacing w:line="340" w:lineRule="exact"/>
              <w:ind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根据投标人针对本项目提供的培训方案进行评审，方案内容至少包含</w:t>
            </w:r>
            <w:r>
              <w:rPr>
                <w:rFonts w:hint="eastAsia" w:ascii="仿宋" w:hAnsi="仿宋" w:eastAsia="仿宋" w:cs="仿宋"/>
                <w:color w:val="auto"/>
                <w:kern w:val="0"/>
                <w:sz w:val="21"/>
                <w:szCs w:val="21"/>
                <w:highlight w:val="none"/>
                <w:lang w:val="en-US" w:eastAsia="zh-CN" w:bidi="ar"/>
              </w:rPr>
              <w:t>①培训计划、②培训内容、③能否保证培训的质量，确保业主项目人员达到相关技术要求、④培训人员的专业性。</w:t>
            </w:r>
            <w:r>
              <w:rPr>
                <w:rFonts w:hint="eastAsia" w:ascii="仿宋" w:hAnsi="仿宋" w:eastAsia="仿宋" w:cs="仿宋"/>
                <w:color w:val="auto"/>
                <w:sz w:val="21"/>
                <w:szCs w:val="21"/>
                <w:highlight w:val="none"/>
                <w:vertAlign w:val="baseline"/>
                <w:lang w:val="en-US" w:eastAsia="zh-CN"/>
              </w:rPr>
              <w:t>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r w14:paraId="7864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continue"/>
            <w:tcBorders>
              <w:right w:val="single" w:color="000000" w:sz="4" w:space="0"/>
            </w:tcBorders>
            <w:vAlign w:val="center"/>
          </w:tcPr>
          <w:p w14:paraId="52B5A795">
            <w:pPr>
              <w:pStyle w:val="17"/>
              <w:keepNext w:val="0"/>
              <w:keepLines w:val="0"/>
              <w:pageBreakBefore w:val="0"/>
              <w:kinsoku/>
              <w:wordWrap/>
              <w:overflowPunct/>
              <w:topLinePunct w:val="0"/>
              <w:autoSpaceDE/>
              <w:autoSpaceDN/>
              <w:bidi w:val="0"/>
              <w:spacing w:line="280" w:lineRule="exact"/>
              <w:ind w:right="-19" w:rightChars="-9"/>
              <w:jc w:val="center"/>
              <w:rPr>
                <w:rFonts w:ascii="仿宋" w:hAnsi="仿宋" w:eastAsia="仿宋" w:cs="仿宋_GB2312"/>
                <w:color w:val="auto"/>
                <w:sz w:val="21"/>
                <w:szCs w:val="21"/>
                <w:highlight w:val="none"/>
              </w:rPr>
            </w:pPr>
          </w:p>
        </w:tc>
        <w:tc>
          <w:tcPr>
            <w:tcW w:w="1134" w:type="dxa"/>
            <w:tcBorders>
              <w:left w:val="single" w:color="000000" w:sz="4" w:space="0"/>
            </w:tcBorders>
            <w:shd w:val="clear" w:color="auto" w:fill="auto"/>
            <w:vAlign w:val="center"/>
          </w:tcPr>
          <w:p w14:paraId="68C047AF">
            <w:pPr>
              <w:keepNext w:val="0"/>
              <w:keepLines w:val="0"/>
              <w:pageBreakBefore w:val="0"/>
              <w:kinsoku/>
              <w:wordWrap/>
              <w:overflowPunct/>
              <w:topLinePunct w:val="0"/>
              <w:bidi w:val="0"/>
              <w:adjustRightInd w:val="0"/>
              <w:snapToGrid w:val="0"/>
              <w:spacing w:line="340" w:lineRule="exact"/>
              <w:ind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售后服务</w:t>
            </w:r>
          </w:p>
        </w:tc>
        <w:tc>
          <w:tcPr>
            <w:tcW w:w="567" w:type="dxa"/>
            <w:shd w:val="clear" w:color="auto" w:fill="auto"/>
            <w:vAlign w:val="center"/>
          </w:tcPr>
          <w:p w14:paraId="62DE339A">
            <w:pPr>
              <w:keepNext w:val="0"/>
              <w:keepLines w:val="0"/>
              <w:pageBreakBefore w:val="0"/>
              <w:kinsoku/>
              <w:wordWrap/>
              <w:overflowPunct/>
              <w:topLinePunct w:val="0"/>
              <w:bidi w:val="0"/>
              <w:adjustRightInd w:val="0"/>
              <w:snapToGrid w:val="0"/>
              <w:spacing w:line="340" w:lineRule="exact"/>
              <w:ind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w:t>
            </w:r>
          </w:p>
        </w:tc>
        <w:tc>
          <w:tcPr>
            <w:tcW w:w="6447" w:type="dxa"/>
            <w:shd w:val="clear" w:color="auto" w:fill="auto"/>
            <w:vAlign w:val="center"/>
          </w:tcPr>
          <w:p w14:paraId="0F9B5D99">
            <w:pPr>
              <w:keepNext w:val="0"/>
              <w:keepLines w:val="0"/>
              <w:pageBreakBefore w:val="0"/>
              <w:kinsoku/>
              <w:wordWrap/>
              <w:overflowPunct/>
              <w:topLinePunct w:val="0"/>
              <w:bidi w:val="0"/>
              <w:adjustRightInd w:val="0"/>
              <w:snapToGrid w:val="0"/>
              <w:spacing w:line="340" w:lineRule="exact"/>
              <w:ind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根据投标人针对本项目提供的售后服务方案进行评审，</w:t>
            </w:r>
            <w:r>
              <w:rPr>
                <w:rFonts w:hint="default" w:ascii="仿宋" w:hAnsi="仿宋" w:eastAsia="仿宋" w:cs="仿宋"/>
                <w:color w:val="auto"/>
                <w:kern w:val="0"/>
                <w:sz w:val="21"/>
                <w:szCs w:val="21"/>
                <w:highlight w:val="none"/>
                <w:lang w:val="en-US" w:eastAsia="zh-CN" w:bidi="ar"/>
              </w:rPr>
              <w:t>方案内容至少包含：（1）</w:t>
            </w:r>
            <w:r>
              <w:rPr>
                <w:rFonts w:hint="eastAsia" w:ascii="仿宋" w:hAnsi="仿宋" w:eastAsia="仿宋" w:cs="仿宋"/>
                <w:color w:val="auto"/>
                <w:kern w:val="0"/>
                <w:sz w:val="21"/>
                <w:szCs w:val="21"/>
                <w:highlight w:val="none"/>
                <w:lang w:val="en-US" w:eastAsia="zh-CN" w:bidi="ar"/>
              </w:rPr>
              <w:t>售后</w:t>
            </w:r>
            <w:r>
              <w:rPr>
                <w:rFonts w:hint="default" w:ascii="仿宋" w:hAnsi="仿宋" w:eastAsia="仿宋" w:cs="仿宋"/>
                <w:color w:val="auto"/>
                <w:kern w:val="0"/>
                <w:sz w:val="21"/>
                <w:szCs w:val="21"/>
                <w:highlight w:val="none"/>
                <w:lang w:val="en-US" w:eastAsia="zh-CN" w:bidi="ar"/>
              </w:rPr>
              <w:t>服务人员配置（2）</w:t>
            </w:r>
            <w:r>
              <w:rPr>
                <w:rFonts w:hint="eastAsia" w:ascii="仿宋" w:hAnsi="仿宋" w:eastAsia="仿宋" w:cs="仿宋"/>
                <w:color w:val="auto"/>
                <w:kern w:val="0"/>
                <w:sz w:val="21"/>
                <w:szCs w:val="21"/>
                <w:highlight w:val="none"/>
                <w:lang w:val="en-US" w:eastAsia="zh-CN" w:bidi="ar"/>
              </w:rPr>
              <w:t>售后</w:t>
            </w:r>
            <w:r>
              <w:rPr>
                <w:rFonts w:hint="default" w:ascii="仿宋" w:hAnsi="仿宋" w:eastAsia="仿宋" w:cs="仿宋"/>
                <w:color w:val="auto"/>
                <w:kern w:val="0"/>
                <w:sz w:val="21"/>
                <w:szCs w:val="21"/>
                <w:highlight w:val="none"/>
                <w:lang w:val="en-US" w:eastAsia="zh-CN" w:bidi="ar"/>
              </w:rPr>
              <w:t>服务内容及计划安排（3）</w:t>
            </w:r>
            <w:r>
              <w:rPr>
                <w:rFonts w:hint="eastAsia" w:ascii="仿宋" w:hAnsi="仿宋" w:eastAsia="仿宋" w:cs="仿宋"/>
                <w:color w:val="auto"/>
                <w:kern w:val="0"/>
                <w:sz w:val="21"/>
                <w:szCs w:val="21"/>
                <w:highlight w:val="none"/>
                <w:lang w:val="en-US" w:eastAsia="zh-CN" w:bidi="ar"/>
              </w:rPr>
              <w:t>售后</w:t>
            </w:r>
            <w:r>
              <w:rPr>
                <w:rFonts w:hint="default" w:ascii="仿宋" w:hAnsi="仿宋" w:eastAsia="仿宋" w:cs="仿宋"/>
                <w:color w:val="auto"/>
                <w:kern w:val="0"/>
                <w:sz w:val="21"/>
                <w:szCs w:val="21"/>
                <w:highlight w:val="none"/>
                <w:lang w:val="en-US" w:eastAsia="zh-CN" w:bidi="ar"/>
              </w:rPr>
              <w:t>服务质量保障措施（4）响应时间及问题处理措施</w:t>
            </w:r>
            <w:r>
              <w:rPr>
                <w:rFonts w:hint="eastAsia" w:ascii="仿宋" w:hAnsi="仿宋" w:eastAsia="仿宋" w:cs="仿宋"/>
                <w:color w:val="auto"/>
                <w:kern w:val="0"/>
                <w:sz w:val="21"/>
                <w:szCs w:val="21"/>
                <w:highlight w:val="none"/>
                <w:lang w:val="en-US" w:eastAsia="zh-CN" w:bidi="ar"/>
              </w:rPr>
              <w:t>（5）</w:t>
            </w:r>
            <w:r>
              <w:rPr>
                <w:rFonts w:hint="eastAsia" w:ascii="仿宋" w:hAnsi="仿宋" w:eastAsia="仿宋" w:cs="仿宋"/>
                <w:color w:val="auto"/>
                <w:sz w:val="21"/>
                <w:szCs w:val="21"/>
                <w:highlight w:val="none"/>
                <w:vertAlign w:val="baseline"/>
                <w:lang w:val="en-US" w:eastAsia="zh-CN"/>
              </w:rPr>
              <w:t>资源保障</w:t>
            </w:r>
            <w:r>
              <w:rPr>
                <w:rFonts w:hint="default"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sz w:val="21"/>
                <w:szCs w:val="21"/>
                <w:highlight w:val="none"/>
                <w:vertAlign w:val="baseline"/>
                <w:lang w:val="en-US" w:eastAsia="zh-CN"/>
              </w:rPr>
              <w:t>方案内容完整齐全，符合项目实际的，得5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bl>
    <w:p w14:paraId="16231C78">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8215D58">
      <w:pPr>
        <w:numPr>
          <w:ilvl w:val="1"/>
          <w:numId w:val="80"/>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评标委员会每位成员独立对每个有效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的投标文件进行评价、打分；然后汇总每个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的得分，计算得分平均值，以平均值由高到低进行排序，按排序顺序推荐中标候选人。分值计算保留小数点后二位，第三位四舍五入。</w:t>
      </w:r>
    </w:p>
    <w:p w14:paraId="4C805057">
      <w:pPr>
        <w:numPr>
          <w:ilvl w:val="1"/>
          <w:numId w:val="80"/>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落实中小企业政府采购政策的价格调整：</w:t>
      </w:r>
    </w:p>
    <w:p w14:paraId="55DC4E59">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，其投标报价扣除</w:t>
      </w:r>
      <w:r>
        <w:rPr>
          <w:rFonts w:hint="eastAsia" w:ascii="仿宋" w:hAnsi="仿宋" w:eastAsia="仿宋" w:cs="仿宋"/>
          <w:color w:val="auto"/>
          <w:sz w:val="24"/>
          <w:highlight w:val="none"/>
          <w:u w:val="single"/>
        </w:rPr>
        <w:t xml:space="preserve"> 10 % </w:t>
      </w:r>
      <w:r>
        <w:rPr>
          <w:rFonts w:hint="eastAsia" w:ascii="仿宋" w:hAnsi="仿宋" w:eastAsia="仿宋" w:cs="仿宋"/>
          <w:color w:val="auto"/>
          <w:sz w:val="24"/>
          <w:highlight w:val="none"/>
        </w:rPr>
        <w:t>后参与评审。对于同时属于小微企业、监狱企业或残疾人福利性单位的，不重复进行投标报价扣除</w:t>
      </w:r>
      <w:r>
        <w:rPr>
          <w:rFonts w:hint="eastAsia" w:ascii="仿宋" w:hAnsi="仿宋" w:eastAsia="仿宋" w:cs="仿宋"/>
          <w:color w:val="auto"/>
          <w:sz w:val="24"/>
          <w:highlight w:val="none"/>
          <w:lang w:val="en-US" w:eastAsia="zh-CN"/>
        </w:rPr>
        <w:t>。</w:t>
      </w:r>
    </w:p>
    <w:p w14:paraId="67345108">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
          <w:b/>
          <w:bCs/>
          <w:color w:val="auto"/>
          <w:sz w:val="24"/>
          <w:highlight w:val="none"/>
          <w:lang w:val="en-US" w:eastAsia="zh-CN"/>
        </w:rPr>
        <w:t>合同总金额</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%以上的联合体或者大中型企业的报价给予</w:t>
      </w:r>
      <w:r>
        <w:rPr>
          <w:rFonts w:hint="eastAsia" w:ascii="仿宋" w:hAnsi="仿宋" w:eastAsia="仿宋" w:cs="仿宋"/>
          <w:color w:val="auto"/>
          <w:sz w:val="24"/>
          <w:highlight w:val="none"/>
          <w:u w:val="single"/>
          <w:lang w:val="en-US" w:eastAsia="zh-CN"/>
        </w:rPr>
        <w:t xml:space="preserve"> 4 </w:t>
      </w:r>
      <w:r>
        <w:rPr>
          <w:rFonts w:hint="eastAsia" w:ascii="仿宋" w:hAnsi="仿宋" w:eastAsia="仿宋" w:cs="仿宋"/>
          <w:color w:val="auto"/>
          <w:sz w:val="24"/>
          <w:highlight w:val="none"/>
          <w:lang w:val="en-US" w:eastAsia="zh-CN"/>
        </w:rPr>
        <w:t>% 的扣除，用扣除后的价格参加评审。</w:t>
      </w:r>
    </w:p>
    <w:p w14:paraId="57EDE963">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00C2E4D0">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残疾人福利性单位按招标文件要求提供了《残疾人福利性单位声明函》（见附件）的，视同小微企业。</w:t>
      </w:r>
    </w:p>
    <w:p w14:paraId="2F063583">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同时属于小型或微型企业、监狱企业、残疾人福利性单位中的两种及以上，将不重复享受小微企业价格扣减的优惠政策。</w:t>
      </w:r>
    </w:p>
    <w:p w14:paraId="7D4FEB91">
      <w:pPr>
        <w:numPr>
          <w:ilvl w:val="1"/>
          <w:numId w:val="80"/>
        </w:numPr>
        <w:spacing w:line="5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节能产品目录或环境标志产品目录或无线局域网产品</w:t>
      </w:r>
    </w:p>
    <w:p w14:paraId="5013696F">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sz w:val="24"/>
          <w:highlight w:val="none"/>
          <w:u w:val="single"/>
          <w:lang w:val="en-US" w:eastAsia="zh-CN"/>
        </w:rPr>
        <w:t>详见本项目详细评审标准</w:t>
      </w:r>
      <w:r>
        <w:rPr>
          <w:rFonts w:hint="eastAsia" w:ascii="仿宋" w:hAnsi="仿宋" w:eastAsia="仿宋" w:cs="仿宋"/>
          <w:color w:val="auto"/>
          <w:sz w:val="24"/>
          <w:highlight w:val="none"/>
          <w:lang w:val="en-US" w:eastAsia="zh-CN"/>
        </w:rPr>
        <w:t>。</w:t>
      </w:r>
    </w:p>
    <w:p w14:paraId="654452CF">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如采购人所采购产品为政府强制采购的节能产品，</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所投产品的品牌及型号必须为清单中有效期内产品并提供证明文件，否则其投标将作为</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被拒绝。</w:t>
      </w:r>
    </w:p>
    <w:p w14:paraId="1775F8A3">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所投产品列入无线局域网产品清单，应提供相关证明，在评标时予以优先采购，具体优惠措施为：</w:t>
      </w:r>
      <w:r>
        <w:rPr>
          <w:rFonts w:hint="eastAsia" w:ascii="仿宋" w:hAnsi="仿宋" w:eastAsia="仿宋" w:cs="仿宋"/>
          <w:color w:val="auto"/>
          <w:sz w:val="24"/>
          <w:highlight w:val="none"/>
          <w:u w:val="single"/>
        </w:rPr>
        <w:t>综合得分相同时排名优先 。</w:t>
      </w:r>
    </w:p>
    <w:p w14:paraId="5D5FD63A">
      <w:pPr>
        <w:numPr>
          <w:ilvl w:val="1"/>
          <w:numId w:val="80"/>
        </w:numPr>
        <w:spacing w:line="500" w:lineRule="exac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本国产品政策</w:t>
      </w:r>
    </w:p>
    <w:p w14:paraId="7B519FEC">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46CBA7AF">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lang w:val="en-US" w:eastAsia="zh-CN"/>
        </w:rPr>
        <w:t>的价格扣除，用扣除后的价格参与评审。对于仅有本国产品参与竞争的政府采购项目，本国产品不享受价格扣除评审优惠。</w:t>
      </w:r>
    </w:p>
    <w:p w14:paraId="65C3AFB4">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
          <w:color w:val="auto"/>
          <w:sz w:val="24"/>
          <w:highlight w:val="none"/>
          <w:u w:val="single"/>
          <w:lang w:val="en-US" w:eastAsia="zh-CN"/>
        </w:rPr>
        <w:t>80%</w:t>
      </w:r>
      <w:r>
        <w:rPr>
          <w:rFonts w:hint="eastAsia" w:ascii="仿宋" w:hAnsi="仿宋" w:eastAsia="仿宋" w:cs="仿宋"/>
          <w:color w:val="auto"/>
          <w:sz w:val="24"/>
          <w:highlight w:val="none"/>
          <w:lang w:val="en-US" w:eastAsia="zh-CN"/>
        </w:rPr>
        <w:t>以上时，且供应商在投标（响应）文件中对此作出承诺，出具《本国产品成本占比承诺函》，则依法对该供应商提供的全部产品给予价格评审优惠，即对该供应商提供的全部产品的总报价给予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lang w:val="en-US" w:eastAsia="zh-CN"/>
        </w:rPr>
        <w:t>的价格扣除，用扣除后的价格参与评审。若供应商所投产品均符合本国产品标准，且已提供《声明函》，可不填写《承诺函》。</w:t>
      </w:r>
    </w:p>
    <w:p w14:paraId="564B303F">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E5C3639">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80"/>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同品牌处理办法：</w:t>
      </w:r>
    </w:p>
    <w:p w14:paraId="3C9EE9B0">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如采用最低评标办法，则：</w:t>
      </w:r>
      <w:r>
        <w:rPr>
          <w:rFonts w:hint="eastAsia" w:ascii="仿宋" w:hAnsi="仿宋" w:eastAsia="仿宋" w:cs="仿宋"/>
          <w:color w:val="auto"/>
          <w:sz w:val="24"/>
          <w:highlight w:val="none"/>
          <w:u w:val="none"/>
        </w:rPr>
        <w:t>提供相同品牌产品</w:t>
      </w:r>
      <w:r>
        <w:rPr>
          <w:rFonts w:hint="eastAsia" w:ascii="仿宋" w:hAnsi="仿宋" w:eastAsia="仿宋" w:cs="仿宋"/>
          <w:color w:val="auto"/>
          <w:sz w:val="24"/>
          <w:highlight w:val="none"/>
          <w:u w:val="none"/>
          <w:lang w:val="en-US" w:eastAsia="zh-CN"/>
        </w:rPr>
        <w:t>（单一产品或核心产品品牌相同）</w:t>
      </w:r>
      <w:r>
        <w:rPr>
          <w:rFonts w:hint="eastAsia" w:ascii="仿宋" w:hAnsi="仿宋" w:eastAsia="仿宋" w:cs="仿宋"/>
          <w:color w:val="auto"/>
          <w:sz w:val="24"/>
          <w:highlight w:val="none"/>
          <w:u w:val="none"/>
        </w:rPr>
        <w:t>的不同</w:t>
      </w:r>
      <w:r>
        <w:rPr>
          <w:rFonts w:hint="eastAsia" w:ascii="仿宋" w:hAnsi="仿宋" w:eastAsia="仿宋" w:cs="仿宋"/>
          <w:color w:val="auto"/>
          <w:sz w:val="24"/>
          <w:highlight w:val="none"/>
          <w:u w:val="none"/>
          <w:lang w:eastAsia="zh-CN"/>
        </w:rPr>
        <w:t>投标人</w:t>
      </w:r>
      <w:r>
        <w:rPr>
          <w:rFonts w:hint="eastAsia" w:ascii="仿宋" w:hAnsi="仿宋" w:eastAsia="仿宋" w:cs="仿宋"/>
          <w:color w:val="auto"/>
          <w:sz w:val="24"/>
          <w:highlight w:val="none"/>
          <w:u w:val="none"/>
        </w:rPr>
        <w:t>以其中通过资格审查、符合性审查且报价最低的参加评标；报价相同的，由评标委员会采取随机抽取方式确定，其他同品牌</w:t>
      </w:r>
      <w:r>
        <w:rPr>
          <w:rFonts w:hint="eastAsia" w:ascii="仿宋" w:hAnsi="仿宋" w:eastAsia="仿宋" w:cs="仿宋"/>
          <w:color w:val="auto"/>
          <w:sz w:val="24"/>
          <w:highlight w:val="none"/>
          <w:u w:val="none"/>
          <w:lang w:eastAsia="zh-CN"/>
        </w:rPr>
        <w:t>投标人</w:t>
      </w:r>
      <w:r>
        <w:rPr>
          <w:rFonts w:hint="eastAsia" w:ascii="仿宋" w:hAnsi="仿宋" w:eastAsia="仿宋" w:cs="仿宋"/>
          <w:color w:val="auto"/>
          <w:sz w:val="24"/>
          <w:highlight w:val="none"/>
          <w:u w:val="none"/>
        </w:rPr>
        <w:t>不作为中标候选人。</w:t>
      </w:r>
    </w:p>
    <w:p w14:paraId="2D95A164">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如采用综合评标法，则：</w:t>
      </w:r>
      <w:r>
        <w:rPr>
          <w:rFonts w:hint="eastAsia" w:ascii="仿宋" w:hAnsi="仿宋" w:eastAsia="仿宋" w:cs="仿宋"/>
          <w:color w:val="auto"/>
          <w:sz w:val="24"/>
          <w:highlight w:val="none"/>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
          <w:color w:val="auto"/>
          <w:sz w:val="24"/>
          <w:highlight w:val="none"/>
          <w:u w:val="none"/>
        </w:rPr>
        <w:t>。</w:t>
      </w:r>
    </w:p>
    <w:p w14:paraId="0C939217">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如一个分包内包含多种产品的，采购人或采购代理机构将在</w:t>
      </w:r>
      <w:r>
        <w:rPr>
          <w:rFonts w:hint="eastAsia" w:ascii="仿宋" w:hAnsi="仿宋" w:eastAsia="仿宋" w:cs="仿宋"/>
          <w:color w:val="auto"/>
          <w:sz w:val="24"/>
          <w:highlight w:val="none"/>
          <w:u w:val="single"/>
          <w:lang w:eastAsia="zh-CN"/>
        </w:rPr>
        <w:t>投标</w:t>
      </w:r>
      <w:r>
        <w:rPr>
          <w:rFonts w:hint="eastAsia" w:ascii="仿宋" w:hAnsi="仿宋" w:eastAsia="仿宋" w:cs="仿宋"/>
          <w:color w:val="auto"/>
          <w:sz w:val="24"/>
          <w:highlight w:val="none"/>
          <w:u w:val="single"/>
        </w:rPr>
        <w:t>须知前附表</w:t>
      </w:r>
      <w:r>
        <w:rPr>
          <w:rFonts w:hint="eastAsia" w:ascii="仿宋" w:hAnsi="仿宋" w:eastAsia="仿宋" w:cs="仿宋"/>
          <w:color w:val="auto"/>
          <w:sz w:val="24"/>
          <w:highlight w:val="none"/>
        </w:rPr>
        <w:t>中载明核心产品，多家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提供的所有核心产品品牌均相同的，按</w:t>
      </w:r>
      <w:r>
        <w:rPr>
          <w:rFonts w:hint="eastAsia" w:ascii="仿宋" w:hAnsi="仿宋" w:eastAsia="仿宋" w:cs="仿宋"/>
          <w:color w:val="auto"/>
          <w:sz w:val="24"/>
          <w:highlight w:val="none"/>
          <w:lang w:val="en-US" w:eastAsia="zh-CN"/>
        </w:rPr>
        <w:t>上述的</w:t>
      </w:r>
      <w:r>
        <w:rPr>
          <w:rFonts w:hint="eastAsia" w:ascii="仿宋" w:hAnsi="仿宋" w:eastAsia="仿宋" w:cs="仿宋"/>
          <w:color w:val="auto"/>
          <w:sz w:val="24"/>
          <w:highlight w:val="none"/>
        </w:rPr>
        <w:t xml:space="preserve">规定处理。 </w:t>
      </w:r>
    </w:p>
    <w:p w14:paraId="548FFFDB">
      <w:pPr>
        <w:numPr>
          <w:ilvl w:val="1"/>
          <w:numId w:val="80"/>
        </w:numPr>
        <w:spacing w:line="500" w:lineRule="exact"/>
        <w:rPr>
          <w:rFonts w:hint="eastAsia" w:ascii="仿宋" w:hAnsi="仿宋" w:eastAsia="仿宋" w:cs="仿宋"/>
          <w:b/>
          <w:bCs/>
          <w:color w:val="auto"/>
          <w:sz w:val="24"/>
          <w:highlight w:val="none"/>
          <w:lang w:val="zh-CN" w:eastAsia="zh-CN"/>
        </w:rPr>
      </w:pPr>
      <w:bookmarkStart w:id="153" w:name="_Toc13511"/>
      <w:r>
        <w:rPr>
          <w:rFonts w:hint="eastAsia" w:ascii="仿宋" w:hAnsi="仿宋" w:eastAsia="仿宋" w:cs="仿宋"/>
          <w:b/>
          <w:bCs/>
          <w:color w:val="auto"/>
          <w:sz w:val="24"/>
          <w:highlight w:val="none"/>
          <w:lang w:val="zh-CN" w:eastAsia="zh-CN"/>
        </w:rPr>
        <w:t>评标得分及复核</w:t>
      </w:r>
      <w:bookmarkEnd w:id="153"/>
    </w:p>
    <w:p w14:paraId="073A56A5">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（4）经评标委员会认定评分畸高、畸低的。</w:t>
      </w:r>
    </w:p>
    <w:p w14:paraId="0FD26D1C">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采购人或者采购代理机构不得通过对样品进行检测、对投标人进行考察等方式改变评审结果。</w:t>
      </w:r>
    </w:p>
    <w:p w14:paraId="0FF9D42E">
      <w:pPr>
        <w:numPr>
          <w:ilvl w:val="1"/>
          <w:numId w:val="80"/>
        </w:num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确定中标候选人名单</w:t>
      </w:r>
    </w:p>
    <w:p w14:paraId="5125C753">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采用综合评分法时，评标结果按评审后得分由高到低顺序排列。得分相同的,</w:t>
      </w:r>
      <w:r>
        <w:rPr>
          <w:rFonts w:hint="eastAsia" w:ascii="仿宋" w:hAnsi="仿宋" w:eastAsia="仿宋" w:cs="仿宋"/>
          <w:color w:val="auto"/>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
          <w:color w:val="auto"/>
          <w:sz w:val="24"/>
          <w:highlight w:val="none"/>
        </w:rPr>
        <w:t>。</w:t>
      </w:r>
    </w:p>
    <w:p w14:paraId="21CF6AD9">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采用最低评标价法时，</w:t>
      </w:r>
      <w:r>
        <w:rPr>
          <w:rFonts w:hint="eastAsia" w:ascii="仿宋" w:hAnsi="仿宋" w:eastAsia="仿宋" w:cs="仿宋"/>
          <w:color w:val="auto"/>
          <w:sz w:val="24"/>
          <w:highlight w:val="none"/>
          <w:lang w:val="en-US" w:eastAsia="zh-CN"/>
        </w:rPr>
        <w:t>评标结果按投标报价由低到高顺序排列。投标报价相同的并列。投标文件满足招标文件全部实质性要求且投标报价最低的投标人为排名第一的中标候选人。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评标委员会将根据各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的评标排序，依次推荐本项目（各采购包）的中标候选人，起草并签署评标报告。本项目（各采购包）评标委员会共（各）推荐三名中标候选人。</w:t>
      </w:r>
    </w:p>
    <w:p w14:paraId="1F98E10E">
      <w:pPr>
        <w:numPr>
          <w:ilvl w:val="1"/>
          <w:numId w:val="80"/>
        </w:numPr>
        <w:spacing w:line="500" w:lineRule="exact"/>
        <w:rPr>
          <w:rFonts w:hint="eastAsia" w:ascii="仿宋" w:hAnsi="仿宋" w:eastAsia="仿宋" w:cs="仿宋"/>
          <w:b/>
          <w:bCs/>
          <w:color w:val="auto"/>
          <w:sz w:val="24"/>
          <w:highlight w:val="none"/>
          <w:lang w:val="zh-CN" w:eastAsia="zh-CN"/>
        </w:rPr>
      </w:pPr>
      <w:bookmarkStart w:id="154" w:name="_Toc21574"/>
      <w:r>
        <w:rPr>
          <w:rFonts w:hint="eastAsia" w:ascii="仿宋" w:hAnsi="仿宋" w:eastAsia="仿宋" w:cs="仿宋"/>
          <w:b/>
          <w:bCs/>
          <w:color w:val="auto"/>
          <w:sz w:val="24"/>
          <w:highlight w:val="none"/>
          <w:lang w:val="zh-CN" w:eastAsia="zh-CN"/>
        </w:rPr>
        <w:t>编写评标报告</w:t>
      </w:r>
      <w:bookmarkEnd w:id="154"/>
    </w:p>
    <w:p w14:paraId="3576CABA">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80"/>
        </w:numPr>
        <w:spacing w:line="500" w:lineRule="exact"/>
        <w:rPr>
          <w:rFonts w:hint="eastAsia" w:ascii="仿宋" w:hAnsi="仿宋" w:eastAsia="仿宋" w:cs="仿宋"/>
          <w:b/>
          <w:bCs/>
          <w:color w:val="auto"/>
          <w:sz w:val="24"/>
          <w:highlight w:val="none"/>
          <w:lang w:val="zh-CN" w:eastAsia="zh-CN"/>
        </w:rPr>
      </w:pPr>
      <w:bookmarkStart w:id="155" w:name="_Toc155185913"/>
      <w:bookmarkStart w:id="156" w:name="_Toc102057717"/>
      <w:bookmarkStart w:id="157" w:name="_Toc163492906"/>
      <w:bookmarkStart w:id="158" w:name="_Toc102119852"/>
      <w:bookmarkStart w:id="159" w:name="_Toc102114919"/>
      <w:bookmarkStart w:id="160" w:name="_Toc102056217"/>
      <w:bookmarkStart w:id="161" w:name="_Toc102116021"/>
      <w:bookmarkStart w:id="162" w:name="_Toc1587"/>
      <w:bookmarkStart w:id="163" w:name="_Toc102116151"/>
      <w:r>
        <w:rPr>
          <w:rFonts w:hint="eastAsia" w:ascii="仿宋" w:hAnsi="仿宋" w:eastAsia="仿宋" w:cs="仿宋"/>
          <w:b/>
          <w:bCs/>
          <w:color w:val="auto"/>
          <w:sz w:val="24"/>
          <w:highlight w:val="none"/>
          <w:lang w:val="en-US" w:eastAsia="zh-CN"/>
        </w:rPr>
        <w:t>投标无效</w:t>
      </w:r>
      <w:r>
        <w:rPr>
          <w:rFonts w:hint="eastAsia" w:ascii="仿宋" w:hAnsi="仿宋" w:eastAsia="仿宋" w:cs="仿宋"/>
          <w:b/>
          <w:bCs/>
          <w:color w:val="auto"/>
          <w:sz w:val="24"/>
          <w:highlight w:val="none"/>
          <w:lang w:val="zh-CN" w:eastAsia="zh-CN"/>
        </w:rPr>
        <w:t>的情形</w:t>
      </w:r>
      <w:bookmarkEnd w:id="155"/>
      <w:bookmarkEnd w:id="156"/>
      <w:bookmarkEnd w:id="157"/>
      <w:bookmarkEnd w:id="158"/>
      <w:bookmarkEnd w:id="159"/>
      <w:bookmarkEnd w:id="160"/>
      <w:bookmarkEnd w:id="161"/>
      <w:bookmarkEnd w:id="162"/>
      <w:bookmarkEnd w:id="163"/>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投标人存在下列情形之一的，</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5C1B2C98">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不具备《中华人民共和国政府采购法》第二十二条规定条件</w:t>
      </w:r>
      <w:r>
        <w:rPr>
          <w:rFonts w:hint="eastAsia" w:ascii="仿宋" w:hAnsi="仿宋" w:eastAsia="仿宋" w:cs="仿宋"/>
          <w:color w:val="auto"/>
          <w:sz w:val="24"/>
          <w:highlight w:val="none"/>
          <w:lang w:val="en-US" w:eastAsia="zh-CN"/>
        </w:rPr>
        <w:t>；</w:t>
      </w:r>
    </w:p>
    <w:p w14:paraId="15C939E8">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投标文件未按招标文件要求签署、盖章的</w:t>
      </w:r>
      <w:r>
        <w:rPr>
          <w:rFonts w:hint="eastAsia" w:ascii="仿宋" w:hAnsi="仿宋" w:eastAsia="仿宋" w:cs="仿宋"/>
          <w:color w:val="auto"/>
          <w:sz w:val="24"/>
          <w:highlight w:val="none"/>
          <w:lang w:val="en-US" w:eastAsia="zh-CN"/>
        </w:rPr>
        <w:t>；</w:t>
      </w:r>
    </w:p>
    <w:p w14:paraId="0A936FC6">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val="zh-CN" w:eastAsia="zh-CN"/>
        </w:rPr>
        <w:t>文件提供虚假材料的</w:t>
      </w:r>
      <w:r>
        <w:rPr>
          <w:rFonts w:hint="eastAsia" w:ascii="仿宋" w:hAnsi="仿宋" w:eastAsia="仿宋" w:cs="仿宋"/>
          <w:color w:val="auto"/>
          <w:sz w:val="24"/>
          <w:highlight w:val="none"/>
          <w:lang w:val="en-US" w:eastAsia="zh-CN"/>
        </w:rPr>
        <w:t>；</w:t>
      </w:r>
    </w:p>
    <w:p w14:paraId="3FDAE166">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val="zh-CN" w:eastAsia="zh-CN"/>
        </w:rPr>
        <w:t>文件不满足</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文件中标注“★”号的实质性条款（或指标）要求的</w:t>
      </w:r>
      <w:r>
        <w:rPr>
          <w:rFonts w:hint="eastAsia" w:ascii="仿宋" w:hAnsi="仿宋" w:eastAsia="仿宋" w:cs="仿宋"/>
          <w:color w:val="auto"/>
          <w:sz w:val="24"/>
          <w:highlight w:val="none"/>
          <w:lang w:val="en-US" w:eastAsia="zh-CN"/>
        </w:rPr>
        <w:t>；</w:t>
      </w:r>
    </w:p>
    <w:p w14:paraId="2C5FC304">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报价超过招标文件中规定的</w:t>
      </w:r>
      <w:r>
        <w:rPr>
          <w:rFonts w:hint="eastAsia" w:ascii="仿宋" w:hAnsi="仿宋" w:eastAsia="仿宋" w:cs="仿宋"/>
          <w:color w:val="auto"/>
          <w:sz w:val="24"/>
          <w:highlight w:val="none"/>
          <w:lang w:val="en-US" w:eastAsia="zh-CN"/>
        </w:rPr>
        <w:t>最高限价或者预算金额</w:t>
      </w:r>
      <w:r>
        <w:rPr>
          <w:rFonts w:hint="eastAsia" w:ascii="仿宋" w:hAnsi="仿宋" w:eastAsia="仿宋" w:cs="仿宋"/>
          <w:color w:val="auto"/>
          <w:sz w:val="24"/>
          <w:highlight w:val="none"/>
          <w:lang w:val="zh-CN" w:eastAsia="zh-CN"/>
        </w:rPr>
        <w:t>的</w:t>
      </w:r>
      <w:r>
        <w:rPr>
          <w:rFonts w:hint="eastAsia" w:ascii="仿宋" w:hAnsi="仿宋" w:eastAsia="仿宋" w:cs="仿宋"/>
          <w:color w:val="auto"/>
          <w:sz w:val="24"/>
          <w:highlight w:val="none"/>
          <w:lang w:val="en-US" w:eastAsia="zh-CN"/>
        </w:rPr>
        <w:t>；</w:t>
      </w:r>
    </w:p>
    <w:p w14:paraId="6FC2A54F">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联合体的供应商未提交各方共同签署的</w:t>
      </w:r>
      <w:r>
        <w:rPr>
          <w:rFonts w:hint="eastAsia" w:ascii="仿宋" w:hAnsi="仿宋" w:eastAsia="仿宋" w:cs="仿宋"/>
          <w:color w:val="auto"/>
          <w:sz w:val="24"/>
          <w:highlight w:val="none"/>
          <w:lang w:val="en-US" w:eastAsia="zh-CN"/>
        </w:rPr>
        <w:t>联合体</w:t>
      </w:r>
      <w:r>
        <w:rPr>
          <w:rFonts w:hint="eastAsia" w:ascii="仿宋" w:hAnsi="仿宋" w:eastAsia="仿宋" w:cs="仿宋"/>
          <w:color w:val="auto"/>
          <w:sz w:val="24"/>
          <w:highlight w:val="none"/>
          <w:lang w:val="zh-CN" w:eastAsia="zh-CN"/>
        </w:rPr>
        <w:t>协议</w:t>
      </w:r>
      <w:r>
        <w:rPr>
          <w:rFonts w:hint="eastAsia" w:ascii="仿宋" w:hAnsi="仿宋" w:eastAsia="仿宋" w:cs="仿宋"/>
          <w:color w:val="auto"/>
          <w:sz w:val="24"/>
          <w:highlight w:val="none"/>
          <w:lang w:val="en-US" w:eastAsia="zh-CN"/>
        </w:rPr>
        <w:t>的；</w:t>
      </w:r>
    </w:p>
    <w:p w14:paraId="4D1E7850">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未按</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w:t>
      </w:r>
      <w:r>
        <w:rPr>
          <w:rFonts w:hint="eastAsia" w:ascii="仿宋" w:hAnsi="仿宋" w:eastAsia="仿宋" w:cs="仿宋"/>
          <w:color w:val="auto"/>
          <w:sz w:val="24"/>
          <w:highlight w:val="none"/>
          <w:lang w:val="en-US" w:eastAsia="zh-CN"/>
        </w:rPr>
        <w:t>的规定</w:t>
      </w:r>
      <w:r>
        <w:rPr>
          <w:rFonts w:hint="eastAsia" w:ascii="仿宋" w:hAnsi="仿宋" w:eastAsia="仿宋" w:cs="仿宋"/>
          <w:color w:val="auto"/>
          <w:sz w:val="24"/>
          <w:highlight w:val="none"/>
          <w:lang w:val="zh-CN" w:eastAsia="zh-CN"/>
        </w:rPr>
        <w:t>交纳投标保证金</w:t>
      </w:r>
      <w:r>
        <w:rPr>
          <w:rFonts w:hint="eastAsia" w:ascii="仿宋" w:hAnsi="仿宋" w:eastAsia="仿宋" w:cs="仿宋"/>
          <w:color w:val="auto"/>
          <w:sz w:val="24"/>
          <w:highlight w:val="none"/>
          <w:lang w:val="en-US" w:eastAsia="zh-CN"/>
        </w:rPr>
        <w:t>的；</w:t>
      </w:r>
    </w:p>
    <w:p w14:paraId="149A35CB">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评审期间,</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没有按评标委员会的要求提交经授权代表签字的澄清、说明、补正或改变了</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val="zh-CN" w:eastAsia="zh-CN"/>
        </w:rPr>
        <w:t>文件的实质性内容</w:t>
      </w:r>
      <w:r>
        <w:rPr>
          <w:rFonts w:hint="eastAsia" w:ascii="仿宋" w:hAnsi="仿宋" w:eastAsia="仿宋" w:cs="仿宋"/>
          <w:color w:val="auto"/>
          <w:sz w:val="24"/>
          <w:highlight w:val="none"/>
          <w:lang w:val="en-US" w:eastAsia="zh-CN"/>
        </w:rPr>
        <w:t>的；</w:t>
      </w:r>
    </w:p>
    <w:p w14:paraId="19EFB935">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对采购人、采购代理机构、评标委员会及其工作人员施加影响,有碍公平、公正</w:t>
      </w:r>
      <w:r>
        <w:rPr>
          <w:rFonts w:hint="eastAsia" w:ascii="仿宋" w:hAnsi="仿宋" w:eastAsia="仿宋" w:cs="仿宋"/>
          <w:color w:val="auto"/>
          <w:sz w:val="24"/>
          <w:highlight w:val="none"/>
          <w:lang w:val="en-US" w:eastAsia="zh-CN"/>
        </w:rPr>
        <w:t>的；</w:t>
      </w:r>
    </w:p>
    <w:p w14:paraId="3A6B2386">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投标文件含有采购人不能接受的附加条件的；</w:t>
      </w:r>
    </w:p>
    <w:p w14:paraId="3764E979">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法律、法规、规章规定属于</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val="zh-CN" w:eastAsia="zh-CN"/>
        </w:rPr>
        <w:t>无效的其他情形。</w:t>
      </w:r>
    </w:p>
    <w:p w14:paraId="601D7976">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有下列情形之一的，视为投标人串通投标，其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5E2F9117">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48"/>
        <w:keepNext w:val="0"/>
        <w:keepLines w:val="0"/>
        <w:pageBreakBefore w:val="0"/>
        <w:widowControl w:val="0"/>
        <w:numPr>
          <w:ilvl w:val="0"/>
          <w:numId w:val="81"/>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80"/>
        </w:numPr>
        <w:spacing w:line="500" w:lineRule="exact"/>
        <w:rPr>
          <w:rFonts w:hint="eastAsia" w:ascii="仿宋" w:hAnsi="仿宋" w:eastAsia="仿宋" w:cs="仿宋"/>
          <w:b/>
          <w:bCs/>
          <w:color w:val="auto"/>
          <w:sz w:val="24"/>
          <w:highlight w:val="none"/>
          <w:lang w:val="zh-CN" w:eastAsia="zh-CN"/>
        </w:rPr>
      </w:pPr>
      <w:bookmarkStart w:id="164" w:name="_Toc163492907"/>
      <w:bookmarkStart w:id="165" w:name="_Toc102116022"/>
      <w:bookmarkStart w:id="166" w:name="_Toc102057718"/>
      <w:bookmarkStart w:id="167" w:name="_Toc102056218"/>
      <w:bookmarkStart w:id="168" w:name="_Toc102114920"/>
      <w:bookmarkStart w:id="169" w:name="_Toc102119853"/>
      <w:bookmarkStart w:id="170" w:name="_Toc155185914"/>
      <w:bookmarkStart w:id="171" w:name="_Toc12911"/>
      <w:bookmarkStart w:id="172" w:name="_Toc102116152"/>
      <w:r>
        <w:rPr>
          <w:rFonts w:hint="eastAsia" w:ascii="仿宋" w:hAnsi="仿宋" w:eastAsia="仿宋" w:cs="仿宋"/>
          <w:b/>
          <w:bCs/>
          <w:color w:val="auto"/>
          <w:sz w:val="24"/>
          <w:highlight w:val="none"/>
          <w:lang w:val="zh-CN" w:eastAsia="zh-CN"/>
        </w:rPr>
        <w:t>停止评标的情形</w:t>
      </w:r>
      <w:bookmarkEnd w:id="164"/>
      <w:bookmarkEnd w:id="165"/>
      <w:bookmarkEnd w:id="166"/>
      <w:bookmarkEnd w:id="167"/>
      <w:bookmarkEnd w:id="168"/>
      <w:bookmarkEnd w:id="169"/>
      <w:bookmarkEnd w:id="170"/>
      <w:bookmarkEnd w:id="171"/>
      <w:bookmarkEnd w:id="172"/>
    </w:p>
    <w:p w14:paraId="190044DE">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80"/>
        </w:numPr>
        <w:spacing w:line="500" w:lineRule="exact"/>
        <w:rPr>
          <w:rFonts w:hint="eastAsia" w:ascii="仿宋" w:hAnsi="仿宋" w:eastAsia="仿宋" w:cs="仿宋"/>
          <w:b/>
          <w:bCs/>
          <w:color w:val="auto"/>
          <w:sz w:val="24"/>
          <w:highlight w:val="none"/>
          <w:lang w:val="zh-CN" w:eastAsia="zh-CN"/>
        </w:rPr>
      </w:pPr>
      <w:bookmarkStart w:id="173" w:name="_Toc21922"/>
      <w:r>
        <w:rPr>
          <w:rFonts w:hint="eastAsia" w:ascii="仿宋" w:hAnsi="仿宋" w:eastAsia="仿宋" w:cs="仿宋"/>
          <w:b/>
          <w:bCs/>
          <w:color w:val="auto"/>
          <w:sz w:val="24"/>
          <w:highlight w:val="none"/>
          <w:lang w:val="zh-CN" w:eastAsia="zh-CN"/>
        </w:rPr>
        <w:t>重新开展采购</w:t>
      </w:r>
      <w:bookmarkEnd w:id="173"/>
    </w:p>
    <w:p w14:paraId="461B653A">
      <w:pPr>
        <w:keepNext w:val="0"/>
        <w:keepLines w:val="0"/>
        <w:pageBreakBefore w:val="0"/>
        <w:widowControl w:val="0"/>
        <w:numPr>
          <w:ilvl w:val="2"/>
          <w:numId w:val="8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82"/>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未确定中标供应商的，终止本次政府采购活动，重新开展政府采购活动。</w:t>
      </w:r>
    </w:p>
    <w:p w14:paraId="0447B390">
      <w:pPr>
        <w:keepNext w:val="0"/>
        <w:keepLines w:val="0"/>
        <w:pageBreakBefore w:val="0"/>
        <w:widowControl w:val="0"/>
        <w:numPr>
          <w:ilvl w:val="0"/>
          <w:numId w:val="82"/>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82"/>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82"/>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政府采购合同已经履行，给采购人、供应商造成损失的，由责任人承担赔偿责任。</w:t>
      </w:r>
    </w:p>
    <w:p w14:paraId="06D7E97D">
      <w:pPr>
        <w:keepNext w:val="0"/>
        <w:keepLines w:val="0"/>
        <w:pageBreakBefore w:val="0"/>
        <w:widowControl w:val="0"/>
        <w:numPr>
          <w:ilvl w:val="0"/>
          <w:numId w:val="82"/>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5954088">
      <w:pPr>
        <w:pStyle w:val="2"/>
        <w:numPr>
          <w:ilvl w:val="0"/>
          <w:numId w:val="1"/>
        </w:numPr>
        <w:jc w:val="center"/>
        <w:rPr>
          <w:rFonts w:hint="eastAsia" w:ascii="仿宋" w:hAnsi="仿宋" w:eastAsia="仿宋" w:cs="仿宋"/>
          <w:color w:val="auto"/>
          <w:sz w:val="32"/>
          <w:szCs w:val="32"/>
          <w:highlight w:val="none"/>
        </w:rPr>
      </w:pPr>
      <w:bookmarkStart w:id="174" w:name="_Toc16309"/>
      <w:r>
        <w:rPr>
          <w:rFonts w:hint="eastAsia" w:ascii="仿宋" w:hAnsi="仿宋" w:eastAsia="仿宋" w:cs="仿宋"/>
          <w:color w:val="auto"/>
          <w:sz w:val="32"/>
          <w:szCs w:val="32"/>
          <w:highlight w:val="none"/>
        </w:rPr>
        <w:t>投标文件格式</w:t>
      </w:r>
      <w:bookmarkEnd w:id="174"/>
    </w:p>
    <w:p w14:paraId="4E91B30A">
      <w:pPr>
        <w:spacing w:line="500" w:lineRule="exact"/>
        <w:rPr>
          <w:rFonts w:hint="eastAsia" w:ascii="仿宋" w:hAnsi="仿宋" w:eastAsia="仿宋" w:cs="仿宋"/>
          <w:color w:val="auto"/>
          <w:sz w:val="24"/>
          <w:highlight w:val="none"/>
        </w:rPr>
      </w:pPr>
    </w:p>
    <w:p w14:paraId="2EB71218">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编制文件须知</w:t>
      </w:r>
    </w:p>
    <w:p w14:paraId="29E7D89F">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为保证评标工作的顺利进行，各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需参照如下的格式，认真进行投标文件的编写工作。需建立详细的目录。</w:t>
      </w:r>
    </w:p>
    <w:p w14:paraId="5D6ECB34">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提交文件中涉及商业机密的，应明确标明，采购人及最终用户将给予保密处理，否则视为公开资料。</w:t>
      </w:r>
    </w:p>
    <w:p w14:paraId="59B04E53">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全部声明和问题的回答及所附材料必须是真实的、准确的和完整的。</w:t>
      </w:r>
    </w:p>
    <w:p w14:paraId="5D107BE7">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8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hint="eastAsia" w:ascii="仿宋" w:hAnsi="仿宋" w:eastAsia="仿宋" w:cs="仿宋"/>
          <w:color w:val="auto"/>
          <w:sz w:val="24"/>
          <w:highlight w:val="none"/>
        </w:rPr>
      </w:pPr>
    </w:p>
    <w:p w14:paraId="05C2B56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B22D780">
      <w:pPr>
        <w:widowControl/>
        <w:jc w:val="left"/>
        <w:rPr>
          <w:rFonts w:hint="eastAsia" w:ascii="仿宋" w:hAnsi="仿宋" w:eastAsia="仿宋" w:cs="仿宋"/>
          <w:b/>
          <w:bCs/>
          <w:color w:val="auto"/>
          <w:kern w:val="0"/>
          <w:sz w:val="24"/>
          <w:highlight w:val="none"/>
          <w:lang w:bidi="ar"/>
        </w:rPr>
      </w:pPr>
    </w:p>
    <w:p w14:paraId="69F2A576">
      <w:pPr>
        <w:widowControl/>
        <w:jc w:val="left"/>
        <w:outlineLvl w:val="1"/>
        <w:rPr>
          <w:rFonts w:hint="eastAsia" w:ascii="仿宋" w:hAnsi="仿宋" w:eastAsia="仿宋" w:cs="仿宋"/>
          <w:b/>
          <w:bCs/>
          <w:color w:val="auto"/>
          <w:kern w:val="0"/>
          <w:sz w:val="24"/>
          <w:highlight w:val="none"/>
          <w:lang w:bidi="ar"/>
        </w:rPr>
      </w:pPr>
      <w:bookmarkStart w:id="175" w:name="_Toc10196"/>
      <w:bookmarkStart w:id="176" w:name="_Toc2987"/>
      <w:r>
        <w:rPr>
          <w:rFonts w:hint="eastAsia" w:ascii="仿宋" w:hAnsi="仿宋" w:eastAsia="仿宋" w:cs="仿宋"/>
          <w:b/>
          <w:bCs/>
          <w:color w:val="auto"/>
          <w:kern w:val="0"/>
          <w:sz w:val="24"/>
          <w:highlight w:val="none"/>
          <w:lang w:bidi="ar"/>
        </w:rPr>
        <w:t>投标文件封面（参考格式）</w:t>
      </w:r>
      <w:bookmarkEnd w:id="175"/>
      <w:bookmarkEnd w:id="176"/>
    </w:p>
    <w:p w14:paraId="2699980B">
      <w:pPr>
        <w:widowControl/>
        <w:jc w:val="left"/>
        <w:rPr>
          <w:rFonts w:hint="eastAsia" w:ascii="仿宋" w:hAnsi="仿宋" w:eastAsia="仿宋" w:cs="仿宋"/>
          <w:b/>
          <w:bCs/>
          <w:color w:val="auto"/>
          <w:kern w:val="0"/>
          <w:sz w:val="84"/>
          <w:szCs w:val="84"/>
          <w:highlight w:val="none"/>
          <w:lang w:bidi="ar"/>
        </w:rPr>
      </w:pPr>
    </w:p>
    <w:p w14:paraId="4B41F86D">
      <w:pPr>
        <w:widowControl/>
        <w:jc w:val="left"/>
        <w:rPr>
          <w:rFonts w:hint="eastAsia" w:ascii="仿宋" w:hAnsi="仿宋" w:eastAsia="仿宋" w:cs="仿宋"/>
          <w:b/>
          <w:bCs/>
          <w:color w:val="auto"/>
          <w:kern w:val="0"/>
          <w:sz w:val="84"/>
          <w:szCs w:val="84"/>
          <w:highlight w:val="none"/>
          <w:lang w:bidi="ar"/>
        </w:rPr>
      </w:pPr>
    </w:p>
    <w:p w14:paraId="252B1542">
      <w:pPr>
        <w:widowControl/>
        <w:jc w:val="center"/>
        <w:rPr>
          <w:rFonts w:hint="eastAsia" w:ascii="仿宋" w:hAnsi="仿宋" w:eastAsia="仿宋" w:cs="仿宋"/>
          <w:color w:val="auto"/>
          <w:highlight w:val="none"/>
        </w:rPr>
      </w:pPr>
      <w:r>
        <w:rPr>
          <w:rFonts w:hint="eastAsia" w:ascii="仿宋" w:hAnsi="仿宋" w:eastAsia="仿宋" w:cs="仿宋"/>
          <w:b/>
          <w:bCs/>
          <w:color w:val="auto"/>
          <w:kern w:val="0"/>
          <w:sz w:val="84"/>
          <w:szCs w:val="84"/>
          <w:highlight w:val="none"/>
          <w:lang w:bidi="ar"/>
        </w:rPr>
        <w:t>投标文件</w:t>
      </w:r>
    </w:p>
    <w:p w14:paraId="51A0FD39">
      <w:pPr>
        <w:widowControl/>
        <w:jc w:val="left"/>
        <w:rPr>
          <w:rFonts w:hint="eastAsia" w:ascii="仿宋" w:hAnsi="仿宋" w:eastAsia="仿宋" w:cs="仿宋"/>
          <w:b/>
          <w:bCs/>
          <w:color w:val="auto"/>
          <w:kern w:val="0"/>
          <w:sz w:val="52"/>
          <w:szCs w:val="52"/>
          <w:highlight w:val="none"/>
          <w:lang w:bidi="ar"/>
        </w:rPr>
      </w:pPr>
    </w:p>
    <w:p w14:paraId="249282D5">
      <w:pPr>
        <w:widowControl/>
        <w:jc w:val="left"/>
        <w:rPr>
          <w:rFonts w:hint="eastAsia" w:ascii="仿宋" w:hAnsi="仿宋" w:eastAsia="仿宋" w:cs="仿宋"/>
          <w:b/>
          <w:bCs/>
          <w:color w:val="auto"/>
          <w:kern w:val="0"/>
          <w:sz w:val="52"/>
          <w:szCs w:val="52"/>
          <w:highlight w:val="none"/>
          <w:lang w:bidi="ar"/>
        </w:rPr>
      </w:pPr>
    </w:p>
    <w:p w14:paraId="6465AFF7">
      <w:pPr>
        <w:widowControl/>
        <w:jc w:val="left"/>
        <w:rPr>
          <w:rFonts w:hint="eastAsia" w:ascii="仿宋" w:hAnsi="仿宋" w:eastAsia="仿宋" w:cs="仿宋"/>
          <w:color w:val="auto"/>
          <w:highlight w:val="none"/>
        </w:rPr>
      </w:pPr>
      <w:r>
        <w:rPr>
          <w:rFonts w:hint="eastAsia" w:ascii="仿宋" w:hAnsi="仿宋" w:eastAsia="仿宋" w:cs="仿宋"/>
          <w:b/>
          <w:bCs/>
          <w:color w:val="auto"/>
          <w:kern w:val="0"/>
          <w:sz w:val="52"/>
          <w:szCs w:val="52"/>
          <w:highlight w:val="none"/>
          <w:lang w:bidi="ar"/>
        </w:rPr>
        <w:t xml:space="preserve"> </w:t>
      </w:r>
    </w:p>
    <w:p w14:paraId="1FF8BE17">
      <w:pPr>
        <w:widowControl/>
        <w:jc w:val="left"/>
        <w:rPr>
          <w:rFonts w:hint="eastAsia" w:ascii="仿宋" w:hAnsi="仿宋" w:eastAsia="仿宋" w:cs="仿宋"/>
          <w:b/>
          <w:bCs/>
          <w:color w:val="auto"/>
          <w:kern w:val="0"/>
          <w:sz w:val="31"/>
          <w:szCs w:val="31"/>
          <w:highlight w:val="none"/>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kern w:val="0"/>
          <w:sz w:val="31"/>
          <w:szCs w:val="31"/>
          <w:highlight w:val="none"/>
          <w:lang w:bidi="ar"/>
        </w:rPr>
      </w:pPr>
      <w:r>
        <w:rPr>
          <w:rFonts w:hint="eastAsia" w:ascii="仿宋" w:hAnsi="仿宋" w:eastAsia="仿宋" w:cs="仿宋"/>
          <w:b/>
          <w:bCs/>
          <w:color w:val="auto"/>
          <w:kern w:val="0"/>
          <w:sz w:val="31"/>
          <w:szCs w:val="31"/>
          <w:highlight w:val="none"/>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val="en-US" w:eastAsia="zh-CN" w:bidi="ar"/>
        </w:rPr>
        <w:t>标项名称：</w:t>
      </w:r>
      <w:r>
        <w:rPr>
          <w:rFonts w:hint="eastAsia" w:ascii="仿宋" w:hAnsi="仿宋" w:eastAsia="仿宋" w:cs="仿宋"/>
          <w:b/>
          <w:bCs/>
          <w:color w:val="auto"/>
          <w:kern w:val="0"/>
          <w:sz w:val="31"/>
          <w:szCs w:val="31"/>
          <w:highlight w:val="none"/>
          <w:lang w:bidi="ar"/>
        </w:rPr>
        <w:t xml:space="preserve"> </w:t>
      </w:r>
    </w:p>
    <w:p w14:paraId="6E3EB88D">
      <w:pPr>
        <w:widowControl/>
        <w:jc w:val="left"/>
        <w:rPr>
          <w:rFonts w:hint="eastAsia" w:ascii="仿宋" w:hAnsi="仿宋" w:eastAsia="仿宋" w:cs="仿宋"/>
          <w:color w:val="auto"/>
          <w:highlight w:val="none"/>
          <w:lang w:val="en-US" w:eastAsia="zh-CN"/>
        </w:rPr>
      </w:pPr>
      <w:r>
        <w:rPr>
          <w:rFonts w:hint="eastAsia" w:ascii="仿宋" w:hAnsi="仿宋" w:eastAsia="仿宋" w:cs="仿宋"/>
          <w:b/>
          <w:bCs/>
          <w:color w:val="auto"/>
          <w:kern w:val="0"/>
          <w:sz w:val="31"/>
          <w:szCs w:val="31"/>
          <w:highlight w:val="none"/>
          <w:lang w:val="en-US" w:eastAsia="zh-CN" w:bidi="ar"/>
        </w:rPr>
        <w:t>标    项：第</w:t>
      </w:r>
      <w:r>
        <w:rPr>
          <w:rFonts w:hint="eastAsia" w:ascii="仿宋" w:hAnsi="仿宋" w:eastAsia="仿宋" w:cs="仿宋"/>
          <w:b/>
          <w:bCs/>
          <w:color w:val="auto"/>
          <w:kern w:val="0"/>
          <w:sz w:val="31"/>
          <w:szCs w:val="31"/>
          <w:highlight w:val="none"/>
          <w:u w:val="single"/>
          <w:lang w:val="en-US" w:eastAsia="zh-CN" w:bidi="ar"/>
        </w:rPr>
        <w:t xml:space="preserve">   </w:t>
      </w:r>
      <w:r>
        <w:rPr>
          <w:rFonts w:hint="eastAsia" w:ascii="仿宋" w:hAnsi="仿宋" w:eastAsia="仿宋" w:cs="仿宋"/>
          <w:b/>
          <w:bCs/>
          <w:color w:val="auto"/>
          <w:kern w:val="0"/>
          <w:sz w:val="31"/>
          <w:szCs w:val="31"/>
          <w:highlight w:val="none"/>
          <w:lang w:val="en-US" w:eastAsia="zh-CN" w:bidi="ar"/>
        </w:rPr>
        <w:t>标项</w:t>
      </w:r>
    </w:p>
    <w:p w14:paraId="39F7420A">
      <w:pPr>
        <w:widowControl/>
        <w:jc w:val="left"/>
        <w:rPr>
          <w:rFonts w:hint="eastAsia" w:ascii="仿宋" w:hAnsi="仿宋" w:eastAsia="仿宋" w:cs="仿宋"/>
          <w:b/>
          <w:bCs/>
          <w:color w:val="auto"/>
          <w:kern w:val="0"/>
          <w:sz w:val="31"/>
          <w:szCs w:val="31"/>
          <w:highlight w:val="none"/>
          <w:lang w:bidi="ar"/>
        </w:rPr>
      </w:pPr>
    </w:p>
    <w:p w14:paraId="7C9DA8C4">
      <w:pPr>
        <w:widowControl/>
        <w:jc w:val="left"/>
        <w:rPr>
          <w:rFonts w:hint="eastAsia" w:ascii="仿宋" w:hAnsi="仿宋" w:eastAsia="仿宋" w:cs="仿宋"/>
          <w:b/>
          <w:bCs/>
          <w:color w:val="auto"/>
          <w:kern w:val="0"/>
          <w:sz w:val="31"/>
          <w:szCs w:val="31"/>
          <w:highlight w:val="none"/>
          <w:lang w:bidi="ar"/>
        </w:rPr>
      </w:pPr>
    </w:p>
    <w:p w14:paraId="69EA28A5">
      <w:pPr>
        <w:widowControl/>
        <w:jc w:val="left"/>
        <w:rPr>
          <w:rFonts w:hint="eastAsia" w:ascii="仿宋" w:hAnsi="仿宋" w:eastAsia="仿宋" w:cs="仿宋"/>
          <w:b/>
          <w:bCs/>
          <w:color w:val="auto"/>
          <w:kern w:val="0"/>
          <w:sz w:val="31"/>
          <w:szCs w:val="31"/>
          <w:highlight w:val="none"/>
          <w:lang w:bidi="ar"/>
        </w:rPr>
      </w:pPr>
    </w:p>
    <w:p w14:paraId="0EB41310">
      <w:pPr>
        <w:widowControl/>
        <w:jc w:val="left"/>
        <w:rPr>
          <w:rFonts w:hint="eastAsia" w:ascii="仿宋" w:hAnsi="仿宋" w:eastAsia="仿宋" w:cs="仿宋"/>
          <w:b/>
          <w:bCs/>
          <w:color w:val="auto"/>
          <w:kern w:val="0"/>
          <w:sz w:val="31"/>
          <w:szCs w:val="31"/>
          <w:highlight w:val="none"/>
          <w:lang w:bidi="ar"/>
        </w:rPr>
      </w:pPr>
      <w:r>
        <w:rPr>
          <w:rFonts w:hint="eastAsia" w:ascii="仿宋" w:hAnsi="仿宋" w:eastAsia="仿宋" w:cs="仿宋"/>
          <w:b/>
          <w:bCs/>
          <w:color w:val="auto"/>
          <w:kern w:val="0"/>
          <w:sz w:val="31"/>
          <w:szCs w:val="31"/>
          <w:highlight w:val="none"/>
          <w:lang w:eastAsia="zh-CN" w:bidi="ar"/>
        </w:rPr>
        <w:t>投标人</w:t>
      </w:r>
      <w:r>
        <w:rPr>
          <w:rFonts w:hint="eastAsia" w:ascii="仿宋" w:hAnsi="仿宋" w:eastAsia="仿宋" w:cs="仿宋"/>
          <w:b/>
          <w:bCs/>
          <w:color w:val="auto"/>
          <w:kern w:val="0"/>
          <w:sz w:val="31"/>
          <w:szCs w:val="31"/>
          <w:highlight w:val="none"/>
          <w:lang w:bidi="ar"/>
        </w:rPr>
        <w:t>名称（</w:t>
      </w:r>
      <w:r>
        <w:rPr>
          <w:rFonts w:hint="eastAsia" w:ascii="仿宋" w:hAnsi="仿宋" w:eastAsia="仿宋" w:cs="仿宋"/>
          <w:b/>
          <w:bCs/>
          <w:color w:val="auto"/>
          <w:kern w:val="0"/>
          <w:sz w:val="31"/>
          <w:szCs w:val="31"/>
          <w:highlight w:val="none"/>
          <w:lang w:val="en-US" w:eastAsia="zh-CN" w:bidi="ar"/>
        </w:rPr>
        <w:t>盖公章</w:t>
      </w:r>
      <w:r>
        <w:rPr>
          <w:rFonts w:hint="eastAsia" w:ascii="仿宋" w:hAnsi="仿宋" w:eastAsia="仿宋" w:cs="仿宋"/>
          <w:b/>
          <w:bCs/>
          <w:color w:val="auto"/>
          <w:kern w:val="0"/>
          <w:sz w:val="31"/>
          <w:szCs w:val="31"/>
          <w:highlight w:val="none"/>
          <w:lang w:bidi="ar"/>
        </w:rPr>
        <w:t>）：</w:t>
      </w:r>
    </w:p>
    <w:p w14:paraId="7307B59C">
      <w:pPr>
        <w:widowControl/>
        <w:jc w:val="left"/>
        <w:rPr>
          <w:rFonts w:hint="eastAsia" w:ascii="仿宋" w:hAnsi="仿宋" w:eastAsia="仿宋" w:cs="仿宋"/>
          <w:b/>
          <w:bCs/>
          <w:color w:val="auto"/>
          <w:kern w:val="0"/>
          <w:sz w:val="31"/>
          <w:szCs w:val="31"/>
          <w:highlight w:val="none"/>
          <w:lang w:bidi="ar"/>
        </w:rPr>
      </w:pPr>
      <w:r>
        <w:rPr>
          <w:rFonts w:hint="eastAsia" w:ascii="仿宋" w:hAnsi="仿宋" w:eastAsia="仿宋" w:cs="仿宋"/>
          <w:b/>
          <w:bCs/>
          <w:color w:val="auto"/>
          <w:kern w:val="0"/>
          <w:sz w:val="31"/>
          <w:szCs w:val="31"/>
          <w:highlight w:val="none"/>
          <w:lang w:bidi="ar"/>
        </w:rPr>
        <w:t>法定代表人或其授权代表</w:t>
      </w:r>
      <w:r>
        <w:rPr>
          <w:rFonts w:hint="eastAsia" w:ascii="仿宋" w:hAnsi="仿宋" w:eastAsia="仿宋" w:cs="仿宋"/>
          <w:b/>
          <w:bCs/>
          <w:color w:val="auto"/>
          <w:kern w:val="0"/>
          <w:sz w:val="31"/>
          <w:szCs w:val="31"/>
          <w:highlight w:val="none"/>
          <w:lang w:eastAsia="zh-CN" w:bidi="ar"/>
        </w:rPr>
        <w:t>（签字或签章）</w:t>
      </w:r>
      <w:r>
        <w:rPr>
          <w:rFonts w:hint="eastAsia" w:ascii="仿宋" w:hAnsi="仿宋" w:eastAsia="仿宋" w:cs="仿宋"/>
          <w:b/>
          <w:bCs/>
          <w:color w:val="auto"/>
          <w:kern w:val="0"/>
          <w:sz w:val="31"/>
          <w:szCs w:val="31"/>
          <w:highlight w:val="none"/>
          <w:lang w:bidi="ar"/>
        </w:rPr>
        <w:t>：</w:t>
      </w:r>
    </w:p>
    <w:p w14:paraId="1C222F6A">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b/>
          <w:bCs/>
          <w:color w:val="auto"/>
          <w:kern w:val="0"/>
          <w:sz w:val="32"/>
          <w:szCs w:val="32"/>
          <w:highlight w:val="none"/>
          <w:lang w:val="en-US" w:eastAsia="zh-CN" w:bidi="ar"/>
        </w:rPr>
      </w:pPr>
      <w:bookmarkStart w:id="177" w:name="_Toc19884"/>
      <w:r>
        <w:rPr>
          <w:rFonts w:hint="eastAsia" w:ascii="仿宋" w:hAnsi="仿宋" w:eastAsia="仿宋" w:cs="仿宋"/>
          <w:b/>
          <w:bCs/>
          <w:color w:val="auto"/>
          <w:kern w:val="0"/>
          <w:sz w:val="32"/>
          <w:szCs w:val="32"/>
          <w:highlight w:val="none"/>
          <w:lang w:val="en-US" w:eastAsia="zh-CN" w:bidi="ar"/>
        </w:rPr>
        <w:t>一、资格证明文件</w:t>
      </w:r>
      <w:bookmarkEnd w:id="177"/>
    </w:p>
    <w:p w14:paraId="3ACA6B12">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附件1-1 法人、其他组织或者自然人的证明文件;</w:t>
      </w:r>
    </w:p>
    <w:p w14:paraId="78C84F75">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6C54BF86">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1、投标人为企业（包括合伙企业）的，应提供有效的“营业执照”；</w:t>
      </w:r>
    </w:p>
    <w:p w14:paraId="455D8FCC">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2、投标人为事业单位的，应提供有效的“事业单位法人证书”；</w:t>
      </w:r>
    </w:p>
    <w:p w14:paraId="5D4CC7B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3、投标人为非企业机构的，应提供有效的“执业许可证”、“登记证书”等证明文件；</w:t>
      </w:r>
    </w:p>
    <w:p w14:paraId="2D433D3F">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4、投标人是个体工商户的，应提供有效的“个体工商户营业执照”；</w:t>
      </w:r>
    </w:p>
    <w:p w14:paraId="1953452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5、投标人是自然人的，应提供有效的自然人身份证明。</w:t>
      </w:r>
    </w:p>
    <w:p w14:paraId="1D505286">
      <w:pPr>
        <w:pStyle w:val="10"/>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bookmarkStart w:id="178" w:name="_Toc3454"/>
      <w:bookmarkStart w:id="179" w:name="_Toc18314"/>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联合体投标应提供联合体各方满足以上要求的证明文件。</w:t>
      </w:r>
      <w:bookmarkEnd w:id="178"/>
      <w:bookmarkEnd w:id="179"/>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6C8199F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szCs w:val="24"/>
          <w:highlight w:val="none"/>
          <w:u w:val="none"/>
          <w:lang w:bidi="ar"/>
        </w:rPr>
      </w:pPr>
      <w:r>
        <w:rPr>
          <w:rFonts w:hint="eastAsia" w:ascii="仿宋" w:hAnsi="仿宋" w:eastAsia="仿宋" w:cs="仿宋"/>
          <w:b/>
          <w:bCs/>
          <w:color w:val="auto"/>
          <w:kern w:val="0"/>
          <w:sz w:val="24"/>
          <w:szCs w:val="24"/>
          <w:highlight w:val="none"/>
          <w:u w:val="none"/>
          <w:lang w:bidi="ar"/>
        </w:rPr>
        <w:t>附件</w:t>
      </w:r>
      <w:r>
        <w:rPr>
          <w:rFonts w:hint="eastAsia" w:ascii="仿宋" w:hAnsi="仿宋" w:eastAsia="仿宋" w:cs="仿宋"/>
          <w:b/>
          <w:bCs/>
          <w:color w:val="auto"/>
          <w:kern w:val="0"/>
          <w:sz w:val="24"/>
          <w:szCs w:val="24"/>
          <w:highlight w:val="none"/>
          <w:u w:val="none"/>
          <w:lang w:val="en-US" w:eastAsia="zh-CN" w:bidi="ar"/>
        </w:rPr>
        <w:t>1</w:t>
      </w:r>
      <w:r>
        <w:rPr>
          <w:rFonts w:hint="eastAsia" w:ascii="仿宋" w:hAnsi="仿宋" w:eastAsia="仿宋" w:cs="仿宋"/>
          <w:b/>
          <w:bCs/>
          <w:color w:val="auto"/>
          <w:kern w:val="0"/>
          <w:sz w:val="24"/>
          <w:szCs w:val="24"/>
          <w:highlight w:val="none"/>
          <w:u w:val="none"/>
          <w:lang w:bidi="ar"/>
        </w:rPr>
        <w:t>-</w:t>
      </w:r>
      <w:r>
        <w:rPr>
          <w:rFonts w:hint="eastAsia" w:ascii="仿宋" w:hAnsi="仿宋" w:eastAsia="仿宋" w:cs="仿宋"/>
          <w:b/>
          <w:bCs/>
          <w:color w:val="auto"/>
          <w:kern w:val="0"/>
          <w:sz w:val="24"/>
          <w:szCs w:val="24"/>
          <w:highlight w:val="none"/>
          <w:u w:val="none"/>
          <w:lang w:val="en-US" w:eastAsia="zh-CN" w:bidi="ar"/>
        </w:rPr>
        <w:t>2</w:t>
      </w:r>
      <w:r>
        <w:rPr>
          <w:rFonts w:hint="eastAsia" w:ascii="仿宋" w:hAnsi="仿宋" w:eastAsia="仿宋" w:cs="仿宋"/>
          <w:b/>
          <w:bCs/>
          <w:color w:val="auto"/>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3061484">
      <w:pPr>
        <w:pStyle w:val="10"/>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1、证明文件</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p>
    <w:p w14:paraId="29313CE9">
      <w:pPr>
        <w:pStyle w:val="10"/>
        <w:spacing w:line="360" w:lineRule="auto"/>
        <w:ind w:right="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、若提供的是</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，采购人、采购代理机构保留审核原件的权利。</w:t>
      </w:r>
    </w:p>
    <w:p w14:paraId="11A86215">
      <w:pPr>
        <w:pStyle w:val="10"/>
        <w:spacing w:line="360" w:lineRule="auto"/>
        <w:ind w:right="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如果是联合体投标，联合体各方均需提供上述证明</w:t>
      </w:r>
      <w:r>
        <w:rPr>
          <w:rFonts w:hint="eastAsia" w:ascii="仿宋" w:hAnsi="仿宋" w:eastAsia="仿宋" w:cs="仿宋"/>
          <w:color w:val="auto"/>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3</w:t>
      </w:r>
      <w:r>
        <w:rPr>
          <w:rFonts w:hint="eastAsia" w:ascii="仿宋" w:hAnsi="仿宋" w:eastAsia="仿宋" w:cs="仿宋"/>
          <w:b/>
          <w:bCs/>
          <w:color w:val="auto"/>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274E21B5">
      <w:pPr>
        <w:pStyle w:val="10"/>
        <w:spacing w:line="360" w:lineRule="auto"/>
        <w:rPr>
          <w:rFonts w:hint="eastAsia" w:ascii="仿宋" w:hAnsi="仿宋" w:eastAsia="仿宋" w:cs="仿宋"/>
          <w:color w:val="auto"/>
          <w:sz w:val="24"/>
          <w:szCs w:val="24"/>
          <w:highlight w:val="none"/>
        </w:rPr>
      </w:pPr>
      <w:bookmarkStart w:id="180" w:name="_Toc8376"/>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缴纳税收的证明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w:t>
      </w:r>
      <w:r>
        <w:rPr>
          <w:rFonts w:hint="eastAsia" w:ascii="仿宋" w:hAnsi="仿宋" w:eastAsia="仿宋" w:cs="仿宋"/>
          <w:color w:val="auto"/>
          <w:kern w:val="0"/>
          <w:sz w:val="24"/>
          <w:highlight w:val="none"/>
          <w:u w:val="none"/>
          <w:lang w:eastAsia="zh-CN" w:bidi="ar"/>
        </w:rPr>
        <w:t>扫描件</w:t>
      </w:r>
      <w:r>
        <w:rPr>
          <w:rFonts w:hint="eastAsia" w:ascii="仿宋" w:hAnsi="仿宋" w:eastAsia="仿宋" w:cs="仿宋"/>
          <w:color w:val="auto"/>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3、如果是联合体投标，联合体各方均需提供上述证明。</w:t>
      </w:r>
    </w:p>
    <w:p w14:paraId="63078B71">
      <w:pPr>
        <w:pStyle w:val="10"/>
        <w:spacing w:line="360" w:lineRule="auto"/>
        <w:ind w:right="516"/>
        <w:rPr>
          <w:rFonts w:hint="eastAsia" w:ascii="仿宋" w:hAnsi="仿宋" w:eastAsia="仿宋" w:cs="仿宋"/>
          <w:color w:val="auto"/>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bookmarkEnd w:id="180"/>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4</w:t>
      </w:r>
      <w:r>
        <w:rPr>
          <w:rFonts w:hint="eastAsia" w:ascii="仿宋" w:hAnsi="仿宋" w:eastAsia="仿宋" w:cs="仿宋"/>
          <w:b/>
          <w:bCs/>
          <w:color w:val="auto"/>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4D630621">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kern w:val="0"/>
          <w:sz w:val="24"/>
          <w:highlight w:val="none"/>
          <w:u w:val="none"/>
          <w:lang w:bidi="ar"/>
        </w:rPr>
      </w:pPr>
      <w:bookmarkStart w:id="181" w:name="_Toc3006"/>
      <w:r>
        <w:rPr>
          <w:rFonts w:hint="eastAsia" w:ascii="仿宋" w:hAnsi="仿宋" w:eastAsia="仿宋" w:cs="仿宋"/>
          <w:color w:val="auto"/>
          <w:kern w:val="0"/>
          <w:sz w:val="24"/>
          <w:highlight w:val="none"/>
          <w:u w:val="none"/>
          <w:lang w:bidi="ar"/>
        </w:rPr>
        <w:t>1、</w:t>
      </w:r>
      <w:bookmarkEnd w:id="181"/>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为职工缴纳社会保险的</w:t>
      </w:r>
      <w:r>
        <w:rPr>
          <w:rFonts w:hint="eastAsia" w:ascii="仿宋" w:hAnsi="仿宋" w:eastAsia="仿宋" w:cs="仿宋"/>
          <w:color w:val="auto"/>
          <w:sz w:val="24"/>
          <w:szCs w:val="24"/>
          <w:highlight w:val="none"/>
          <w:lang w:val="en-US" w:eastAsia="zh-CN"/>
        </w:rPr>
        <w:t>证明文件</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w:t>
      </w:r>
      <w:r>
        <w:rPr>
          <w:rFonts w:hint="eastAsia" w:ascii="仿宋" w:hAnsi="仿宋" w:eastAsia="仿宋" w:cs="仿宋"/>
          <w:color w:val="auto"/>
          <w:kern w:val="0"/>
          <w:sz w:val="24"/>
          <w:highlight w:val="none"/>
          <w:u w:val="none"/>
          <w:lang w:eastAsia="zh-CN" w:bidi="ar"/>
        </w:rPr>
        <w:t>扫描件</w:t>
      </w:r>
      <w:r>
        <w:rPr>
          <w:rFonts w:hint="eastAsia" w:ascii="仿宋" w:hAnsi="仿宋" w:eastAsia="仿宋" w:cs="仿宋"/>
          <w:color w:val="auto"/>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bookmarkStart w:id="182" w:name="_Toc28907"/>
      <w:r>
        <w:rPr>
          <w:rFonts w:hint="eastAsia" w:ascii="仿宋" w:hAnsi="仿宋" w:eastAsia="仿宋" w:cs="仿宋"/>
          <w:color w:val="auto"/>
          <w:kern w:val="0"/>
          <w:sz w:val="24"/>
          <w:highlight w:val="none"/>
          <w:u w:val="none"/>
          <w:lang w:bidi="ar"/>
        </w:rPr>
        <w:t>3、如果是联合体投标，联合体各方均需提供上述证明。</w:t>
      </w:r>
      <w:bookmarkEnd w:id="182"/>
    </w:p>
    <w:p w14:paraId="5D2DDCE4">
      <w:pPr>
        <w:rPr>
          <w:rFonts w:hint="eastAsia" w:ascii="仿宋" w:hAnsi="仿宋" w:eastAsia="仿宋" w:cs="仿宋"/>
          <w:color w:val="auto"/>
          <w:kern w:val="0"/>
          <w:sz w:val="24"/>
          <w:highlight w:val="none"/>
          <w:u w:val="none"/>
          <w:lang w:bidi="ar"/>
        </w:rPr>
      </w:pPr>
    </w:p>
    <w:p w14:paraId="79920C0F">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B2B2EA9">
      <w:pPr>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5</w:t>
      </w:r>
      <w:r>
        <w:rPr>
          <w:rFonts w:hint="eastAsia" w:ascii="仿宋" w:hAnsi="仿宋" w:eastAsia="仿宋" w:cs="仿宋"/>
          <w:b/>
          <w:bCs/>
          <w:color w:val="auto"/>
          <w:kern w:val="0"/>
          <w:sz w:val="24"/>
          <w:highlight w:val="none"/>
          <w:u w:val="none"/>
          <w:lang w:bidi="ar"/>
        </w:rPr>
        <w:t xml:space="preserve"> 投标人资格声明书</w:t>
      </w:r>
    </w:p>
    <w:p w14:paraId="19D96415">
      <w:pPr>
        <w:rPr>
          <w:rFonts w:hint="eastAsia" w:ascii="仿宋" w:hAnsi="仿宋" w:eastAsia="仿宋" w:cs="仿宋"/>
          <w:color w:val="auto"/>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83" w:name="_Toc32152"/>
      <w:r>
        <w:rPr>
          <w:rFonts w:hint="eastAsia" w:ascii="仿宋" w:hAnsi="仿宋" w:eastAsia="仿宋" w:cs="仿宋"/>
          <w:b/>
          <w:bCs/>
          <w:color w:val="auto"/>
          <w:kern w:val="0"/>
          <w:sz w:val="28"/>
          <w:szCs w:val="28"/>
          <w:highlight w:val="none"/>
          <w:lang w:val="en-US" w:eastAsia="zh-CN" w:bidi="ar"/>
        </w:rPr>
        <w:t>落实政府采购政策需满足的资格要求（如有）</w:t>
      </w:r>
      <w:bookmarkEnd w:id="183"/>
      <w:r>
        <w:rPr>
          <w:rFonts w:hint="eastAsia" w:ascii="仿宋" w:hAnsi="仿宋" w:eastAsia="仿宋" w:cs="仿宋"/>
          <w:b/>
          <w:bCs/>
          <w:color w:val="auto"/>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8"/>
          <w:szCs w:val="28"/>
          <w:highlight w:val="none"/>
          <w:lang w:val="en-US" w:eastAsia="zh-CN" w:bidi="ar"/>
        </w:rPr>
        <w:t>2-1 中小企业声明函</w:t>
      </w:r>
      <w:r>
        <w:rPr>
          <w:rFonts w:hint="eastAsia" w:ascii="仿宋" w:hAnsi="仿宋" w:eastAsia="仿宋" w:cs="仿宋"/>
          <w:color w:val="auto"/>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供应商根据采购项目属性</w:t>
      </w:r>
      <w:r>
        <w:rPr>
          <w:rFonts w:hint="eastAsia" w:ascii="仿宋" w:hAnsi="仿宋" w:eastAsia="仿宋" w:cs="仿宋"/>
          <w:b w:val="0"/>
          <w:bCs w:val="0"/>
          <w:color w:val="auto"/>
          <w:kern w:val="0"/>
          <w:sz w:val="24"/>
          <w:szCs w:val="24"/>
          <w:highlight w:val="none"/>
          <w:lang w:val="en-US" w:eastAsia="zh-CN" w:bidi="ar"/>
        </w:rPr>
        <w:t xml:space="preserve">，本招标文件投标文件格式“中小企业声明函（货物）”、“中小企业声明函（工程、服务）”选择申明函格式。 </w:t>
      </w:r>
    </w:p>
    <w:p w14:paraId="53CE76CB">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如本项目（包）预留部分采购项目预算专门面向中小企业采购，且要求获得采购合同的供应商将采购项目中的一定比例分包给一家或者多家中小企业的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w:t>
      </w:r>
      <w:r>
        <w:rPr>
          <w:rFonts w:hint="eastAsia" w:ascii="仿宋" w:hAnsi="仿宋" w:eastAsia="仿宋" w:cs="仿宋"/>
          <w:b w:val="0"/>
          <w:bCs w:val="0"/>
          <w:color w:val="auto"/>
          <w:kern w:val="0"/>
          <w:sz w:val="24"/>
          <w:szCs w:val="24"/>
          <w:highlight w:val="none"/>
          <w:lang w:val="en-US" w:eastAsia="zh-CN" w:bidi="ar"/>
        </w:rPr>
        <w:t>业的投标人，投标文件中除须提供《中小企业声明函》或《残疾人福利性单位声明函》或由省级以上监狱管理局、戒毒管理局（含新疆生产建设兵团）出具的属于监狱企业的证明文件，还须同时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的投标人，投标文件中除须提供《中小企业声明函》或《残疾人福利性单位声明函》或由省级以上监狱管理局、戒毒管理局（含新疆生产 建设兵团）出具的属于监狱企业的证明文件，还须同时提供《联合协议》，如不按上述要求提供则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85"/>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36B7B3D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BB58AE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30"/>
          <w:rFonts w:hint="eastAsia" w:ascii="仿宋" w:hAnsi="仿宋" w:eastAsia="仿宋" w:cs="仿宋"/>
          <w:i w:val="0"/>
          <w:iCs w:val="0"/>
          <w:caps w:val="0"/>
          <w:color w:val="auto"/>
          <w:spacing w:val="0"/>
          <w:sz w:val="32"/>
          <w:szCs w:val="32"/>
          <w:highlight w:val="none"/>
        </w:rPr>
        <w:t>中小企业声明函</w:t>
      </w:r>
      <w:r>
        <w:rPr>
          <w:rStyle w:val="30"/>
          <w:rFonts w:hint="eastAsia" w:ascii="仿宋" w:hAnsi="仿宋" w:eastAsia="仿宋" w:cs="仿宋"/>
          <w:i w:val="0"/>
          <w:iCs w:val="0"/>
          <w:caps w:val="0"/>
          <w:color w:val="auto"/>
          <w:spacing w:val="0"/>
          <w:sz w:val="32"/>
          <w:szCs w:val="32"/>
          <w:highlight w:val="none"/>
          <w:lang w:eastAsia="zh-CN"/>
        </w:rPr>
        <w:t>（</w:t>
      </w:r>
      <w:r>
        <w:rPr>
          <w:rStyle w:val="30"/>
          <w:rFonts w:hint="eastAsia" w:ascii="仿宋" w:hAnsi="仿宋" w:eastAsia="仿宋" w:cs="仿宋"/>
          <w:i w:val="0"/>
          <w:iCs w:val="0"/>
          <w:caps w:val="0"/>
          <w:color w:val="auto"/>
          <w:spacing w:val="0"/>
          <w:sz w:val="32"/>
          <w:szCs w:val="32"/>
          <w:highlight w:val="none"/>
        </w:rPr>
        <w:t>货物</w:t>
      </w:r>
      <w:r>
        <w:rPr>
          <w:rStyle w:val="30"/>
          <w:rFonts w:hint="eastAsia" w:ascii="仿宋" w:hAnsi="仿宋" w:eastAsia="仿宋" w:cs="仿宋"/>
          <w:i w:val="0"/>
          <w:iCs w:val="0"/>
          <w:caps w:val="0"/>
          <w:color w:val="auto"/>
          <w:spacing w:val="0"/>
          <w:sz w:val="32"/>
          <w:szCs w:val="32"/>
          <w:highlight w:val="none"/>
          <w:lang w:eastAsia="zh-CN"/>
        </w:rPr>
        <w:t>）</w:t>
      </w:r>
    </w:p>
    <w:p w14:paraId="3A782EA7">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64BAD65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151C68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58074D9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343F93D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5A72170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7C17D0A4">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5DFC708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w:t>
      </w:r>
      <w:r>
        <w:rPr>
          <w:rFonts w:hint="eastAsia" w:ascii="仿宋" w:hAnsi="仿宋" w:eastAsia="仿宋" w:cs="仿宋"/>
          <w:color w:val="auto"/>
          <w:sz w:val="24"/>
          <w:highlight w:val="none"/>
          <w:lang w:val="en-US" w:eastAsia="zh-CN"/>
        </w:rPr>
        <w:t>盖章</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496417C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8F51C4F">
      <w:pPr>
        <w:rPr>
          <w:rFonts w:hint="eastAsia" w:ascii="仿宋" w:hAnsi="仿宋" w:eastAsia="仿宋" w:cs="仿宋"/>
          <w:b w:val="0"/>
          <w:bCs w:val="0"/>
          <w:color w:val="auto"/>
          <w:kern w:val="0"/>
          <w:sz w:val="21"/>
          <w:szCs w:val="21"/>
          <w:highlight w:val="none"/>
          <w:lang w:val="en-US" w:eastAsia="zh-CN" w:bidi="ar"/>
        </w:rPr>
      </w:pPr>
    </w:p>
    <w:p w14:paraId="20DF2620">
      <w:pPr>
        <w:rPr>
          <w:rFonts w:hint="eastAsia" w:ascii="仿宋" w:hAnsi="仿宋" w:eastAsia="仿宋" w:cs="仿宋"/>
          <w:b w:val="0"/>
          <w:bCs w:val="0"/>
          <w:color w:val="auto"/>
          <w:kern w:val="0"/>
          <w:sz w:val="21"/>
          <w:szCs w:val="21"/>
          <w:highlight w:val="none"/>
          <w:lang w:val="en-US" w:eastAsia="zh-CN" w:bidi="ar"/>
        </w:rPr>
      </w:pPr>
    </w:p>
    <w:p w14:paraId="3B14D9C3">
      <w:pPr>
        <w:rPr>
          <w:rFonts w:hint="eastAsia" w:ascii="仿宋" w:hAnsi="仿宋" w:eastAsia="仿宋" w:cs="仿宋"/>
          <w:b w:val="0"/>
          <w:bCs w:val="0"/>
          <w:color w:val="auto"/>
          <w:kern w:val="0"/>
          <w:sz w:val="21"/>
          <w:szCs w:val="21"/>
          <w:highlight w:val="none"/>
          <w:lang w:val="en-US" w:eastAsia="zh-CN" w:bidi="ar"/>
        </w:rPr>
      </w:pPr>
    </w:p>
    <w:p w14:paraId="4735180B">
      <w:pPr>
        <w:rPr>
          <w:rFonts w:hint="eastAsia" w:ascii="仿宋" w:hAnsi="仿宋" w:eastAsia="仿宋" w:cs="仿宋"/>
          <w:b w:val="0"/>
          <w:bCs w:val="0"/>
          <w:color w:val="auto"/>
          <w:kern w:val="0"/>
          <w:sz w:val="21"/>
          <w:szCs w:val="21"/>
          <w:highlight w:val="none"/>
          <w:lang w:val="en-US" w:eastAsia="zh-CN" w:bidi="ar"/>
        </w:rPr>
      </w:pPr>
    </w:p>
    <w:p w14:paraId="1F85D233">
      <w:pPr>
        <w:rPr>
          <w:rFonts w:hint="eastAsia" w:ascii="仿宋" w:hAnsi="仿宋" w:eastAsia="仿宋" w:cs="仿宋"/>
          <w:b w:val="0"/>
          <w:bCs w:val="0"/>
          <w:color w:val="auto"/>
          <w:kern w:val="0"/>
          <w:sz w:val="21"/>
          <w:szCs w:val="21"/>
          <w:highlight w:val="none"/>
          <w:lang w:val="en-US" w:eastAsia="zh-CN" w:bidi="ar"/>
        </w:rPr>
      </w:pPr>
    </w:p>
    <w:p w14:paraId="36680B6A">
      <w:pPr>
        <w:rPr>
          <w:rFonts w:hint="eastAsia" w:ascii="仿宋" w:hAnsi="仿宋" w:eastAsia="仿宋" w:cs="仿宋"/>
          <w:b w:val="0"/>
          <w:bCs w:val="0"/>
          <w:color w:val="auto"/>
          <w:kern w:val="0"/>
          <w:sz w:val="21"/>
          <w:szCs w:val="21"/>
          <w:highlight w:val="none"/>
          <w:lang w:val="en-US" w:eastAsia="zh-CN" w:bidi="ar"/>
        </w:rPr>
      </w:pPr>
    </w:p>
    <w:p w14:paraId="5163AB2E">
      <w:pPr>
        <w:rPr>
          <w:rFonts w:hint="eastAsia" w:ascii="仿宋" w:hAnsi="仿宋" w:eastAsia="仿宋" w:cs="仿宋"/>
          <w:b w:val="0"/>
          <w:bCs w:val="0"/>
          <w:color w:val="auto"/>
          <w:kern w:val="0"/>
          <w:sz w:val="21"/>
          <w:szCs w:val="21"/>
          <w:highlight w:val="none"/>
          <w:lang w:val="en-US" w:eastAsia="zh-CN" w:bidi="ar"/>
        </w:rPr>
      </w:pPr>
    </w:p>
    <w:p w14:paraId="7BBDC1FC">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58D7BBD7">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1D6416E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0DD8DEC">
      <w:pPr>
        <w:pStyle w:val="13"/>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 w:hAnsi="仿宋" w:eastAsia="仿宋" w:cs="仿宋"/>
          <w:color w:val="auto"/>
          <w:sz w:val="32"/>
          <w:szCs w:val="32"/>
          <w:highlight w:val="none"/>
        </w:rPr>
      </w:pPr>
    </w:p>
    <w:p w14:paraId="206A9633">
      <w:pPr>
        <w:spacing w:line="360" w:lineRule="auto"/>
        <w:rPr>
          <w:rFonts w:hint="eastAsia" w:ascii="仿宋" w:hAnsi="仿宋" w:eastAsia="仿宋" w:cs="仿宋"/>
          <w:color w:val="auto"/>
          <w:sz w:val="32"/>
          <w:szCs w:val="32"/>
          <w:highlight w:val="none"/>
        </w:rPr>
      </w:pPr>
    </w:p>
    <w:p w14:paraId="283F77FC">
      <w:pPr>
        <w:widowControl/>
        <w:spacing w:before="100" w:beforeAutospacing="1" w:after="100" w:afterAutospacing="1"/>
        <w:rPr>
          <w:rFonts w:hint="eastAsia" w:ascii="仿宋" w:hAnsi="仿宋" w:eastAsia="仿宋" w:cs="仿宋"/>
          <w:color w:val="auto"/>
          <w:sz w:val="21"/>
          <w:szCs w:val="21"/>
          <w:highlight w:val="none"/>
        </w:rPr>
      </w:pPr>
    </w:p>
    <w:p w14:paraId="7BF06511">
      <w:pPr>
        <w:rPr>
          <w:rStyle w:val="43"/>
          <w:rFonts w:hint="eastAsia" w:ascii="仿宋" w:hAnsi="仿宋" w:eastAsia="仿宋" w:cs="仿宋"/>
          <w:color w:val="auto"/>
          <w:sz w:val="28"/>
          <w:szCs w:val="28"/>
          <w:highlight w:val="none"/>
          <w:u w:val="none"/>
          <w:lang w:val="en-US" w:eastAsia="zh-CN"/>
        </w:rPr>
      </w:pPr>
      <w:r>
        <w:rPr>
          <w:rStyle w:val="43"/>
          <w:rFonts w:hint="eastAsia" w:ascii="仿宋" w:hAnsi="仿宋" w:eastAsia="仿宋" w:cs="仿宋"/>
          <w:color w:val="auto"/>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color w:val="auto"/>
          <w:sz w:val="28"/>
          <w:szCs w:val="28"/>
          <w:highlight w:val="none"/>
          <w:u w:val="none"/>
          <w:lang w:val="en-US"/>
        </w:rPr>
      </w:pPr>
      <w:r>
        <w:rPr>
          <w:rStyle w:val="43"/>
          <w:rFonts w:hint="eastAsia" w:ascii="仿宋" w:hAnsi="仿宋" w:eastAsia="仿宋" w:cs="仿宋"/>
          <w:color w:val="auto"/>
          <w:sz w:val="28"/>
          <w:szCs w:val="28"/>
          <w:highlight w:val="none"/>
          <w:u w:val="none"/>
          <w:lang w:val="en-US" w:eastAsia="zh-CN"/>
        </w:rPr>
        <w:t>2-2</w:t>
      </w:r>
      <w:r>
        <w:rPr>
          <w:rStyle w:val="43"/>
          <w:rFonts w:hint="eastAsia" w:ascii="仿宋" w:hAnsi="仿宋" w:eastAsia="仿宋" w:cs="仿宋"/>
          <w:color w:val="auto"/>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color w:val="auto"/>
          <w:sz w:val="24"/>
          <w:szCs w:val="21"/>
          <w:highlight w:val="none"/>
        </w:rPr>
      </w:pPr>
      <w:r>
        <w:rPr>
          <w:rFonts w:hint="eastAsia" w:ascii="仿宋" w:hAnsi="仿宋" w:eastAsia="仿宋" w:cs="仿宋"/>
          <w:b/>
          <w:color w:val="auto"/>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经研究，我们决定自愿组成联合体共同申请参加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一、联合体基本信息：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184"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184"/>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仿宋" w:hAnsi="仿宋" w:eastAsia="仿宋" w:cs="仿宋"/>
          <w:color w:val="auto"/>
          <w:kern w:val="0"/>
          <w:sz w:val="24"/>
          <w:highlight w:val="none"/>
        </w:rPr>
        <w:t>该金额占该采购包</w:t>
      </w:r>
      <w:r>
        <w:rPr>
          <w:rFonts w:hint="eastAsia" w:ascii="仿宋" w:hAnsi="仿宋" w:eastAsia="仿宋" w:cs="仿宋"/>
          <w:b/>
          <w:bCs/>
          <w:color w:val="auto"/>
          <w:kern w:val="0"/>
          <w:sz w:val="24"/>
          <w:highlight w:val="none"/>
        </w:rPr>
        <w:t>预算总金额</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仿宋" w:hAnsi="仿宋" w:eastAsia="仿宋" w:cs="仿宋"/>
          <w:b/>
          <w:bCs/>
          <w:color w:val="auto"/>
          <w:kern w:val="0"/>
          <w:sz w:val="24"/>
          <w:highlight w:val="none"/>
          <w:lang w:val="en-US" w:eastAsia="zh-CN"/>
        </w:rPr>
        <w:t>合同金额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仿宋" w:hAnsi="仿宋" w:eastAsia="仿宋" w:cs="仿宋"/>
          <w:color w:val="auto"/>
          <w:kern w:val="0"/>
          <w:sz w:val="24"/>
          <w:highlight w:val="none"/>
        </w:rPr>
        <w:t>占该采购包</w:t>
      </w:r>
      <w:r>
        <w:rPr>
          <w:rFonts w:hint="eastAsia" w:ascii="仿宋" w:hAnsi="仿宋" w:eastAsia="仿宋" w:cs="仿宋"/>
          <w:b/>
          <w:bCs/>
          <w:color w:val="auto"/>
          <w:kern w:val="0"/>
          <w:sz w:val="24"/>
          <w:highlight w:val="none"/>
        </w:rPr>
        <w:t>预算总金额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仿宋" w:hAnsi="仿宋" w:eastAsia="仿宋" w:cs="仿宋"/>
          <w:b/>
          <w:bCs/>
          <w:color w:val="auto"/>
          <w:kern w:val="0"/>
          <w:sz w:val="24"/>
          <w:highlight w:val="none"/>
          <w:lang w:val="en-US" w:eastAsia="zh-CN"/>
        </w:rPr>
        <w:t>合同金额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0"/>
        <w:rPr>
          <w:rFonts w:hint="eastAsia" w:ascii="仿宋" w:hAnsi="仿宋" w:eastAsia="仿宋" w:cs="仿宋"/>
          <w:color w:val="auto"/>
          <w:highlight w:val="none"/>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color w:val="auto"/>
          <w:sz w:val="30"/>
          <w:szCs w:val="30"/>
          <w:highlight w:val="none"/>
        </w:rPr>
        <w:br w:type="page"/>
      </w:r>
      <w:r>
        <w:rPr>
          <w:rFonts w:hint="eastAsia" w:ascii="仿宋" w:hAnsi="仿宋" w:eastAsia="仿宋" w:cs="仿宋"/>
          <w:b/>
          <w:bCs/>
          <w:color w:val="auto"/>
          <w:kern w:val="0"/>
          <w:sz w:val="28"/>
          <w:szCs w:val="28"/>
          <w:highlight w:val="none"/>
          <w:lang w:val="en-US" w:eastAsia="zh-CN" w:bidi="ar"/>
        </w:rPr>
        <w:t>2-3 分包意向协议</w:t>
      </w:r>
      <w:r>
        <w:rPr>
          <w:rFonts w:hint="eastAsia" w:ascii="仿宋" w:hAnsi="仿宋" w:eastAsia="仿宋" w:cs="仿宋"/>
          <w:b/>
          <w:bCs/>
          <w:color w:val="auto"/>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2、分包意向协议书须反应由中小（含中型、小型、微型）企业、监狱企业、残疾人福利性单位生产的货物</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185"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185"/>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1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1AFBB9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704B4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29201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2218E0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533E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11FF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0405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290A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75473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B12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1321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7B85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080D8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FBD84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A7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D813E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63B91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7BA019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9B706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4FF5D81">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A7A5771">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8FD95F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2801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58ED8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E5F58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7767D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76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2687A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00D5E8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C294D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900ED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0EB51904">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4B4C17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326AFD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821D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CA4B1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202C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36F37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46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EE784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55B6D7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61D06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3C289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45A788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ABB3D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BA237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21C16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CDE77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93CB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B4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29B9F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355A5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7DA24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7C17B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7D159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FE48D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13A55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54E0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62492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35C2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货物类项目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ascii="仿宋" w:hAnsi="仿宋" w:eastAsia="仿宋" w:cs="仿宋"/>
          <w:color w:val="auto"/>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仿宋" w:hAnsi="仿宋" w:eastAsia="仿宋" w:cs="仿宋"/>
          <w:color w:val="auto"/>
          <w:kern w:val="0"/>
          <w:sz w:val="24"/>
          <w:highlight w:val="none"/>
        </w:rPr>
        <w:t>占该采购包</w:t>
      </w:r>
      <w:r>
        <w:rPr>
          <w:rFonts w:hint="eastAsia" w:ascii="仿宋" w:hAnsi="仿宋" w:eastAsia="仿宋" w:cs="仿宋"/>
          <w:b/>
          <w:bCs/>
          <w:color w:val="auto"/>
          <w:kern w:val="0"/>
          <w:sz w:val="24"/>
          <w:highlight w:val="none"/>
        </w:rPr>
        <w:t>预算总金额</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仿宋" w:hAnsi="仿宋" w:eastAsia="仿宋" w:cs="仿宋"/>
          <w:b/>
          <w:bCs/>
          <w:color w:val="auto"/>
          <w:kern w:val="0"/>
          <w:sz w:val="24"/>
          <w:highlight w:val="none"/>
          <w:lang w:val="en-US" w:eastAsia="zh-CN"/>
        </w:rPr>
        <w:t>合同金额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仿宋" w:hAnsi="仿宋" w:eastAsia="仿宋" w:cs="仿宋"/>
          <w:color w:val="auto"/>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仿宋" w:hAnsi="仿宋" w:eastAsia="仿宋" w:cs="仿宋"/>
          <w:color w:val="auto"/>
          <w:kern w:val="0"/>
          <w:sz w:val="24"/>
          <w:highlight w:val="none"/>
        </w:rPr>
        <w:t>占该采购包</w:t>
      </w:r>
      <w:r>
        <w:rPr>
          <w:rFonts w:hint="eastAsia" w:ascii="仿宋" w:hAnsi="仿宋" w:eastAsia="仿宋" w:cs="仿宋"/>
          <w:b/>
          <w:bCs/>
          <w:color w:val="auto"/>
          <w:kern w:val="0"/>
          <w:sz w:val="24"/>
          <w:highlight w:val="none"/>
        </w:rPr>
        <w:t>预算总金额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仿宋" w:hAnsi="仿宋" w:eastAsia="仿宋" w:cs="仿宋"/>
          <w:b/>
          <w:bCs/>
          <w:color w:val="auto"/>
          <w:kern w:val="0"/>
          <w:sz w:val="24"/>
          <w:highlight w:val="none"/>
          <w:lang w:val="en-US" w:eastAsia="zh-CN"/>
        </w:rPr>
        <w:t>合同金额</w:t>
      </w:r>
      <w:r>
        <w:rPr>
          <w:rFonts w:hint="eastAsia" w:ascii="仿宋" w:hAnsi="仿宋" w:eastAsia="仿宋" w:cs="仿宋"/>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7"/>
        <w:rPr>
          <w:rFonts w:hint="eastAsia" w:ascii="仿宋" w:hAnsi="仿宋" w:eastAsia="仿宋" w:cs="仿宋"/>
          <w:color w:val="auto"/>
          <w:highlight w:val="none"/>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F35D21B">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EC3CDAD">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44AD5CE">
      <w:pPr>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color w:val="auto"/>
          <w:sz w:val="24"/>
          <w:szCs w:val="24"/>
          <w:highlight w:val="none"/>
        </w:rPr>
        <w:t>。</w:t>
      </w:r>
    </w:p>
    <w:p w14:paraId="1F2D9645">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1E46D7E6">
      <w:pPr>
        <w:keepNext/>
        <w:keepLines/>
        <w:widowControl w:val="0"/>
        <w:spacing w:before="260" w:after="260" w:line="360" w:lineRule="auto"/>
        <w:jc w:val="center"/>
        <w:outlineLvl w:val="3"/>
        <w:rPr>
          <w:rFonts w:hint="eastAsia" w:ascii="仿宋" w:hAnsi="仿宋" w:eastAsia="仿宋" w:cs="仿宋"/>
          <w:b/>
          <w:bCs/>
          <w:color w:val="auto"/>
          <w:kern w:val="2"/>
          <w:sz w:val="32"/>
          <w:szCs w:val="28"/>
          <w:highlight w:val="none"/>
          <w:lang w:val="en-US" w:eastAsia="zh-CN" w:bidi="ar-SA"/>
        </w:rPr>
      </w:pPr>
      <w:r>
        <w:rPr>
          <w:rFonts w:hint="eastAsia" w:ascii="仿宋" w:hAnsi="仿宋" w:eastAsia="仿宋" w:cs="仿宋"/>
          <w:b/>
          <w:bCs/>
          <w:color w:val="auto"/>
          <w:kern w:val="2"/>
          <w:sz w:val="32"/>
          <w:szCs w:val="32"/>
          <w:highlight w:val="none"/>
          <w:lang w:val="en-US" w:eastAsia="zh-CN" w:bidi="ar-SA"/>
        </w:rPr>
        <w:t>3-1投标人无直接控股、管理关系书面声明函</w:t>
      </w:r>
    </w:p>
    <w:p w14:paraId="31CD07E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一、下述公司负责人与我公司单位负责人为同一人：（如无则本项填写“无”）  </w:t>
      </w:r>
    </w:p>
    <w:p w14:paraId="509140B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0965BC0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28A1B74">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7D1598E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561FCE6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二、我公司与下述公司存在直接控股关系：（如无则本项填写“无”） </w:t>
      </w:r>
    </w:p>
    <w:p w14:paraId="59FE276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7244BCD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CC7C5BB">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5CFB40B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035D8C0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三、我公司与下述公司存在直接管理关系：（如无则本项填写“无”） </w:t>
      </w:r>
    </w:p>
    <w:p w14:paraId="01BEAE5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6C37DB2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A848444">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25AA40E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6CDB52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我单位郑重声明：与本单位负责人为同一人或者与本单位存在直接控股关系、管理关系的供应商未参加</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同一合同项下的投标。</w:t>
      </w:r>
    </w:p>
    <w:p w14:paraId="2F1F7C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我单位保证上述声明真实、有效、可查。</w:t>
      </w:r>
    </w:p>
    <w:p w14:paraId="7AAAB5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特此声明。 </w:t>
      </w:r>
    </w:p>
    <w:p w14:paraId="353BA663">
      <w:pPr>
        <w:spacing w:line="360" w:lineRule="auto"/>
        <w:rPr>
          <w:rFonts w:hint="eastAsia" w:ascii="仿宋" w:hAnsi="仿宋" w:eastAsia="仿宋" w:cs="仿宋"/>
          <w:color w:val="auto"/>
          <w:sz w:val="24"/>
          <w:szCs w:val="24"/>
          <w:highlight w:val="none"/>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投标人名称（或联合体成员名称）：</w:t>
      </w:r>
      <w:r>
        <w:rPr>
          <w:rFonts w:hint="eastAsia" w:ascii="仿宋" w:hAnsi="仿宋" w:eastAsia="仿宋" w:cs="仿宋"/>
          <w:color w:val="auto"/>
          <w:sz w:val="24"/>
          <w:szCs w:val="24"/>
          <w:highlight w:val="none"/>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p>
    <w:p w14:paraId="6121F487">
      <w:pPr>
        <w:spacing w:line="360" w:lineRule="auto"/>
        <w:ind w:firstLine="480" w:firstLineChars="200"/>
        <w:rPr>
          <w:rFonts w:hint="eastAsia" w:ascii="仿宋" w:hAnsi="仿宋" w:eastAsia="仿宋" w:cs="仿宋"/>
          <w:color w:val="auto"/>
          <w:sz w:val="24"/>
          <w:szCs w:val="24"/>
          <w:highlight w:val="none"/>
        </w:rPr>
      </w:pPr>
    </w:p>
    <w:p w14:paraId="42DE7531">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4、联合体投标，联合体各成员分别提供。</w:t>
      </w:r>
    </w:p>
    <w:p w14:paraId="654835B9">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7E0AC4B0">
      <w:pPr>
        <w:keepNext/>
        <w:keepLines/>
        <w:widowControl w:val="0"/>
        <w:spacing w:before="260" w:after="260" w:line="360" w:lineRule="auto"/>
        <w:jc w:val="center"/>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郑重声明：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（投标人名称或联合体投标全体联合体成员名称）</w:t>
      </w:r>
      <w:r>
        <w:rPr>
          <w:rFonts w:hint="eastAsia" w:ascii="仿宋" w:hAnsi="仿宋" w:eastAsia="仿宋" w:cs="仿宋"/>
          <w:color w:val="auto"/>
          <w:sz w:val="24"/>
          <w:szCs w:val="24"/>
          <w:highlight w:val="none"/>
          <w:lang w:val="en-US" w:eastAsia="zh-CN"/>
        </w:rPr>
        <w:t>未为本项目提供整体设计、规范编制或者项目管理、监理、检测等服务</w:t>
      </w:r>
      <w:r>
        <w:rPr>
          <w:rFonts w:hint="eastAsia" w:ascii="仿宋" w:hAnsi="仿宋" w:eastAsia="仿宋" w:cs="仿宋"/>
          <w:color w:val="auto"/>
          <w:sz w:val="24"/>
          <w:szCs w:val="24"/>
          <w:highlight w:val="none"/>
        </w:rPr>
        <w:t>项</w:t>
      </w:r>
      <w:r>
        <w:rPr>
          <w:rFonts w:hint="eastAsia" w:ascii="仿宋" w:hAnsi="仿宋" w:eastAsia="仿宋" w:cs="仿宋"/>
          <w:color w:val="auto"/>
          <w:sz w:val="24"/>
          <w:szCs w:val="24"/>
          <w:highlight w:val="none"/>
          <w:lang w:eastAsia="zh-CN"/>
        </w:rPr>
        <w:t>。</w:t>
      </w:r>
    </w:p>
    <w:p w14:paraId="1A0E9F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我单位保证上述声明真实、有效、可查。</w:t>
      </w:r>
    </w:p>
    <w:p w14:paraId="2D3C16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特此声明。 </w:t>
      </w:r>
    </w:p>
    <w:p w14:paraId="41424C3F">
      <w:pPr>
        <w:spacing w:line="360" w:lineRule="auto"/>
        <w:rPr>
          <w:rFonts w:hint="eastAsia" w:ascii="仿宋" w:hAnsi="仿宋" w:eastAsia="仿宋" w:cs="仿宋"/>
          <w:color w:val="auto"/>
          <w:sz w:val="24"/>
          <w:szCs w:val="24"/>
          <w:highlight w:val="none"/>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B31C3DA">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86" w:name="_Toc14382"/>
      <w:r>
        <w:rPr>
          <w:rFonts w:hint="eastAsia" w:ascii="仿宋" w:hAnsi="仿宋" w:eastAsia="仿宋" w:cs="仿宋"/>
          <w:b/>
          <w:bCs/>
          <w:color w:val="auto"/>
          <w:kern w:val="0"/>
          <w:sz w:val="28"/>
          <w:szCs w:val="28"/>
          <w:highlight w:val="none"/>
          <w:lang w:val="en-US" w:eastAsia="zh-CN" w:bidi="ar"/>
        </w:rPr>
        <w:t xml:space="preserve">其他资格证明文件 </w:t>
      </w:r>
    </w:p>
    <w:p w14:paraId="361CAC4E">
      <w:pPr>
        <w:pStyle w:val="48"/>
        <w:ind w:left="0" w:leftChars="0" w:firstLine="0" w:firstLineChars="0"/>
        <w:rPr>
          <w:rFonts w:hint="eastAsia" w:ascii="仿宋" w:hAnsi="仿宋" w:eastAsia="仿宋" w:cs="仿宋"/>
          <w:color w:val="auto"/>
          <w:szCs w:val="24"/>
          <w:highlight w:val="none"/>
          <w:lang w:val="en-US" w:eastAsia="zh-CN"/>
        </w:rPr>
      </w:pPr>
    </w:p>
    <w:p w14:paraId="0C24F0AE">
      <w:pPr>
        <w:pStyle w:val="48"/>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二、报价文件</w:t>
      </w:r>
      <w:bookmarkEnd w:id="186"/>
    </w:p>
    <w:p w14:paraId="7B15133F">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87" w:name="_Toc6076"/>
      <w:r>
        <w:rPr>
          <w:rFonts w:hint="eastAsia" w:ascii="仿宋" w:hAnsi="仿宋" w:eastAsia="仿宋" w:cs="仿宋"/>
          <w:b/>
          <w:bCs/>
          <w:color w:val="auto"/>
          <w:kern w:val="0"/>
          <w:sz w:val="28"/>
          <w:szCs w:val="28"/>
          <w:highlight w:val="none"/>
          <w:lang w:val="en-US" w:eastAsia="zh-CN" w:bidi="ar"/>
        </w:rPr>
        <w:t>开标一览表</w:t>
      </w:r>
    </w:p>
    <w:p w14:paraId="5D3FB8B2">
      <w:pPr>
        <w:rPr>
          <w:rFonts w:hint="eastAsia" w:ascii="仿宋" w:hAnsi="仿宋" w:eastAsia="仿宋" w:cs="仿宋"/>
          <w:color w:val="auto"/>
          <w:highlight w:val="none"/>
          <w:lang w:val="en-US" w:eastAsia="zh-CN"/>
        </w:rPr>
      </w:pPr>
    </w:p>
    <w:p w14:paraId="6F9020A1">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13F8B0C">
      <w:pPr>
        <w:rPr>
          <w:rFonts w:hint="eastAsia" w:ascii="仿宋" w:hAnsi="仿宋" w:eastAsia="仿宋" w:cs="仿宋"/>
          <w:color w:val="auto"/>
          <w:highlight w:val="none"/>
          <w:lang w:val="en-US" w:eastAsia="zh-CN"/>
        </w:rPr>
      </w:pPr>
    </w:p>
    <w:p w14:paraId="7A7D7B31">
      <w:pPr>
        <w:rPr>
          <w:rFonts w:hint="eastAsia" w:ascii="仿宋" w:hAnsi="仿宋" w:eastAsia="仿宋" w:cs="仿宋"/>
          <w:color w:val="auto"/>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tbl>
      <w:tblPr>
        <w:tblStyle w:val="27"/>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6"/>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投标报价</w:t>
            </w:r>
            <w:r>
              <w:rPr>
                <w:rFonts w:hint="eastAsia" w:ascii="仿宋" w:hAnsi="仿宋" w:eastAsia="仿宋" w:cs="仿宋"/>
                <w:color w:val="auto"/>
                <w:sz w:val="21"/>
                <w:szCs w:val="21"/>
                <w:highlight w:val="none"/>
              </w:rPr>
              <w:t>：</w:t>
            </w:r>
          </w:p>
        </w:tc>
        <w:tc>
          <w:tcPr>
            <w:tcW w:w="6926" w:type="dxa"/>
            <w:tcBorders>
              <w:left w:val="single" w:color="000000" w:sz="6" w:space="0"/>
              <w:bottom w:val="single" w:color="000000" w:sz="6" w:space="0"/>
            </w:tcBorders>
            <w:vAlign w:val="top"/>
          </w:tcPr>
          <w:p w14:paraId="32641845">
            <w:pPr>
              <w:pStyle w:val="36"/>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大写</w:t>
            </w:r>
            <w:r>
              <w:rPr>
                <w:rFonts w:hint="eastAsia" w:ascii="仿宋" w:hAnsi="仿宋" w:eastAsia="仿宋" w:cs="仿宋"/>
                <w:color w:val="auto"/>
                <w:spacing w:val="-3"/>
                <w:sz w:val="21"/>
                <w:szCs w:val="21"/>
                <w:highlight w:val="none"/>
              </w:rPr>
              <w:t>：</w:t>
            </w:r>
            <w:r>
              <w:rPr>
                <w:rFonts w:hint="eastAsia" w:ascii="仿宋" w:hAnsi="仿宋" w:eastAsia="仿宋" w:cs="仿宋"/>
                <w:color w:val="auto"/>
                <w:spacing w:val="-3"/>
                <w:sz w:val="21"/>
                <w:szCs w:val="21"/>
                <w:highlight w:val="none"/>
                <w:u w:val="single"/>
              </w:rPr>
              <w:t xml:space="preserve"> </w:t>
            </w:r>
            <w:r>
              <w:rPr>
                <w:rFonts w:hint="eastAsia" w:ascii="仿宋" w:hAnsi="仿宋" w:eastAsia="仿宋" w:cs="仿宋"/>
                <w:color w:val="auto"/>
                <w:spacing w:val="-3"/>
                <w:sz w:val="21"/>
                <w:szCs w:val="21"/>
                <w:highlight w:val="none"/>
                <w:u w:val="single"/>
              </w:rPr>
              <w:tab/>
            </w:r>
            <w:r>
              <w:rPr>
                <w:rFonts w:hint="eastAsia" w:ascii="仿宋" w:hAnsi="仿宋" w:eastAsia="仿宋" w:cs="仿宋"/>
                <w:color w:val="auto"/>
                <w:spacing w:val="-3"/>
                <w:sz w:val="21"/>
                <w:szCs w:val="21"/>
                <w:highlight w:val="none"/>
              </w:rPr>
              <w:tab/>
            </w:r>
            <w:r>
              <w:rPr>
                <w:rFonts w:hint="eastAsia" w:ascii="仿宋" w:hAnsi="仿宋" w:eastAsia="仿宋" w:cs="仿宋"/>
                <w:color w:val="auto"/>
                <w:spacing w:val="-3"/>
                <w:sz w:val="21"/>
                <w:szCs w:val="21"/>
                <w:highlight w:val="none"/>
              </w:rPr>
              <w:t>小</w:t>
            </w:r>
            <w:r>
              <w:rPr>
                <w:rFonts w:hint="eastAsia" w:ascii="仿宋" w:hAnsi="仿宋" w:eastAsia="仿宋" w:cs="仿宋"/>
                <w:color w:val="auto"/>
                <w:spacing w:val="-1"/>
                <w:sz w:val="21"/>
                <w:szCs w:val="21"/>
                <w:highlight w:val="none"/>
              </w:rPr>
              <w:t>写</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p>
        </w:tc>
      </w:tr>
      <w:tr w14:paraId="652AF9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6DED06E5">
            <w:pPr>
              <w:pStyle w:val="36"/>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质保期</w:t>
            </w:r>
          </w:p>
        </w:tc>
        <w:tc>
          <w:tcPr>
            <w:tcW w:w="6926" w:type="dxa"/>
            <w:tcBorders>
              <w:top w:val="single" w:color="000000" w:sz="6" w:space="0"/>
              <w:left w:val="single" w:color="000000" w:sz="6" w:space="0"/>
              <w:bottom w:val="single" w:color="000000" w:sz="6" w:space="0"/>
            </w:tcBorders>
            <w:vAlign w:val="top"/>
          </w:tcPr>
          <w:p w14:paraId="070F6BCF">
            <w:pPr>
              <w:pStyle w:val="36"/>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6"/>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14:paraId="3DFC4CB1">
            <w:pPr>
              <w:pStyle w:val="36"/>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6"/>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6"/>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6"/>
              <w:spacing w:before="142"/>
              <w:ind w:left="9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6"/>
              <w:tabs>
                <w:tab w:val="left" w:pos="1837"/>
                <w:tab w:val="left" w:pos="2313"/>
                <w:tab w:val="left" w:pos="4040"/>
              </w:tabs>
              <w:spacing w:before="142"/>
              <w:ind w:left="107"/>
              <w:rPr>
                <w:rFonts w:hint="eastAsia" w:ascii="仿宋" w:hAnsi="仿宋" w:eastAsia="仿宋" w:cs="仿宋"/>
                <w:color w:val="auto"/>
                <w:sz w:val="21"/>
                <w:szCs w:val="21"/>
                <w:highlight w:val="none"/>
              </w:rPr>
            </w:pPr>
          </w:p>
        </w:tc>
      </w:tr>
    </w:tbl>
    <w:p w14:paraId="4BCBB577">
      <w:pPr>
        <w:pStyle w:val="12"/>
        <w:rPr>
          <w:rFonts w:hint="eastAsia" w:ascii="仿宋" w:hAnsi="仿宋" w:eastAsia="仿宋" w:cs="仿宋"/>
          <w:color w:val="auto"/>
          <w:highlight w:val="none"/>
          <w:lang w:val="en-US" w:eastAsia="zh-CN"/>
        </w:rPr>
      </w:pPr>
    </w:p>
    <w:p w14:paraId="173B3A10">
      <w:pPr>
        <w:pStyle w:val="1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2243C59A">
      <w:pPr>
        <w:pStyle w:val="12"/>
        <w:outlineLvl w:val="9"/>
        <w:rPr>
          <w:rFonts w:hint="eastAsia" w:ascii="仿宋" w:hAnsi="仿宋" w:eastAsia="仿宋" w:cs="仿宋"/>
          <w:color w:val="auto"/>
          <w:highlight w:val="none"/>
          <w:lang w:val="en-US" w:eastAsia="zh-CN"/>
        </w:rPr>
      </w:pPr>
      <w:bookmarkStart w:id="188" w:name="_Toc31128"/>
      <w:r>
        <w:rPr>
          <w:rFonts w:hint="eastAsia" w:ascii="仿宋" w:hAnsi="仿宋" w:eastAsia="仿宋" w:cs="仿宋"/>
          <w:color w:val="auto"/>
          <w:highlight w:val="none"/>
          <w:lang w:val="en-US" w:eastAsia="zh-CN"/>
        </w:rPr>
        <w:t>2.本表必须按包分别填写。</w:t>
      </w:r>
      <w:bookmarkEnd w:id="188"/>
    </w:p>
    <w:p w14:paraId="609D4CD5">
      <w:pPr>
        <w:pStyle w:val="12"/>
        <w:rPr>
          <w:rFonts w:hint="eastAsia" w:ascii="仿宋" w:hAnsi="仿宋" w:eastAsia="仿宋" w:cs="仿宋"/>
          <w:color w:val="auto"/>
          <w:highlight w:val="none"/>
          <w:lang w:val="en-US" w:eastAsia="zh-CN"/>
        </w:rPr>
      </w:pPr>
    </w:p>
    <w:p w14:paraId="6CF76477">
      <w:pPr>
        <w:pStyle w:val="12"/>
        <w:rPr>
          <w:rFonts w:hint="eastAsia" w:ascii="仿宋" w:hAnsi="仿宋" w:eastAsia="仿宋" w:cs="仿宋"/>
          <w:color w:val="auto"/>
          <w:highlight w:val="none"/>
          <w:lang w:val="en-US" w:eastAsia="zh-CN"/>
        </w:rPr>
      </w:pPr>
    </w:p>
    <w:p w14:paraId="1DD14A0B">
      <w:pPr>
        <w:pStyle w:val="1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p>
    <w:p w14:paraId="239FF9C7">
      <w:pPr>
        <w:pStyle w:val="1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686C74CD">
      <w:pPr>
        <w:pStyle w:val="21"/>
        <w:rPr>
          <w:rFonts w:hint="eastAsia" w:ascii="仿宋" w:hAnsi="仿宋" w:eastAsia="仿宋" w:cs="仿宋"/>
          <w:color w:val="auto"/>
          <w:highlight w:val="none"/>
          <w:lang w:val="en-US" w:eastAsia="zh-CN"/>
        </w:rPr>
      </w:pPr>
    </w:p>
    <w:p w14:paraId="3A7660F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A3D57EF">
      <w:pPr>
        <w:keepNext w:val="0"/>
        <w:keepLines w:val="0"/>
        <w:pageBreakBefore w:val="0"/>
        <w:widowControl/>
        <w:numPr>
          <w:ilvl w:val="0"/>
          <w:numId w:val="86"/>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4"/>
          <w:szCs w:val="24"/>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bookmarkStart w:id="189" w:name="_Toc7007"/>
    </w:p>
    <w:p w14:paraId="5ECCF4C3">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投标分项报价表</w:t>
      </w:r>
      <w:bookmarkEnd w:id="189"/>
    </w:p>
    <w:p w14:paraId="51EDFF59">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投标分项报价表（适用于标项）</w:t>
      </w:r>
    </w:p>
    <w:p w14:paraId="1F1144C1">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报价单位：人民币元</w:t>
      </w:r>
    </w:p>
    <w:tbl>
      <w:tblPr>
        <w:tblStyle w:val="28"/>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05"/>
        <w:gridCol w:w="2242"/>
        <w:gridCol w:w="975"/>
        <w:gridCol w:w="975"/>
        <w:gridCol w:w="780"/>
        <w:gridCol w:w="1005"/>
        <w:gridCol w:w="960"/>
        <w:gridCol w:w="840"/>
        <w:gridCol w:w="840"/>
        <w:gridCol w:w="1065"/>
        <w:gridCol w:w="870"/>
        <w:gridCol w:w="1193"/>
      </w:tblGrid>
      <w:tr w14:paraId="5C0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38" w:type="dxa"/>
            <w:vAlign w:val="center"/>
          </w:tcPr>
          <w:p w14:paraId="284DCE3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305" w:type="dxa"/>
            <w:vAlign w:val="center"/>
          </w:tcPr>
          <w:p w14:paraId="7C90596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分项名称</w:t>
            </w:r>
          </w:p>
        </w:tc>
        <w:tc>
          <w:tcPr>
            <w:tcW w:w="2242" w:type="dxa"/>
            <w:tcBorders>
              <w:right w:val="single" w:color="000000" w:sz="4" w:space="0"/>
            </w:tcBorders>
            <w:vAlign w:val="center"/>
          </w:tcPr>
          <w:p w14:paraId="6AC2B14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医疗器械注册证号或备案证号</w:t>
            </w:r>
          </w:p>
        </w:tc>
        <w:tc>
          <w:tcPr>
            <w:tcW w:w="975" w:type="dxa"/>
            <w:tcBorders>
              <w:left w:val="single" w:color="000000" w:sz="4" w:space="0"/>
            </w:tcBorders>
            <w:vAlign w:val="center"/>
          </w:tcPr>
          <w:p w14:paraId="730CEF0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w:t>
            </w:r>
          </w:p>
        </w:tc>
        <w:tc>
          <w:tcPr>
            <w:tcW w:w="975" w:type="dxa"/>
            <w:tcBorders>
              <w:left w:val="single" w:color="000000" w:sz="4" w:space="0"/>
            </w:tcBorders>
            <w:vAlign w:val="center"/>
          </w:tcPr>
          <w:p w14:paraId="2FD8F81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制造商规模</w:t>
            </w:r>
          </w:p>
        </w:tc>
        <w:tc>
          <w:tcPr>
            <w:tcW w:w="780" w:type="dxa"/>
            <w:vAlign w:val="center"/>
          </w:tcPr>
          <w:p w14:paraId="4CA171B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品牌</w:t>
            </w:r>
          </w:p>
        </w:tc>
        <w:tc>
          <w:tcPr>
            <w:tcW w:w="1005" w:type="dxa"/>
            <w:vAlign w:val="center"/>
          </w:tcPr>
          <w:p w14:paraId="4EED02A1">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产地/国别</w:t>
            </w:r>
          </w:p>
        </w:tc>
        <w:tc>
          <w:tcPr>
            <w:tcW w:w="960" w:type="dxa"/>
            <w:vAlign w:val="center"/>
          </w:tcPr>
          <w:p w14:paraId="223D79D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c>
          <w:tcPr>
            <w:tcW w:w="840" w:type="dxa"/>
            <w:vAlign w:val="center"/>
          </w:tcPr>
          <w:p w14:paraId="6D0275B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840" w:type="dxa"/>
            <w:vAlign w:val="center"/>
          </w:tcPr>
          <w:p w14:paraId="7B2247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065" w:type="dxa"/>
            <w:vAlign w:val="center"/>
          </w:tcPr>
          <w:p w14:paraId="25D7ED6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单价（元）</w:t>
            </w:r>
          </w:p>
        </w:tc>
        <w:tc>
          <w:tcPr>
            <w:tcW w:w="870" w:type="dxa"/>
            <w:vAlign w:val="center"/>
          </w:tcPr>
          <w:p w14:paraId="33CBF74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合价（元）</w:t>
            </w:r>
          </w:p>
        </w:tc>
        <w:tc>
          <w:tcPr>
            <w:tcW w:w="1193" w:type="dxa"/>
            <w:vAlign w:val="center"/>
          </w:tcPr>
          <w:p w14:paraId="6A685A2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53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38" w:type="dxa"/>
            <w:vAlign w:val="center"/>
          </w:tcPr>
          <w:p w14:paraId="5037415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305" w:type="dxa"/>
            <w:vAlign w:val="center"/>
          </w:tcPr>
          <w:p w14:paraId="3BB3801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2242" w:type="dxa"/>
            <w:tcBorders>
              <w:right w:val="single" w:color="000000" w:sz="4" w:space="0"/>
            </w:tcBorders>
            <w:vAlign w:val="center"/>
          </w:tcPr>
          <w:p w14:paraId="57B6250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975" w:type="dxa"/>
            <w:tcBorders>
              <w:left w:val="single" w:color="000000" w:sz="4" w:space="0"/>
            </w:tcBorders>
            <w:vAlign w:val="center"/>
          </w:tcPr>
          <w:p w14:paraId="7CD813C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975" w:type="dxa"/>
            <w:tcBorders>
              <w:left w:val="single" w:color="000000" w:sz="4" w:space="0"/>
            </w:tcBorders>
            <w:vAlign w:val="center"/>
          </w:tcPr>
          <w:p w14:paraId="77DADAD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780" w:type="dxa"/>
            <w:vAlign w:val="center"/>
          </w:tcPr>
          <w:p w14:paraId="3662E0F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005" w:type="dxa"/>
            <w:vAlign w:val="center"/>
          </w:tcPr>
          <w:p w14:paraId="5C11C47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960" w:type="dxa"/>
            <w:vAlign w:val="center"/>
          </w:tcPr>
          <w:p w14:paraId="552999E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840" w:type="dxa"/>
            <w:vAlign w:val="center"/>
          </w:tcPr>
          <w:p w14:paraId="12C670E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840" w:type="dxa"/>
            <w:vAlign w:val="center"/>
          </w:tcPr>
          <w:p w14:paraId="01A4D9C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065" w:type="dxa"/>
            <w:vAlign w:val="center"/>
          </w:tcPr>
          <w:p w14:paraId="390D1EF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870" w:type="dxa"/>
            <w:vAlign w:val="center"/>
          </w:tcPr>
          <w:p w14:paraId="3838DAD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193" w:type="dxa"/>
            <w:vAlign w:val="center"/>
          </w:tcPr>
          <w:p w14:paraId="3EC32E7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r>
      <w:tr w14:paraId="262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8" w:type="dxa"/>
            <w:vAlign w:val="center"/>
          </w:tcPr>
          <w:p w14:paraId="332468D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0987" w:type="dxa"/>
            <w:gridSpan w:val="10"/>
            <w:vAlign w:val="center"/>
          </w:tcPr>
          <w:p w14:paraId="496F5B1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总价（元）</w:t>
            </w:r>
          </w:p>
        </w:tc>
        <w:tc>
          <w:tcPr>
            <w:tcW w:w="870" w:type="dxa"/>
            <w:vAlign w:val="center"/>
          </w:tcPr>
          <w:p w14:paraId="79B6BE3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193" w:type="dxa"/>
            <w:vAlign w:val="center"/>
          </w:tcPr>
          <w:p w14:paraId="1DA260F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r>
    </w:tbl>
    <w:p w14:paraId="177513E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22100DF">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2.除采购文件另有规定外，</w:t>
      </w:r>
      <w:r>
        <w:rPr>
          <w:rFonts w:hint="eastAsia" w:ascii="仿宋" w:hAnsi="仿宋" w:eastAsia="仿宋" w:cs="仿宋"/>
          <w:color w:val="auto"/>
          <w:sz w:val="24"/>
          <w:szCs w:val="24"/>
          <w:highlight w:val="none"/>
          <w:lang w:val="en-US" w:eastAsia="zh-CN"/>
        </w:rPr>
        <w:t>如果不提供分项报价表将视为没有实质性响应招标文件。</w:t>
      </w:r>
    </w:p>
    <w:p w14:paraId="5C47D893">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5.“制造商规模”请填写“大型”、“中型”、“小型”、“微型”或“其他”，如提供《中小企业声明函》、《分包意向协议》、《联合协议》，则涉及相同内容应与本表保持一致。</w:t>
      </w:r>
    </w:p>
    <w:p w14:paraId="3CA6A03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6.上述各项的详细规格（如有），可另页描述。</w:t>
      </w:r>
    </w:p>
    <w:p w14:paraId="1C69993D">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7、投标产品属于医疗器械的，应在此栏填写与投标产品型号规格一致、且在有效期内的《医疗器械注册证》号或《医疗器械备案凭证》号；非医疗器械产品，本栏填写 “无”。投标人对所填证件信息的真实性、有效性承担全部法律责任。</w:t>
      </w:r>
    </w:p>
    <w:p w14:paraId="6B3497F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）：____________</w:t>
      </w:r>
    </w:p>
    <w:p w14:paraId="03560E15">
      <w:pPr>
        <w:spacing w:line="360" w:lineRule="auto"/>
        <w:rPr>
          <w:rFonts w:hint="eastAsia" w:ascii="仿宋" w:hAnsi="仿宋" w:eastAsia="仿宋" w:cs="仿宋"/>
          <w:color w:val="auto"/>
          <w:sz w:val="24"/>
          <w:szCs w:val="24"/>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color w:val="auto"/>
          <w:sz w:val="24"/>
          <w:szCs w:val="24"/>
          <w:highlight w:val="none"/>
          <w:lang w:val="en-US" w:eastAsia="zh-CN"/>
        </w:rPr>
        <w:t>日期：_____年______月______日</w:t>
      </w:r>
    </w:p>
    <w:p w14:paraId="22768D3E">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90" w:name="_Toc16514"/>
      <w:r>
        <w:rPr>
          <w:rFonts w:hint="eastAsia" w:ascii="仿宋" w:hAnsi="仿宋" w:eastAsia="仿宋" w:cs="仿宋"/>
          <w:b/>
          <w:bCs/>
          <w:color w:val="auto"/>
          <w:kern w:val="0"/>
          <w:sz w:val="28"/>
          <w:szCs w:val="28"/>
          <w:highlight w:val="none"/>
          <w:lang w:val="en-US" w:eastAsia="zh-CN" w:bidi="ar"/>
        </w:rPr>
        <w:t>适配使用耗材/易损备件分项报价表</w:t>
      </w:r>
    </w:p>
    <w:p w14:paraId="38BF59E0">
      <w:pPr>
        <w:jc w:val="center"/>
        <w:outlineLvl w:val="9"/>
        <w:rPr>
          <w:rFonts w:hint="eastAsia" w:ascii="仿宋" w:hAnsi="仿宋" w:eastAsia="仿宋" w:cs="仿宋"/>
          <w:b/>
          <w:bCs/>
          <w:color w:val="auto"/>
          <w:sz w:val="28"/>
          <w:szCs w:val="28"/>
          <w:highlight w:val="none"/>
        </w:rPr>
      </w:pPr>
    </w:p>
    <w:p w14:paraId="390DDEA6">
      <w:pPr>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适配使用耗材/易损备件分项报价表</w:t>
      </w:r>
    </w:p>
    <w:p w14:paraId="196C99B9">
      <w:pPr>
        <w:pStyle w:val="47"/>
        <w:autoSpaceDE w:val="0"/>
        <w:autoSpaceDN w:val="0"/>
        <w:adjustRightInd w:val="0"/>
        <w:ind w:firstLine="632" w:firstLineChars="300"/>
        <w:jc w:val="left"/>
        <w:rPr>
          <w:rFonts w:hint="eastAsia" w:ascii="仿宋" w:hAnsi="仿宋" w:eastAsia="仿宋" w:cs="仿宋"/>
          <w:b/>
          <w:color w:val="auto"/>
          <w:kern w:val="0"/>
          <w:szCs w:val="21"/>
          <w:highlight w:val="none"/>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报价单位：人民币元</w:t>
      </w:r>
      <w:r>
        <w:rPr>
          <w:rFonts w:hint="eastAsia" w:ascii="仿宋" w:hAnsi="仿宋" w:eastAsia="仿宋" w:cs="仿宋"/>
          <w:color w:val="auto"/>
          <w:szCs w:val="21"/>
          <w:highlight w:val="none"/>
        </w:rPr>
        <w:t xml:space="preserve"> </w:t>
      </w:r>
    </w:p>
    <w:p w14:paraId="7506FDDC">
      <w:pPr>
        <w:pStyle w:val="47"/>
        <w:autoSpaceDE w:val="0"/>
        <w:autoSpaceDN w:val="0"/>
        <w:adjustRightInd w:val="0"/>
        <w:jc w:val="left"/>
        <w:rPr>
          <w:rFonts w:hint="eastAsia" w:ascii="仿宋" w:hAnsi="仿宋" w:eastAsia="仿宋" w:cs="仿宋"/>
          <w:color w:val="auto"/>
          <w:szCs w:val="21"/>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含税单价</w:t>
            </w:r>
          </w:p>
          <w:p w14:paraId="7BF0FDE3">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color w:val="auto"/>
                <w:szCs w:val="21"/>
                <w:highlight w:val="none"/>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color w:val="auto"/>
                <w:szCs w:val="21"/>
                <w:highlight w:val="none"/>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color w:val="auto"/>
                <w:szCs w:val="21"/>
                <w:highlight w:val="none"/>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投标人全称(盖公章)：</w:t>
      </w:r>
      <w:r>
        <w:rPr>
          <w:rFonts w:hint="eastAsia" w:ascii="仿宋" w:hAnsi="仿宋" w:eastAsia="仿宋" w:cs="仿宋"/>
          <w:color w:val="auto"/>
          <w:szCs w:val="21"/>
          <w:highlight w:val="none"/>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lang w:eastAsia="zh-CN"/>
        </w:rPr>
        <w:t>签字或签章</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______</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日</w:t>
      </w:r>
    </w:p>
    <w:p w14:paraId="6AFFAA76">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三、商务技术文件</w:t>
      </w:r>
      <w:bookmarkEnd w:id="190"/>
    </w:p>
    <w:p w14:paraId="62BD962D">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lang w:val="en-US"/>
        </w:rPr>
      </w:pPr>
      <w:r>
        <w:rPr>
          <w:rFonts w:hint="eastAsia" w:ascii="仿宋" w:hAnsi="仿宋" w:eastAsia="仿宋" w:cs="仿宋"/>
          <w:b/>
          <w:bCs/>
          <w:color w:val="auto"/>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191"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191"/>
      <w:r>
        <w:rPr>
          <w:rFonts w:hint="eastAsia" w:ascii="仿宋" w:hAnsi="仿宋" w:eastAsia="仿宋" w:cs="仿宋"/>
          <w:color w:val="auto"/>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192"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192"/>
      <w:r>
        <w:rPr>
          <w:rFonts w:hint="eastAsia" w:ascii="仿宋" w:hAnsi="仿宋" w:eastAsia="仿宋" w:cs="仿宋"/>
          <w:color w:val="auto"/>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37EEFB5">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授权委托书</w:t>
      </w:r>
      <w:bookmarkEnd w:id="187"/>
      <w:r>
        <w:rPr>
          <w:rFonts w:hint="eastAsia" w:ascii="仿宋" w:hAnsi="仿宋" w:eastAsia="仿宋" w:cs="仿宋"/>
          <w:b/>
          <w:bCs/>
          <w:color w:val="auto"/>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193" w:name="_Toc18807"/>
      <w:r>
        <w:rPr>
          <w:rFonts w:hint="eastAsia" w:ascii="仿宋" w:hAnsi="仿宋" w:eastAsia="仿宋" w:cs="仿宋"/>
          <w:color w:val="auto"/>
          <w:kern w:val="0"/>
          <w:sz w:val="24"/>
          <w:szCs w:val="24"/>
          <w:highlight w:val="none"/>
          <w:lang w:val="en-US" w:eastAsia="zh-CN" w:bidi="ar"/>
        </w:rPr>
        <w:t>3.投标人为自然人的情形，可不提供本《授权委托书》。</w:t>
      </w:r>
      <w:bookmarkEnd w:id="193"/>
    </w:p>
    <w:p w14:paraId="282069AF">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A2A46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52337D1">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94" w:name="_Toc23107"/>
      <w:r>
        <w:rPr>
          <w:rFonts w:hint="eastAsia" w:ascii="仿宋" w:hAnsi="仿宋" w:eastAsia="仿宋" w:cs="仿宋"/>
          <w:b/>
          <w:bCs/>
          <w:color w:val="auto"/>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auto"/>
          <w:kern w:val="0"/>
          <w:sz w:val="28"/>
          <w:szCs w:val="28"/>
          <w:highlight w:val="none"/>
          <w:lang w:val="en-US" w:eastAsia="zh-CN" w:bidi="ar"/>
        </w:rPr>
      </w:pPr>
    </w:p>
    <w:p w14:paraId="41F420CF">
      <w:pPr>
        <w:rPr>
          <w:rFonts w:hint="eastAsia" w:ascii="仿宋" w:hAnsi="仿宋" w:eastAsia="仿宋" w:cs="仿宋"/>
          <w:b/>
          <w:bCs/>
          <w:color w:val="auto"/>
          <w:kern w:val="0"/>
          <w:sz w:val="28"/>
          <w:szCs w:val="28"/>
          <w:highlight w:val="none"/>
          <w:lang w:val="en-US" w:eastAsia="zh-CN" w:bidi="ar"/>
        </w:rPr>
      </w:pPr>
      <w:bookmarkStart w:id="195" w:name="_Toc4379"/>
      <w:bookmarkStart w:id="196" w:name="_Toc28343"/>
      <w:r>
        <w:rPr>
          <w:rFonts w:hint="eastAsia" w:ascii="仿宋" w:hAnsi="仿宋" w:eastAsia="仿宋" w:cs="仿宋"/>
          <w:b/>
          <w:bCs/>
          <w:color w:val="auto"/>
          <w:kern w:val="0"/>
          <w:sz w:val="28"/>
          <w:szCs w:val="28"/>
          <w:highlight w:val="none"/>
          <w:lang w:val="en-US" w:eastAsia="zh-CN" w:bidi="ar"/>
        </w:rPr>
        <w:br w:type="page"/>
      </w:r>
    </w:p>
    <w:p w14:paraId="706E124B">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r>
        <w:rPr>
          <w:rFonts w:hint="eastAsia" w:ascii="仿宋" w:hAnsi="仿宋" w:eastAsia="仿宋" w:cs="仿宋"/>
          <w:b/>
          <w:bCs/>
          <w:color w:val="auto"/>
          <w:kern w:val="0"/>
          <w:sz w:val="28"/>
          <w:szCs w:val="28"/>
          <w:highlight w:val="none"/>
          <w:lang w:val="zh-CN" w:eastAsia="zh-CN" w:bidi="ar"/>
        </w:rPr>
        <w:t>不参与围标串标承诺书</w:t>
      </w:r>
    </w:p>
    <w:p w14:paraId="668C13AD">
      <w:pPr>
        <w:spacing w:before="0" w:after="0"/>
        <w:jc w:val="left"/>
        <w:outlineLvl w:val="9"/>
        <w:rPr>
          <w:rFonts w:hint="eastAsia"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bookmarkStart w:id="197"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197"/>
    <w:p w14:paraId="07601D7F">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bookmarkStart w:id="198"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198"/>
    <w:p w14:paraId="7B0F2B01">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199"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199"/>
    </w:p>
    <w:p w14:paraId="3966B378">
      <w:pPr>
        <w:autoSpaceDE w:val="0"/>
        <w:autoSpaceDN w:val="0"/>
        <w:adjustRightInd w:val="0"/>
        <w:spacing w:line="400" w:lineRule="exact"/>
        <w:ind w:firstLine="4435" w:firstLineChars="1848"/>
        <w:rPr>
          <w:rFonts w:hint="eastAsia" w:ascii="仿宋" w:hAnsi="仿宋" w:eastAsia="仿宋" w:cs="仿宋"/>
          <w:bCs/>
          <w:color w:val="auto"/>
          <w:kern w:val="0"/>
          <w:sz w:val="24"/>
          <w:szCs w:val="24"/>
          <w:highlight w:val="none"/>
          <w:lang w:val="zh-CN"/>
        </w:rPr>
      </w:pPr>
      <w:bookmarkStart w:id="200"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200"/>
    </w:p>
    <w:p w14:paraId="04D391A1">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bookmarkEnd w:id="195"/>
    <w:bookmarkEnd w:id="196"/>
    <w:p w14:paraId="10280761">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投标产品明细表</w:t>
      </w:r>
    </w:p>
    <w:p w14:paraId="39CC6AE2">
      <w:pPr>
        <w:pStyle w:val="26"/>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28"/>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60"/>
        <w:gridCol w:w="2010"/>
        <w:gridCol w:w="765"/>
        <w:gridCol w:w="825"/>
        <w:gridCol w:w="825"/>
        <w:gridCol w:w="1125"/>
        <w:gridCol w:w="870"/>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shd w:val="clear" w:color="auto" w:fill="auto"/>
            <w:vAlign w:val="center"/>
          </w:tcPr>
          <w:p w14:paraId="383CF13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序号</w:t>
            </w:r>
          </w:p>
        </w:tc>
        <w:tc>
          <w:tcPr>
            <w:tcW w:w="960" w:type="dxa"/>
            <w:shd w:val="clear" w:color="auto" w:fill="auto"/>
            <w:vAlign w:val="center"/>
          </w:tcPr>
          <w:p w14:paraId="1D5C8AA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分项名称</w:t>
            </w:r>
          </w:p>
        </w:tc>
        <w:tc>
          <w:tcPr>
            <w:tcW w:w="2010" w:type="dxa"/>
            <w:shd w:val="clear" w:color="auto" w:fill="auto"/>
            <w:vAlign w:val="center"/>
          </w:tcPr>
          <w:p w14:paraId="571BD4A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医疗器械注册证号或备案证号</w:t>
            </w:r>
          </w:p>
        </w:tc>
        <w:tc>
          <w:tcPr>
            <w:tcW w:w="765" w:type="dxa"/>
            <w:shd w:val="clear" w:color="auto" w:fill="auto"/>
            <w:vAlign w:val="center"/>
          </w:tcPr>
          <w:p w14:paraId="19F1670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制造商</w:t>
            </w:r>
          </w:p>
        </w:tc>
        <w:tc>
          <w:tcPr>
            <w:tcW w:w="825" w:type="dxa"/>
            <w:shd w:val="clear" w:color="auto" w:fill="auto"/>
            <w:vAlign w:val="center"/>
          </w:tcPr>
          <w:p w14:paraId="1D0D4A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制造商规模</w:t>
            </w:r>
          </w:p>
        </w:tc>
        <w:tc>
          <w:tcPr>
            <w:tcW w:w="825" w:type="dxa"/>
            <w:shd w:val="clear" w:color="auto" w:fill="auto"/>
            <w:vAlign w:val="center"/>
          </w:tcPr>
          <w:p w14:paraId="4F51A2D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品牌</w:t>
            </w:r>
          </w:p>
        </w:tc>
        <w:tc>
          <w:tcPr>
            <w:tcW w:w="1125" w:type="dxa"/>
            <w:shd w:val="clear" w:color="auto" w:fill="auto"/>
            <w:vAlign w:val="center"/>
          </w:tcPr>
          <w:p w14:paraId="4FF59AD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产地/国别</w:t>
            </w:r>
          </w:p>
        </w:tc>
        <w:tc>
          <w:tcPr>
            <w:tcW w:w="870" w:type="dxa"/>
            <w:shd w:val="clear" w:color="auto" w:fill="auto"/>
            <w:vAlign w:val="center"/>
          </w:tcPr>
          <w:p w14:paraId="14C41ED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CD027C8">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26A7C83F">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CC1489C">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7FBF0914">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6786A3E">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C496575">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22AB6A2C">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51424352">
            <w:pPr>
              <w:pStyle w:val="12"/>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525BA67">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EC67354">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4200BDC5">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2AD128A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65CFE296">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16FB37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FAF44D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202CFE00">
            <w:pPr>
              <w:pStyle w:val="12"/>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0BE626E5">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46B5FFDB">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5AFA0A5A">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461145A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4B32E7F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527FBA41">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7E83E1F">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11F801F3">
            <w:pPr>
              <w:pStyle w:val="12"/>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B348B8C">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DB1FF00">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63EAB02">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03C5B87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399A480">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3603352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071D146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6A2B3131">
            <w:pPr>
              <w:pStyle w:val="12"/>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如果不提供投标产品明细表将视为没有实质性响应招标文件。</w:t>
      </w:r>
    </w:p>
    <w:p w14:paraId="7C45AA8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投标产品属于医疗器械的，应在此栏填写与投标产品型号规格一致、且在有效期内的《医疗器械注册证》号或《医疗器械备案凭证》号；非医疗器械产品，本栏填写 “无”。投标人对所填证件信息的真实性、有效性承担全部法律责任。</w:t>
      </w:r>
    </w:p>
    <w:p w14:paraId="340158C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2085E323">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8"/>
          <w:szCs w:val="28"/>
          <w:highlight w:val="none"/>
          <w:lang w:val="en-US" w:eastAsia="zh-CN" w:bidi="ar"/>
        </w:rPr>
        <w:t>关于符合本国产品标准的声明函或财政部规定的其他</w:t>
      </w:r>
      <w:bookmarkStart w:id="201" w:name="_Toc15816"/>
      <w:r>
        <w:rPr>
          <w:rFonts w:hint="eastAsia" w:ascii="仿宋" w:hAnsi="仿宋" w:eastAsia="仿宋" w:cs="仿宋"/>
          <w:b/>
          <w:bCs/>
          <w:color w:val="auto"/>
          <w:kern w:val="0"/>
          <w:sz w:val="28"/>
          <w:szCs w:val="28"/>
          <w:highlight w:val="none"/>
          <w:lang w:val="en-US" w:eastAsia="zh-CN" w:bidi="ar"/>
        </w:rPr>
        <w:t>证明文件</w:t>
      </w:r>
      <w:bookmarkEnd w:id="201"/>
    </w:p>
    <w:p w14:paraId="72BE04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2A49500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5CA19A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238A7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66757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50863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78B3C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593DB9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A4A3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5DDF5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052CF6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77AABD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7C528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3686C2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248DBB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571AE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66DA91F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116F71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450AF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A9A69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FE472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4DB74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A9699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9734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5D834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4EFAF9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349D16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1D3F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337887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EEA7C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1E11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C8D9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FD9D2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B244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5A3F5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B581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13ABB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1234E91A">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color w:val="auto"/>
          <w:sz w:val="24"/>
          <w:szCs w:val="24"/>
          <w:highlight w:val="none"/>
          <w:lang w:val="en-US" w:eastAsia="zh-CN"/>
        </w:rPr>
      </w:pPr>
    </w:p>
    <w:p w14:paraId="480BF399">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highlight w:val="none"/>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color w:val="auto"/>
                <w:sz w:val="21"/>
                <w:szCs w:val="21"/>
                <w:highlight w:val="none"/>
                <w:vertAlign w:val="baseline"/>
                <w:lang w:val="en-US" w:eastAsia="zh-CN"/>
              </w:rPr>
            </w:pPr>
          </w:p>
        </w:tc>
      </w:tr>
    </w:tbl>
    <w:p w14:paraId="24157736">
      <w:pPr>
        <w:numPr>
          <w:ilvl w:val="0"/>
          <w:numId w:val="0"/>
        </w:numPr>
        <w:rPr>
          <w:rFonts w:hint="eastAsia" w:ascii="仿宋" w:hAnsi="仿宋" w:eastAsia="仿宋" w:cs="仿宋"/>
          <w:color w:val="auto"/>
          <w:sz w:val="24"/>
          <w:szCs w:val="24"/>
          <w:highlight w:val="none"/>
          <w:lang w:val="en-US" w:eastAsia="zh-CN"/>
        </w:rPr>
      </w:pPr>
    </w:p>
    <w:p w14:paraId="08871C1F">
      <w:pPr>
        <w:numPr>
          <w:ilvl w:val="0"/>
          <w:numId w:val="0"/>
        </w:numPr>
        <w:rPr>
          <w:rFonts w:hint="eastAsia" w:ascii="仿宋" w:hAnsi="仿宋" w:eastAsia="仿宋" w:cs="仿宋"/>
          <w:color w:val="auto"/>
          <w:sz w:val="24"/>
          <w:szCs w:val="24"/>
          <w:highlight w:val="none"/>
          <w:lang w:val="en-US" w:eastAsia="zh-CN"/>
        </w:rPr>
      </w:pPr>
    </w:p>
    <w:p w14:paraId="6BE9BC29">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投标人名称（盖公章）：</w:t>
      </w:r>
    </w:p>
    <w:p w14:paraId="19FBA95A">
      <w:pPr>
        <w:numPr>
          <w:ilvl w:val="0"/>
          <w:numId w:val="0"/>
        </w:numPr>
        <w:rPr>
          <w:rFonts w:hint="eastAsia" w:ascii="仿宋" w:hAnsi="仿宋" w:eastAsia="仿宋" w:cs="仿宋"/>
          <w:color w:val="auto"/>
          <w:sz w:val="24"/>
          <w:szCs w:val="24"/>
          <w:highlight w:val="none"/>
          <w:lang w:val="en-US" w:eastAsia="zh-CN"/>
        </w:rPr>
      </w:pPr>
    </w:p>
    <w:p w14:paraId="1ABC284A">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366B10D">
      <w:pPr>
        <w:numPr>
          <w:ilvl w:val="0"/>
          <w:numId w:val="0"/>
        </w:numPr>
        <w:rPr>
          <w:rFonts w:hint="eastAsia" w:ascii="仿宋" w:hAnsi="仿宋" w:eastAsia="仿宋" w:cs="仿宋"/>
          <w:color w:val="auto"/>
          <w:sz w:val="24"/>
          <w:szCs w:val="24"/>
          <w:highlight w:val="none"/>
          <w:lang w:val="en-US" w:eastAsia="zh-CN"/>
        </w:rPr>
      </w:pPr>
    </w:p>
    <w:p w14:paraId="243C7501">
      <w:pPr>
        <w:numPr>
          <w:ilvl w:val="0"/>
          <w:numId w:val="0"/>
        </w:numPr>
        <w:rPr>
          <w:rFonts w:hint="eastAsia" w:ascii="仿宋" w:hAnsi="仿宋" w:eastAsia="仿宋" w:cs="仿宋"/>
          <w:color w:val="auto"/>
          <w:sz w:val="24"/>
          <w:szCs w:val="24"/>
          <w:highlight w:val="none"/>
          <w:lang w:val="en-US" w:eastAsia="zh-CN"/>
        </w:rPr>
      </w:pPr>
    </w:p>
    <w:p w14:paraId="1D7D69EE">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highlight w:val="none"/>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color w:val="auto"/>
                <w:sz w:val="21"/>
                <w:szCs w:val="21"/>
                <w:highlight w:val="none"/>
                <w:vertAlign w:val="baseline"/>
                <w:lang w:val="en-US" w:eastAsia="zh-CN"/>
              </w:rPr>
            </w:pPr>
          </w:p>
        </w:tc>
      </w:tr>
    </w:tbl>
    <w:p w14:paraId="4021AFF7">
      <w:pPr>
        <w:numPr>
          <w:ilvl w:val="0"/>
          <w:numId w:val="0"/>
        </w:numPr>
        <w:rPr>
          <w:rFonts w:hint="eastAsia" w:ascii="仿宋" w:hAnsi="仿宋" w:eastAsia="仿宋" w:cs="仿宋"/>
          <w:color w:val="auto"/>
          <w:sz w:val="24"/>
          <w:szCs w:val="24"/>
          <w:highlight w:val="none"/>
          <w:lang w:val="en-US" w:eastAsia="zh-CN"/>
        </w:rPr>
      </w:pPr>
    </w:p>
    <w:p w14:paraId="18D84896">
      <w:pPr>
        <w:numPr>
          <w:ilvl w:val="0"/>
          <w:numId w:val="0"/>
        </w:numPr>
        <w:rPr>
          <w:rFonts w:hint="eastAsia" w:ascii="仿宋" w:hAnsi="仿宋" w:eastAsia="仿宋" w:cs="仿宋"/>
          <w:color w:val="auto"/>
          <w:sz w:val="24"/>
          <w:szCs w:val="24"/>
          <w:highlight w:val="none"/>
          <w:lang w:val="en-US" w:eastAsia="zh-CN"/>
        </w:rPr>
      </w:pPr>
    </w:p>
    <w:p w14:paraId="53597C4A">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投标人名称（盖公章）：</w:t>
      </w:r>
    </w:p>
    <w:p w14:paraId="5253BC71">
      <w:pPr>
        <w:numPr>
          <w:ilvl w:val="0"/>
          <w:numId w:val="0"/>
        </w:numPr>
        <w:rPr>
          <w:rFonts w:hint="eastAsia" w:ascii="仿宋" w:hAnsi="仿宋" w:eastAsia="仿宋" w:cs="仿宋"/>
          <w:color w:val="auto"/>
          <w:sz w:val="24"/>
          <w:szCs w:val="24"/>
          <w:highlight w:val="none"/>
          <w:lang w:val="en-US" w:eastAsia="zh-CN"/>
        </w:rPr>
      </w:pPr>
    </w:p>
    <w:p w14:paraId="3AAC79E2">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80138CC">
      <w:pPr>
        <w:numPr>
          <w:ilvl w:val="0"/>
          <w:numId w:val="0"/>
        </w:numPr>
        <w:rPr>
          <w:rFonts w:hint="eastAsia" w:ascii="仿宋" w:hAnsi="仿宋" w:eastAsia="仿宋" w:cs="仿宋"/>
          <w:color w:val="auto"/>
          <w:sz w:val="24"/>
          <w:szCs w:val="24"/>
          <w:highlight w:val="none"/>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1.投标人应将所投产品中为节能、环保产品分别列入上表中，并按本招标文件提供相关证明材料，第五章采购需求“采购标的物清单”以外的附属产品或未填写本表或未提供有效认证证书的不给予评审优惠。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color w:val="auto"/>
          <w:sz w:val="21"/>
          <w:szCs w:val="21"/>
          <w:highlight w:val="none"/>
        </w:rPr>
      </w:pPr>
    </w:p>
    <w:p w14:paraId="3DDB2A64">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47677118">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37" w:type="dxa"/>
          </w:tcPr>
          <w:p w14:paraId="414C9A7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74" w:type="dxa"/>
          </w:tcPr>
          <w:p w14:paraId="3DE5B37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326" w:type="dxa"/>
          </w:tcPr>
          <w:p w14:paraId="3F5F36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17" w:type="dxa"/>
          </w:tcPr>
          <w:p w14:paraId="3018DCA8">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133" w:type="dxa"/>
          </w:tcPr>
          <w:p w14:paraId="24CED5B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717" w:type="dxa"/>
          </w:tcPr>
          <w:p w14:paraId="22624D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37" w:type="dxa"/>
          </w:tcPr>
          <w:p w14:paraId="544A947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74" w:type="dxa"/>
            <w:shd w:val="clear" w:color="auto" w:fill="auto"/>
            <w:vAlign w:val="top"/>
          </w:tcPr>
          <w:p w14:paraId="5D30E2D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1"/>
                <w:szCs w:val="21"/>
                <w:highlight w:val="none"/>
                <w:vertAlign w:val="baseline"/>
                <w:lang w:val="en-US" w:eastAsia="zh-CN" w:bidi="zh-CN"/>
              </w:rPr>
            </w:pPr>
          </w:p>
        </w:tc>
        <w:tc>
          <w:tcPr>
            <w:tcW w:w="1326" w:type="dxa"/>
          </w:tcPr>
          <w:p w14:paraId="0E380ED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17" w:type="dxa"/>
          </w:tcPr>
          <w:p w14:paraId="639D43C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133" w:type="dxa"/>
          </w:tcPr>
          <w:p w14:paraId="1913A85C">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717" w:type="dxa"/>
          </w:tcPr>
          <w:p w14:paraId="1DBB10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仿宋" w:hAnsi="仿宋" w:eastAsia="仿宋" w:cs="仿宋"/>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仿宋" w:hAnsi="仿宋" w:eastAsia="仿宋" w:cs="仿宋"/>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仿宋" w:hAnsi="仿宋" w:eastAsia="仿宋" w:cs="仿宋"/>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仿宋" w:hAnsi="仿宋" w:eastAsia="仿宋" w:cs="仿宋"/>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仿宋" w:hAnsi="仿宋" w:eastAsia="仿宋" w:cs="仿宋"/>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仿宋" w:hAnsi="仿宋" w:eastAsia="仿宋" w:cs="仿宋"/>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仿宋" w:hAnsi="仿宋" w:eastAsia="仿宋" w:cs="仿宋"/>
                <w:color w:val="auto"/>
                <w:kern w:val="2"/>
                <w:sz w:val="21"/>
                <w:szCs w:val="21"/>
                <w:highlight w:val="none"/>
                <w:lang w:val="en-US" w:eastAsia="zh-CN" w:bidi="ar-SA"/>
              </w:rPr>
            </w:pPr>
          </w:p>
        </w:tc>
      </w:tr>
    </w:tbl>
    <w:p w14:paraId="46264320">
      <w:pPr>
        <w:pStyle w:val="12"/>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5F4278FC">
      <w:pPr>
        <w:pStyle w:val="1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注： </w:t>
      </w:r>
    </w:p>
    <w:p w14:paraId="571E832D">
      <w:pPr>
        <w:pStyle w:val="1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1.投标人应如实列出以上情况，如有虚假，一经查实将导致其</w:t>
      </w:r>
      <w:r>
        <w:rPr>
          <w:rFonts w:hint="eastAsia" w:ascii="仿宋" w:hAnsi="仿宋" w:eastAsia="仿宋" w:cs="仿宋"/>
          <w:b/>
          <w:bCs/>
          <w:color w:val="auto"/>
          <w:kern w:val="2"/>
          <w:sz w:val="24"/>
          <w:szCs w:val="24"/>
          <w:highlight w:val="none"/>
          <w:lang w:val="en-US" w:eastAsia="zh-CN" w:bidi="ar-SA"/>
        </w:rPr>
        <w:t>投标无效</w:t>
      </w:r>
      <w:r>
        <w:rPr>
          <w:rFonts w:hint="eastAsia" w:ascii="仿宋" w:hAnsi="仿宋" w:eastAsia="仿宋" w:cs="仿宋"/>
          <w:color w:val="auto"/>
          <w:kern w:val="2"/>
          <w:sz w:val="24"/>
          <w:szCs w:val="24"/>
          <w:highlight w:val="none"/>
          <w:lang w:val="en-US" w:eastAsia="zh-CN" w:bidi="ar-SA"/>
        </w:rPr>
        <w:t>并被拒绝。 2.投标人应按照招标文件的要求提供业绩证明材料。</w:t>
      </w:r>
    </w:p>
    <w:p w14:paraId="7141860D">
      <w:pPr>
        <w:pStyle w:val="12"/>
        <w:ind w:left="0" w:leftChars="0" w:firstLine="0" w:firstLineChars="0"/>
        <w:rPr>
          <w:rFonts w:hint="eastAsia" w:ascii="仿宋" w:hAnsi="仿宋" w:eastAsia="仿宋" w:cs="仿宋"/>
          <w:color w:val="auto"/>
          <w:sz w:val="24"/>
          <w:szCs w:val="24"/>
          <w:highlight w:val="none"/>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p>
    <w:p w14:paraId="6A322A2F">
      <w:pPr>
        <w:pStyle w:val="21"/>
        <w:ind w:left="0" w:leftChars="0" w:firstLine="0" w:firstLineChars="0"/>
        <w:jc w:val="left"/>
        <w:outlineLvl w:val="9"/>
        <w:rPr>
          <w:rFonts w:hint="eastAsia" w:ascii="仿宋" w:hAnsi="仿宋" w:eastAsia="仿宋" w:cs="仿宋"/>
          <w:color w:val="auto"/>
          <w:sz w:val="24"/>
          <w:szCs w:val="24"/>
          <w:highlight w:val="none"/>
          <w:lang w:val="en-US" w:eastAsia="zh-CN"/>
        </w:rPr>
      </w:pPr>
    </w:p>
    <w:p w14:paraId="7C11A558">
      <w:pPr>
        <w:rPr>
          <w:rFonts w:hint="eastAsia" w:ascii="仿宋" w:hAnsi="仿宋" w:eastAsia="仿宋" w:cs="仿宋"/>
          <w:b/>
          <w:bCs/>
          <w:color w:val="auto"/>
          <w:kern w:val="2"/>
          <w:sz w:val="32"/>
          <w:szCs w:val="32"/>
          <w:highlight w:val="none"/>
          <w:lang w:val="en-US" w:eastAsia="zh-CN" w:bidi="ar-SA"/>
        </w:rPr>
      </w:pPr>
      <w:bookmarkStart w:id="202" w:name="_Toc22277"/>
      <w:bookmarkStart w:id="203" w:name="_Toc24146"/>
      <w:r>
        <w:rPr>
          <w:rFonts w:hint="eastAsia" w:ascii="仿宋" w:hAnsi="仿宋" w:eastAsia="仿宋" w:cs="仿宋"/>
          <w:b/>
          <w:bCs/>
          <w:color w:val="auto"/>
          <w:kern w:val="2"/>
          <w:sz w:val="32"/>
          <w:szCs w:val="32"/>
          <w:highlight w:val="none"/>
          <w:lang w:val="en-US" w:eastAsia="zh-CN" w:bidi="ar-SA"/>
        </w:rPr>
        <w:br w:type="page"/>
      </w:r>
    </w:p>
    <w:p w14:paraId="048637FA">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拟派项目团队</w:t>
      </w:r>
      <w:bookmarkEnd w:id="202"/>
      <w:bookmarkEnd w:id="203"/>
    </w:p>
    <w:tbl>
      <w:tblPr>
        <w:tblStyle w:val="27"/>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6"/>
              <w:jc w:val="center"/>
              <w:rPr>
                <w:rFonts w:hint="eastAsia" w:ascii="仿宋" w:hAnsi="仿宋" w:eastAsia="仿宋" w:cs="仿宋"/>
                <w:color w:val="auto"/>
                <w:sz w:val="21"/>
                <w:szCs w:val="21"/>
                <w:highlight w:val="none"/>
              </w:rPr>
            </w:pPr>
            <w:bookmarkStart w:id="204" w:name="_Toc100090784"/>
            <w:bookmarkStart w:id="205" w:name="_Toc99533292"/>
            <w:r>
              <w:rPr>
                <w:rFonts w:hint="eastAsia" w:ascii="仿宋" w:hAnsi="仿宋" w:eastAsia="仿宋" w:cs="仿宋"/>
                <w:color w:val="auto"/>
                <w:sz w:val="21"/>
                <w:szCs w:val="21"/>
                <w:highlight w:val="none"/>
              </w:rPr>
              <w:t>1</w:t>
            </w:r>
            <w:bookmarkEnd w:id="204"/>
            <w:bookmarkEnd w:id="205"/>
          </w:p>
        </w:tc>
        <w:tc>
          <w:tcPr>
            <w:tcW w:w="1267" w:type="dxa"/>
            <w:vAlign w:val="center"/>
          </w:tcPr>
          <w:p w14:paraId="14E32A8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6"/>
              <w:jc w:val="center"/>
              <w:rPr>
                <w:rFonts w:hint="eastAsia" w:ascii="仿宋" w:hAnsi="仿宋" w:eastAsia="仿宋" w:cs="仿宋"/>
                <w:color w:val="auto"/>
                <w:sz w:val="21"/>
                <w:szCs w:val="21"/>
                <w:highlight w:val="none"/>
              </w:rPr>
            </w:pPr>
          </w:p>
        </w:tc>
        <w:tc>
          <w:tcPr>
            <w:tcW w:w="1860" w:type="dxa"/>
            <w:vAlign w:val="center"/>
          </w:tcPr>
          <w:p w14:paraId="3D67B196">
            <w:pPr>
              <w:pStyle w:val="46"/>
              <w:jc w:val="center"/>
              <w:rPr>
                <w:rFonts w:hint="eastAsia" w:ascii="仿宋" w:hAnsi="仿宋" w:eastAsia="仿宋" w:cs="仿宋"/>
                <w:color w:val="auto"/>
                <w:sz w:val="21"/>
                <w:szCs w:val="21"/>
                <w:highlight w:val="none"/>
              </w:rPr>
            </w:pPr>
          </w:p>
        </w:tc>
        <w:tc>
          <w:tcPr>
            <w:tcW w:w="1356" w:type="dxa"/>
            <w:vAlign w:val="center"/>
          </w:tcPr>
          <w:p w14:paraId="4E31B5EF">
            <w:pPr>
              <w:pStyle w:val="46"/>
              <w:jc w:val="center"/>
              <w:rPr>
                <w:rFonts w:hint="eastAsia" w:ascii="仿宋" w:hAnsi="仿宋" w:eastAsia="仿宋" w:cs="仿宋"/>
                <w:color w:val="auto"/>
                <w:sz w:val="21"/>
                <w:szCs w:val="21"/>
                <w:highlight w:val="none"/>
              </w:rPr>
            </w:pPr>
          </w:p>
        </w:tc>
        <w:tc>
          <w:tcPr>
            <w:tcW w:w="816" w:type="dxa"/>
            <w:vAlign w:val="center"/>
          </w:tcPr>
          <w:p w14:paraId="2AAE1A6B">
            <w:pPr>
              <w:pStyle w:val="46"/>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6"/>
              <w:jc w:val="center"/>
              <w:rPr>
                <w:rFonts w:hint="eastAsia" w:ascii="仿宋" w:hAnsi="仿宋" w:eastAsia="仿宋" w:cs="仿宋"/>
                <w:color w:val="auto"/>
                <w:sz w:val="21"/>
                <w:szCs w:val="21"/>
                <w:highlight w:val="none"/>
              </w:rPr>
            </w:pPr>
            <w:bookmarkStart w:id="206" w:name="_Toc100090785"/>
            <w:bookmarkStart w:id="207" w:name="_Toc99533293"/>
            <w:r>
              <w:rPr>
                <w:rFonts w:hint="eastAsia" w:ascii="仿宋" w:hAnsi="仿宋" w:eastAsia="仿宋" w:cs="仿宋"/>
                <w:color w:val="auto"/>
                <w:sz w:val="21"/>
                <w:szCs w:val="21"/>
                <w:highlight w:val="none"/>
              </w:rPr>
              <w:t>2</w:t>
            </w:r>
            <w:bookmarkEnd w:id="206"/>
            <w:bookmarkEnd w:id="207"/>
          </w:p>
        </w:tc>
        <w:tc>
          <w:tcPr>
            <w:tcW w:w="1267" w:type="dxa"/>
            <w:vAlign w:val="center"/>
          </w:tcPr>
          <w:p w14:paraId="5DB11A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6"/>
              <w:jc w:val="center"/>
              <w:rPr>
                <w:rFonts w:hint="eastAsia" w:ascii="仿宋" w:hAnsi="仿宋" w:eastAsia="仿宋" w:cs="仿宋"/>
                <w:color w:val="auto"/>
                <w:sz w:val="21"/>
                <w:szCs w:val="21"/>
                <w:highlight w:val="none"/>
              </w:rPr>
            </w:pPr>
          </w:p>
        </w:tc>
        <w:tc>
          <w:tcPr>
            <w:tcW w:w="1860" w:type="dxa"/>
            <w:vAlign w:val="center"/>
          </w:tcPr>
          <w:p w14:paraId="7B070DF3">
            <w:pPr>
              <w:pStyle w:val="46"/>
              <w:jc w:val="center"/>
              <w:rPr>
                <w:rFonts w:hint="eastAsia" w:ascii="仿宋" w:hAnsi="仿宋" w:eastAsia="仿宋" w:cs="仿宋"/>
                <w:color w:val="auto"/>
                <w:sz w:val="21"/>
                <w:szCs w:val="21"/>
                <w:highlight w:val="none"/>
              </w:rPr>
            </w:pPr>
          </w:p>
        </w:tc>
        <w:tc>
          <w:tcPr>
            <w:tcW w:w="1356" w:type="dxa"/>
            <w:vAlign w:val="center"/>
          </w:tcPr>
          <w:p w14:paraId="36DCE26B">
            <w:pPr>
              <w:pStyle w:val="46"/>
              <w:jc w:val="center"/>
              <w:rPr>
                <w:rFonts w:hint="eastAsia" w:ascii="仿宋" w:hAnsi="仿宋" w:eastAsia="仿宋" w:cs="仿宋"/>
                <w:color w:val="auto"/>
                <w:sz w:val="21"/>
                <w:szCs w:val="21"/>
                <w:highlight w:val="none"/>
              </w:rPr>
            </w:pPr>
          </w:p>
        </w:tc>
        <w:tc>
          <w:tcPr>
            <w:tcW w:w="816" w:type="dxa"/>
            <w:vAlign w:val="center"/>
          </w:tcPr>
          <w:p w14:paraId="1574287F">
            <w:pPr>
              <w:pStyle w:val="46"/>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6"/>
              <w:jc w:val="center"/>
              <w:rPr>
                <w:rFonts w:hint="eastAsia" w:ascii="仿宋" w:hAnsi="仿宋" w:eastAsia="仿宋" w:cs="仿宋"/>
                <w:color w:val="auto"/>
                <w:sz w:val="21"/>
                <w:szCs w:val="21"/>
                <w:highlight w:val="none"/>
              </w:rPr>
            </w:pPr>
            <w:bookmarkStart w:id="208" w:name="_Toc100090786"/>
            <w:bookmarkStart w:id="209" w:name="_Toc99533294"/>
            <w:r>
              <w:rPr>
                <w:rFonts w:hint="eastAsia" w:ascii="仿宋" w:hAnsi="仿宋" w:eastAsia="仿宋" w:cs="仿宋"/>
                <w:color w:val="auto"/>
                <w:sz w:val="21"/>
                <w:szCs w:val="21"/>
                <w:highlight w:val="none"/>
              </w:rPr>
              <w:t>3</w:t>
            </w:r>
            <w:bookmarkEnd w:id="208"/>
            <w:bookmarkEnd w:id="209"/>
          </w:p>
        </w:tc>
        <w:tc>
          <w:tcPr>
            <w:tcW w:w="1267" w:type="dxa"/>
            <w:vAlign w:val="center"/>
          </w:tcPr>
          <w:p w14:paraId="40858BDB">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6"/>
              <w:jc w:val="center"/>
              <w:rPr>
                <w:rFonts w:hint="eastAsia" w:ascii="仿宋" w:hAnsi="仿宋" w:eastAsia="仿宋" w:cs="仿宋"/>
                <w:color w:val="auto"/>
                <w:sz w:val="21"/>
                <w:szCs w:val="21"/>
                <w:highlight w:val="none"/>
              </w:rPr>
            </w:pPr>
          </w:p>
        </w:tc>
        <w:tc>
          <w:tcPr>
            <w:tcW w:w="1860" w:type="dxa"/>
            <w:vAlign w:val="center"/>
          </w:tcPr>
          <w:p w14:paraId="4A0CAA03">
            <w:pPr>
              <w:pStyle w:val="46"/>
              <w:jc w:val="center"/>
              <w:rPr>
                <w:rFonts w:hint="eastAsia" w:ascii="仿宋" w:hAnsi="仿宋" w:eastAsia="仿宋" w:cs="仿宋"/>
                <w:color w:val="auto"/>
                <w:sz w:val="21"/>
                <w:szCs w:val="21"/>
                <w:highlight w:val="none"/>
              </w:rPr>
            </w:pPr>
          </w:p>
        </w:tc>
        <w:tc>
          <w:tcPr>
            <w:tcW w:w="1356" w:type="dxa"/>
            <w:vAlign w:val="center"/>
          </w:tcPr>
          <w:p w14:paraId="63A7AE0E">
            <w:pPr>
              <w:pStyle w:val="46"/>
              <w:jc w:val="center"/>
              <w:rPr>
                <w:rFonts w:hint="eastAsia" w:ascii="仿宋" w:hAnsi="仿宋" w:eastAsia="仿宋" w:cs="仿宋"/>
                <w:color w:val="auto"/>
                <w:sz w:val="21"/>
                <w:szCs w:val="21"/>
                <w:highlight w:val="none"/>
              </w:rPr>
            </w:pPr>
          </w:p>
        </w:tc>
        <w:tc>
          <w:tcPr>
            <w:tcW w:w="816" w:type="dxa"/>
            <w:vAlign w:val="center"/>
          </w:tcPr>
          <w:p w14:paraId="22B0389D">
            <w:pPr>
              <w:pStyle w:val="46"/>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6"/>
              <w:jc w:val="center"/>
              <w:rPr>
                <w:rFonts w:hint="eastAsia" w:ascii="仿宋" w:hAnsi="仿宋" w:eastAsia="仿宋" w:cs="仿宋"/>
                <w:color w:val="auto"/>
                <w:sz w:val="21"/>
                <w:szCs w:val="21"/>
                <w:highlight w:val="none"/>
              </w:rPr>
            </w:pPr>
            <w:bookmarkStart w:id="210" w:name="_Toc99533295"/>
            <w:bookmarkStart w:id="211" w:name="_Toc100090787"/>
            <w:r>
              <w:rPr>
                <w:rFonts w:hint="eastAsia" w:ascii="仿宋" w:hAnsi="仿宋" w:eastAsia="仿宋" w:cs="仿宋"/>
                <w:color w:val="auto"/>
                <w:sz w:val="21"/>
                <w:szCs w:val="21"/>
                <w:highlight w:val="none"/>
              </w:rPr>
              <w:t>4</w:t>
            </w:r>
            <w:bookmarkEnd w:id="210"/>
            <w:bookmarkEnd w:id="211"/>
          </w:p>
        </w:tc>
        <w:tc>
          <w:tcPr>
            <w:tcW w:w="1267" w:type="dxa"/>
            <w:vAlign w:val="center"/>
          </w:tcPr>
          <w:p w14:paraId="5B7611CD">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6"/>
              <w:jc w:val="center"/>
              <w:rPr>
                <w:rFonts w:hint="eastAsia" w:ascii="仿宋" w:hAnsi="仿宋" w:eastAsia="仿宋" w:cs="仿宋"/>
                <w:color w:val="auto"/>
                <w:sz w:val="21"/>
                <w:szCs w:val="21"/>
                <w:highlight w:val="none"/>
              </w:rPr>
            </w:pPr>
          </w:p>
        </w:tc>
        <w:tc>
          <w:tcPr>
            <w:tcW w:w="1860" w:type="dxa"/>
            <w:vAlign w:val="center"/>
          </w:tcPr>
          <w:p w14:paraId="430527F1">
            <w:pPr>
              <w:pStyle w:val="46"/>
              <w:jc w:val="center"/>
              <w:rPr>
                <w:rFonts w:hint="eastAsia" w:ascii="仿宋" w:hAnsi="仿宋" w:eastAsia="仿宋" w:cs="仿宋"/>
                <w:color w:val="auto"/>
                <w:sz w:val="21"/>
                <w:szCs w:val="21"/>
                <w:highlight w:val="none"/>
              </w:rPr>
            </w:pPr>
          </w:p>
        </w:tc>
        <w:tc>
          <w:tcPr>
            <w:tcW w:w="1356" w:type="dxa"/>
            <w:vAlign w:val="center"/>
          </w:tcPr>
          <w:p w14:paraId="4D7FEC1C">
            <w:pPr>
              <w:pStyle w:val="46"/>
              <w:jc w:val="center"/>
              <w:rPr>
                <w:rFonts w:hint="eastAsia" w:ascii="仿宋" w:hAnsi="仿宋" w:eastAsia="仿宋" w:cs="仿宋"/>
                <w:color w:val="auto"/>
                <w:sz w:val="21"/>
                <w:szCs w:val="21"/>
                <w:highlight w:val="none"/>
              </w:rPr>
            </w:pPr>
          </w:p>
        </w:tc>
        <w:tc>
          <w:tcPr>
            <w:tcW w:w="816" w:type="dxa"/>
            <w:vAlign w:val="center"/>
          </w:tcPr>
          <w:p w14:paraId="6F9CE1D1">
            <w:pPr>
              <w:pStyle w:val="46"/>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6"/>
              <w:jc w:val="center"/>
              <w:rPr>
                <w:rFonts w:hint="eastAsia" w:ascii="仿宋" w:hAnsi="仿宋" w:eastAsia="仿宋" w:cs="仿宋"/>
                <w:color w:val="auto"/>
                <w:sz w:val="21"/>
                <w:szCs w:val="21"/>
                <w:highlight w:val="none"/>
              </w:rPr>
            </w:pPr>
            <w:bookmarkStart w:id="212" w:name="_Toc99533296"/>
            <w:bookmarkStart w:id="213" w:name="_Toc100090788"/>
            <w:r>
              <w:rPr>
                <w:rFonts w:hint="eastAsia" w:ascii="仿宋" w:hAnsi="仿宋" w:eastAsia="仿宋" w:cs="仿宋"/>
                <w:color w:val="auto"/>
                <w:sz w:val="21"/>
                <w:szCs w:val="21"/>
                <w:highlight w:val="none"/>
              </w:rPr>
              <w:t>5</w:t>
            </w:r>
            <w:bookmarkEnd w:id="212"/>
            <w:bookmarkEnd w:id="213"/>
          </w:p>
        </w:tc>
        <w:tc>
          <w:tcPr>
            <w:tcW w:w="1267" w:type="dxa"/>
            <w:vAlign w:val="center"/>
          </w:tcPr>
          <w:p w14:paraId="4BDD04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6"/>
              <w:jc w:val="center"/>
              <w:rPr>
                <w:rFonts w:hint="eastAsia" w:ascii="仿宋" w:hAnsi="仿宋" w:eastAsia="仿宋" w:cs="仿宋"/>
                <w:color w:val="auto"/>
                <w:sz w:val="21"/>
                <w:szCs w:val="21"/>
                <w:highlight w:val="none"/>
              </w:rPr>
            </w:pPr>
          </w:p>
        </w:tc>
        <w:tc>
          <w:tcPr>
            <w:tcW w:w="1860" w:type="dxa"/>
            <w:vAlign w:val="center"/>
          </w:tcPr>
          <w:p w14:paraId="510CC0E0">
            <w:pPr>
              <w:pStyle w:val="46"/>
              <w:jc w:val="center"/>
              <w:rPr>
                <w:rFonts w:hint="eastAsia" w:ascii="仿宋" w:hAnsi="仿宋" w:eastAsia="仿宋" w:cs="仿宋"/>
                <w:color w:val="auto"/>
                <w:sz w:val="21"/>
                <w:szCs w:val="21"/>
                <w:highlight w:val="none"/>
              </w:rPr>
            </w:pPr>
          </w:p>
        </w:tc>
        <w:tc>
          <w:tcPr>
            <w:tcW w:w="1356" w:type="dxa"/>
            <w:vAlign w:val="center"/>
          </w:tcPr>
          <w:p w14:paraId="64D57D40">
            <w:pPr>
              <w:pStyle w:val="46"/>
              <w:jc w:val="center"/>
              <w:rPr>
                <w:rFonts w:hint="eastAsia" w:ascii="仿宋" w:hAnsi="仿宋" w:eastAsia="仿宋" w:cs="仿宋"/>
                <w:color w:val="auto"/>
                <w:sz w:val="21"/>
                <w:szCs w:val="21"/>
                <w:highlight w:val="none"/>
              </w:rPr>
            </w:pPr>
          </w:p>
        </w:tc>
        <w:tc>
          <w:tcPr>
            <w:tcW w:w="816" w:type="dxa"/>
            <w:vAlign w:val="center"/>
          </w:tcPr>
          <w:p w14:paraId="48F852E5">
            <w:pPr>
              <w:pStyle w:val="46"/>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6"/>
              <w:jc w:val="center"/>
              <w:rPr>
                <w:rFonts w:hint="eastAsia" w:ascii="仿宋" w:hAnsi="仿宋" w:eastAsia="仿宋" w:cs="仿宋"/>
                <w:color w:val="auto"/>
                <w:sz w:val="21"/>
                <w:szCs w:val="21"/>
                <w:highlight w:val="none"/>
              </w:rPr>
            </w:pPr>
            <w:bookmarkStart w:id="214" w:name="_Toc100090789"/>
            <w:bookmarkStart w:id="215" w:name="_Toc99533297"/>
            <w:r>
              <w:rPr>
                <w:rFonts w:hint="eastAsia" w:ascii="仿宋" w:hAnsi="仿宋" w:eastAsia="仿宋" w:cs="仿宋"/>
                <w:color w:val="auto"/>
                <w:sz w:val="21"/>
                <w:szCs w:val="21"/>
                <w:highlight w:val="none"/>
              </w:rPr>
              <w:t>6</w:t>
            </w:r>
            <w:bookmarkEnd w:id="214"/>
            <w:bookmarkEnd w:id="215"/>
          </w:p>
        </w:tc>
        <w:tc>
          <w:tcPr>
            <w:tcW w:w="1267" w:type="dxa"/>
            <w:vAlign w:val="center"/>
          </w:tcPr>
          <w:p w14:paraId="33A64A03">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6"/>
              <w:jc w:val="center"/>
              <w:rPr>
                <w:rFonts w:hint="eastAsia" w:ascii="仿宋" w:hAnsi="仿宋" w:eastAsia="仿宋" w:cs="仿宋"/>
                <w:color w:val="auto"/>
                <w:sz w:val="21"/>
                <w:szCs w:val="21"/>
                <w:highlight w:val="none"/>
              </w:rPr>
            </w:pPr>
          </w:p>
        </w:tc>
        <w:tc>
          <w:tcPr>
            <w:tcW w:w="1860" w:type="dxa"/>
            <w:vAlign w:val="center"/>
          </w:tcPr>
          <w:p w14:paraId="32D844EF">
            <w:pPr>
              <w:pStyle w:val="46"/>
              <w:jc w:val="center"/>
              <w:rPr>
                <w:rFonts w:hint="eastAsia" w:ascii="仿宋" w:hAnsi="仿宋" w:eastAsia="仿宋" w:cs="仿宋"/>
                <w:color w:val="auto"/>
                <w:sz w:val="21"/>
                <w:szCs w:val="21"/>
                <w:highlight w:val="none"/>
              </w:rPr>
            </w:pPr>
          </w:p>
        </w:tc>
        <w:tc>
          <w:tcPr>
            <w:tcW w:w="1356" w:type="dxa"/>
            <w:vAlign w:val="center"/>
          </w:tcPr>
          <w:p w14:paraId="4CC88A42">
            <w:pPr>
              <w:pStyle w:val="46"/>
              <w:jc w:val="center"/>
              <w:rPr>
                <w:rFonts w:hint="eastAsia" w:ascii="仿宋" w:hAnsi="仿宋" w:eastAsia="仿宋" w:cs="仿宋"/>
                <w:color w:val="auto"/>
                <w:sz w:val="21"/>
                <w:szCs w:val="21"/>
                <w:highlight w:val="none"/>
              </w:rPr>
            </w:pPr>
          </w:p>
        </w:tc>
        <w:tc>
          <w:tcPr>
            <w:tcW w:w="816" w:type="dxa"/>
            <w:vAlign w:val="center"/>
          </w:tcPr>
          <w:p w14:paraId="547CA019">
            <w:pPr>
              <w:pStyle w:val="46"/>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6"/>
              <w:jc w:val="center"/>
              <w:rPr>
                <w:rFonts w:hint="eastAsia" w:ascii="仿宋" w:hAnsi="仿宋" w:eastAsia="仿宋" w:cs="仿宋"/>
                <w:color w:val="auto"/>
                <w:sz w:val="21"/>
                <w:szCs w:val="21"/>
                <w:highlight w:val="none"/>
              </w:rPr>
            </w:pPr>
            <w:bookmarkStart w:id="216" w:name="_Toc100090790"/>
            <w:bookmarkStart w:id="217" w:name="_Toc99533298"/>
            <w:r>
              <w:rPr>
                <w:rFonts w:hint="eastAsia" w:ascii="仿宋" w:hAnsi="仿宋" w:eastAsia="仿宋" w:cs="仿宋"/>
                <w:color w:val="auto"/>
                <w:sz w:val="21"/>
                <w:szCs w:val="21"/>
                <w:highlight w:val="none"/>
              </w:rPr>
              <w:t>7</w:t>
            </w:r>
            <w:bookmarkEnd w:id="216"/>
            <w:bookmarkEnd w:id="217"/>
          </w:p>
        </w:tc>
        <w:tc>
          <w:tcPr>
            <w:tcW w:w="1267" w:type="dxa"/>
            <w:vAlign w:val="center"/>
          </w:tcPr>
          <w:p w14:paraId="124F0451">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6"/>
              <w:jc w:val="center"/>
              <w:rPr>
                <w:rFonts w:hint="eastAsia" w:ascii="仿宋" w:hAnsi="仿宋" w:eastAsia="仿宋" w:cs="仿宋"/>
                <w:color w:val="auto"/>
                <w:sz w:val="21"/>
                <w:szCs w:val="21"/>
                <w:highlight w:val="none"/>
              </w:rPr>
            </w:pPr>
          </w:p>
        </w:tc>
        <w:tc>
          <w:tcPr>
            <w:tcW w:w="1860" w:type="dxa"/>
            <w:vAlign w:val="center"/>
          </w:tcPr>
          <w:p w14:paraId="175CEFFD">
            <w:pPr>
              <w:pStyle w:val="46"/>
              <w:jc w:val="center"/>
              <w:rPr>
                <w:rFonts w:hint="eastAsia" w:ascii="仿宋" w:hAnsi="仿宋" w:eastAsia="仿宋" w:cs="仿宋"/>
                <w:color w:val="auto"/>
                <w:sz w:val="21"/>
                <w:szCs w:val="21"/>
                <w:highlight w:val="none"/>
              </w:rPr>
            </w:pPr>
          </w:p>
        </w:tc>
        <w:tc>
          <w:tcPr>
            <w:tcW w:w="1356" w:type="dxa"/>
            <w:vAlign w:val="center"/>
          </w:tcPr>
          <w:p w14:paraId="4EC4E763">
            <w:pPr>
              <w:pStyle w:val="46"/>
              <w:jc w:val="center"/>
              <w:rPr>
                <w:rFonts w:hint="eastAsia" w:ascii="仿宋" w:hAnsi="仿宋" w:eastAsia="仿宋" w:cs="仿宋"/>
                <w:color w:val="auto"/>
                <w:sz w:val="21"/>
                <w:szCs w:val="21"/>
                <w:highlight w:val="none"/>
              </w:rPr>
            </w:pPr>
          </w:p>
        </w:tc>
        <w:tc>
          <w:tcPr>
            <w:tcW w:w="816" w:type="dxa"/>
            <w:vAlign w:val="center"/>
          </w:tcPr>
          <w:p w14:paraId="510FCAD5">
            <w:pPr>
              <w:pStyle w:val="46"/>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6"/>
              <w:jc w:val="center"/>
              <w:rPr>
                <w:rFonts w:hint="eastAsia" w:ascii="仿宋" w:hAnsi="仿宋" w:eastAsia="仿宋" w:cs="仿宋"/>
                <w:color w:val="auto"/>
                <w:sz w:val="21"/>
                <w:szCs w:val="21"/>
                <w:highlight w:val="none"/>
              </w:rPr>
            </w:pPr>
            <w:bookmarkStart w:id="218" w:name="_Toc99533299"/>
            <w:bookmarkStart w:id="219" w:name="_Toc100090791"/>
            <w:r>
              <w:rPr>
                <w:rFonts w:hint="eastAsia" w:ascii="仿宋" w:hAnsi="仿宋" w:eastAsia="仿宋" w:cs="仿宋"/>
                <w:color w:val="auto"/>
                <w:sz w:val="21"/>
                <w:szCs w:val="21"/>
                <w:highlight w:val="none"/>
              </w:rPr>
              <w:t>8</w:t>
            </w:r>
            <w:bookmarkEnd w:id="218"/>
            <w:bookmarkEnd w:id="219"/>
          </w:p>
        </w:tc>
        <w:tc>
          <w:tcPr>
            <w:tcW w:w="1267" w:type="dxa"/>
            <w:vAlign w:val="center"/>
          </w:tcPr>
          <w:p w14:paraId="6CCBF149">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6"/>
              <w:jc w:val="center"/>
              <w:rPr>
                <w:rFonts w:hint="eastAsia" w:ascii="仿宋" w:hAnsi="仿宋" w:eastAsia="仿宋" w:cs="仿宋"/>
                <w:color w:val="auto"/>
                <w:sz w:val="21"/>
                <w:szCs w:val="21"/>
                <w:highlight w:val="none"/>
              </w:rPr>
            </w:pPr>
          </w:p>
        </w:tc>
        <w:tc>
          <w:tcPr>
            <w:tcW w:w="1860" w:type="dxa"/>
            <w:vAlign w:val="center"/>
          </w:tcPr>
          <w:p w14:paraId="7063EAFF">
            <w:pPr>
              <w:pStyle w:val="46"/>
              <w:jc w:val="center"/>
              <w:rPr>
                <w:rFonts w:hint="eastAsia" w:ascii="仿宋" w:hAnsi="仿宋" w:eastAsia="仿宋" w:cs="仿宋"/>
                <w:color w:val="auto"/>
                <w:sz w:val="21"/>
                <w:szCs w:val="21"/>
                <w:highlight w:val="none"/>
              </w:rPr>
            </w:pPr>
          </w:p>
        </w:tc>
        <w:tc>
          <w:tcPr>
            <w:tcW w:w="1356" w:type="dxa"/>
            <w:vAlign w:val="center"/>
          </w:tcPr>
          <w:p w14:paraId="77E7A473">
            <w:pPr>
              <w:pStyle w:val="46"/>
              <w:jc w:val="center"/>
              <w:rPr>
                <w:rFonts w:hint="eastAsia" w:ascii="仿宋" w:hAnsi="仿宋" w:eastAsia="仿宋" w:cs="仿宋"/>
                <w:color w:val="auto"/>
                <w:sz w:val="21"/>
                <w:szCs w:val="21"/>
                <w:highlight w:val="none"/>
              </w:rPr>
            </w:pPr>
          </w:p>
        </w:tc>
        <w:tc>
          <w:tcPr>
            <w:tcW w:w="816" w:type="dxa"/>
            <w:vAlign w:val="center"/>
          </w:tcPr>
          <w:p w14:paraId="0D5C1B1E">
            <w:pPr>
              <w:pStyle w:val="46"/>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6"/>
              <w:jc w:val="center"/>
              <w:rPr>
                <w:rFonts w:hint="eastAsia" w:ascii="仿宋" w:hAnsi="仿宋" w:eastAsia="仿宋" w:cs="仿宋"/>
                <w:color w:val="auto"/>
                <w:sz w:val="21"/>
                <w:szCs w:val="21"/>
                <w:highlight w:val="none"/>
              </w:rPr>
            </w:pPr>
            <w:bookmarkStart w:id="220" w:name="_Toc99533300"/>
            <w:bookmarkStart w:id="221" w:name="_Toc100090792"/>
            <w:r>
              <w:rPr>
                <w:rFonts w:hint="eastAsia" w:ascii="仿宋" w:hAnsi="仿宋" w:eastAsia="仿宋" w:cs="仿宋"/>
                <w:color w:val="auto"/>
                <w:sz w:val="21"/>
                <w:szCs w:val="21"/>
                <w:highlight w:val="none"/>
              </w:rPr>
              <w:t>9</w:t>
            </w:r>
            <w:bookmarkEnd w:id="220"/>
            <w:bookmarkEnd w:id="221"/>
          </w:p>
        </w:tc>
        <w:tc>
          <w:tcPr>
            <w:tcW w:w="1267" w:type="dxa"/>
            <w:vAlign w:val="center"/>
          </w:tcPr>
          <w:p w14:paraId="1425A618">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6"/>
              <w:jc w:val="center"/>
              <w:rPr>
                <w:rFonts w:hint="eastAsia" w:ascii="仿宋" w:hAnsi="仿宋" w:eastAsia="仿宋" w:cs="仿宋"/>
                <w:color w:val="auto"/>
                <w:sz w:val="21"/>
                <w:szCs w:val="21"/>
                <w:highlight w:val="none"/>
              </w:rPr>
            </w:pPr>
          </w:p>
        </w:tc>
        <w:tc>
          <w:tcPr>
            <w:tcW w:w="1860" w:type="dxa"/>
            <w:vAlign w:val="center"/>
          </w:tcPr>
          <w:p w14:paraId="1FE5A1CC">
            <w:pPr>
              <w:pStyle w:val="46"/>
              <w:jc w:val="center"/>
              <w:rPr>
                <w:rFonts w:hint="eastAsia" w:ascii="仿宋" w:hAnsi="仿宋" w:eastAsia="仿宋" w:cs="仿宋"/>
                <w:color w:val="auto"/>
                <w:sz w:val="21"/>
                <w:szCs w:val="21"/>
                <w:highlight w:val="none"/>
              </w:rPr>
            </w:pPr>
          </w:p>
        </w:tc>
        <w:tc>
          <w:tcPr>
            <w:tcW w:w="1356" w:type="dxa"/>
            <w:vAlign w:val="center"/>
          </w:tcPr>
          <w:p w14:paraId="49FC5E5A">
            <w:pPr>
              <w:pStyle w:val="46"/>
              <w:jc w:val="center"/>
              <w:rPr>
                <w:rFonts w:hint="eastAsia" w:ascii="仿宋" w:hAnsi="仿宋" w:eastAsia="仿宋" w:cs="仿宋"/>
                <w:color w:val="auto"/>
                <w:sz w:val="21"/>
                <w:szCs w:val="21"/>
                <w:highlight w:val="none"/>
              </w:rPr>
            </w:pPr>
          </w:p>
        </w:tc>
        <w:tc>
          <w:tcPr>
            <w:tcW w:w="816" w:type="dxa"/>
            <w:vAlign w:val="center"/>
          </w:tcPr>
          <w:p w14:paraId="301B83F0">
            <w:pPr>
              <w:pStyle w:val="46"/>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6"/>
              <w:jc w:val="center"/>
              <w:rPr>
                <w:rFonts w:hint="eastAsia" w:ascii="仿宋" w:hAnsi="仿宋" w:eastAsia="仿宋" w:cs="仿宋"/>
                <w:color w:val="auto"/>
                <w:sz w:val="21"/>
                <w:szCs w:val="21"/>
                <w:highlight w:val="none"/>
              </w:rPr>
            </w:pPr>
            <w:bookmarkStart w:id="222" w:name="_Toc100090793"/>
            <w:bookmarkStart w:id="223" w:name="_Toc99533301"/>
            <w:r>
              <w:rPr>
                <w:rFonts w:hint="eastAsia" w:ascii="仿宋" w:hAnsi="仿宋" w:eastAsia="仿宋" w:cs="仿宋"/>
                <w:color w:val="auto"/>
                <w:sz w:val="21"/>
                <w:szCs w:val="21"/>
                <w:highlight w:val="none"/>
              </w:rPr>
              <w:t>10</w:t>
            </w:r>
            <w:bookmarkEnd w:id="222"/>
            <w:bookmarkEnd w:id="223"/>
          </w:p>
        </w:tc>
        <w:tc>
          <w:tcPr>
            <w:tcW w:w="1267" w:type="dxa"/>
            <w:vAlign w:val="center"/>
          </w:tcPr>
          <w:p w14:paraId="2F9803B6">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6"/>
              <w:jc w:val="center"/>
              <w:rPr>
                <w:rFonts w:hint="eastAsia" w:ascii="仿宋" w:hAnsi="仿宋" w:eastAsia="仿宋" w:cs="仿宋"/>
                <w:color w:val="auto"/>
                <w:sz w:val="21"/>
                <w:szCs w:val="21"/>
                <w:highlight w:val="none"/>
              </w:rPr>
            </w:pPr>
          </w:p>
        </w:tc>
        <w:tc>
          <w:tcPr>
            <w:tcW w:w="1860" w:type="dxa"/>
            <w:vAlign w:val="center"/>
          </w:tcPr>
          <w:p w14:paraId="6C9B414E">
            <w:pPr>
              <w:pStyle w:val="46"/>
              <w:jc w:val="center"/>
              <w:rPr>
                <w:rFonts w:hint="eastAsia" w:ascii="仿宋" w:hAnsi="仿宋" w:eastAsia="仿宋" w:cs="仿宋"/>
                <w:color w:val="auto"/>
                <w:sz w:val="21"/>
                <w:szCs w:val="21"/>
                <w:highlight w:val="none"/>
              </w:rPr>
            </w:pPr>
          </w:p>
        </w:tc>
        <w:tc>
          <w:tcPr>
            <w:tcW w:w="1356" w:type="dxa"/>
            <w:vAlign w:val="center"/>
          </w:tcPr>
          <w:p w14:paraId="00D6F999">
            <w:pPr>
              <w:pStyle w:val="46"/>
              <w:jc w:val="center"/>
              <w:rPr>
                <w:rFonts w:hint="eastAsia" w:ascii="仿宋" w:hAnsi="仿宋" w:eastAsia="仿宋" w:cs="仿宋"/>
                <w:color w:val="auto"/>
                <w:sz w:val="21"/>
                <w:szCs w:val="21"/>
                <w:highlight w:val="none"/>
              </w:rPr>
            </w:pPr>
          </w:p>
        </w:tc>
        <w:tc>
          <w:tcPr>
            <w:tcW w:w="816" w:type="dxa"/>
            <w:vAlign w:val="center"/>
          </w:tcPr>
          <w:p w14:paraId="701AC606">
            <w:pPr>
              <w:pStyle w:val="46"/>
              <w:jc w:val="center"/>
              <w:rPr>
                <w:rFonts w:hint="eastAsia" w:ascii="仿宋" w:hAnsi="仿宋" w:eastAsia="仿宋" w:cs="仿宋"/>
                <w:color w:val="auto"/>
                <w:sz w:val="21"/>
                <w:szCs w:val="21"/>
                <w:highlight w:val="none"/>
              </w:rPr>
            </w:pPr>
          </w:p>
        </w:tc>
      </w:tr>
    </w:tbl>
    <w:p w14:paraId="2263E7D2">
      <w:pPr>
        <w:rPr>
          <w:rFonts w:hint="eastAsia" w:ascii="仿宋" w:hAnsi="仿宋" w:eastAsia="仿宋" w:cs="仿宋"/>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auto"/>
          <w:kern w:val="0"/>
          <w:sz w:val="24"/>
          <w:szCs w:val="24"/>
          <w:highlight w:val="none"/>
          <w:lang w:val="en-US" w:eastAsia="zh-CN" w:bidi="ar"/>
        </w:rPr>
        <w:br w:type="page"/>
      </w:r>
    </w:p>
    <w:bookmarkEnd w:id="194"/>
    <w:p w14:paraId="4B8E95D6">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224" w:name="_Toc6119"/>
      <w:r>
        <w:rPr>
          <w:rFonts w:hint="eastAsia" w:ascii="仿宋" w:hAnsi="仿宋" w:eastAsia="仿宋" w:cs="仿宋"/>
          <w:b/>
          <w:bCs/>
          <w:color w:val="auto"/>
          <w:kern w:val="0"/>
          <w:sz w:val="28"/>
          <w:szCs w:val="28"/>
          <w:highlight w:val="none"/>
          <w:lang w:val="en-US" w:eastAsia="zh-CN" w:bidi="ar"/>
        </w:rPr>
        <w:t>合同条款偏离表</w:t>
      </w:r>
      <w:bookmarkEnd w:id="224"/>
    </w:p>
    <w:p w14:paraId="128A7E49">
      <w:pPr>
        <w:pStyle w:val="21"/>
        <w:ind w:left="0" w:leftChars="0" w:firstLine="0" w:firstLineChars="0"/>
        <w:jc w:val="center"/>
        <w:rPr>
          <w:rFonts w:hint="eastAsia" w:ascii="仿宋" w:hAnsi="仿宋" w:eastAsia="仿宋" w:cs="仿宋"/>
          <w:color w:val="auto"/>
          <w:sz w:val="32"/>
          <w:szCs w:val="32"/>
          <w:highlight w:val="none"/>
          <w:lang w:val="en-US" w:eastAsia="zh-CN"/>
        </w:rPr>
      </w:pPr>
    </w:p>
    <w:p w14:paraId="4B3A42AF">
      <w:pPr>
        <w:pStyle w:val="21"/>
        <w:ind w:left="0" w:leftChars="0" w:firstLine="0" w:firstLineChars="0"/>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479623B5">
      <w:pPr>
        <w:rPr>
          <w:rFonts w:hint="eastAsia" w:ascii="仿宋" w:hAnsi="仿宋" w:eastAsia="仿宋" w:cs="仿宋"/>
          <w:color w:val="auto"/>
          <w:highlight w:val="none"/>
          <w:lang w:val="en-US" w:eastAsia="zh-CN"/>
        </w:rPr>
      </w:pPr>
    </w:p>
    <w:p w14:paraId="746EEBD3">
      <w:pPr>
        <w:pStyle w:val="21"/>
        <w:ind w:left="0" w:leftChars="0" w:firstLine="0" w:firstLineChars="0"/>
        <w:jc w:val="lef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项目编号</w:t>
      </w:r>
      <w:r>
        <w:rPr>
          <w:rFonts w:hint="eastAsia" w:ascii="仿宋" w:hAnsi="仿宋" w:eastAsia="仿宋" w:cs="仿宋"/>
          <w:color w:val="auto"/>
          <w:highlight w:val="none"/>
          <w:u w:val="single"/>
          <w:lang w:val="en-US" w:eastAsia="zh-CN"/>
        </w:rPr>
        <w:t xml:space="preserve">                        </w:t>
      </w:r>
    </w:p>
    <w:p w14:paraId="4028E8F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w:t>
            </w:r>
            <w:r>
              <w:rPr>
                <w:rFonts w:hint="eastAsia" w:ascii="仿宋" w:hAnsi="仿宋" w:eastAsia="仿宋" w:cs="仿宋"/>
                <w:b/>
                <w:bCs/>
                <w:color w:val="auto"/>
                <w:sz w:val="24"/>
                <w:szCs w:val="24"/>
                <w:highlight w:val="none"/>
                <w:vertAlign w:val="baseline"/>
                <w:lang w:val="en-US" w:eastAsia="zh-CN"/>
              </w:rPr>
              <w:t>投标无效</w:t>
            </w:r>
            <w:r>
              <w:rPr>
                <w:rFonts w:hint="eastAsia" w:ascii="仿宋" w:hAnsi="仿宋" w:eastAsia="仿宋" w:cs="仿宋"/>
                <w:color w:val="auto"/>
                <w:sz w:val="24"/>
                <w:szCs w:val="24"/>
                <w:highlight w:val="none"/>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05DA27B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2DAB685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color w:val="auto"/>
                <w:sz w:val="24"/>
                <w:szCs w:val="24"/>
                <w:highlight w:val="none"/>
                <w:vertAlign w:val="baseline"/>
                <w:lang w:val="en-US" w:eastAsia="zh-CN"/>
              </w:rPr>
            </w:pPr>
          </w:p>
        </w:tc>
        <w:tc>
          <w:tcPr>
            <w:tcW w:w="1421" w:type="dxa"/>
          </w:tcPr>
          <w:p w14:paraId="502F5CB5">
            <w:pPr>
              <w:rPr>
                <w:rFonts w:hint="eastAsia" w:ascii="仿宋" w:hAnsi="仿宋" w:eastAsia="仿宋" w:cs="仿宋"/>
                <w:color w:val="auto"/>
                <w:sz w:val="24"/>
                <w:szCs w:val="24"/>
                <w:highlight w:val="none"/>
                <w:vertAlign w:val="baseline"/>
                <w:lang w:val="en-US" w:eastAsia="zh-CN"/>
              </w:rPr>
            </w:pPr>
          </w:p>
        </w:tc>
        <w:tc>
          <w:tcPr>
            <w:tcW w:w="1901" w:type="dxa"/>
          </w:tcPr>
          <w:p w14:paraId="1CA315D2">
            <w:pPr>
              <w:rPr>
                <w:rFonts w:hint="eastAsia" w:ascii="仿宋" w:hAnsi="仿宋" w:eastAsia="仿宋" w:cs="仿宋"/>
                <w:color w:val="auto"/>
                <w:sz w:val="24"/>
                <w:szCs w:val="24"/>
                <w:highlight w:val="none"/>
                <w:vertAlign w:val="baseline"/>
                <w:lang w:val="en-US" w:eastAsia="zh-CN"/>
              </w:rPr>
            </w:pPr>
          </w:p>
        </w:tc>
        <w:tc>
          <w:tcPr>
            <w:tcW w:w="1753" w:type="dxa"/>
          </w:tcPr>
          <w:p w14:paraId="0F38A130">
            <w:pPr>
              <w:rPr>
                <w:rFonts w:hint="eastAsia" w:ascii="仿宋" w:hAnsi="仿宋" w:eastAsia="仿宋" w:cs="仿宋"/>
                <w:color w:val="auto"/>
                <w:sz w:val="24"/>
                <w:szCs w:val="24"/>
                <w:highlight w:val="none"/>
                <w:vertAlign w:val="baseline"/>
                <w:lang w:val="en-US" w:eastAsia="zh-CN"/>
              </w:rPr>
            </w:pPr>
          </w:p>
        </w:tc>
        <w:tc>
          <w:tcPr>
            <w:tcW w:w="1561" w:type="dxa"/>
          </w:tcPr>
          <w:p w14:paraId="060BEDDB">
            <w:pPr>
              <w:rPr>
                <w:rFonts w:hint="eastAsia" w:ascii="仿宋" w:hAnsi="仿宋" w:eastAsia="仿宋" w:cs="仿宋"/>
                <w:color w:val="auto"/>
                <w:sz w:val="24"/>
                <w:szCs w:val="24"/>
                <w:highlight w:val="none"/>
                <w:vertAlign w:val="baseline"/>
                <w:lang w:val="en-US" w:eastAsia="zh-CN"/>
              </w:rPr>
            </w:pPr>
          </w:p>
        </w:tc>
        <w:tc>
          <w:tcPr>
            <w:tcW w:w="1052" w:type="dxa"/>
          </w:tcPr>
          <w:p w14:paraId="6DAF9538">
            <w:pPr>
              <w:rPr>
                <w:rFonts w:hint="eastAsia" w:ascii="仿宋" w:hAnsi="仿宋" w:eastAsia="仿宋" w:cs="仿宋"/>
                <w:color w:val="auto"/>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color w:val="auto"/>
                <w:sz w:val="24"/>
                <w:szCs w:val="24"/>
                <w:highlight w:val="none"/>
                <w:vertAlign w:val="baseline"/>
                <w:lang w:val="en-US" w:eastAsia="zh-CN"/>
              </w:rPr>
            </w:pPr>
          </w:p>
        </w:tc>
        <w:tc>
          <w:tcPr>
            <w:tcW w:w="1421" w:type="dxa"/>
          </w:tcPr>
          <w:p w14:paraId="7E4CCBCD">
            <w:pPr>
              <w:rPr>
                <w:rFonts w:hint="eastAsia" w:ascii="仿宋" w:hAnsi="仿宋" w:eastAsia="仿宋" w:cs="仿宋"/>
                <w:color w:val="auto"/>
                <w:sz w:val="24"/>
                <w:szCs w:val="24"/>
                <w:highlight w:val="none"/>
                <w:vertAlign w:val="baseline"/>
                <w:lang w:val="en-US" w:eastAsia="zh-CN"/>
              </w:rPr>
            </w:pPr>
          </w:p>
        </w:tc>
        <w:tc>
          <w:tcPr>
            <w:tcW w:w="1901" w:type="dxa"/>
          </w:tcPr>
          <w:p w14:paraId="1B89FBB4">
            <w:pPr>
              <w:rPr>
                <w:rFonts w:hint="eastAsia" w:ascii="仿宋" w:hAnsi="仿宋" w:eastAsia="仿宋" w:cs="仿宋"/>
                <w:color w:val="auto"/>
                <w:sz w:val="24"/>
                <w:szCs w:val="24"/>
                <w:highlight w:val="none"/>
                <w:vertAlign w:val="baseline"/>
                <w:lang w:val="en-US" w:eastAsia="zh-CN"/>
              </w:rPr>
            </w:pPr>
          </w:p>
        </w:tc>
        <w:tc>
          <w:tcPr>
            <w:tcW w:w="1753" w:type="dxa"/>
          </w:tcPr>
          <w:p w14:paraId="4801DD0B">
            <w:pPr>
              <w:rPr>
                <w:rFonts w:hint="eastAsia" w:ascii="仿宋" w:hAnsi="仿宋" w:eastAsia="仿宋" w:cs="仿宋"/>
                <w:color w:val="auto"/>
                <w:sz w:val="24"/>
                <w:szCs w:val="24"/>
                <w:highlight w:val="none"/>
                <w:vertAlign w:val="baseline"/>
                <w:lang w:val="en-US" w:eastAsia="zh-CN"/>
              </w:rPr>
            </w:pPr>
          </w:p>
        </w:tc>
        <w:tc>
          <w:tcPr>
            <w:tcW w:w="1561" w:type="dxa"/>
          </w:tcPr>
          <w:p w14:paraId="1579155D">
            <w:pPr>
              <w:rPr>
                <w:rFonts w:hint="eastAsia" w:ascii="仿宋" w:hAnsi="仿宋" w:eastAsia="仿宋" w:cs="仿宋"/>
                <w:color w:val="auto"/>
                <w:sz w:val="24"/>
                <w:szCs w:val="24"/>
                <w:highlight w:val="none"/>
                <w:vertAlign w:val="baseline"/>
                <w:lang w:val="en-US" w:eastAsia="zh-CN"/>
              </w:rPr>
            </w:pPr>
          </w:p>
        </w:tc>
        <w:tc>
          <w:tcPr>
            <w:tcW w:w="1052" w:type="dxa"/>
          </w:tcPr>
          <w:p w14:paraId="777B304A">
            <w:pPr>
              <w:rPr>
                <w:rFonts w:hint="eastAsia" w:ascii="仿宋" w:hAnsi="仿宋" w:eastAsia="仿宋" w:cs="仿宋"/>
                <w:color w:val="auto"/>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color w:val="auto"/>
                <w:sz w:val="24"/>
                <w:szCs w:val="24"/>
                <w:highlight w:val="none"/>
                <w:vertAlign w:val="baseline"/>
                <w:lang w:val="en-US" w:eastAsia="zh-CN"/>
              </w:rPr>
            </w:pPr>
          </w:p>
        </w:tc>
        <w:tc>
          <w:tcPr>
            <w:tcW w:w="1421" w:type="dxa"/>
          </w:tcPr>
          <w:p w14:paraId="4C722FAD">
            <w:pPr>
              <w:rPr>
                <w:rFonts w:hint="eastAsia" w:ascii="仿宋" w:hAnsi="仿宋" w:eastAsia="仿宋" w:cs="仿宋"/>
                <w:color w:val="auto"/>
                <w:sz w:val="24"/>
                <w:szCs w:val="24"/>
                <w:highlight w:val="none"/>
                <w:vertAlign w:val="baseline"/>
                <w:lang w:val="en-US" w:eastAsia="zh-CN"/>
              </w:rPr>
            </w:pPr>
          </w:p>
        </w:tc>
        <w:tc>
          <w:tcPr>
            <w:tcW w:w="1901" w:type="dxa"/>
          </w:tcPr>
          <w:p w14:paraId="249D9392">
            <w:pPr>
              <w:rPr>
                <w:rFonts w:hint="eastAsia" w:ascii="仿宋" w:hAnsi="仿宋" w:eastAsia="仿宋" w:cs="仿宋"/>
                <w:color w:val="auto"/>
                <w:sz w:val="24"/>
                <w:szCs w:val="24"/>
                <w:highlight w:val="none"/>
                <w:vertAlign w:val="baseline"/>
                <w:lang w:val="en-US" w:eastAsia="zh-CN"/>
              </w:rPr>
            </w:pPr>
          </w:p>
        </w:tc>
        <w:tc>
          <w:tcPr>
            <w:tcW w:w="1753" w:type="dxa"/>
          </w:tcPr>
          <w:p w14:paraId="7E101733">
            <w:pPr>
              <w:rPr>
                <w:rFonts w:hint="eastAsia" w:ascii="仿宋" w:hAnsi="仿宋" w:eastAsia="仿宋" w:cs="仿宋"/>
                <w:color w:val="auto"/>
                <w:sz w:val="24"/>
                <w:szCs w:val="24"/>
                <w:highlight w:val="none"/>
                <w:vertAlign w:val="baseline"/>
                <w:lang w:val="en-US" w:eastAsia="zh-CN"/>
              </w:rPr>
            </w:pPr>
          </w:p>
        </w:tc>
        <w:tc>
          <w:tcPr>
            <w:tcW w:w="1561" w:type="dxa"/>
          </w:tcPr>
          <w:p w14:paraId="6FC7F411">
            <w:pPr>
              <w:rPr>
                <w:rFonts w:hint="eastAsia" w:ascii="仿宋" w:hAnsi="仿宋" w:eastAsia="仿宋" w:cs="仿宋"/>
                <w:color w:val="auto"/>
                <w:sz w:val="24"/>
                <w:szCs w:val="24"/>
                <w:highlight w:val="none"/>
                <w:vertAlign w:val="baseline"/>
                <w:lang w:val="en-US" w:eastAsia="zh-CN"/>
              </w:rPr>
            </w:pPr>
          </w:p>
        </w:tc>
        <w:tc>
          <w:tcPr>
            <w:tcW w:w="1052" w:type="dxa"/>
          </w:tcPr>
          <w:p w14:paraId="00D6B4F6">
            <w:pPr>
              <w:rPr>
                <w:rFonts w:hint="eastAsia" w:ascii="仿宋" w:hAnsi="仿宋" w:eastAsia="仿宋" w:cs="仿宋"/>
                <w:color w:val="auto"/>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color w:val="auto"/>
                <w:sz w:val="24"/>
                <w:szCs w:val="24"/>
                <w:highlight w:val="none"/>
                <w:vertAlign w:val="baseline"/>
                <w:lang w:val="en-US" w:eastAsia="zh-CN"/>
              </w:rPr>
            </w:pPr>
          </w:p>
        </w:tc>
        <w:tc>
          <w:tcPr>
            <w:tcW w:w="1421" w:type="dxa"/>
          </w:tcPr>
          <w:p w14:paraId="2CC10E6B">
            <w:pPr>
              <w:rPr>
                <w:rFonts w:hint="eastAsia" w:ascii="仿宋" w:hAnsi="仿宋" w:eastAsia="仿宋" w:cs="仿宋"/>
                <w:color w:val="auto"/>
                <w:sz w:val="24"/>
                <w:szCs w:val="24"/>
                <w:highlight w:val="none"/>
                <w:vertAlign w:val="baseline"/>
                <w:lang w:val="en-US" w:eastAsia="zh-CN"/>
              </w:rPr>
            </w:pPr>
          </w:p>
        </w:tc>
        <w:tc>
          <w:tcPr>
            <w:tcW w:w="1901" w:type="dxa"/>
          </w:tcPr>
          <w:p w14:paraId="61BF2705">
            <w:pPr>
              <w:rPr>
                <w:rFonts w:hint="eastAsia" w:ascii="仿宋" w:hAnsi="仿宋" w:eastAsia="仿宋" w:cs="仿宋"/>
                <w:color w:val="auto"/>
                <w:sz w:val="24"/>
                <w:szCs w:val="24"/>
                <w:highlight w:val="none"/>
                <w:vertAlign w:val="baseline"/>
                <w:lang w:val="en-US" w:eastAsia="zh-CN"/>
              </w:rPr>
            </w:pPr>
          </w:p>
        </w:tc>
        <w:tc>
          <w:tcPr>
            <w:tcW w:w="1753" w:type="dxa"/>
          </w:tcPr>
          <w:p w14:paraId="003AC4E7">
            <w:pPr>
              <w:rPr>
                <w:rFonts w:hint="eastAsia" w:ascii="仿宋" w:hAnsi="仿宋" w:eastAsia="仿宋" w:cs="仿宋"/>
                <w:color w:val="auto"/>
                <w:sz w:val="24"/>
                <w:szCs w:val="24"/>
                <w:highlight w:val="none"/>
                <w:vertAlign w:val="baseline"/>
                <w:lang w:val="en-US" w:eastAsia="zh-CN"/>
              </w:rPr>
            </w:pPr>
          </w:p>
        </w:tc>
        <w:tc>
          <w:tcPr>
            <w:tcW w:w="1561" w:type="dxa"/>
          </w:tcPr>
          <w:p w14:paraId="6895684E">
            <w:pPr>
              <w:rPr>
                <w:rFonts w:hint="eastAsia" w:ascii="仿宋" w:hAnsi="仿宋" w:eastAsia="仿宋" w:cs="仿宋"/>
                <w:color w:val="auto"/>
                <w:sz w:val="24"/>
                <w:szCs w:val="24"/>
                <w:highlight w:val="none"/>
                <w:vertAlign w:val="baseline"/>
                <w:lang w:val="en-US" w:eastAsia="zh-CN"/>
              </w:rPr>
            </w:pPr>
          </w:p>
        </w:tc>
        <w:tc>
          <w:tcPr>
            <w:tcW w:w="1052" w:type="dxa"/>
          </w:tcPr>
          <w:p w14:paraId="2B4F7560">
            <w:pPr>
              <w:rPr>
                <w:rFonts w:hint="eastAsia" w:ascii="仿宋" w:hAnsi="仿宋" w:eastAsia="仿宋" w:cs="仿宋"/>
                <w:color w:val="auto"/>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color w:val="auto"/>
                <w:sz w:val="24"/>
                <w:szCs w:val="24"/>
                <w:highlight w:val="none"/>
                <w:vertAlign w:val="baseline"/>
                <w:lang w:val="en-US" w:eastAsia="zh-CN"/>
              </w:rPr>
            </w:pPr>
          </w:p>
        </w:tc>
        <w:tc>
          <w:tcPr>
            <w:tcW w:w="1421" w:type="dxa"/>
          </w:tcPr>
          <w:p w14:paraId="179B86F7">
            <w:pPr>
              <w:rPr>
                <w:rFonts w:hint="eastAsia" w:ascii="仿宋" w:hAnsi="仿宋" w:eastAsia="仿宋" w:cs="仿宋"/>
                <w:color w:val="auto"/>
                <w:sz w:val="24"/>
                <w:szCs w:val="24"/>
                <w:highlight w:val="none"/>
                <w:vertAlign w:val="baseline"/>
                <w:lang w:val="en-US" w:eastAsia="zh-CN"/>
              </w:rPr>
            </w:pPr>
          </w:p>
        </w:tc>
        <w:tc>
          <w:tcPr>
            <w:tcW w:w="1901" w:type="dxa"/>
          </w:tcPr>
          <w:p w14:paraId="6D7F9ECE">
            <w:pPr>
              <w:rPr>
                <w:rFonts w:hint="eastAsia" w:ascii="仿宋" w:hAnsi="仿宋" w:eastAsia="仿宋" w:cs="仿宋"/>
                <w:color w:val="auto"/>
                <w:sz w:val="24"/>
                <w:szCs w:val="24"/>
                <w:highlight w:val="none"/>
                <w:vertAlign w:val="baseline"/>
                <w:lang w:val="en-US" w:eastAsia="zh-CN"/>
              </w:rPr>
            </w:pPr>
          </w:p>
        </w:tc>
        <w:tc>
          <w:tcPr>
            <w:tcW w:w="1753" w:type="dxa"/>
          </w:tcPr>
          <w:p w14:paraId="2C7D295C">
            <w:pPr>
              <w:rPr>
                <w:rFonts w:hint="eastAsia" w:ascii="仿宋" w:hAnsi="仿宋" w:eastAsia="仿宋" w:cs="仿宋"/>
                <w:color w:val="auto"/>
                <w:sz w:val="24"/>
                <w:szCs w:val="24"/>
                <w:highlight w:val="none"/>
                <w:vertAlign w:val="baseline"/>
                <w:lang w:val="en-US" w:eastAsia="zh-CN"/>
              </w:rPr>
            </w:pPr>
          </w:p>
        </w:tc>
        <w:tc>
          <w:tcPr>
            <w:tcW w:w="1561" w:type="dxa"/>
          </w:tcPr>
          <w:p w14:paraId="02BD585E">
            <w:pPr>
              <w:rPr>
                <w:rFonts w:hint="eastAsia" w:ascii="仿宋" w:hAnsi="仿宋" w:eastAsia="仿宋" w:cs="仿宋"/>
                <w:color w:val="auto"/>
                <w:sz w:val="24"/>
                <w:szCs w:val="24"/>
                <w:highlight w:val="none"/>
                <w:vertAlign w:val="baseline"/>
                <w:lang w:val="en-US" w:eastAsia="zh-CN"/>
              </w:rPr>
            </w:pPr>
          </w:p>
        </w:tc>
        <w:tc>
          <w:tcPr>
            <w:tcW w:w="1052" w:type="dxa"/>
          </w:tcPr>
          <w:p w14:paraId="7EB2268B">
            <w:pPr>
              <w:rPr>
                <w:rFonts w:hint="eastAsia" w:ascii="仿宋" w:hAnsi="仿宋" w:eastAsia="仿宋" w:cs="仿宋"/>
                <w:color w:val="auto"/>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lang w:val="en-US" w:eastAsia="zh-CN"/>
        </w:rPr>
      </w:pPr>
      <w:bookmarkStart w:id="225" w:name="_Toc6441"/>
      <w:r>
        <w:rPr>
          <w:rFonts w:hint="eastAsia" w:ascii="仿宋" w:hAnsi="仿宋" w:eastAsia="仿宋" w:cs="仿宋"/>
          <w:color w:val="auto"/>
          <w:sz w:val="24"/>
          <w:szCs w:val="24"/>
          <w:highlight w:val="none"/>
          <w:lang w:val="en-US" w:eastAsia="zh-CN"/>
        </w:rPr>
        <w:t>2. “偏离情况”列应据实填写“正偏离”或“负偏离”或“无偏离”。</w:t>
      </w:r>
      <w:bookmarkEnd w:id="225"/>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3BF21AEA">
      <w:pPr>
        <w:pStyle w:val="26"/>
        <w:rPr>
          <w:rFonts w:hint="eastAsia" w:ascii="仿宋" w:hAnsi="仿宋" w:eastAsia="仿宋" w:cs="仿宋"/>
          <w:color w:val="auto"/>
          <w:sz w:val="24"/>
          <w:szCs w:val="24"/>
          <w:highlight w:val="none"/>
          <w:lang w:val="en-US" w:eastAsia="zh-CN"/>
        </w:rPr>
      </w:pPr>
    </w:p>
    <w:p w14:paraId="309BA6F7">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采购需求偏离表</w:t>
      </w:r>
    </w:p>
    <w:p w14:paraId="2705FE3A">
      <w:pPr>
        <w:pStyle w:val="21"/>
        <w:ind w:left="0" w:leftChars="0" w:firstLine="0" w:firstLineChars="0"/>
        <w:rPr>
          <w:rFonts w:hint="eastAsia" w:ascii="仿宋" w:hAnsi="仿宋" w:eastAsia="仿宋" w:cs="仿宋"/>
          <w:color w:val="auto"/>
          <w:sz w:val="24"/>
          <w:szCs w:val="24"/>
          <w:highlight w:val="none"/>
          <w:lang w:val="en-US" w:eastAsia="zh-CN"/>
        </w:rPr>
      </w:pPr>
    </w:p>
    <w:p w14:paraId="3F485B97">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采购需求偏离表</w:t>
      </w:r>
    </w:p>
    <w:p w14:paraId="665C4856">
      <w:pPr>
        <w:pStyle w:val="21"/>
        <w:ind w:left="0" w:leftChars="0" w:firstLine="0" w:firstLineChars="0"/>
        <w:rPr>
          <w:rFonts w:hint="eastAsia" w:ascii="仿宋" w:hAnsi="仿宋" w:eastAsia="仿宋" w:cs="仿宋"/>
          <w:color w:val="auto"/>
          <w:sz w:val="24"/>
          <w:szCs w:val="24"/>
          <w:highlight w:val="none"/>
          <w:lang w:val="en-US" w:eastAsia="zh-CN"/>
        </w:rPr>
      </w:pPr>
    </w:p>
    <w:p w14:paraId="381E947C">
      <w:pPr>
        <w:pStyle w:val="21"/>
        <w:ind w:left="0" w:leftChars="0" w:firstLine="0" w:firstLineChars="0"/>
        <w:jc w:val="lef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项目编号</w:t>
      </w:r>
      <w:r>
        <w:rPr>
          <w:rFonts w:hint="eastAsia" w:ascii="仿宋" w:hAnsi="仿宋" w:eastAsia="仿宋" w:cs="仿宋"/>
          <w:color w:val="auto"/>
          <w:highlight w:val="none"/>
          <w:u w:val="single"/>
          <w:lang w:val="en-US" w:eastAsia="zh-CN"/>
        </w:rPr>
        <w:t xml:space="preserve">                        </w:t>
      </w:r>
    </w:p>
    <w:p w14:paraId="1F34BCB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p>
    <w:p w14:paraId="25643E6F">
      <w:pPr>
        <w:pStyle w:val="21"/>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8FC0758">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color w:val="auto"/>
          <w:highlight w:val="none"/>
          <w:lang w:val="en-US" w:eastAsia="zh-CN"/>
        </w:rPr>
        <w:br w:type="page"/>
      </w:r>
      <w:bookmarkStart w:id="226" w:name="_Toc147846146"/>
      <w:bookmarkStart w:id="227" w:name="_Toc457090336"/>
      <w:bookmarkStart w:id="228" w:name="_Toc111813258"/>
      <w:bookmarkStart w:id="229" w:name="_Toc10117052"/>
      <w:r>
        <w:rPr>
          <w:rFonts w:hint="eastAsia" w:ascii="仿宋" w:hAnsi="仿宋" w:eastAsia="仿宋" w:cs="仿宋"/>
          <w:b/>
          <w:bCs/>
          <w:color w:val="auto"/>
          <w:kern w:val="0"/>
          <w:sz w:val="28"/>
          <w:szCs w:val="28"/>
          <w:highlight w:val="none"/>
          <w:lang w:val="en-US" w:eastAsia="zh-CN" w:bidi="ar"/>
        </w:rPr>
        <w:t>技术支持资料</w:t>
      </w:r>
      <w:bookmarkEnd w:id="226"/>
    </w:p>
    <w:p w14:paraId="4B6FB59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投标人根据自身实际情况和产品特点自行提供，以证明其产品具体配置情况及技术指标响应的真实性。</w:t>
      </w:r>
      <w:r>
        <w:rPr>
          <w:rFonts w:hint="eastAsia" w:ascii="仿宋" w:hAnsi="仿宋" w:eastAsia="仿宋" w:cs="仿宋"/>
          <w:color w:val="auto"/>
          <w:sz w:val="24"/>
          <w:szCs w:val="24"/>
          <w:highlight w:val="none"/>
          <w:lang w:val="en-US" w:eastAsia="zh-CN"/>
        </w:rPr>
        <w:t>具体要求详见第五章采购需求。</w:t>
      </w:r>
    </w:p>
    <w:p w14:paraId="0B484E2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注：技术支持资料需清晰可分辨，否则后果自负。</w:t>
      </w:r>
    </w:p>
    <w:p w14:paraId="43721E75">
      <w:pPr>
        <w:rPr>
          <w:rFonts w:hint="eastAsia" w:ascii="仿宋" w:hAnsi="仿宋" w:eastAsia="仿宋" w:cs="仿宋"/>
          <w:color w:val="auto"/>
          <w:highlight w:val="none"/>
        </w:rPr>
      </w:pPr>
    </w:p>
    <w:bookmarkEnd w:id="227"/>
    <w:bookmarkEnd w:id="228"/>
    <w:bookmarkEnd w:id="229"/>
    <w:p w14:paraId="2C8ECA68">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4EF4EA20">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质保期承诺书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color w:val="auto"/>
          <w:kern w:val="2"/>
          <w:sz w:val="32"/>
          <w:szCs w:val="32"/>
          <w:highlight w:val="none"/>
          <w:lang w:val="en-US" w:eastAsia="zh-CN" w:bidi="ar-SA"/>
        </w:rPr>
      </w:pPr>
    </w:p>
    <w:p w14:paraId="06885201">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0A89C263">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color w:val="auto"/>
          <w:kern w:val="2"/>
          <w:sz w:val="32"/>
          <w:szCs w:val="32"/>
          <w:highlight w:val="none"/>
          <w:lang w:val="en-US" w:eastAsia="zh-CN" w:bidi="ar-SA"/>
        </w:rPr>
      </w:pPr>
    </w:p>
    <w:p w14:paraId="58551946">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697680FC">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培训方案</w:t>
      </w:r>
    </w:p>
    <w:p w14:paraId="02D05588">
      <w:pPr>
        <w:pStyle w:val="26"/>
        <w:ind w:left="0" w:leftChars="0" w:firstLine="480" w:firstLineChars="200"/>
        <w:jc w:val="both"/>
        <w:outlineLvl w:val="9"/>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r>
        <w:rPr>
          <w:rFonts w:hint="eastAsia" w:ascii="仿宋" w:hAnsi="仿宋" w:eastAsia="仿宋" w:cs="仿宋"/>
          <w:color w:val="auto"/>
          <w:highlight w:val="none"/>
          <w:lang w:val="en-US" w:eastAsia="zh-CN"/>
        </w:rPr>
        <w:t>。</w:t>
      </w:r>
    </w:p>
    <w:p w14:paraId="30517329">
      <w:pPr>
        <w:rPr>
          <w:rFonts w:hint="eastAsia" w:ascii="仿宋" w:hAnsi="仿宋" w:eastAsia="仿宋" w:cs="仿宋"/>
          <w:color w:val="auto"/>
          <w:highlight w:val="none"/>
          <w:lang w:val="en-US" w:eastAsia="zh-CN"/>
        </w:rPr>
      </w:pPr>
    </w:p>
    <w:p w14:paraId="271B9E53">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p>
    <w:p w14:paraId="1912015F">
      <w:pPr>
        <w:keepNext w:val="0"/>
        <w:keepLines w:val="0"/>
        <w:pageBreakBefore w:val="0"/>
        <w:widowControl/>
        <w:numPr>
          <w:ilvl w:val="1"/>
          <w:numId w:val="84"/>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招标文件要求提供或投标人认为应附的资料</w:t>
      </w:r>
    </w:p>
    <w:p w14:paraId="00741812">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投标人应根据招标文件的规定自行编写。</w:t>
      </w:r>
    </w:p>
    <w:p w14:paraId="6C0D7319">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B40859">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230" w:name="_Toc216513801"/>
      <w:bookmarkStart w:id="231" w:name="_Toc216582821"/>
      <w:r>
        <w:rPr>
          <w:rFonts w:hint="eastAsia" w:ascii="仿宋" w:hAnsi="仿宋" w:eastAsia="仿宋" w:cs="仿宋"/>
          <w:b/>
          <w:bCs/>
          <w:color w:val="auto"/>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color w:val="auto"/>
          <w:sz w:val="24"/>
          <w:highlight w:val="none"/>
        </w:rPr>
      </w:pPr>
    </w:p>
    <w:p w14:paraId="20E5C803">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02472202">
      <w:pPr>
        <w:spacing w:line="440" w:lineRule="exact"/>
        <w:ind w:left="1080" w:hanging="1080"/>
        <w:rPr>
          <w:rFonts w:hint="eastAsia" w:ascii="仿宋" w:hAnsi="仿宋" w:eastAsia="仿宋" w:cs="仿宋"/>
          <w:color w:val="auto"/>
          <w:sz w:val="24"/>
          <w:highlight w:val="none"/>
        </w:rPr>
      </w:pPr>
    </w:p>
    <w:p w14:paraId="42E606AF">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53929A25">
      <w:pPr>
        <w:spacing w:line="440" w:lineRule="exact"/>
        <w:ind w:left="1080" w:leftChars="257" w:hanging="540"/>
        <w:rPr>
          <w:rFonts w:hint="eastAsia" w:ascii="仿宋" w:hAnsi="仿宋" w:eastAsia="仿宋" w:cs="仿宋"/>
          <w:color w:val="auto"/>
          <w:sz w:val="24"/>
          <w:highlight w:val="none"/>
        </w:rPr>
      </w:pPr>
    </w:p>
    <w:p w14:paraId="6F61FF4E">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540B81BC">
      <w:pPr>
        <w:spacing w:line="440" w:lineRule="exact"/>
        <w:ind w:left="1080" w:leftChars="257" w:hanging="540"/>
        <w:rPr>
          <w:rFonts w:hint="eastAsia" w:ascii="仿宋" w:hAnsi="仿宋" w:eastAsia="仿宋" w:cs="仿宋"/>
          <w:color w:val="auto"/>
          <w:sz w:val="24"/>
          <w:highlight w:val="none"/>
        </w:rPr>
      </w:pPr>
    </w:p>
    <w:p w14:paraId="3311DE21">
      <w:pPr>
        <w:spacing w:line="440" w:lineRule="exact"/>
        <w:ind w:left="1080" w:leftChars="257" w:hanging="540"/>
        <w:rPr>
          <w:rFonts w:hint="eastAsia" w:ascii="仿宋" w:hAnsi="仿宋" w:eastAsia="仿宋" w:cs="仿宋"/>
          <w:color w:val="auto"/>
          <w:sz w:val="24"/>
          <w:highlight w:val="none"/>
        </w:rPr>
      </w:pPr>
    </w:p>
    <w:p w14:paraId="187778FE">
      <w:pPr>
        <w:spacing w:line="440" w:lineRule="exact"/>
        <w:ind w:left="1080" w:leftChars="257" w:hanging="540"/>
        <w:rPr>
          <w:rFonts w:hint="eastAsia" w:ascii="仿宋" w:hAnsi="仿宋" w:eastAsia="仿宋" w:cs="仿宋"/>
          <w:color w:val="auto"/>
          <w:sz w:val="24"/>
          <w:highlight w:val="none"/>
        </w:rPr>
      </w:pPr>
    </w:p>
    <w:p w14:paraId="0FD21A74">
      <w:pPr>
        <w:spacing w:line="440" w:lineRule="exact"/>
        <w:ind w:left="1080" w:leftChars="257" w:hanging="540"/>
        <w:rPr>
          <w:rFonts w:hint="eastAsia" w:ascii="仿宋" w:hAnsi="仿宋" w:eastAsia="仿宋" w:cs="仿宋"/>
          <w:color w:val="auto"/>
          <w:sz w:val="24"/>
          <w:highlight w:val="none"/>
        </w:rPr>
      </w:pPr>
    </w:p>
    <w:p w14:paraId="5464126E">
      <w:pPr>
        <w:spacing w:line="440" w:lineRule="exact"/>
        <w:ind w:left="1080" w:hanging="1080"/>
        <w:rPr>
          <w:rFonts w:hint="eastAsia" w:ascii="仿宋" w:hAnsi="仿宋" w:eastAsia="仿宋" w:cs="仿宋"/>
          <w:color w:val="auto"/>
          <w:sz w:val="24"/>
          <w:highlight w:val="none"/>
        </w:rPr>
      </w:pPr>
    </w:p>
    <w:p w14:paraId="524CBD03">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DF734A4">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BE21889">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AF895D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508BCF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w:t>
      </w:r>
      <w:r>
        <w:rPr>
          <w:rFonts w:hint="eastAsia" w:ascii="仿宋" w:hAnsi="仿宋" w:eastAsia="仿宋" w:cs="仿宋"/>
          <w:color w:val="auto"/>
          <w:sz w:val="24"/>
          <w:highlight w:val="none"/>
          <w:lang w:val="en-US" w:eastAsia="zh-CN"/>
        </w:rPr>
        <w:t>法定代表人或法定代表人授权代表（签字或盖章）：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8A3CB69">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230"/>
      <w:bookmarkEnd w:id="231"/>
    </w:p>
    <w:p w14:paraId="7C4BB588">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6B364464">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bookmarkStart w:id="232" w:name="_Toc15106"/>
      <w:bookmarkStart w:id="233" w:name="_Toc8649"/>
      <w:bookmarkStart w:id="234" w:name="_Toc17899"/>
      <w:bookmarkStart w:id="235" w:name="_Toc24678"/>
      <w:bookmarkStart w:id="236" w:name="_Toc20782"/>
      <w:r>
        <w:rPr>
          <w:rFonts w:hint="eastAsia" w:ascii="仿宋" w:hAnsi="仿宋" w:eastAsia="仿宋" w:cs="仿宋"/>
          <w:b/>
          <w:bCs/>
          <w:color w:val="auto"/>
          <w:kern w:val="0"/>
          <w:sz w:val="28"/>
          <w:szCs w:val="28"/>
          <w:highlight w:val="none"/>
          <w:lang w:val="zh-CN" w:eastAsia="zh-CN" w:bidi="ar"/>
        </w:rPr>
        <w:t>保证金信息表（</w:t>
      </w:r>
      <w:r>
        <w:rPr>
          <w:rFonts w:hint="eastAsia" w:ascii="仿宋" w:hAnsi="仿宋" w:eastAsia="仿宋" w:cs="仿宋"/>
          <w:b/>
          <w:bCs/>
          <w:color w:val="auto"/>
          <w:kern w:val="0"/>
          <w:sz w:val="28"/>
          <w:szCs w:val="28"/>
          <w:highlight w:val="none"/>
          <w:lang w:val="en-US" w:eastAsia="zh-CN" w:bidi="ar"/>
        </w:rPr>
        <w:t>保函方式提交的无需提供</w:t>
      </w:r>
      <w:r>
        <w:rPr>
          <w:rFonts w:hint="eastAsia" w:ascii="仿宋" w:hAnsi="仿宋" w:eastAsia="仿宋" w:cs="仿宋"/>
          <w:b/>
          <w:bCs/>
          <w:color w:val="auto"/>
          <w:kern w:val="0"/>
          <w:sz w:val="28"/>
          <w:szCs w:val="28"/>
          <w:highlight w:val="none"/>
          <w:lang w:val="zh-CN" w:eastAsia="zh-CN" w:bidi="ar"/>
        </w:rPr>
        <w:t>）</w:t>
      </w:r>
      <w:bookmarkEnd w:id="232"/>
      <w:bookmarkEnd w:id="233"/>
      <w:bookmarkEnd w:id="234"/>
      <w:bookmarkEnd w:id="235"/>
      <w:bookmarkEnd w:id="236"/>
    </w:p>
    <w:p w14:paraId="2E607672">
      <w:pPr>
        <w:pStyle w:val="17"/>
        <w:spacing w:line="440" w:lineRule="exact"/>
        <w:jc w:val="center"/>
        <w:outlineLvl w:val="9"/>
        <w:rPr>
          <w:rFonts w:hint="eastAsia" w:ascii="仿宋" w:hAnsi="仿宋" w:eastAsia="仿宋" w:cs="仿宋"/>
          <w:b/>
          <w:color w:val="auto"/>
          <w:sz w:val="32"/>
          <w:szCs w:val="32"/>
          <w:highlight w:val="none"/>
        </w:rPr>
      </w:pPr>
    </w:p>
    <w:p w14:paraId="62E63947">
      <w:pPr>
        <w:pStyle w:val="17"/>
        <w:spacing w:line="440" w:lineRule="exact"/>
        <w:jc w:val="center"/>
        <w:outlineLvl w:val="9"/>
        <w:rPr>
          <w:rFonts w:hint="eastAsia" w:ascii="仿宋" w:hAnsi="仿宋" w:eastAsia="仿宋" w:cs="仿宋"/>
          <w:b/>
          <w:color w:val="auto"/>
          <w:sz w:val="32"/>
          <w:szCs w:val="32"/>
          <w:highlight w:val="none"/>
        </w:rPr>
      </w:pPr>
      <w:bookmarkStart w:id="237" w:name="_Toc16938"/>
      <w:bookmarkStart w:id="238" w:name="_Toc27316"/>
      <w:bookmarkStart w:id="239" w:name="_Toc28181"/>
      <w:bookmarkStart w:id="240" w:name="_Toc31463"/>
      <w:bookmarkStart w:id="241" w:name="_Toc14307"/>
      <w:bookmarkStart w:id="242" w:name="_Toc25967"/>
      <w:bookmarkStart w:id="243" w:name="_Toc4940"/>
      <w:r>
        <w:rPr>
          <w:rFonts w:hint="eastAsia" w:ascii="仿宋" w:hAnsi="仿宋" w:eastAsia="仿宋" w:cs="仿宋"/>
          <w:b/>
          <w:color w:val="auto"/>
          <w:sz w:val="24"/>
          <w:szCs w:val="24"/>
          <w:highlight w:val="none"/>
        </w:rPr>
        <w:t>退还保证金申请函</w:t>
      </w:r>
      <w:bookmarkEnd w:id="237"/>
      <w:bookmarkEnd w:id="238"/>
      <w:bookmarkEnd w:id="239"/>
      <w:bookmarkEnd w:id="240"/>
      <w:bookmarkEnd w:id="241"/>
      <w:bookmarkEnd w:id="242"/>
      <w:bookmarkEnd w:id="243"/>
    </w:p>
    <w:p w14:paraId="41E787A4">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767AE90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8E1CF3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3A1458E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233C6750">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auto"/>
          <w:sz w:val="21"/>
          <w:szCs w:val="21"/>
          <w:highlight w:val="none"/>
        </w:rPr>
      </w:pPr>
    </w:p>
    <w:p w14:paraId="7F8F1FF2">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76D3066F">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1"/>
          <w:szCs w:val="21"/>
          <w:highlight w:val="none"/>
        </w:rPr>
        <w:t>）：</w:t>
      </w:r>
    </w:p>
    <w:p w14:paraId="49F66394">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5DB1F99C">
      <w:pPr>
        <w:pStyle w:val="17"/>
        <w:spacing w:line="440" w:lineRule="exact"/>
        <w:jc w:val="both"/>
        <w:rPr>
          <w:rFonts w:hint="eastAsia" w:ascii="仿宋" w:hAnsi="仿宋" w:eastAsia="仿宋" w:cs="仿宋"/>
          <w:bCs/>
          <w:color w:val="auto"/>
          <w:sz w:val="21"/>
          <w:szCs w:val="21"/>
          <w:highlight w:val="none"/>
        </w:rPr>
      </w:pPr>
    </w:p>
    <w:p w14:paraId="3BBF82F0">
      <w:pPr>
        <w:pStyle w:val="17"/>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w:t>
            </w:r>
          </w:p>
        </w:tc>
      </w:tr>
    </w:tbl>
    <w:p w14:paraId="7D506F5A">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1"/>
          <w:szCs w:val="21"/>
          <w:highlight w:val="none"/>
        </w:rPr>
      </w:pPr>
    </w:p>
    <w:p w14:paraId="3398E783">
      <w:pPr>
        <w:keepNext w:val="0"/>
        <w:keepLines w:val="0"/>
        <w:pageBreakBefore w:val="0"/>
        <w:widowControl/>
        <w:numPr>
          <w:ilvl w:val="0"/>
          <w:numId w:val="84"/>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bookmarkStart w:id="244" w:name="_Toc8651"/>
      <w:bookmarkStart w:id="245" w:name="_Toc17857"/>
      <w:bookmarkStart w:id="246" w:name="_Toc21100"/>
      <w:bookmarkStart w:id="247" w:name="_Toc28409"/>
      <w:bookmarkStart w:id="248" w:name="_Toc8576"/>
      <w:bookmarkStart w:id="249" w:name="_Toc19434"/>
      <w:bookmarkStart w:id="250" w:name="_Toc2994"/>
      <w:r>
        <w:rPr>
          <w:rFonts w:hint="eastAsia" w:ascii="仿宋" w:hAnsi="仿宋" w:eastAsia="仿宋" w:cs="仿宋"/>
          <w:b/>
          <w:bCs/>
          <w:color w:val="auto"/>
          <w:kern w:val="0"/>
          <w:sz w:val="28"/>
          <w:szCs w:val="28"/>
          <w:highlight w:val="none"/>
          <w:lang w:val="en-US" w:eastAsia="zh-CN" w:bidi="ar"/>
        </w:rPr>
        <w:t>开票信息</w:t>
      </w:r>
      <w:r>
        <w:rPr>
          <w:rFonts w:hint="eastAsia" w:ascii="仿宋" w:hAnsi="仿宋" w:eastAsia="仿宋" w:cs="仿宋"/>
          <w:b/>
          <w:bCs/>
          <w:color w:val="auto"/>
          <w:kern w:val="0"/>
          <w:sz w:val="28"/>
          <w:szCs w:val="28"/>
          <w:highlight w:val="none"/>
          <w:lang w:val="zh-CN" w:eastAsia="zh-CN" w:bidi="ar"/>
        </w:rPr>
        <w:t>（统一格式）</w:t>
      </w:r>
      <w:bookmarkEnd w:id="244"/>
      <w:bookmarkEnd w:id="245"/>
      <w:bookmarkEnd w:id="246"/>
      <w:bookmarkEnd w:id="247"/>
      <w:bookmarkEnd w:id="248"/>
      <w:bookmarkEnd w:id="249"/>
      <w:bookmarkEnd w:id="250"/>
    </w:p>
    <w:p w14:paraId="0F15141D">
      <w:pPr>
        <w:pStyle w:val="17"/>
        <w:spacing w:line="440" w:lineRule="exact"/>
        <w:ind w:firstLine="480" w:firstLineChars="200"/>
        <w:jc w:val="both"/>
        <w:rPr>
          <w:rFonts w:hint="eastAsia" w:ascii="仿宋" w:hAnsi="仿宋" w:eastAsia="仿宋" w:cs="仿宋"/>
          <w:bCs/>
          <w:color w:val="auto"/>
          <w:sz w:val="24"/>
          <w:highlight w:val="none"/>
        </w:rPr>
      </w:pPr>
    </w:p>
    <w:p w14:paraId="6AAB440C">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7E3C1116">
      <w:pPr>
        <w:pStyle w:val="17"/>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994050A">
      <w:pPr>
        <w:pStyle w:val="17"/>
        <w:spacing w:line="440" w:lineRule="exact"/>
        <w:ind w:firstLine="420" w:firstLineChars="200"/>
        <w:jc w:val="both"/>
        <w:rPr>
          <w:rFonts w:hint="eastAsia" w:ascii="仿宋" w:hAnsi="仿宋" w:eastAsia="仿宋" w:cs="仿宋"/>
          <w:color w:val="auto"/>
          <w:sz w:val="21"/>
          <w:szCs w:val="21"/>
          <w:highlight w:val="none"/>
        </w:rPr>
      </w:pPr>
    </w:p>
    <w:tbl>
      <w:tblPr>
        <w:tblStyle w:val="2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6200" w:type="dxa"/>
            <w:gridSpan w:val="3"/>
            <w:vAlign w:val="center"/>
          </w:tcPr>
          <w:p w14:paraId="30439DF9">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6200" w:type="dxa"/>
            <w:gridSpan w:val="3"/>
            <w:vAlign w:val="center"/>
          </w:tcPr>
          <w:p w14:paraId="134863C9">
            <w:pPr>
              <w:pStyle w:val="17"/>
              <w:spacing w:line="440" w:lineRule="exact"/>
              <w:jc w:val="center"/>
              <w:rPr>
                <w:rFonts w:hint="eastAsia" w:ascii="仿宋" w:hAnsi="仿宋" w:eastAsia="仿宋" w:cs="仿宋"/>
                <w:bCs/>
                <w:color w:val="auto"/>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6200" w:type="dxa"/>
            <w:gridSpan w:val="3"/>
            <w:vAlign w:val="center"/>
          </w:tcPr>
          <w:p w14:paraId="1BE09D5B">
            <w:pPr>
              <w:pStyle w:val="17"/>
              <w:spacing w:line="440" w:lineRule="exact"/>
              <w:jc w:val="center"/>
              <w:rPr>
                <w:rFonts w:hint="eastAsia" w:ascii="仿宋" w:hAnsi="仿宋" w:eastAsia="仿宋" w:cs="仿宋"/>
                <w:bCs/>
                <w:color w:val="auto"/>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2533" w:type="dxa"/>
            <w:vAlign w:val="center"/>
          </w:tcPr>
          <w:p w14:paraId="12B8109C">
            <w:pPr>
              <w:pStyle w:val="17"/>
              <w:spacing w:line="440" w:lineRule="exact"/>
              <w:jc w:val="center"/>
              <w:rPr>
                <w:rFonts w:hint="eastAsia" w:ascii="仿宋" w:hAnsi="仿宋" w:eastAsia="仿宋" w:cs="仿宋"/>
                <w:bCs/>
                <w:color w:val="auto"/>
                <w:sz w:val="21"/>
                <w:szCs w:val="21"/>
                <w:highlight w:val="none"/>
              </w:rPr>
            </w:pPr>
          </w:p>
        </w:tc>
        <w:tc>
          <w:tcPr>
            <w:tcW w:w="1550" w:type="dxa"/>
            <w:vAlign w:val="center"/>
          </w:tcPr>
          <w:p w14:paraId="7C4FCB20">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17" w:type="dxa"/>
            <w:vAlign w:val="center"/>
          </w:tcPr>
          <w:p w14:paraId="4069C0E4">
            <w:pPr>
              <w:pStyle w:val="17"/>
              <w:spacing w:line="440" w:lineRule="exact"/>
              <w:jc w:val="center"/>
              <w:rPr>
                <w:rFonts w:hint="eastAsia" w:ascii="仿宋" w:hAnsi="仿宋" w:eastAsia="仿宋" w:cs="仿宋"/>
                <w:bCs/>
                <w:color w:val="auto"/>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2533" w:type="dxa"/>
            <w:vAlign w:val="center"/>
          </w:tcPr>
          <w:p w14:paraId="13D2B40C">
            <w:pPr>
              <w:pStyle w:val="17"/>
              <w:spacing w:line="440" w:lineRule="exact"/>
              <w:jc w:val="center"/>
              <w:rPr>
                <w:rFonts w:hint="eastAsia" w:ascii="仿宋" w:hAnsi="仿宋" w:eastAsia="仿宋" w:cs="仿宋"/>
                <w:bCs/>
                <w:color w:val="auto"/>
                <w:sz w:val="21"/>
                <w:szCs w:val="21"/>
                <w:highlight w:val="none"/>
              </w:rPr>
            </w:pPr>
          </w:p>
        </w:tc>
        <w:tc>
          <w:tcPr>
            <w:tcW w:w="1550" w:type="dxa"/>
            <w:vAlign w:val="center"/>
          </w:tcPr>
          <w:p w14:paraId="22A24830">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17" w:type="dxa"/>
            <w:vAlign w:val="center"/>
          </w:tcPr>
          <w:p w14:paraId="4B0A763A">
            <w:pPr>
              <w:pStyle w:val="17"/>
              <w:spacing w:line="440" w:lineRule="exact"/>
              <w:jc w:val="center"/>
              <w:rPr>
                <w:rFonts w:hint="eastAsia" w:ascii="仿宋" w:hAnsi="仿宋" w:eastAsia="仿宋" w:cs="仿宋"/>
                <w:bCs/>
                <w:color w:val="auto"/>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2533" w:type="dxa"/>
            <w:vAlign w:val="center"/>
          </w:tcPr>
          <w:p w14:paraId="75E18729">
            <w:pPr>
              <w:pStyle w:val="17"/>
              <w:spacing w:line="440" w:lineRule="exact"/>
              <w:jc w:val="center"/>
              <w:rPr>
                <w:rFonts w:hint="eastAsia" w:ascii="仿宋" w:hAnsi="仿宋" w:eastAsia="仿宋" w:cs="仿宋"/>
                <w:bCs/>
                <w:color w:val="auto"/>
                <w:sz w:val="21"/>
                <w:szCs w:val="21"/>
                <w:highlight w:val="none"/>
              </w:rPr>
            </w:pPr>
          </w:p>
        </w:tc>
        <w:tc>
          <w:tcPr>
            <w:tcW w:w="1550" w:type="dxa"/>
            <w:vAlign w:val="center"/>
          </w:tcPr>
          <w:p w14:paraId="03147BC1">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17" w:type="dxa"/>
            <w:vAlign w:val="center"/>
          </w:tcPr>
          <w:p w14:paraId="1AA61200">
            <w:pPr>
              <w:pStyle w:val="17"/>
              <w:spacing w:line="440" w:lineRule="exact"/>
              <w:jc w:val="center"/>
              <w:rPr>
                <w:rFonts w:hint="eastAsia" w:ascii="仿宋" w:hAnsi="仿宋" w:eastAsia="仿宋" w:cs="仿宋"/>
                <w:bCs/>
                <w:color w:val="auto"/>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062CE4B1">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6200" w:type="dxa"/>
            <w:gridSpan w:val="3"/>
            <w:vAlign w:val="center"/>
          </w:tcPr>
          <w:p w14:paraId="76CF964C">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6200" w:type="dxa"/>
            <w:gridSpan w:val="3"/>
            <w:vAlign w:val="center"/>
          </w:tcPr>
          <w:p w14:paraId="76B962E3">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4B8FC952">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03DAE352">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51F0B1AC">
      <w:pPr>
        <w:pStyle w:val="17"/>
        <w:spacing w:line="440" w:lineRule="exact"/>
        <w:jc w:val="both"/>
        <w:rPr>
          <w:rFonts w:hint="eastAsia" w:ascii="仿宋" w:hAnsi="仿宋" w:eastAsia="仿宋" w:cs="仿宋"/>
          <w:bCs/>
          <w:color w:val="auto"/>
          <w:sz w:val="21"/>
          <w:szCs w:val="21"/>
          <w:highlight w:val="none"/>
        </w:rPr>
      </w:pPr>
    </w:p>
    <w:p w14:paraId="3BAE6546">
      <w:pPr>
        <w:pStyle w:val="17"/>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3CA60535">
      <w:pPr>
        <w:pStyle w:val="17"/>
        <w:spacing w:line="440" w:lineRule="exact"/>
        <w:jc w:val="both"/>
        <w:rPr>
          <w:rFonts w:hint="eastAsia" w:ascii="仿宋" w:hAnsi="仿宋" w:eastAsia="仿宋" w:cs="仿宋"/>
          <w:bCs/>
          <w:color w:val="auto"/>
          <w:sz w:val="21"/>
          <w:szCs w:val="21"/>
          <w:highlight w:val="none"/>
        </w:rPr>
      </w:pPr>
    </w:p>
    <w:p w14:paraId="66FDAE3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6B6C27A7">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1"/>
          <w:szCs w:val="21"/>
          <w:highlight w:val="none"/>
        </w:rPr>
        <w:t>）：</w:t>
      </w:r>
    </w:p>
    <w:p w14:paraId="46A60E44">
      <w:pPr>
        <w:pStyle w:val="17"/>
        <w:spacing w:line="440" w:lineRule="exact"/>
        <w:jc w:val="both"/>
        <w:rPr>
          <w:rFonts w:hint="eastAsia" w:ascii="仿宋" w:hAnsi="仿宋" w:eastAsia="仿宋" w:cs="仿宋"/>
          <w:b/>
          <w:bCs/>
          <w:color w:val="auto"/>
          <w:sz w:val="21"/>
          <w:szCs w:val="21"/>
          <w:highlight w:val="none"/>
          <w:lang w:bidi="ar"/>
        </w:rPr>
      </w:pPr>
      <w:r>
        <w:rPr>
          <w:rFonts w:hint="eastAsia" w:ascii="仿宋" w:hAnsi="仿宋" w:eastAsia="仿宋" w:cs="仿宋"/>
          <w:color w:val="auto"/>
          <w:sz w:val="21"/>
          <w:szCs w:val="21"/>
          <w:highlight w:val="none"/>
        </w:rPr>
        <w:t>日期：   年   月   日</w:t>
      </w:r>
    </w:p>
    <w:p w14:paraId="34A6BB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6440B1-AA8C-4CA6-9774-8F2D1E751E9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embedRegular r:id="rId2" w:fontKey="{339146FA-2048-404D-936E-D89AD8D8EB03}"/>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3" w:fontKey="{8D0F21F2-4214-4110-AA38-A540258C6BE9}"/>
  </w:font>
  <w:font w:name="仿宋_GB2312">
    <w:panose1 w:val="02010609030101010101"/>
    <w:charset w:val="86"/>
    <w:family w:val="auto"/>
    <w:pitch w:val="default"/>
    <w:sig w:usb0="00000001" w:usb1="080E0000" w:usb2="00000000" w:usb3="00000000" w:csb0="00040000" w:csb1="00000000"/>
    <w:embedRegular r:id="rId4" w:fontKey="{35E6B3EC-1FEC-4C30-9B5D-0C86E6369039}"/>
  </w:font>
  <w:font w:name="WPSEMBED5">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7"/>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86D">
    <w:pPr>
      <w:pStyle w:val="19"/>
      <w:ind w:firstLine="840" w:firstLineChars="300"/>
      <w:rPr>
        <w:rFonts w:hint="eastAsia" w:ascii="仿宋" w:hAnsi="仿宋" w:eastAsia="仿宋" w:cs="仿宋"/>
      </w:rPr>
    </w:pPr>
    <w:r>
      <w:rPr>
        <w:rFonts w:hint="eastAsia" w:ascii="仿宋" w:hAnsi="仿宋" w:eastAsia="仿宋" w:cs="仿宋"/>
        <w:sz w:val="28"/>
        <w:szCs w:val="28"/>
      </w:rPr>
      <w:drawing>
        <wp:anchor distT="0" distB="0" distL="114300" distR="114300" simplePos="0" relativeHeight="251665408"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 w:hAnsi="仿宋" w:eastAsia="仿宋" w:cs="仿宋"/>
        <w:sz w:val="28"/>
        <w:szCs w:val="28"/>
      </w:rPr>
      <w:t>新疆世纪星工程咨询有限公司</w:t>
    </w:r>
    <w:r>
      <w:rPr>
        <w:rFonts w:hint="eastAsia" w:ascii="仿宋_GB2312" w:hAnsi="仿宋_GB2312" w:eastAsia="仿宋_GB2312" w:cs="仿宋_GB2312"/>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1"/>
        <w:szCs w:val="21"/>
      </w:rPr>
      <w:t>新疆乌鲁木齐市黄山街德港大厦20层</w:t>
    </w:r>
  </w:p>
  <w:p w14:paraId="70F813E5">
    <w:pPr>
      <w:pStyle w:val="19"/>
      <w:pBdr>
        <w:bottom w:val="single" w:color="auto" w:sz="4" w:space="1"/>
      </w:pBdr>
      <w:ind w:firstLine="1040" w:firstLineChars="800"/>
      <w:rPr>
        <w:rFonts w:hint="eastAsia" w:ascii="仿宋" w:hAnsi="仿宋" w:eastAsia="仿宋" w:cs="仿宋"/>
        <w:lang w:eastAsia="zh-CN"/>
      </w:rPr>
    </w:pPr>
    <w:r>
      <w:rPr>
        <w:rFonts w:hint="eastAsia" w:ascii="仿宋" w:hAnsi="仿宋" w:eastAsia="仿宋" w:cs="仿宋"/>
        <w:sz w:val="13"/>
        <w:szCs w:val="20"/>
      </w:rPr>
      <w:t>Xinjiang Century Star Engineering Consulting Co., Ltd.</w:t>
    </w:r>
    <w:r>
      <w:rPr>
        <w:rFonts w:hint="eastAsia" w:ascii="仿宋" w:hAnsi="仿宋" w:eastAsia="仿宋" w:cs="仿宋"/>
      </w:rPr>
      <w:t xml:space="preserve">     TEL：</w:t>
    </w:r>
    <w:r>
      <w:rPr>
        <w:rFonts w:hint="eastAsia" w:ascii="仿宋" w:hAnsi="仿宋" w:eastAsia="仿宋" w:cs="仿宋"/>
        <w:lang w:eastAsia="zh-CN"/>
      </w:rPr>
      <w:t>13999295080</w:t>
    </w:r>
  </w:p>
  <w:p w14:paraId="77E442FB">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D8BD"/>
    <w:multiLevelType w:val="singleLevel"/>
    <w:tmpl w:val="81F0D8BD"/>
    <w:lvl w:ilvl="0" w:tentative="0">
      <w:start w:val="1"/>
      <w:numFmt w:val="decimal"/>
      <w:suff w:val="nothing"/>
      <w:lvlText w:val="%1、"/>
      <w:lvlJc w:val="left"/>
      <w:pPr>
        <w:ind w:left="0" w:firstLine="480"/>
      </w:pPr>
      <w:rPr>
        <w:rFonts w:hint="default"/>
      </w:rPr>
    </w:lvl>
  </w:abstractNum>
  <w:abstractNum w:abstractNumId="1">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85E0BDD9"/>
    <w:multiLevelType w:val="singleLevel"/>
    <w:tmpl w:val="85E0BDD9"/>
    <w:lvl w:ilvl="0" w:tentative="0">
      <w:start w:val="1"/>
      <w:numFmt w:val="decimal"/>
      <w:suff w:val="nothing"/>
      <w:lvlText w:val="%1、"/>
      <w:lvlJc w:val="left"/>
      <w:pPr>
        <w:ind w:left="0" w:firstLine="480"/>
      </w:pPr>
      <w:rPr>
        <w:rFonts w:hint="default"/>
      </w:rPr>
    </w:lvl>
  </w:abstractNum>
  <w:abstractNum w:abstractNumId="3">
    <w:nsid w:val="892D9A9E"/>
    <w:multiLevelType w:val="singleLevel"/>
    <w:tmpl w:val="892D9A9E"/>
    <w:lvl w:ilvl="0" w:tentative="0">
      <w:start w:val="1"/>
      <w:numFmt w:val="decimal"/>
      <w:suff w:val="nothing"/>
      <w:lvlText w:val="（%1）"/>
      <w:lvlJc w:val="left"/>
      <w:pPr>
        <w:ind w:left="0" w:firstLine="480"/>
      </w:pPr>
      <w:rPr>
        <w:rFonts w:hint="default"/>
      </w:rPr>
    </w:lvl>
  </w:abstractNum>
  <w:abstractNum w:abstractNumId="4">
    <w:nsid w:val="8B5B60F3"/>
    <w:multiLevelType w:val="singleLevel"/>
    <w:tmpl w:val="8B5B60F3"/>
    <w:lvl w:ilvl="0" w:tentative="0">
      <w:start w:val="1"/>
      <w:numFmt w:val="decimal"/>
      <w:suff w:val="nothing"/>
      <w:lvlText w:val="%1、"/>
      <w:lvlJc w:val="left"/>
      <w:pPr>
        <w:ind w:left="0" w:firstLine="480"/>
      </w:pPr>
      <w:rPr>
        <w:rFonts w:hint="default"/>
      </w:rPr>
    </w:lvl>
  </w:abstractNum>
  <w:abstractNum w:abstractNumId="5">
    <w:nsid w:val="8D1E2223"/>
    <w:multiLevelType w:val="singleLevel"/>
    <w:tmpl w:val="8D1E2223"/>
    <w:lvl w:ilvl="0" w:tentative="0">
      <w:start w:val="1"/>
      <w:numFmt w:val="decimal"/>
      <w:suff w:val="nothing"/>
      <w:lvlText w:val="%1、"/>
      <w:lvlJc w:val="left"/>
      <w:pPr>
        <w:ind w:left="0" w:firstLine="480"/>
      </w:pPr>
      <w:rPr>
        <w:rFonts w:hint="default"/>
      </w:rPr>
    </w:lvl>
  </w:abstractNum>
  <w:abstractNum w:abstractNumId="6">
    <w:nsid w:val="9192E6A1"/>
    <w:multiLevelType w:val="singleLevel"/>
    <w:tmpl w:val="9192E6A1"/>
    <w:lvl w:ilvl="0" w:tentative="0">
      <w:start w:val="1"/>
      <w:numFmt w:val="decimal"/>
      <w:suff w:val="nothing"/>
      <w:lvlText w:val="（%1）"/>
      <w:lvlJc w:val="left"/>
      <w:pPr>
        <w:ind w:left="0" w:firstLine="480"/>
      </w:pPr>
      <w:rPr>
        <w:rFonts w:hint="default"/>
      </w:rPr>
    </w:lvl>
  </w:abstractNum>
  <w:abstractNum w:abstractNumId="7">
    <w:nsid w:val="97BFF4F1"/>
    <w:multiLevelType w:val="multilevel"/>
    <w:tmpl w:val="97BFF4F1"/>
    <w:lvl w:ilvl="0" w:tentative="0">
      <w:start w:val="1"/>
      <w:numFmt w:val="decimal"/>
      <w:suff w:val="nothing"/>
      <w:lvlText w:val="%1."/>
      <w:lvlJc w:val="left"/>
      <w:pPr>
        <w:ind w:left="425" w:hanging="425"/>
      </w:pPr>
      <w:rPr>
        <w:rFonts w:hint="default"/>
        <w:sz w:val="28"/>
        <w:szCs w:val="28"/>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97C48EC0"/>
    <w:multiLevelType w:val="singleLevel"/>
    <w:tmpl w:val="97C48EC0"/>
    <w:lvl w:ilvl="0" w:tentative="0">
      <w:start w:val="1"/>
      <w:numFmt w:val="decimal"/>
      <w:suff w:val="space"/>
      <w:lvlText w:val=""/>
      <w:lvlJc w:val="left"/>
      <w:pPr>
        <w:ind w:left="0" w:firstLine="480"/>
      </w:pPr>
      <w:rPr>
        <w:rFonts w:hint="default"/>
      </w:rPr>
    </w:lvl>
  </w:abstractNum>
  <w:abstractNum w:abstractNumId="9">
    <w:nsid w:val="98511DEC"/>
    <w:multiLevelType w:val="singleLevel"/>
    <w:tmpl w:val="98511DEC"/>
    <w:lvl w:ilvl="0" w:tentative="0">
      <w:start w:val="26"/>
      <w:numFmt w:val="decimal"/>
      <w:lvlText w:val="%1."/>
      <w:lvlJc w:val="left"/>
      <w:pPr>
        <w:tabs>
          <w:tab w:val="left" w:pos="312"/>
        </w:tabs>
      </w:pPr>
    </w:lvl>
  </w:abstractNum>
  <w:abstractNum w:abstractNumId="10">
    <w:nsid w:val="99EC21E8"/>
    <w:multiLevelType w:val="singleLevel"/>
    <w:tmpl w:val="99EC21E8"/>
    <w:lvl w:ilvl="0" w:tentative="0">
      <w:start w:val="1"/>
      <w:numFmt w:val="decimal"/>
      <w:suff w:val="nothing"/>
      <w:lvlText w:val="（%1）"/>
      <w:lvlJc w:val="left"/>
      <w:pPr>
        <w:ind w:left="0" w:firstLine="480"/>
      </w:pPr>
      <w:rPr>
        <w:rFonts w:hint="default"/>
      </w:rPr>
    </w:lvl>
  </w:abstractNum>
  <w:abstractNum w:abstractNumId="11">
    <w:nsid w:val="9BD8592C"/>
    <w:multiLevelType w:val="singleLevel"/>
    <w:tmpl w:val="9BD8592C"/>
    <w:lvl w:ilvl="0" w:tentative="0">
      <w:start w:val="1"/>
      <w:numFmt w:val="decimal"/>
      <w:suff w:val="nothing"/>
      <w:lvlText w:val="%1）"/>
      <w:lvlJc w:val="left"/>
    </w:lvl>
  </w:abstractNum>
  <w:abstractNum w:abstractNumId="12">
    <w:nsid w:val="9C8F0C4B"/>
    <w:multiLevelType w:val="singleLevel"/>
    <w:tmpl w:val="9C8F0C4B"/>
    <w:lvl w:ilvl="0" w:tentative="0">
      <w:start w:val="1"/>
      <w:numFmt w:val="decimal"/>
      <w:suff w:val="nothing"/>
      <w:lvlText w:val="%1、"/>
      <w:lvlJc w:val="left"/>
      <w:pPr>
        <w:ind w:left="0" w:firstLine="480"/>
      </w:pPr>
      <w:rPr>
        <w:rFonts w:hint="default"/>
      </w:rPr>
    </w:lvl>
  </w:abstractNum>
  <w:abstractNum w:abstractNumId="13">
    <w:nsid w:val="9D3B6BD5"/>
    <w:multiLevelType w:val="singleLevel"/>
    <w:tmpl w:val="9D3B6BD5"/>
    <w:lvl w:ilvl="0" w:tentative="0">
      <w:start w:val="1"/>
      <w:numFmt w:val="decimal"/>
      <w:suff w:val="space"/>
      <w:lvlText w:val="%1."/>
      <w:lvlJc w:val="left"/>
      <w:pPr>
        <w:ind w:left="0" w:firstLine="480"/>
      </w:pPr>
      <w:rPr>
        <w:rFonts w:hint="default"/>
      </w:rPr>
    </w:lvl>
  </w:abstractNum>
  <w:abstractNum w:abstractNumId="14">
    <w:nsid w:val="A71E89EF"/>
    <w:multiLevelType w:val="singleLevel"/>
    <w:tmpl w:val="A71E89EF"/>
    <w:lvl w:ilvl="0" w:tentative="0">
      <w:start w:val="1"/>
      <w:numFmt w:val="decimal"/>
      <w:suff w:val="nothing"/>
      <w:lvlText w:val=""/>
      <w:lvlJc w:val="left"/>
      <w:pPr>
        <w:ind w:left="0" w:firstLine="480"/>
      </w:pPr>
      <w:rPr>
        <w:rFonts w:hint="default"/>
      </w:rPr>
    </w:lvl>
  </w:abstractNum>
  <w:abstractNum w:abstractNumId="15">
    <w:nsid w:val="A7AA2F87"/>
    <w:multiLevelType w:val="singleLevel"/>
    <w:tmpl w:val="A7AA2F87"/>
    <w:lvl w:ilvl="0" w:tentative="0">
      <w:start w:val="1"/>
      <w:numFmt w:val="decimal"/>
      <w:suff w:val="nothing"/>
      <w:lvlText w:val="%1、"/>
      <w:lvlJc w:val="left"/>
      <w:pPr>
        <w:ind w:left="0" w:firstLine="480"/>
      </w:pPr>
      <w:rPr>
        <w:rFonts w:hint="default"/>
      </w:rPr>
    </w:lvl>
  </w:abstractNum>
  <w:abstractNum w:abstractNumId="16">
    <w:nsid w:val="ACD8ECD6"/>
    <w:multiLevelType w:val="singleLevel"/>
    <w:tmpl w:val="ACD8ECD6"/>
    <w:lvl w:ilvl="0" w:tentative="0">
      <w:start w:val="1"/>
      <w:numFmt w:val="decimal"/>
      <w:suff w:val="nothing"/>
      <w:lvlText w:val="%1）"/>
      <w:lvlJc w:val="left"/>
      <w:rPr>
        <w:rFonts w:hint="default"/>
        <w:b/>
        <w:bCs/>
      </w:rPr>
    </w:lvl>
  </w:abstractNum>
  <w:abstractNum w:abstractNumId="17">
    <w:nsid w:val="AD59647E"/>
    <w:multiLevelType w:val="singleLevel"/>
    <w:tmpl w:val="AD59647E"/>
    <w:lvl w:ilvl="0" w:tentative="0">
      <w:start w:val="1"/>
      <w:numFmt w:val="decimal"/>
      <w:suff w:val="space"/>
      <w:lvlText w:val="%1."/>
      <w:lvlJc w:val="left"/>
      <w:pPr>
        <w:ind w:left="0" w:firstLine="480"/>
      </w:pPr>
      <w:rPr>
        <w:rFonts w:hint="default"/>
      </w:rPr>
    </w:lvl>
  </w:abstractNum>
  <w:abstractNum w:abstractNumId="18">
    <w:nsid w:val="ADACB6E2"/>
    <w:multiLevelType w:val="singleLevel"/>
    <w:tmpl w:val="ADACB6E2"/>
    <w:lvl w:ilvl="0" w:tentative="0">
      <w:start w:val="1"/>
      <w:numFmt w:val="decimal"/>
      <w:suff w:val="nothing"/>
      <w:lvlText w:val="%1、"/>
      <w:lvlJc w:val="left"/>
      <w:pPr>
        <w:ind w:left="0" w:firstLine="480"/>
      </w:pPr>
      <w:rPr>
        <w:rFonts w:hint="default"/>
      </w:rPr>
    </w:lvl>
  </w:abstractNum>
  <w:abstractNum w:abstractNumId="19">
    <w:nsid w:val="B2F4D45C"/>
    <w:multiLevelType w:val="singleLevel"/>
    <w:tmpl w:val="B2F4D45C"/>
    <w:lvl w:ilvl="0" w:tentative="0">
      <w:start w:val="1"/>
      <w:numFmt w:val="decimal"/>
      <w:lvlText w:val="8.%1"/>
      <w:lvlJc w:val="left"/>
      <w:pPr>
        <w:tabs>
          <w:tab w:val="left" w:pos="210"/>
        </w:tabs>
        <w:ind w:left="0" w:firstLine="480"/>
      </w:pPr>
      <w:rPr>
        <w:rFonts w:hint="default"/>
      </w:rPr>
    </w:lvl>
  </w:abstractNum>
  <w:abstractNum w:abstractNumId="20">
    <w:nsid w:val="B45ECE13"/>
    <w:multiLevelType w:val="singleLevel"/>
    <w:tmpl w:val="B45ECE13"/>
    <w:lvl w:ilvl="0" w:tentative="0">
      <w:start w:val="1"/>
      <w:numFmt w:val="decimal"/>
      <w:suff w:val="nothing"/>
      <w:lvlText w:val="%1、"/>
      <w:lvlJc w:val="left"/>
    </w:lvl>
  </w:abstractNum>
  <w:abstractNum w:abstractNumId="21">
    <w:nsid w:val="B72956CF"/>
    <w:multiLevelType w:val="singleLevel"/>
    <w:tmpl w:val="B72956CF"/>
    <w:lvl w:ilvl="0" w:tentative="0">
      <w:start w:val="1"/>
      <w:numFmt w:val="decimal"/>
      <w:suff w:val="space"/>
      <w:lvlText w:val="%1."/>
      <w:lvlJc w:val="left"/>
      <w:pPr>
        <w:ind w:left="0" w:firstLine="480"/>
      </w:pPr>
      <w:rPr>
        <w:rFonts w:hint="default"/>
      </w:rPr>
    </w:lvl>
  </w:abstractNum>
  <w:abstractNum w:abstractNumId="22">
    <w:nsid w:val="BA0DA384"/>
    <w:multiLevelType w:val="singleLevel"/>
    <w:tmpl w:val="BA0DA384"/>
    <w:lvl w:ilvl="0" w:tentative="0">
      <w:start w:val="1"/>
      <w:numFmt w:val="decimal"/>
      <w:suff w:val="nothing"/>
      <w:lvlText w:val="（%1）"/>
      <w:lvlJc w:val="left"/>
      <w:pPr>
        <w:ind w:left="0" w:firstLine="480"/>
      </w:pPr>
      <w:rPr>
        <w:rFonts w:hint="default"/>
      </w:rPr>
    </w:lvl>
  </w:abstractNum>
  <w:abstractNum w:abstractNumId="23">
    <w:nsid w:val="C520B6CC"/>
    <w:multiLevelType w:val="singleLevel"/>
    <w:tmpl w:val="C520B6CC"/>
    <w:lvl w:ilvl="0" w:tentative="0">
      <w:start w:val="22"/>
      <w:numFmt w:val="decimal"/>
      <w:suff w:val="nothing"/>
      <w:lvlText w:val=""/>
      <w:lvlJc w:val="left"/>
      <w:pPr>
        <w:ind w:left="0" w:firstLine="480"/>
      </w:pPr>
      <w:rPr>
        <w:rFonts w:hint="default"/>
      </w:rPr>
    </w:lvl>
  </w:abstractNum>
  <w:abstractNum w:abstractNumId="24">
    <w:nsid w:val="C5D9EEDC"/>
    <w:multiLevelType w:val="singleLevel"/>
    <w:tmpl w:val="C5D9EEDC"/>
    <w:lvl w:ilvl="0" w:tentative="0">
      <w:start w:val="1"/>
      <w:numFmt w:val="decimal"/>
      <w:suff w:val="space"/>
      <w:lvlText w:val="%1."/>
      <w:lvlJc w:val="left"/>
      <w:pPr>
        <w:ind w:left="0" w:firstLine="480"/>
      </w:pPr>
      <w:rPr>
        <w:rFonts w:hint="default"/>
      </w:rPr>
    </w:lvl>
  </w:abstractNum>
  <w:abstractNum w:abstractNumId="25">
    <w:nsid w:val="CADCD72C"/>
    <w:multiLevelType w:val="singleLevel"/>
    <w:tmpl w:val="CADCD72C"/>
    <w:lvl w:ilvl="0" w:tentative="0">
      <w:start w:val="1"/>
      <w:numFmt w:val="decimal"/>
      <w:lvlText w:val="16.%1"/>
      <w:lvlJc w:val="left"/>
      <w:pPr>
        <w:tabs>
          <w:tab w:val="left" w:pos="210"/>
        </w:tabs>
        <w:ind w:left="0" w:firstLine="480"/>
      </w:pPr>
      <w:rPr>
        <w:rFonts w:hint="default"/>
      </w:rPr>
    </w:lvl>
  </w:abstractNum>
  <w:abstractNum w:abstractNumId="26">
    <w:nsid w:val="CB60E306"/>
    <w:multiLevelType w:val="singleLevel"/>
    <w:tmpl w:val="CB60E306"/>
    <w:lvl w:ilvl="0" w:tentative="0">
      <w:start w:val="1"/>
      <w:numFmt w:val="decimal"/>
      <w:suff w:val="nothing"/>
      <w:lvlText w:val="（%1）"/>
      <w:lvlJc w:val="left"/>
    </w:lvl>
  </w:abstractNum>
  <w:abstractNum w:abstractNumId="27">
    <w:nsid w:val="D4159D30"/>
    <w:multiLevelType w:val="singleLevel"/>
    <w:tmpl w:val="D4159D30"/>
    <w:lvl w:ilvl="0" w:tentative="0">
      <w:start w:val="1"/>
      <w:numFmt w:val="decimal"/>
      <w:suff w:val="nothing"/>
      <w:lvlText w:val="（%1）"/>
      <w:lvlJc w:val="left"/>
      <w:pPr>
        <w:ind w:left="0" w:firstLine="480"/>
      </w:pPr>
      <w:rPr>
        <w:rFonts w:hint="default"/>
      </w:rPr>
    </w:lvl>
  </w:abstractNum>
  <w:abstractNum w:abstractNumId="28">
    <w:nsid w:val="D4CC77E6"/>
    <w:multiLevelType w:val="singleLevel"/>
    <w:tmpl w:val="D4CC77E6"/>
    <w:lvl w:ilvl="0" w:tentative="0">
      <w:start w:val="1"/>
      <w:numFmt w:val="decimal"/>
      <w:suff w:val="space"/>
      <w:lvlText w:val="%1."/>
      <w:lvlJc w:val="left"/>
      <w:pPr>
        <w:ind w:left="0" w:firstLine="480"/>
      </w:pPr>
      <w:rPr>
        <w:rFonts w:hint="default"/>
      </w:rPr>
    </w:lvl>
  </w:abstractNum>
  <w:abstractNum w:abstractNumId="29">
    <w:nsid w:val="D52E1567"/>
    <w:multiLevelType w:val="singleLevel"/>
    <w:tmpl w:val="D52E1567"/>
    <w:lvl w:ilvl="0" w:tentative="0">
      <w:start w:val="1"/>
      <w:numFmt w:val="decimal"/>
      <w:lvlText w:val="7.%1"/>
      <w:lvlJc w:val="left"/>
      <w:pPr>
        <w:tabs>
          <w:tab w:val="left" w:pos="210"/>
        </w:tabs>
        <w:ind w:left="0" w:firstLine="480"/>
      </w:pPr>
      <w:rPr>
        <w:rFonts w:hint="default"/>
      </w:rPr>
    </w:lvl>
  </w:abstractNum>
  <w:abstractNum w:abstractNumId="30">
    <w:nsid w:val="D5D650CB"/>
    <w:multiLevelType w:val="singleLevel"/>
    <w:tmpl w:val="D5D650CB"/>
    <w:lvl w:ilvl="0" w:tentative="0">
      <w:start w:val="1"/>
      <w:numFmt w:val="decimal"/>
      <w:suff w:val="nothing"/>
      <w:lvlText w:val="%1、"/>
      <w:lvlJc w:val="left"/>
      <w:pPr>
        <w:ind w:left="0" w:firstLine="480"/>
      </w:pPr>
      <w:rPr>
        <w:rFonts w:hint="default"/>
      </w:rPr>
    </w:lvl>
  </w:abstractNum>
  <w:abstractNum w:abstractNumId="31">
    <w:nsid w:val="D92BE6F0"/>
    <w:multiLevelType w:val="multilevel"/>
    <w:tmpl w:val="D92BE6F0"/>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D9B57B25"/>
    <w:multiLevelType w:val="singleLevel"/>
    <w:tmpl w:val="D9B57B25"/>
    <w:lvl w:ilvl="0" w:tentative="0">
      <w:start w:val="1"/>
      <w:numFmt w:val="decimal"/>
      <w:suff w:val="nothing"/>
      <w:lvlText w:val="%1."/>
      <w:lvlJc w:val="left"/>
      <w:rPr>
        <w:rFonts w:hint="default"/>
        <w:b w:val="0"/>
        <w:bCs w:val="0"/>
      </w:rPr>
    </w:lvl>
  </w:abstractNum>
  <w:abstractNum w:abstractNumId="33">
    <w:nsid w:val="DF0C1C3F"/>
    <w:multiLevelType w:val="singleLevel"/>
    <w:tmpl w:val="DF0C1C3F"/>
    <w:lvl w:ilvl="0" w:tentative="0">
      <w:start w:val="1"/>
      <w:numFmt w:val="decimal"/>
      <w:suff w:val="nothing"/>
      <w:lvlText w:val="（%1）"/>
      <w:lvlJc w:val="left"/>
      <w:pPr>
        <w:ind w:left="0" w:firstLine="480"/>
      </w:pPr>
      <w:rPr>
        <w:rFonts w:hint="default"/>
      </w:rPr>
    </w:lvl>
  </w:abstractNum>
  <w:abstractNum w:abstractNumId="34">
    <w:nsid w:val="DF3543CB"/>
    <w:multiLevelType w:val="singleLevel"/>
    <w:tmpl w:val="DF3543CB"/>
    <w:lvl w:ilvl="0" w:tentative="0">
      <w:start w:val="1"/>
      <w:numFmt w:val="chineseCounting"/>
      <w:suff w:val="nothing"/>
      <w:lvlText w:val="%1、"/>
      <w:lvlJc w:val="left"/>
      <w:rPr>
        <w:rFonts w:hint="eastAsia"/>
      </w:rPr>
    </w:lvl>
  </w:abstractNum>
  <w:abstractNum w:abstractNumId="35">
    <w:nsid w:val="E0A646A7"/>
    <w:multiLevelType w:val="multilevel"/>
    <w:tmpl w:val="E0A646A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E41839DF"/>
    <w:multiLevelType w:val="singleLevel"/>
    <w:tmpl w:val="E41839DF"/>
    <w:lvl w:ilvl="0" w:tentative="0">
      <w:start w:val="1"/>
      <w:numFmt w:val="decimal"/>
      <w:lvlText w:val="11.%1"/>
      <w:lvlJc w:val="left"/>
      <w:pPr>
        <w:tabs>
          <w:tab w:val="left" w:pos="210"/>
        </w:tabs>
        <w:ind w:left="0" w:firstLine="480"/>
      </w:pPr>
      <w:rPr>
        <w:rFonts w:hint="default"/>
      </w:rPr>
    </w:lvl>
  </w:abstractNum>
  <w:abstractNum w:abstractNumId="37">
    <w:nsid w:val="E4654E09"/>
    <w:multiLevelType w:val="singleLevel"/>
    <w:tmpl w:val="E4654E09"/>
    <w:lvl w:ilvl="0" w:tentative="0">
      <w:start w:val="2"/>
      <w:numFmt w:val="decimal"/>
      <w:suff w:val="space"/>
      <w:lvlText w:val="%1."/>
      <w:lvlJc w:val="left"/>
      <w:pPr>
        <w:ind w:left="0" w:firstLine="480"/>
      </w:pPr>
      <w:rPr>
        <w:rFonts w:hint="default"/>
      </w:rPr>
    </w:lvl>
  </w:abstractNum>
  <w:abstractNum w:abstractNumId="38">
    <w:nsid w:val="EAA0A47C"/>
    <w:multiLevelType w:val="singleLevel"/>
    <w:tmpl w:val="EAA0A47C"/>
    <w:lvl w:ilvl="0" w:tentative="0">
      <w:start w:val="1"/>
      <w:numFmt w:val="decimal"/>
      <w:lvlText w:val="%1."/>
      <w:lvlJc w:val="left"/>
      <w:pPr>
        <w:ind w:left="425" w:hanging="425"/>
      </w:pPr>
      <w:rPr>
        <w:rFonts w:hint="default"/>
      </w:rPr>
    </w:lvl>
  </w:abstractNum>
  <w:abstractNum w:abstractNumId="39">
    <w:nsid w:val="FC1E8500"/>
    <w:multiLevelType w:val="singleLevel"/>
    <w:tmpl w:val="FC1E8500"/>
    <w:lvl w:ilvl="0" w:tentative="0">
      <w:start w:val="1"/>
      <w:numFmt w:val="decimal"/>
      <w:suff w:val="nothing"/>
      <w:lvlText w:val="%1、"/>
      <w:lvlJc w:val="left"/>
      <w:pPr>
        <w:ind w:left="0" w:firstLine="480"/>
      </w:pPr>
      <w:rPr>
        <w:rFonts w:hint="default"/>
      </w:rPr>
    </w:lvl>
  </w:abstractNum>
  <w:abstractNum w:abstractNumId="40">
    <w:nsid w:val="FE60127E"/>
    <w:multiLevelType w:val="singleLevel"/>
    <w:tmpl w:val="FE60127E"/>
    <w:lvl w:ilvl="0" w:tentative="0">
      <w:start w:val="1"/>
      <w:numFmt w:val="decimal"/>
      <w:suff w:val="nothing"/>
      <w:lvlText w:val="%1）"/>
      <w:lvlJc w:val="left"/>
    </w:lvl>
  </w:abstractNum>
  <w:abstractNum w:abstractNumId="41">
    <w:nsid w:val="05FE2DA7"/>
    <w:multiLevelType w:val="singleLevel"/>
    <w:tmpl w:val="05FE2DA7"/>
    <w:lvl w:ilvl="0" w:tentative="0">
      <w:start w:val="1"/>
      <w:numFmt w:val="chineseCounting"/>
      <w:suff w:val="space"/>
      <w:lvlText w:val="第%1章"/>
      <w:lvlJc w:val="left"/>
      <w:rPr>
        <w:rFonts w:hint="eastAsia"/>
      </w:rPr>
    </w:lvl>
  </w:abstractNum>
  <w:abstractNum w:abstractNumId="42">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3">
    <w:nsid w:val="09593FC1"/>
    <w:multiLevelType w:val="singleLevel"/>
    <w:tmpl w:val="09593FC1"/>
    <w:lvl w:ilvl="0" w:tentative="0">
      <w:start w:val="1"/>
      <w:numFmt w:val="decimal"/>
      <w:suff w:val="nothing"/>
      <w:lvlText w:val="%1、"/>
      <w:lvlJc w:val="left"/>
      <w:pPr>
        <w:ind w:left="0" w:firstLine="480"/>
      </w:pPr>
      <w:rPr>
        <w:rFonts w:hint="default"/>
      </w:rPr>
    </w:lvl>
  </w:abstractNum>
  <w:abstractNum w:abstractNumId="44">
    <w:nsid w:val="09E5A242"/>
    <w:multiLevelType w:val="singleLevel"/>
    <w:tmpl w:val="09E5A242"/>
    <w:lvl w:ilvl="0" w:tentative="0">
      <w:start w:val="2"/>
      <w:numFmt w:val="chineseCounting"/>
      <w:suff w:val="nothing"/>
      <w:lvlText w:val="%1、"/>
      <w:lvlJc w:val="left"/>
      <w:rPr>
        <w:rFonts w:hint="eastAsia"/>
      </w:rPr>
    </w:lvl>
  </w:abstractNum>
  <w:abstractNum w:abstractNumId="45">
    <w:nsid w:val="0B9D33CA"/>
    <w:multiLevelType w:val="singleLevel"/>
    <w:tmpl w:val="0B9D33CA"/>
    <w:lvl w:ilvl="0" w:tentative="0">
      <w:start w:val="1"/>
      <w:numFmt w:val="decimal"/>
      <w:suff w:val="space"/>
      <w:lvlText w:val="%1."/>
      <w:lvlJc w:val="left"/>
      <w:pPr>
        <w:ind w:left="0" w:firstLine="480"/>
      </w:pPr>
      <w:rPr>
        <w:rFonts w:hint="default"/>
      </w:rPr>
    </w:lvl>
  </w:abstractNum>
  <w:abstractNum w:abstractNumId="46">
    <w:nsid w:val="11564A79"/>
    <w:multiLevelType w:val="singleLevel"/>
    <w:tmpl w:val="11564A79"/>
    <w:lvl w:ilvl="0" w:tentative="0">
      <w:start w:val="1"/>
      <w:numFmt w:val="decimal"/>
      <w:suff w:val="nothing"/>
      <w:lvlText w:val="%1、"/>
      <w:lvlJc w:val="left"/>
      <w:pPr>
        <w:ind w:left="0" w:firstLine="480"/>
      </w:pPr>
      <w:rPr>
        <w:rFonts w:hint="default"/>
      </w:rPr>
    </w:lvl>
  </w:abstractNum>
  <w:abstractNum w:abstractNumId="47">
    <w:nsid w:val="1275B3D8"/>
    <w:multiLevelType w:val="singleLevel"/>
    <w:tmpl w:val="1275B3D8"/>
    <w:lvl w:ilvl="0" w:tentative="0">
      <w:start w:val="1"/>
      <w:numFmt w:val="decimal"/>
      <w:suff w:val="nothing"/>
      <w:lvlText w:val="%1、"/>
      <w:lvlJc w:val="left"/>
      <w:pPr>
        <w:ind w:left="0" w:firstLine="480"/>
      </w:pPr>
      <w:rPr>
        <w:rFonts w:hint="default"/>
      </w:rPr>
    </w:lvl>
  </w:abstractNum>
  <w:abstractNum w:abstractNumId="48">
    <w:nsid w:val="14592B2E"/>
    <w:multiLevelType w:val="singleLevel"/>
    <w:tmpl w:val="14592B2E"/>
    <w:lvl w:ilvl="0" w:tentative="0">
      <w:start w:val="1"/>
      <w:numFmt w:val="chineseCounting"/>
      <w:suff w:val="space"/>
      <w:lvlText w:val="%1."/>
      <w:lvlJc w:val="left"/>
      <w:pPr>
        <w:ind w:left="0" w:firstLine="0"/>
      </w:pPr>
      <w:rPr>
        <w:rFonts w:hint="eastAsia"/>
      </w:rPr>
    </w:lvl>
  </w:abstractNum>
  <w:abstractNum w:abstractNumId="49">
    <w:nsid w:val="17C952CF"/>
    <w:multiLevelType w:val="singleLevel"/>
    <w:tmpl w:val="17C952CF"/>
    <w:lvl w:ilvl="0" w:tentative="0">
      <w:start w:val="1"/>
      <w:numFmt w:val="decimal"/>
      <w:suff w:val="nothing"/>
      <w:lvlText w:val="%1、"/>
      <w:lvlJc w:val="left"/>
      <w:pPr>
        <w:ind w:left="0" w:firstLine="480"/>
      </w:pPr>
      <w:rPr>
        <w:rFonts w:hint="default"/>
      </w:rPr>
    </w:lvl>
  </w:abstractNum>
  <w:abstractNum w:abstractNumId="50">
    <w:nsid w:val="1B90C84B"/>
    <w:multiLevelType w:val="singleLevel"/>
    <w:tmpl w:val="1B90C84B"/>
    <w:lvl w:ilvl="0" w:tentative="0">
      <w:start w:val="1"/>
      <w:numFmt w:val="decimal"/>
      <w:suff w:val="space"/>
      <w:lvlText w:val="%1."/>
      <w:lvlJc w:val="left"/>
      <w:pPr>
        <w:ind w:left="0" w:firstLine="480"/>
      </w:pPr>
      <w:rPr>
        <w:rFonts w:hint="default"/>
      </w:rPr>
    </w:lvl>
  </w:abstractNum>
  <w:abstractNum w:abstractNumId="51">
    <w:nsid w:val="20CDA1FE"/>
    <w:multiLevelType w:val="singleLevel"/>
    <w:tmpl w:val="20CDA1FE"/>
    <w:lvl w:ilvl="0" w:tentative="0">
      <w:start w:val="1"/>
      <w:numFmt w:val="decimal"/>
      <w:suff w:val="space"/>
      <w:lvlText w:val="%1."/>
      <w:lvlJc w:val="left"/>
      <w:pPr>
        <w:ind w:left="0" w:firstLine="0"/>
      </w:pPr>
      <w:rPr>
        <w:rFonts w:hint="default"/>
      </w:rPr>
    </w:lvl>
  </w:abstractNum>
  <w:abstractNum w:abstractNumId="52">
    <w:nsid w:val="2376493D"/>
    <w:multiLevelType w:val="singleLevel"/>
    <w:tmpl w:val="2376493D"/>
    <w:lvl w:ilvl="0" w:tentative="0">
      <w:start w:val="1"/>
      <w:numFmt w:val="decimal"/>
      <w:suff w:val="nothing"/>
      <w:lvlText w:val="%1、"/>
      <w:lvlJc w:val="left"/>
      <w:pPr>
        <w:ind w:left="0" w:firstLine="480"/>
      </w:pPr>
      <w:rPr>
        <w:rFonts w:hint="default"/>
      </w:rPr>
    </w:lvl>
  </w:abstractNum>
  <w:abstractNum w:abstractNumId="53">
    <w:nsid w:val="2E73A95D"/>
    <w:multiLevelType w:val="singleLevel"/>
    <w:tmpl w:val="2E73A95D"/>
    <w:lvl w:ilvl="0" w:tentative="0">
      <w:start w:val="1"/>
      <w:numFmt w:val="decimal"/>
      <w:lvlText w:val="9.%1"/>
      <w:lvlJc w:val="left"/>
      <w:pPr>
        <w:tabs>
          <w:tab w:val="left" w:pos="210"/>
        </w:tabs>
        <w:ind w:left="0" w:firstLine="480"/>
      </w:pPr>
      <w:rPr>
        <w:rFonts w:hint="default"/>
      </w:rPr>
    </w:lvl>
  </w:abstractNum>
  <w:abstractNum w:abstractNumId="54">
    <w:nsid w:val="3051C33B"/>
    <w:multiLevelType w:val="singleLevel"/>
    <w:tmpl w:val="3051C33B"/>
    <w:lvl w:ilvl="0" w:tentative="0">
      <w:start w:val="1"/>
      <w:numFmt w:val="decimal"/>
      <w:suff w:val="nothing"/>
      <w:lvlText w:val="（%1）"/>
      <w:lvlJc w:val="left"/>
      <w:pPr>
        <w:ind w:left="0" w:firstLine="480"/>
      </w:pPr>
      <w:rPr>
        <w:rFonts w:hint="default"/>
      </w:rPr>
    </w:lvl>
  </w:abstractNum>
  <w:abstractNum w:abstractNumId="55">
    <w:nsid w:val="371AA2C5"/>
    <w:multiLevelType w:val="singleLevel"/>
    <w:tmpl w:val="371AA2C5"/>
    <w:lvl w:ilvl="0" w:tentative="0">
      <w:start w:val="1"/>
      <w:numFmt w:val="decimal"/>
      <w:suff w:val="nothing"/>
      <w:lvlText w:val="（%1）"/>
      <w:lvlJc w:val="left"/>
      <w:pPr>
        <w:ind w:left="0" w:firstLine="480"/>
      </w:pPr>
      <w:rPr>
        <w:rFonts w:hint="default"/>
      </w:rPr>
    </w:lvl>
  </w:abstractNum>
  <w:abstractNum w:abstractNumId="56">
    <w:nsid w:val="3A57A8FC"/>
    <w:multiLevelType w:val="multilevel"/>
    <w:tmpl w:val="3A57A8F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A75BE51"/>
    <w:multiLevelType w:val="singleLevel"/>
    <w:tmpl w:val="3A75BE51"/>
    <w:lvl w:ilvl="0" w:tentative="0">
      <w:start w:val="20"/>
      <w:numFmt w:val="decimal"/>
      <w:suff w:val="space"/>
      <w:lvlText w:val="%1."/>
      <w:lvlJc w:val="left"/>
      <w:pPr>
        <w:ind w:left="0" w:firstLine="480"/>
      </w:pPr>
      <w:rPr>
        <w:rFonts w:hint="default"/>
      </w:rPr>
    </w:lvl>
  </w:abstractNum>
  <w:abstractNum w:abstractNumId="58">
    <w:nsid w:val="3BC6F39C"/>
    <w:multiLevelType w:val="singleLevel"/>
    <w:tmpl w:val="3BC6F39C"/>
    <w:lvl w:ilvl="0" w:tentative="0">
      <w:start w:val="1"/>
      <w:numFmt w:val="decimal"/>
      <w:suff w:val="space"/>
      <w:lvlText w:val="%1."/>
      <w:lvlJc w:val="left"/>
    </w:lvl>
  </w:abstractNum>
  <w:abstractNum w:abstractNumId="59">
    <w:nsid w:val="3CDBAA7C"/>
    <w:multiLevelType w:val="singleLevel"/>
    <w:tmpl w:val="3CDBAA7C"/>
    <w:lvl w:ilvl="0" w:tentative="0">
      <w:start w:val="1"/>
      <w:numFmt w:val="decimal"/>
      <w:suff w:val="nothing"/>
      <w:lvlText w:val="%1、"/>
      <w:lvlJc w:val="left"/>
      <w:pPr>
        <w:ind w:left="0" w:firstLine="480"/>
      </w:pPr>
      <w:rPr>
        <w:rFonts w:hint="default"/>
      </w:rPr>
    </w:lvl>
  </w:abstractNum>
  <w:abstractNum w:abstractNumId="60">
    <w:nsid w:val="3D6964ED"/>
    <w:multiLevelType w:val="singleLevel"/>
    <w:tmpl w:val="3D6964ED"/>
    <w:lvl w:ilvl="0" w:tentative="0">
      <w:start w:val="1"/>
      <w:numFmt w:val="decimal"/>
      <w:suff w:val="nothing"/>
      <w:lvlText w:val="%1、"/>
      <w:lvlJc w:val="left"/>
      <w:pPr>
        <w:ind w:left="0" w:firstLine="480"/>
      </w:pPr>
      <w:rPr>
        <w:rFonts w:hint="default"/>
      </w:rPr>
    </w:lvl>
  </w:abstractNum>
  <w:abstractNum w:abstractNumId="61">
    <w:nsid w:val="406D23CD"/>
    <w:multiLevelType w:val="singleLevel"/>
    <w:tmpl w:val="406D23CD"/>
    <w:lvl w:ilvl="0" w:tentative="0">
      <w:start w:val="1"/>
      <w:numFmt w:val="decimal"/>
      <w:suff w:val="nothing"/>
      <w:lvlText w:val="%1、"/>
      <w:lvlJc w:val="left"/>
      <w:pPr>
        <w:ind w:left="0" w:firstLine="480"/>
      </w:pPr>
      <w:rPr>
        <w:rFonts w:hint="default"/>
      </w:rPr>
    </w:lvl>
  </w:abstractNum>
  <w:abstractNum w:abstractNumId="62">
    <w:nsid w:val="438E3BF8"/>
    <w:multiLevelType w:val="singleLevel"/>
    <w:tmpl w:val="438E3BF8"/>
    <w:lvl w:ilvl="0" w:tentative="0">
      <w:start w:val="1"/>
      <w:numFmt w:val="decimal"/>
      <w:suff w:val="nothing"/>
      <w:lvlText w:val="%1、"/>
      <w:lvlJc w:val="left"/>
      <w:pPr>
        <w:ind w:left="0" w:firstLine="480"/>
      </w:pPr>
      <w:rPr>
        <w:rFonts w:hint="default"/>
      </w:rPr>
    </w:lvl>
  </w:abstractNum>
  <w:abstractNum w:abstractNumId="63">
    <w:nsid w:val="473CD7BD"/>
    <w:multiLevelType w:val="singleLevel"/>
    <w:tmpl w:val="473CD7BD"/>
    <w:lvl w:ilvl="0" w:tentative="0">
      <w:start w:val="2"/>
      <w:numFmt w:val="decimal"/>
      <w:suff w:val="nothing"/>
      <w:lvlText w:val="%1、"/>
      <w:lvlJc w:val="left"/>
      <w:pPr>
        <w:ind w:left="0" w:firstLine="480"/>
      </w:pPr>
      <w:rPr>
        <w:rFonts w:hint="default"/>
      </w:rPr>
    </w:lvl>
  </w:abstractNum>
  <w:abstractNum w:abstractNumId="64">
    <w:nsid w:val="4BA81952"/>
    <w:multiLevelType w:val="singleLevel"/>
    <w:tmpl w:val="4BA81952"/>
    <w:lvl w:ilvl="0" w:tentative="0">
      <w:start w:val="1"/>
      <w:numFmt w:val="decimal"/>
      <w:suff w:val="space"/>
      <w:lvlText w:val="%1."/>
      <w:lvlJc w:val="left"/>
      <w:pPr>
        <w:ind w:left="0" w:firstLine="480"/>
      </w:pPr>
      <w:rPr>
        <w:rFonts w:hint="default"/>
      </w:rPr>
    </w:lvl>
  </w:abstractNum>
  <w:abstractNum w:abstractNumId="65">
    <w:nsid w:val="4CB99172"/>
    <w:multiLevelType w:val="singleLevel"/>
    <w:tmpl w:val="4CB99172"/>
    <w:lvl w:ilvl="0" w:tentative="0">
      <w:start w:val="1"/>
      <w:numFmt w:val="decimal"/>
      <w:suff w:val="nothing"/>
      <w:lvlText w:val="（%1）"/>
      <w:lvlJc w:val="left"/>
      <w:pPr>
        <w:ind w:left="0" w:firstLine="480"/>
      </w:pPr>
      <w:rPr>
        <w:rFonts w:hint="default"/>
      </w:rPr>
    </w:lvl>
  </w:abstractNum>
  <w:abstractNum w:abstractNumId="66">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7">
    <w:nsid w:val="536CA70F"/>
    <w:multiLevelType w:val="multilevel"/>
    <w:tmpl w:val="536CA7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8">
    <w:nsid w:val="53E9CD6B"/>
    <w:multiLevelType w:val="singleLevel"/>
    <w:tmpl w:val="53E9CD6B"/>
    <w:lvl w:ilvl="0" w:tentative="0">
      <w:start w:val="1"/>
      <w:numFmt w:val="decimal"/>
      <w:lvlText w:val="%1."/>
      <w:lvlJc w:val="left"/>
      <w:pPr>
        <w:tabs>
          <w:tab w:val="left" w:pos="312"/>
        </w:tabs>
      </w:pPr>
    </w:lvl>
  </w:abstractNum>
  <w:abstractNum w:abstractNumId="69">
    <w:nsid w:val="5456C8B5"/>
    <w:multiLevelType w:val="singleLevel"/>
    <w:tmpl w:val="5456C8B5"/>
    <w:lvl w:ilvl="0" w:tentative="0">
      <w:start w:val="2"/>
      <w:numFmt w:val="decimal"/>
      <w:suff w:val="nothing"/>
      <w:lvlText w:val="%1、"/>
      <w:lvlJc w:val="left"/>
    </w:lvl>
  </w:abstractNum>
  <w:abstractNum w:abstractNumId="70">
    <w:nsid w:val="555C35AD"/>
    <w:multiLevelType w:val="singleLevel"/>
    <w:tmpl w:val="555C35AD"/>
    <w:lvl w:ilvl="0" w:tentative="0">
      <w:start w:val="1"/>
      <w:numFmt w:val="decimal"/>
      <w:lvlText w:val="%1."/>
      <w:lvlJc w:val="left"/>
      <w:pPr>
        <w:ind w:left="425" w:hanging="425"/>
      </w:pPr>
      <w:rPr>
        <w:rFonts w:hint="default"/>
      </w:rPr>
    </w:lvl>
  </w:abstractNum>
  <w:abstractNum w:abstractNumId="71">
    <w:nsid w:val="5B553560"/>
    <w:multiLevelType w:val="singleLevel"/>
    <w:tmpl w:val="5B553560"/>
    <w:lvl w:ilvl="0" w:tentative="0">
      <w:start w:val="1"/>
      <w:numFmt w:val="decimal"/>
      <w:suff w:val="nothing"/>
      <w:lvlText w:val="%1、"/>
      <w:lvlJc w:val="left"/>
      <w:pPr>
        <w:ind w:left="0" w:firstLine="480"/>
      </w:pPr>
      <w:rPr>
        <w:rFonts w:hint="default"/>
      </w:rPr>
    </w:lvl>
  </w:abstractNum>
  <w:abstractNum w:abstractNumId="72">
    <w:nsid w:val="606F1BA7"/>
    <w:multiLevelType w:val="singleLevel"/>
    <w:tmpl w:val="606F1BA7"/>
    <w:lvl w:ilvl="0" w:tentative="0">
      <w:start w:val="1"/>
      <w:numFmt w:val="decimal"/>
      <w:suff w:val="space"/>
      <w:lvlText w:val="%1."/>
      <w:lvlJc w:val="left"/>
      <w:pPr>
        <w:ind w:left="0" w:firstLine="480"/>
      </w:pPr>
      <w:rPr>
        <w:rFonts w:hint="default"/>
      </w:rPr>
    </w:lvl>
  </w:abstractNum>
  <w:abstractNum w:abstractNumId="73">
    <w:nsid w:val="607A2094"/>
    <w:multiLevelType w:val="singleLevel"/>
    <w:tmpl w:val="607A2094"/>
    <w:lvl w:ilvl="0" w:tentative="0">
      <w:start w:val="1"/>
      <w:numFmt w:val="decimal"/>
      <w:suff w:val="nothing"/>
      <w:lvlText w:val="（%1）"/>
      <w:lvlJc w:val="left"/>
      <w:pPr>
        <w:ind w:left="0" w:firstLine="480"/>
      </w:pPr>
      <w:rPr>
        <w:rFonts w:hint="default"/>
      </w:rPr>
    </w:lvl>
  </w:abstractNum>
  <w:abstractNum w:abstractNumId="74">
    <w:nsid w:val="63862E25"/>
    <w:multiLevelType w:val="singleLevel"/>
    <w:tmpl w:val="63862E25"/>
    <w:lvl w:ilvl="0" w:tentative="0">
      <w:start w:val="1"/>
      <w:numFmt w:val="decimal"/>
      <w:suff w:val="space"/>
      <w:lvlText w:val="（%1）"/>
      <w:lvlJc w:val="left"/>
    </w:lvl>
  </w:abstractNum>
  <w:abstractNum w:abstractNumId="75">
    <w:nsid w:val="68308097"/>
    <w:multiLevelType w:val="singleLevel"/>
    <w:tmpl w:val="68308097"/>
    <w:lvl w:ilvl="0" w:tentative="0">
      <w:start w:val="1"/>
      <w:numFmt w:val="chineseCounting"/>
      <w:suff w:val="nothing"/>
      <w:lvlText w:val="%1、"/>
      <w:lvlJc w:val="left"/>
      <w:pPr>
        <w:ind w:left="0" w:firstLine="0"/>
      </w:pPr>
      <w:rPr>
        <w:rFonts w:hint="eastAsia"/>
      </w:rPr>
    </w:lvl>
  </w:abstractNum>
  <w:abstractNum w:abstractNumId="76">
    <w:nsid w:val="6A985714"/>
    <w:multiLevelType w:val="singleLevel"/>
    <w:tmpl w:val="6A985714"/>
    <w:lvl w:ilvl="0" w:tentative="0">
      <w:start w:val="1"/>
      <w:numFmt w:val="decimal"/>
      <w:suff w:val="nothing"/>
      <w:lvlText w:val="2.%1、"/>
      <w:lvlJc w:val="left"/>
      <w:pPr>
        <w:ind w:left="0" w:firstLine="480"/>
      </w:pPr>
      <w:rPr>
        <w:rFonts w:hint="default"/>
      </w:rPr>
    </w:lvl>
  </w:abstractNum>
  <w:abstractNum w:abstractNumId="77">
    <w:nsid w:val="6D2BE622"/>
    <w:multiLevelType w:val="multilevel"/>
    <w:tmpl w:val="6D2BE622"/>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EEDD3B0"/>
    <w:multiLevelType w:val="singleLevel"/>
    <w:tmpl w:val="6EEDD3B0"/>
    <w:lvl w:ilvl="0" w:tentative="0">
      <w:start w:val="1"/>
      <w:numFmt w:val="decimal"/>
      <w:suff w:val="nothing"/>
      <w:lvlText w:val="（%1）"/>
      <w:lvlJc w:val="left"/>
      <w:pPr>
        <w:ind w:left="0" w:firstLine="480"/>
      </w:pPr>
      <w:rPr>
        <w:rFonts w:hint="default"/>
      </w:rPr>
    </w:lvl>
  </w:abstractNum>
  <w:abstractNum w:abstractNumId="79">
    <w:nsid w:val="6FE8818F"/>
    <w:multiLevelType w:val="singleLevel"/>
    <w:tmpl w:val="6FE8818F"/>
    <w:lvl w:ilvl="0" w:tentative="0">
      <w:start w:val="1"/>
      <w:numFmt w:val="decimal"/>
      <w:suff w:val="space"/>
      <w:lvlText w:val="7.%1"/>
      <w:lvlJc w:val="left"/>
      <w:pPr>
        <w:ind w:left="0" w:firstLine="480"/>
      </w:pPr>
      <w:rPr>
        <w:rFonts w:hint="default"/>
      </w:rPr>
    </w:lvl>
  </w:abstractNum>
  <w:abstractNum w:abstractNumId="80">
    <w:nsid w:val="70025C5F"/>
    <w:multiLevelType w:val="singleLevel"/>
    <w:tmpl w:val="70025C5F"/>
    <w:lvl w:ilvl="0" w:tentative="0">
      <w:start w:val="1"/>
      <w:numFmt w:val="chineseCounting"/>
      <w:suff w:val="nothing"/>
      <w:lvlText w:val="%1、"/>
      <w:lvlJc w:val="left"/>
      <w:pPr>
        <w:ind w:left="0" w:firstLine="482"/>
      </w:pPr>
      <w:rPr>
        <w:rFonts w:hint="eastAsia"/>
      </w:rPr>
    </w:lvl>
  </w:abstractNum>
  <w:abstractNum w:abstractNumId="81">
    <w:nsid w:val="732557EB"/>
    <w:multiLevelType w:val="singleLevel"/>
    <w:tmpl w:val="732557EB"/>
    <w:lvl w:ilvl="0" w:tentative="0">
      <w:start w:val="1"/>
      <w:numFmt w:val="decimal"/>
      <w:suff w:val="space"/>
      <w:lvlText w:val="%1."/>
      <w:lvlJc w:val="left"/>
      <w:pPr>
        <w:ind w:left="0" w:firstLine="480"/>
      </w:pPr>
      <w:rPr>
        <w:rFonts w:hint="default"/>
      </w:rPr>
    </w:lvl>
  </w:abstractNum>
  <w:abstractNum w:abstractNumId="82">
    <w:nsid w:val="7331819B"/>
    <w:multiLevelType w:val="singleLevel"/>
    <w:tmpl w:val="7331819B"/>
    <w:lvl w:ilvl="0" w:tentative="0">
      <w:start w:val="1"/>
      <w:numFmt w:val="decimal"/>
      <w:suff w:val="nothing"/>
      <w:lvlText w:val="（%1）"/>
      <w:lvlJc w:val="left"/>
      <w:pPr>
        <w:ind w:left="0" w:firstLine="480"/>
      </w:pPr>
      <w:rPr>
        <w:rFonts w:hint="default"/>
      </w:rPr>
    </w:lvl>
  </w:abstractNum>
  <w:abstractNum w:abstractNumId="83">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84">
    <w:nsid w:val="7495EF1E"/>
    <w:multiLevelType w:val="singleLevel"/>
    <w:tmpl w:val="7495EF1E"/>
    <w:lvl w:ilvl="0" w:tentative="0">
      <w:start w:val="1"/>
      <w:numFmt w:val="decimal"/>
      <w:suff w:val="nothing"/>
      <w:lvlText w:val="%1、"/>
      <w:lvlJc w:val="left"/>
      <w:pPr>
        <w:ind w:left="0" w:firstLine="480"/>
      </w:pPr>
      <w:rPr>
        <w:rFonts w:hint="default"/>
      </w:rPr>
    </w:lvl>
  </w:abstractNum>
  <w:abstractNum w:abstractNumId="85">
    <w:nsid w:val="78F60E4F"/>
    <w:multiLevelType w:val="singleLevel"/>
    <w:tmpl w:val="78F60E4F"/>
    <w:lvl w:ilvl="0" w:tentative="0">
      <w:start w:val="1"/>
      <w:numFmt w:val="chineseCounting"/>
      <w:suff w:val="nothing"/>
      <w:lvlText w:val="%1、"/>
      <w:lvlJc w:val="left"/>
      <w:rPr>
        <w:rFonts w:hint="eastAsia"/>
      </w:rPr>
    </w:lvl>
  </w:abstractNum>
  <w:num w:numId="1">
    <w:abstractNumId w:val="41"/>
  </w:num>
  <w:num w:numId="2">
    <w:abstractNumId w:val="85"/>
  </w:num>
  <w:num w:numId="3">
    <w:abstractNumId w:val="83"/>
  </w:num>
  <w:num w:numId="4">
    <w:abstractNumId w:val="42"/>
  </w:num>
  <w:num w:numId="5">
    <w:abstractNumId w:val="26"/>
  </w:num>
  <w:num w:numId="6">
    <w:abstractNumId w:val="74"/>
  </w:num>
  <w:num w:numId="7">
    <w:abstractNumId w:val="1"/>
  </w:num>
  <w:num w:numId="8">
    <w:abstractNumId w:val="44"/>
  </w:num>
  <w:num w:numId="9">
    <w:abstractNumId w:val="80"/>
  </w:num>
  <w:num w:numId="10">
    <w:abstractNumId w:val="29"/>
  </w:num>
  <w:num w:numId="11">
    <w:abstractNumId w:val="19"/>
  </w:num>
  <w:num w:numId="12">
    <w:abstractNumId w:val="53"/>
  </w:num>
  <w:num w:numId="13">
    <w:abstractNumId w:val="36"/>
  </w:num>
  <w:num w:numId="14">
    <w:abstractNumId w:val="25"/>
  </w:num>
  <w:num w:numId="15">
    <w:abstractNumId w:val="32"/>
  </w:num>
  <w:num w:numId="16">
    <w:abstractNumId w:val="34"/>
  </w:num>
  <w:num w:numId="17">
    <w:abstractNumId w:val="5"/>
  </w:num>
  <w:num w:numId="18">
    <w:abstractNumId w:val="76"/>
  </w:num>
  <w:num w:numId="19">
    <w:abstractNumId w:val="17"/>
  </w:num>
  <w:num w:numId="20">
    <w:abstractNumId w:val="72"/>
  </w:num>
  <w:num w:numId="21">
    <w:abstractNumId w:val="81"/>
  </w:num>
  <w:num w:numId="22">
    <w:abstractNumId w:val="24"/>
  </w:num>
  <w:num w:numId="23">
    <w:abstractNumId w:val="69"/>
  </w:num>
  <w:num w:numId="24">
    <w:abstractNumId w:val="9"/>
  </w:num>
  <w:num w:numId="25">
    <w:abstractNumId w:val="37"/>
  </w:num>
  <w:num w:numId="26">
    <w:abstractNumId w:val="28"/>
  </w:num>
  <w:num w:numId="27">
    <w:abstractNumId w:val="79"/>
  </w:num>
  <w:num w:numId="28">
    <w:abstractNumId w:val="47"/>
  </w:num>
  <w:num w:numId="29">
    <w:abstractNumId w:val="84"/>
  </w:num>
  <w:num w:numId="30">
    <w:abstractNumId w:val="21"/>
  </w:num>
  <w:num w:numId="31">
    <w:abstractNumId w:val="64"/>
  </w:num>
  <w:num w:numId="32">
    <w:abstractNumId w:val="2"/>
  </w:num>
  <w:num w:numId="33">
    <w:abstractNumId w:val="13"/>
  </w:num>
  <w:num w:numId="34">
    <w:abstractNumId w:val="15"/>
  </w:num>
  <w:num w:numId="35">
    <w:abstractNumId w:val="45"/>
  </w:num>
  <w:num w:numId="36">
    <w:abstractNumId w:val="50"/>
  </w:num>
  <w:num w:numId="37">
    <w:abstractNumId w:val="56"/>
  </w:num>
  <w:num w:numId="38">
    <w:abstractNumId w:val="70"/>
  </w:num>
  <w:num w:numId="39">
    <w:abstractNumId w:val="38"/>
  </w:num>
  <w:num w:numId="40">
    <w:abstractNumId w:val="35"/>
  </w:num>
  <w:num w:numId="41">
    <w:abstractNumId w:val="77"/>
  </w:num>
  <w:num w:numId="42">
    <w:abstractNumId w:val="31"/>
  </w:num>
  <w:num w:numId="43">
    <w:abstractNumId w:val="14"/>
  </w:num>
  <w:num w:numId="44">
    <w:abstractNumId w:val="8"/>
  </w:num>
  <w:num w:numId="45">
    <w:abstractNumId w:val="23"/>
  </w:num>
  <w:num w:numId="46">
    <w:abstractNumId w:val="46"/>
  </w:num>
  <w:num w:numId="47">
    <w:abstractNumId w:val="57"/>
  </w:num>
  <w:num w:numId="48">
    <w:abstractNumId w:val="0"/>
  </w:num>
  <w:num w:numId="49">
    <w:abstractNumId w:val="60"/>
  </w:num>
  <w:num w:numId="50">
    <w:abstractNumId w:val="71"/>
  </w:num>
  <w:num w:numId="51">
    <w:abstractNumId w:val="62"/>
  </w:num>
  <w:num w:numId="52">
    <w:abstractNumId w:val="43"/>
  </w:num>
  <w:num w:numId="53">
    <w:abstractNumId w:val="59"/>
  </w:num>
  <w:num w:numId="54">
    <w:abstractNumId w:val="52"/>
  </w:num>
  <w:num w:numId="55">
    <w:abstractNumId w:val="12"/>
  </w:num>
  <w:num w:numId="56">
    <w:abstractNumId w:val="39"/>
  </w:num>
  <w:num w:numId="57">
    <w:abstractNumId w:val="30"/>
  </w:num>
  <w:num w:numId="58">
    <w:abstractNumId w:val="61"/>
  </w:num>
  <w:num w:numId="59">
    <w:abstractNumId w:val="63"/>
  </w:num>
  <w:num w:numId="60">
    <w:abstractNumId w:val="48"/>
  </w:num>
  <w:num w:numId="61">
    <w:abstractNumId w:val="51"/>
  </w:num>
  <w:num w:numId="62">
    <w:abstractNumId w:val="18"/>
  </w:num>
  <w:num w:numId="63">
    <w:abstractNumId w:val="10"/>
  </w:num>
  <w:num w:numId="64">
    <w:abstractNumId w:val="22"/>
  </w:num>
  <w:num w:numId="65">
    <w:abstractNumId w:val="54"/>
  </w:num>
  <w:num w:numId="66">
    <w:abstractNumId w:val="27"/>
  </w:num>
  <w:num w:numId="67">
    <w:abstractNumId w:val="65"/>
  </w:num>
  <w:num w:numId="68">
    <w:abstractNumId w:val="78"/>
  </w:num>
  <w:num w:numId="69">
    <w:abstractNumId w:val="73"/>
  </w:num>
  <w:num w:numId="70">
    <w:abstractNumId w:val="6"/>
  </w:num>
  <w:num w:numId="71">
    <w:abstractNumId w:val="33"/>
  </w:num>
  <w:num w:numId="72">
    <w:abstractNumId w:val="82"/>
  </w:num>
  <w:num w:numId="73">
    <w:abstractNumId w:val="3"/>
  </w:num>
  <w:num w:numId="74">
    <w:abstractNumId w:val="55"/>
  </w:num>
  <w:num w:numId="75">
    <w:abstractNumId w:val="75"/>
  </w:num>
  <w:num w:numId="76">
    <w:abstractNumId w:val="4"/>
  </w:num>
  <w:num w:numId="77">
    <w:abstractNumId w:val="49"/>
  </w:num>
  <w:num w:numId="78">
    <w:abstractNumId w:val="68"/>
  </w:num>
  <w:num w:numId="79">
    <w:abstractNumId w:val="20"/>
  </w:num>
  <w:num w:numId="80">
    <w:abstractNumId w:val="66"/>
  </w:num>
  <w:num w:numId="81">
    <w:abstractNumId w:val="40"/>
  </w:num>
  <w:num w:numId="82">
    <w:abstractNumId w:val="11"/>
  </w:num>
  <w:num w:numId="83">
    <w:abstractNumId w:val="58"/>
  </w:num>
  <w:num w:numId="84">
    <w:abstractNumId w:val="67"/>
  </w:num>
  <w:num w:numId="85">
    <w:abstractNumId w:val="16"/>
  </w:num>
  <w:num w:numId="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9500BD"/>
    <w:rsid w:val="01D86637"/>
    <w:rsid w:val="020A383A"/>
    <w:rsid w:val="02D36DFE"/>
    <w:rsid w:val="03CD4D4A"/>
    <w:rsid w:val="04A22F2C"/>
    <w:rsid w:val="04D836CC"/>
    <w:rsid w:val="04DF1A8A"/>
    <w:rsid w:val="052E656D"/>
    <w:rsid w:val="06A64F55"/>
    <w:rsid w:val="07AF3996"/>
    <w:rsid w:val="083500E3"/>
    <w:rsid w:val="08B374B6"/>
    <w:rsid w:val="08FE75D7"/>
    <w:rsid w:val="09192B3D"/>
    <w:rsid w:val="09322AD0"/>
    <w:rsid w:val="094D3A03"/>
    <w:rsid w:val="0A7D5FCD"/>
    <w:rsid w:val="0B383CE3"/>
    <w:rsid w:val="0B3A5C6C"/>
    <w:rsid w:val="0C4D409E"/>
    <w:rsid w:val="0C6B569B"/>
    <w:rsid w:val="0CAB76AE"/>
    <w:rsid w:val="0CB97065"/>
    <w:rsid w:val="0CD15854"/>
    <w:rsid w:val="0D166265"/>
    <w:rsid w:val="0D2F0B75"/>
    <w:rsid w:val="0D3861DB"/>
    <w:rsid w:val="0D5D1B80"/>
    <w:rsid w:val="0DAE03C5"/>
    <w:rsid w:val="0E3C09DC"/>
    <w:rsid w:val="0E3D7B44"/>
    <w:rsid w:val="0F1E2132"/>
    <w:rsid w:val="0FAC4A5B"/>
    <w:rsid w:val="0FF21DD8"/>
    <w:rsid w:val="10474FC9"/>
    <w:rsid w:val="108571AB"/>
    <w:rsid w:val="109E3AD5"/>
    <w:rsid w:val="10B87FE1"/>
    <w:rsid w:val="10EC6CF5"/>
    <w:rsid w:val="11ED63EA"/>
    <w:rsid w:val="12316F41"/>
    <w:rsid w:val="12371157"/>
    <w:rsid w:val="12986F2D"/>
    <w:rsid w:val="12AF5192"/>
    <w:rsid w:val="12BB7F7E"/>
    <w:rsid w:val="141203F1"/>
    <w:rsid w:val="147C72F5"/>
    <w:rsid w:val="15020CF1"/>
    <w:rsid w:val="15043920"/>
    <w:rsid w:val="155F6372"/>
    <w:rsid w:val="15673B02"/>
    <w:rsid w:val="15E348F4"/>
    <w:rsid w:val="16651E05"/>
    <w:rsid w:val="16C51C6C"/>
    <w:rsid w:val="1890336F"/>
    <w:rsid w:val="18E13BCB"/>
    <w:rsid w:val="197C38F4"/>
    <w:rsid w:val="199A7764"/>
    <w:rsid w:val="1AB53523"/>
    <w:rsid w:val="1AC00AF1"/>
    <w:rsid w:val="1B13629E"/>
    <w:rsid w:val="1B6521E6"/>
    <w:rsid w:val="1D331864"/>
    <w:rsid w:val="1D8B7ED2"/>
    <w:rsid w:val="1DE91501"/>
    <w:rsid w:val="1E4C7D38"/>
    <w:rsid w:val="1E88173F"/>
    <w:rsid w:val="1EF775AD"/>
    <w:rsid w:val="20370574"/>
    <w:rsid w:val="207B66B3"/>
    <w:rsid w:val="20E802BA"/>
    <w:rsid w:val="213F71B0"/>
    <w:rsid w:val="2245561F"/>
    <w:rsid w:val="22AE6BBC"/>
    <w:rsid w:val="22C96D6A"/>
    <w:rsid w:val="23623B5A"/>
    <w:rsid w:val="239C6316"/>
    <w:rsid w:val="24E10C7D"/>
    <w:rsid w:val="250C1FD0"/>
    <w:rsid w:val="25615A93"/>
    <w:rsid w:val="25BF5294"/>
    <w:rsid w:val="262319BC"/>
    <w:rsid w:val="26391AC4"/>
    <w:rsid w:val="26B446CD"/>
    <w:rsid w:val="26DB2065"/>
    <w:rsid w:val="27DD0612"/>
    <w:rsid w:val="280B21CD"/>
    <w:rsid w:val="28292E99"/>
    <w:rsid w:val="28560F12"/>
    <w:rsid w:val="28BE1833"/>
    <w:rsid w:val="28C5288B"/>
    <w:rsid w:val="29001E4B"/>
    <w:rsid w:val="29171B54"/>
    <w:rsid w:val="29361D11"/>
    <w:rsid w:val="293715E5"/>
    <w:rsid w:val="296A23AC"/>
    <w:rsid w:val="29C84966"/>
    <w:rsid w:val="29E11C7D"/>
    <w:rsid w:val="29F20CED"/>
    <w:rsid w:val="2A251AAA"/>
    <w:rsid w:val="2A331DAD"/>
    <w:rsid w:val="2A3F7009"/>
    <w:rsid w:val="2ABE748A"/>
    <w:rsid w:val="2AE758F6"/>
    <w:rsid w:val="2AF07C9E"/>
    <w:rsid w:val="2B1E1887"/>
    <w:rsid w:val="2B6C3B1E"/>
    <w:rsid w:val="2BD54A0F"/>
    <w:rsid w:val="2C0C337E"/>
    <w:rsid w:val="2D0471C3"/>
    <w:rsid w:val="2D57311D"/>
    <w:rsid w:val="2E0566AF"/>
    <w:rsid w:val="2E1D7DC2"/>
    <w:rsid w:val="2E393998"/>
    <w:rsid w:val="2E4072A5"/>
    <w:rsid w:val="2F835584"/>
    <w:rsid w:val="2FE773B2"/>
    <w:rsid w:val="2FFD5337"/>
    <w:rsid w:val="30007685"/>
    <w:rsid w:val="30B23A00"/>
    <w:rsid w:val="30C75897"/>
    <w:rsid w:val="31177A3B"/>
    <w:rsid w:val="31E10908"/>
    <w:rsid w:val="32393423"/>
    <w:rsid w:val="32E80786"/>
    <w:rsid w:val="33380434"/>
    <w:rsid w:val="337C0B48"/>
    <w:rsid w:val="33B01385"/>
    <w:rsid w:val="341A3E9C"/>
    <w:rsid w:val="341A78AC"/>
    <w:rsid w:val="343926B5"/>
    <w:rsid w:val="35442593"/>
    <w:rsid w:val="3671332B"/>
    <w:rsid w:val="38A46B64"/>
    <w:rsid w:val="38C500B3"/>
    <w:rsid w:val="39317DFF"/>
    <w:rsid w:val="39445D84"/>
    <w:rsid w:val="3ADE0934"/>
    <w:rsid w:val="3AE03859"/>
    <w:rsid w:val="3B381849"/>
    <w:rsid w:val="3C2E6878"/>
    <w:rsid w:val="3CB443D2"/>
    <w:rsid w:val="3CFB4C5D"/>
    <w:rsid w:val="3D3643A9"/>
    <w:rsid w:val="3DC56D68"/>
    <w:rsid w:val="3DF6577A"/>
    <w:rsid w:val="3E502AD5"/>
    <w:rsid w:val="3E7540A1"/>
    <w:rsid w:val="3E895FE7"/>
    <w:rsid w:val="3F433B71"/>
    <w:rsid w:val="3F592485"/>
    <w:rsid w:val="3F7647BE"/>
    <w:rsid w:val="3F942E96"/>
    <w:rsid w:val="3FC90D91"/>
    <w:rsid w:val="40022408"/>
    <w:rsid w:val="41E910AE"/>
    <w:rsid w:val="4206121C"/>
    <w:rsid w:val="4294176A"/>
    <w:rsid w:val="43064193"/>
    <w:rsid w:val="43917E18"/>
    <w:rsid w:val="445D7CFA"/>
    <w:rsid w:val="44C55FAF"/>
    <w:rsid w:val="44F3065E"/>
    <w:rsid w:val="450C5235"/>
    <w:rsid w:val="456F23DB"/>
    <w:rsid w:val="4597548E"/>
    <w:rsid w:val="45A366F4"/>
    <w:rsid w:val="45CF4C28"/>
    <w:rsid w:val="46EC56B2"/>
    <w:rsid w:val="472A1D23"/>
    <w:rsid w:val="475573AE"/>
    <w:rsid w:val="47AB3636"/>
    <w:rsid w:val="47B942DB"/>
    <w:rsid w:val="49445EED"/>
    <w:rsid w:val="49771967"/>
    <w:rsid w:val="49C5081B"/>
    <w:rsid w:val="4BC656DE"/>
    <w:rsid w:val="4BD71EB9"/>
    <w:rsid w:val="4C0E2F1B"/>
    <w:rsid w:val="4C236497"/>
    <w:rsid w:val="4C496E04"/>
    <w:rsid w:val="4CD55766"/>
    <w:rsid w:val="4E54695D"/>
    <w:rsid w:val="4EC72CD6"/>
    <w:rsid w:val="4F3B4271"/>
    <w:rsid w:val="4F9F1BEB"/>
    <w:rsid w:val="4FBA01E8"/>
    <w:rsid w:val="50EC48E0"/>
    <w:rsid w:val="51085492"/>
    <w:rsid w:val="51810F01"/>
    <w:rsid w:val="52134933"/>
    <w:rsid w:val="543F3675"/>
    <w:rsid w:val="54E35FFA"/>
    <w:rsid w:val="550C692B"/>
    <w:rsid w:val="55D65293"/>
    <w:rsid w:val="56212F70"/>
    <w:rsid w:val="565B702F"/>
    <w:rsid w:val="56AD4B11"/>
    <w:rsid w:val="56C703BD"/>
    <w:rsid w:val="5700703B"/>
    <w:rsid w:val="57697496"/>
    <w:rsid w:val="57807D09"/>
    <w:rsid w:val="57F86260"/>
    <w:rsid w:val="580856FC"/>
    <w:rsid w:val="583E47EB"/>
    <w:rsid w:val="58A106A5"/>
    <w:rsid w:val="5A68396E"/>
    <w:rsid w:val="5A8855DA"/>
    <w:rsid w:val="5B4D241F"/>
    <w:rsid w:val="5B9B762E"/>
    <w:rsid w:val="5F182D44"/>
    <w:rsid w:val="5F69359F"/>
    <w:rsid w:val="61170069"/>
    <w:rsid w:val="61DF6FC9"/>
    <w:rsid w:val="620F4F19"/>
    <w:rsid w:val="62347F47"/>
    <w:rsid w:val="62571E12"/>
    <w:rsid w:val="627C4C03"/>
    <w:rsid w:val="62F31AFE"/>
    <w:rsid w:val="63293771"/>
    <w:rsid w:val="635B76A3"/>
    <w:rsid w:val="63B00E60"/>
    <w:rsid w:val="63C96D02"/>
    <w:rsid w:val="63EB1344"/>
    <w:rsid w:val="640806A6"/>
    <w:rsid w:val="64320204"/>
    <w:rsid w:val="645357B7"/>
    <w:rsid w:val="64C01EB3"/>
    <w:rsid w:val="64CD45D0"/>
    <w:rsid w:val="65085608"/>
    <w:rsid w:val="65907AD8"/>
    <w:rsid w:val="663672EA"/>
    <w:rsid w:val="668221D6"/>
    <w:rsid w:val="671E1113"/>
    <w:rsid w:val="672E75A8"/>
    <w:rsid w:val="6784541A"/>
    <w:rsid w:val="67902011"/>
    <w:rsid w:val="67B65075"/>
    <w:rsid w:val="67BB4BB4"/>
    <w:rsid w:val="67ED07E2"/>
    <w:rsid w:val="683577A3"/>
    <w:rsid w:val="68484B43"/>
    <w:rsid w:val="68974ED6"/>
    <w:rsid w:val="689C5D75"/>
    <w:rsid w:val="68A13DAA"/>
    <w:rsid w:val="69896715"/>
    <w:rsid w:val="69A1302A"/>
    <w:rsid w:val="69FF522C"/>
    <w:rsid w:val="6A07121D"/>
    <w:rsid w:val="6A372C18"/>
    <w:rsid w:val="6A462E5B"/>
    <w:rsid w:val="6A54662F"/>
    <w:rsid w:val="6A791969"/>
    <w:rsid w:val="6AA819B9"/>
    <w:rsid w:val="6B7E03D2"/>
    <w:rsid w:val="6C163F72"/>
    <w:rsid w:val="6C427E32"/>
    <w:rsid w:val="6C7650CA"/>
    <w:rsid w:val="6CFA1CDB"/>
    <w:rsid w:val="6D6F3C39"/>
    <w:rsid w:val="6D9D33CB"/>
    <w:rsid w:val="6DD4077E"/>
    <w:rsid w:val="6E877E34"/>
    <w:rsid w:val="6ED54326"/>
    <w:rsid w:val="6F516E5B"/>
    <w:rsid w:val="6FC54073"/>
    <w:rsid w:val="70143E1D"/>
    <w:rsid w:val="7064403B"/>
    <w:rsid w:val="709C0530"/>
    <w:rsid w:val="71445C1A"/>
    <w:rsid w:val="71527F65"/>
    <w:rsid w:val="71694184"/>
    <w:rsid w:val="716A5681"/>
    <w:rsid w:val="71AE4CDA"/>
    <w:rsid w:val="71C51DA1"/>
    <w:rsid w:val="71DE7825"/>
    <w:rsid w:val="728118F5"/>
    <w:rsid w:val="735963AA"/>
    <w:rsid w:val="73634125"/>
    <w:rsid w:val="743A2811"/>
    <w:rsid w:val="74563933"/>
    <w:rsid w:val="74674F86"/>
    <w:rsid w:val="7477250E"/>
    <w:rsid w:val="74BB2697"/>
    <w:rsid w:val="752B5127"/>
    <w:rsid w:val="75F776FF"/>
    <w:rsid w:val="76737809"/>
    <w:rsid w:val="77E06D61"/>
    <w:rsid w:val="77FE11D8"/>
    <w:rsid w:val="781E74F6"/>
    <w:rsid w:val="784C1F74"/>
    <w:rsid w:val="78643CC5"/>
    <w:rsid w:val="788B1CC4"/>
    <w:rsid w:val="790A14F7"/>
    <w:rsid w:val="796D330F"/>
    <w:rsid w:val="79A951B4"/>
    <w:rsid w:val="7B043F1D"/>
    <w:rsid w:val="7B2014A6"/>
    <w:rsid w:val="7B287608"/>
    <w:rsid w:val="7C63789C"/>
    <w:rsid w:val="7E224314"/>
    <w:rsid w:val="7E665422"/>
    <w:rsid w:val="7EC9322B"/>
    <w:rsid w:val="7EE4094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annotation text"/>
    <w:basedOn w:val="1"/>
    <w:link w:val="39"/>
    <w:qFormat/>
    <w:uiPriority w:val="99"/>
    <w:pPr>
      <w:jc w:val="left"/>
    </w:pPr>
  </w:style>
  <w:style w:type="paragraph" w:styleId="9">
    <w:name w:val="Body Text 3"/>
    <w:basedOn w:val="1"/>
    <w:next w:val="1"/>
    <w:qFormat/>
    <w:uiPriority w:val="0"/>
    <w:pPr>
      <w:spacing w:line="500" w:lineRule="exact"/>
    </w:pPr>
    <w:rPr>
      <w:b/>
      <w:sz w:val="24"/>
    </w:rPr>
  </w:style>
  <w:style w:type="paragraph" w:styleId="10">
    <w:name w:val="Body Text"/>
    <w:basedOn w:val="1"/>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next w:val="12"/>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2">
    <w:name w:val="Body Text First Indent"/>
    <w:basedOn w:val="10"/>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3">
    <w:name w:val="Plain Text"/>
    <w:basedOn w:val="1"/>
    <w:unhideWhenUsed/>
    <w:qFormat/>
    <w:uiPriority w:val="0"/>
    <w:rPr>
      <w:rFonts w:ascii="宋体" w:hAnsi="Courier New"/>
      <w:kern w:val="0"/>
      <w:sz w:val="20"/>
      <w:szCs w:val="20"/>
    </w:rPr>
  </w:style>
  <w:style w:type="paragraph" w:styleId="14">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2"/>
    <w:basedOn w:val="1"/>
    <w:link w:val="42"/>
    <w:qFormat/>
    <w:uiPriority w:val="99"/>
    <w:pPr>
      <w:spacing w:after="120" w:line="480" w:lineRule="auto"/>
      <w:ind w:left="420" w:leftChars="200"/>
    </w:pPr>
  </w:style>
  <w:style w:type="paragraph" w:styleId="16">
    <w:name w:val="Balloon Text"/>
    <w:basedOn w:val="1"/>
    <w:link w:val="41"/>
    <w:qFormat/>
    <w:uiPriority w:val="0"/>
    <w:rPr>
      <w:sz w:val="18"/>
      <w:szCs w:val="18"/>
    </w:rPr>
  </w:style>
  <w:style w:type="paragraph" w:styleId="17">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qFormat/>
    <w:uiPriority w:val="0"/>
    <w:pPr>
      <w:spacing w:before="240" w:after="60"/>
      <w:ind w:left="425" w:hanging="425"/>
      <w:jc w:val="center"/>
      <w:outlineLvl w:val="0"/>
    </w:pPr>
    <w:rPr>
      <w:rFonts w:ascii="Arial" w:hAnsi="Arial"/>
      <w:b/>
      <w:sz w:val="32"/>
    </w:rPr>
  </w:style>
  <w:style w:type="paragraph" w:styleId="25">
    <w:name w:val="annotation subject"/>
    <w:basedOn w:val="8"/>
    <w:next w:val="8"/>
    <w:link w:val="40"/>
    <w:qFormat/>
    <w:uiPriority w:val="0"/>
    <w:rPr>
      <w:b/>
      <w:bCs/>
    </w:rPr>
  </w:style>
  <w:style w:type="paragraph" w:styleId="26">
    <w:name w:val="Body Text First Indent 2"/>
    <w:basedOn w:val="11"/>
    <w:next w:val="12"/>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qFormat/>
    <w:uiPriority w:val="99"/>
    <w:rPr>
      <w:color w:val="136EC2"/>
      <w:u w:val="single"/>
    </w:rPr>
  </w:style>
  <w:style w:type="character" w:styleId="32">
    <w:name w:val="annotation reference"/>
    <w:basedOn w:val="29"/>
    <w:qFormat/>
    <w:uiPriority w:val="0"/>
    <w:rPr>
      <w:sz w:val="21"/>
      <w:szCs w:val="21"/>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Char"/>
    <w:basedOn w:val="29"/>
    <w:link w:val="8"/>
    <w:qFormat/>
    <w:uiPriority w:val="99"/>
    <w:rPr>
      <w:rFonts w:asciiTheme="minorHAnsi" w:hAnsiTheme="minorHAnsi" w:eastAsiaTheme="minorEastAsia" w:cstheme="minorBidi"/>
      <w:kern w:val="2"/>
      <w:sz w:val="21"/>
      <w:szCs w:val="24"/>
    </w:rPr>
  </w:style>
  <w:style w:type="character" w:customStyle="1" w:styleId="40">
    <w:name w:val="批注主题 Char"/>
    <w:basedOn w:val="39"/>
    <w:link w:val="25"/>
    <w:qFormat/>
    <w:uiPriority w:val="0"/>
    <w:rPr>
      <w:rFonts w:asciiTheme="minorHAnsi" w:hAnsiTheme="minorHAnsi" w:eastAsiaTheme="minorEastAsia" w:cstheme="minorBidi"/>
      <w:b/>
      <w:bCs/>
      <w:kern w:val="2"/>
      <w:sz w:val="21"/>
      <w:szCs w:val="24"/>
    </w:rPr>
  </w:style>
  <w:style w:type="character" w:customStyle="1" w:styleId="41">
    <w:name w:val="批注框文本 Char"/>
    <w:basedOn w:val="29"/>
    <w:link w:val="16"/>
    <w:qFormat/>
    <w:uiPriority w:val="0"/>
    <w:rPr>
      <w:rFonts w:asciiTheme="minorHAnsi" w:hAnsiTheme="minorHAnsi" w:eastAsiaTheme="minorEastAsia" w:cstheme="minorBidi"/>
      <w:kern w:val="2"/>
      <w:sz w:val="18"/>
      <w:szCs w:val="18"/>
    </w:rPr>
  </w:style>
  <w:style w:type="character" w:customStyle="1" w:styleId="42">
    <w:name w:val="正文文本缩进 2 Char"/>
    <w:basedOn w:val="29"/>
    <w:link w:val="15"/>
    <w:qFormat/>
    <w:uiPriority w:val="99"/>
    <w:rPr>
      <w:rFonts w:asciiTheme="minorHAnsi" w:hAnsiTheme="minorHAnsi" w:eastAsiaTheme="minorEastAsia" w:cstheme="minorBidi"/>
      <w:kern w:val="2"/>
      <w:sz w:val="21"/>
      <w:szCs w:val="24"/>
    </w:rPr>
  </w:style>
  <w:style w:type="character" w:customStyle="1" w:styleId="43">
    <w:name w:val="标题 3 Char"/>
    <w:basedOn w:val="29"/>
    <w:link w:val="4"/>
    <w:qFormat/>
    <w:uiPriority w:val="0"/>
    <w:rPr>
      <w:rFonts w:ascii="宋体"/>
      <w:b/>
      <w:kern w:val="0"/>
      <w:sz w:val="24"/>
      <w:szCs w:val="20"/>
      <w:u w:val="single"/>
    </w:rPr>
  </w:style>
  <w:style w:type="paragraph" w:customStyle="1" w:styleId="44">
    <w:name w:val="Table Text"/>
    <w:basedOn w:val="1"/>
    <w:autoRedefine/>
    <w:semiHidden/>
    <w:qFormat/>
    <w:uiPriority w:val="0"/>
    <w:rPr>
      <w:rFonts w:ascii="微软雅黑" w:hAnsi="微软雅黑" w:eastAsia="微软雅黑" w:cs="微软雅黑"/>
      <w:sz w:val="24"/>
      <w:szCs w:val="24"/>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styleId="4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2"/>
    <w:basedOn w:val="1"/>
    <w:autoRedefine/>
    <w:qFormat/>
    <w:uiPriority w:val="0"/>
    <w:pPr>
      <w:wordWrap w:val="0"/>
      <w:ind w:firstLine="480"/>
    </w:pPr>
    <w:rPr>
      <w:iCs/>
      <w:shd w:val="clear" w:color="auto" w:fill="FFFFFF" w:themeFill="background1"/>
      <w:lang w:val="zh-CN"/>
    </w:rPr>
  </w:style>
  <w:style w:type="character" w:customStyle="1" w:styleId="49">
    <w:name w:val="font21"/>
    <w:basedOn w:val="29"/>
    <w:qFormat/>
    <w:uiPriority w:val="0"/>
    <w:rPr>
      <w:rFonts w:hint="eastAsia" w:ascii="仿宋" w:hAnsi="仿宋" w:eastAsia="仿宋" w:cs="仿宋"/>
      <w:b/>
      <w:bCs/>
      <w:color w:val="000000"/>
      <w:sz w:val="24"/>
      <w:szCs w:val="24"/>
      <w:u w:val="none"/>
    </w:rPr>
  </w:style>
  <w:style w:type="character" w:customStyle="1" w:styleId="50">
    <w:name w:val="font31"/>
    <w:basedOn w:val="29"/>
    <w:qFormat/>
    <w:uiPriority w:val="0"/>
    <w:rPr>
      <w:rFonts w:hint="eastAsia" w:ascii="仿宋" w:hAnsi="仿宋" w:eastAsia="仿宋" w:cs="仿宋"/>
      <w:color w:val="000000"/>
      <w:sz w:val="24"/>
      <w:szCs w:val="24"/>
      <w:u w:val="none"/>
    </w:rPr>
  </w:style>
  <w:style w:type="paragraph" w:styleId="51">
    <w:name w:val="List Paragraph"/>
    <w:basedOn w:val="1"/>
    <w:qFormat/>
    <w:uiPriority w:val="34"/>
    <w:pPr>
      <w:ind w:firstLine="420" w:firstLineChars="200"/>
    </w:pPr>
  </w:style>
  <w:style w:type="paragraph" w:customStyle="1" w:styleId="52">
    <w:name w:val="List Paragraph1"/>
    <w:basedOn w:val="1"/>
    <w:qFormat/>
    <w:uiPriority w:val="0"/>
    <w:pPr>
      <w:ind w:firstLine="420" w:firstLineChars="200"/>
    </w:pPr>
  </w:style>
  <w:style w:type="paragraph" w:customStyle="1" w:styleId="53">
    <w:name w:val="强调标题"/>
    <w:next w:val="1"/>
    <w:qFormat/>
    <w:uiPriority w:val="0"/>
    <w:pPr>
      <w:spacing w:before="240" w:after="120" w:line="360" w:lineRule="auto"/>
      <w:ind w:firstLine="600" w:firstLineChars="200"/>
      <w:jc w:val="left"/>
      <w:outlineLvl w:val="0"/>
    </w:pPr>
    <w:rPr>
      <w:rFonts w:ascii="Times New Roman" w:hAnsi="Times New Roman" w:eastAsia="宋体" w:cs="Times New Roman"/>
      <w:b/>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237</Pages>
  <Words>8507</Words>
  <Characters>9425</Characters>
  <Lines>510</Lines>
  <Paragraphs>143</Paragraphs>
  <TotalTime>42</TotalTime>
  <ScaleCrop>false</ScaleCrop>
  <LinksUpToDate>false</LinksUpToDate>
  <CharactersWithSpaces>9674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2026-05-14T03:05:28Z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650784BD9075403A92D813559A6A241F</vt:lpwstr>
  </property>
  <property fmtid="{D5CDD505-2E9C-101B-9397-08002B2CF9AE}" pid="4" name="KSOTemplateDocerSaveRecord">
    <vt:lpwstr>eyJoZGlkIjoiMDJiNTZkYjA1YTRiMzQ1ZTg1Mjk0ZGY5YTQ4MDcwN2MiLCJ1c2VySWQiOiI0NDIzNzU0MDYifQ==</vt:lpwstr>
  </property>
</Properties>
</file>