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F93A5">
      <w:pPr>
        <w:pStyle w:val="27"/>
        <w:adjustRightInd w:val="0"/>
        <w:snapToGrid w:val="0"/>
        <w:spacing w:line="240" w:lineRule="auto"/>
        <w:jc w:val="center"/>
        <w:rPr>
          <w:rFonts w:hint="eastAsia" w:ascii="仿宋" w:hAnsi="仿宋" w:eastAsia="仿宋" w:cs="仿宋"/>
          <w:b/>
          <w:color w:val="000000" w:themeColor="text1"/>
          <w:sz w:val="44"/>
          <w:szCs w:val="44"/>
          <w:highlight w:val="none"/>
          <w:lang w:eastAsia="zh-CN"/>
          <w14:textFill>
            <w14:solidFill>
              <w14:schemeClr w14:val="tx1"/>
            </w14:solidFill>
          </w14:textFill>
        </w:rPr>
      </w:pPr>
    </w:p>
    <w:p w14:paraId="26826D20">
      <w:pPr>
        <w:pStyle w:val="27"/>
        <w:adjustRightInd w:val="0"/>
        <w:snapToGrid w:val="0"/>
        <w:spacing w:line="240" w:lineRule="auto"/>
        <w:jc w:val="center"/>
        <w:rPr>
          <w:rFonts w:hint="eastAsia" w:ascii="仿宋" w:hAnsi="仿宋" w:eastAsia="仿宋" w:cs="仿宋"/>
          <w:b/>
          <w:color w:val="000000" w:themeColor="text1"/>
          <w:sz w:val="56"/>
          <w:szCs w:val="56"/>
          <w:highlight w:val="none"/>
          <w:lang w:eastAsia="zh-CN"/>
          <w14:textFill>
            <w14:solidFill>
              <w14:schemeClr w14:val="tx1"/>
            </w14:solidFill>
          </w14:textFill>
        </w:rPr>
      </w:pPr>
      <w:r>
        <w:rPr>
          <w:rFonts w:hint="eastAsia" w:ascii="仿宋" w:hAnsi="仿宋" w:eastAsia="仿宋" w:cs="仿宋"/>
          <w:b/>
          <w:color w:val="000000" w:themeColor="text1"/>
          <w:sz w:val="56"/>
          <w:szCs w:val="56"/>
          <w:highlight w:val="none"/>
          <w:lang w:eastAsia="zh-CN"/>
          <w14:textFill>
            <w14:solidFill>
              <w14:schemeClr w14:val="tx1"/>
            </w14:solidFill>
          </w14:textFill>
        </w:rPr>
        <w:t>政府采购项目</w:t>
      </w:r>
    </w:p>
    <w:p w14:paraId="4DB9D53A">
      <w:pPr>
        <w:pStyle w:val="27"/>
        <w:adjustRightInd w:val="0"/>
        <w:snapToGrid w:val="0"/>
        <w:spacing w:line="240" w:lineRule="auto"/>
        <w:jc w:val="center"/>
        <w:rPr>
          <w:rFonts w:hint="eastAsia" w:ascii="仿宋" w:hAnsi="仿宋" w:eastAsia="仿宋" w:cs="仿宋"/>
          <w:b/>
          <w:color w:val="000000" w:themeColor="text1"/>
          <w:sz w:val="56"/>
          <w:szCs w:val="56"/>
          <w:highlight w:val="none"/>
          <w:lang w:val="en-US" w:eastAsia="zh-CN"/>
          <w14:textFill>
            <w14:solidFill>
              <w14:schemeClr w14:val="tx1"/>
            </w14:solidFill>
          </w14:textFill>
        </w:rPr>
      </w:pPr>
    </w:p>
    <w:p w14:paraId="15911EEF">
      <w:pPr>
        <w:pStyle w:val="27"/>
        <w:adjustRightInd w:val="0"/>
        <w:snapToGrid w:val="0"/>
        <w:spacing w:line="240" w:lineRule="auto"/>
        <w:jc w:val="center"/>
        <w:rPr>
          <w:rFonts w:hint="eastAsia" w:ascii="仿宋" w:hAnsi="仿宋" w:eastAsia="仿宋" w:cs="仿宋"/>
          <w:b/>
          <w:color w:val="000000" w:themeColor="text1"/>
          <w:sz w:val="56"/>
          <w:szCs w:val="56"/>
          <w:highlight w:val="none"/>
          <w:lang w:val="en-US" w:eastAsia="zh-CN"/>
          <w14:textFill>
            <w14:solidFill>
              <w14:schemeClr w14:val="tx1"/>
            </w14:solidFill>
          </w14:textFill>
        </w:rPr>
      </w:pPr>
    </w:p>
    <w:p w14:paraId="7391C8AF">
      <w:pPr>
        <w:pStyle w:val="27"/>
        <w:adjustRightInd w:val="0"/>
        <w:snapToGrid w:val="0"/>
        <w:spacing w:line="240" w:lineRule="auto"/>
        <w:jc w:val="center"/>
        <w:rPr>
          <w:rFonts w:hint="eastAsia" w:ascii="仿宋" w:hAnsi="仿宋" w:eastAsia="仿宋" w:cs="仿宋"/>
          <w:b/>
          <w:color w:val="000000" w:themeColor="text1"/>
          <w:sz w:val="56"/>
          <w:szCs w:val="56"/>
          <w:highlight w:val="none"/>
          <w:lang w:eastAsia="zh-CN"/>
          <w14:textFill>
            <w14:solidFill>
              <w14:schemeClr w14:val="tx1"/>
            </w14:solidFill>
          </w14:textFill>
        </w:rPr>
      </w:pPr>
      <w:r>
        <w:rPr>
          <w:rFonts w:hint="eastAsia" w:ascii="仿宋" w:hAnsi="仿宋" w:eastAsia="仿宋" w:cs="仿宋"/>
          <w:b/>
          <w:color w:val="000000" w:themeColor="text1"/>
          <w:sz w:val="56"/>
          <w:szCs w:val="56"/>
          <w:highlight w:val="none"/>
          <w:lang w:val="en-US" w:eastAsia="zh-CN"/>
          <w14:textFill>
            <w14:solidFill>
              <w14:schemeClr w14:val="tx1"/>
            </w14:solidFill>
          </w14:textFill>
        </w:rPr>
        <w:t>竞争性磋商</w:t>
      </w:r>
      <w:r>
        <w:rPr>
          <w:rFonts w:hint="eastAsia" w:ascii="仿宋" w:hAnsi="仿宋" w:eastAsia="仿宋" w:cs="仿宋"/>
          <w:b/>
          <w:color w:val="000000" w:themeColor="text1"/>
          <w:sz w:val="56"/>
          <w:szCs w:val="56"/>
          <w:highlight w:val="none"/>
          <w:lang w:eastAsia="zh-CN"/>
          <w14:textFill>
            <w14:solidFill>
              <w14:schemeClr w14:val="tx1"/>
            </w14:solidFill>
          </w14:textFill>
        </w:rPr>
        <w:t>文件</w:t>
      </w:r>
    </w:p>
    <w:p w14:paraId="521D32B4">
      <w:pPr>
        <w:pStyle w:val="27"/>
        <w:adjustRightInd w:val="0"/>
        <w:snapToGrid w:val="0"/>
        <w:spacing w:line="240" w:lineRule="auto"/>
        <w:jc w:val="center"/>
        <w:rPr>
          <w:rFonts w:hint="eastAsia" w:ascii="仿宋" w:hAnsi="仿宋" w:eastAsia="仿宋" w:cs="仿宋"/>
          <w:b/>
          <w:color w:val="000000" w:themeColor="text1"/>
          <w:sz w:val="48"/>
          <w:szCs w:val="48"/>
          <w:highlight w:val="none"/>
          <w:lang w:eastAsia="zh-CN"/>
          <w14:textFill>
            <w14:solidFill>
              <w14:schemeClr w14:val="tx1"/>
            </w14:solidFill>
          </w14:textFill>
        </w:rPr>
      </w:pPr>
    </w:p>
    <w:p w14:paraId="3F27B5A4">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14CE9319">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4DB02EF2">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1C9D6F0F">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6103CE35">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78793A7F">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3F057F4B">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24794E43">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235C2ADC">
      <w:pPr>
        <w:pStyle w:val="27"/>
        <w:adjustRightInd w:val="0"/>
        <w:snapToGrid w:val="0"/>
        <w:spacing w:line="240" w:lineRule="auto"/>
        <w:jc w:val="cente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3E2DE21A">
      <w:pPr>
        <w:pStyle w:val="27"/>
        <w:adjustRightInd w:val="0"/>
        <w:snapToGrid w:val="0"/>
        <w:spacing w:line="240" w:lineRule="auto"/>
        <w:jc w:val="lef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项目名称：关于移动执法终端运维服务的项目</w:t>
      </w:r>
    </w:p>
    <w:p w14:paraId="67335AE7">
      <w:pPr>
        <w:pStyle w:val="27"/>
        <w:adjustRightInd w:val="0"/>
        <w:snapToGrid w:val="0"/>
        <w:spacing w:line="240" w:lineRule="auto"/>
        <w:jc w:val="lef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项目编号：</w:t>
      </w:r>
      <w:r>
        <w:rPr>
          <w:rFonts w:hint="eastAsia" w:ascii="仿宋" w:hAnsi="仿宋" w:eastAsia="仿宋" w:cs="仿宋"/>
          <w:b/>
          <w:color w:val="000000" w:themeColor="text1"/>
          <w:sz w:val="36"/>
          <w:szCs w:val="36"/>
          <w:highlight w:val="none"/>
          <w:lang w:val="en-US" w:eastAsia="zh-CN"/>
          <w14:textFill>
            <w14:solidFill>
              <w14:schemeClr w14:val="tx1"/>
            </w14:solidFill>
          </w14:textFill>
        </w:rPr>
        <w:t>XLZHTDQ2026年003-1号</w:t>
      </w:r>
    </w:p>
    <w:p w14:paraId="09A19033">
      <w:pPr>
        <w:pStyle w:val="27"/>
        <w:adjustRightInd w:val="0"/>
        <w:snapToGrid w:val="0"/>
        <w:spacing w:line="240" w:lineRule="auto"/>
        <w:jc w:val="left"/>
        <w:rPr>
          <w:rFonts w:hint="default" w:ascii="仿宋" w:hAnsi="仿宋" w:eastAsia="仿宋" w:cs="仿宋"/>
          <w:b/>
          <w:color w:val="000000" w:themeColor="text1"/>
          <w:sz w:val="36"/>
          <w:szCs w:val="36"/>
          <w:highlight w:val="none"/>
          <w:lang w:val="en-US"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采 购 人：</w:t>
      </w:r>
      <w:r>
        <w:rPr>
          <w:rFonts w:hint="eastAsia" w:ascii="仿宋" w:hAnsi="仿宋" w:eastAsia="仿宋" w:cs="仿宋"/>
          <w:b/>
          <w:color w:val="000000" w:themeColor="text1"/>
          <w:sz w:val="36"/>
          <w:szCs w:val="36"/>
          <w:highlight w:val="none"/>
          <w:lang w:val="en-US" w:eastAsia="zh-CN"/>
          <w14:textFill>
            <w14:solidFill>
              <w14:schemeClr w14:val="tx1"/>
            </w14:solidFill>
          </w14:textFill>
        </w:rPr>
        <w:t>新疆维吾尔自治区和田某某单位</w:t>
      </w:r>
    </w:p>
    <w:p w14:paraId="60D5BD6A">
      <w:pPr>
        <w:pStyle w:val="27"/>
        <w:adjustRightInd w:val="0"/>
        <w:snapToGrid w:val="0"/>
        <w:spacing w:line="240" w:lineRule="auto"/>
        <w:jc w:val="lef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lang w:eastAsia="zh-CN"/>
          <w14:textFill>
            <w14:solidFill>
              <w14:schemeClr w14:val="tx1"/>
            </w14:solidFill>
          </w14:textFill>
        </w:rPr>
        <w:t xml:space="preserve">采购代理机构：新疆兴立众工程咨询有限责任公司 </w:t>
      </w:r>
    </w:p>
    <w:p w14:paraId="6ACBD794">
      <w:pPr>
        <w:pStyle w:val="4"/>
        <w:rPr>
          <w:rFonts w:hint="eastAsia"/>
          <w:highlight w:val="none"/>
        </w:rPr>
      </w:pPr>
    </w:p>
    <w:p w14:paraId="798F434C">
      <w:pPr>
        <w:pStyle w:val="27"/>
        <w:adjustRightInd w:val="0"/>
        <w:snapToGrid w:val="0"/>
        <w:spacing w:line="360" w:lineRule="auto"/>
        <w:jc w:val="both"/>
        <w:rPr>
          <w:rFonts w:hint="eastAsia" w:ascii="仿宋" w:hAnsi="仿宋" w:eastAsia="仿宋" w:cs="仿宋"/>
          <w:b/>
          <w:color w:val="000000" w:themeColor="text1"/>
          <w:sz w:val="32"/>
          <w:szCs w:val="32"/>
          <w:highlight w:val="none"/>
          <w14:textFill>
            <w14:solidFill>
              <w14:schemeClr w14:val="tx1"/>
            </w14:solidFill>
          </w14:textFill>
        </w:rPr>
      </w:pPr>
    </w:p>
    <w:p w14:paraId="5B5A6788">
      <w:pPr>
        <w:pStyle w:val="27"/>
        <w:adjustRightInd w:val="0"/>
        <w:snapToGrid w:val="0"/>
        <w:spacing w:line="360" w:lineRule="auto"/>
        <w:jc w:val="both"/>
        <w:rPr>
          <w:rFonts w:hint="eastAsia" w:ascii="仿宋" w:hAnsi="仿宋" w:eastAsia="仿宋" w:cs="仿宋"/>
          <w:b/>
          <w:color w:val="000000" w:themeColor="text1"/>
          <w:sz w:val="32"/>
          <w:szCs w:val="32"/>
          <w:highlight w:val="none"/>
          <w14:textFill>
            <w14:solidFill>
              <w14:schemeClr w14:val="tx1"/>
            </w14:solidFill>
          </w14:textFill>
        </w:rPr>
      </w:pPr>
    </w:p>
    <w:p w14:paraId="227691F4">
      <w:pPr>
        <w:pStyle w:val="27"/>
        <w:adjustRightInd w:val="0"/>
        <w:snapToGrid w:val="0"/>
        <w:spacing w:line="360" w:lineRule="auto"/>
        <w:jc w:val="both"/>
        <w:rPr>
          <w:rFonts w:hint="eastAsia" w:ascii="仿宋" w:hAnsi="仿宋" w:eastAsia="仿宋" w:cs="仿宋"/>
          <w:b/>
          <w:color w:val="000000" w:themeColor="text1"/>
          <w:sz w:val="32"/>
          <w:szCs w:val="32"/>
          <w:highlight w:val="none"/>
          <w14:textFill>
            <w14:solidFill>
              <w14:schemeClr w14:val="tx1"/>
            </w14:solidFill>
          </w14:textFill>
        </w:rPr>
      </w:pPr>
    </w:p>
    <w:p w14:paraId="0D870273">
      <w:pPr>
        <w:pStyle w:val="38"/>
        <w:ind w:left="0" w:leftChars="0" w:firstLine="0" w:firstLineChars="0"/>
        <w:jc w:val="center"/>
        <w:rPr>
          <w:rFonts w:hint="default" w:ascii="仿宋" w:hAnsi="仿宋" w:eastAsia="仿宋" w:cs="仿宋"/>
          <w:b/>
          <w:color w:val="000000" w:themeColor="text1"/>
          <w:sz w:val="36"/>
          <w:szCs w:val="36"/>
          <w:highlight w:val="none"/>
          <w:lang w:val="en-US" w:eastAsia="zh-CN"/>
          <w14:textFill>
            <w14:solidFill>
              <w14:schemeClr w14:val="tx1"/>
            </w14:solidFill>
          </w14:textFill>
        </w:rPr>
      </w:pPr>
      <w:r>
        <w:rPr>
          <w:rFonts w:hint="eastAsia" w:ascii="仿宋" w:hAnsi="仿宋" w:eastAsia="仿宋" w:cs="仿宋"/>
          <w:b/>
          <w:color w:val="000000" w:themeColor="text1"/>
          <w:sz w:val="36"/>
          <w:szCs w:val="36"/>
          <w:highlight w:val="none"/>
          <w:lang w:val="en-US" w:eastAsia="zh-CN"/>
          <w14:textFill>
            <w14:solidFill>
              <w14:schemeClr w14:val="tx1"/>
            </w14:solidFill>
          </w14:textFill>
        </w:rPr>
        <w:t>2026年05月</w:t>
      </w:r>
    </w:p>
    <w:p w14:paraId="1AC3EE7C">
      <w:pPr>
        <w:rPr>
          <w:rFonts w:hint="eastAsia" w:ascii="仿宋" w:hAnsi="仿宋" w:eastAsia="仿宋" w:cs="仿宋"/>
          <w:b/>
          <w:color w:val="000000" w:themeColor="text1"/>
          <w:sz w:val="36"/>
          <w:szCs w:val="36"/>
          <w:highlight w:val="none"/>
          <w:lang w:eastAsia="zh-CN"/>
          <w14:textFill>
            <w14:solidFill>
              <w14:schemeClr w14:val="tx1"/>
            </w14:solidFill>
          </w14:textFill>
        </w:rPr>
      </w:pPr>
    </w:p>
    <w:p w14:paraId="26A60E0B">
      <w:pPr>
        <w:rPr>
          <w:rFonts w:hint="eastAsia" w:ascii="仿宋" w:hAnsi="仿宋" w:eastAsia="仿宋" w:cs="仿宋"/>
          <w:b/>
          <w:color w:val="000000" w:themeColor="text1"/>
          <w:sz w:val="48"/>
          <w:szCs w:val="48"/>
          <w:highlight w:val="none"/>
          <w:lang w:val="en-US" w:eastAsia="zh-CN"/>
          <w14:textFill>
            <w14:solidFill>
              <w14:schemeClr w14:val="tx1"/>
            </w14:solidFill>
          </w14:textFill>
        </w:rPr>
      </w:pPr>
      <w:r>
        <w:rPr>
          <w:rFonts w:hint="eastAsia" w:ascii="仿宋" w:hAnsi="仿宋" w:eastAsia="仿宋" w:cs="仿宋"/>
          <w:b/>
          <w:color w:val="000000" w:themeColor="text1"/>
          <w:sz w:val="48"/>
          <w:szCs w:val="48"/>
          <w:highlight w:val="none"/>
          <w:lang w:val="en-US" w:eastAsia="zh-CN"/>
          <w14:textFill>
            <w14:solidFill>
              <w14:schemeClr w14:val="tx1"/>
            </w14:solidFill>
          </w14:textFill>
        </w:rPr>
        <w:br w:type="page"/>
      </w:r>
      <w:r>
        <w:rPr>
          <w:rFonts w:hint="eastAsia" w:ascii="仿宋" w:hAnsi="仿宋" w:eastAsia="仿宋" w:cs="仿宋"/>
          <w:b/>
          <w:color w:val="000000" w:themeColor="text1"/>
          <w:sz w:val="48"/>
          <w:szCs w:val="48"/>
          <w:highlight w:val="none"/>
          <w:lang w:val="en-US" w:eastAsia="zh-CN"/>
          <w14:textFill>
            <w14:solidFill>
              <w14:schemeClr w14:val="tx1"/>
            </w14:solidFill>
          </w14:textFill>
        </w:rPr>
        <w:br w:type="page"/>
      </w:r>
    </w:p>
    <w:p w14:paraId="710BFCD2">
      <w:pPr>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14:paraId="486A078C">
      <w:pPr>
        <w:pStyle w:val="14"/>
        <w:jc w:val="center"/>
        <w:rPr>
          <w:rFonts w:hint="eastAsia"/>
          <w:sz w:val="21"/>
          <w:szCs w:val="16"/>
          <w:highlight w:val="none"/>
          <w:lang w:eastAsia="zh-CN"/>
        </w:rPr>
      </w:pPr>
      <w:r>
        <w:rPr>
          <w:rFonts w:hint="eastAsia" w:ascii="仿宋" w:hAnsi="仿宋" w:eastAsia="仿宋" w:cs="仿宋"/>
          <w:b/>
          <w:color w:val="000000" w:themeColor="text1"/>
          <w:sz w:val="48"/>
          <w:szCs w:val="48"/>
          <w:highlight w:val="none"/>
          <w:lang w:val="en-US" w:eastAsia="zh-CN"/>
          <w14:textFill>
            <w14:solidFill>
              <w14:schemeClr w14:val="tx1"/>
            </w14:solidFill>
          </w14:textFill>
        </w:rPr>
        <w:t>竞争性磋商</w:t>
      </w:r>
      <w:r>
        <w:rPr>
          <w:rFonts w:hint="eastAsia" w:ascii="仿宋" w:hAnsi="仿宋" w:eastAsia="仿宋" w:cs="仿宋"/>
          <w:b/>
          <w:color w:val="000000" w:themeColor="text1"/>
          <w:sz w:val="48"/>
          <w:szCs w:val="48"/>
          <w:highlight w:val="none"/>
          <w:lang w:eastAsia="zh-CN"/>
          <w14:textFill>
            <w14:solidFill>
              <w14:schemeClr w14:val="tx1"/>
            </w14:solidFill>
          </w14:textFill>
        </w:rPr>
        <w:t>文件</w:t>
      </w:r>
    </w:p>
    <w:p w14:paraId="6F81BC1C">
      <w:pPr>
        <w:rPr>
          <w:rFonts w:hint="eastAsia"/>
          <w:highlight w:val="none"/>
          <w:lang w:eastAsia="zh-CN"/>
        </w:rPr>
      </w:pPr>
    </w:p>
    <w:p w14:paraId="12C72E57">
      <w:pPr>
        <w:rPr>
          <w:rFonts w:hint="eastAsia" w:ascii="仿宋" w:hAnsi="仿宋" w:eastAsia="仿宋" w:cs="仿宋"/>
          <w:bCs/>
          <w:color w:val="000000" w:themeColor="text1"/>
          <w:sz w:val="28"/>
          <w:szCs w:val="28"/>
          <w:highlight w:val="none"/>
          <w:lang w:val="zh-CN"/>
          <w14:textFill>
            <w14:solidFill>
              <w14:schemeClr w14:val="tx1"/>
            </w14:solidFill>
          </w14:textFill>
        </w:rPr>
      </w:pPr>
    </w:p>
    <w:p w14:paraId="4C9EE695">
      <w:pPr>
        <w:autoSpaceDE w:val="0"/>
        <w:autoSpaceDN w:val="0"/>
        <w:adjustRightInd w:val="0"/>
        <w:spacing w:line="720" w:lineRule="auto"/>
        <w:ind w:firstLine="562" w:firstLineChars="200"/>
        <w:jc w:val="both"/>
        <w:rPr>
          <w:rFonts w:hint="eastAsia" w:ascii="仿宋" w:hAnsi="仿宋" w:eastAsia="仿宋" w:cs="仿宋"/>
          <w:b/>
          <w:bCs w:val="0"/>
          <w:color w:val="000000" w:themeColor="text1"/>
          <w:sz w:val="28"/>
          <w:szCs w:val="28"/>
          <w:highlight w:val="none"/>
          <w:lang w:val="zh-CN"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zh-CN"/>
          <w14:textFill>
            <w14:solidFill>
              <w14:schemeClr w14:val="tx1"/>
            </w14:solidFill>
          </w14:textFill>
        </w:rPr>
        <w:t>项目名称：</w:t>
      </w:r>
      <w:r>
        <w:rPr>
          <w:rFonts w:hint="eastAsia" w:ascii="仿宋" w:hAnsi="仿宋" w:eastAsia="仿宋" w:cs="仿宋"/>
          <w:b/>
          <w:bCs w:val="0"/>
          <w:color w:val="000000" w:themeColor="text1"/>
          <w:sz w:val="28"/>
          <w:szCs w:val="28"/>
          <w:highlight w:val="none"/>
          <w:lang w:val="zh-CN" w:eastAsia="zh-CN"/>
          <w14:textFill>
            <w14:solidFill>
              <w14:schemeClr w14:val="tx1"/>
            </w14:solidFill>
          </w14:textFill>
        </w:rPr>
        <w:t>关于移动执法终端运维服务的项目</w:t>
      </w:r>
    </w:p>
    <w:p w14:paraId="4E1660BA">
      <w:pPr>
        <w:autoSpaceDE w:val="0"/>
        <w:autoSpaceDN w:val="0"/>
        <w:adjustRightInd w:val="0"/>
        <w:spacing w:line="720" w:lineRule="auto"/>
        <w:ind w:firstLine="562" w:firstLineChars="200"/>
        <w:jc w:val="both"/>
        <w:rPr>
          <w:rFonts w:hint="eastAsia" w:ascii="仿宋" w:hAnsi="仿宋" w:eastAsia="仿宋" w:cs="仿宋"/>
          <w:b/>
          <w:bCs w:val="0"/>
          <w:color w:val="000000" w:themeColor="text1"/>
          <w:sz w:val="28"/>
          <w:szCs w:val="28"/>
          <w:highlight w:val="none"/>
          <w:lang w:val="zh-CN"/>
          <w14:textFill>
            <w14:solidFill>
              <w14:schemeClr w14:val="tx1"/>
            </w14:solidFill>
          </w14:textFill>
        </w:rPr>
      </w:pPr>
      <w:r>
        <w:rPr>
          <w:rFonts w:hint="eastAsia" w:ascii="仿宋" w:hAnsi="仿宋" w:eastAsia="仿宋" w:cs="仿宋"/>
          <w:b/>
          <w:bCs w:val="0"/>
          <w:color w:val="000000" w:themeColor="text1"/>
          <w:sz w:val="28"/>
          <w:szCs w:val="28"/>
          <w:highlight w:val="none"/>
          <w:lang w:val="zh-CN"/>
          <w14:textFill>
            <w14:solidFill>
              <w14:schemeClr w14:val="tx1"/>
            </w14:solidFill>
          </w14:textFill>
        </w:rPr>
        <w:t>采购单位：</w:t>
      </w:r>
      <w:r>
        <w:rPr>
          <w:rFonts w:hint="eastAsia" w:ascii="仿宋" w:hAnsi="仿宋" w:eastAsia="仿宋" w:cs="仿宋"/>
          <w:b/>
          <w:bCs w:val="0"/>
          <w:color w:val="000000" w:themeColor="text1"/>
          <w:sz w:val="28"/>
          <w:szCs w:val="28"/>
          <w:highlight w:val="none"/>
          <w:lang w:val="zh-CN" w:eastAsia="zh-CN"/>
          <w14:textFill>
            <w14:solidFill>
              <w14:schemeClr w14:val="tx1"/>
            </w14:solidFill>
          </w14:textFill>
        </w:rPr>
        <w:t>新疆维吾尔自治区和田某某单位</w:t>
      </w:r>
    </w:p>
    <w:p w14:paraId="16396EAF">
      <w:pPr>
        <w:autoSpaceDE w:val="0"/>
        <w:autoSpaceDN w:val="0"/>
        <w:adjustRightInd w:val="0"/>
        <w:spacing w:line="720" w:lineRule="auto"/>
        <w:ind w:firstLine="562" w:firstLineChars="200"/>
        <w:jc w:val="both"/>
        <w:rPr>
          <w:rFonts w:hint="default"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zh-CN" w:eastAsia="zh-CN"/>
          <w14:textFill>
            <w14:solidFill>
              <w14:schemeClr w14:val="tx1"/>
            </w14:solidFill>
          </w14:textFill>
        </w:rPr>
        <w:t>联 系 人：</w:t>
      </w: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 xml:space="preserve"> 元先生</w:t>
      </w:r>
    </w:p>
    <w:p w14:paraId="3C58D914">
      <w:pPr>
        <w:autoSpaceDE w:val="0"/>
        <w:autoSpaceDN w:val="0"/>
        <w:adjustRightInd w:val="0"/>
        <w:spacing w:line="720" w:lineRule="auto"/>
        <w:ind w:firstLine="562" w:firstLineChars="200"/>
        <w:jc w:val="both"/>
        <w:rPr>
          <w:rFonts w:hint="default"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zh-CN" w:eastAsia="zh-CN"/>
          <w14:textFill>
            <w14:solidFill>
              <w14:schemeClr w14:val="tx1"/>
            </w14:solidFill>
          </w14:textFill>
        </w:rPr>
        <w:t>电    话：</w:t>
      </w: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 xml:space="preserve"> 0903-2523819</w:t>
      </w:r>
    </w:p>
    <w:p w14:paraId="10E5EB5C">
      <w:pPr>
        <w:autoSpaceDE w:val="0"/>
        <w:autoSpaceDN w:val="0"/>
        <w:adjustRightInd w:val="0"/>
        <w:spacing w:line="680" w:lineRule="exact"/>
        <w:rPr>
          <w:rFonts w:hint="eastAsia" w:ascii="仿宋" w:hAnsi="仿宋" w:eastAsia="仿宋" w:cs="仿宋"/>
          <w:b/>
          <w:bCs w:val="0"/>
          <w:sz w:val="28"/>
          <w:szCs w:val="28"/>
          <w:highlight w:val="none"/>
          <w:lang w:val="zh-CN"/>
        </w:rPr>
      </w:pPr>
    </w:p>
    <w:p w14:paraId="1258F483">
      <w:pPr>
        <w:autoSpaceDE w:val="0"/>
        <w:autoSpaceDN w:val="0"/>
        <w:adjustRightInd w:val="0"/>
        <w:spacing w:line="680" w:lineRule="exact"/>
        <w:rPr>
          <w:rFonts w:hint="eastAsia" w:ascii="仿宋" w:hAnsi="仿宋" w:eastAsia="仿宋" w:cs="仿宋"/>
          <w:b/>
          <w:bCs w:val="0"/>
          <w:color w:val="000000" w:themeColor="text1"/>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14:textFill>
            <w14:solidFill>
              <w14:schemeClr w14:val="tx1"/>
            </w14:solidFill>
          </w14:textFill>
        </w:rPr>
        <w:t xml:space="preserve">     ----------------------------------------------------------- </w:t>
      </w:r>
    </w:p>
    <w:p w14:paraId="2E8E891E">
      <w:pPr>
        <w:pStyle w:val="45"/>
        <w:ind w:left="0" w:leftChars="0" w:firstLine="0" w:firstLineChars="0"/>
        <w:rPr>
          <w:rFonts w:hint="eastAsia" w:ascii="仿宋" w:hAnsi="仿宋" w:eastAsia="仿宋" w:cs="仿宋"/>
          <w:b/>
          <w:bCs w:val="0"/>
          <w:color w:val="000000" w:themeColor="text1"/>
          <w:sz w:val="28"/>
          <w:szCs w:val="28"/>
          <w:highlight w:val="none"/>
          <w:lang w:val="zh-CN"/>
          <w14:textFill>
            <w14:solidFill>
              <w14:schemeClr w14:val="tx1"/>
            </w14:solidFill>
          </w14:textFill>
        </w:rPr>
      </w:pPr>
    </w:p>
    <w:p w14:paraId="4C1DD38D">
      <w:pPr>
        <w:rPr>
          <w:rFonts w:hint="eastAsia"/>
          <w:b/>
          <w:bCs w:val="0"/>
          <w:sz w:val="28"/>
          <w:szCs w:val="28"/>
          <w:highlight w:val="none"/>
          <w:lang w:val="zh-CN"/>
        </w:rPr>
      </w:pPr>
    </w:p>
    <w:p w14:paraId="20ED886E">
      <w:pPr>
        <w:autoSpaceDE w:val="0"/>
        <w:autoSpaceDN w:val="0"/>
        <w:adjustRightInd w:val="0"/>
        <w:spacing w:line="720" w:lineRule="auto"/>
        <w:ind w:firstLine="562" w:firstLineChars="200"/>
        <w:jc w:val="left"/>
        <w:rPr>
          <w:rFonts w:hint="eastAsia" w:ascii="仿宋" w:hAnsi="仿宋" w:eastAsia="仿宋" w:cs="仿宋"/>
          <w:b/>
          <w:bCs w:val="0"/>
          <w:color w:val="000000" w:themeColor="text1"/>
          <w:sz w:val="28"/>
          <w:szCs w:val="28"/>
          <w:highlight w:val="none"/>
          <w:lang w:val="zh-CN"/>
          <w14:textFill>
            <w14:solidFill>
              <w14:schemeClr w14:val="tx1"/>
            </w14:solidFill>
          </w14:textFill>
        </w:rPr>
      </w:pPr>
      <w:r>
        <w:rPr>
          <w:rFonts w:hint="eastAsia" w:ascii="仿宋" w:hAnsi="仿宋" w:eastAsia="仿宋" w:cs="仿宋"/>
          <w:b/>
          <w:bCs w:val="0"/>
          <w:color w:val="000000" w:themeColor="text1"/>
          <w:sz w:val="28"/>
          <w:szCs w:val="28"/>
          <w:highlight w:val="none"/>
          <w:lang w:val="zh-CN"/>
          <w14:textFill>
            <w14:solidFill>
              <w14:schemeClr w14:val="tx1"/>
            </w14:solidFill>
          </w14:textFill>
        </w:rPr>
        <w:t>招标代理机构：</w:t>
      </w: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新疆兴立众工程咨询有限责任公司</w:t>
      </w:r>
      <w:r>
        <w:rPr>
          <w:rFonts w:hint="eastAsia" w:ascii="仿宋" w:hAnsi="仿宋" w:eastAsia="仿宋" w:cs="仿宋"/>
          <w:b/>
          <w:bCs w:val="0"/>
          <w:color w:val="000000" w:themeColor="text1"/>
          <w:sz w:val="28"/>
          <w:szCs w:val="28"/>
          <w:highlight w:val="none"/>
          <w:lang w:val="zh-CN"/>
          <w14:textFill>
            <w14:solidFill>
              <w14:schemeClr w14:val="tx1"/>
            </w14:solidFill>
          </w14:textFill>
        </w:rPr>
        <w:t xml:space="preserve"> </w:t>
      </w:r>
    </w:p>
    <w:p w14:paraId="73C91842">
      <w:pPr>
        <w:autoSpaceDE w:val="0"/>
        <w:autoSpaceDN w:val="0"/>
        <w:adjustRightInd w:val="0"/>
        <w:spacing w:line="720" w:lineRule="auto"/>
        <w:ind w:firstLine="562" w:firstLineChars="200"/>
        <w:jc w:val="left"/>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zh-CN"/>
          <w14:textFill>
            <w14:solidFill>
              <w14:schemeClr w14:val="tx1"/>
            </w14:solidFill>
          </w14:textFill>
        </w:rPr>
        <w:t>联 系 人：</w:t>
      </w: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李攀东</w:t>
      </w:r>
    </w:p>
    <w:p w14:paraId="12299595">
      <w:pPr>
        <w:autoSpaceDE w:val="0"/>
        <w:autoSpaceDN w:val="0"/>
        <w:adjustRightInd w:val="0"/>
        <w:spacing w:line="720" w:lineRule="auto"/>
        <w:ind w:firstLine="562" w:firstLineChars="200"/>
        <w:jc w:val="left"/>
        <w:rPr>
          <w:rFonts w:hint="default"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zh-CN"/>
          <w14:textFill>
            <w14:solidFill>
              <w14:schemeClr w14:val="tx1"/>
            </w14:solidFill>
          </w14:textFill>
        </w:rPr>
        <w:t>电    话：0903-</w:t>
      </w: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2517892</w:t>
      </w:r>
    </w:p>
    <w:p w14:paraId="0E630291">
      <w:pPr>
        <w:autoSpaceDE w:val="0"/>
        <w:autoSpaceDN w:val="0"/>
        <w:adjustRightInd w:val="0"/>
        <w:spacing w:line="720" w:lineRule="auto"/>
        <w:ind w:firstLine="562" w:firstLineChars="200"/>
        <w:jc w:val="left"/>
        <w:rPr>
          <w:rFonts w:hint="default"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zh-CN"/>
          <w14:textFill>
            <w14:solidFill>
              <w14:schemeClr w14:val="tx1"/>
            </w14:solidFill>
          </w14:textFill>
        </w:rPr>
        <w:t>详细地址：和田市川亿凯旋公馆B区19号楼1105室</w:t>
      </w:r>
    </w:p>
    <w:p w14:paraId="50488A0C">
      <w:pPr>
        <w:rPr>
          <w:rFonts w:hint="eastAsia" w:ascii="仿宋" w:hAnsi="仿宋" w:eastAsia="仿宋" w:cs="仿宋"/>
          <w:color w:val="auto"/>
          <w:kern w:val="0"/>
          <w:sz w:val="36"/>
          <w:szCs w:val="36"/>
          <w:highlight w:val="none"/>
        </w:rPr>
      </w:pPr>
    </w:p>
    <w:p w14:paraId="4F1DEB4F">
      <w:pPr>
        <w:rPr>
          <w:rFonts w:hint="eastAsia" w:ascii="仿宋" w:hAnsi="仿宋" w:eastAsia="仿宋" w:cs="仿宋"/>
          <w:color w:val="auto"/>
          <w:kern w:val="0"/>
          <w:sz w:val="36"/>
          <w:szCs w:val="36"/>
          <w:highlight w:val="none"/>
        </w:rPr>
      </w:pPr>
    </w:p>
    <w:p w14:paraId="786BF66A">
      <w:pPr>
        <w:rPr>
          <w:rFonts w:hint="eastAsia" w:ascii="仿宋" w:hAnsi="仿宋" w:eastAsia="仿宋" w:cs="仿宋"/>
          <w:color w:val="auto"/>
          <w:kern w:val="0"/>
          <w:sz w:val="36"/>
          <w:szCs w:val="36"/>
          <w:highlight w:val="none"/>
        </w:rPr>
      </w:pPr>
    </w:p>
    <w:p w14:paraId="5CE82358">
      <w:pP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br w:type="page"/>
      </w:r>
    </w:p>
    <w:p w14:paraId="1A798756">
      <w:pPr>
        <w:autoSpaceDE w:val="0"/>
        <w:autoSpaceDN w:val="0"/>
        <w:adjustRightInd w:val="0"/>
        <w:spacing w:line="600" w:lineRule="auto"/>
        <w:jc w:val="cente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t>目  录</w:t>
      </w:r>
    </w:p>
    <w:p w14:paraId="6F8436C4">
      <w:pPr>
        <w:pStyle w:val="33"/>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"1-9" \f \h \u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_Toc31121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eastAsia="zh-CN"/>
        </w:rPr>
        <w:t>第一部分</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采购公告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6ECA4F57">
      <w:pPr>
        <w:pStyle w:val="33"/>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_Toc25035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第二部分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5D7A9997">
      <w:pPr>
        <w:pStyle w:val="33"/>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_Toc10179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7A9E67F0">
      <w:pPr>
        <w:pStyle w:val="39"/>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_Toc27167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263DE239">
      <w:pPr>
        <w:pStyle w:val="39"/>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_Toc26927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xml:space="preserve">第二章 </w:t>
      </w:r>
      <w:r>
        <w:rPr>
          <w:rFonts w:hint="eastAsia" w:ascii="仿宋" w:hAnsi="仿宋" w:eastAsia="仿宋" w:cs="仿宋"/>
          <w:color w:val="auto"/>
          <w:sz w:val="24"/>
          <w:szCs w:val="24"/>
          <w:highlight w:val="none"/>
          <w:lang w:val="en-US" w:eastAsia="zh-CN"/>
        </w:rPr>
        <w:t>评标办法及标准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22D2D165">
      <w:pPr>
        <w:pStyle w:val="39"/>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_Toc29633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第三章</w:t>
      </w:r>
      <w:r>
        <w:rPr>
          <w:rFonts w:hint="eastAsia" w:ascii="仿宋" w:hAnsi="仿宋" w:eastAsia="仿宋" w:cs="仿宋"/>
          <w:color w:val="auto"/>
          <w:sz w:val="24"/>
          <w:szCs w:val="24"/>
          <w:highlight w:val="none"/>
          <w:lang w:val="en-US" w:eastAsia="zh-CN"/>
        </w:rPr>
        <w:t xml:space="preserve"> 采购需求、技术参数、规格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4C2DD310">
      <w:pPr>
        <w:pStyle w:val="33"/>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_Toc13536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 xml:space="preserve">第四章 </w:t>
      </w:r>
      <w:r>
        <w:rPr>
          <w:rFonts w:hint="eastAsia" w:ascii="仿宋" w:hAnsi="仿宋" w:eastAsia="仿宋" w:cs="仿宋"/>
          <w:bCs/>
          <w:color w:val="auto"/>
          <w:sz w:val="24"/>
          <w:szCs w:val="24"/>
          <w:highlight w:val="none"/>
          <w:lang w:eastAsia="zh-CN"/>
        </w:rPr>
        <w:t>采购合同范本</w:t>
      </w:r>
      <w:r>
        <w:rPr>
          <w:rFonts w:hint="eastAsia" w:ascii="仿宋" w:hAnsi="仿宋" w:eastAsia="仿宋" w:cs="仿宋"/>
          <w:bCs/>
          <w:color w:val="auto"/>
          <w:sz w:val="24"/>
          <w:szCs w:val="24"/>
          <w:highlight w:val="none"/>
        </w:rPr>
        <w:t>（仅供参考）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2D9B45EC">
      <w:pPr>
        <w:pStyle w:val="33"/>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_Toc5124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第五章</w:t>
      </w:r>
      <w:r>
        <w:rPr>
          <w:rFonts w:hint="eastAsia" w:ascii="仿宋" w:hAnsi="仿宋" w:eastAsia="仿宋" w:cs="仿宋"/>
          <w:color w:val="auto"/>
          <w:sz w:val="24"/>
          <w:szCs w:val="24"/>
          <w:highlight w:val="none"/>
          <w:lang w:val="en-US" w:eastAsia="zh-CN"/>
        </w:rPr>
        <w:t xml:space="preserve"> 响应文件内容及格式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76A85D67">
      <w:pPr>
        <w:pStyle w:val="2"/>
        <w:outlineLvl w:val="0"/>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1D0D2B47">
      <w:pPr>
        <w:autoSpaceDE w:val="0"/>
        <w:autoSpaceDN w:val="0"/>
        <w:adjustRightInd w:val="0"/>
        <w:spacing w:line="600" w:lineRule="auto"/>
        <w:ind w:left="2"/>
        <w:rPr>
          <w:rFonts w:hint="eastAsia" w:ascii="仿宋" w:hAnsi="仿宋" w:eastAsia="仿宋" w:cs="仿宋"/>
          <w:color w:val="auto"/>
          <w:kern w:val="0"/>
          <w:sz w:val="28"/>
          <w:szCs w:val="28"/>
          <w:highlight w:val="none"/>
        </w:rPr>
      </w:pPr>
    </w:p>
    <w:p w14:paraId="598DA9EF">
      <w:pPr>
        <w:pStyle w:val="4"/>
        <w:rPr>
          <w:rFonts w:hint="eastAsia" w:ascii="仿宋" w:hAnsi="仿宋" w:eastAsia="仿宋" w:cs="仿宋"/>
          <w:color w:val="auto"/>
          <w:kern w:val="0"/>
          <w:sz w:val="28"/>
          <w:szCs w:val="28"/>
          <w:highlight w:val="none"/>
        </w:rPr>
      </w:pPr>
    </w:p>
    <w:p w14:paraId="13E93718">
      <w:pPr>
        <w:rPr>
          <w:rFonts w:hint="eastAsia" w:ascii="仿宋" w:hAnsi="仿宋" w:eastAsia="仿宋" w:cs="仿宋"/>
          <w:color w:val="auto"/>
          <w:kern w:val="0"/>
          <w:sz w:val="28"/>
          <w:szCs w:val="28"/>
          <w:highlight w:val="none"/>
        </w:rPr>
      </w:pPr>
    </w:p>
    <w:p w14:paraId="39B7E561">
      <w:pPr>
        <w:pStyle w:val="4"/>
        <w:rPr>
          <w:rFonts w:hint="eastAsia" w:ascii="仿宋" w:hAnsi="仿宋" w:eastAsia="仿宋" w:cs="仿宋"/>
          <w:color w:val="auto"/>
          <w:kern w:val="0"/>
          <w:sz w:val="28"/>
          <w:szCs w:val="28"/>
          <w:highlight w:val="none"/>
        </w:rPr>
      </w:pPr>
    </w:p>
    <w:p w14:paraId="3CE7AEF1">
      <w:pPr>
        <w:rPr>
          <w:rFonts w:hint="eastAsia"/>
          <w:highlight w:val="none"/>
        </w:rPr>
      </w:pPr>
    </w:p>
    <w:p w14:paraId="08BA705A">
      <w:pPr>
        <w:pStyle w:val="57"/>
        <w:rPr>
          <w:rFonts w:hint="eastAsia"/>
          <w:highlight w:val="none"/>
        </w:rPr>
      </w:pPr>
    </w:p>
    <w:p w14:paraId="41C9D26F">
      <w:pPr>
        <w:rPr>
          <w:rFonts w:hint="eastAsia" w:ascii="仿宋" w:hAnsi="仿宋" w:eastAsia="仿宋" w:cs="仿宋"/>
          <w:color w:val="auto"/>
          <w:kern w:val="0"/>
          <w:sz w:val="28"/>
          <w:szCs w:val="28"/>
          <w:highlight w:val="none"/>
        </w:rPr>
      </w:pPr>
    </w:p>
    <w:p w14:paraId="3D21FF8B">
      <w:pPr>
        <w:pStyle w:val="36"/>
        <w:rPr>
          <w:rFonts w:hint="eastAsia"/>
          <w:highlight w:val="none"/>
        </w:rPr>
      </w:pPr>
    </w:p>
    <w:p w14:paraId="5C2DC232">
      <w:pPr>
        <w:rPr>
          <w:rFonts w:hint="eastAsia" w:ascii="仿宋" w:hAnsi="仿宋" w:eastAsia="仿宋" w:cs="仿宋"/>
          <w:b/>
          <w:color w:val="auto"/>
          <w:sz w:val="36"/>
          <w:szCs w:val="36"/>
          <w:highlight w:val="none"/>
          <w:lang w:val="en-US" w:eastAsia="zh-CN"/>
        </w:rPr>
      </w:pPr>
      <w:bookmarkStart w:id="0" w:name="_Toc14876"/>
      <w:bookmarkStart w:id="1" w:name="_Toc19282"/>
      <w:bookmarkStart w:id="2" w:name="_Toc30491"/>
      <w:bookmarkStart w:id="3" w:name="_Toc15231"/>
      <w:bookmarkStart w:id="4" w:name="_Toc25035"/>
      <w:bookmarkStart w:id="5" w:name="_Toc15770"/>
      <w:bookmarkStart w:id="6" w:name="_Toc27002"/>
      <w:bookmarkStart w:id="7" w:name="_Toc1277"/>
      <w:bookmarkStart w:id="8" w:name="_Toc30559"/>
      <w:bookmarkStart w:id="9" w:name="_Toc5064"/>
      <w:r>
        <w:rPr>
          <w:rFonts w:hint="eastAsia" w:ascii="仿宋" w:hAnsi="仿宋" w:eastAsia="仿宋" w:cs="仿宋"/>
          <w:b/>
          <w:color w:val="auto"/>
          <w:sz w:val="36"/>
          <w:szCs w:val="36"/>
          <w:highlight w:val="none"/>
          <w:lang w:val="en-US" w:eastAsia="zh-CN"/>
        </w:rPr>
        <w:br w:type="page"/>
      </w:r>
    </w:p>
    <w:p w14:paraId="1F4E95F5">
      <w:pPr>
        <w:spacing w:line="360" w:lineRule="auto"/>
        <w:jc w:val="center"/>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val="en-US" w:eastAsia="zh-CN"/>
        </w:rPr>
        <w:t xml:space="preserve">第一部分  </w:t>
      </w:r>
      <w:r>
        <w:rPr>
          <w:rFonts w:hint="eastAsia" w:ascii="仿宋" w:hAnsi="仿宋" w:eastAsia="仿宋" w:cs="仿宋"/>
          <w:b/>
          <w:color w:val="auto"/>
          <w:sz w:val="36"/>
          <w:szCs w:val="36"/>
          <w:highlight w:val="none"/>
          <w:lang w:eastAsia="zh-CN"/>
        </w:rPr>
        <w:t>采购公告</w:t>
      </w:r>
    </w:p>
    <w:bookmarkEnd w:id="0"/>
    <w:p w14:paraId="0105AB44">
      <w:pPr>
        <w:spacing w:line="360" w:lineRule="auto"/>
        <w:jc w:val="center"/>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关于移动执法终端运维服务的项目竞争性磋商公告</w:t>
      </w:r>
    </w:p>
    <w:p w14:paraId="2EF47023">
      <w:pPr>
        <w:pBdr>
          <w:top w:val="single" w:color="auto" w:sz="4" w:space="1"/>
          <w:left w:val="single" w:color="auto" w:sz="4" w:space="4"/>
          <w:bottom w:val="single" w:color="auto" w:sz="4" w:space="0"/>
          <w:right w:val="single" w:color="auto" w:sz="4" w:space="4"/>
        </w:pBdr>
        <w:spacing w:line="240" w:lineRule="auto"/>
        <w:rPr>
          <w:rFonts w:hint="eastAsia" w:ascii="仿宋" w:hAnsi="仿宋" w:eastAsia="仿宋" w:cs="仿宋"/>
          <w:sz w:val="24"/>
        </w:rPr>
      </w:pPr>
      <w:r>
        <w:rPr>
          <w:rFonts w:hint="eastAsia" w:ascii="仿宋" w:hAnsi="仿宋" w:eastAsia="仿宋" w:cs="仿宋"/>
          <w:sz w:val="24"/>
        </w:rPr>
        <w:t>项目概况</w:t>
      </w:r>
    </w:p>
    <w:p w14:paraId="064B1E1C">
      <w:pPr>
        <w:pBdr>
          <w:top w:val="single" w:color="auto" w:sz="4" w:space="1"/>
          <w:left w:val="single" w:color="auto" w:sz="4" w:space="4"/>
          <w:bottom w:val="single" w:color="auto" w:sz="4" w:space="0"/>
          <w:right w:val="single" w:color="auto" w:sz="4" w:space="4"/>
        </w:pBdr>
        <w:spacing w:line="240" w:lineRule="auto"/>
        <w:ind w:firstLine="480" w:firstLineChars="200"/>
        <w:rPr>
          <w:rFonts w:hint="eastAsia" w:ascii="仿宋" w:hAnsi="仿宋" w:eastAsia="仿宋" w:cs="仿宋"/>
          <w:sz w:val="24"/>
        </w:rPr>
      </w:pPr>
      <w:r>
        <w:rPr>
          <w:rFonts w:hint="eastAsia" w:ascii="仿宋" w:hAnsi="仿宋" w:eastAsia="仿宋" w:cs="仿宋"/>
          <w:sz w:val="24"/>
          <w:u w:val="single"/>
          <w:lang w:eastAsia="zh-CN"/>
        </w:rPr>
        <w:t>关于移动执法终端运维服务的项目</w:t>
      </w:r>
      <w:r>
        <w:rPr>
          <w:rFonts w:hint="eastAsia" w:ascii="仿宋" w:hAnsi="仿宋" w:eastAsia="仿宋" w:cs="仿宋"/>
          <w:sz w:val="24"/>
          <w:u w:val="single"/>
        </w:rPr>
        <w:t>的潜在供应商应在新疆政府采购网（http://www.ccgp-xinjiang.gov.cn/）查阅本项目公告，并在该项目采购公告附件中获取采购文件，并于</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lang w:eastAsia="zh-CN"/>
        </w:rPr>
        <w:t>点00分（北京时间）</w:t>
      </w:r>
      <w:r>
        <w:rPr>
          <w:rFonts w:hint="eastAsia" w:ascii="仿宋" w:hAnsi="仿宋" w:eastAsia="仿宋" w:cs="仿宋"/>
          <w:sz w:val="24"/>
          <w:u w:val="single"/>
        </w:rPr>
        <w:t xml:space="preserve">前提交响应文件。 </w:t>
      </w:r>
      <w:r>
        <w:rPr>
          <w:rFonts w:hint="eastAsia" w:ascii="仿宋" w:hAnsi="仿宋" w:eastAsia="仿宋" w:cs="仿宋"/>
          <w:sz w:val="24"/>
        </w:rPr>
        <w:t> </w:t>
      </w:r>
    </w:p>
    <w:p w14:paraId="767A8EA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kern w:val="2"/>
          <w:sz w:val="24"/>
          <w:szCs w:val="24"/>
          <w:highlight w:val="none"/>
          <w:lang w:val="en-US" w:eastAsia="zh-CN"/>
        </w:rPr>
      </w:pPr>
    </w:p>
    <w:p w14:paraId="2532DCC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一、项目基本情况 </w:t>
      </w:r>
    </w:p>
    <w:p w14:paraId="6563F0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项目编号： XLZHTDQ2026年003-1号</w:t>
      </w:r>
    </w:p>
    <w:p w14:paraId="2BC2F1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 xml:space="preserve">项目名称：关于移动执法终端运维服务的项目   </w:t>
      </w:r>
    </w:p>
    <w:p w14:paraId="0902F1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采购方式：竞争性磋商 </w:t>
      </w:r>
    </w:p>
    <w:p w14:paraId="36A997A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预算金额：990000.00元</w:t>
      </w:r>
      <w:r>
        <w:rPr>
          <w:rFonts w:hint="eastAsia" w:ascii="仿宋" w:hAnsi="仿宋" w:eastAsia="仿宋" w:cs="仿宋"/>
          <w:color w:val="000000"/>
          <w:kern w:val="2"/>
          <w:sz w:val="24"/>
          <w:szCs w:val="24"/>
          <w:highlight w:val="none"/>
          <w:lang w:val="en-US" w:eastAsia="zh-CN"/>
        </w:rPr>
        <w:t>/</w:t>
      </w:r>
      <w:r>
        <w:rPr>
          <w:rFonts w:hint="eastAsia" w:ascii="仿宋" w:hAnsi="仿宋" w:eastAsia="仿宋" w:cs="仿宋"/>
          <w:color w:val="auto"/>
          <w:kern w:val="2"/>
          <w:sz w:val="24"/>
          <w:szCs w:val="24"/>
          <w:highlight w:val="none"/>
          <w:lang w:val="en-US" w:eastAsia="zh-CN"/>
        </w:rPr>
        <w:t>12个月</w:t>
      </w:r>
      <w:r>
        <w:rPr>
          <w:rFonts w:hint="eastAsia" w:ascii="仿宋" w:hAnsi="仿宋" w:eastAsia="仿宋" w:cs="仿宋"/>
          <w:kern w:val="2"/>
          <w:sz w:val="24"/>
          <w:szCs w:val="24"/>
          <w:highlight w:val="none"/>
          <w:lang w:val="en-US" w:eastAsia="zh-CN"/>
        </w:rPr>
        <w:t>（大写：玖拾玖万元整</w:t>
      </w:r>
      <w:r>
        <w:rPr>
          <w:rFonts w:hint="eastAsia" w:ascii="仿宋" w:hAnsi="仿宋" w:eastAsia="仿宋" w:cs="仿宋"/>
          <w:color w:val="auto"/>
          <w:kern w:val="2"/>
          <w:sz w:val="24"/>
          <w:szCs w:val="24"/>
          <w:highlight w:val="none"/>
          <w:lang w:val="en-US" w:eastAsia="zh-CN"/>
        </w:rPr>
        <w:t>十二个月</w:t>
      </w:r>
      <w:r>
        <w:rPr>
          <w:rFonts w:hint="eastAsia" w:ascii="仿宋" w:hAnsi="仿宋" w:eastAsia="仿宋" w:cs="仿宋"/>
          <w:kern w:val="2"/>
          <w:sz w:val="24"/>
          <w:szCs w:val="24"/>
          <w:highlight w:val="none"/>
          <w:lang w:val="en-US" w:eastAsia="zh-CN"/>
        </w:rPr>
        <w:t>）</w:t>
      </w:r>
    </w:p>
    <w:p w14:paraId="078CC9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最高限价：990000.00元</w:t>
      </w:r>
      <w:r>
        <w:rPr>
          <w:rFonts w:hint="eastAsia" w:ascii="仿宋" w:hAnsi="仿宋" w:eastAsia="仿宋" w:cs="仿宋"/>
          <w:color w:val="000000"/>
          <w:kern w:val="2"/>
          <w:sz w:val="24"/>
          <w:szCs w:val="24"/>
          <w:highlight w:val="none"/>
          <w:lang w:val="en-US" w:eastAsia="zh-CN"/>
        </w:rPr>
        <w:t>/</w:t>
      </w:r>
      <w:r>
        <w:rPr>
          <w:rFonts w:hint="eastAsia" w:ascii="仿宋" w:hAnsi="仿宋" w:eastAsia="仿宋" w:cs="仿宋"/>
          <w:color w:val="auto"/>
          <w:kern w:val="2"/>
          <w:sz w:val="24"/>
          <w:szCs w:val="24"/>
          <w:highlight w:val="none"/>
          <w:lang w:val="en-US" w:eastAsia="zh-CN"/>
        </w:rPr>
        <w:t>12个月</w:t>
      </w:r>
      <w:r>
        <w:rPr>
          <w:rFonts w:hint="eastAsia" w:ascii="仿宋" w:hAnsi="仿宋" w:eastAsia="仿宋" w:cs="仿宋"/>
          <w:kern w:val="2"/>
          <w:sz w:val="24"/>
          <w:szCs w:val="24"/>
          <w:highlight w:val="none"/>
          <w:lang w:val="en-US" w:eastAsia="zh-CN"/>
        </w:rPr>
        <w:t>（大写：玖拾玖万元整</w:t>
      </w:r>
      <w:r>
        <w:rPr>
          <w:rFonts w:hint="eastAsia" w:ascii="仿宋" w:hAnsi="仿宋" w:eastAsia="仿宋" w:cs="仿宋"/>
          <w:color w:val="auto"/>
          <w:kern w:val="2"/>
          <w:sz w:val="24"/>
          <w:szCs w:val="24"/>
          <w:highlight w:val="none"/>
          <w:lang w:val="en-US" w:eastAsia="zh-CN"/>
        </w:rPr>
        <w:t>十二个月</w:t>
      </w:r>
      <w:r>
        <w:rPr>
          <w:rFonts w:hint="eastAsia" w:ascii="仿宋" w:hAnsi="仿宋" w:eastAsia="仿宋" w:cs="仿宋"/>
          <w:kern w:val="2"/>
          <w:sz w:val="24"/>
          <w:szCs w:val="24"/>
          <w:highlight w:val="none"/>
          <w:lang w:val="en-US" w:eastAsia="zh-CN"/>
        </w:rPr>
        <w:t>）</w:t>
      </w:r>
    </w:p>
    <w:p w14:paraId="0A3709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kern w:val="2"/>
          <w:sz w:val="24"/>
          <w:szCs w:val="24"/>
          <w:highlight w:val="none"/>
          <w:lang w:val="en-US" w:eastAsia="zh-CN"/>
        </w:rPr>
        <w:t>采购移动执法终端运维服务（移动执法终端（共计400台）由供应商免费提供，合同期满后所有权归采购人所有）</w:t>
      </w:r>
      <w:r>
        <w:rPr>
          <w:rFonts w:hint="eastAsia" w:ascii="仿宋" w:hAnsi="仿宋" w:eastAsia="仿宋" w:cs="仿宋"/>
          <w:color w:val="auto"/>
          <w:kern w:val="2"/>
          <w:sz w:val="24"/>
          <w:szCs w:val="24"/>
          <w:highlight w:val="none"/>
          <w:lang w:val="en-US" w:eastAsia="zh-CN"/>
        </w:rPr>
        <w:t>（详见招标文件）。</w:t>
      </w:r>
    </w:p>
    <w:p w14:paraId="5BC2D7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合同履约期限：1.服务期36个月。（服务期根据乙方服务质量及双方履约情况确定，原则上不超过36个月）</w:t>
      </w:r>
    </w:p>
    <w:p w14:paraId="54BF62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2.交付期：自合同签订之日起30个日历日内交货并完成安装调试</w:t>
      </w:r>
    </w:p>
    <w:p w14:paraId="41418ACE">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62"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p w14:paraId="7B63EACC">
      <w:pPr>
        <w:keepNext w:val="0"/>
        <w:keepLines w:val="0"/>
        <w:pageBreakBefore w:val="0"/>
        <w:widowControl w:val="0"/>
        <w:kinsoku/>
        <w:wordWrap/>
        <w:overflowPunct/>
        <w:topLinePunct w:val="0"/>
        <w:autoSpaceDE/>
        <w:autoSpaceDN/>
        <w:bidi w:val="0"/>
        <w:adjustRightInd/>
        <w:snapToGrid w:val="0"/>
        <w:spacing w:line="240" w:lineRule="auto"/>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p>
    <w:p w14:paraId="67B785EB">
      <w:pPr>
        <w:pStyle w:val="22"/>
        <w:pageBreakBefore w:val="0"/>
        <w:kinsoku/>
        <w:wordWrap/>
        <w:overflowPunct/>
        <w:topLinePunct w:val="0"/>
        <w:bidi w:val="0"/>
        <w:spacing w:line="332"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1.满足《中华人民共和国政府采购法》第二十二条规定；</w:t>
      </w:r>
    </w:p>
    <w:p w14:paraId="3DFB14C2">
      <w:pPr>
        <w:pStyle w:val="22"/>
        <w:pageBreakBefore w:val="0"/>
        <w:kinsoku/>
        <w:wordWrap/>
        <w:overflowPunct/>
        <w:topLinePunct w:val="0"/>
        <w:bidi w:val="0"/>
        <w:spacing w:line="332"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2.落实政府采购政策需满足的资格要求：</w:t>
      </w:r>
    </w:p>
    <w:p w14:paraId="06BA26BE">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 中小企业政策</w:t>
      </w:r>
    </w:p>
    <w:p w14:paraId="45AC69E9">
      <w:pPr>
        <w:pStyle w:val="22"/>
        <w:pageBreakBefore w:val="0"/>
        <w:kinsoku/>
        <w:wordWrap/>
        <w:overflowPunct/>
        <w:topLinePunct w:val="0"/>
        <w:bidi w:val="0"/>
        <w:spacing w:line="24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b/>
          <w:bCs/>
          <w:color w:val="auto"/>
          <w:sz w:val="24"/>
          <w:szCs w:val="24"/>
          <w:highlight w:val="none"/>
          <w:lang w:val="en-US" w:eastAsia="zh-CN"/>
        </w:rPr>
        <w:t>不专门</w:t>
      </w:r>
      <w:r>
        <w:rPr>
          <w:rFonts w:hint="eastAsia" w:ascii="仿宋" w:hAnsi="仿宋" w:eastAsia="仿宋" w:cs="仿宋"/>
          <w:color w:val="auto"/>
          <w:sz w:val="24"/>
          <w:szCs w:val="24"/>
          <w:highlight w:val="none"/>
          <w:lang w:val="en-US" w:eastAsia="zh-CN"/>
        </w:rPr>
        <w:t>面向中小企业（含中型、小型、微型企业）采购项目，根据《政府采购促进中小企业发展管理办法》（财库[2020]46 号）的规定，评标时将给予符合规定的小微企业进行价格10%的优惠，用优惠后的价格参与评审。</w:t>
      </w:r>
    </w:p>
    <w:p w14:paraId="283CC4F0">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经年审合格（三证合一）的营业执照或（统一社会信用代码证书）；</w:t>
      </w:r>
    </w:p>
    <w:p w14:paraId="450154F9">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法定代表人开标应附《法定代表人身份证明书》及身份证复印件，委托代理人开标应附《法定代表人授权委托书》及身份证复印件</w:t>
      </w:r>
    </w:p>
    <w:p w14:paraId="5A406544">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良好的商业信誉和健全的财务会计制度：提供最新年度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w:t>
      </w:r>
    </w:p>
    <w:p w14:paraId="5DFCE69E">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有依法缴纳税收和社会保障资金的良好记录：提供投标截止日前近 3 个月的社保证明材料（社保缴费明细表及缴费凭证），如依法不需要缴纳社会保障资金的，应提供相应文件证明（新成立不满 3 个月的企业，按实际发生的提供）；提供投标截止日前近3个月的缴纳税收的完税证明或税务部门出具的纳税证明（或提供无欠税证明）；如依法免税的，应提供相应文件证明（新成立不满 3个月的企业，按实际发生的提供；</w:t>
      </w:r>
    </w:p>
    <w:p w14:paraId="2D9E48F5">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p w14:paraId="75F72DAC">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企业负责人为同一人或者存在直接控股、管理关系的不同投标人，不得参加同一合同项下的政府采购活动。否则，皆取消投标资格；</w:t>
      </w:r>
    </w:p>
    <w:p w14:paraId="642ECBB1">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参加政府采购活动前三年内，在经营活动中没有重大违法记录的书面声明；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w:t>
      </w:r>
    </w:p>
    <w:p w14:paraId="477D8CA7">
      <w:pPr>
        <w:pStyle w:val="22"/>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p w14:paraId="65DBFFBA">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62" w:rightChars="0"/>
        <w:textAlignment w:val="auto"/>
        <w:rPr>
          <w:rFonts w:hint="eastAsia" w:ascii="仿宋" w:hAnsi="仿宋" w:eastAsia="仿宋" w:cs="仿宋"/>
          <w:color w:val="auto"/>
          <w:lang w:val="en-US" w:eastAsia="zh-CN"/>
        </w:rPr>
      </w:pPr>
      <w:r>
        <w:rPr>
          <w:rFonts w:hint="eastAsia" w:ascii="仿宋" w:hAnsi="仿宋" w:eastAsia="仿宋" w:cs="仿宋"/>
          <w:b/>
          <w:bCs/>
          <w:i w:val="0"/>
          <w:iCs w:val="0"/>
          <w:caps w:val="0"/>
          <w:color w:val="auto"/>
          <w:spacing w:val="0"/>
          <w:sz w:val="24"/>
          <w:szCs w:val="24"/>
          <w:lang w:val="en-US" w:eastAsia="zh-CN"/>
        </w:rPr>
        <w:t>3</w:t>
      </w:r>
      <w:r>
        <w:rPr>
          <w:rFonts w:hint="eastAsia" w:ascii="仿宋" w:hAnsi="仿宋" w:eastAsia="仿宋" w:cs="仿宋"/>
          <w:b/>
          <w:bCs/>
          <w:i w:val="0"/>
          <w:iCs w:val="0"/>
          <w:caps w:val="0"/>
          <w:color w:val="auto"/>
          <w:spacing w:val="0"/>
          <w:sz w:val="24"/>
          <w:szCs w:val="24"/>
        </w:rPr>
        <w:t>.本项目的特定资格要求</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无</w:t>
      </w:r>
      <w:r>
        <w:rPr>
          <w:rFonts w:hint="eastAsia" w:ascii="仿宋" w:hAnsi="仿宋" w:eastAsia="仿宋" w:cs="仿宋"/>
          <w:color w:val="auto"/>
          <w:sz w:val="24"/>
          <w:szCs w:val="24"/>
          <w:highlight w:val="none"/>
          <w:lang w:val="en-US" w:eastAsia="zh-CN"/>
        </w:rPr>
        <w:t>；</w:t>
      </w:r>
    </w:p>
    <w:p w14:paraId="1767C739">
      <w:pPr>
        <w:keepNext w:val="0"/>
        <w:keepLines w:val="0"/>
        <w:pageBreakBefore w:val="0"/>
        <w:widowControl w:val="0"/>
        <w:kinsoku/>
        <w:wordWrap/>
        <w:overflowPunct/>
        <w:topLinePunct w:val="0"/>
        <w:autoSpaceDE/>
        <w:autoSpaceDN/>
        <w:bidi w:val="0"/>
        <w:adjustRightInd/>
        <w:snapToGrid w:val="0"/>
        <w:spacing w:line="240" w:lineRule="auto"/>
        <w:ind w:firstLine="241" w:firstLineChars="1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三、获取采购文件</w:t>
      </w:r>
    </w:p>
    <w:p w14:paraId="4DA1CA0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仿宋" w:hAnsi="仿宋" w:eastAsia="仿宋" w:cs="仿宋"/>
          <w:color w:val="auto"/>
          <w:sz w:val="24"/>
          <w:szCs w:val="24"/>
          <w:highlight w:val="none"/>
          <w:lang w:val="en-US" w:eastAsia="zh-CN"/>
        </w:rPr>
      </w:pPr>
      <w:bookmarkStart w:id="10" w:name="_Toc35393801"/>
      <w:bookmarkStart w:id="11" w:name="_Toc35393632"/>
      <w:bookmarkStart w:id="12" w:name="_Toc22996"/>
      <w:bookmarkStart w:id="13" w:name="_Toc28359015"/>
      <w:bookmarkStart w:id="14" w:name="_Toc7922"/>
      <w:bookmarkStart w:id="15" w:name="_Toc28359092"/>
      <w:r>
        <w:rPr>
          <w:rFonts w:hint="eastAsia" w:ascii="仿宋" w:hAnsi="仿宋" w:eastAsia="仿宋" w:cs="仿宋"/>
          <w:sz w:val="24"/>
          <w:szCs w:val="24"/>
          <w:highlight w:val="none"/>
          <w:lang w:val="en-US" w:eastAsia="zh-CN"/>
        </w:rPr>
        <w:t>时间：2026年05月16日至2026年05月25日</w:t>
      </w:r>
      <w:r>
        <w:rPr>
          <w:rFonts w:hint="eastAsia" w:ascii="仿宋" w:hAnsi="仿宋" w:eastAsia="仿宋" w:cs="仿宋"/>
          <w:color w:val="auto"/>
          <w:sz w:val="24"/>
          <w:szCs w:val="24"/>
          <w:highlight w:val="none"/>
          <w:lang w:val="en-US" w:eastAsia="zh-CN"/>
        </w:rPr>
        <w:t>，每天上午00:00至16:00，下午16:00至23:59（北京时间，法定节假日除外）</w:t>
      </w:r>
    </w:p>
    <w:p w14:paraId="52B43A9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地点：供应商登陆政采云平台https://www.zcygov.cn/在线申请获取采购文件；</w:t>
      </w:r>
    </w:p>
    <w:p w14:paraId="5914B65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方式：供应商登录政采云平台https://www.zcygov.cn/在线申请获取采购文件（进入“项目采购”应用，在获取采购文件菜单中选择项目，申请获取采购文件）；</w:t>
      </w:r>
    </w:p>
    <w:p w14:paraId="3FF90C9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售价：0元</w:t>
      </w:r>
    </w:p>
    <w:p w14:paraId="13DA7259">
      <w:pPr>
        <w:keepNext w:val="0"/>
        <w:keepLines w:val="0"/>
        <w:pageBreakBefore w:val="0"/>
        <w:widowControl w:val="0"/>
        <w:kinsoku/>
        <w:wordWrap/>
        <w:overflowPunct/>
        <w:topLinePunct w:val="0"/>
        <w:autoSpaceDE/>
        <w:autoSpaceDN/>
        <w:bidi w:val="0"/>
        <w:adjustRightInd/>
        <w:snapToGrid w:val="0"/>
        <w:spacing w:line="240" w:lineRule="auto"/>
        <w:ind w:firstLine="241"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w:t>
      </w:r>
      <w:bookmarkEnd w:id="10"/>
      <w:bookmarkEnd w:id="11"/>
      <w:bookmarkEnd w:id="12"/>
      <w:bookmarkEnd w:id="13"/>
      <w:bookmarkEnd w:id="14"/>
      <w:bookmarkEnd w:id="15"/>
      <w:r>
        <w:rPr>
          <w:rFonts w:hint="eastAsia" w:ascii="仿宋" w:hAnsi="仿宋" w:eastAsia="仿宋" w:cs="仿宋"/>
          <w:b/>
          <w:bCs/>
          <w:color w:val="auto"/>
          <w:sz w:val="24"/>
          <w:szCs w:val="24"/>
          <w:highlight w:val="none"/>
          <w:lang w:val="en-US" w:eastAsia="zh-CN"/>
        </w:rPr>
        <w:t>提交投标文件截止时间、开标时间和地点</w:t>
      </w:r>
    </w:p>
    <w:p w14:paraId="194D0DE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sz w:val="24"/>
          <w:szCs w:val="24"/>
          <w:highlight w:val="none"/>
          <w:lang w:val="en-US" w:eastAsia="zh-CN"/>
        </w:rPr>
      </w:pPr>
      <w:bookmarkStart w:id="16" w:name="_Toc15664"/>
      <w:bookmarkStart w:id="17" w:name="_Toc135"/>
      <w:bookmarkStart w:id="18" w:name="_Toc28359017"/>
      <w:bookmarkStart w:id="19" w:name="_Toc35393634"/>
      <w:bookmarkStart w:id="20" w:name="_Toc28359094"/>
      <w:bookmarkStart w:id="21" w:name="_Toc35393803"/>
      <w:r>
        <w:rPr>
          <w:rFonts w:hint="eastAsia" w:ascii="仿宋" w:hAnsi="仿宋" w:eastAsia="仿宋" w:cs="仿宋"/>
          <w:b w:val="0"/>
          <w:bCs w:val="0"/>
          <w:color w:val="auto"/>
          <w:sz w:val="24"/>
          <w:szCs w:val="24"/>
          <w:highlight w:val="none"/>
          <w:lang w:val="en-US" w:eastAsia="zh-CN"/>
        </w:rPr>
        <w:t>1.提交投标文件截止时间：</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val="0"/>
          <w:bCs w:val="0"/>
          <w:color w:val="auto"/>
          <w:sz w:val="24"/>
          <w:szCs w:val="24"/>
          <w:highlight w:val="none"/>
          <w:lang w:val="en-US" w:eastAsia="zh-CN"/>
        </w:rPr>
        <w:t>11点00分（北京时间）</w:t>
      </w:r>
    </w:p>
    <w:p w14:paraId="6F099C0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2.投标地点：新疆政府采购网政采云平台（www.zcygov.cn）</w:t>
      </w:r>
    </w:p>
    <w:p w14:paraId="122040B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3.开标时间</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val="0"/>
          <w:bCs w:val="0"/>
          <w:color w:val="auto"/>
          <w:sz w:val="24"/>
          <w:szCs w:val="24"/>
          <w:highlight w:val="none"/>
          <w:lang w:val="en-US" w:eastAsia="zh-CN"/>
        </w:rPr>
        <w:t>11点00分（北京时间）</w:t>
      </w:r>
    </w:p>
    <w:p w14:paraId="364C1F63">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4.开标地点：和田地区公共资源交易中心 </w:t>
      </w:r>
    </w:p>
    <w:p w14:paraId="727B2233">
      <w:pPr>
        <w:keepNext w:val="0"/>
        <w:keepLines w:val="0"/>
        <w:pageBreakBefore w:val="0"/>
        <w:widowControl w:val="0"/>
        <w:kinsoku/>
        <w:wordWrap/>
        <w:overflowPunct/>
        <w:topLinePunct w:val="0"/>
        <w:autoSpaceDE/>
        <w:autoSpaceDN/>
        <w:bidi w:val="0"/>
        <w:adjustRightInd/>
        <w:snapToGrid w:val="0"/>
        <w:spacing w:line="240" w:lineRule="auto"/>
        <w:ind w:firstLine="241" w:firstLineChars="1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、公告期限</w:t>
      </w:r>
      <w:bookmarkEnd w:id="16"/>
      <w:bookmarkEnd w:id="17"/>
      <w:bookmarkEnd w:id="18"/>
      <w:bookmarkEnd w:id="19"/>
      <w:bookmarkEnd w:id="20"/>
      <w:bookmarkEnd w:id="21"/>
    </w:p>
    <w:p w14:paraId="0607475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w:t>
      </w:r>
    </w:p>
    <w:p w14:paraId="354236BB">
      <w:pPr>
        <w:keepNext w:val="0"/>
        <w:keepLines w:val="0"/>
        <w:pageBreakBefore w:val="0"/>
        <w:widowControl w:val="0"/>
        <w:kinsoku/>
        <w:wordWrap/>
        <w:overflowPunct/>
        <w:topLinePunct w:val="0"/>
        <w:autoSpaceDE/>
        <w:autoSpaceDN/>
        <w:bidi w:val="0"/>
        <w:adjustRightInd/>
        <w:snapToGrid w:val="0"/>
        <w:spacing w:line="240" w:lineRule="auto"/>
        <w:ind w:firstLine="241" w:firstLineChars="100"/>
        <w:textAlignment w:val="auto"/>
        <w:rPr>
          <w:rFonts w:hint="eastAsia" w:ascii="仿宋" w:hAnsi="仿宋" w:eastAsia="仿宋" w:cs="仿宋"/>
          <w:b/>
          <w:bCs/>
          <w:sz w:val="24"/>
          <w:szCs w:val="24"/>
          <w:highlight w:val="none"/>
          <w:lang w:val="en-US" w:eastAsia="zh-CN"/>
        </w:rPr>
      </w:pPr>
      <w:bookmarkStart w:id="22" w:name="_Toc35393804"/>
      <w:bookmarkStart w:id="23" w:name="_Toc35393635"/>
      <w:bookmarkStart w:id="24" w:name="_Toc25927"/>
      <w:bookmarkStart w:id="25" w:name="_Toc23752"/>
      <w:r>
        <w:rPr>
          <w:rFonts w:hint="eastAsia" w:ascii="仿宋" w:hAnsi="仿宋" w:eastAsia="仿宋" w:cs="仿宋"/>
          <w:b/>
          <w:bCs/>
          <w:sz w:val="24"/>
          <w:szCs w:val="24"/>
          <w:highlight w:val="none"/>
          <w:lang w:val="en-US" w:eastAsia="zh-CN"/>
        </w:rPr>
        <w:t>六、其他补充事宜</w:t>
      </w:r>
      <w:bookmarkEnd w:id="22"/>
      <w:bookmarkEnd w:id="23"/>
      <w:r>
        <w:rPr>
          <w:rFonts w:hint="eastAsia" w:ascii="仿宋" w:hAnsi="仿宋" w:eastAsia="仿宋" w:cs="仿宋"/>
          <w:b/>
          <w:bCs/>
          <w:sz w:val="24"/>
          <w:szCs w:val="24"/>
          <w:highlight w:val="none"/>
          <w:lang w:val="en-US" w:eastAsia="zh-CN"/>
        </w:rPr>
        <w:t>：</w:t>
      </w:r>
      <w:bookmarkEnd w:id="24"/>
      <w:bookmarkEnd w:id="25"/>
    </w:p>
    <w:p w14:paraId="55411B8F">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仿宋" w:hAnsi="仿宋" w:eastAsia="仿宋" w:cs="仿宋"/>
          <w:b/>
          <w:bCs/>
          <w:i w:val="0"/>
          <w:iCs w:val="0"/>
          <w:caps w:val="0"/>
          <w:color w:val="auto"/>
          <w:spacing w:val="0"/>
          <w:kern w:val="0"/>
          <w:sz w:val="24"/>
          <w:szCs w:val="24"/>
          <w:highlight w:val="none"/>
          <w:lang w:val="en-US" w:eastAsia="zh-CN" w:bidi="ar"/>
        </w:rPr>
      </w:pPr>
      <w:bookmarkStart w:id="26" w:name="_Toc2426"/>
      <w:bookmarkStart w:id="27" w:name="_Toc32428"/>
      <w:bookmarkStart w:id="28" w:name="_Toc1504"/>
      <w:bookmarkStart w:id="29" w:name="_Toc1455"/>
      <w:bookmarkStart w:id="30" w:name="_Toc35393805"/>
      <w:bookmarkStart w:id="31" w:name="_Toc35393636"/>
      <w:bookmarkStart w:id="32" w:name="_Toc28359095"/>
      <w:bookmarkStart w:id="33" w:name="_Toc28359018"/>
      <w:bookmarkStart w:id="34" w:name="_Toc20454"/>
      <w:r>
        <w:rPr>
          <w:rFonts w:hint="eastAsia" w:ascii="仿宋" w:hAnsi="仿宋" w:eastAsia="仿宋" w:cs="仿宋"/>
          <w:b/>
          <w:bCs/>
          <w:i w:val="0"/>
          <w:iCs w:val="0"/>
          <w:caps w:val="0"/>
          <w:color w:val="auto"/>
          <w:spacing w:val="0"/>
          <w:kern w:val="0"/>
          <w:sz w:val="24"/>
          <w:szCs w:val="24"/>
          <w:highlight w:val="none"/>
          <w:lang w:val="en-US" w:eastAsia="zh-CN" w:bidi="ar"/>
        </w:rPr>
        <w:t>六、其他补充事宜</w:t>
      </w:r>
      <w:bookmarkEnd w:id="26"/>
      <w:bookmarkEnd w:id="27"/>
      <w:bookmarkEnd w:id="28"/>
    </w:p>
    <w:p w14:paraId="099540F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1.本项目实行网上投标，采用电子投标文件。若供应商参与投标，自行承担投标一切费用；</w:t>
      </w:r>
    </w:p>
    <w:p w14:paraId="4CE44EB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834EDC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8C7574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4.供应商在开标时须使用制作加密电子投标文件所使用的CA锁及电脑，电脑须提前配置好浏览器（使用谷歌浏览器），并确保开标期间电脑网络环境畅通，以便开标时解锁；</w:t>
      </w:r>
    </w:p>
    <w:p w14:paraId="3D6492B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5.为了保证开评标顺利进行，政采云线上开标功能完全实现，供应商开标所使用的电脑设备须具有视频及语音功能</w:t>
      </w:r>
      <w:r>
        <w:rPr>
          <w:rFonts w:hint="eastAsia" w:ascii="仿宋" w:hAnsi="仿宋" w:eastAsia="仿宋" w:cs="仿宋"/>
          <w:color w:val="auto"/>
          <w:kern w:val="2"/>
          <w:sz w:val="24"/>
          <w:szCs w:val="24"/>
          <w:highlight w:val="none"/>
          <w:lang w:val="en-US" w:eastAsia="zh-CN" w:bidi="ar-SA"/>
        </w:rPr>
        <w:t>。</w:t>
      </w:r>
    </w:p>
    <w:p w14:paraId="4F873C61">
      <w:pPr>
        <w:pStyle w:val="14"/>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本项目为不专门面向中小企业（含中型、小型、微型企业）采购项目，根据《政府采购促进中小企业发展暂行办法》（财库〔2020〕46号）的规定（200万元以下的货物、服务采购项目）原则上全部预留给中小企业。</w:t>
      </w:r>
      <w:r>
        <w:rPr>
          <w:rFonts w:hint="eastAsia" w:ascii="仿宋" w:hAnsi="仿宋" w:eastAsia="仿宋" w:cs="仿宋"/>
          <w:b/>
          <w:bCs/>
          <w:color w:val="auto"/>
          <w:kern w:val="2"/>
          <w:sz w:val="24"/>
          <w:szCs w:val="24"/>
          <w:highlight w:val="none"/>
          <w:lang w:val="en-US" w:eastAsia="zh-CN" w:bidi="ar-SA"/>
        </w:rPr>
        <w:t>本项目所属行业为：信息传输业。</w:t>
      </w:r>
      <w:r>
        <w:rPr>
          <w:rFonts w:hint="eastAsia" w:ascii="仿宋" w:hAnsi="仿宋" w:eastAsia="仿宋" w:cs="仿宋"/>
          <w:color w:val="auto"/>
          <w:kern w:val="2"/>
          <w:sz w:val="24"/>
          <w:szCs w:val="24"/>
          <w:highlight w:val="none"/>
          <w:lang w:val="en-US" w:eastAsia="zh-CN" w:bidi="ar-SA"/>
        </w:rPr>
        <w:t>（残疾人福利性单位视同小微企业）。</w:t>
      </w:r>
    </w:p>
    <w:p w14:paraId="33EFC0C7">
      <w:pPr>
        <w:pStyle w:val="14"/>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（残疾人福利性单位视同小微企业）。中小企业以供应商填写的《中小企业声明函》（见投标文件格式）为判定标准，否则不予认定。</w:t>
      </w:r>
    </w:p>
    <w:p w14:paraId="0C05B8A8">
      <w:pPr>
        <w:pStyle w:val="14"/>
        <w:spacing w:line="240" w:lineRule="auto"/>
        <w:rPr>
          <w:rFonts w:hint="eastAsia" w:ascii="仿宋" w:hAnsi="仿宋" w:eastAsia="仿宋" w:cs="仿宋"/>
          <w:color w:val="auto"/>
          <w:lang w:val="en-US" w:eastAsia="zh-CN"/>
        </w:rPr>
      </w:pPr>
      <w:r>
        <w:rPr>
          <w:rFonts w:hint="eastAsia" w:ascii="仿宋" w:hAnsi="仿宋" w:eastAsia="仿宋" w:cs="仿宋"/>
          <w:color w:val="auto"/>
          <w:kern w:val="2"/>
          <w:sz w:val="24"/>
          <w:szCs w:val="24"/>
          <w:highlight w:val="none"/>
          <w:lang w:val="en-US" w:eastAsia="zh-CN" w:bidi="ar-SA"/>
        </w:rPr>
        <w:t>中小企业以供应商填写的《中小企业声明函》（见投标文件格式）为判定标准，否则不予认定。</w:t>
      </w:r>
    </w:p>
    <w:p w14:paraId="7FCD0EDB">
      <w:pPr>
        <w:pStyle w:val="45"/>
        <w:keepNext w:val="0"/>
        <w:keepLines w:val="0"/>
        <w:pageBreakBefore w:val="0"/>
        <w:widowControl w:val="0"/>
        <w:numPr>
          <w:ilvl w:val="0"/>
          <w:numId w:val="0"/>
        </w:numPr>
        <w:kinsoku/>
        <w:wordWrap/>
        <w:overflowPunct/>
        <w:topLinePunct w:val="0"/>
        <w:autoSpaceDE/>
        <w:autoSpaceDN/>
        <w:bidi w:val="0"/>
        <w:adjustRightInd/>
        <w:spacing w:line="240" w:lineRule="auto"/>
        <w:ind w:firstLine="241" w:firstLineChars="100"/>
        <w:textAlignment w:val="auto"/>
        <w:rPr>
          <w:rFonts w:hint="eastAsia" w:ascii="仿宋" w:hAnsi="仿宋" w:eastAsia="仿宋" w:cs="仿宋"/>
          <w:color w:val="auto"/>
          <w:spacing w:val="0"/>
          <w:kern w:val="0"/>
          <w:sz w:val="24"/>
          <w:szCs w:val="24"/>
          <w:highlight w:val="none"/>
          <w:lang w:val="en-US" w:eastAsia="zh-CN" w:bidi="ar-SA"/>
        </w:rPr>
      </w:pPr>
      <w:r>
        <w:rPr>
          <w:rFonts w:hint="eastAsia" w:ascii="仿宋" w:hAnsi="仿宋" w:eastAsia="仿宋" w:cs="仿宋"/>
          <w:b/>
          <w:bCs/>
          <w:color w:val="auto"/>
          <w:spacing w:val="0"/>
          <w:kern w:val="0"/>
          <w:sz w:val="24"/>
          <w:szCs w:val="24"/>
          <w:highlight w:val="none"/>
          <w:lang w:val="en-US" w:eastAsia="zh-CN" w:bidi="ar-SA"/>
        </w:rPr>
        <w:t>特别提示：</w:t>
      </w:r>
    </w:p>
    <w:p w14:paraId="79492F34">
      <w:pPr>
        <w:pStyle w:val="14"/>
        <w:spacing w:line="24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2A6D5C25">
      <w:pPr>
        <w:pStyle w:val="14"/>
        <w:spacing w:line="24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2、超过200万元的货物和服务采购项目，预留该部分采购项目预算总额的30%以上专门面向中小企业采购，其中预留给小微企业的比例不低于60%。</w:t>
      </w:r>
    </w:p>
    <w:p w14:paraId="43E17DFF">
      <w:pPr>
        <w:pStyle w:val="14"/>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D2DB215">
      <w:pPr>
        <w:pStyle w:val="14"/>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995597F">
      <w:pPr>
        <w:pStyle w:val="14"/>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88ABCE5">
      <w:pPr>
        <w:keepNext w:val="0"/>
        <w:keepLines w:val="0"/>
        <w:pageBreakBefore w:val="0"/>
        <w:widowControl w:val="0"/>
        <w:kinsoku/>
        <w:wordWrap/>
        <w:overflowPunct/>
        <w:topLinePunct w:val="0"/>
        <w:autoSpaceDE/>
        <w:autoSpaceDN/>
        <w:bidi w:val="0"/>
        <w:adjustRightInd/>
        <w:snapToGrid w:val="0"/>
        <w:spacing w:line="240" w:lineRule="auto"/>
        <w:ind w:firstLine="241" w:firstLineChars="1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七、凡对本次采购提出询问，请按以下方式联系。</w:t>
      </w:r>
      <w:bookmarkEnd w:id="29"/>
      <w:bookmarkEnd w:id="30"/>
      <w:bookmarkEnd w:id="31"/>
      <w:bookmarkEnd w:id="32"/>
      <w:bookmarkEnd w:id="33"/>
      <w:bookmarkEnd w:id="34"/>
    </w:p>
    <w:p w14:paraId="54D14D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1.采购人信息</w:t>
      </w:r>
    </w:p>
    <w:p w14:paraId="360F61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    称：新疆维吾尔自治区和田某某单位</w:t>
      </w:r>
    </w:p>
    <w:p w14:paraId="1CB1D4D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w:t>
      </w:r>
      <w:r>
        <w:rPr>
          <w:rFonts w:hint="eastAsia" w:ascii="仿宋" w:hAnsi="仿宋" w:eastAsia="仿宋" w:cs="仿宋"/>
          <w:i w:val="0"/>
          <w:iCs w:val="0"/>
          <w:caps w:val="0"/>
          <w:color w:val="auto"/>
          <w:spacing w:val="0"/>
          <w:kern w:val="0"/>
          <w:sz w:val="24"/>
          <w:szCs w:val="24"/>
          <w:highlight w:val="none"/>
          <w:lang w:val="en-US" w:eastAsia="zh-CN" w:bidi="ar"/>
        </w:rPr>
        <w:t>和田地区和田市乌鲁木齐北路200 号</w:t>
      </w:r>
    </w:p>
    <w:p w14:paraId="482F3CF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人：元先生</w:t>
      </w:r>
    </w:p>
    <w:p w14:paraId="651134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话：0903-2523819</w:t>
      </w:r>
    </w:p>
    <w:p w14:paraId="7C0279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2.采购代理机构信息</w:t>
      </w:r>
    </w:p>
    <w:p w14:paraId="16BDA0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    称：新疆兴立众工程咨询有限责任公司　</w:t>
      </w:r>
    </w:p>
    <w:p w14:paraId="348F6D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址：和田市川亿凯旋公馆B区19号楼1105室</w:t>
      </w:r>
    </w:p>
    <w:p w14:paraId="1861EE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联系方式：0903-2517892 </w:t>
      </w:r>
    </w:p>
    <w:p w14:paraId="26D1B4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3.项目联系方式</w:t>
      </w:r>
    </w:p>
    <w:p w14:paraId="6AF274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项目联系人：李攀东</w:t>
      </w:r>
    </w:p>
    <w:p w14:paraId="76EBE289">
      <w:pPr>
        <w:pStyle w:val="36"/>
        <w:spacing w:line="360" w:lineRule="auto"/>
        <w:ind w:firstLine="480" w:firstLineChars="200"/>
      </w:pPr>
      <w:r>
        <w:rPr>
          <w:rFonts w:hint="eastAsia" w:ascii="仿宋" w:hAnsi="仿宋" w:eastAsia="仿宋" w:cs="仿宋"/>
          <w:sz w:val="24"/>
          <w:szCs w:val="24"/>
          <w:highlight w:val="none"/>
          <w:lang w:val="en-US" w:eastAsia="zh-CN"/>
        </w:rPr>
        <w:t xml:space="preserve">电　　  话：0903-2517892 </w:t>
      </w:r>
    </w:p>
    <w:p w14:paraId="097B6F3C">
      <w:pPr>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br w:type="page"/>
      </w:r>
    </w:p>
    <w:p w14:paraId="55954F41">
      <w:pPr>
        <w:pStyle w:val="155"/>
        <w:pageBreakBefore w:val="0"/>
        <w:kinsoku/>
        <w:wordWrap/>
        <w:topLinePunct w:val="0"/>
        <w:bidi w:val="0"/>
        <w:spacing w:line="360" w:lineRule="auto"/>
        <w:ind w:firstLine="0"/>
        <w:jc w:val="left"/>
        <w:outlineLvl w:val="9"/>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特别提醒：</w:t>
      </w:r>
    </w:p>
    <w:p w14:paraId="03012DFF">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i w:val="0"/>
          <w:iCs w:val="0"/>
          <w:caps w:val="0"/>
          <w:color w:val="000000"/>
          <w:spacing w:val="0"/>
          <w:kern w:val="0"/>
          <w:sz w:val="24"/>
          <w:szCs w:val="24"/>
          <w:highlight w:val="none"/>
          <w:lang w:val="en-US" w:eastAsia="zh-CN" w:bidi="ar"/>
        </w:rPr>
        <w:t>11点00分（北京时间）前到账，超过时间则不予认可。投标单位须在汇款单备注栏标明：XXX项目XXX包段（标段）或采购项目编号。该项目不换取保证金收据，开标现场查询保证金缴纳情况。晚于规定时间缴纳保证金的企业一切责任将由贵公司自行承担。</w:t>
      </w:r>
    </w:p>
    <w:p w14:paraId="25AEDD37">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2、投标企业下载竞争性磋商文件后请仔细阅读，如对竞争性磋商文件内容有质疑，投标人应在投标截止7日前按竞争性磋商文件中载明的邮箱：3454697089@qq.com，以书面形式通知招标人。招标人认为必要时，将（澄清）修改后的公告发布在新疆政府采购网，敬请投标企业及时关注。在规定期限内投标企业未提出质疑的视为投标企业默认竞争性磋商文件不存在质疑的相关问题。超过竞争性磋商文件质疑时间将不再接受投标企业所提出的质疑。</w:t>
      </w:r>
    </w:p>
    <w:p w14:paraId="0BB5574F">
      <w:pPr>
        <w:spacing w:line="360" w:lineRule="auto"/>
        <w:jc w:val="left"/>
        <w:rPr>
          <w:rFonts w:hint="eastAsia"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新疆兴立众工程咨询有限责任公司和田分公司（或将上述文件扫描成PDF版发送至3454697089@qq.com）。（注：废标项目投保证金在后续项目再次招标时银行系统不做统计，请投标企业及时办理退款），中标企业签订政府采购合同后，携带合同原件一份及以上资料办理退投标保证金事宜。</w:t>
      </w:r>
    </w:p>
    <w:p w14:paraId="44FB71A3">
      <w:pPr>
        <w:spacing w:line="360" w:lineRule="auto"/>
        <w:jc w:val="left"/>
        <w:rPr>
          <w:rFonts w:hint="default" w:ascii="仿宋" w:hAnsi="仿宋" w:eastAsia="仿宋" w:cs="仿宋"/>
          <w:b/>
          <w:bCs/>
          <w:i w:val="0"/>
          <w:iCs w:val="0"/>
          <w:caps w:val="0"/>
          <w:color w:val="000000"/>
          <w:spacing w:val="0"/>
          <w:kern w:val="0"/>
          <w:sz w:val="24"/>
          <w:szCs w:val="24"/>
          <w:highlight w:val="none"/>
          <w:lang w:val="en-US" w:eastAsia="zh-CN" w:bidi="ar"/>
        </w:rPr>
      </w:pPr>
      <w:r>
        <w:rPr>
          <w:rFonts w:hint="eastAsia" w:ascii="仿宋" w:hAnsi="仿宋" w:eastAsia="仿宋" w:cs="仿宋"/>
          <w:b/>
          <w:bCs/>
          <w:i w:val="0"/>
          <w:iCs w:val="0"/>
          <w:caps w:val="0"/>
          <w:color w:val="000000"/>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08AE3534">
      <w:pPr>
        <w:pStyle w:val="57"/>
        <w:rPr>
          <w:rFonts w:hint="eastAsia"/>
          <w:highlight w:val="none"/>
          <w:lang w:eastAsia="zh-CN"/>
        </w:rPr>
      </w:pPr>
    </w:p>
    <w:p w14:paraId="28FF01D0">
      <w:pPr>
        <w:spacing w:line="240" w:lineRule="auto"/>
        <w:jc w:val="center"/>
        <w:outlineLvl w:val="0"/>
        <w:rPr>
          <w:rFonts w:hint="eastAsia" w:ascii="仿宋" w:hAnsi="仿宋" w:eastAsia="仿宋" w:cs="仿宋"/>
          <w:b/>
          <w:color w:val="auto"/>
          <w:sz w:val="36"/>
          <w:szCs w:val="36"/>
          <w:highlight w:val="none"/>
          <w:lang w:eastAsia="zh-CN"/>
        </w:rPr>
      </w:pPr>
    </w:p>
    <w:p w14:paraId="32A42A07">
      <w:pPr>
        <w:pStyle w:val="12"/>
        <w:rPr>
          <w:rFonts w:hint="eastAsia" w:ascii="仿宋" w:hAnsi="仿宋" w:eastAsia="仿宋" w:cs="仿宋"/>
          <w:b/>
          <w:color w:val="auto"/>
          <w:sz w:val="36"/>
          <w:szCs w:val="36"/>
          <w:highlight w:val="none"/>
          <w:lang w:eastAsia="zh-CN"/>
        </w:rPr>
      </w:pPr>
    </w:p>
    <w:p w14:paraId="45380508">
      <w:pPr>
        <w:rPr>
          <w:rFonts w:hint="eastAsia" w:ascii="仿宋" w:hAnsi="仿宋" w:eastAsia="仿宋" w:cs="仿宋"/>
          <w:b/>
          <w:color w:val="auto"/>
          <w:sz w:val="36"/>
          <w:szCs w:val="36"/>
          <w:highlight w:val="none"/>
          <w:lang w:eastAsia="zh-CN"/>
        </w:rPr>
      </w:pPr>
    </w:p>
    <w:p w14:paraId="63CCFF06">
      <w:pPr>
        <w:rPr>
          <w:rFonts w:hint="eastAsia"/>
          <w:highlight w:val="none"/>
          <w:lang w:eastAsia="zh-CN"/>
        </w:rPr>
      </w:pPr>
    </w:p>
    <w:p w14:paraId="5254B79D">
      <w:pPr>
        <w:rPr>
          <w:rFonts w:hint="eastAsia"/>
          <w:highlight w:val="none"/>
          <w:lang w:eastAsia="zh-CN"/>
        </w:rPr>
      </w:pPr>
    </w:p>
    <w:p w14:paraId="57EA5184">
      <w:pP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br w:type="page"/>
      </w:r>
    </w:p>
    <w:p w14:paraId="4BD814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第二部分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投标人须知</w:t>
      </w:r>
      <w:bookmarkEnd w:id="1"/>
      <w:bookmarkEnd w:id="2"/>
      <w:bookmarkEnd w:id="3"/>
      <w:bookmarkEnd w:id="4"/>
      <w:bookmarkEnd w:id="5"/>
      <w:bookmarkEnd w:id="6"/>
      <w:bookmarkEnd w:id="7"/>
      <w:bookmarkEnd w:id="8"/>
      <w:bookmarkEnd w:id="9"/>
    </w:p>
    <w:p w14:paraId="5C10F33F">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auto"/>
        <w:outlineLvl w:val="0"/>
        <w:rPr>
          <w:rFonts w:hint="eastAsia" w:ascii="仿宋" w:hAnsi="仿宋" w:eastAsia="仿宋" w:cs="仿宋"/>
          <w:b/>
          <w:color w:val="auto"/>
          <w:sz w:val="28"/>
          <w:szCs w:val="28"/>
          <w:highlight w:val="none"/>
        </w:rPr>
      </w:pPr>
      <w:bookmarkStart w:id="35" w:name="_Toc21348_WPSOffice_Level1"/>
      <w:bookmarkStart w:id="36" w:name="_Toc14053"/>
      <w:bookmarkStart w:id="37" w:name="_Toc29111"/>
      <w:bookmarkStart w:id="38" w:name="_Toc10179"/>
      <w:bookmarkStart w:id="39" w:name="_Toc10040"/>
      <w:bookmarkStart w:id="40" w:name="_Toc24832"/>
      <w:bookmarkStart w:id="41" w:name="_Toc7237"/>
      <w:bookmarkStart w:id="42" w:name="_Toc8971"/>
      <w:bookmarkStart w:id="43" w:name="_Toc12827"/>
      <w:bookmarkStart w:id="44" w:name="_Toc17655"/>
      <w:bookmarkStart w:id="45" w:name="_Toc9144"/>
      <w:bookmarkStart w:id="46" w:name="_Toc18219"/>
      <w:r>
        <w:rPr>
          <w:rFonts w:hint="eastAsia" w:ascii="仿宋" w:hAnsi="仿宋" w:eastAsia="仿宋" w:cs="仿宋"/>
          <w:b/>
          <w:color w:val="auto"/>
          <w:sz w:val="28"/>
          <w:szCs w:val="28"/>
          <w:highlight w:val="none"/>
        </w:rPr>
        <w:t>投标人须知前附表</w:t>
      </w:r>
      <w:bookmarkEnd w:id="35"/>
      <w:bookmarkEnd w:id="36"/>
      <w:bookmarkEnd w:id="37"/>
      <w:bookmarkEnd w:id="38"/>
      <w:bookmarkEnd w:id="39"/>
      <w:bookmarkEnd w:id="40"/>
      <w:bookmarkEnd w:id="41"/>
      <w:bookmarkEnd w:id="42"/>
      <w:bookmarkEnd w:id="43"/>
      <w:bookmarkEnd w:id="44"/>
      <w:bookmarkEnd w:id="45"/>
      <w:bookmarkEnd w:id="46"/>
    </w:p>
    <w:tbl>
      <w:tblPr>
        <w:tblStyle w:val="4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47"/>
        <w:gridCol w:w="6960"/>
      </w:tblGrid>
      <w:tr w14:paraId="1374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38" w:type="dxa"/>
            <w:vAlign w:val="center"/>
          </w:tcPr>
          <w:p w14:paraId="6023E383">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47" w:type="dxa"/>
            <w:vAlign w:val="center"/>
          </w:tcPr>
          <w:p w14:paraId="6722FEC8">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款</w:t>
            </w:r>
          </w:p>
        </w:tc>
        <w:tc>
          <w:tcPr>
            <w:tcW w:w="6960" w:type="dxa"/>
            <w:vAlign w:val="center"/>
          </w:tcPr>
          <w:p w14:paraId="30EFC815">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275D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38" w:type="dxa"/>
            <w:vAlign w:val="center"/>
          </w:tcPr>
          <w:p w14:paraId="0D512B29">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7" w:type="dxa"/>
            <w:vAlign w:val="center"/>
          </w:tcPr>
          <w:p w14:paraId="7E40BDAD">
            <w:pPr>
              <w:keepNext w:val="0"/>
              <w:keepLines w:val="0"/>
              <w:pageBreakBefore w:val="0"/>
              <w:kinsoku/>
              <w:wordWrap/>
              <w:overflowPunct/>
              <w:topLinePunct w:val="0"/>
              <w:bidi w:val="0"/>
              <w:adjustRightInd w:val="0"/>
              <w:snapToGrid w:val="0"/>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960" w:type="dxa"/>
            <w:vAlign w:val="center"/>
          </w:tcPr>
          <w:p w14:paraId="1170F421">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    称：新疆维吾尔自治区和田某某单位</w:t>
            </w:r>
          </w:p>
          <w:p w14:paraId="594C669E">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    址：和田地区和田市乌鲁木齐北路200 号</w:t>
            </w:r>
          </w:p>
          <w:p w14:paraId="0712A5E3">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 系 人：元先生</w:t>
            </w:r>
          </w:p>
          <w:p w14:paraId="669A00CC">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电    话：0903-2523819</w:t>
            </w:r>
          </w:p>
        </w:tc>
      </w:tr>
      <w:tr w14:paraId="71B4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38" w:type="dxa"/>
            <w:vAlign w:val="center"/>
          </w:tcPr>
          <w:p w14:paraId="28F9AD40">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7" w:type="dxa"/>
            <w:vAlign w:val="center"/>
          </w:tcPr>
          <w:p w14:paraId="3957504B">
            <w:pPr>
              <w:keepNext w:val="0"/>
              <w:keepLines w:val="0"/>
              <w:pageBreakBefore w:val="0"/>
              <w:kinsoku/>
              <w:wordWrap/>
              <w:overflowPunct/>
              <w:topLinePunct w:val="0"/>
              <w:bidi w:val="0"/>
              <w:adjustRightInd w:val="0"/>
              <w:snapToGrid w:val="0"/>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960" w:type="dxa"/>
            <w:vAlign w:val="center"/>
          </w:tcPr>
          <w:p w14:paraId="769FB958">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招标代理机构:新疆兴立众工程咨询有限责任公司</w:t>
            </w:r>
          </w:p>
          <w:p w14:paraId="7BA12046">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联系人：李攀东</w:t>
            </w:r>
          </w:p>
          <w:p w14:paraId="16CE11D5">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联系电话：0903-2517892</w:t>
            </w:r>
          </w:p>
          <w:p w14:paraId="6A3D7A90">
            <w:pPr>
              <w:pStyle w:val="27"/>
              <w:keepNext w:val="0"/>
              <w:keepLines w:val="0"/>
              <w:pageBreakBefore w:val="0"/>
              <w:kinsoku/>
              <w:wordWrap/>
              <w:overflowPunct/>
              <w:topLinePunct w:val="0"/>
              <w:bidi w:val="0"/>
              <w:spacing w:line="240" w:lineRule="auto"/>
              <w:textAlignment w:val="auto"/>
              <w:outlineLvl w:val="9"/>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SA"/>
              </w:rPr>
              <w:t>联系地址：和田市川亿凯旋公馆B区19号楼1105室　</w:t>
            </w:r>
          </w:p>
        </w:tc>
      </w:tr>
      <w:tr w14:paraId="760B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38" w:type="dxa"/>
            <w:vAlign w:val="center"/>
          </w:tcPr>
          <w:p w14:paraId="4738C75A">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947" w:type="dxa"/>
            <w:vAlign w:val="center"/>
          </w:tcPr>
          <w:p w14:paraId="0662CD13">
            <w:pPr>
              <w:keepNext w:val="0"/>
              <w:keepLines w:val="0"/>
              <w:pageBreakBefore w:val="0"/>
              <w:kinsoku/>
              <w:wordWrap/>
              <w:overflowPunct/>
              <w:topLinePunct w:val="0"/>
              <w:bidi w:val="0"/>
              <w:adjustRightInd w:val="0"/>
              <w:snapToGrid w:val="0"/>
              <w:spacing w:line="40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及编号</w:t>
            </w:r>
          </w:p>
        </w:tc>
        <w:tc>
          <w:tcPr>
            <w:tcW w:w="6960" w:type="dxa"/>
            <w:vAlign w:val="center"/>
          </w:tcPr>
          <w:p w14:paraId="37D49978">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项目名称：关于移动执法终端运维服务的项目</w:t>
            </w:r>
          </w:p>
          <w:p w14:paraId="4432501A">
            <w:pPr>
              <w:pStyle w:val="27"/>
              <w:keepNext w:val="0"/>
              <w:keepLines w:val="0"/>
              <w:pageBreakBefore w:val="0"/>
              <w:kinsoku/>
              <w:wordWrap/>
              <w:overflowPunct/>
              <w:topLinePunct w:val="0"/>
              <w:bidi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SA"/>
              </w:rPr>
              <w:t>项目编号： XLZHTDQ2026年003-1号</w:t>
            </w:r>
          </w:p>
        </w:tc>
      </w:tr>
      <w:tr w14:paraId="582C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38" w:type="dxa"/>
            <w:vAlign w:val="center"/>
          </w:tcPr>
          <w:p w14:paraId="7F54F95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947" w:type="dxa"/>
            <w:vAlign w:val="center"/>
          </w:tcPr>
          <w:p w14:paraId="2DE4BB3A">
            <w:pPr>
              <w:keepNext w:val="0"/>
              <w:keepLines w:val="0"/>
              <w:pageBreakBefore w:val="0"/>
              <w:kinsoku/>
              <w:wordWrap/>
              <w:overflowPunct/>
              <w:topLinePunct w:val="0"/>
              <w:bidi w:val="0"/>
              <w:adjustRightInd w:val="0"/>
              <w:snapToGrid w:val="0"/>
              <w:spacing w:line="240" w:lineRule="auto"/>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采购方式</w:t>
            </w:r>
            <w:r>
              <w:rPr>
                <w:rFonts w:hint="eastAsia" w:ascii="仿宋" w:hAnsi="仿宋" w:eastAsia="仿宋" w:cs="仿宋"/>
                <w:color w:val="000000"/>
                <w:sz w:val="24"/>
                <w:szCs w:val="24"/>
                <w:highlight w:val="none"/>
                <w:lang w:val="en-US" w:eastAsia="zh-CN"/>
              </w:rPr>
              <w:t>及评标方法</w:t>
            </w:r>
          </w:p>
        </w:tc>
        <w:tc>
          <w:tcPr>
            <w:tcW w:w="6960" w:type="dxa"/>
            <w:vAlign w:val="center"/>
          </w:tcPr>
          <w:p w14:paraId="0AED14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采购方式：</w:t>
            </w:r>
            <w:r>
              <w:rPr>
                <w:rFonts w:hint="eastAsia" w:ascii="仿宋" w:hAnsi="仿宋" w:eastAsia="仿宋" w:cs="仿宋"/>
                <w:color w:val="auto"/>
                <w:sz w:val="24"/>
                <w:szCs w:val="24"/>
                <w:highlight w:val="none"/>
                <w:lang w:val="en-US" w:eastAsia="zh-CN"/>
              </w:rPr>
              <w:t>竞争性磋商</w:t>
            </w:r>
          </w:p>
          <w:p w14:paraId="72E7CAB5">
            <w:pPr>
              <w:pStyle w:val="12"/>
              <w:ind w:left="0" w:leftChars="0" w:firstLine="0" w:firstLineChars="0"/>
              <w:rPr>
                <w:rFonts w:hint="default"/>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评标方法：根据政府采购竞争性磋商采购方式管理暂行办法（财库〔2014〕214号）规定的评审标准，采用竞争性磋商。</w:t>
            </w:r>
          </w:p>
        </w:tc>
      </w:tr>
      <w:tr w14:paraId="462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38" w:type="dxa"/>
            <w:vAlign w:val="center"/>
          </w:tcPr>
          <w:p w14:paraId="46C7E9C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5</w:t>
            </w:r>
          </w:p>
        </w:tc>
        <w:tc>
          <w:tcPr>
            <w:tcW w:w="1947" w:type="dxa"/>
            <w:vAlign w:val="center"/>
          </w:tcPr>
          <w:p w14:paraId="0DBF27B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6960" w:type="dxa"/>
            <w:vAlign w:val="center"/>
          </w:tcPr>
          <w:p w14:paraId="7AE0E16B">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采购移动执法终端运维服务（移动执法终端（共计400台）由供应商免费提供，合同期满后所有权归采购人所有）（详见招标文件）。</w:t>
            </w:r>
          </w:p>
        </w:tc>
      </w:tr>
      <w:tr w14:paraId="3765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38" w:type="dxa"/>
            <w:vAlign w:val="center"/>
          </w:tcPr>
          <w:p w14:paraId="28E64F90">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947" w:type="dxa"/>
            <w:vAlign w:val="center"/>
          </w:tcPr>
          <w:p w14:paraId="656539A9">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000000"/>
                <w:kern w:val="0"/>
                <w:sz w:val="24"/>
                <w:szCs w:val="24"/>
                <w:highlight w:val="none"/>
                <w:lang w:val="en-US" w:eastAsia="zh-CN"/>
              </w:rPr>
              <w:t>信息公告媒体</w:t>
            </w:r>
          </w:p>
        </w:tc>
        <w:tc>
          <w:tcPr>
            <w:tcW w:w="6960" w:type="dxa"/>
            <w:vAlign w:val="center"/>
          </w:tcPr>
          <w:p w14:paraId="75981F5C">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000000"/>
                <w:sz w:val="24"/>
                <w:szCs w:val="24"/>
                <w:highlight w:val="none"/>
                <w:lang w:val="en-US" w:eastAsia="zh-CN"/>
              </w:rPr>
              <w:t>新疆政府采购网（http://www.ccgp-xinjiang.gov.cn/）</w:t>
            </w:r>
          </w:p>
        </w:tc>
      </w:tr>
      <w:tr w14:paraId="33CA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838" w:type="dxa"/>
            <w:vAlign w:val="center"/>
          </w:tcPr>
          <w:p w14:paraId="2EC8F335">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947" w:type="dxa"/>
            <w:vAlign w:val="center"/>
          </w:tcPr>
          <w:p w14:paraId="69D34CBC">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采购预算</w:t>
            </w:r>
            <w:r>
              <w:rPr>
                <w:rFonts w:hint="eastAsia" w:ascii="仿宋" w:hAnsi="仿宋" w:eastAsia="仿宋" w:cs="仿宋"/>
                <w:color w:val="auto"/>
                <w:sz w:val="24"/>
                <w:szCs w:val="24"/>
                <w:highlight w:val="none"/>
                <w:lang w:val="en-US" w:eastAsia="zh-CN"/>
              </w:rPr>
              <w:t>及最高限价</w:t>
            </w:r>
          </w:p>
        </w:tc>
        <w:tc>
          <w:tcPr>
            <w:tcW w:w="6960" w:type="dxa"/>
            <w:vAlign w:val="center"/>
          </w:tcPr>
          <w:p w14:paraId="4F0CA00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预算金额：990000.00元</w:t>
            </w:r>
            <w:r>
              <w:rPr>
                <w:rFonts w:hint="eastAsia" w:ascii="仿宋" w:hAnsi="仿宋" w:eastAsia="仿宋" w:cs="仿宋"/>
                <w:color w:val="000000"/>
                <w:kern w:val="2"/>
                <w:sz w:val="24"/>
                <w:szCs w:val="24"/>
                <w:highlight w:val="none"/>
                <w:lang w:val="en-US" w:eastAsia="zh-CN"/>
              </w:rPr>
              <w:t>/</w:t>
            </w:r>
            <w:r>
              <w:rPr>
                <w:rFonts w:hint="eastAsia" w:ascii="仿宋" w:hAnsi="仿宋" w:eastAsia="仿宋" w:cs="仿宋"/>
                <w:color w:val="auto"/>
                <w:kern w:val="2"/>
                <w:sz w:val="24"/>
                <w:szCs w:val="24"/>
                <w:highlight w:val="none"/>
                <w:lang w:val="en-US" w:eastAsia="zh-CN"/>
              </w:rPr>
              <w:t>12个月</w:t>
            </w:r>
            <w:r>
              <w:rPr>
                <w:rFonts w:hint="eastAsia" w:ascii="仿宋" w:hAnsi="仿宋" w:eastAsia="仿宋" w:cs="仿宋"/>
                <w:kern w:val="2"/>
                <w:sz w:val="24"/>
                <w:szCs w:val="24"/>
                <w:highlight w:val="none"/>
                <w:lang w:val="en-US" w:eastAsia="zh-CN"/>
              </w:rPr>
              <w:t>（大写：玖拾玖万元整</w:t>
            </w:r>
            <w:r>
              <w:rPr>
                <w:rFonts w:hint="eastAsia" w:ascii="仿宋" w:hAnsi="仿宋" w:eastAsia="仿宋" w:cs="仿宋"/>
                <w:color w:val="auto"/>
                <w:kern w:val="2"/>
                <w:sz w:val="24"/>
                <w:szCs w:val="24"/>
                <w:highlight w:val="none"/>
                <w:lang w:val="en-US" w:eastAsia="zh-CN"/>
              </w:rPr>
              <w:t>十二个月</w:t>
            </w:r>
            <w:r>
              <w:rPr>
                <w:rFonts w:hint="eastAsia" w:ascii="仿宋" w:hAnsi="仿宋" w:eastAsia="仿宋" w:cs="仿宋"/>
                <w:kern w:val="2"/>
                <w:sz w:val="24"/>
                <w:szCs w:val="24"/>
                <w:highlight w:val="none"/>
                <w:lang w:val="en-US" w:eastAsia="zh-CN"/>
              </w:rPr>
              <w:t>）</w:t>
            </w:r>
          </w:p>
          <w:p w14:paraId="3EB8FD2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最高限价：990000.00元</w:t>
            </w:r>
            <w:r>
              <w:rPr>
                <w:rFonts w:hint="eastAsia" w:ascii="仿宋" w:hAnsi="仿宋" w:eastAsia="仿宋" w:cs="仿宋"/>
                <w:color w:val="000000"/>
                <w:kern w:val="2"/>
                <w:sz w:val="24"/>
                <w:szCs w:val="24"/>
                <w:highlight w:val="none"/>
                <w:lang w:val="en-US" w:eastAsia="zh-CN"/>
              </w:rPr>
              <w:t>/</w:t>
            </w:r>
            <w:r>
              <w:rPr>
                <w:rFonts w:hint="eastAsia" w:ascii="仿宋" w:hAnsi="仿宋" w:eastAsia="仿宋" w:cs="仿宋"/>
                <w:color w:val="auto"/>
                <w:kern w:val="2"/>
                <w:sz w:val="24"/>
                <w:szCs w:val="24"/>
                <w:highlight w:val="none"/>
                <w:lang w:val="en-US" w:eastAsia="zh-CN"/>
              </w:rPr>
              <w:t>12个月</w:t>
            </w:r>
            <w:r>
              <w:rPr>
                <w:rFonts w:hint="eastAsia" w:ascii="仿宋" w:hAnsi="仿宋" w:eastAsia="仿宋" w:cs="仿宋"/>
                <w:kern w:val="2"/>
                <w:sz w:val="24"/>
                <w:szCs w:val="24"/>
                <w:highlight w:val="none"/>
                <w:lang w:val="en-US" w:eastAsia="zh-CN"/>
              </w:rPr>
              <w:t>（大写：玖拾玖万元整</w:t>
            </w:r>
            <w:r>
              <w:rPr>
                <w:rFonts w:hint="eastAsia" w:ascii="仿宋" w:hAnsi="仿宋" w:eastAsia="仿宋" w:cs="仿宋"/>
                <w:color w:val="auto"/>
                <w:kern w:val="2"/>
                <w:sz w:val="24"/>
                <w:szCs w:val="24"/>
                <w:highlight w:val="none"/>
                <w:lang w:val="en-US" w:eastAsia="zh-CN"/>
              </w:rPr>
              <w:t>十二个月</w:t>
            </w:r>
            <w:r>
              <w:rPr>
                <w:rFonts w:hint="eastAsia" w:ascii="仿宋" w:hAnsi="仿宋" w:eastAsia="仿宋" w:cs="仿宋"/>
                <w:kern w:val="2"/>
                <w:sz w:val="24"/>
                <w:szCs w:val="24"/>
                <w:highlight w:val="none"/>
                <w:lang w:val="en-US" w:eastAsia="zh-CN"/>
              </w:rPr>
              <w:t>）</w:t>
            </w:r>
          </w:p>
          <w:p w14:paraId="68425D4C">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此采购预算价为最高限价，供应商投标报价超过最高限价的为无效报价，作无效投标处理。</w:t>
            </w:r>
            <w:r>
              <w:rPr>
                <w:rFonts w:hint="eastAsia" w:ascii="仿宋" w:hAnsi="仿宋" w:eastAsia="仿宋" w:cs="仿宋"/>
                <w:color w:val="auto"/>
                <w:kern w:val="2"/>
                <w:sz w:val="24"/>
                <w:szCs w:val="24"/>
                <w:highlight w:val="none"/>
                <w:lang w:val="en-US" w:eastAsia="zh-CN" w:bidi="ar-SA"/>
              </w:rPr>
              <w:t>本次磋商报价采用二次或二次以上的报价</w:t>
            </w:r>
          </w:p>
          <w:p w14:paraId="12153F3D">
            <w:pPr>
              <w:pStyle w:val="2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特别说明：</w:t>
            </w:r>
          </w:p>
          <w:p w14:paraId="59F068AB">
            <w:pPr>
              <w:pStyle w:val="24"/>
              <w:rPr>
                <w:rFonts w:hint="eastAsia"/>
                <w:sz w:val="24"/>
                <w:szCs w:val="24"/>
                <w:highlight w:val="none"/>
                <w:lang w:val="en-US" w:eastAsia="zh-CN"/>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在评标过程中，磋商小组认为供应商的报价明显低于其他通过符合性审查投标人的报价，有可能影响服务质量或者不能诚信履约的，应当要求其在评标现场合理的时间内提供书面说明，必要时提交相关证明材料；投标人不能证明其报价合理性的，磋商小组应当将其作为无效投标处理。敬请供应商注意！</w:t>
            </w:r>
          </w:p>
        </w:tc>
      </w:tr>
      <w:tr w14:paraId="44A9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838" w:type="dxa"/>
            <w:vAlign w:val="center"/>
          </w:tcPr>
          <w:p w14:paraId="4A2A581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w:t>
            </w:r>
          </w:p>
        </w:tc>
        <w:tc>
          <w:tcPr>
            <w:tcW w:w="1947" w:type="dxa"/>
            <w:vAlign w:val="center"/>
          </w:tcPr>
          <w:p w14:paraId="0E6991D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投标保证金</w:t>
            </w:r>
          </w:p>
        </w:tc>
        <w:tc>
          <w:tcPr>
            <w:tcW w:w="6960" w:type="dxa"/>
            <w:vAlign w:val="center"/>
          </w:tcPr>
          <w:p w14:paraId="5824EE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投标保证金金额：￥9000.00元 （大写：玖仟元整）</w:t>
            </w:r>
          </w:p>
          <w:p w14:paraId="35B7920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缴纳方式：转账汇款（对公转账，从基本账户转入）</w:t>
            </w:r>
          </w:p>
          <w:p w14:paraId="1999F2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账户名称：新疆兴立众工程咨询有限责任公司和田分公司</w:t>
            </w:r>
          </w:p>
          <w:p w14:paraId="5B012E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开户银行：中国建设银行股份有限公司和田地区分行营业部  </w:t>
            </w:r>
          </w:p>
          <w:p w14:paraId="4E0310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账    号： 65001720100052509320 </w:t>
            </w:r>
          </w:p>
          <w:p w14:paraId="587D50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备    注：投标保证金必须在投标截止日前到达指定账户。必须以投标单位的名义缴纳投标保证金,汇款时必须在备注栏写明所投采购项目名称，未注明项目名称视为无效投标保证金，做无效投标处理。</w:t>
            </w:r>
          </w:p>
          <w:p w14:paraId="400DC4A2">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电汇、银行转账形式：在投标截止时间前将投标保证金以银行电汇、银行转账的方式到指定账户，须公对公账户，不接受个人打款，以个人名义打款将视为</w:t>
            </w:r>
            <w:r>
              <w:rPr>
                <w:rFonts w:hint="eastAsia" w:ascii="仿宋" w:hAnsi="仿宋" w:eastAsia="仿宋" w:cs="仿宋"/>
                <w:b w:val="0"/>
                <w:bCs w:val="0"/>
                <w:color w:val="auto"/>
                <w:sz w:val="24"/>
                <w:szCs w:val="24"/>
                <w:highlight w:val="none"/>
                <w:lang w:val="en-US" w:eastAsia="zh-CN"/>
              </w:rPr>
              <w:t>无效；无需换取投标保证金收据。</w:t>
            </w:r>
          </w:p>
          <w:p w14:paraId="5A3C8BB5">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保函形式： 根据国家现行采购政策，投标保证金可以使用金融系统电子保函。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w:t>
            </w:r>
          </w:p>
          <w:p w14:paraId="01A8BD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保函投保金额(元)：</w:t>
            </w:r>
            <w:r>
              <w:rPr>
                <w:rFonts w:hint="eastAsia" w:ascii="仿宋" w:hAnsi="仿宋" w:eastAsia="仿宋" w:cs="仿宋"/>
                <w:b w:val="0"/>
                <w:bCs w:val="0"/>
                <w:sz w:val="24"/>
                <w:szCs w:val="24"/>
                <w:highlight w:val="none"/>
                <w:lang w:val="en-US" w:eastAsia="zh-CN"/>
              </w:rPr>
              <w:t>￥9000.00元 （大写：玖仟元整）</w:t>
            </w:r>
          </w:p>
          <w:p w14:paraId="45040BF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lang w:val="en-US" w:eastAsia="zh-CN"/>
              </w:rPr>
            </w:pPr>
            <w:r>
              <w:rPr>
                <w:rFonts w:hint="eastAsia" w:ascii="仿宋" w:hAnsi="仿宋" w:eastAsia="仿宋" w:cs="仿宋"/>
                <w:color w:val="auto"/>
                <w:sz w:val="24"/>
                <w:szCs w:val="24"/>
                <w:highlight w:val="none"/>
                <w:lang w:eastAsia="zh-CN"/>
              </w:rPr>
              <w:t>保函承保期限：</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日（90 日历天）</w:t>
            </w:r>
          </w:p>
          <w:p w14:paraId="3EB3D7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退投标保证金说明：开标结束后未中标企业自行到新疆兴立众工程咨询有限责任公司和田分公司办理保证金退款事宜，中标企业应在签订合同后5个工作日内到新疆兴立众工程咨询有限责任公司和田分公司办理保证金退款事宜。</w:t>
            </w:r>
          </w:p>
          <w:p w14:paraId="7F62049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sz w:val="24"/>
                <w:szCs w:val="24"/>
                <w:highlight w:val="none"/>
                <w:lang w:val="en-US" w:eastAsia="zh-CN"/>
              </w:rPr>
              <w:t>敬请注意！</w:t>
            </w:r>
          </w:p>
        </w:tc>
      </w:tr>
      <w:tr w14:paraId="0A06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1001DCD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c>
          <w:tcPr>
            <w:tcW w:w="1947" w:type="dxa"/>
            <w:vAlign w:val="center"/>
          </w:tcPr>
          <w:p w14:paraId="49317B0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资格要求</w:t>
            </w:r>
          </w:p>
          <w:p w14:paraId="6FF438DE">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p>
        </w:tc>
        <w:tc>
          <w:tcPr>
            <w:tcW w:w="6960" w:type="dxa"/>
            <w:vAlign w:val="center"/>
          </w:tcPr>
          <w:p w14:paraId="14E51121">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1.满足《中华人民共和国政府采购法》第二十二条规定；</w:t>
            </w:r>
          </w:p>
          <w:p w14:paraId="46A3D7EC">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2.落实政府采购政策需满足的资格要求：</w:t>
            </w:r>
          </w:p>
          <w:p w14:paraId="0043B0E7">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 中小企业政策</w:t>
            </w:r>
          </w:p>
          <w:p w14:paraId="31756C8F">
            <w:pPr>
              <w:pStyle w:val="22"/>
              <w:pageBreakBefore w:val="0"/>
              <w:kinsoku/>
              <w:wordWrap/>
              <w:overflowPunct/>
              <w:topLinePunct w:val="0"/>
              <w:bidi w:val="0"/>
              <w:spacing w:line="24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w:t>
            </w:r>
            <w:r>
              <w:rPr>
                <w:rFonts w:hint="eastAsia" w:ascii="仿宋" w:hAnsi="仿宋" w:eastAsia="仿宋" w:cs="仿宋"/>
                <w:b/>
                <w:bCs/>
                <w:sz w:val="24"/>
                <w:szCs w:val="24"/>
                <w:highlight w:val="none"/>
                <w:lang w:val="en-US" w:eastAsia="zh-CN"/>
              </w:rPr>
              <w:t>不专门</w:t>
            </w:r>
            <w:r>
              <w:rPr>
                <w:rFonts w:hint="eastAsia" w:ascii="仿宋" w:hAnsi="仿宋" w:eastAsia="仿宋" w:cs="仿宋"/>
                <w:sz w:val="24"/>
                <w:szCs w:val="24"/>
                <w:highlight w:val="none"/>
                <w:lang w:val="en-US" w:eastAsia="zh-CN"/>
              </w:rPr>
              <w:t>面向中小企业（含中型、小型、微型企业）采购项目，根据《政府采购促进中小企业发展管理办法》（财库[2020]46 号）的规定，评标时将给予符合规定的小微企业进行价格10%的优惠，用优惠后的价格参与评审。</w:t>
            </w:r>
          </w:p>
          <w:p w14:paraId="59FEFE1D">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 其它落实政府采购政策的资格要求</w:t>
            </w:r>
          </w:p>
          <w:p w14:paraId="20BFB9C7">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（1）财政部、国家发展改革委、生态环境部、市场监管总局《关于调整优化节能产品、环境标志产品政府采购执行机制的通知》（财库[2019]9号文）；  </w:t>
            </w:r>
          </w:p>
          <w:p w14:paraId="79ACBBCE">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（2）财政部、生态环境部《关于印发环境标志产品政府采购品目清单的通知》（财库[2019]18号文）； </w:t>
            </w:r>
          </w:p>
          <w:p w14:paraId="7BC27C29">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（3）财政部、发展改革委《关于印发节能产品政府采购品目清单的通知》（财库[2019]19号文）； </w:t>
            </w:r>
          </w:p>
          <w:p w14:paraId="67E3DC15">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（4）市场监管总局《市场监管总局关于发布参与实施政府采购节能产品、环境标志产品认证机构名录的公告》（2019年第16号）；  </w:t>
            </w:r>
          </w:p>
          <w:p w14:paraId="20F5CC22">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（5）财政部、工业和信息化部《关于印发《政府采购促进中小企业发展管理办法》的通知》（财库[2020]46号文）《关于进一步加大政府采购支持中小企业力度的通知》（财库[2022]19号文）执行； </w:t>
            </w:r>
          </w:p>
          <w:p w14:paraId="642F1B00">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（6）财政部、民政部、中国残疾人联合会《关于促进残疾人就业政府采购政策的通知》（财库[2017]141号）；  </w:t>
            </w:r>
          </w:p>
          <w:p w14:paraId="6B3D172D">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（7）财政部、司法部《关于政府采购支持监狱企业发展有关问题的通知》（财库[2014]68号文）； </w:t>
            </w:r>
          </w:p>
          <w:p w14:paraId="4756E16B">
            <w:pPr>
              <w:pStyle w:val="22"/>
              <w:pageBreakBefore w:val="0"/>
              <w:kinsoku/>
              <w:wordWrap/>
              <w:overflowPunct/>
              <w:topLinePunct w:val="0"/>
              <w:bidi w:val="0"/>
              <w:spacing w:line="33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（8）财政部、生态环境部、国家邮政局《关于印发《商品包装政府采购需求标准（试行）》、 《快递包装政府采购需求标准（试行）》的通知》（财办库〔2020〕123号）。落实政府采购政策需满足的资格要求：</w:t>
            </w:r>
          </w:p>
          <w:p w14:paraId="5831F362">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62" w:rightChars="0"/>
              <w:textAlignment w:val="auto"/>
              <w:rPr>
                <w:rFonts w:hint="eastAsia" w:ascii="仿宋" w:hAnsi="仿宋" w:eastAsia="仿宋" w:cs="仿宋"/>
                <w:lang w:val="en-US" w:eastAsia="zh-CN"/>
              </w:rPr>
            </w:pPr>
            <w:r>
              <w:rPr>
                <w:rFonts w:hint="eastAsia" w:ascii="仿宋" w:hAnsi="仿宋" w:eastAsia="仿宋" w:cs="仿宋"/>
                <w:b/>
                <w:bCs/>
                <w:sz w:val="24"/>
                <w:szCs w:val="24"/>
                <w:highlight w:val="none"/>
                <w:lang w:val="en-US" w:eastAsia="zh-CN"/>
              </w:rPr>
              <w:t>基本资质要求</w:t>
            </w:r>
          </w:p>
          <w:p w14:paraId="53CE551D">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经年审合格（三证合一）的营业执照或（统一社会信用代码证书）；</w:t>
            </w:r>
          </w:p>
          <w:p w14:paraId="70E91ACE">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法定代表人开标应附《法定代表人身份证明书》及身份证复印件，委托代理人开标应附《法定代表人授权委托书》及身份证复印件</w:t>
            </w:r>
          </w:p>
          <w:p w14:paraId="757D184A">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良好的商业信誉和健全的财务会计制度：提供最新年度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w:t>
            </w:r>
          </w:p>
          <w:p w14:paraId="4750AD44">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有依法缴纳税收和社会保障资金的良好记录：提供投标截止日前近 3 个月的社保证明材料（社保缴费明细表及缴费凭证），如依法不需要缴纳社会保障资金的，应提供相应文件证明（新成立不满 3 个月的企业，按实际发生的提供）；提供投标截止日前近3个月的缴纳税收的完税证明或税务部门出具的纳税证明（或提供无欠税证明）；如依法免税的，应提供相应文件证明（新成立不满 3个月的企业，按实际发生的提供）；</w:t>
            </w:r>
          </w:p>
          <w:p w14:paraId="16569CA4">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p w14:paraId="1AB4EFF9">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企业负责人为同一人或者存在直接控股、管理关系的不同投标人，不得参加同一合同项下的政府采购活动。否则，皆取消投标资格；</w:t>
            </w:r>
          </w:p>
          <w:p w14:paraId="2A34F5A7">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参加政府采购活动前三年内，在经营活动中没有重大违法记录的书面声明；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w:t>
            </w:r>
          </w:p>
          <w:p w14:paraId="6E12C31C">
            <w:pPr>
              <w:pStyle w:val="22"/>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本项目不接受联合体投标</w:t>
            </w:r>
          </w:p>
          <w:p w14:paraId="19C955D0">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24"/>
                <w:szCs w:val="24"/>
                <w:highlight w:val="none"/>
                <w:lang w:val="en-US" w:eastAsia="zh-CN"/>
              </w:rPr>
            </w:pPr>
            <w:r>
              <w:rPr>
                <w:rFonts w:hint="eastAsia" w:ascii="仿宋" w:hAnsi="仿宋" w:eastAsia="仿宋" w:cs="仿宋"/>
                <w:b/>
                <w:bCs/>
                <w:i w:val="0"/>
                <w:iCs w:val="0"/>
                <w:caps w:val="0"/>
                <w:color w:val="000000"/>
                <w:spacing w:val="0"/>
                <w:sz w:val="24"/>
                <w:szCs w:val="24"/>
                <w:lang w:val="en-US" w:eastAsia="zh-CN"/>
              </w:rPr>
              <w:t>3</w:t>
            </w:r>
            <w:r>
              <w:rPr>
                <w:rFonts w:hint="eastAsia" w:ascii="仿宋" w:hAnsi="仿宋" w:eastAsia="仿宋" w:cs="仿宋"/>
                <w:b/>
                <w:bCs/>
                <w:i w:val="0"/>
                <w:iCs w:val="0"/>
                <w:caps w:val="0"/>
                <w:color w:val="000000"/>
                <w:spacing w:val="0"/>
                <w:sz w:val="24"/>
                <w:szCs w:val="24"/>
              </w:rPr>
              <w:t>.本项目的特定资格要求</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无</w:t>
            </w:r>
            <w:r>
              <w:rPr>
                <w:rFonts w:hint="eastAsia" w:ascii="仿宋" w:hAnsi="仿宋" w:eastAsia="仿宋" w:cs="仿宋"/>
                <w:sz w:val="24"/>
                <w:szCs w:val="24"/>
                <w:highlight w:val="none"/>
                <w:lang w:val="en-US" w:eastAsia="zh-CN"/>
              </w:rPr>
              <w:t>；</w:t>
            </w:r>
          </w:p>
        </w:tc>
      </w:tr>
      <w:tr w14:paraId="6FF3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8" w:type="dxa"/>
            <w:vAlign w:val="center"/>
          </w:tcPr>
          <w:p w14:paraId="233F07A3">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c>
          <w:tcPr>
            <w:tcW w:w="1947" w:type="dxa"/>
            <w:vAlign w:val="center"/>
          </w:tcPr>
          <w:p w14:paraId="490B2AE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信用情况</w:t>
            </w:r>
          </w:p>
        </w:tc>
        <w:tc>
          <w:tcPr>
            <w:tcW w:w="6960" w:type="dxa"/>
            <w:vAlign w:val="center"/>
          </w:tcPr>
          <w:p w14:paraId="1F270100">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sz w:val="24"/>
                <w:szCs w:val="24"/>
                <w:highlight w:val="none"/>
                <w:lang w:val="en-US" w:eastAsia="zh-CN"/>
              </w:rPr>
              <w:t>凡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r>
              <w:rPr>
                <w:rFonts w:hint="eastAsia" w:ascii="仿宋" w:hAnsi="仿宋" w:eastAsia="仿宋" w:cs="仿宋"/>
                <w:b w:val="0"/>
                <w:bCs/>
                <w:color w:val="auto"/>
                <w:sz w:val="24"/>
                <w:szCs w:val="24"/>
                <w:highlight w:val="none"/>
              </w:rPr>
              <w:t>本项目不接受失信企业投标。</w:t>
            </w:r>
          </w:p>
        </w:tc>
      </w:tr>
      <w:tr w14:paraId="4052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8" w:type="dxa"/>
            <w:vAlign w:val="center"/>
          </w:tcPr>
          <w:p w14:paraId="7BF5980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1947" w:type="dxa"/>
            <w:vAlign w:val="center"/>
          </w:tcPr>
          <w:p w14:paraId="0058FC9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rPr>
              <w:t>标前准备</w:t>
            </w:r>
          </w:p>
        </w:tc>
        <w:tc>
          <w:tcPr>
            <w:tcW w:w="6960" w:type="dxa"/>
            <w:vAlign w:val="center"/>
          </w:tcPr>
          <w:p w14:paraId="084009F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1、</w:t>
            </w:r>
            <w:r>
              <w:rPr>
                <w:rFonts w:hint="eastAsia" w:ascii="仿宋" w:hAnsi="仿宋" w:eastAsia="仿宋" w:cs="仿宋"/>
                <w:b/>
                <w:bCs w:val="0"/>
                <w:color w:val="auto"/>
                <w:sz w:val="24"/>
                <w:szCs w:val="24"/>
                <w:highlight w:val="none"/>
              </w:rPr>
              <w:t>本项目实行网上投标，采用电子</w:t>
            </w:r>
            <w:r>
              <w:rPr>
                <w:rFonts w:hint="eastAsia" w:ascii="仿宋" w:hAnsi="仿宋" w:eastAsia="仿宋" w:cs="仿宋"/>
                <w:b/>
                <w:bCs w:val="0"/>
                <w:color w:val="auto"/>
                <w:sz w:val="24"/>
                <w:szCs w:val="24"/>
                <w:highlight w:val="none"/>
                <w:lang w:eastAsia="zh-CN"/>
              </w:rPr>
              <w:t>响应文件</w:t>
            </w:r>
            <w:r>
              <w:rPr>
                <w:rFonts w:hint="eastAsia" w:ascii="仿宋" w:hAnsi="仿宋" w:eastAsia="仿宋" w:cs="仿宋"/>
                <w:b/>
                <w:bCs w:val="0"/>
                <w:color w:val="auto"/>
                <w:sz w:val="24"/>
                <w:szCs w:val="24"/>
                <w:highlight w:val="none"/>
              </w:rPr>
              <w:t>。若供应商参与投标，自行承担投标一切费用。</w:t>
            </w:r>
          </w:p>
          <w:p w14:paraId="4A6AA2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各供应商应在开标前应确保成为新疆维吾尔自治区政府采购网正式注册入库供应商，并完成 CA 数字证书申领。因未注册入库、未办理 CA 数字证书等原因造成无法投标或投标失败等后果由供应商自行承担。</w:t>
            </w:r>
          </w:p>
          <w:p w14:paraId="29D9D9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w:t>
            </w:r>
            <w:r>
              <w:rPr>
                <w:rFonts w:hint="eastAsia" w:ascii="仿宋" w:hAnsi="仿宋" w:eastAsia="仿宋" w:cs="仿宋"/>
                <w:b/>
                <w:bCs w:val="0"/>
                <w:color w:val="auto"/>
                <w:sz w:val="24"/>
                <w:szCs w:val="24"/>
                <w:highlight w:val="none"/>
                <w:lang w:eastAsia="zh-CN"/>
              </w:rPr>
              <w:t>。</w:t>
            </w:r>
          </w:p>
          <w:p w14:paraId="2C6A6C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val="0"/>
                <w:color w:val="auto"/>
                <w:sz w:val="24"/>
                <w:szCs w:val="24"/>
                <w:highlight w:val="none"/>
              </w:rPr>
              <w:t>4、供应商将政采云电子交易客户端下载、安装完成后， 可通过账号密码或 CA 登录客户端进行</w:t>
            </w:r>
            <w:r>
              <w:rPr>
                <w:rFonts w:hint="eastAsia" w:ascii="仿宋" w:hAnsi="仿宋" w:eastAsia="仿宋" w:cs="仿宋"/>
                <w:b/>
                <w:bCs w:val="0"/>
                <w:color w:val="auto"/>
                <w:sz w:val="24"/>
                <w:szCs w:val="24"/>
                <w:highlight w:val="none"/>
                <w:lang w:eastAsia="zh-CN"/>
              </w:rPr>
              <w:t>响应文件</w:t>
            </w:r>
            <w:r>
              <w:rPr>
                <w:rFonts w:hint="eastAsia" w:ascii="仿宋" w:hAnsi="仿宋" w:eastAsia="仿宋" w:cs="仿宋"/>
                <w:b/>
                <w:bCs w:val="0"/>
                <w:color w:val="auto"/>
                <w:sz w:val="24"/>
                <w:szCs w:val="24"/>
                <w:highlight w:val="none"/>
              </w:rPr>
              <w:t xml:space="preserve">制作。在使用政采云投标客户端时，建议使用 WIN7 及以上操作系统。客户端请至新疆政府采购网（https://www.zcygov.cn/）下载专区查看，如有问题可拨打政采 云客户服务热线 </w:t>
            </w:r>
            <w:r>
              <w:rPr>
                <w:rFonts w:hint="eastAsia" w:ascii="仿宋" w:hAnsi="仿宋" w:eastAsia="仿宋" w:cs="仿宋"/>
                <w:b/>
                <w:bCs w:val="0"/>
                <w:color w:val="auto"/>
                <w:sz w:val="24"/>
                <w:szCs w:val="24"/>
                <w:highlight w:val="none"/>
                <w:lang w:eastAsia="zh-CN"/>
              </w:rPr>
              <w:t>95763</w:t>
            </w:r>
            <w:r>
              <w:rPr>
                <w:rFonts w:hint="eastAsia" w:ascii="仿宋" w:hAnsi="仿宋" w:eastAsia="仿宋" w:cs="仿宋"/>
                <w:b/>
                <w:bCs w:val="0"/>
                <w:color w:val="auto"/>
                <w:sz w:val="24"/>
                <w:szCs w:val="24"/>
                <w:highlight w:val="none"/>
              </w:rPr>
              <w:t xml:space="preserve"> 进行咨询。</w:t>
            </w:r>
          </w:p>
        </w:tc>
      </w:tr>
      <w:tr w14:paraId="4E99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38" w:type="dxa"/>
            <w:vAlign w:val="center"/>
          </w:tcPr>
          <w:p w14:paraId="0422DBE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1947" w:type="dxa"/>
            <w:vAlign w:val="center"/>
          </w:tcPr>
          <w:p w14:paraId="4F71824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p>
        </w:tc>
        <w:tc>
          <w:tcPr>
            <w:tcW w:w="6960" w:type="dxa"/>
            <w:vAlign w:val="center"/>
          </w:tcPr>
          <w:p w14:paraId="7DD2963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服务期36个月。（服务期根据乙方服务质量及双方履约情况确定，原则上不超过36个月）（合同12个月一签，根据乙方服务质量及双方履约情况，采购对第一次服务期限内（12个月）服务质量满意后续签24个月合同）</w:t>
            </w:r>
          </w:p>
          <w:p w14:paraId="23F8DB79">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2.交付期：自合同签订之日起30个日历日内交货并完成安装调试</w:t>
            </w:r>
          </w:p>
        </w:tc>
      </w:tr>
      <w:tr w14:paraId="6C86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8" w:type="dxa"/>
            <w:vAlign w:val="center"/>
          </w:tcPr>
          <w:p w14:paraId="2D7DFF8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1947" w:type="dxa"/>
            <w:vAlign w:val="center"/>
          </w:tcPr>
          <w:p w14:paraId="77BDF851">
            <w:pPr>
              <w:keepNext w:val="0"/>
              <w:keepLines w:val="0"/>
              <w:pageBreakBefore w:val="0"/>
              <w:kinsoku/>
              <w:wordWrap/>
              <w:overflowPunct/>
              <w:topLinePunct w:val="0"/>
              <w:bidi w:val="0"/>
              <w:adjustRightInd w:val="0"/>
              <w:snapToGrid w:val="0"/>
              <w:spacing w:line="400" w:lineRule="exact"/>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地点</w:t>
            </w:r>
          </w:p>
        </w:tc>
        <w:tc>
          <w:tcPr>
            <w:tcW w:w="6960" w:type="dxa"/>
            <w:vAlign w:val="center"/>
          </w:tcPr>
          <w:p w14:paraId="2F06D333">
            <w:pPr>
              <w:keepNext w:val="0"/>
              <w:keepLines w:val="0"/>
              <w:pageBreakBefore w:val="0"/>
              <w:kinsoku/>
              <w:wordWrap/>
              <w:overflowPunct/>
              <w:topLinePunct w:val="0"/>
              <w:bidi w:val="0"/>
              <w:adjustRightInd w:val="0"/>
              <w:snapToGrid w:val="0"/>
              <w:spacing w:line="240" w:lineRule="auto"/>
              <w:textAlignment w:val="auto"/>
              <w:outlineLvl w:val="9"/>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采购人指定地点</w:t>
            </w:r>
          </w:p>
        </w:tc>
      </w:tr>
      <w:tr w14:paraId="21B0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38" w:type="dxa"/>
            <w:vAlign w:val="center"/>
          </w:tcPr>
          <w:p w14:paraId="10D561D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947" w:type="dxa"/>
            <w:vAlign w:val="center"/>
          </w:tcPr>
          <w:p w14:paraId="68E0AAF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960" w:type="dxa"/>
            <w:vAlign w:val="center"/>
          </w:tcPr>
          <w:p w14:paraId="46B63ECA">
            <w:pPr>
              <w:pStyle w:val="92"/>
              <w:spacing w:line="24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必须达到国家和行业规定标准及竞争性磋商文件中规定的要求标准，并通过验收。</w:t>
            </w:r>
          </w:p>
        </w:tc>
      </w:tr>
      <w:tr w14:paraId="2C1A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38" w:type="dxa"/>
            <w:vAlign w:val="center"/>
          </w:tcPr>
          <w:p w14:paraId="163EDA1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947" w:type="dxa"/>
            <w:vAlign w:val="center"/>
          </w:tcPr>
          <w:p w14:paraId="2DE42A9A">
            <w:pPr>
              <w:pStyle w:val="92"/>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付款方式</w:t>
            </w:r>
          </w:p>
        </w:tc>
        <w:tc>
          <w:tcPr>
            <w:tcW w:w="6960" w:type="dxa"/>
            <w:vAlign w:val="center"/>
          </w:tcPr>
          <w:p w14:paraId="033EFF5F">
            <w:pPr>
              <w:pStyle w:val="92"/>
              <w:spacing w:line="240" w:lineRule="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签订合同后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货物全部到场安装完成，并经采购人验收合格后一次性支付合同价款的</w:t>
            </w:r>
            <w:r>
              <w:rPr>
                <w:rFonts w:hint="eastAsia" w:ascii="仿宋" w:hAnsi="仿宋" w:eastAsia="仿宋" w:cs="仿宋"/>
                <w:sz w:val="24"/>
                <w:szCs w:val="24"/>
                <w:highlight w:val="none"/>
              </w:rPr>
              <w:t xml:space="preserve"> 100%</w:t>
            </w:r>
            <w:r>
              <w:rPr>
                <w:rFonts w:hint="eastAsia" w:ascii="仿宋" w:hAnsi="仿宋" w:eastAsia="仿宋" w:cs="仿宋"/>
                <w:color w:val="000000"/>
                <w:sz w:val="24"/>
                <w:szCs w:val="24"/>
                <w:highlight w:val="none"/>
              </w:rPr>
              <w:t>。</w:t>
            </w:r>
          </w:p>
        </w:tc>
      </w:tr>
      <w:tr w14:paraId="24DD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8" w:type="dxa"/>
            <w:vAlign w:val="center"/>
          </w:tcPr>
          <w:p w14:paraId="30070E0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947" w:type="dxa"/>
            <w:vAlign w:val="center"/>
          </w:tcPr>
          <w:p w14:paraId="5BC6FFFE">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资金来源</w:t>
            </w:r>
          </w:p>
        </w:tc>
        <w:tc>
          <w:tcPr>
            <w:tcW w:w="6960" w:type="dxa"/>
            <w:vAlign w:val="center"/>
          </w:tcPr>
          <w:p w14:paraId="4FA29EE2">
            <w:pPr>
              <w:keepNext w:val="0"/>
              <w:keepLines w:val="0"/>
              <w:pageBreakBefore w:val="0"/>
              <w:widowControl w:val="0"/>
              <w:kinsoku/>
              <w:wordWrap/>
              <w:overflowPunct/>
              <w:topLinePunct w:val="0"/>
              <w:autoSpaceDE/>
              <w:autoSpaceDN/>
              <w:bidi w:val="0"/>
              <w:adjustRightInd/>
              <w:snapToGrid w:val="0"/>
              <w:spacing w:line="332"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rPr>
              <w:t>财政资金</w:t>
            </w:r>
          </w:p>
        </w:tc>
      </w:tr>
      <w:tr w14:paraId="69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2178302D">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947" w:type="dxa"/>
            <w:vAlign w:val="center"/>
          </w:tcPr>
          <w:p w14:paraId="41A2259B">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960" w:type="dxa"/>
            <w:vAlign w:val="center"/>
          </w:tcPr>
          <w:p w14:paraId="3B4A34AE">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90天</w:t>
            </w:r>
            <w:r>
              <w:rPr>
                <w:rFonts w:hint="eastAsia" w:ascii="仿宋" w:hAnsi="仿宋" w:eastAsia="仿宋" w:cs="仿宋"/>
                <w:bCs/>
                <w:color w:val="auto"/>
                <w:sz w:val="24"/>
                <w:szCs w:val="24"/>
                <w:highlight w:val="none"/>
              </w:rPr>
              <w:t>（从投标截止之日算起）</w:t>
            </w:r>
          </w:p>
        </w:tc>
      </w:tr>
      <w:tr w14:paraId="1C04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38" w:type="dxa"/>
            <w:vAlign w:val="center"/>
          </w:tcPr>
          <w:p w14:paraId="41025AE8">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947" w:type="dxa"/>
            <w:vAlign w:val="center"/>
          </w:tcPr>
          <w:p w14:paraId="6C3B0B2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投标人对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提出质疑的时间</w:t>
            </w:r>
          </w:p>
        </w:tc>
        <w:tc>
          <w:tcPr>
            <w:tcW w:w="6960" w:type="dxa"/>
            <w:vAlign w:val="center"/>
          </w:tcPr>
          <w:p w14:paraId="694248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提出质疑函的时限：对采购文件提出质疑的，应当在获取采购文件或者采购文件公告期限届满之日起7个工作日内提出。</w:t>
            </w:r>
          </w:p>
          <w:p w14:paraId="205CAC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接收质疑函的方式：将PDF格式电子版质疑文件加盖公章扫描发送至3454697089@qq.com邮箱。</w:t>
            </w:r>
          </w:p>
          <w:p w14:paraId="2CE308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接受质疑的单位：新疆兴立众工程咨询有限责任公司</w:t>
            </w:r>
          </w:p>
          <w:p w14:paraId="46C355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联系电话：0903-2517892 /17799346981</w:t>
            </w:r>
          </w:p>
          <w:p w14:paraId="1B48E6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地址：</w:t>
            </w:r>
            <w:r>
              <w:rPr>
                <w:rFonts w:hint="eastAsia" w:ascii="仿宋" w:hAnsi="仿宋" w:eastAsia="仿宋" w:cs="仿宋"/>
                <w:color w:val="auto"/>
                <w:sz w:val="24"/>
                <w:szCs w:val="24"/>
                <w:highlight w:val="none"/>
                <w:lang w:val="en-US" w:eastAsia="zh-CN"/>
              </w:rPr>
              <w:t>和田市川亿凯旋公馆B区19号楼1105室</w:t>
            </w:r>
          </w:p>
          <w:p w14:paraId="05EDAB21">
            <w:pPr>
              <w:pStyle w:val="59"/>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注：供应商认为采购文件、采购过程、中标或者成交结果使自己的权益受到损害的，可以根据中华人民共和国财政部令第94号中第十条，以书面形式向采购人、采购代理机构一次性针对同一采购程序环节提出质疑。</w:t>
            </w:r>
          </w:p>
        </w:tc>
      </w:tr>
      <w:tr w14:paraId="6524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38" w:type="dxa"/>
            <w:vAlign w:val="center"/>
          </w:tcPr>
          <w:p w14:paraId="071EBDBE">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1947" w:type="dxa"/>
            <w:vAlign w:val="center"/>
          </w:tcPr>
          <w:p w14:paraId="0E24F0F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磋商</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发放</w:t>
            </w:r>
          </w:p>
        </w:tc>
        <w:tc>
          <w:tcPr>
            <w:tcW w:w="6960" w:type="dxa"/>
            <w:vAlign w:val="center"/>
          </w:tcPr>
          <w:p w14:paraId="69060856">
            <w:pPr>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供应商登录政采云平台https://www.zcygov.cn/在线申请获取采购文件（进入“项目采购”应用，在获取采购文件菜单中选择项目，申请获取采购文件）</w:t>
            </w:r>
            <w:r>
              <w:rPr>
                <w:rFonts w:hint="eastAsia" w:ascii="仿宋" w:hAnsi="仿宋" w:eastAsia="仿宋" w:cs="仿宋"/>
                <w:b w:val="0"/>
                <w:bCs w:val="0"/>
                <w:color w:val="auto"/>
                <w:sz w:val="24"/>
                <w:szCs w:val="24"/>
                <w:highlight w:val="none"/>
              </w:rPr>
              <w:t>。</w:t>
            </w:r>
          </w:p>
        </w:tc>
      </w:tr>
      <w:tr w14:paraId="6FA2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38" w:type="dxa"/>
            <w:vAlign w:val="center"/>
          </w:tcPr>
          <w:p w14:paraId="799B2608">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1947" w:type="dxa"/>
            <w:vAlign w:val="center"/>
          </w:tcPr>
          <w:p w14:paraId="1CD123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w:t>
            </w:r>
          </w:p>
          <w:p w14:paraId="35B245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的其他文件</w:t>
            </w:r>
          </w:p>
        </w:tc>
        <w:tc>
          <w:tcPr>
            <w:tcW w:w="6960" w:type="dxa"/>
            <w:vAlign w:val="center"/>
          </w:tcPr>
          <w:p w14:paraId="3072D89B">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文件的澄清、修改书及有关补充通知为</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rPr>
              <w:t>文件的有效组成部分</w:t>
            </w:r>
            <w:r>
              <w:rPr>
                <w:rFonts w:hint="eastAsia" w:ascii="仿宋" w:hAnsi="仿宋" w:eastAsia="仿宋" w:cs="仿宋"/>
                <w:bCs/>
                <w:color w:val="auto"/>
                <w:sz w:val="24"/>
                <w:szCs w:val="24"/>
                <w:highlight w:val="none"/>
                <w:lang w:eastAsia="zh-CN"/>
              </w:rPr>
              <w:t>。</w:t>
            </w:r>
          </w:p>
        </w:tc>
      </w:tr>
      <w:tr w14:paraId="0618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8" w:type="dxa"/>
            <w:vAlign w:val="center"/>
          </w:tcPr>
          <w:p w14:paraId="7A38313C">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947" w:type="dxa"/>
            <w:vAlign w:val="center"/>
          </w:tcPr>
          <w:p w14:paraId="5B581C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投标截止时间</w:t>
            </w:r>
          </w:p>
        </w:tc>
        <w:tc>
          <w:tcPr>
            <w:tcW w:w="6960" w:type="dxa"/>
            <w:vAlign w:val="center"/>
          </w:tcPr>
          <w:p w14:paraId="4266AFE2">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color w:val="auto"/>
                <w:kern w:val="2"/>
                <w:sz w:val="24"/>
                <w:szCs w:val="24"/>
                <w:highlight w:val="none"/>
                <w:lang w:val="en-US" w:eastAsia="zh-CN" w:bidi="ar-SA"/>
              </w:rPr>
              <w:t>11点00分（北京时间）</w:t>
            </w:r>
          </w:p>
        </w:tc>
      </w:tr>
      <w:tr w14:paraId="1128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38" w:type="dxa"/>
            <w:vAlign w:val="center"/>
          </w:tcPr>
          <w:p w14:paraId="68DE3077">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1947" w:type="dxa"/>
            <w:vAlign w:val="center"/>
          </w:tcPr>
          <w:p w14:paraId="71AB15A7">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响应文件</w:t>
            </w:r>
          </w:p>
          <w:p w14:paraId="49D0DC8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的地点</w:t>
            </w:r>
            <w:r>
              <w:rPr>
                <w:rFonts w:hint="eastAsia" w:ascii="仿宋" w:hAnsi="仿宋" w:eastAsia="仿宋" w:cs="仿宋"/>
                <w:color w:val="auto"/>
                <w:sz w:val="24"/>
                <w:szCs w:val="24"/>
                <w:highlight w:val="none"/>
                <w:lang w:eastAsia="zh-CN"/>
              </w:rPr>
              <w:t>及方式</w:t>
            </w:r>
          </w:p>
        </w:tc>
        <w:tc>
          <w:tcPr>
            <w:tcW w:w="6960" w:type="dxa"/>
            <w:vAlign w:val="center"/>
          </w:tcPr>
          <w:p w14:paraId="64531E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bCs/>
                <w:color w:val="auto"/>
                <w:sz w:val="24"/>
                <w:szCs w:val="24"/>
                <w:highlight w:val="none"/>
              </w:rPr>
              <w:t>投标人应于</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Cs/>
                <w:color w:val="auto"/>
                <w:sz w:val="24"/>
                <w:szCs w:val="24"/>
                <w:highlight w:val="none"/>
                <w:u w:val="single"/>
                <w:lang w:val="en-US" w:eastAsia="zh-CN"/>
              </w:rPr>
              <w:t>11点00分（北京时间）</w:t>
            </w:r>
            <w:r>
              <w:rPr>
                <w:rFonts w:hint="eastAsia" w:ascii="仿宋" w:hAnsi="仿宋" w:eastAsia="仿宋" w:cs="仿宋"/>
                <w:b w:val="0"/>
                <w:bCs/>
                <w:color w:val="auto"/>
                <w:sz w:val="24"/>
                <w:szCs w:val="24"/>
                <w:highlight w:val="none"/>
                <w:u w:val="none"/>
                <w:lang w:eastAsia="zh-CN"/>
              </w:rPr>
              <w:t>时整之前</w:t>
            </w:r>
            <w:r>
              <w:rPr>
                <w:rFonts w:hint="eastAsia" w:ascii="仿宋" w:hAnsi="仿宋" w:eastAsia="仿宋" w:cs="仿宋"/>
                <w:b w:val="0"/>
                <w:bCs/>
                <w:color w:val="auto"/>
                <w:sz w:val="24"/>
                <w:szCs w:val="24"/>
                <w:highlight w:val="none"/>
              </w:rPr>
              <w:t>将</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上传到“政采云”平台。应按照本项目</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和政采云平台的要求编制、加密传输</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。供应商在使用系统进行投标的过程中遇到涉及平台使用的任何问题，可致电政采云平台技术支持热线咨询，联系方式：</w:t>
            </w:r>
            <w:r>
              <w:rPr>
                <w:rFonts w:hint="eastAsia" w:ascii="仿宋" w:hAnsi="仿宋" w:eastAsia="仿宋" w:cs="仿宋"/>
                <w:bCs/>
                <w:color w:val="auto"/>
                <w:sz w:val="24"/>
                <w:szCs w:val="24"/>
                <w:highlight w:val="none"/>
                <w:lang w:eastAsia="zh-CN"/>
              </w:rPr>
              <w:t>95763</w:t>
            </w:r>
            <w:r>
              <w:rPr>
                <w:rFonts w:hint="eastAsia" w:ascii="仿宋" w:hAnsi="仿宋" w:eastAsia="仿宋" w:cs="仿宋"/>
                <w:bCs/>
                <w:color w:val="auto"/>
                <w:sz w:val="24"/>
                <w:szCs w:val="24"/>
                <w:highlight w:val="none"/>
              </w:rPr>
              <w:t>。</w:t>
            </w:r>
          </w:p>
        </w:tc>
      </w:tr>
      <w:tr w14:paraId="1F69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38" w:type="dxa"/>
            <w:vAlign w:val="center"/>
          </w:tcPr>
          <w:p w14:paraId="1C92A56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1947" w:type="dxa"/>
            <w:vAlign w:val="center"/>
          </w:tcPr>
          <w:p w14:paraId="3F82094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p>
          <w:p w14:paraId="6A66BB5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解密时间</w:t>
            </w:r>
          </w:p>
        </w:tc>
        <w:tc>
          <w:tcPr>
            <w:tcW w:w="6960" w:type="dxa"/>
            <w:vAlign w:val="center"/>
          </w:tcPr>
          <w:p w14:paraId="71036BFD">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开标时间后</w:t>
            </w:r>
            <w:r>
              <w:rPr>
                <w:rFonts w:hint="eastAsia" w:ascii="仿宋" w:hAnsi="仿宋" w:eastAsia="仿宋" w:cs="仿宋"/>
                <w:b/>
                <w:bCs/>
                <w:color w:val="auto"/>
                <w:sz w:val="24"/>
                <w:szCs w:val="24"/>
                <w:highlight w:val="none"/>
                <w:lang w:val="en-US" w:eastAsia="zh-CN"/>
              </w:rPr>
              <w:t>60分钟</w:t>
            </w:r>
            <w:r>
              <w:rPr>
                <w:rFonts w:hint="eastAsia" w:ascii="仿宋" w:hAnsi="仿宋" w:eastAsia="仿宋" w:cs="仿宋"/>
                <w:b/>
                <w:bCs/>
                <w:color w:val="auto"/>
                <w:sz w:val="24"/>
                <w:szCs w:val="24"/>
                <w:highlight w:val="none"/>
                <w:lang w:eastAsia="zh-CN"/>
              </w:rPr>
              <w:t>内（</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sz w:val="24"/>
                <w:szCs w:val="24"/>
                <w:highlight w:val="none"/>
                <w:lang w:val="en-US" w:eastAsia="zh-CN"/>
              </w:rPr>
              <w:t>上</w:t>
            </w:r>
            <w:r>
              <w:rPr>
                <w:rFonts w:hint="eastAsia" w:ascii="仿宋" w:hAnsi="仿宋" w:eastAsia="仿宋" w:cs="仿宋"/>
                <w:b/>
                <w:bCs/>
                <w:color w:val="auto"/>
                <w:sz w:val="24"/>
                <w:szCs w:val="24"/>
                <w:highlight w:val="none"/>
                <w:lang w:eastAsia="zh-CN"/>
              </w:rPr>
              <w:t>午</w:t>
            </w:r>
            <w:r>
              <w:rPr>
                <w:rFonts w:hint="eastAsia" w:ascii="仿宋" w:hAnsi="仿宋" w:eastAsia="仿宋" w:cs="仿宋"/>
                <w:b/>
                <w:bCs/>
                <w:color w:val="auto"/>
                <w:sz w:val="24"/>
                <w:szCs w:val="24"/>
                <w:highlight w:val="none"/>
                <w:lang w:val="en-US" w:eastAsia="zh-CN"/>
              </w:rPr>
              <w:t>11:00-12：00</w:t>
            </w:r>
            <w:r>
              <w:rPr>
                <w:rFonts w:hint="eastAsia" w:ascii="仿宋" w:hAnsi="仿宋" w:eastAsia="仿宋" w:cs="仿宋"/>
                <w:b/>
                <w:bCs/>
                <w:color w:val="auto"/>
                <w:sz w:val="24"/>
                <w:szCs w:val="24"/>
                <w:highlight w:val="none"/>
                <w:lang w:eastAsia="zh-CN"/>
              </w:rPr>
              <w:t>前）供应商可以登录“政采云”平台，用“项目采购-开标评标”功能进行解密响应文件。若供应商在规定时间内（</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sz w:val="24"/>
                <w:szCs w:val="24"/>
                <w:highlight w:val="none"/>
                <w:lang w:val="en-US" w:eastAsia="zh-CN"/>
              </w:rPr>
              <w:t>上</w:t>
            </w:r>
            <w:r>
              <w:rPr>
                <w:rFonts w:hint="eastAsia" w:ascii="仿宋" w:hAnsi="仿宋" w:eastAsia="仿宋" w:cs="仿宋"/>
                <w:b/>
                <w:bCs/>
                <w:color w:val="auto"/>
                <w:sz w:val="24"/>
                <w:szCs w:val="24"/>
                <w:highlight w:val="none"/>
                <w:lang w:eastAsia="zh-CN"/>
              </w:rPr>
              <w:t>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前）未按时解密的，视为响应文件撤回，</w:t>
            </w:r>
            <w:r>
              <w:rPr>
                <w:rFonts w:hint="eastAsia" w:ascii="仿宋" w:hAnsi="仿宋" w:eastAsia="仿宋" w:cs="仿宋"/>
                <w:b/>
                <w:bCs/>
                <w:color w:val="auto"/>
                <w:sz w:val="24"/>
                <w:szCs w:val="24"/>
                <w:highlight w:val="none"/>
                <w:lang w:val="en-US" w:eastAsia="zh-CN"/>
              </w:rPr>
              <w:t>所有相应后果由供应商自行承担</w:t>
            </w:r>
            <w:r>
              <w:rPr>
                <w:rFonts w:hint="eastAsia" w:ascii="仿宋" w:hAnsi="仿宋" w:eastAsia="仿宋" w:cs="仿宋"/>
                <w:b/>
                <w:bCs/>
                <w:color w:val="auto"/>
                <w:sz w:val="24"/>
                <w:szCs w:val="24"/>
                <w:highlight w:val="none"/>
                <w:lang w:eastAsia="zh-CN"/>
              </w:rPr>
              <w:t>。</w:t>
            </w:r>
          </w:p>
        </w:tc>
      </w:tr>
      <w:tr w14:paraId="0E8B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38" w:type="dxa"/>
            <w:vAlign w:val="center"/>
          </w:tcPr>
          <w:p w14:paraId="1BBC0C4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1947" w:type="dxa"/>
            <w:vAlign w:val="center"/>
          </w:tcPr>
          <w:p w14:paraId="3C6F42C3">
            <w:pPr>
              <w:keepNext w:val="0"/>
              <w:keepLines w:val="0"/>
              <w:widowControl/>
              <w:suppressLineNumbers w:val="0"/>
              <w:spacing w:line="240" w:lineRule="auto"/>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val="0"/>
                <w:color w:val="auto"/>
                <w:kern w:val="0"/>
                <w:sz w:val="24"/>
                <w:szCs w:val="24"/>
                <w:highlight w:val="none"/>
                <w:lang w:val="en-US" w:eastAsia="zh-CN" w:bidi="ar"/>
              </w:rPr>
              <w:t>磋商小组的组成</w:t>
            </w:r>
          </w:p>
        </w:tc>
        <w:tc>
          <w:tcPr>
            <w:tcW w:w="6960" w:type="dxa"/>
            <w:vAlign w:val="center"/>
          </w:tcPr>
          <w:p w14:paraId="5AE6B3DE">
            <w:pPr>
              <w:keepNext w:val="0"/>
              <w:keepLines w:val="0"/>
              <w:widowControl/>
              <w:suppressLineNumbers w:val="0"/>
              <w:shd w:val="clear"/>
              <w:spacing w:line="240" w:lineRule="auto"/>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磋商小组</w:t>
            </w:r>
            <w:r>
              <w:rPr>
                <w:rFonts w:hint="eastAsia" w:ascii="仿宋" w:hAnsi="仿宋" w:eastAsia="仿宋" w:cs="仿宋"/>
                <w:color w:val="auto"/>
                <w:kern w:val="0"/>
                <w:sz w:val="24"/>
                <w:szCs w:val="24"/>
                <w:highlight w:val="none"/>
                <w:lang w:val="en-US" w:eastAsia="zh-CN" w:bidi="ar"/>
              </w:rPr>
              <w:t>构成：3人，其中采购人代表一人，评标专家2人</w:t>
            </w:r>
          </w:p>
          <w:p w14:paraId="3489F72D">
            <w:pPr>
              <w:keepNext w:val="0"/>
              <w:keepLines w:val="0"/>
              <w:widowControl/>
              <w:suppressLineNumbers w:val="0"/>
              <w:spacing w:line="240" w:lineRule="auto"/>
              <w:jc w:val="left"/>
              <w:rPr>
                <w:rFonts w:hint="eastAsia" w:ascii="仿宋" w:hAnsi="仿宋" w:eastAsia="仿宋" w:cs="仿宋"/>
                <w:b/>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磋商小组</w:t>
            </w:r>
            <w:r>
              <w:rPr>
                <w:rFonts w:hint="eastAsia" w:ascii="仿宋" w:hAnsi="仿宋" w:eastAsia="仿宋" w:cs="仿宋"/>
                <w:color w:val="auto"/>
                <w:kern w:val="0"/>
                <w:sz w:val="24"/>
                <w:szCs w:val="24"/>
                <w:highlight w:val="none"/>
                <w:lang w:val="en-US" w:eastAsia="zh-CN" w:bidi="ar"/>
              </w:rPr>
              <w:t>专家确定方式：由招标代理在开标前 48 小时在政采云专家库中随机抽取此次磋商专家。</w:t>
            </w:r>
          </w:p>
        </w:tc>
      </w:tr>
      <w:tr w14:paraId="1F9E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8" w:type="dxa"/>
            <w:vAlign w:val="center"/>
          </w:tcPr>
          <w:p w14:paraId="4531711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1947" w:type="dxa"/>
            <w:vAlign w:val="center"/>
          </w:tcPr>
          <w:p w14:paraId="39B925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报价</w:t>
            </w:r>
          </w:p>
        </w:tc>
        <w:tc>
          <w:tcPr>
            <w:tcW w:w="6960" w:type="dxa"/>
            <w:vAlign w:val="center"/>
          </w:tcPr>
          <w:p w14:paraId="7B081A5F">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本次磋商报价采用二次或二次以上的报价，供应商的报价应当为含税全包价，包括但不限于货物采购、运维服务、保险费、税费、相关售后服务等费用，采购人不再另行支付任何费用</w:t>
            </w:r>
            <w:r>
              <w:rPr>
                <w:rFonts w:hint="eastAsia" w:ascii="仿宋" w:hAnsi="仿宋" w:eastAsia="仿宋" w:cs="仿宋"/>
                <w:color w:val="auto"/>
                <w:sz w:val="24"/>
                <w:szCs w:val="24"/>
                <w:highlight w:val="none"/>
                <w:lang w:eastAsia="zh-CN"/>
              </w:rPr>
              <w:t>。</w:t>
            </w:r>
          </w:p>
        </w:tc>
      </w:tr>
      <w:tr w14:paraId="6E3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38" w:type="dxa"/>
            <w:vAlign w:val="center"/>
          </w:tcPr>
          <w:p w14:paraId="5BB8AD33">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1947" w:type="dxa"/>
            <w:vAlign w:val="center"/>
          </w:tcPr>
          <w:p w14:paraId="0B18B9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招标代理费</w:t>
            </w:r>
          </w:p>
        </w:tc>
        <w:tc>
          <w:tcPr>
            <w:tcW w:w="6960" w:type="dxa"/>
            <w:vAlign w:val="center"/>
          </w:tcPr>
          <w:p w14:paraId="36F897A9">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本次招标代理服务费由</w:t>
            </w:r>
            <w:r>
              <w:rPr>
                <w:rFonts w:hint="eastAsia" w:ascii="仿宋" w:hAnsi="仿宋" w:eastAsia="仿宋" w:cs="仿宋"/>
                <w:bCs/>
                <w:color w:val="auto"/>
                <w:sz w:val="24"/>
                <w:szCs w:val="24"/>
                <w:highlight w:val="none"/>
                <w:lang w:val="en-US" w:eastAsia="zh-CN"/>
              </w:rPr>
              <w:t>中标人</w:t>
            </w:r>
            <w:r>
              <w:rPr>
                <w:rFonts w:hint="eastAsia" w:ascii="仿宋" w:hAnsi="仿宋" w:eastAsia="仿宋" w:cs="仿宋"/>
                <w:bCs/>
                <w:color w:val="auto"/>
                <w:sz w:val="24"/>
                <w:szCs w:val="24"/>
                <w:highlight w:val="none"/>
              </w:rPr>
              <w:t>支付，</w:t>
            </w:r>
            <w:r>
              <w:rPr>
                <w:rFonts w:hint="eastAsia" w:ascii="仿宋" w:hAnsi="仿宋" w:eastAsia="仿宋" w:cs="仿宋"/>
                <w:bCs/>
                <w:color w:val="auto"/>
                <w:sz w:val="24"/>
                <w:szCs w:val="24"/>
                <w:highlight w:val="none"/>
                <w:lang w:eastAsia="zh-CN"/>
              </w:rPr>
              <w:t>按中标价：（100万以下按1.5%计取、100-500万按1.1%计取、500-1000万按0.8%计取、1000-5000万按0.5%计取，按差额定率累进法计算）。</w:t>
            </w:r>
          </w:p>
        </w:tc>
      </w:tr>
      <w:tr w14:paraId="1A20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8" w:type="dxa"/>
            <w:vAlign w:val="center"/>
          </w:tcPr>
          <w:p w14:paraId="4D540D5F">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947" w:type="dxa"/>
            <w:vAlign w:val="center"/>
          </w:tcPr>
          <w:p w14:paraId="782AED17">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本项目评标办法</w:t>
            </w:r>
          </w:p>
        </w:tc>
        <w:tc>
          <w:tcPr>
            <w:tcW w:w="6960" w:type="dxa"/>
            <w:vAlign w:val="center"/>
          </w:tcPr>
          <w:p w14:paraId="4C33EBE7">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竞争性磋商（本项目采用</w:t>
            </w:r>
            <w:r>
              <w:rPr>
                <w:rFonts w:hint="eastAsia" w:ascii="仿宋" w:hAnsi="仿宋" w:eastAsia="仿宋" w:cs="仿宋"/>
                <w:color w:val="auto"/>
                <w:kern w:val="2"/>
                <w:sz w:val="24"/>
                <w:szCs w:val="24"/>
                <w:highlight w:val="none"/>
                <w:lang w:val="en-US" w:eastAsia="zh-CN" w:bidi="ar-SA"/>
              </w:rPr>
              <w:t>二次或二次以上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最终</w:t>
            </w:r>
            <w:r>
              <w:rPr>
                <w:rFonts w:hint="eastAsia" w:ascii="仿宋" w:hAnsi="仿宋" w:eastAsia="仿宋" w:cs="仿宋"/>
                <w:color w:val="auto"/>
                <w:sz w:val="24"/>
                <w:szCs w:val="24"/>
                <w:highlight w:val="none"/>
              </w:rPr>
              <w:t>报价后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磋商小组对满足所有实质性要求提交最后报价的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的响应文件和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val="en-US" w:eastAsia="zh-CN"/>
              </w:rPr>
              <w:t>最终</w:t>
            </w:r>
            <w:r>
              <w:rPr>
                <w:rFonts w:hint="eastAsia" w:ascii="仿宋" w:hAnsi="仿宋" w:eastAsia="仿宋" w:cs="仿宋"/>
                <w:color w:val="auto"/>
                <w:sz w:val="24"/>
                <w:szCs w:val="24"/>
                <w:highlight w:val="none"/>
              </w:rPr>
              <w:t>报价进行综合评分，得分由高到低排序推荐第一、第二、第三中标候选人）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注：磋商小组可根据现场情况确定磋商次数</w:t>
            </w:r>
            <w:r>
              <w:rPr>
                <w:rFonts w:hint="eastAsia" w:ascii="仿宋" w:hAnsi="仿宋" w:eastAsia="仿宋" w:cs="仿宋"/>
                <w:color w:val="auto"/>
                <w:sz w:val="24"/>
                <w:szCs w:val="24"/>
                <w:highlight w:val="none"/>
                <w:lang w:eastAsia="zh-CN"/>
              </w:rPr>
              <w:t>）</w:t>
            </w:r>
          </w:p>
        </w:tc>
      </w:tr>
      <w:tr w14:paraId="5378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8" w:type="dxa"/>
            <w:vAlign w:val="center"/>
          </w:tcPr>
          <w:p w14:paraId="1834A4AC">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947" w:type="dxa"/>
            <w:vAlign w:val="center"/>
          </w:tcPr>
          <w:p w14:paraId="2680387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不予退还保证金的情形</w:t>
            </w:r>
          </w:p>
        </w:tc>
        <w:tc>
          <w:tcPr>
            <w:tcW w:w="6960" w:type="dxa"/>
            <w:vAlign w:val="center"/>
          </w:tcPr>
          <w:p w14:paraId="0F3F527C">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有下列情形之一的，保证金不予退还：</w:t>
            </w:r>
          </w:p>
          <w:p w14:paraId="5E3304F1">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（1）供应商在提交响应文件截止时间后撤回响应文件的；</w:t>
            </w:r>
          </w:p>
          <w:p w14:paraId="22A839AC">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（2）供应商在响应文件中提供虚假材料的；</w:t>
            </w:r>
          </w:p>
          <w:p w14:paraId="263232B2">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（3）除因不可抗力或竞争性磋商文件认可的情形以外，成交供应商不与采购人签订合同的；</w:t>
            </w:r>
          </w:p>
          <w:p w14:paraId="70CE5D92">
            <w:pPr>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（4）供应商与采购人、其他供应商或者采购代理机构恶意串通的；</w:t>
            </w:r>
          </w:p>
          <w:p w14:paraId="5D564481">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（5）竞争性磋商文件规定的其他情形。</w:t>
            </w:r>
          </w:p>
        </w:tc>
      </w:tr>
      <w:tr w14:paraId="0D03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38" w:type="dxa"/>
            <w:vAlign w:val="center"/>
          </w:tcPr>
          <w:p w14:paraId="0B066498">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1947" w:type="dxa"/>
            <w:vAlign w:val="center"/>
          </w:tcPr>
          <w:p w14:paraId="32B9BAE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履约保证金</w:t>
            </w:r>
          </w:p>
        </w:tc>
        <w:tc>
          <w:tcPr>
            <w:tcW w:w="6960" w:type="dxa"/>
            <w:vAlign w:val="center"/>
          </w:tcPr>
          <w:p w14:paraId="2D8C7976">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甲乙双方签订合同时约定缴纳金额及方式</w:t>
            </w:r>
          </w:p>
        </w:tc>
      </w:tr>
      <w:tr w14:paraId="3D5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38" w:type="dxa"/>
            <w:vAlign w:val="center"/>
          </w:tcPr>
          <w:p w14:paraId="392B2CE6">
            <w:pPr>
              <w:keepNext w:val="0"/>
              <w:keepLines w:val="0"/>
              <w:pageBreakBefore w:val="0"/>
              <w:kinsoku/>
              <w:wordWrap/>
              <w:overflowPunct/>
              <w:topLinePunct w:val="0"/>
              <w:autoSpaceDE/>
              <w:autoSpaceDN/>
              <w:bidi w:val="0"/>
              <w:adjustRightInd/>
              <w:snapToGrid/>
              <w:spacing w:line="240" w:lineRule="auto"/>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1947" w:type="dxa"/>
            <w:vAlign w:val="center"/>
          </w:tcPr>
          <w:p w14:paraId="6161282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p>
          <w:p w14:paraId="4798F6D9">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政策支持</w:t>
            </w:r>
          </w:p>
        </w:tc>
        <w:tc>
          <w:tcPr>
            <w:tcW w:w="6960" w:type="dxa"/>
            <w:vAlign w:val="top"/>
          </w:tcPr>
          <w:p w14:paraId="535B8821">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1、根据财政部、工业和信息化部印发的《政府采购促进中小企业发展管理办法》的规定，对于未预留份额专门面向中小企业的采购项目，以及预留份额项目中的非预留部分采购包，采购人、采购代理机构应当对符合规定的小微企业报价给予10% 的扣除，用扣除后的价格参加评审。  </w:t>
            </w:r>
          </w:p>
          <w:p w14:paraId="1C66E256">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2、在政府采购活动中，监狱企业视同小型、微型企业，享受预留份额、评审中价格扣除等政府采购促进中小企业发展的政府采购政策。向监狱企业采购的金额，计入面向中小企业采购的统计数据。</w:t>
            </w:r>
          </w:p>
          <w:p w14:paraId="3E392F5B">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827CE5A">
            <w:pPr>
              <w:pStyle w:val="12"/>
              <w:rPr>
                <w:rFonts w:hint="eastAsia"/>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本项目所属行业：</w:t>
            </w:r>
            <w:r>
              <w:rPr>
                <w:rFonts w:hint="eastAsia" w:ascii="仿宋" w:hAnsi="仿宋" w:eastAsia="仿宋" w:cs="仿宋"/>
                <w:b/>
                <w:bCs/>
                <w:color w:val="000000"/>
                <w:sz w:val="24"/>
                <w:szCs w:val="24"/>
                <w:highlight w:val="none"/>
                <w:lang w:val="en-US" w:eastAsia="zh-CN"/>
              </w:rPr>
              <w:t>信息传输业</w:t>
            </w:r>
            <w:r>
              <w:rPr>
                <w:rFonts w:hint="eastAsia" w:ascii="仿宋" w:hAnsi="仿宋" w:eastAsia="仿宋" w:cs="仿宋"/>
                <w:b/>
                <w:bCs/>
                <w:sz w:val="24"/>
                <w:szCs w:val="24"/>
                <w:highlight w:val="none"/>
                <w:lang w:val="en-US" w:eastAsia="zh-CN"/>
              </w:rPr>
              <w:t>。</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val="0"/>
                <w:bCs/>
                <w:color w:val="auto"/>
                <w:kern w:val="2"/>
                <w:sz w:val="24"/>
                <w:szCs w:val="24"/>
                <w:highlight w:val="none"/>
                <w:lang w:val="en-US" w:eastAsia="zh-CN" w:bidi="ar-SA"/>
              </w:rPr>
              <w:t xml:space="preserve"> </w:t>
            </w:r>
            <w:r>
              <w:rPr>
                <w:rFonts w:hint="eastAsia"/>
                <w:sz w:val="24"/>
                <w:szCs w:val="24"/>
                <w:highlight w:val="none"/>
                <w:lang w:val="en-US" w:eastAsia="zh-CN"/>
              </w:rPr>
              <w:t xml:space="preserve">                    </w:t>
            </w:r>
          </w:p>
        </w:tc>
      </w:tr>
      <w:tr w14:paraId="51DE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0469ABD3">
            <w:pPr>
              <w:keepNext w:val="0"/>
              <w:keepLines w:val="0"/>
              <w:pageBreakBefore w:val="0"/>
              <w:kinsoku/>
              <w:wordWrap/>
              <w:overflowPunct/>
              <w:topLinePunct w:val="0"/>
              <w:autoSpaceDE/>
              <w:autoSpaceDN/>
              <w:bidi w:val="0"/>
              <w:adjustRightInd/>
              <w:snapToGrid/>
              <w:spacing w:line="340" w:lineRule="exact"/>
              <w:ind w:left="0" w:leftChars="0" w:right="0" w:rightChars="0" w:firstLine="240" w:firstLineChars="1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947" w:type="dxa"/>
            <w:vAlign w:val="center"/>
          </w:tcPr>
          <w:p w14:paraId="1EF3A262">
            <w:pPr>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补充说明</w:t>
            </w:r>
          </w:p>
        </w:tc>
        <w:tc>
          <w:tcPr>
            <w:tcW w:w="6960" w:type="dxa"/>
            <w:vAlign w:val="center"/>
          </w:tcPr>
          <w:p w14:paraId="5E4A885F">
            <w:pPr>
              <w:keepNext w:val="0"/>
              <w:keepLines w:val="0"/>
              <w:pageBreakBefore w:val="0"/>
              <w:numPr>
                <w:ilvl w:val="0"/>
                <w:numId w:val="7"/>
              </w:numPr>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根据《中小企业划型标准规定》(工信部联企业[2011]300号)，本项目为</w:t>
            </w:r>
            <w:r>
              <w:rPr>
                <w:rFonts w:hint="eastAsia" w:ascii="仿宋" w:hAnsi="仿宋" w:eastAsia="仿宋" w:cs="仿宋"/>
                <w:b/>
                <w:bCs/>
                <w:color w:val="000000"/>
                <w:sz w:val="24"/>
                <w:szCs w:val="24"/>
                <w:highlight w:val="none"/>
                <w:lang w:val="en-US" w:eastAsia="zh-CN"/>
              </w:rPr>
              <w:t>信息传输业</w:t>
            </w:r>
            <w:r>
              <w:rPr>
                <w:rFonts w:hint="eastAsia" w:ascii="仿宋" w:hAnsi="仿宋" w:eastAsia="仿宋" w:cs="仿宋"/>
                <w:sz w:val="24"/>
                <w:szCs w:val="24"/>
                <w:highlight w:val="none"/>
                <w:lang w:val="en-US" w:eastAsia="zh-CN"/>
              </w:rPr>
              <w:t>。中小企业以供应商填写的《中小企业声明函》（见响应文件格式）为判定标准，否则不予认定。</w:t>
            </w:r>
          </w:p>
          <w:p w14:paraId="5518389B">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二、（1）所有投标人的报价高于采购预算额度视为无效报价（即作否决投标处理）。</w:t>
            </w:r>
          </w:p>
          <w:p w14:paraId="62CD5337">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2EE57AD3">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（3）更正补充公告请自行登录新疆政府采购网查看下载。</w:t>
            </w:r>
          </w:p>
          <w:p w14:paraId="09F9A328">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（4）投标供应商制作响应文件的CA锁必须和开标解密的CA锁为同一把锁，在解密过程中因为CA锁不同而导致解密失败的，由投标供应商自行承担。</w:t>
            </w:r>
          </w:p>
          <w:p w14:paraId="56500515">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三、1、竞争性磋商文件中部分加“</w:t>
            </w:r>
            <w:r>
              <w:rPr>
                <w:rFonts w:hint="eastAsia" w:ascii="仿宋" w:hAnsi="仿宋" w:eastAsia="仿宋" w:cs="仿宋"/>
                <w:sz w:val="21"/>
                <w:szCs w:val="21"/>
                <w:highlight w:val="none"/>
                <w:lang w:val="en-US" w:eastAsia="zh-CN"/>
              </w:rPr>
              <w:t>▲</w:t>
            </w:r>
            <w:r>
              <w:rPr>
                <w:rFonts w:hint="eastAsia" w:ascii="仿宋" w:hAnsi="仿宋" w:eastAsia="仿宋" w:cs="仿宋"/>
                <w:sz w:val="24"/>
                <w:szCs w:val="24"/>
                <w:highlight w:val="none"/>
                <w:lang w:val="en-US" w:eastAsia="zh-CN"/>
              </w:rPr>
              <w:t>”、加粗、加下划线、废标、无效标、投标被拒绝字样的条款，为招标的实质性要求和条件，着重提醒各投标人注意，并认真查看竞争性磋商文件中的每一个条款及要求，因误读竞争性磋商文件而造成的后果，招标人概不负责。</w:t>
            </w:r>
          </w:p>
          <w:p w14:paraId="2D8C48BD">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响应文件中如有弄虚作假的内容，其响应文件作废（如假证书、假业绩、隐瞒不良行为记录、夸大荣誉、使用非本单位在职员工的相关证明材料及不符合竞争性磋商文件规定的条款等）。在签订合同之前，招标人如发现投标人的响应文件有弄虚作假内容，招标人可拒绝与其签订合同。并将其列入政府采购黑名单库。</w:t>
            </w:r>
          </w:p>
          <w:p w14:paraId="1FE5873B">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供货。</w:t>
            </w:r>
          </w:p>
          <w:p w14:paraId="22083E7B">
            <w:pPr>
              <w:pStyle w:val="12"/>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4、本项目的招标投标活动以及相关当事人须接受财政监督部门依法实施的监督。</w:t>
            </w:r>
          </w:p>
          <w:p w14:paraId="2AF4A79D">
            <w:pPr>
              <w:pStyle w:val="12"/>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4E813B6B">
            <w:pPr>
              <w:pStyle w:val="12"/>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04D332B">
            <w:pPr>
              <w:pStyle w:val="12"/>
              <w:ind w:left="0" w:leftChars="0" w:firstLine="0" w:firstLineChars="0"/>
              <w:rPr>
                <w:rFonts w:hint="eastAsia"/>
                <w:sz w:val="24"/>
                <w:szCs w:val="24"/>
                <w:highlight w:val="none"/>
                <w:lang w:val="en-US" w:eastAsia="zh-CN"/>
              </w:rPr>
            </w:pPr>
            <w:r>
              <w:rPr>
                <w:rFonts w:hint="eastAsia" w:ascii="仿宋" w:hAnsi="仿宋" w:eastAsia="仿宋" w:cs="仿宋"/>
                <w:sz w:val="24"/>
                <w:szCs w:val="24"/>
                <w:highlight w:val="none"/>
                <w:lang w:val="en-US" w:eastAsia="zh-CN"/>
              </w:rPr>
              <w:t>7、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响应文件作为无效处理。</w:t>
            </w:r>
          </w:p>
        </w:tc>
      </w:tr>
      <w:tr w14:paraId="5F62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6449B9FF">
            <w:pPr>
              <w:keepNext w:val="0"/>
              <w:keepLines w:val="0"/>
              <w:pageBreakBefore w:val="0"/>
              <w:kinsoku/>
              <w:wordWrap/>
              <w:overflowPunct/>
              <w:topLinePunct w:val="0"/>
              <w:autoSpaceDE/>
              <w:autoSpaceDN/>
              <w:bidi w:val="0"/>
              <w:adjustRightInd/>
              <w:snapToGrid/>
              <w:spacing w:line="340" w:lineRule="exact"/>
              <w:ind w:left="0" w:leftChars="0" w:right="0" w:rightChars="0" w:firstLine="240" w:firstLineChars="100"/>
              <w:jc w:val="left"/>
              <w:textAlignment w:val="auto"/>
              <w:rPr>
                <w:rFonts w:hint="default" w:ascii="仿宋" w:hAnsi="仿宋" w:eastAsia="仿宋" w:cs="仿宋"/>
                <w:color w:val="auto"/>
                <w:kern w:val="2"/>
                <w:sz w:val="24"/>
                <w:szCs w:val="24"/>
                <w:highlight w:val="none"/>
                <w:lang w:val="en-US" w:eastAsia="zh-CN" w:bidi="ar-SA"/>
              </w:rPr>
            </w:pPr>
            <w:bookmarkStart w:id="47" w:name="_Toc2805"/>
            <w:bookmarkStart w:id="48" w:name="_Toc13351"/>
            <w:r>
              <w:rPr>
                <w:rFonts w:hint="eastAsia" w:ascii="仿宋" w:hAnsi="仿宋" w:eastAsia="仿宋" w:cs="仿宋"/>
                <w:color w:val="auto"/>
                <w:kern w:val="2"/>
                <w:sz w:val="24"/>
                <w:szCs w:val="24"/>
                <w:highlight w:val="none"/>
                <w:lang w:val="en-US" w:eastAsia="zh-CN" w:bidi="ar-SA"/>
              </w:rPr>
              <w:t>32</w:t>
            </w:r>
          </w:p>
        </w:tc>
        <w:tc>
          <w:tcPr>
            <w:tcW w:w="1947" w:type="dxa"/>
            <w:vAlign w:val="center"/>
          </w:tcPr>
          <w:p w14:paraId="31811D43">
            <w:pPr>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重要提示</w:t>
            </w:r>
          </w:p>
        </w:tc>
        <w:tc>
          <w:tcPr>
            <w:tcW w:w="6960" w:type="dxa"/>
            <w:vAlign w:val="center"/>
          </w:tcPr>
          <w:p w14:paraId="7FACF048">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14:paraId="45D740E7">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7B6B640F">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0DE91C13">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（4）中标供应商中标后被监管部门查实存在违法行为，不满足中标条件的，由采购人取消中标资格，并做好项目后续工作； </w:t>
            </w:r>
          </w:p>
          <w:p w14:paraId="20A9EA04">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14:paraId="36A3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22D2F904">
            <w:pPr>
              <w:keepNext w:val="0"/>
              <w:keepLines w:val="0"/>
              <w:pageBreakBefore w:val="0"/>
              <w:kinsoku/>
              <w:wordWrap/>
              <w:overflowPunct/>
              <w:topLinePunct w:val="0"/>
              <w:autoSpaceDE/>
              <w:autoSpaceDN/>
              <w:bidi w:val="0"/>
              <w:adjustRightInd/>
              <w:snapToGrid/>
              <w:spacing w:line="340" w:lineRule="exact"/>
              <w:ind w:left="0" w:leftChars="0" w:right="0" w:rightChars="0" w:firstLine="241" w:firstLineChars="10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33</w:t>
            </w:r>
          </w:p>
        </w:tc>
        <w:tc>
          <w:tcPr>
            <w:tcW w:w="1947" w:type="dxa"/>
            <w:vAlign w:val="center"/>
          </w:tcPr>
          <w:p w14:paraId="7E1F1B2D">
            <w:pPr>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sz w:val="24"/>
                <w:szCs w:val="24"/>
                <w:highlight w:val="none"/>
                <w:lang w:val="en-US" w:eastAsia="zh-CN"/>
              </w:rPr>
              <w:t>其他方式采购</w:t>
            </w:r>
          </w:p>
        </w:tc>
        <w:tc>
          <w:tcPr>
            <w:tcW w:w="6960" w:type="dxa"/>
            <w:vAlign w:val="center"/>
          </w:tcPr>
          <w:p w14:paraId="3F014C3C">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347B5963">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rPr>
              <w:t>竞争性磋商文件</w:t>
            </w:r>
            <w:r>
              <w:rPr>
                <w:rFonts w:hint="default" w:ascii="仿宋" w:hAnsi="仿宋" w:eastAsia="仿宋" w:cs="仿宋"/>
                <w:sz w:val="24"/>
                <w:szCs w:val="24"/>
                <w:highlight w:val="none"/>
                <w:lang w:val="en-US" w:eastAsia="zh-CN"/>
              </w:rPr>
              <w:t>存在不合理条款或者采购程序不符合规定的，采购人、采购代理机构改正后依法重新采购；</w:t>
            </w:r>
          </w:p>
          <w:p w14:paraId="2012E0D9">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CN"/>
              </w:rPr>
              <w:t>竞争性磋商文件</w:t>
            </w:r>
            <w:r>
              <w:rPr>
                <w:rFonts w:hint="default" w:ascii="仿宋" w:hAnsi="仿宋" w:eastAsia="仿宋" w:cs="仿宋"/>
                <w:sz w:val="24"/>
                <w:szCs w:val="24"/>
                <w:highlight w:val="none"/>
                <w:lang w:val="en-US" w:eastAsia="zh-CN"/>
              </w:rPr>
              <w:t>没有不合理条款、采购程序符合规定，需要采用其他采购方式采购的，采购人应当依法报财政部门批准。</w:t>
            </w:r>
          </w:p>
        </w:tc>
      </w:tr>
      <w:tr w14:paraId="16E1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27F33ED3">
            <w:pPr>
              <w:keepNext w:val="0"/>
              <w:keepLines w:val="0"/>
              <w:pageBreakBefore w:val="0"/>
              <w:kinsoku/>
              <w:wordWrap/>
              <w:overflowPunct/>
              <w:topLinePunct w:val="0"/>
              <w:autoSpaceDE/>
              <w:autoSpaceDN/>
              <w:bidi w:val="0"/>
              <w:adjustRightInd/>
              <w:snapToGrid/>
              <w:spacing w:line="340" w:lineRule="exact"/>
              <w:ind w:left="0" w:leftChars="0" w:right="0" w:rightChars="0" w:firstLine="241" w:firstLineChars="10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34</w:t>
            </w:r>
          </w:p>
        </w:tc>
        <w:tc>
          <w:tcPr>
            <w:tcW w:w="1947" w:type="dxa"/>
            <w:vAlign w:val="center"/>
          </w:tcPr>
          <w:p w14:paraId="01D49E42">
            <w:pPr>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质疑</w:t>
            </w:r>
          </w:p>
        </w:tc>
        <w:tc>
          <w:tcPr>
            <w:tcW w:w="6960" w:type="dxa"/>
            <w:vAlign w:val="center"/>
          </w:tcPr>
          <w:p w14:paraId="35A79024">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认为竞争性磋商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14:paraId="0DA1BB10">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仿宋" w:hAnsi="仿宋" w:eastAsia="仿宋" w:cs="仿宋"/>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注：根据《中华人民共和国政府采购法》的规定，供应商质疑不得超出公开竞争性磋商文件、公开招标过程及公开招标结果的范围及时效限制。</w:t>
            </w:r>
          </w:p>
        </w:tc>
      </w:tr>
      <w:tr w14:paraId="0C7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6C5FE25C">
            <w:pPr>
              <w:keepNext w:val="0"/>
              <w:keepLines w:val="0"/>
              <w:pageBreakBefore w:val="0"/>
              <w:kinsoku/>
              <w:wordWrap/>
              <w:overflowPunct/>
              <w:topLinePunct w:val="0"/>
              <w:autoSpaceDE/>
              <w:autoSpaceDN/>
              <w:bidi w:val="0"/>
              <w:adjustRightInd/>
              <w:snapToGrid/>
              <w:spacing w:line="340" w:lineRule="exact"/>
              <w:ind w:left="0" w:leftChars="0" w:right="0" w:rightChars="0" w:firstLine="241" w:firstLineChars="10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35</w:t>
            </w:r>
          </w:p>
        </w:tc>
        <w:tc>
          <w:tcPr>
            <w:tcW w:w="1947" w:type="dxa"/>
            <w:vAlign w:val="center"/>
          </w:tcPr>
          <w:p w14:paraId="0FBF87F0">
            <w:pPr>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投诉</w:t>
            </w:r>
          </w:p>
        </w:tc>
        <w:tc>
          <w:tcPr>
            <w:tcW w:w="6960" w:type="dxa"/>
            <w:vAlign w:val="center"/>
          </w:tcPr>
          <w:p w14:paraId="1FF20248">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b w:val="0"/>
                <w:bCs w:val="0"/>
                <w:color w:val="000000"/>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14:paraId="218E1F93">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5F55BD64">
            <w:pPr>
              <w:ind w:left="105" w:hanging="105"/>
              <w:jc w:val="left"/>
              <w:rPr>
                <w:rFonts w:hint="eastAsia" w:ascii="仿宋_GB2312" w:hAnsi="仿宋_GB2312" w:eastAsia="仿宋_GB2312" w:cs="仿宋_GB2312"/>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注：根据《中华人民共和国政府采购法实施条例》的规定，供应商投诉事项不得超出已质疑事项的范围。</w:t>
            </w:r>
          </w:p>
        </w:tc>
      </w:tr>
      <w:tr w14:paraId="03E0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1DB115A0">
            <w:pPr>
              <w:keepNext w:val="0"/>
              <w:keepLines w:val="0"/>
              <w:pageBreakBefore w:val="0"/>
              <w:kinsoku/>
              <w:wordWrap/>
              <w:overflowPunct/>
              <w:topLinePunct w:val="0"/>
              <w:autoSpaceDE/>
              <w:autoSpaceDN/>
              <w:bidi w:val="0"/>
              <w:adjustRightInd/>
              <w:snapToGrid/>
              <w:spacing w:line="340" w:lineRule="exact"/>
              <w:ind w:left="0" w:leftChars="0" w:right="0" w:rightChars="0" w:firstLine="241" w:firstLineChars="100"/>
              <w:jc w:val="lef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36</w:t>
            </w:r>
          </w:p>
        </w:tc>
        <w:tc>
          <w:tcPr>
            <w:tcW w:w="1947" w:type="dxa"/>
            <w:vAlign w:val="center"/>
          </w:tcPr>
          <w:p w14:paraId="55C86590">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p>
        </w:tc>
        <w:tc>
          <w:tcPr>
            <w:tcW w:w="6960" w:type="dxa"/>
            <w:vAlign w:val="center"/>
          </w:tcPr>
          <w:p w14:paraId="6D1FBDE0">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ascii="仿宋_GB2312" w:hAnsi="仿宋_GB2312" w:eastAsia="仿宋_GB2312" w:cs="仿宋_GB2312"/>
                <w:szCs w:val="21"/>
              </w:rPr>
            </w:pPr>
          </w:p>
        </w:tc>
      </w:tr>
      <w:tr w14:paraId="667A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 w:type="dxa"/>
            <w:vAlign w:val="center"/>
          </w:tcPr>
          <w:p w14:paraId="6DFBA043">
            <w:pPr>
              <w:keepNext w:val="0"/>
              <w:keepLines w:val="0"/>
              <w:pageBreakBefore w:val="0"/>
              <w:kinsoku/>
              <w:wordWrap/>
              <w:overflowPunct/>
              <w:topLinePunct w:val="0"/>
              <w:autoSpaceDE/>
              <w:autoSpaceDN/>
              <w:bidi w:val="0"/>
              <w:adjustRightInd/>
              <w:snapToGrid/>
              <w:spacing w:line="340" w:lineRule="exact"/>
              <w:ind w:left="0" w:leftChars="0" w:right="0" w:rightChars="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tc>
        <w:tc>
          <w:tcPr>
            <w:tcW w:w="1947" w:type="dxa"/>
            <w:vAlign w:val="center"/>
          </w:tcPr>
          <w:p w14:paraId="7C9B2F9D">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仿宋" w:hAnsi="仿宋" w:eastAsia="仿宋" w:cs="仿宋"/>
                <w:color w:val="000000"/>
                <w:kern w:val="0"/>
                <w:sz w:val="24"/>
                <w:szCs w:val="24"/>
                <w:highlight w:val="none"/>
                <w:lang w:val="en-US" w:eastAsia="zh-CN"/>
              </w:rPr>
            </w:pPr>
          </w:p>
        </w:tc>
        <w:tc>
          <w:tcPr>
            <w:tcW w:w="6960" w:type="dxa"/>
            <w:vAlign w:val="center"/>
          </w:tcPr>
          <w:p w14:paraId="5E526CA2">
            <w:pPr>
              <w:pStyle w:val="20"/>
              <w:ind w:left="0" w:leftChars="0" w:firstLine="0" w:firstLineChars="0"/>
              <w:rPr>
                <w:rFonts w:hint="eastAsia" w:ascii="仿宋" w:hAnsi="仿宋" w:eastAsia="仿宋" w:cs="仿宋"/>
                <w:color w:val="000000"/>
                <w:sz w:val="24"/>
                <w:szCs w:val="24"/>
                <w:highlight w:val="none"/>
                <w:lang w:val="en-US" w:eastAsia="zh-CN"/>
              </w:rPr>
            </w:pPr>
          </w:p>
        </w:tc>
      </w:tr>
    </w:tbl>
    <w:p w14:paraId="11F8D4F0">
      <w:pPr>
        <w:rPr>
          <w:rFonts w:hint="eastAsia" w:ascii="仿宋" w:hAnsi="仿宋" w:eastAsia="仿宋" w:cs="仿宋"/>
          <w:b/>
          <w:bCs w:val="0"/>
          <w:color w:val="auto"/>
          <w:sz w:val="36"/>
          <w:szCs w:val="36"/>
          <w:highlight w:val="none"/>
          <w:lang w:val="en-US" w:eastAsia="zh-CN"/>
        </w:rPr>
      </w:pPr>
    </w:p>
    <w:p w14:paraId="4165FE2C">
      <w:pPr>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br w:type="page"/>
      </w:r>
    </w:p>
    <w:p w14:paraId="21390CCB">
      <w:pPr>
        <w:numPr>
          <w:ilvl w:val="0"/>
          <w:numId w:val="0"/>
        </w:numPr>
        <w:spacing w:line="360" w:lineRule="auto"/>
        <w:jc w:val="center"/>
        <w:outlineLvl w:val="1"/>
        <w:rPr>
          <w:rFonts w:hint="eastAsia"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第一章   投标人</w:t>
      </w:r>
      <w:r>
        <w:rPr>
          <w:rFonts w:hint="eastAsia" w:ascii="仿宋" w:hAnsi="仿宋" w:eastAsia="仿宋" w:cs="仿宋"/>
          <w:b/>
          <w:bCs w:val="0"/>
          <w:color w:val="auto"/>
          <w:sz w:val="36"/>
          <w:szCs w:val="36"/>
          <w:highlight w:val="none"/>
        </w:rPr>
        <w:t>须知</w:t>
      </w:r>
    </w:p>
    <w:p w14:paraId="6E660303">
      <w:pPr>
        <w:numPr>
          <w:ilvl w:val="0"/>
          <w:numId w:val="0"/>
        </w:numPr>
        <w:spacing w:line="360" w:lineRule="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 xml:space="preserve">  </w:t>
      </w:r>
      <w:bookmarkStart w:id="49" w:name="_Toc3855"/>
      <w:bookmarkStart w:id="50" w:name="_Toc20677"/>
      <w:r>
        <w:rPr>
          <w:rFonts w:hint="eastAsia" w:ascii="仿宋" w:hAnsi="仿宋" w:eastAsia="仿宋" w:cs="仿宋"/>
          <w:b/>
          <w:color w:val="auto"/>
          <w:sz w:val="28"/>
          <w:szCs w:val="28"/>
          <w:highlight w:val="none"/>
        </w:rPr>
        <w:t>总  则</w:t>
      </w:r>
      <w:bookmarkEnd w:id="49"/>
      <w:bookmarkEnd w:id="50"/>
    </w:p>
    <w:p w14:paraId="4BECE7F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14:paraId="540C3A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仅适用于本次招标采购中所叙述项目的货物及服务采购。</w:t>
      </w:r>
    </w:p>
    <w:p w14:paraId="4DFC70C3">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p w14:paraId="7390B080">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1.满足《中华人民共和国政府采购法》第二十二条规定；</w:t>
      </w:r>
    </w:p>
    <w:p w14:paraId="1EA82761">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2.落实政府采购政策需满足的资格要求：</w:t>
      </w:r>
    </w:p>
    <w:p w14:paraId="0F448BB8">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 中小企业政策</w:t>
      </w:r>
    </w:p>
    <w:p w14:paraId="5840B3B4">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☑本项目不专门面向中小企业预留采购份额。</w:t>
      </w:r>
    </w:p>
    <w:p w14:paraId="720EF8CB">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□本项目专门面向  □中小 □小微企业  采购。即：提供的货物或服务全部由符合政策要求的中小/小微企业制造、服务全部由符合政策要求的中小/小微企业承接。</w:t>
      </w:r>
    </w:p>
    <w:p w14:paraId="52C6D2F9">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7C939E15">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 其它落实政府采购政策的资格要求</w:t>
      </w:r>
    </w:p>
    <w:p w14:paraId="50989597">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（1）财政部、国家发展改革委、生态环境部、市场监管总局《关于调整优化节能产品、环境标志产品政府采购执行机制的通知》（财库[2019]9号文）；  </w:t>
      </w:r>
    </w:p>
    <w:p w14:paraId="52E49219">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（2）财政部、生态环境部《关于印发环境标志产品政府采购品目清单的通知》（财库[2019]18号文）； </w:t>
      </w:r>
    </w:p>
    <w:p w14:paraId="2FA183F8">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（3）财政部、发展改革委《关于印发节能产品政府采购品目清单的通知》（财库[2019]19号文）； </w:t>
      </w:r>
    </w:p>
    <w:p w14:paraId="35F24BF0">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（4）市场监管总局《市场监管总局关于发布参与实施政府采购节能产品、环境标志产品认证机构名录的公告》（2019年第16号）；  </w:t>
      </w:r>
    </w:p>
    <w:p w14:paraId="0CE43CB7">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（5）财政部、工业和信息化部《关于印发《政府采购促进中小企业发展管理办法》的通知》（财库[2020]46号文）《关于进一步加大政府采购支持中小企业力度的通知》（财库[2022]19号文）执行； </w:t>
      </w:r>
    </w:p>
    <w:p w14:paraId="7DE58852">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（6）财政部、民政部、中国残疾人联合会《关于促进残疾人就业政府采购政策的通知》（财库[2017]141号）；  </w:t>
      </w:r>
    </w:p>
    <w:p w14:paraId="2C853EBF">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（7）财政部、司法部《关于政府采购支持监狱企业发展有关问题的通知》（财库[2014]68号文）； </w:t>
      </w:r>
    </w:p>
    <w:p w14:paraId="04EA4B6E">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（8）财政部、生态环境部、国家邮政局《关于印发《商品包装政府采购需求标准（试行）》、 《快递包装政府采购需求标准（试行）》的通知》（财办库〔2020〕123号）。落实政府采购政策需满足的资格要求：</w:t>
      </w:r>
    </w:p>
    <w:p w14:paraId="156D1BDB">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标项1</w:t>
      </w:r>
    </w:p>
    <w:p w14:paraId="7B6E71DF">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1.经年审合格（三证合一）的营业执照或（统一社会信用代码证书）；</w:t>
      </w:r>
    </w:p>
    <w:p w14:paraId="70652A98">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2.法定代表人开标应附《法定代表人身份证明书》及身份证复印件，委托代理人开标应附《法定代表人授权委托书》及身份证复印件</w:t>
      </w:r>
    </w:p>
    <w:p w14:paraId="2EE64ECC">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有良好的商业信誉和健全的财务会计制度：提供最新年度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w:t>
      </w:r>
    </w:p>
    <w:p w14:paraId="7A2B26C6">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4.有依法缴纳税收和社会保障资金的良好记录：提供投标截止日前近 3 个月的社保证明材料（社保缴费明细表及缴费凭证），如依法不需要缴纳社会保障资金的，应提供相应文件证明（新成立不满 3 个月的企业，按实际发生的提供）；提供投标截止日前近3个月的缴纳税收的完税证明或税务部门出具的纳税证明（或提供无欠税证明）；如依法免税的，应提供相应文件证明（新成立不满 3个月的企业，按实际发生的提供；</w:t>
      </w:r>
    </w:p>
    <w:p w14:paraId="1DB5510C">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p w14:paraId="7DF4F81B">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6.企业负责人为同一人或者存在直接控股、管理关系的不同投标人，不得参加同一合同项下的政府采购活动。否则，皆取消投标资格；</w:t>
      </w:r>
    </w:p>
    <w:p w14:paraId="02CC8F67">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提供参加政府采购活动前三年内，在经营活动中没有重大违法记录的书面声明；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w:t>
      </w:r>
    </w:p>
    <w:p w14:paraId="1871683C">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8.本项目不接受联合体投标</w:t>
      </w:r>
    </w:p>
    <w:p w14:paraId="2EBAE9F9">
      <w:pPr>
        <w:spacing w:line="360" w:lineRule="auto"/>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3.本项目的特定资格要求：无；</w:t>
      </w:r>
    </w:p>
    <w:p w14:paraId="51055951">
      <w:pPr>
        <w:spacing w:line="360" w:lineRule="auto"/>
        <w:ind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14:paraId="7004039D">
      <w:pPr>
        <w:autoSpaceDE w:val="0"/>
        <w:autoSpaceDN w:val="0"/>
        <w:adjustRightInd w:val="0"/>
        <w:spacing w:line="360" w:lineRule="auto"/>
        <w:ind w:left="1092" w:leftChars="257" w:hanging="552"/>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3.1 “采购人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 xml:space="preserve"> 新疆维吾尔自治区和田某某单位</w:t>
      </w:r>
    </w:p>
    <w:p w14:paraId="734D70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“合格投标人”系指报名合格、购买了</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文件、提交了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文件的投标人，中标后即为中标人，签订合同后即为卖方。</w:t>
      </w:r>
    </w:p>
    <w:p w14:paraId="4362213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“招标机构”为</w:t>
      </w:r>
      <w:r>
        <w:rPr>
          <w:rFonts w:hint="eastAsia" w:ascii="仿宋" w:hAnsi="仿宋" w:eastAsia="仿宋" w:cs="仿宋"/>
          <w:color w:val="auto"/>
          <w:sz w:val="24"/>
          <w:szCs w:val="24"/>
          <w:highlight w:val="none"/>
          <w:lang w:val="en-US" w:eastAsia="zh-CN"/>
        </w:rPr>
        <w:t xml:space="preserve"> 新疆兴立众工程咨询有限责任公司</w:t>
      </w:r>
    </w:p>
    <w:p w14:paraId="666405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“货物”系指卖方按合同要求，须向买方提供的一切产品及其它技术资料和材料。</w:t>
      </w:r>
    </w:p>
    <w:p w14:paraId="333C5B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“服务”系指合同规定卖方须承担的技术协助、本地化开发、安装、调试和交付使用后免费维护期内应履行的义务及</w:t>
      </w:r>
      <w:r>
        <w:rPr>
          <w:rFonts w:hint="eastAsia" w:ascii="仿宋" w:hAnsi="仿宋" w:eastAsia="仿宋" w:cs="仿宋"/>
          <w:color w:val="auto"/>
          <w:sz w:val="24"/>
          <w:szCs w:val="24"/>
          <w:highlight w:val="none"/>
          <w:lang w:val="en-US" w:eastAsia="zh-CN"/>
        </w:rPr>
        <w:t>质量保证</w:t>
      </w:r>
      <w:r>
        <w:rPr>
          <w:rFonts w:hint="eastAsia" w:ascii="仿宋" w:hAnsi="仿宋" w:eastAsia="仿宋" w:cs="仿宋"/>
          <w:color w:val="auto"/>
          <w:sz w:val="24"/>
          <w:szCs w:val="24"/>
          <w:highlight w:val="none"/>
        </w:rPr>
        <w:t>服务等其他类似的义务。</w:t>
      </w:r>
    </w:p>
    <w:p w14:paraId="2C84A1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“卖方”系指提供合同货物和服务的法人。</w:t>
      </w:r>
    </w:p>
    <w:p w14:paraId="5B8FFE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“买方”系指购买货物的单位。</w:t>
      </w:r>
    </w:p>
    <w:p w14:paraId="28C3B0D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3.8.“▲”系指实质性要求条款，需要完全响应。</w:t>
      </w:r>
    </w:p>
    <w:p w14:paraId="20B55293">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3.9.“★”作为评分加分项，应按照招标文件中的评分标准进行评审。</w:t>
      </w:r>
    </w:p>
    <w:p w14:paraId="30EE360D">
      <w:pPr>
        <w:spacing w:line="360" w:lineRule="auto"/>
        <w:ind w:firstLine="480" w:firstLineChars="200"/>
        <w:rPr>
          <w:rFonts w:hint="eastAsia" w:ascii="仿宋" w:hAnsi="仿宋" w:eastAsia="仿宋" w:cs="仿宋"/>
          <w:color w:val="auto"/>
          <w:sz w:val="24"/>
          <w:szCs w:val="24"/>
          <w:highlight w:val="none"/>
        </w:rPr>
      </w:pPr>
    </w:p>
    <w:p w14:paraId="6180618F">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14:paraId="611A83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无论投标结果如何，投标人须自行承担所有与参加投标有关的全部费用。</w:t>
      </w:r>
    </w:p>
    <w:p w14:paraId="41EA846C">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1" w:name="_Toc1575"/>
      <w:bookmarkStart w:id="52" w:name="_Toc29853"/>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lang w:val="en-US" w:eastAsia="zh-CN"/>
        </w:rPr>
        <w:t>竞争性磋商</w:t>
      </w:r>
      <w:r>
        <w:rPr>
          <w:rFonts w:hint="eastAsia" w:ascii="仿宋" w:hAnsi="仿宋" w:eastAsia="仿宋" w:cs="仿宋"/>
          <w:b/>
          <w:color w:val="auto"/>
          <w:sz w:val="28"/>
          <w:szCs w:val="28"/>
          <w:highlight w:val="none"/>
        </w:rPr>
        <w:t>文件</w:t>
      </w:r>
      <w:bookmarkEnd w:id="51"/>
      <w:bookmarkEnd w:id="52"/>
    </w:p>
    <w:p w14:paraId="45D49E40">
      <w:pPr>
        <w:spacing w:line="360" w:lineRule="auto"/>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eastAsia="zh-CN"/>
        </w:rPr>
        <w:t>竞争性磋商文件</w:t>
      </w:r>
    </w:p>
    <w:p w14:paraId="4D0AC0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用以阐明所招标的内容，招标投标程序及合同条款，包括：</w:t>
      </w:r>
    </w:p>
    <w:p w14:paraId="3EBE9A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5.1.1  </w:t>
      </w:r>
      <w:r>
        <w:rPr>
          <w:rFonts w:hint="eastAsia" w:ascii="仿宋" w:hAnsi="仿宋" w:eastAsia="仿宋" w:cs="仿宋"/>
          <w:color w:val="auto"/>
          <w:sz w:val="24"/>
          <w:szCs w:val="24"/>
          <w:highlight w:val="none"/>
          <w:lang w:eastAsia="zh-CN"/>
        </w:rPr>
        <w:t>采购公</w:t>
      </w:r>
      <w:r>
        <w:rPr>
          <w:rFonts w:hint="eastAsia" w:ascii="仿宋" w:hAnsi="仿宋" w:eastAsia="仿宋" w:cs="仿宋"/>
          <w:color w:val="auto"/>
          <w:sz w:val="24"/>
          <w:szCs w:val="24"/>
          <w:highlight w:val="none"/>
        </w:rPr>
        <w:t>告</w:t>
      </w:r>
    </w:p>
    <w:p w14:paraId="0FB820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投标人须知前附表</w:t>
      </w:r>
    </w:p>
    <w:p w14:paraId="2FA4F57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5.1.3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w:t>
      </w:r>
    </w:p>
    <w:p w14:paraId="1BD944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5.1.4  </w:t>
      </w:r>
      <w:r>
        <w:rPr>
          <w:rFonts w:hint="eastAsia" w:ascii="仿宋" w:hAnsi="仿宋" w:eastAsia="仿宋" w:cs="仿宋"/>
          <w:color w:val="auto"/>
          <w:sz w:val="24"/>
          <w:szCs w:val="24"/>
          <w:highlight w:val="none"/>
          <w:lang w:val="en-US" w:eastAsia="zh-CN"/>
        </w:rPr>
        <w:t>评标办法及标准</w:t>
      </w:r>
    </w:p>
    <w:p w14:paraId="17F40A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5.1.5  </w:t>
      </w:r>
      <w:r>
        <w:rPr>
          <w:rFonts w:hint="eastAsia" w:ascii="仿宋" w:hAnsi="仿宋" w:eastAsia="仿宋" w:cs="仿宋"/>
          <w:color w:val="auto"/>
          <w:sz w:val="24"/>
          <w:szCs w:val="24"/>
          <w:highlight w:val="none"/>
          <w:lang w:val="en-US" w:eastAsia="zh-CN"/>
        </w:rPr>
        <w:t>采购需求、技术参数、规格</w:t>
      </w:r>
    </w:p>
    <w:p w14:paraId="71C370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5.1.6  </w:t>
      </w:r>
      <w:r>
        <w:rPr>
          <w:rFonts w:hint="eastAsia" w:ascii="仿宋" w:hAnsi="仿宋" w:eastAsia="仿宋" w:cs="仿宋"/>
          <w:color w:val="auto"/>
          <w:sz w:val="24"/>
          <w:szCs w:val="24"/>
          <w:highlight w:val="none"/>
          <w:lang w:eastAsia="zh-CN"/>
        </w:rPr>
        <w:t>采购合同范本</w:t>
      </w:r>
    </w:p>
    <w:p w14:paraId="3D6648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5.1.7  </w:t>
      </w:r>
      <w:r>
        <w:rPr>
          <w:rFonts w:hint="eastAsia" w:ascii="仿宋" w:hAnsi="仿宋" w:eastAsia="仿宋" w:cs="仿宋"/>
          <w:color w:val="auto"/>
          <w:sz w:val="24"/>
          <w:szCs w:val="24"/>
          <w:highlight w:val="none"/>
          <w:lang w:val="en-US" w:eastAsia="zh-CN"/>
        </w:rPr>
        <w:t>响应文件内容及格式</w:t>
      </w:r>
    </w:p>
    <w:p w14:paraId="0A6C8A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供应商应认真阅读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中所有的事项、格式、条款和规范等要求，从而对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作出实质性响应。如果没有按照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要求提交全部招标响应文件或资料，没有对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作出实质性响应，其风险应由供应商自行承担。</w:t>
      </w:r>
    </w:p>
    <w:p w14:paraId="69A2EA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以中文编写。</w:t>
      </w:r>
    </w:p>
    <w:p w14:paraId="2942219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的澄清</w:t>
      </w:r>
    </w:p>
    <w:p w14:paraId="609A85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供应商对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有疑问的，可以向招标代理机构提出询问，招标代理机构将及时做出答复；</w:t>
      </w:r>
    </w:p>
    <w:p w14:paraId="481487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6.2供应商对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有质疑，须在招标响应文件递交截止时间</w:t>
      </w:r>
      <w:r>
        <w:rPr>
          <w:rFonts w:hint="eastAsia" w:ascii="仿宋" w:hAnsi="仿宋" w:eastAsia="仿宋" w:cs="仿宋"/>
          <w:color w:val="auto"/>
          <w:sz w:val="24"/>
          <w:szCs w:val="24"/>
          <w:highlight w:val="none"/>
          <w:lang w:val="en-US" w:eastAsia="zh-CN"/>
        </w:rPr>
        <w:t>7个工作日</w:t>
      </w:r>
      <w:r>
        <w:rPr>
          <w:rFonts w:hint="eastAsia" w:ascii="仿宋" w:hAnsi="仿宋" w:eastAsia="仿宋" w:cs="仿宋"/>
          <w:color w:val="auto"/>
          <w:sz w:val="24"/>
          <w:szCs w:val="24"/>
          <w:highlight w:val="none"/>
        </w:rPr>
        <w:t>以前，以书面形式向招标机构提出质疑；招标机构在收到书面质疑后尽快做出答复，并以书面形式通知质疑供应商。</w:t>
      </w:r>
    </w:p>
    <w:p w14:paraId="27B64C1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的修改</w:t>
      </w:r>
    </w:p>
    <w:p w14:paraId="043E7F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进行必要的修改，招标代理机构将在投标截止时间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日前以书面形式通知所有购买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的供应商。该修改的内容为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14:paraId="2B84AD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供应商在规定的时间内未对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提出澄清要求的，招标代理机构将视其为同意。</w:t>
      </w:r>
    </w:p>
    <w:p w14:paraId="2500A51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在投标截止时间前，招标机构可视具体情况延长招标截止时间，并将变更时间书面通知所有购买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的供应商。</w:t>
      </w:r>
    </w:p>
    <w:p w14:paraId="2888938A">
      <w:pPr>
        <w:pStyle w:val="92"/>
        <w:spacing w:line="360" w:lineRule="auto"/>
        <w:rPr>
          <w:rFonts w:hint="eastAsia" w:ascii="仿宋" w:hAnsi="仿宋" w:eastAsia="仿宋" w:cs="仿宋"/>
          <w:color w:val="auto"/>
          <w:sz w:val="28"/>
          <w:szCs w:val="28"/>
          <w:highlight w:val="none"/>
        </w:rPr>
      </w:pPr>
    </w:p>
    <w:p w14:paraId="4AD8A1DF">
      <w:pPr>
        <w:spacing w:line="360" w:lineRule="auto"/>
        <w:ind w:firstLine="562" w:firstLineChars="200"/>
        <w:jc w:val="center"/>
        <w:outlineLvl w:val="2"/>
        <w:rPr>
          <w:rFonts w:hint="eastAsia" w:ascii="仿宋" w:hAnsi="仿宋" w:eastAsia="仿宋" w:cs="仿宋"/>
          <w:b/>
          <w:bCs/>
          <w:color w:val="auto"/>
          <w:sz w:val="28"/>
          <w:szCs w:val="28"/>
          <w:highlight w:val="none"/>
        </w:rPr>
      </w:pPr>
      <w:bookmarkStart w:id="53" w:name="_Toc24935"/>
      <w:bookmarkStart w:id="54" w:name="_Toc4675"/>
      <w:r>
        <w:rPr>
          <w:rFonts w:hint="eastAsia" w:ascii="仿宋" w:hAnsi="仿宋" w:eastAsia="仿宋" w:cs="仿宋"/>
          <w:b/>
          <w:bCs/>
          <w:color w:val="auto"/>
          <w:sz w:val="28"/>
          <w:szCs w:val="28"/>
          <w:highlight w:val="none"/>
        </w:rPr>
        <w:t>三、</w:t>
      </w:r>
      <w:r>
        <w:rPr>
          <w:rFonts w:hint="eastAsia" w:ascii="仿宋" w:hAnsi="仿宋" w:eastAsia="仿宋" w:cs="仿宋"/>
          <w:b/>
          <w:bCs/>
          <w:color w:val="auto"/>
          <w:sz w:val="28"/>
          <w:szCs w:val="28"/>
          <w:highlight w:val="none"/>
          <w:lang w:eastAsia="zh-CN"/>
        </w:rPr>
        <w:t>响应文件</w:t>
      </w:r>
      <w:r>
        <w:rPr>
          <w:rFonts w:hint="eastAsia" w:ascii="仿宋" w:hAnsi="仿宋" w:eastAsia="仿宋" w:cs="仿宋"/>
          <w:b/>
          <w:bCs/>
          <w:color w:val="auto"/>
          <w:sz w:val="28"/>
          <w:szCs w:val="28"/>
          <w:highlight w:val="none"/>
        </w:rPr>
        <w:t>的编写</w:t>
      </w:r>
      <w:bookmarkEnd w:id="53"/>
      <w:bookmarkEnd w:id="54"/>
    </w:p>
    <w:p w14:paraId="0447323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8．要求</w:t>
      </w:r>
    </w:p>
    <w:p w14:paraId="6ED8AF1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供应商应仔细阅读</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的所有内容，按</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的要求提供招标响应文件，并保证所提供的全部资料的真实性，以使其招标响应对</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作出实质性响应，否则，其招标可能被拒绝。</w:t>
      </w:r>
    </w:p>
    <w:p w14:paraId="611AFD3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9．招标语言</w:t>
      </w:r>
    </w:p>
    <w:p w14:paraId="257B6D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以及投标人与招标机构就有关招标活动的所有来往函电均应使用中文。如果</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或与投标有关的其它文件、信件及来往函电以其他语言书写，投标人应将其译成中文。</w:t>
      </w:r>
    </w:p>
    <w:p w14:paraId="64465D1A">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中使用的计量单位除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中有特殊规定外，一律使用法定计量单位。</w:t>
      </w:r>
    </w:p>
    <w:p w14:paraId="1E6FDFA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 xml:space="preserve">的格式 </w:t>
      </w:r>
    </w:p>
    <w:p w14:paraId="1F64D225">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10.1投标人应按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提供的格式及投标报价说明完整地填写所提供的产品、服务、数量及价格。</w:t>
      </w:r>
    </w:p>
    <w:p w14:paraId="19F9F63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10.2如投标人认为需要对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的有关内容做详细的阐述而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格式又不能满足，投标人可以在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相关格式后另行添加表格或文字，对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的有关内容做详细的阐述。但阐述的内容不能偏离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的实质性内容，且应完整、表达清晰、准确。如果阐述的内容偏离了</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的实质性内容，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按废标处理。</w:t>
      </w:r>
    </w:p>
    <w:p w14:paraId="54DB89FB">
      <w:pPr>
        <w:numPr>
          <w:ilvl w:val="0"/>
          <w:numId w:val="8"/>
        </w:numPr>
        <w:spacing w:line="360" w:lineRule="auto"/>
        <w:ind w:left="481"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由以下部分构成</w:t>
      </w:r>
    </w:p>
    <w:p w14:paraId="6D9BF370">
      <w:pPr>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本项目所涉</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格式请详见第</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章，未给出的格式请自拟。</w:t>
      </w:r>
    </w:p>
    <w:p w14:paraId="61B66509">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由</w:t>
      </w:r>
      <w:r>
        <w:rPr>
          <w:rFonts w:hint="eastAsia" w:ascii="仿宋" w:hAnsi="仿宋" w:eastAsia="仿宋" w:cs="仿宋"/>
          <w:b/>
          <w:bCs/>
          <w:color w:val="auto"/>
          <w:sz w:val="24"/>
          <w:szCs w:val="24"/>
          <w:highlight w:val="none"/>
          <w:lang w:val="en-US" w:eastAsia="zh-CN"/>
        </w:rPr>
        <w:t>经济报价部分、</w:t>
      </w:r>
      <w:r>
        <w:rPr>
          <w:rFonts w:hint="eastAsia" w:ascii="仿宋" w:hAnsi="仿宋" w:eastAsia="仿宋" w:cs="仿宋"/>
          <w:b/>
          <w:bCs/>
          <w:color w:val="auto"/>
          <w:sz w:val="24"/>
          <w:szCs w:val="24"/>
          <w:highlight w:val="none"/>
        </w:rPr>
        <w:t>商务部分、技术部分其他部分组成主要包括</w:t>
      </w:r>
      <w:r>
        <w:rPr>
          <w:rFonts w:hint="eastAsia" w:ascii="仿宋" w:hAnsi="仿宋" w:eastAsia="仿宋" w:cs="仿宋"/>
          <w:b/>
          <w:bCs/>
          <w:color w:val="auto"/>
          <w:sz w:val="24"/>
          <w:szCs w:val="24"/>
          <w:highlight w:val="none"/>
          <w:lang w:val="en-US" w:eastAsia="zh-CN"/>
        </w:rPr>
        <w:t>：</w:t>
      </w:r>
    </w:p>
    <w:p w14:paraId="1EB8055D">
      <w:pPr>
        <w:spacing w:line="30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报价部分：</w:t>
      </w:r>
    </w:p>
    <w:p w14:paraId="10CDBFFF">
      <w:pPr>
        <w:spacing w:line="30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1、投标函；</w:t>
      </w:r>
    </w:p>
    <w:p w14:paraId="257D4C21">
      <w:pPr>
        <w:spacing w:line="30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2、开标一览表；</w:t>
      </w:r>
    </w:p>
    <w:p w14:paraId="2E82B66A">
      <w:pPr>
        <w:spacing w:line="30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3、货物报价一览表</w:t>
      </w:r>
    </w:p>
    <w:p w14:paraId="2CD1AC83">
      <w:pPr>
        <w:spacing w:line="30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商务部分：</w:t>
      </w:r>
    </w:p>
    <w:p w14:paraId="75C967DD">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投标单位简介，并附投标人资质证件</w:t>
      </w:r>
      <w:r>
        <w:rPr>
          <w:rFonts w:hint="eastAsia" w:ascii="仿宋" w:hAnsi="仿宋" w:eastAsia="仿宋" w:cs="仿宋"/>
          <w:sz w:val="21"/>
          <w:szCs w:val="21"/>
          <w:highlight w:val="none"/>
          <w:lang w:val="en-US" w:eastAsia="zh-CN"/>
        </w:rPr>
        <w:t>及特定资质</w:t>
      </w:r>
      <w:r>
        <w:rPr>
          <w:rFonts w:hint="eastAsia" w:ascii="仿宋" w:hAnsi="仿宋" w:eastAsia="仿宋" w:cs="仿宋"/>
          <w:sz w:val="21"/>
          <w:szCs w:val="21"/>
          <w:highlight w:val="none"/>
        </w:rPr>
        <w:t>；</w:t>
      </w:r>
    </w:p>
    <w:p w14:paraId="4AD9A29D">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出具法人营业执照函（格式见附件）；</w:t>
      </w:r>
    </w:p>
    <w:p w14:paraId="7B917837">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法定代表人证明书及身份证</w:t>
      </w:r>
      <w:r>
        <w:rPr>
          <w:rFonts w:hint="eastAsia" w:ascii="仿宋" w:hAnsi="仿宋" w:eastAsia="仿宋" w:cs="仿宋"/>
          <w:sz w:val="21"/>
          <w:szCs w:val="21"/>
          <w:highlight w:val="none"/>
          <w:lang w:val="en-US" w:eastAsia="zh-CN"/>
        </w:rPr>
        <w:t>复印</w:t>
      </w:r>
      <w:r>
        <w:rPr>
          <w:rFonts w:hint="eastAsia" w:ascii="仿宋" w:hAnsi="仿宋" w:eastAsia="仿宋" w:cs="仿宋"/>
          <w:sz w:val="21"/>
          <w:szCs w:val="21"/>
          <w:highlight w:val="none"/>
        </w:rPr>
        <w:t>件；</w:t>
      </w:r>
    </w:p>
    <w:p w14:paraId="57C2C5D4">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法人代表授权委托书及身份证</w:t>
      </w:r>
      <w:r>
        <w:rPr>
          <w:rFonts w:hint="eastAsia" w:ascii="仿宋" w:hAnsi="仿宋" w:eastAsia="仿宋" w:cs="仿宋"/>
          <w:sz w:val="21"/>
          <w:szCs w:val="21"/>
          <w:highlight w:val="none"/>
          <w:lang w:val="en-US" w:eastAsia="zh-CN"/>
        </w:rPr>
        <w:t>复印件</w:t>
      </w:r>
      <w:r>
        <w:rPr>
          <w:rFonts w:hint="eastAsia" w:ascii="仿宋" w:hAnsi="仿宋" w:eastAsia="仿宋" w:cs="仿宋"/>
          <w:sz w:val="21"/>
          <w:szCs w:val="21"/>
          <w:highlight w:val="none"/>
        </w:rPr>
        <w:t>；</w:t>
      </w:r>
    </w:p>
    <w:p w14:paraId="1CB51A87">
      <w:pPr>
        <w:spacing w:line="30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 xml:space="preserve">5、有良好的商业信誉和健全的财务会计制度：提供最新年度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 </w:t>
      </w:r>
    </w:p>
    <w:p w14:paraId="2BBD5C6C">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6、提供投标截止日前近 3 个月的社保证明材料（社保缴费明细表及缴费凭证），如依法不需要缴纳社会保障资金的，应提供相应文件证明（新成立不满 3 个月的企业，按实际发生的提供）；</w:t>
      </w:r>
    </w:p>
    <w:p w14:paraId="67645AA1">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7、提供投标截止日前近3个月的缴纳税收的完税证明或税务部门出具的纳税证明；如依法免税的，应提供相应文件证明（新成立不满 3个月的企业，按实际发生的提供）</w:t>
      </w:r>
      <w:r>
        <w:rPr>
          <w:rFonts w:hint="eastAsia" w:ascii="仿宋" w:hAnsi="仿宋" w:eastAsia="仿宋" w:cs="仿宋"/>
          <w:kern w:val="2"/>
          <w:sz w:val="21"/>
          <w:szCs w:val="21"/>
          <w:highlight w:val="none"/>
          <w:lang w:val="en-US" w:eastAsia="zh-CN" w:bidi="ar-SA"/>
        </w:rPr>
        <w:t>；</w:t>
      </w:r>
    </w:p>
    <w:p w14:paraId="2D0CD9C4">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sz w:val="21"/>
          <w:szCs w:val="21"/>
          <w:highlight w:val="none"/>
          <w:lang w:val="en-US" w:eastAsia="zh-CN"/>
        </w:rPr>
      </w:pPr>
      <w:r>
        <w:rPr>
          <w:rFonts w:hint="eastAsia" w:ascii="仿宋" w:hAnsi="仿宋" w:eastAsia="仿宋" w:cs="仿宋"/>
          <w:kern w:val="2"/>
          <w:sz w:val="21"/>
          <w:szCs w:val="21"/>
          <w:highlight w:val="none"/>
          <w:lang w:val="en-US" w:eastAsia="zh-CN" w:bidi="ar-SA"/>
        </w:rPr>
        <w:t>8</w:t>
      </w:r>
      <w:r>
        <w:rPr>
          <w:rFonts w:hint="eastAsia" w:ascii="仿宋" w:hAnsi="仿宋" w:eastAsia="仿宋" w:cs="仿宋"/>
          <w:sz w:val="21"/>
          <w:szCs w:val="21"/>
          <w:highlight w:val="none"/>
          <w:lang w:val="en-US" w:eastAsia="zh-CN"/>
        </w:rPr>
        <w:t>、提供具备履行合同所必需的设备和专业技术能力的投标人声明函；</w:t>
      </w:r>
    </w:p>
    <w:p w14:paraId="04183271">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p w14:paraId="71D77F25">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10、企业负责人为同一人或者存在直接控股、管理关系的不同投标人，不得参加同一合同项下的政府采购活动。否则，皆取消投标资格；</w:t>
      </w:r>
    </w:p>
    <w:p w14:paraId="27D75683">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提供参加政府采购活动前三年内，在经营活动中没有重大违法记录的书面声明；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w:t>
      </w:r>
    </w:p>
    <w:p w14:paraId="5F345F3E">
      <w:pPr>
        <w:spacing w:line="300" w:lineRule="auto"/>
        <w:outlineLvl w:val="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12、投标保证金转账凭证或保函文件；</w:t>
      </w:r>
    </w:p>
    <w:p w14:paraId="5156BC9D">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 xml:space="preserve">商务偏离表（格式见附件）；  </w:t>
      </w:r>
    </w:p>
    <w:p w14:paraId="759B60F8">
      <w:pPr>
        <w:spacing w:line="30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反商业贿赂承诺书（格式见附件）；</w:t>
      </w:r>
    </w:p>
    <w:p w14:paraId="5B0C2FF3">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15、无围标、串标等违法违规行为承诺书</w:t>
      </w:r>
      <w:r>
        <w:rPr>
          <w:rFonts w:hint="eastAsia" w:ascii="仿宋" w:hAnsi="仿宋" w:eastAsia="仿宋" w:cs="仿宋"/>
          <w:sz w:val="21"/>
          <w:szCs w:val="21"/>
          <w:highlight w:val="none"/>
        </w:rPr>
        <w:t>（格式见附件）；</w:t>
      </w:r>
    </w:p>
    <w:p w14:paraId="2A490E9A">
      <w:pPr>
        <w:pStyle w:val="24"/>
        <w:rPr>
          <w:rFonts w:hint="eastAsia" w:ascii="仿宋" w:hAnsi="仿宋" w:eastAsia="仿宋" w:cs="仿宋"/>
          <w:lang w:val="en-US" w:eastAsia="zh-CN"/>
        </w:rPr>
      </w:pPr>
      <w:r>
        <w:rPr>
          <w:rFonts w:hint="eastAsia" w:ascii="仿宋" w:hAnsi="仿宋" w:eastAsia="仿宋" w:cs="仿宋"/>
          <w:sz w:val="21"/>
          <w:szCs w:val="21"/>
          <w:highlight w:val="none"/>
          <w:lang w:val="en-US" w:eastAsia="zh-CN"/>
        </w:rPr>
        <w:t>16、中小企业声明函；</w:t>
      </w:r>
    </w:p>
    <w:p w14:paraId="7EC15387">
      <w:pPr>
        <w:spacing w:line="30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投标人认为有必要提供的声明及文件资料。</w:t>
      </w:r>
    </w:p>
    <w:p w14:paraId="2487351A">
      <w:pPr>
        <w:spacing w:line="30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技术部分：</w:t>
      </w:r>
    </w:p>
    <w:p w14:paraId="1EA8B0A0">
      <w:pPr>
        <w:numPr>
          <w:ilvl w:val="0"/>
          <w:numId w:val="0"/>
        </w:numPr>
        <w:spacing w:line="300" w:lineRule="auto"/>
        <w:ind w:leftChars="-50" w:right="62"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技术参数、功能偏离表</w:t>
      </w:r>
      <w:r>
        <w:rPr>
          <w:rFonts w:hint="eastAsia" w:ascii="仿宋" w:hAnsi="仿宋" w:eastAsia="仿宋" w:cs="仿宋"/>
          <w:sz w:val="21"/>
          <w:szCs w:val="21"/>
          <w:highlight w:val="none"/>
          <w:lang w:eastAsia="zh-CN"/>
        </w:rPr>
        <w:t>；</w:t>
      </w:r>
    </w:p>
    <w:p w14:paraId="707D78A5">
      <w:pPr>
        <w:numPr>
          <w:ilvl w:val="0"/>
          <w:numId w:val="0"/>
        </w:numPr>
        <w:spacing w:line="300" w:lineRule="auto"/>
        <w:ind w:leftChars="-50" w:right="62" w:right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对本次</w:t>
      </w:r>
      <w:r>
        <w:rPr>
          <w:rFonts w:hint="eastAsia" w:ascii="仿宋" w:hAnsi="仿宋" w:eastAsia="仿宋" w:cs="仿宋"/>
          <w:sz w:val="21"/>
          <w:szCs w:val="21"/>
          <w:highlight w:val="none"/>
          <w:lang w:val="en-US" w:eastAsia="zh-CN"/>
        </w:rPr>
        <w:t>投标项目的技术方案</w:t>
      </w:r>
      <w:r>
        <w:rPr>
          <w:rFonts w:hint="eastAsia" w:ascii="仿宋" w:hAnsi="仿宋" w:eastAsia="仿宋" w:cs="仿宋"/>
          <w:sz w:val="21"/>
          <w:szCs w:val="21"/>
          <w:highlight w:val="none"/>
        </w:rPr>
        <w:t>(投标人视需要自行编写)；</w:t>
      </w:r>
    </w:p>
    <w:p w14:paraId="18A1231B">
      <w:pPr>
        <w:numPr>
          <w:ilvl w:val="0"/>
          <w:numId w:val="0"/>
        </w:numPr>
        <w:spacing w:line="300" w:lineRule="auto"/>
        <w:ind w:leftChars="-50" w:right="62"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3、服务承诺书；</w:t>
      </w:r>
    </w:p>
    <w:p w14:paraId="4FFF18EC">
      <w:pPr>
        <w:numPr>
          <w:ilvl w:val="0"/>
          <w:numId w:val="0"/>
        </w:numPr>
        <w:spacing w:line="300" w:lineRule="auto"/>
        <w:ind w:leftChars="-50" w:right="62"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其他有利于投标人的资料（如有）。</w:t>
      </w:r>
    </w:p>
    <w:p w14:paraId="19036A3F">
      <w:pPr>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rPr>
        <w:t>注：电子</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按政采云平台供应商电子招投标操作指南。建议根据</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合格供应商的资格要求、</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的编制及</w:t>
      </w:r>
      <w:r>
        <w:rPr>
          <w:rFonts w:hint="eastAsia" w:ascii="仿宋" w:hAnsi="仿宋" w:eastAsia="仿宋" w:cs="仿宋"/>
          <w:b/>
          <w:bCs/>
          <w:color w:val="auto"/>
          <w:sz w:val="24"/>
          <w:szCs w:val="24"/>
          <w:highlight w:val="none"/>
          <w:lang w:val="en-US" w:eastAsia="zh-CN"/>
        </w:rPr>
        <w:t>资格评审、响应性评审</w:t>
      </w:r>
      <w:r>
        <w:rPr>
          <w:rFonts w:hint="eastAsia" w:ascii="仿宋" w:hAnsi="仿宋" w:eastAsia="仿宋" w:cs="仿宋"/>
          <w:b/>
          <w:bCs/>
          <w:color w:val="auto"/>
          <w:sz w:val="24"/>
          <w:szCs w:val="24"/>
          <w:highlight w:val="none"/>
        </w:rPr>
        <w:t>等内容一一关联</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按统一格式、顺序编写。</w:t>
      </w:r>
    </w:p>
    <w:p w14:paraId="7050854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12、投标报价</w:t>
      </w:r>
    </w:p>
    <w:p w14:paraId="40FF5B0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报价方应在招标报价表上标明单价和总价。单价和总价要相符。价格不一致时，根据《中华人民共和国财政部令第87号--政府采购货物和服务招标投标管理办法》第五十九条</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报价出现前后不一致的，除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另有规定外，按照下列规定修正：</w:t>
      </w:r>
    </w:p>
    <w:p w14:paraId="62437BF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中开标一览表（报价表）内容与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中相应内容不一致的，以开标一览表（报价表）为准；</w:t>
      </w:r>
    </w:p>
    <w:p w14:paraId="03D786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（二）大写金额和小写金额不一致的，以大写金额为准；</w:t>
      </w:r>
    </w:p>
    <w:p w14:paraId="7F254EB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（三）单价金额小数点或者百分比有明显错位的，以开标一览表的总价为准，并修改单价；</w:t>
      </w:r>
    </w:p>
    <w:p w14:paraId="21FEA1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（四）总价金额与单价汇总金额不一致的，以单价金额计算结果为准。</w:t>
      </w:r>
    </w:p>
    <w:p w14:paraId="430812B9">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12.2 供应商应在投标报价表中标明其提供的所有货物及其相关工作范围内所在费用的总价，不接受有任何选择性招标报价。</w:t>
      </w:r>
    </w:p>
    <w:p w14:paraId="1DDFF3BB">
      <w:pPr>
        <w:pStyle w:val="22"/>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12.3</w:t>
      </w:r>
      <w:r>
        <w:rPr>
          <w:rFonts w:hint="eastAsia" w:ascii="仿宋" w:hAnsi="仿宋" w:eastAsia="仿宋" w:cs="仿宋"/>
          <w:color w:val="auto"/>
          <w:sz w:val="24"/>
          <w:szCs w:val="24"/>
          <w:highlight w:val="none"/>
        </w:rPr>
        <w:t>报价时应对下列几点特别注明：</w:t>
      </w:r>
    </w:p>
    <w:p w14:paraId="3C57C485">
      <w:pPr>
        <w:pStyle w:val="22"/>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中特别要求的备品备件、易损件和专用工具的费用；</w:t>
      </w:r>
    </w:p>
    <w:p w14:paraId="63076937">
      <w:pPr>
        <w:pStyle w:val="22"/>
        <w:tabs>
          <w:tab w:val="left" w:pos="9214"/>
        </w:tabs>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中特别要求的</w:t>
      </w:r>
      <w:r>
        <w:rPr>
          <w:rFonts w:hint="eastAsia" w:ascii="仿宋" w:hAnsi="仿宋" w:eastAsia="仿宋" w:cs="仿宋"/>
          <w:color w:val="auto"/>
          <w:sz w:val="24"/>
          <w:szCs w:val="24"/>
          <w:highlight w:val="none"/>
          <w:lang w:eastAsia="zh-CN"/>
        </w:rPr>
        <w:t>货物的采购、供应、安装、运输</w:t>
      </w:r>
      <w:r>
        <w:rPr>
          <w:rFonts w:hint="eastAsia" w:ascii="仿宋" w:hAnsi="仿宋" w:eastAsia="仿宋" w:cs="仿宋"/>
          <w:color w:val="auto"/>
          <w:sz w:val="24"/>
          <w:szCs w:val="24"/>
          <w:highlight w:val="none"/>
          <w:lang w:val="en-US" w:eastAsia="zh-CN"/>
        </w:rPr>
        <w:t>装卸费</w:t>
      </w:r>
      <w:r>
        <w:rPr>
          <w:rFonts w:hint="eastAsia" w:ascii="仿宋" w:hAnsi="仿宋" w:eastAsia="仿宋" w:cs="仿宋"/>
          <w:color w:val="auto"/>
          <w:sz w:val="24"/>
          <w:szCs w:val="24"/>
          <w:highlight w:val="none"/>
          <w:lang w:eastAsia="zh-CN"/>
        </w:rPr>
        <w:t>、保险费、税费和相关售后服务</w:t>
      </w:r>
      <w:r>
        <w:rPr>
          <w:rFonts w:hint="eastAsia" w:ascii="仿宋" w:hAnsi="仿宋" w:eastAsia="仿宋" w:cs="仿宋"/>
          <w:color w:val="auto"/>
          <w:sz w:val="24"/>
          <w:szCs w:val="24"/>
          <w:highlight w:val="none"/>
        </w:rPr>
        <w:t>等费用及其它附带服务的全部费用；</w:t>
      </w:r>
    </w:p>
    <w:p w14:paraId="06150F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12.3.3国内供货人提供在中华人民共和国制造的，或已在中华人民共和国境内的国外产地的已经</w:t>
      </w:r>
      <w:r>
        <w:rPr>
          <w:rStyle w:val="125"/>
          <w:rFonts w:hint="eastAsia" w:ascii="仿宋" w:hAnsi="仿宋" w:eastAsia="仿宋" w:cs="仿宋"/>
          <w:color w:val="auto"/>
          <w:sz w:val="24"/>
          <w:szCs w:val="24"/>
          <w:highlight w:val="none"/>
        </w:rPr>
        <w:t>进口的货物的国内投标，其货物的交货价，包括制造、组装该货物所使用的零部件及原材料已付的全部关税、销售税和其他税（其关税和其他税不分别填写，计入货价内即可）。</w:t>
      </w:r>
    </w:p>
    <w:p w14:paraId="561038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算术性修正。算术性修正是指对招标响应文件的报价明细进行校核，并对其算术上和运算上的差错给予修正。修正的原则如下：</w:t>
      </w:r>
    </w:p>
    <w:p w14:paraId="335ED4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当以数字表示的金额与文字表示的金额有差异时，以文字表示的金额为准；</w:t>
      </w:r>
    </w:p>
    <w:p w14:paraId="1311368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当单价与数量相乘不等于合价时，以单价计算为准。如果单价有明显的小数点位置差错，应以标出的合价为准，同时对单价予以修正；</w:t>
      </w:r>
    </w:p>
    <w:p w14:paraId="5114A8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12.4.3 当各明细部分的价格累计不等于合价时，应以各明细的累计计数为准，修正合价。</w:t>
      </w:r>
    </w:p>
    <w:p w14:paraId="67573A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按以上原则对算术性差错修正，应取得供应商的同意，并确认修正后最终招标报价。如果供应商拒绝确认，则其招标响应文件将不予以评审并按废标处理，没收其投标担保。</w:t>
      </w:r>
    </w:p>
    <w:p w14:paraId="466A183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13、投标人应逐条详细阅读</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有关要求，表明所提供的服务是否对</w:t>
      </w:r>
      <w:r>
        <w:rPr>
          <w:rFonts w:hint="eastAsia" w:ascii="仿宋" w:hAnsi="仿宋" w:eastAsia="仿宋" w:cs="仿宋"/>
          <w:b/>
          <w:color w:val="auto"/>
          <w:sz w:val="24"/>
          <w:szCs w:val="24"/>
          <w:highlight w:val="none"/>
          <w:lang w:eastAsia="zh-CN"/>
        </w:rPr>
        <w:t>竞争性磋商文件</w:t>
      </w:r>
      <w:r>
        <w:rPr>
          <w:rFonts w:hint="eastAsia" w:ascii="仿宋" w:hAnsi="仿宋" w:eastAsia="仿宋" w:cs="仿宋"/>
          <w:b/>
          <w:color w:val="auto"/>
          <w:sz w:val="24"/>
          <w:szCs w:val="24"/>
          <w:highlight w:val="none"/>
        </w:rPr>
        <w:t>做出实质性响应。</w:t>
      </w:r>
    </w:p>
    <w:p w14:paraId="417ACABF">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14、投标有效期</w:t>
      </w:r>
    </w:p>
    <w:p w14:paraId="7F9743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投标</w:t>
      </w:r>
      <w:r>
        <w:rPr>
          <w:rFonts w:hint="eastAsia" w:ascii="仿宋" w:hAnsi="仿宋" w:eastAsia="仿宋" w:cs="仿宋"/>
          <w:color w:val="auto"/>
          <w:sz w:val="24"/>
          <w:szCs w:val="24"/>
          <w:highlight w:val="none"/>
          <w:lang w:eastAsia="zh-CN"/>
        </w:rPr>
        <w:t>有效期</w:t>
      </w:r>
      <w:r>
        <w:rPr>
          <w:rFonts w:hint="eastAsia" w:ascii="仿宋" w:hAnsi="仿宋" w:eastAsia="仿宋" w:cs="仿宋"/>
          <w:color w:val="auto"/>
          <w:sz w:val="24"/>
          <w:szCs w:val="24"/>
          <w:highlight w:val="none"/>
        </w:rPr>
        <w:t xml:space="preserve">从实际开标之日起 </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天内有效。有效期不足的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将被拒绝。</w:t>
      </w:r>
    </w:p>
    <w:p w14:paraId="3D54A1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如遇特殊情况，在原投标有效期届满之前，招标人可与投标人协商延长投标有效期，并经投标人确认。</w:t>
      </w:r>
    </w:p>
    <w:p w14:paraId="79EC13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14.3投标人可拒绝接受延期要求而不会导致投标保证金被没收。同意延长有效期的投标人需要相应延长投标保证金的有效期，但不能修改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 </w:t>
      </w:r>
    </w:p>
    <w:p w14:paraId="338F88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14.4中标人的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自开标之日起至合同履行完毕止均应保持有效。</w:t>
      </w:r>
    </w:p>
    <w:p w14:paraId="0A15F5F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的签署、递交、准备和解密时间要求</w:t>
      </w:r>
    </w:p>
    <w:p w14:paraId="416A1F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15.1投标人应按本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规定的格式和顺序编制、装订</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并标注页码，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内容不完整、编排混乱导致</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被误读、漏读或者查找不到相关内容的，是投标人的责任。</w:t>
      </w:r>
    </w:p>
    <w:p w14:paraId="27DDEBF4">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15.2投标人应于</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sz w:val="24"/>
          <w:szCs w:val="24"/>
          <w:highlight w:val="none"/>
          <w:lang w:val="en-US" w:eastAsia="zh-CN"/>
        </w:rPr>
        <w:t>11点00分（北京时间）</w:t>
      </w:r>
      <w:r>
        <w:rPr>
          <w:rFonts w:hint="eastAsia" w:ascii="仿宋" w:hAnsi="仿宋" w:eastAsia="仿宋" w:cs="仿宋"/>
          <w:b/>
          <w:bCs/>
          <w:color w:val="auto"/>
          <w:sz w:val="24"/>
          <w:szCs w:val="24"/>
          <w:highlight w:val="none"/>
          <w:lang w:eastAsia="zh-CN"/>
        </w:rPr>
        <w:t>时整</w:t>
      </w:r>
      <w:r>
        <w:rPr>
          <w:rFonts w:hint="eastAsia" w:ascii="仿宋" w:hAnsi="仿宋" w:eastAsia="仿宋" w:cs="仿宋"/>
          <w:b/>
          <w:bCs/>
          <w:color w:val="auto"/>
          <w:sz w:val="24"/>
          <w:szCs w:val="24"/>
          <w:highlight w:val="none"/>
        </w:rPr>
        <w:t>之前将电子</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上传到“政采云”平台。应按照本项目</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和政采云平台的要求编制、加密传输</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。供应商在使用系统进行投标的过程中遇到涉及平台使用的任何问题，可致电政采云平台技术支持热线咨询，联系方式：</w:t>
      </w:r>
      <w:r>
        <w:rPr>
          <w:rFonts w:hint="eastAsia" w:ascii="仿宋" w:hAnsi="仿宋" w:eastAsia="仿宋" w:cs="仿宋"/>
          <w:b/>
          <w:bCs/>
          <w:color w:val="auto"/>
          <w:sz w:val="24"/>
          <w:szCs w:val="24"/>
          <w:highlight w:val="none"/>
          <w:lang w:eastAsia="zh-CN"/>
        </w:rPr>
        <w:t>95763</w:t>
      </w:r>
      <w:r>
        <w:rPr>
          <w:rFonts w:hint="eastAsia" w:ascii="仿宋" w:hAnsi="仿宋" w:eastAsia="仿宋" w:cs="仿宋"/>
          <w:b/>
          <w:bCs/>
          <w:color w:val="auto"/>
          <w:sz w:val="24"/>
          <w:szCs w:val="24"/>
          <w:highlight w:val="none"/>
        </w:rPr>
        <w:t>。</w:t>
      </w:r>
    </w:p>
    <w:p w14:paraId="3824CC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须由投标人在规定位置盖章并由法定代表人或法定代表人的授权委托人签署，投标人应写全称。</w:t>
      </w:r>
    </w:p>
    <w:p w14:paraId="2C5923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不得涂改，若有修改错漏处，须加盖单位公章或者法定代表人或授权委托人签字或盖章。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因字迹潦草或表达不清所引起的后果由投标人负责。</w:t>
      </w:r>
    </w:p>
    <w:p w14:paraId="3033FC0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15.5</w:t>
      </w:r>
      <w:r>
        <w:rPr>
          <w:rFonts w:hint="eastAsia" w:ascii="仿宋" w:hAnsi="仿宋" w:eastAsia="仿宋" w:cs="仿宋"/>
          <w:b/>
          <w:bCs/>
          <w:color w:val="auto"/>
          <w:sz w:val="24"/>
          <w:szCs w:val="24"/>
          <w:highlight w:val="none"/>
        </w:rPr>
        <w:t>、本项目实行网上投标，采用电子</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 xml:space="preserve">。若供应商参与投标，自行承担投标一切费用。 </w:t>
      </w:r>
    </w:p>
    <w:p w14:paraId="2718842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15.6</w:t>
      </w:r>
      <w:r>
        <w:rPr>
          <w:rFonts w:hint="eastAsia" w:ascii="仿宋" w:hAnsi="仿宋" w:eastAsia="仿宋" w:cs="仿宋"/>
          <w:b/>
          <w:bCs/>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5A167A61">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4157FDB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15.8</w:t>
      </w:r>
      <w:r>
        <w:rPr>
          <w:rFonts w:hint="eastAsia" w:ascii="仿宋" w:hAnsi="仿宋" w:eastAsia="仿宋" w:cs="仿宋"/>
          <w:b/>
          <w:bCs/>
          <w:color w:val="auto"/>
          <w:sz w:val="24"/>
          <w:szCs w:val="24"/>
          <w:highlight w:val="none"/>
        </w:rPr>
        <w:t>、供应商将政采云电子交易客户端下载、安装完成后，可通过账号密码或CA登录客户端进行</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
          <w:bCs/>
          <w:color w:val="auto"/>
          <w:sz w:val="24"/>
          <w:szCs w:val="24"/>
          <w:highlight w:val="none"/>
          <w:lang w:eastAsia="zh-CN"/>
        </w:rPr>
        <w:t>95763</w:t>
      </w:r>
      <w:r>
        <w:rPr>
          <w:rFonts w:hint="eastAsia" w:ascii="仿宋" w:hAnsi="仿宋" w:eastAsia="仿宋" w:cs="仿宋"/>
          <w:b/>
          <w:bCs/>
          <w:color w:val="auto"/>
          <w:sz w:val="24"/>
          <w:szCs w:val="24"/>
          <w:highlight w:val="none"/>
        </w:rPr>
        <w:t>进行咨询。</w:t>
      </w:r>
    </w:p>
    <w:p w14:paraId="275ECD3A">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15.9开标时间后</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分钟内（</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sz w:val="24"/>
          <w:szCs w:val="24"/>
          <w:highlight w:val="none"/>
          <w:lang w:val="en-US" w:eastAsia="zh-CN"/>
        </w:rPr>
        <w:t>11点00分（北京时间）-12：00</w:t>
      </w:r>
      <w:r>
        <w:rPr>
          <w:rFonts w:hint="eastAsia" w:ascii="仿宋" w:hAnsi="仿宋" w:eastAsia="仿宋" w:cs="仿宋"/>
          <w:b/>
          <w:bCs/>
          <w:color w:val="auto"/>
          <w:sz w:val="24"/>
          <w:szCs w:val="24"/>
          <w:highlight w:val="none"/>
        </w:rPr>
        <w:t>前）供应商可以登录“政采云”平台，用“项目采购-开标评标”功能进行解密</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。若供应商在规定时间内（</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前）未按时解密的，视为</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撤回。</w:t>
      </w:r>
    </w:p>
    <w:p w14:paraId="05DA2033">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16、投标保证金</w:t>
      </w:r>
    </w:p>
    <w:p w14:paraId="69ECDD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投标保证金数额</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8</w:t>
      </w:r>
      <w:r>
        <w:rPr>
          <w:rFonts w:hint="eastAsia" w:ascii="仿宋" w:hAnsi="仿宋" w:eastAsia="仿宋" w:cs="仿宋"/>
          <w:b/>
          <w:color w:val="auto"/>
          <w:sz w:val="24"/>
          <w:szCs w:val="24"/>
          <w:highlight w:val="none"/>
          <w:u w:val="single"/>
        </w:rPr>
        <w:t>条。</w:t>
      </w:r>
    </w:p>
    <w:p w14:paraId="1102D4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投标保证金用于应对本次招标因投标人违规、违约而产生的风险。</w:t>
      </w:r>
    </w:p>
    <w:p w14:paraId="02D982BD">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16.3 投标人必须于投标截止时间之前（</w:t>
      </w:r>
      <w:r>
        <w:rPr>
          <w:rFonts w:hint="eastAsia" w:ascii="仿宋" w:hAnsi="仿宋" w:eastAsia="仿宋" w:cs="仿宋"/>
          <w:b/>
          <w:color w:val="auto"/>
          <w:sz w:val="24"/>
          <w:szCs w:val="24"/>
          <w:highlight w:val="none"/>
          <w:u w:val="single"/>
        </w:rPr>
        <w:t>详见投标人须知前附表第</w:t>
      </w:r>
      <w:r>
        <w:rPr>
          <w:rFonts w:hint="eastAsia" w:ascii="仿宋" w:hAnsi="仿宋" w:eastAsia="仿宋" w:cs="仿宋"/>
          <w:b/>
          <w:color w:val="auto"/>
          <w:sz w:val="24"/>
          <w:szCs w:val="24"/>
          <w:highlight w:val="none"/>
          <w:u w:val="single"/>
          <w:lang w:val="en-US" w:eastAsia="zh-CN"/>
        </w:rPr>
        <w:t>8</w:t>
      </w:r>
      <w:r>
        <w:rPr>
          <w:rFonts w:hint="eastAsia" w:ascii="仿宋" w:hAnsi="仿宋" w:eastAsia="仿宋" w:cs="仿宋"/>
          <w:b/>
          <w:color w:val="auto"/>
          <w:sz w:val="24"/>
          <w:szCs w:val="24"/>
          <w:highlight w:val="none"/>
          <w:u w:val="single"/>
        </w:rPr>
        <w:t>条规定）</w:t>
      </w:r>
      <w:r>
        <w:rPr>
          <w:rFonts w:hint="eastAsia" w:ascii="仿宋" w:hAnsi="仿宋" w:eastAsia="仿宋" w:cs="仿宋"/>
          <w:color w:val="auto"/>
          <w:sz w:val="24"/>
          <w:szCs w:val="24"/>
          <w:highlight w:val="none"/>
        </w:rPr>
        <w:t>按将投标保证金交纳至规定的帐号，对未按要求提交投标保证金的投标书，招标机构将视为不响应投标予以拒绝。</w:t>
      </w:r>
    </w:p>
    <w:p w14:paraId="14E784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 投标保证金应以基本账户对公转账</w:t>
      </w:r>
      <w:r>
        <w:rPr>
          <w:rFonts w:hint="eastAsia" w:ascii="仿宋" w:hAnsi="仿宋" w:eastAsia="仿宋" w:cs="仿宋"/>
          <w:color w:val="auto"/>
          <w:sz w:val="24"/>
          <w:szCs w:val="24"/>
          <w:highlight w:val="none"/>
          <w:lang w:eastAsia="zh-CN"/>
        </w:rPr>
        <w:t>或保函形式</w:t>
      </w:r>
      <w:r>
        <w:rPr>
          <w:rFonts w:hint="eastAsia" w:ascii="仿宋" w:hAnsi="仿宋" w:eastAsia="仿宋" w:cs="仿宋"/>
          <w:color w:val="auto"/>
          <w:sz w:val="24"/>
          <w:szCs w:val="24"/>
          <w:highlight w:val="none"/>
        </w:rPr>
        <w:t>提交。</w:t>
      </w:r>
    </w:p>
    <w:p w14:paraId="67F5A468">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16.5在招标方规定的投标有效期满之前，招标方将以书面形式 发出《中标通知书》，《中标通知书》一经发出即发生法律效力。</w:t>
      </w:r>
    </w:p>
    <w:p w14:paraId="47F4579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 发生以下情况投标保证金可能被没收：</w:t>
      </w:r>
    </w:p>
    <w:p w14:paraId="3B537EB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16.6.1 投标人在投标有效期内撤回投标的；</w:t>
      </w:r>
    </w:p>
    <w:p w14:paraId="5D138F3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16.6.2 中标人未能做到：中标后，无正当理由放弃中标资格。</w:t>
      </w:r>
    </w:p>
    <w:p w14:paraId="701889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16.6.3 投标人在投标过程中有违反有关法律法规行为的。</w:t>
      </w:r>
    </w:p>
    <w:p w14:paraId="65B510D8">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5" w:name="_Toc22171"/>
      <w:bookmarkStart w:id="56" w:name="_Toc22295"/>
      <w:r>
        <w:rPr>
          <w:rFonts w:hint="eastAsia" w:ascii="仿宋" w:hAnsi="仿宋" w:eastAsia="仿宋" w:cs="仿宋"/>
          <w:b/>
          <w:color w:val="auto"/>
          <w:sz w:val="28"/>
          <w:szCs w:val="28"/>
          <w:highlight w:val="none"/>
          <w:lang w:eastAsia="zh-CN"/>
        </w:rPr>
        <w:t>四、响应文件</w:t>
      </w:r>
      <w:r>
        <w:rPr>
          <w:rFonts w:hint="eastAsia" w:ascii="仿宋" w:hAnsi="仿宋" w:eastAsia="仿宋" w:cs="仿宋"/>
          <w:b/>
          <w:color w:val="auto"/>
          <w:sz w:val="28"/>
          <w:szCs w:val="28"/>
          <w:highlight w:val="none"/>
        </w:rPr>
        <w:t>的递交</w:t>
      </w:r>
      <w:bookmarkEnd w:id="55"/>
      <w:bookmarkEnd w:id="56"/>
    </w:p>
    <w:p w14:paraId="5C833C05">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eastAsia="zh-CN"/>
        </w:rPr>
        <w:t>响应文件</w:t>
      </w:r>
      <w:r>
        <w:rPr>
          <w:rFonts w:hint="eastAsia" w:ascii="仿宋" w:hAnsi="仿宋" w:eastAsia="仿宋" w:cs="仿宋"/>
          <w:b/>
          <w:bCs/>
          <w:color w:val="auto"/>
          <w:kern w:val="0"/>
          <w:sz w:val="24"/>
          <w:szCs w:val="24"/>
          <w:highlight w:val="none"/>
        </w:rPr>
        <w:t>的准备和解密</w:t>
      </w:r>
    </w:p>
    <w:p w14:paraId="7E184353">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1、本项目实行网上投标，采用电子</w:t>
      </w:r>
      <w:r>
        <w:rPr>
          <w:rFonts w:hint="eastAsia" w:ascii="仿宋" w:hAnsi="仿宋" w:eastAsia="仿宋" w:cs="仿宋"/>
          <w:b/>
          <w:bCs/>
          <w:color w:val="auto"/>
          <w:kern w:val="0"/>
          <w:sz w:val="24"/>
          <w:szCs w:val="24"/>
          <w:highlight w:val="none"/>
          <w:lang w:eastAsia="zh-CN"/>
        </w:rPr>
        <w:t>响应文件</w:t>
      </w:r>
      <w:r>
        <w:rPr>
          <w:rFonts w:hint="eastAsia" w:ascii="仿宋" w:hAnsi="仿宋" w:eastAsia="仿宋" w:cs="仿宋"/>
          <w:b/>
          <w:bCs/>
          <w:color w:val="auto"/>
          <w:kern w:val="0"/>
          <w:sz w:val="24"/>
          <w:szCs w:val="24"/>
          <w:highlight w:val="none"/>
        </w:rPr>
        <w:t xml:space="preserve">。若供应商参与投标，自行承担投标一切费用。 </w:t>
      </w:r>
    </w:p>
    <w:p w14:paraId="436FCC3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14:paraId="28E23F3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17.</w:t>
      </w:r>
      <w:r>
        <w:rPr>
          <w:rFonts w:hint="eastAsia" w:ascii="仿宋" w:hAnsi="仿宋" w:eastAsia="仿宋" w:cs="仿宋"/>
          <w:b/>
          <w:bCs/>
          <w:color w:val="auto"/>
          <w:kern w:val="0"/>
          <w:sz w:val="24"/>
          <w:szCs w:val="24"/>
          <w:highlight w:val="none"/>
        </w:rPr>
        <w:t>3、</w:t>
      </w:r>
      <w:r>
        <w:rPr>
          <w:rFonts w:hint="eastAsia" w:ascii="仿宋" w:hAnsi="仿宋" w:eastAsia="仿宋" w:cs="仿宋"/>
          <w:b/>
          <w:bCs/>
          <w:color w:val="auto"/>
          <w:kern w:val="0"/>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0A226084">
      <w:pPr>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bCs/>
          <w:color w:val="auto"/>
          <w:kern w:val="0"/>
          <w:sz w:val="24"/>
          <w:szCs w:val="24"/>
          <w:highlight w:val="none"/>
          <w:lang w:val="en-US" w:eastAsia="zh-CN"/>
        </w:rPr>
        <w:t xml:space="preserve">  17.</w:t>
      </w:r>
      <w:r>
        <w:rPr>
          <w:rFonts w:hint="eastAsia" w:ascii="仿宋" w:hAnsi="仿宋" w:eastAsia="仿宋" w:cs="仿宋"/>
          <w:b/>
          <w:bCs/>
          <w:color w:val="auto"/>
          <w:kern w:val="0"/>
          <w:sz w:val="24"/>
          <w:szCs w:val="24"/>
          <w:highlight w:val="none"/>
        </w:rPr>
        <w:t>4、供应商将政采云电子交易客户端下载、安装完成后，可通过账号密码或CA登录客户端进行</w:t>
      </w:r>
      <w:r>
        <w:rPr>
          <w:rFonts w:hint="eastAsia" w:ascii="仿宋" w:hAnsi="仿宋" w:eastAsia="仿宋" w:cs="仿宋"/>
          <w:b/>
          <w:bCs/>
          <w:color w:val="auto"/>
          <w:kern w:val="0"/>
          <w:sz w:val="24"/>
          <w:szCs w:val="24"/>
          <w:highlight w:val="none"/>
          <w:lang w:eastAsia="zh-CN"/>
        </w:rPr>
        <w:t>响应文件</w:t>
      </w:r>
      <w:r>
        <w:rPr>
          <w:rFonts w:hint="eastAsia" w:ascii="仿宋" w:hAnsi="仿宋" w:eastAsia="仿宋" w:cs="仿宋"/>
          <w:b/>
          <w:bCs/>
          <w:color w:val="auto"/>
          <w:kern w:val="0"/>
          <w:sz w:val="24"/>
          <w:szCs w:val="24"/>
          <w:highlight w:val="none"/>
        </w:rPr>
        <w:t>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
          <w:bCs/>
          <w:color w:val="auto"/>
          <w:kern w:val="0"/>
          <w:sz w:val="24"/>
          <w:szCs w:val="24"/>
          <w:highlight w:val="none"/>
          <w:lang w:eastAsia="zh-CN"/>
        </w:rPr>
        <w:t>95763</w:t>
      </w:r>
      <w:r>
        <w:rPr>
          <w:rFonts w:hint="eastAsia" w:ascii="仿宋" w:hAnsi="仿宋" w:eastAsia="仿宋" w:cs="仿宋"/>
          <w:b/>
          <w:bCs/>
          <w:color w:val="auto"/>
          <w:kern w:val="0"/>
          <w:sz w:val="24"/>
          <w:szCs w:val="24"/>
          <w:highlight w:val="none"/>
        </w:rPr>
        <w:t>进行咨询。</w:t>
      </w:r>
    </w:p>
    <w:p w14:paraId="0F0EA219">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5开标时间后60分钟内（</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sz w:val="24"/>
          <w:szCs w:val="24"/>
          <w:highlight w:val="none"/>
          <w:lang w:val="en-US" w:eastAsia="zh-CN"/>
        </w:rPr>
        <w:t>11点00分（北京时间）</w:t>
      </w:r>
      <w:r>
        <w:rPr>
          <w:rFonts w:hint="eastAsia" w:ascii="仿宋" w:hAnsi="仿宋" w:eastAsia="仿宋" w:cs="仿宋"/>
          <w:b/>
          <w:bCs/>
          <w:color w:val="auto"/>
          <w:kern w:val="0"/>
          <w:sz w:val="24"/>
          <w:szCs w:val="24"/>
          <w:highlight w:val="none"/>
          <w:lang w:val="en-US" w:eastAsia="zh-CN"/>
        </w:rPr>
        <w:t>-12：00前）供应商可以登录“政采云”平台，用“项目采购-开标评标”功能进行解密响应文件。若供应商在规定时间内（</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年0</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月26日</w:t>
      </w:r>
      <w:r>
        <w:rPr>
          <w:rFonts w:hint="eastAsia" w:ascii="仿宋" w:hAnsi="仿宋" w:eastAsia="仿宋" w:cs="仿宋"/>
          <w:b/>
          <w:bCs/>
          <w:color w:val="auto"/>
          <w:kern w:val="0"/>
          <w:sz w:val="24"/>
          <w:szCs w:val="24"/>
          <w:highlight w:val="none"/>
          <w:lang w:val="en-US" w:eastAsia="zh-CN"/>
        </w:rPr>
        <w:t>12:00前）未按时解密的，视为响应文件撤回。</w:t>
      </w:r>
    </w:p>
    <w:p w14:paraId="13C5BC27">
      <w:pPr>
        <w:keepNext w:val="0"/>
        <w:keepLines w:val="0"/>
        <w:pageBreakBefore w:val="0"/>
        <w:widowControl/>
        <w:kinsoku/>
        <w:wordWrap/>
        <w:overflowPunct/>
        <w:topLinePunct w:val="0"/>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rPr>
        <w:t>因系统（非投标供应商行为）的原因，造成投标供应商未能在规定的解密时限内解密的，请及时与招标代理机构或与新疆政府采购网投标客户端进行联系。</w:t>
      </w:r>
    </w:p>
    <w:p w14:paraId="165FB8B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17.1.</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lang w:eastAsia="zh-CN"/>
        </w:rPr>
        <w:t>响应文件</w:t>
      </w:r>
      <w:r>
        <w:rPr>
          <w:rFonts w:hint="eastAsia" w:ascii="仿宋" w:hAnsi="仿宋" w:eastAsia="仿宋" w:cs="仿宋"/>
          <w:b/>
          <w:bCs/>
          <w:color w:val="auto"/>
          <w:kern w:val="0"/>
          <w:sz w:val="24"/>
          <w:szCs w:val="24"/>
          <w:highlight w:val="none"/>
        </w:rPr>
        <w:t>未按规定上传的，视为其自动放弃投标。</w:t>
      </w:r>
    </w:p>
    <w:p w14:paraId="56CBA4F7">
      <w:pPr>
        <w:keepNext w:val="0"/>
        <w:keepLines w:val="0"/>
        <w:pageBreakBefore w:val="0"/>
        <w:widowControl/>
        <w:shd w:val="clear" w:color="auto" w:fill="FFFFFF"/>
        <w:kinsoku/>
        <w:wordWrap/>
        <w:overflowPunct/>
        <w:topLinePunct w:val="0"/>
        <w:bidi w:val="0"/>
        <w:snapToGrid w:val="0"/>
        <w:spacing w:line="360" w:lineRule="auto"/>
        <w:ind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17.2</w:t>
      </w:r>
      <w:r>
        <w:rPr>
          <w:rFonts w:hint="eastAsia" w:ascii="仿宋" w:hAnsi="仿宋" w:eastAsia="仿宋" w:cs="仿宋"/>
          <w:b/>
          <w:bCs/>
          <w:color w:val="auto"/>
          <w:kern w:val="0"/>
          <w:sz w:val="24"/>
          <w:szCs w:val="24"/>
          <w:highlight w:val="none"/>
        </w:rPr>
        <w:t xml:space="preserve">. </w:t>
      </w:r>
      <w:r>
        <w:rPr>
          <w:rFonts w:hint="eastAsia" w:ascii="仿宋" w:hAnsi="仿宋" w:eastAsia="仿宋" w:cs="仿宋"/>
          <w:b/>
          <w:color w:val="auto"/>
          <w:kern w:val="0"/>
          <w:sz w:val="24"/>
          <w:szCs w:val="24"/>
          <w:highlight w:val="none"/>
          <w:lang w:eastAsia="zh-CN"/>
        </w:rPr>
        <w:t>响应文件</w:t>
      </w:r>
      <w:r>
        <w:rPr>
          <w:rFonts w:hint="eastAsia" w:ascii="仿宋" w:hAnsi="仿宋" w:eastAsia="仿宋" w:cs="仿宋"/>
          <w:b/>
          <w:color w:val="auto"/>
          <w:kern w:val="0"/>
          <w:sz w:val="24"/>
          <w:szCs w:val="24"/>
          <w:highlight w:val="none"/>
        </w:rPr>
        <w:t>的修改与撤回</w:t>
      </w:r>
    </w:p>
    <w:p w14:paraId="1209BB0F">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17.2.1投标人在投标截止时间前，可以对所递交的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进行补充、修改或者撤回，并书面通知采购人或者采购代理机构。补充、修改的内容应当按照</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要求签署、盖章</w:t>
      </w:r>
      <w:r>
        <w:rPr>
          <w:rFonts w:hint="eastAsia" w:ascii="仿宋" w:hAnsi="仿宋" w:eastAsia="仿宋" w:cs="仿宋"/>
          <w:color w:val="auto"/>
          <w:kern w:val="0"/>
          <w:sz w:val="24"/>
          <w:szCs w:val="24"/>
          <w:highlight w:val="none"/>
          <w:lang w:val="en-US" w:eastAsia="zh-CN"/>
        </w:rPr>
        <w:t>后</w:t>
      </w:r>
      <w:r>
        <w:rPr>
          <w:rFonts w:hint="eastAsia" w:ascii="仿宋" w:hAnsi="仿宋" w:eastAsia="仿宋" w:cs="仿宋"/>
          <w:color w:val="auto"/>
          <w:kern w:val="0"/>
          <w:sz w:val="24"/>
          <w:szCs w:val="24"/>
          <w:highlight w:val="none"/>
        </w:rPr>
        <w:t>，作为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的组成部分。</w:t>
      </w:r>
    </w:p>
    <w:p w14:paraId="075A6A6B">
      <w:pPr>
        <w:keepNext w:val="0"/>
        <w:keepLines w:val="0"/>
        <w:pageBreakBefore w:val="0"/>
        <w:widowControl/>
        <w:kinsoku/>
        <w:wordWrap/>
        <w:overflowPunct/>
        <w:topLinePunct w:val="0"/>
        <w:bidi w:val="0"/>
        <w:spacing w:line="360" w:lineRule="auto"/>
        <w:ind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17.2.2投标人在投标截止期后不得修改、撤回</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投标人在投标截止期后修改</w:t>
      </w:r>
      <w:r>
        <w:rPr>
          <w:rFonts w:hint="eastAsia" w:ascii="仿宋" w:hAnsi="仿宋" w:eastAsia="仿宋" w:cs="仿宋"/>
          <w:b/>
          <w:color w:val="auto"/>
          <w:kern w:val="0"/>
          <w:sz w:val="24"/>
          <w:szCs w:val="24"/>
          <w:highlight w:val="none"/>
          <w:lang w:eastAsia="zh-CN"/>
        </w:rPr>
        <w:t>响应文件</w:t>
      </w:r>
      <w:r>
        <w:rPr>
          <w:rFonts w:hint="eastAsia" w:ascii="仿宋" w:hAnsi="仿宋" w:eastAsia="仿宋" w:cs="仿宋"/>
          <w:b/>
          <w:color w:val="auto"/>
          <w:kern w:val="0"/>
          <w:sz w:val="24"/>
          <w:szCs w:val="24"/>
          <w:highlight w:val="none"/>
        </w:rPr>
        <w:t>的，其投标无效。</w:t>
      </w:r>
    </w:p>
    <w:p w14:paraId="38A94AD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17.2.3若供应商在规定的时间内（“投标人须知前附表”的中规定）未能解密的，也将被视为供应商对其</w:t>
      </w:r>
      <w:r>
        <w:rPr>
          <w:rFonts w:hint="eastAsia" w:ascii="仿宋" w:hAnsi="仿宋" w:eastAsia="仿宋" w:cs="仿宋"/>
          <w:b/>
          <w:bCs/>
          <w:color w:val="auto"/>
          <w:kern w:val="0"/>
          <w:sz w:val="24"/>
          <w:szCs w:val="24"/>
          <w:highlight w:val="none"/>
          <w:lang w:eastAsia="zh-CN"/>
        </w:rPr>
        <w:t>响应文件</w:t>
      </w:r>
      <w:r>
        <w:rPr>
          <w:rFonts w:hint="eastAsia" w:ascii="仿宋" w:hAnsi="仿宋" w:eastAsia="仿宋" w:cs="仿宋"/>
          <w:b/>
          <w:bCs/>
          <w:color w:val="auto"/>
          <w:kern w:val="0"/>
          <w:sz w:val="24"/>
          <w:szCs w:val="24"/>
          <w:highlight w:val="none"/>
        </w:rPr>
        <w:t>的撤回。</w:t>
      </w:r>
    </w:p>
    <w:p w14:paraId="2E336C91">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57" w:name="_Toc17234"/>
      <w:bookmarkStart w:id="58" w:name="_Toc18548"/>
      <w:r>
        <w:rPr>
          <w:rFonts w:hint="eastAsia" w:ascii="仿宋" w:hAnsi="仿宋" w:eastAsia="仿宋" w:cs="仿宋"/>
          <w:b/>
          <w:color w:val="auto"/>
          <w:sz w:val="28"/>
          <w:szCs w:val="28"/>
          <w:highlight w:val="none"/>
          <w:lang w:eastAsia="zh-CN"/>
        </w:rPr>
        <w:t>五、</w:t>
      </w:r>
      <w:r>
        <w:rPr>
          <w:rFonts w:hint="eastAsia" w:ascii="仿宋" w:hAnsi="仿宋" w:eastAsia="仿宋" w:cs="仿宋"/>
          <w:b/>
          <w:color w:val="auto"/>
          <w:sz w:val="28"/>
          <w:szCs w:val="28"/>
          <w:highlight w:val="none"/>
        </w:rPr>
        <w:t>开   标</w:t>
      </w:r>
      <w:bookmarkEnd w:id="57"/>
      <w:bookmarkEnd w:id="58"/>
    </w:p>
    <w:p w14:paraId="207B8A46">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kern w:val="0"/>
          <w:sz w:val="24"/>
          <w:szCs w:val="24"/>
          <w:highlight w:val="none"/>
        </w:rPr>
        <w:t>8</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开标</w:t>
      </w:r>
    </w:p>
    <w:p w14:paraId="3147DF61">
      <w:pPr>
        <w:spacing w:line="360" w:lineRule="auto"/>
        <w:rPr>
          <w:rFonts w:hint="eastAsia" w:ascii="仿宋" w:hAnsi="仿宋" w:eastAsia="仿宋" w:cs="仿宋"/>
          <w:b/>
          <w:bCs/>
          <w:color w:val="auto"/>
          <w:kern w:val="0"/>
          <w:sz w:val="24"/>
          <w:szCs w:val="24"/>
          <w:highlight w:val="none"/>
        </w:rPr>
      </w:pPr>
      <w:bookmarkStart w:id="59" w:name="_Toc11241"/>
      <w:bookmarkStart w:id="60" w:name="_Toc12791"/>
      <w:r>
        <w:rPr>
          <w:rFonts w:hint="eastAsia" w:ascii="仿宋" w:hAnsi="仿宋" w:eastAsia="仿宋" w:cs="仿宋"/>
          <w:b/>
          <w:bCs/>
          <w:color w:val="auto"/>
          <w:kern w:val="0"/>
          <w:sz w:val="24"/>
          <w:szCs w:val="24"/>
          <w:highlight w:val="none"/>
        </w:rPr>
        <w:t>18.1. 开标</w:t>
      </w:r>
    </w:p>
    <w:p w14:paraId="39150641">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18.1.1 本次采用不见面方式网上开标。</w:t>
      </w:r>
    </w:p>
    <w:p w14:paraId="07234777">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18.1.2开标由招标代理机构主持，招标人、投标人和有关方面代表参加。</w:t>
      </w:r>
    </w:p>
    <w:p w14:paraId="5958E419">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18.1.3开标时，由采购代理机构工作人员当众在不见面开标大厅解密，宣布投标人名称、投标价格和</w:t>
      </w:r>
      <w:r>
        <w:rPr>
          <w:rFonts w:hint="eastAsia" w:ascii="仿宋" w:hAnsi="仿宋" w:eastAsia="仿宋" w:cs="仿宋"/>
          <w:b/>
          <w:bCs/>
          <w:color w:val="auto"/>
          <w:kern w:val="0"/>
          <w:sz w:val="24"/>
          <w:szCs w:val="24"/>
          <w:highlight w:val="none"/>
          <w:lang w:eastAsia="zh-CN"/>
        </w:rPr>
        <w:t>竞争性磋商文件</w:t>
      </w:r>
      <w:r>
        <w:rPr>
          <w:rFonts w:hint="eastAsia" w:ascii="仿宋" w:hAnsi="仿宋" w:eastAsia="仿宋" w:cs="仿宋"/>
          <w:b/>
          <w:bCs/>
          <w:color w:val="auto"/>
          <w:kern w:val="0"/>
          <w:sz w:val="24"/>
          <w:szCs w:val="24"/>
          <w:highlight w:val="none"/>
        </w:rPr>
        <w:t>规定的需要宣布的其他内容。投标人不足3家的，不得开标。</w:t>
      </w:r>
    </w:p>
    <w:p w14:paraId="1ADBE8BD">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18.1.4开标时，投标报价以系统显示投标报价为准。 </w:t>
      </w:r>
    </w:p>
    <w:p w14:paraId="0F42C51B">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9D49F93">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18.1.6投标人代表在开标过程中未提出异议的，视为认可本次开标及开标过程的全部事宜。</w:t>
      </w:r>
    </w:p>
    <w:p w14:paraId="64C39C3F">
      <w:pPr>
        <w:numPr>
          <w:ilvl w:val="0"/>
          <w:numId w:val="0"/>
        </w:numPr>
        <w:spacing w:line="360" w:lineRule="auto"/>
        <w:jc w:val="center"/>
        <w:outlineLvl w:val="2"/>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eastAsia="zh-CN"/>
        </w:rPr>
        <w:t>六、</w:t>
      </w:r>
      <w:r>
        <w:rPr>
          <w:rFonts w:hint="eastAsia" w:ascii="仿宋" w:hAnsi="仿宋" w:eastAsia="仿宋" w:cs="仿宋"/>
          <w:b/>
          <w:bCs/>
          <w:color w:val="auto"/>
          <w:kern w:val="0"/>
          <w:sz w:val="28"/>
          <w:szCs w:val="28"/>
          <w:highlight w:val="none"/>
        </w:rPr>
        <w:t>评标、定标</w:t>
      </w:r>
      <w:bookmarkEnd w:id="59"/>
      <w:bookmarkEnd w:id="60"/>
    </w:p>
    <w:p w14:paraId="6BB463C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19、评标</w:t>
      </w:r>
    </w:p>
    <w:p w14:paraId="131FF4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评标委员会  </w:t>
      </w:r>
    </w:p>
    <w:p w14:paraId="225E46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19.1.1 评标委员会或评标小组（以下简称评标委员会）的评标工作由招标单位负责组织，具体评标事务由评标委员会负责，并独立履行其法规规定的职责。</w:t>
      </w:r>
    </w:p>
    <w:p w14:paraId="006E88F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19.1.2 评标委员会由招标人和专家库中熟悉相关技术的专家组成，成员人数为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人以上（含</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开标前随机抽取确定，并在招标结果确定前保密。</w:t>
      </w:r>
    </w:p>
    <w:p w14:paraId="26E828A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  评标委员会或评标小组负责具体的评标事务，并独立履行以下职责：</w:t>
      </w:r>
    </w:p>
    <w:p w14:paraId="09A2882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19.1.3.1 审查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的要求，并作出评价；</w:t>
      </w:r>
    </w:p>
    <w:p w14:paraId="4268DA3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19.1.3.2 可以要求投标供应商对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有关事项作出解释或澄清；</w:t>
      </w:r>
    </w:p>
    <w:p w14:paraId="3F1ED18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19.1.3.3 推荐中标候选供应商名单，或者受招标人委托按照事先确定的最低价的评标办法直接确定中标人；</w:t>
      </w:r>
    </w:p>
    <w:p w14:paraId="3E636A6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19.1.3.4 向招标单位或者有关部门报告非法干预评标工作的行为。</w:t>
      </w:r>
    </w:p>
    <w:p w14:paraId="5C9AEC1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评标委员会成员应当履行下列义务：</w:t>
      </w:r>
    </w:p>
    <w:p w14:paraId="2C6A31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.1 遵纪守法，客观、公正、廉洁地履行职责；</w:t>
      </w:r>
    </w:p>
    <w:p w14:paraId="247043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.2 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规定的评标办法和评标标准进行评标，对评审意见承担个人责任；</w:t>
      </w:r>
    </w:p>
    <w:p w14:paraId="6278DCD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.3 对评标过程和结果，以及投标人的商业秘密保密；</w:t>
      </w:r>
    </w:p>
    <w:p w14:paraId="679968B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.4 参与评标报告的起草；</w:t>
      </w:r>
    </w:p>
    <w:p w14:paraId="6A22C37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.5 配合财政部门的投诉处理工作；</w:t>
      </w:r>
    </w:p>
    <w:p w14:paraId="04C6185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19.1.4 .6 配合招标单位答复投标供应商提出的质疑。</w:t>
      </w:r>
    </w:p>
    <w:p w14:paraId="12054442">
      <w:pPr>
        <w:spacing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19.2按国家计委等七部委颁发的《评标委员会和评标方法暂行规定》，结合本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特点，</w:t>
      </w:r>
      <w:r>
        <w:rPr>
          <w:rFonts w:hint="eastAsia" w:ascii="仿宋" w:hAnsi="仿宋" w:eastAsia="仿宋" w:cs="仿宋"/>
          <w:b/>
          <w:bCs/>
          <w:color w:val="auto"/>
          <w:kern w:val="0"/>
          <w:sz w:val="24"/>
          <w:szCs w:val="24"/>
          <w:highlight w:val="none"/>
        </w:rPr>
        <w:t>本项目采用</w:t>
      </w:r>
      <w:r>
        <w:rPr>
          <w:rFonts w:hint="eastAsia" w:ascii="仿宋" w:hAnsi="仿宋" w:eastAsia="仿宋" w:cs="仿宋"/>
          <w:b/>
          <w:bCs/>
          <w:color w:val="auto"/>
          <w:kern w:val="0"/>
          <w:sz w:val="24"/>
          <w:szCs w:val="24"/>
          <w:highlight w:val="none"/>
          <w:lang w:val="en-US" w:eastAsia="zh-CN"/>
        </w:rPr>
        <w:t>竞争性磋商</w:t>
      </w:r>
      <w:r>
        <w:rPr>
          <w:rFonts w:hint="eastAsia" w:ascii="仿宋" w:hAnsi="仿宋" w:eastAsia="仿宋" w:cs="仿宋"/>
          <w:b/>
          <w:bCs/>
          <w:color w:val="auto"/>
          <w:kern w:val="0"/>
          <w:sz w:val="24"/>
          <w:szCs w:val="24"/>
          <w:highlight w:val="none"/>
        </w:rPr>
        <w:t>，综合评分因素的主要因素为价格、技术</w:t>
      </w:r>
      <w:r>
        <w:rPr>
          <w:rFonts w:hint="eastAsia" w:ascii="仿宋" w:hAnsi="仿宋" w:eastAsia="仿宋" w:cs="仿宋"/>
          <w:b/>
          <w:bCs/>
          <w:color w:val="auto"/>
          <w:kern w:val="0"/>
          <w:sz w:val="24"/>
          <w:szCs w:val="24"/>
          <w:highlight w:val="none"/>
          <w:lang w:val="en-US" w:eastAsia="zh-CN"/>
        </w:rPr>
        <w:t>服务</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售后</w:t>
      </w:r>
      <w:r>
        <w:rPr>
          <w:rFonts w:hint="eastAsia" w:ascii="仿宋" w:hAnsi="仿宋" w:eastAsia="仿宋" w:cs="仿宋"/>
          <w:b/>
          <w:bCs/>
          <w:color w:val="auto"/>
          <w:kern w:val="0"/>
          <w:sz w:val="24"/>
          <w:szCs w:val="24"/>
          <w:highlight w:val="none"/>
        </w:rPr>
        <w:t>服务以及对</w:t>
      </w:r>
      <w:r>
        <w:rPr>
          <w:rFonts w:hint="eastAsia" w:ascii="仿宋" w:hAnsi="仿宋" w:eastAsia="仿宋" w:cs="仿宋"/>
          <w:b/>
          <w:bCs/>
          <w:color w:val="auto"/>
          <w:kern w:val="0"/>
          <w:sz w:val="24"/>
          <w:szCs w:val="24"/>
          <w:highlight w:val="none"/>
          <w:lang w:eastAsia="zh-CN"/>
        </w:rPr>
        <w:t>竞争性磋商文件</w:t>
      </w:r>
      <w:r>
        <w:rPr>
          <w:rFonts w:hint="eastAsia" w:ascii="仿宋" w:hAnsi="仿宋" w:eastAsia="仿宋" w:cs="仿宋"/>
          <w:b/>
          <w:bCs/>
          <w:color w:val="auto"/>
          <w:kern w:val="0"/>
          <w:sz w:val="24"/>
          <w:szCs w:val="24"/>
          <w:highlight w:val="none"/>
        </w:rPr>
        <w:t>的响应程度等。每一投标人的最终得分为所有评委评分的算数平均值。（总分100分：其中商务部分和技术部分占</w:t>
      </w:r>
      <w:r>
        <w:rPr>
          <w:rFonts w:hint="eastAsia" w:ascii="仿宋" w:hAnsi="仿宋" w:eastAsia="仿宋" w:cs="仿宋"/>
          <w:b/>
          <w:bCs/>
          <w:color w:val="auto"/>
          <w:kern w:val="0"/>
          <w:sz w:val="24"/>
          <w:szCs w:val="24"/>
          <w:highlight w:val="none"/>
          <w:lang w:val="en-US" w:eastAsia="zh-CN"/>
        </w:rPr>
        <w:t>70</w:t>
      </w:r>
      <w:r>
        <w:rPr>
          <w:rFonts w:hint="eastAsia" w:ascii="仿宋" w:hAnsi="仿宋" w:eastAsia="仿宋" w:cs="仿宋"/>
          <w:b/>
          <w:bCs/>
          <w:color w:val="auto"/>
          <w:kern w:val="0"/>
          <w:sz w:val="24"/>
          <w:szCs w:val="24"/>
          <w:highlight w:val="none"/>
        </w:rPr>
        <w:t>分，投标报价占</w:t>
      </w:r>
      <w:r>
        <w:rPr>
          <w:rFonts w:hint="eastAsia" w:ascii="仿宋" w:hAnsi="仿宋" w:eastAsia="仿宋" w:cs="仿宋"/>
          <w:b/>
          <w:bCs/>
          <w:color w:val="auto"/>
          <w:kern w:val="0"/>
          <w:sz w:val="24"/>
          <w:szCs w:val="24"/>
          <w:highlight w:val="none"/>
          <w:lang w:val="en-US" w:eastAsia="zh-CN"/>
        </w:rPr>
        <w:t>30</w:t>
      </w:r>
      <w:r>
        <w:rPr>
          <w:rFonts w:hint="eastAsia" w:ascii="仿宋" w:hAnsi="仿宋" w:eastAsia="仿宋" w:cs="仿宋"/>
          <w:b/>
          <w:bCs/>
          <w:color w:val="auto"/>
          <w:kern w:val="0"/>
          <w:sz w:val="24"/>
          <w:szCs w:val="24"/>
          <w:highlight w:val="none"/>
        </w:rPr>
        <w:t>分），最终合计得分最高的投标人作为第一中标候选人，以此类推确定第二、第三中标候选人。</w:t>
      </w:r>
    </w:p>
    <w:p w14:paraId="3A29128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评标的依据为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074E17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评标过程的保密性。开标后，直到授予投标人合同为止，凡是属于审查、澄清、评价和比较的有关资料以及授标建议等均不得向投标人或其他无关的人员透露。</w:t>
      </w:r>
    </w:p>
    <w:p w14:paraId="6BD2A41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 投标人在评标过程中所进行的试图影响评标结果、有悖于招标规则的活动，可能导致取消其中标资格。</w:t>
      </w:r>
    </w:p>
    <w:p w14:paraId="69CAAE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有重大偏离的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将被拒绝。且此重大偏离在开标后不许修改。</w:t>
      </w:r>
    </w:p>
    <w:p w14:paraId="607B04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评标委员会应当审查每一</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是否对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提出的所有实质性要求和条件作出响应。未能在实质上响应招标的投标，将作废标处理。</w:t>
      </w:r>
    </w:p>
    <w:p w14:paraId="3816DF56">
      <w:pPr>
        <w:pStyle w:val="152"/>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20、</w:t>
      </w:r>
      <w:r>
        <w:rPr>
          <w:rFonts w:hint="eastAsia" w:ascii="仿宋" w:hAnsi="仿宋" w:eastAsia="仿宋" w:cs="仿宋"/>
          <w:b/>
          <w:bCs/>
          <w:color w:val="auto"/>
          <w:sz w:val="24"/>
          <w:szCs w:val="24"/>
          <w:highlight w:val="none"/>
        </w:rPr>
        <w:t>投标人资格审查和</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符合性审查</w:t>
      </w:r>
    </w:p>
    <w:p w14:paraId="7314E4C3">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.1投标人资格审查指依据法律、法规和</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的规定，对</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中的资格、资信证明等进行审查，以确定投标人是否具备投标资格；</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符合性审查指依据</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的规定，从</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的有效性、完整性和对</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的响应程度进行审查，以确定是否对</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的实质性要求作出响应。</w:t>
      </w:r>
    </w:p>
    <w:p w14:paraId="4F5E586C">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.2投标人未通过资格审查的不得进入</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符合性审查；投标人未通过符合性审查的，不得进入</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的综合比较与评价。</w:t>
      </w:r>
    </w:p>
    <w:p w14:paraId="44E44C81">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.3如本项目使用最低评标价法，提供相同品牌相同规格类型产品的不同投标人以其中通过资格审查、符合性审查且报价最低的参加评标；报价相同的，由采购人或者采购人委托评标委员会按照</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中评标办法规定的方式确定 一个参加评标的投标人；未规定的采取随机抽取方式确定，</w:t>
      </w:r>
      <w:r>
        <w:rPr>
          <w:rFonts w:hint="eastAsia" w:ascii="仿宋" w:hAnsi="仿宋" w:eastAsia="仿宋" w:cs="仿宋"/>
          <w:b/>
          <w:bCs/>
          <w:color w:val="auto"/>
          <w:sz w:val="24"/>
          <w:szCs w:val="24"/>
          <w:highlight w:val="none"/>
        </w:rPr>
        <w:t>其他投标无效</w:t>
      </w:r>
      <w:r>
        <w:rPr>
          <w:rFonts w:hint="eastAsia" w:ascii="仿宋" w:hAnsi="仿宋" w:eastAsia="仿宋" w:cs="仿宋"/>
          <w:bCs/>
          <w:color w:val="auto"/>
          <w:sz w:val="24"/>
          <w:szCs w:val="24"/>
          <w:highlight w:val="none"/>
        </w:rPr>
        <w:t>。</w:t>
      </w:r>
    </w:p>
    <w:p w14:paraId="7B838232">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委员会按照</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中评标办法规定的方式确定一个投标人获得中标人推荐资格；未规定的采取随机抽取方式确定，其他同品牌投标人不作为中标候选人。</w:t>
      </w:r>
    </w:p>
    <w:p w14:paraId="4702C2DB">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.5如一个分包内包含多种产品的，采购人或采购代理机构将在</w:t>
      </w:r>
      <w:r>
        <w:rPr>
          <w:rFonts w:hint="eastAsia" w:ascii="仿宋" w:hAnsi="仿宋" w:eastAsia="仿宋" w:cs="仿宋"/>
          <w:bCs/>
          <w:color w:val="auto"/>
          <w:sz w:val="24"/>
          <w:szCs w:val="24"/>
          <w:highlight w:val="none"/>
          <w:u w:val="single"/>
          <w:lang w:val="en-US" w:eastAsia="zh-CN"/>
        </w:rPr>
        <w:t xml:space="preserve">竞争性磋商文件技术参数 </w:t>
      </w:r>
      <w:r>
        <w:rPr>
          <w:rFonts w:hint="eastAsia" w:ascii="仿宋" w:hAnsi="仿宋" w:eastAsia="仿宋" w:cs="仿宋"/>
          <w:bCs/>
          <w:color w:val="auto"/>
          <w:sz w:val="24"/>
          <w:szCs w:val="24"/>
          <w:highlight w:val="none"/>
        </w:rPr>
        <w:t>中载明核心产品，多家投标人提供的所有核心产品品牌均相同的， 按相关条规定处理。</w:t>
      </w:r>
    </w:p>
    <w:p w14:paraId="7F98629D">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rPr>
        <w:t>无效投标</w:t>
      </w:r>
      <w:r>
        <w:rPr>
          <w:rFonts w:hint="eastAsia" w:ascii="仿宋" w:hAnsi="仿宋" w:eastAsia="仿宋" w:cs="仿宋"/>
          <w:bCs/>
          <w:color w:val="auto"/>
          <w:sz w:val="24"/>
          <w:szCs w:val="24"/>
          <w:highlight w:val="none"/>
        </w:rPr>
        <w:t>被拒绝。</w:t>
      </w:r>
    </w:p>
    <w:p w14:paraId="71C91170">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.7</w:t>
      </w:r>
      <w:r>
        <w:rPr>
          <w:rFonts w:hint="eastAsia" w:ascii="仿宋" w:hAnsi="仿宋" w:eastAsia="仿宋" w:cs="仿宋"/>
          <w:color w:val="auto"/>
          <w:sz w:val="24"/>
          <w:szCs w:val="24"/>
          <w:highlight w:val="none"/>
        </w:rPr>
        <w:t>投标人不良信用记录以采购人或采购代理机构查询结果为准。</w:t>
      </w:r>
    </w:p>
    <w:p w14:paraId="56CC2479">
      <w:pPr>
        <w:pStyle w:val="15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资格审查详见投标人须知前附表载明的投标人资格证明文件、符合性审查标准详见第</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章</w:t>
      </w:r>
      <w:r>
        <w:rPr>
          <w:rFonts w:hint="eastAsia" w:ascii="仿宋" w:hAnsi="仿宋" w:eastAsia="仿宋" w:cs="仿宋"/>
          <w:b/>
          <w:color w:val="auto"/>
          <w:sz w:val="24"/>
          <w:szCs w:val="24"/>
          <w:highlight w:val="none"/>
          <w:lang w:val="en-US" w:eastAsia="zh-CN"/>
        </w:rPr>
        <w:t>评标办法及标准</w:t>
      </w:r>
      <w:r>
        <w:rPr>
          <w:rFonts w:hint="eastAsia" w:ascii="仿宋" w:hAnsi="仿宋" w:eastAsia="仿宋" w:cs="仿宋"/>
          <w:b/>
          <w:color w:val="auto"/>
          <w:sz w:val="24"/>
          <w:szCs w:val="24"/>
          <w:highlight w:val="none"/>
        </w:rPr>
        <w:t>。</w:t>
      </w:r>
    </w:p>
    <w:p w14:paraId="246EED3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的澄清</w:t>
      </w:r>
    </w:p>
    <w:p w14:paraId="701110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评标委员会在评标过程中有权随时请投标人就</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中含混之处加以澄清或答疑。</w:t>
      </w:r>
    </w:p>
    <w:p w14:paraId="2BB100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投标人对要求澄清的问题应以书面形式明确答复，并应有法人授权代表的签署。</w:t>
      </w:r>
    </w:p>
    <w:p w14:paraId="734255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投标人的澄清文件是</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的组成部分，并取代</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中被澄清的部分。</w:t>
      </w:r>
    </w:p>
    <w:p w14:paraId="1E70C7E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21.4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的澄清不得改变投标的实质内容。</w:t>
      </w:r>
    </w:p>
    <w:p w14:paraId="30C833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 如果投标人在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中未对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中的条款或参数要求提出偏离意见或澄清将视同投标人同意</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的全部或部分要求。</w:t>
      </w:r>
    </w:p>
    <w:p w14:paraId="22F4089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22、定标</w:t>
      </w:r>
    </w:p>
    <w:p w14:paraId="5B30A0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评标委员会有权选择和拒绝投标人中标，且无需向投标人进行任何有关评标的解释工作。</w:t>
      </w:r>
      <w:r>
        <w:rPr>
          <w:rFonts w:hint="eastAsia" w:ascii="仿宋" w:hAnsi="仿宋" w:eastAsia="仿宋" w:cs="仿宋"/>
          <w:sz w:val="24"/>
          <w:szCs w:val="24"/>
          <w:highlight w:val="none"/>
        </w:rPr>
        <w:t>在确定中标人之前，供应商试图在</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审查、澄清、比较和评标时对评标委员会、采购人和采购代理机构施加任何影响都可能导致其投标无效。</w:t>
      </w:r>
    </w:p>
    <w:p w14:paraId="62D092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招标人根据评标委员会的评标报告，应以排名第一的中标候选人为中标人。排名第一的中标候选人放弃中标或因不可抗力提出不能履行合同，或者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4A5DEE4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23、中标的标准</w:t>
      </w:r>
    </w:p>
    <w:p w14:paraId="38E57E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资格审查文件完整无缺；</w:t>
      </w:r>
    </w:p>
    <w:p w14:paraId="2E830B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已交纳投标保证金；</w:t>
      </w:r>
    </w:p>
    <w:p w14:paraId="2C048F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报价合理，承诺条件优惠；</w:t>
      </w:r>
    </w:p>
    <w:p w14:paraId="4E52DD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23.4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无重大偏离；</w:t>
      </w:r>
    </w:p>
    <w:p w14:paraId="6CDCAF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 有较强的技术力量，能提供完善的技术服务；</w:t>
      </w:r>
    </w:p>
    <w:p w14:paraId="016C76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其他；</w:t>
      </w:r>
    </w:p>
    <w:p w14:paraId="4DBF3C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 在合同签订之前，招标人和招标代理人有权对中标单位的履约能力进行最后审查，审查方式包括询问、调查和实地考察，如发现中标单位提供的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中有虚假或对招标书所要求说明的情况故意隐瞒或虚报，则有权取消其中标资格，其投标保证金不予退回，并在有效期内另行评定中标者。</w:t>
      </w:r>
    </w:p>
    <w:p w14:paraId="4585684F">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24、中标通知</w:t>
      </w:r>
    </w:p>
    <w:p w14:paraId="38A6D8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评标结束后，招标人将当众宣布评标结果，并在“新疆政府采购网”（网址：http://www.ccgp-xinjiang.gov.cn/）上予以公告。公告有效期1个工作日；</w:t>
      </w:r>
    </w:p>
    <w:p w14:paraId="7A91DE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招标代理机构根据定标结果，在投标有效期届满前，以书面形式向中标单位发出中标通知书。</w:t>
      </w:r>
    </w:p>
    <w:p w14:paraId="1E8847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招标代理机构将定标结果及时通知未中标单位并退还投标保证金。无需解释落标原因。</w:t>
      </w:r>
    </w:p>
    <w:p w14:paraId="3500D0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招标人有权在定标之前拒绝任何有不正当行为或扰乱正常招标工作的投标人，由此对投标人造成的损失不负任何责任，同时对此无需做任何解释。</w:t>
      </w:r>
    </w:p>
    <w:p w14:paraId="4EF6FF3A">
      <w:pPr>
        <w:widowControl/>
        <w:spacing w:line="360" w:lineRule="auto"/>
        <w:ind w:firstLine="236" w:firstLineChars="98"/>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 xml:space="preserve">  25、</w:t>
      </w:r>
      <w:r>
        <w:rPr>
          <w:rFonts w:hint="eastAsia" w:ascii="仿宋" w:hAnsi="仿宋" w:eastAsia="仿宋" w:cs="仿宋"/>
          <w:b/>
          <w:color w:val="auto"/>
          <w:sz w:val="24"/>
          <w:szCs w:val="24"/>
          <w:highlight w:val="none"/>
        </w:rPr>
        <w:t>付款方式</w:t>
      </w:r>
      <w:r>
        <w:rPr>
          <w:rFonts w:hint="eastAsia" w:ascii="仿宋" w:hAnsi="仿宋" w:eastAsia="仿宋" w:cs="仿宋"/>
          <w:b/>
          <w:color w:val="auto"/>
          <w:kern w:val="0"/>
          <w:sz w:val="24"/>
          <w:szCs w:val="24"/>
          <w:highlight w:val="none"/>
        </w:rPr>
        <w:t>：甲乙双方签订合同为准</w:t>
      </w:r>
      <w:r>
        <w:rPr>
          <w:rFonts w:hint="eastAsia" w:ascii="仿宋" w:hAnsi="仿宋" w:eastAsia="仿宋" w:cs="仿宋"/>
          <w:b/>
          <w:color w:val="auto"/>
          <w:sz w:val="24"/>
          <w:szCs w:val="24"/>
          <w:highlight w:val="none"/>
        </w:rPr>
        <w:t>。</w:t>
      </w:r>
    </w:p>
    <w:p w14:paraId="3DF3BBE9">
      <w:pPr>
        <w:numPr>
          <w:ilvl w:val="0"/>
          <w:numId w:val="0"/>
        </w:numPr>
        <w:spacing w:line="360" w:lineRule="auto"/>
        <w:jc w:val="center"/>
        <w:outlineLvl w:val="2"/>
        <w:rPr>
          <w:rFonts w:hint="eastAsia" w:ascii="仿宋" w:hAnsi="仿宋" w:eastAsia="仿宋" w:cs="仿宋"/>
          <w:b/>
          <w:color w:val="auto"/>
          <w:sz w:val="28"/>
          <w:szCs w:val="28"/>
          <w:highlight w:val="none"/>
        </w:rPr>
      </w:pPr>
      <w:bookmarkStart w:id="61" w:name="_Toc4609"/>
      <w:bookmarkStart w:id="62" w:name="_Toc24055"/>
      <w:r>
        <w:rPr>
          <w:rFonts w:hint="eastAsia" w:ascii="仿宋" w:hAnsi="仿宋" w:eastAsia="仿宋" w:cs="仿宋"/>
          <w:b/>
          <w:color w:val="auto"/>
          <w:sz w:val="28"/>
          <w:szCs w:val="28"/>
          <w:highlight w:val="none"/>
          <w:lang w:eastAsia="zh-CN"/>
        </w:rPr>
        <w:t>七、</w:t>
      </w:r>
      <w:r>
        <w:rPr>
          <w:rFonts w:hint="eastAsia" w:ascii="仿宋" w:hAnsi="仿宋" w:eastAsia="仿宋" w:cs="仿宋"/>
          <w:b/>
          <w:color w:val="auto"/>
          <w:sz w:val="28"/>
          <w:szCs w:val="28"/>
          <w:highlight w:val="none"/>
        </w:rPr>
        <w:t>签定合同</w:t>
      </w:r>
      <w:bookmarkEnd w:id="61"/>
      <w:bookmarkEnd w:id="62"/>
    </w:p>
    <w:p w14:paraId="621506A1">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26、签定合同</w:t>
      </w:r>
    </w:p>
    <w:p w14:paraId="52F364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中标人依据《中标通知书》与采购人签订采购合同，签订时间为《中标通知书》发出之日起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w:t>
      </w:r>
    </w:p>
    <w:p w14:paraId="26A6F0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中标合同不得转让。合同分包需在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中予以说明，并需经招标人同意。否则，招标人有权取消中标人的中标资格。</w:t>
      </w:r>
    </w:p>
    <w:p w14:paraId="6D2D52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招标人如遇中标人违约，可从侯选中标人中重新选定中标人，并签定经济合同。</w:t>
      </w:r>
    </w:p>
    <w:p w14:paraId="2811B1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 合同的制订由招标人、中标人、招标代理机构三方参加，为确保合同双方的利益均等，由招标代理机构在合同制订过程中进行协调。</w:t>
      </w:r>
    </w:p>
    <w:p w14:paraId="4124814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26.5 合同需经招标人、中标人双方签字盖章后即生效。招标人、中标人亦可自愿申请公证。</w:t>
      </w:r>
    </w:p>
    <w:p w14:paraId="5712CDC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27、合同的组成</w:t>
      </w:r>
    </w:p>
    <w:p w14:paraId="656B8E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下列文件均为合同不可分割部分：</w:t>
      </w:r>
    </w:p>
    <w:p w14:paraId="39367B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27.1.1 专用合同；</w:t>
      </w:r>
    </w:p>
    <w:p w14:paraId="2FB818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27.1.2 合同条款；</w:t>
      </w:r>
    </w:p>
    <w:p w14:paraId="4F6030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27.1.3 中标通知书；</w:t>
      </w:r>
    </w:p>
    <w:p w14:paraId="0F2C39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27.1.4 乙方中标的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00AC9B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27.1.5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14:paraId="456EA43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27.1.6 评标答疑记录。</w:t>
      </w:r>
    </w:p>
    <w:p w14:paraId="0CEAA695">
      <w:pPr>
        <w:numPr>
          <w:ilvl w:val="0"/>
          <w:numId w:val="0"/>
        </w:numPr>
        <w:spacing w:line="360" w:lineRule="auto"/>
        <w:jc w:val="center"/>
        <w:outlineLvl w:val="2"/>
        <w:rPr>
          <w:rFonts w:hint="eastAsia" w:ascii="仿宋" w:hAnsi="仿宋" w:eastAsia="仿宋" w:cs="仿宋"/>
          <w:b/>
          <w:bCs w:val="0"/>
          <w:color w:val="auto"/>
          <w:sz w:val="28"/>
          <w:szCs w:val="28"/>
          <w:highlight w:val="none"/>
        </w:rPr>
      </w:pPr>
      <w:bookmarkStart w:id="63" w:name="_Toc18703"/>
      <w:bookmarkStart w:id="64" w:name="_Toc28496"/>
      <w:r>
        <w:rPr>
          <w:rFonts w:hint="eastAsia" w:ascii="仿宋" w:hAnsi="仿宋" w:eastAsia="仿宋" w:cs="仿宋"/>
          <w:b/>
          <w:bCs w:val="0"/>
          <w:color w:val="auto"/>
          <w:sz w:val="28"/>
          <w:szCs w:val="28"/>
          <w:highlight w:val="none"/>
          <w:lang w:eastAsia="zh-CN"/>
        </w:rPr>
        <w:t>八、</w:t>
      </w:r>
      <w:r>
        <w:rPr>
          <w:rFonts w:hint="eastAsia" w:ascii="仿宋" w:hAnsi="仿宋" w:eastAsia="仿宋" w:cs="仿宋"/>
          <w:b/>
          <w:bCs w:val="0"/>
          <w:color w:val="auto"/>
          <w:sz w:val="28"/>
          <w:szCs w:val="28"/>
          <w:highlight w:val="none"/>
        </w:rPr>
        <w:t>法律责任</w:t>
      </w:r>
    </w:p>
    <w:p w14:paraId="5910597C">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法律责任</w:t>
      </w:r>
    </w:p>
    <w:p w14:paraId="090CADB2">
      <w:pPr>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29.1</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61796140">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（一）提供虚假材料谋取中标的； </w:t>
      </w:r>
    </w:p>
    <w:p w14:paraId="3BE290F1">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（二）采取不正当手段诋毁、排挤其他投标人的；</w:t>
      </w:r>
    </w:p>
    <w:p w14:paraId="4D5A4106">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（三）与招标人、采购人、其他投标人恶意串通的； </w:t>
      </w:r>
    </w:p>
    <w:p w14:paraId="1A3FBE92">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（四）向招标人、采购人行贿或者提供其他不正当利益的； </w:t>
      </w:r>
    </w:p>
    <w:p w14:paraId="6ED522BF">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（五）在招标过程中与招标人、采购人进行协商谈判、不按照</w:t>
      </w:r>
      <w:r>
        <w:rPr>
          <w:rFonts w:hint="eastAsia" w:ascii="仿宋" w:hAnsi="仿宋" w:eastAsia="仿宋" w:cs="仿宋"/>
          <w:b/>
          <w:bCs w:val="0"/>
          <w:color w:val="auto"/>
          <w:sz w:val="24"/>
          <w:szCs w:val="24"/>
          <w:highlight w:val="none"/>
          <w:lang w:eastAsia="zh-CN"/>
        </w:rPr>
        <w:t>竞争性磋商文件</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eastAsia="zh-CN"/>
        </w:rPr>
        <w:t>响应文件</w:t>
      </w:r>
      <w:r>
        <w:rPr>
          <w:rFonts w:hint="eastAsia" w:ascii="仿宋" w:hAnsi="仿宋" w:eastAsia="仿宋" w:cs="仿宋"/>
          <w:b/>
          <w:bCs w:val="0"/>
          <w:color w:val="auto"/>
          <w:sz w:val="24"/>
          <w:szCs w:val="24"/>
          <w:highlight w:val="none"/>
        </w:rPr>
        <w:t xml:space="preserve">订立合同，或者与采购人另行订立背离合同实质性内容的协议的； </w:t>
      </w:r>
    </w:p>
    <w:p w14:paraId="345C7FAB">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（六）拒绝有关部门监督检查或者提供虚假情况的。 </w:t>
      </w:r>
    </w:p>
    <w:p w14:paraId="1F9F0BAA">
      <w:pPr>
        <w:spacing w:line="360" w:lineRule="auto"/>
        <w:ind w:left="718" w:leftChars="1" w:hanging="716" w:hangingChars="297"/>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投标人有前款第（一）至（五）项情形之一的，中标无效。 </w:t>
      </w:r>
    </w:p>
    <w:p w14:paraId="21E86323">
      <w:pPr>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29.2</w:t>
      </w:r>
      <w:r>
        <w:rPr>
          <w:rFonts w:hint="eastAsia" w:ascii="仿宋" w:hAnsi="仿宋" w:eastAsia="仿宋" w:cs="仿宋"/>
          <w:b/>
          <w:bCs w:val="0"/>
          <w:color w:val="auto"/>
          <w:sz w:val="24"/>
          <w:szCs w:val="24"/>
          <w:highlight w:val="none"/>
        </w:rPr>
        <w:tab/>
      </w:r>
      <w:r>
        <w:rPr>
          <w:rFonts w:hint="eastAsia" w:ascii="仿宋" w:hAnsi="仿宋" w:eastAsia="仿宋" w:cs="仿宋"/>
          <w:b/>
          <w:bCs w:val="0"/>
          <w:color w:val="auto"/>
          <w:sz w:val="24"/>
          <w:szCs w:val="24"/>
          <w:highlight w:val="none"/>
        </w:rPr>
        <w:t>中标人有下列情形之一的，招标人不予退还其交纳的投标保证金；情节严重的，由财政部门将其列入不良行为记录名单，在一至三年内禁止参加政府采购活动，并予以通报：</w:t>
      </w:r>
    </w:p>
    <w:p w14:paraId="62A68570">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（一）中标后无正当理由不与采购人签订合同的；</w:t>
      </w:r>
    </w:p>
    <w:p w14:paraId="376FEA5F">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（二）将中标项目转让给他人，或者在</w:t>
      </w:r>
      <w:r>
        <w:rPr>
          <w:rFonts w:hint="eastAsia" w:ascii="仿宋" w:hAnsi="仿宋" w:eastAsia="仿宋" w:cs="仿宋"/>
          <w:b/>
          <w:bCs w:val="0"/>
          <w:color w:val="auto"/>
          <w:sz w:val="24"/>
          <w:szCs w:val="24"/>
          <w:highlight w:val="none"/>
          <w:lang w:eastAsia="zh-CN"/>
        </w:rPr>
        <w:t>响应文件</w:t>
      </w:r>
      <w:r>
        <w:rPr>
          <w:rFonts w:hint="eastAsia" w:ascii="仿宋" w:hAnsi="仿宋" w:eastAsia="仿宋" w:cs="仿宋"/>
          <w:b/>
          <w:bCs w:val="0"/>
          <w:color w:val="auto"/>
          <w:sz w:val="24"/>
          <w:szCs w:val="24"/>
          <w:highlight w:val="none"/>
        </w:rPr>
        <w:t>中未说明，且未经招标人同意，将中标项目分包给他人的；</w:t>
      </w:r>
    </w:p>
    <w:p w14:paraId="2125D7BF">
      <w:pPr>
        <w:pStyle w:val="22"/>
        <w:tabs>
          <w:tab w:val="left" w:pos="9214"/>
        </w:tabs>
        <w:spacing w:after="0"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（三）拒绝履行合同义务的。</w:t>
      </w:r>
    </w:p>
    <w:p w14:paraId="4B52524F">
      <w:pPr>
        <w:numPr>
          <w:ilvl w:val="0"/>
          <w:numId w:val="0"/>
        </w:numPr>
        <w:spacing w:line="360" w:lineRule="auto"/>
        <w:jc w:val="center"/>
        <w:outlineLvl w:val="2"/>
        <w:rPr>
          <w:rFonts w:hint="eastAsia" w:ascii="仿宋" w:hAnsi="仿宋" w:eastAsia="仿宋" w:cs="仿宋"/>
          <w:b/>
          <w:color w:val="auto"/>
          <w:sz w:val="28"/>
          <w:szCs w:val="28"/>
          <w:highlight w:val="none"/>
          <w:lang w:eastAsia="zh-CN"/>
        </w:rPr>
      </w:pPr>
    </w:p>
    <w:p w14:paraId="29D95DFB">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br w:type="page"/>
      </w:r>
    </w:p>
    <w:p w14:paraId="3480AA6C">
      <w:pPr>
        <w:numPr>
          <w:ilvl w:val="0"/>
          <w:numId w:val="0"/>
        </w:num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特别提示</w:t>
      </w:r>
      <w:bookmarkEnd w:id="63"/>
      <w:bookmarkEnd w:id="64"/>
    </w:p>
    <w:p w14:paraId="03B486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30、投标人应认真研读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，充分考虑</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中的技术要求和合同条款后编制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599B72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31、如</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中未提供的各类表格样式，投标人可另行设计表格样式，但力求内容完整，表达清晰、准确。</w:t>
      </w:r>
    </w:p>
    <w:p w14:paraId="2901AE0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、本项目实行网上投标，采用电子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。若供应商参与投标，自行承担投标一切费用。 </w:t>
      </w:r>
    </w:p>
    <w:p w14:paraId="2BFD91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14:paraId="0C26319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1493F1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、供应商将政采云电子交易客户端下载、安装完成后，可通过账号密码或CA登录客户端进行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p>
    <w:p w14:paraId="0E61E8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是根据《中华人民共和国招标投标法》规定编制的，解释权属</w:t>
      </w:r>
      <w:r>
        <w:rPr>
          <w:rFonts w:hint="eastAsia" w:ascii="仿宋" w:hAnsi="仿宋" w:eastAsia="仿宋" w:cs="仿宋"/>
          <w:color w:val="auto"/>
          <w:sz w:val="24"/>
          <w:szCs w:val="24"/>
          <w:highlight w:val="none"/>
          <w:lang w:eastAsia="zh-CN"/>
        </w:rPr>
        <w:t>新疆兴立众工程咨询有限责任公司</w:t>
      </w:r>
      <w:r>
        <w:rPr>
          <w:rFonts w:hint="eastAsia" w:ascii="仿宋" w:hAnsi="仿宋" w:eastAsia="仿宋" w:cs="仿宋"/>
          <w:color w:val="auto"/>
          <w:sz w:val="24"/>
          <w:szCs w:val="24"/>
          <w:highlight w:val="none"/>
        </w:rPr>
        <w:t>。</w:t>
      </w:r>
    </w:p>
    <w:p w14:paraId="5775111C">
      <w:pPr>
        <w:spacing w:line="600" w:lineRule="auto"/>
        <w:jc w:val="center"/>
        <w:outlineLvl w:val="2"/>
        <w:rPr>
          <w:rFonts w:hint="eastAsia" w:ascii="仿宋" w:hAnsi="仿宋" w:eastAsia="仿宋" w:cs="仿宋"/>
          <w:b/>
          <w:color w:val="auto"/>
          <w:sz w:val="28"/>
          <w:szCs w:val="28"/>
          <w:highlight w:val="none"/>
        </w:rPr>
      </w:pPr>
      <w:bookmarkStart w:id="65" w:name="_Toc22021"/>
      <w:bookmarkStart w:id="66" w:name="_Toc15933"/>
      <w:r>
        <w:rPr>
          <w:rFonts w:hint="eastAsia" w:ascii="仿宋" w:hAnsi="仿宋" w:eastAsia="仿宋" w:cs="仿宋"/>
          <w:b/>
          <w:color w:val="auto"/>
          <w:sz w:val="28"/>
          <w:szCs w:val="28"/>
          <w:highlight w:val="none"/>
        </w:rPr>
        <w:t>十、招标失败条件</w:t>
      </w:r>
      <w:bookmarkEnd w:id="65"/>
      <w:bookmarkEnd w:id="66"/>
    </w:p>
    <w:p w14:paraId="443A7E63">
      <w:pPr>
        <w:pStyle w:val="27"/>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14:paraId="02016099">
      <w:pPr>
        <w:pStyle w:val="27"/>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14:paraId="06966096">
      <w:pPr>
        <w:pStyle w:val="27"/>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36.招标响应文件截止时间后，实际参与的供应商不足法定家数的；</w:t>
      </w:r>
    </w:p>
    <w:p w14:paraId="7E7BE58F">
      <w:pPr>
        <w:pStyle w:val="27"/>
        <w:tabs>
          <w:tab w:val="left" w:pos="720"/>
          <w:tab w:val="left" w:pos="900"/>
          <w:tab w:val="left" w:pos="1260"/>
        </w:tabs>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14:paraId="0DE10845">
      <w:pPr>
        <w:pStyle w:val="14"/>
        <w:overflowPunct w:val="0"/>
        <w:spacing w:line="360" w:lineRule="auto"/>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38.对</w:t>
      </w:r>
      <w:r>
        <w:rPr>
          <w:rFonts w:hint="eastAsia" w:ascii="仿宋" w:hAnsi="仿宋" w:eastAsia="仿宋" w:cs="仿宋"/>
          <w:bCs/>
          <w:color w:val="auto"/>
          <w:szCs w:val="24"/>
          <w:highlight w:val="none"/>
          <w:lang w:eastAsia="zh-CN"/>
        </w:rPr>
        <w:t>竞争性磋商文件</w:t>
      </w:r>
      <w:r>
        <w:rPr>
          <w:rFonts w:hint="eastAsia" w:ascii="仿宋" w:hAnsi="仿宋" w:eastAsia="仿宋" w:cs="仿宋"/>
          <w:bCs/>
          <w:color w:val="auto"/>
          <w:szCs w:val="24"/>
          <w:highlight w:val="none"/>
        </w:rPr>
        <w:t>作出实质性响应的供应商不足法定家数的；</w:t>
      </w:r>
    </w:p>
    <w:p w14:paraId="2B03CE7E">
      <w:pPr>
        <w:spacing w:line="360" w:lineRule="auto"/>
        <w:rPr>
          <w:rFonts w:hint="eastAsia" w:ascii="仿宋" w:hAnsi="仿宋" w:eastAsia="仿宋" w:cs="仿宋"/>
          <w:color w:val="auto"/>
          <w:highlight w:val="none"/>
        </w:rPr>
      </w:pPr>
    </w:p>
    <w:p w14:paraId="57A5B468">
      <w:pPr>
        <w:spacing w:line="360" w:lineRule="auto"/>
        <w:ind w:left="720"/>
        <w:jc w:val="center"/>
        <w:outlineLvl w:val="2"/>
        <w:rPr>
          <w:rFonts w:hint="eastAsia" w:ascii="仿宋" w:hAnsi="仿宋" w:eastAsia="仿宋" w:cs="仿宋"/>
          <w:b/>
          <w:color w:val="auto"/>
          <w:sz w:val="28"/>
          <w:szCs w:val="28"/>
          <w:highlight w:val="none"/>
        </w:rPr>
      </w:pPr>
    </w:p>
    <w:p w14:paraId="6982BD99">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AD74C7D">
      <w:pPr>
        <w:numPr>
          <w:ilvl w:val="0"/>
          <w:numId w:val="9"/>
        </w:numPr>
        <w:spacing w:line="720" w:lineRule="auto"/>
        <w:ind w:left="720"/>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质疑及答复</w:t>
      </w:r>
    </w:p>
    <w:p w14:paraId="19C21B95">
      <w:pPr>
        <w:pStyle w:val="22"/>
        <w:numPr>
          <w:ilvl w:val="0"/>
          <w:numId w:val="0"/>
        </w:numPr>
        <w:rPr>
          <w:rFonts w:hint="eastAsia"/>
          <w:highlight w:val="none"/>
        </w:rPr>
      </w:pPr>
    </w:p>
    <w:p w14:paraId="08E9B4E8">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39、质疑的提出</w:t>
      </w:r>
      <w:r>
        <w:rPr>
          <w:rFonts w:hint="eastAsia" w:ascii="仿宋" w:hAnsi="仿宋" w:eastAsia="仿宋" w:cs="仿宋"/>
          <w:color w:val="auto"/>
          <w:sz w:val="24"/>
          <w:szCs w:val="24"/>
          <w:highlight w:val="none"/>
        </w:rPr>
        <w:tab/>
      </w:r>
    </w:p>
    <w:p w14:paraId="7F17B3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 本采购文件中所称质疑及答复，是指参加本次采购活动的供应商对政府采购活动中的采购文件、采购过程和中标结果向采购方提出质疑，采购方答复质疑的行为。</w:t>
      </w:r>
    </w:p>
    <w:p w14:paraId="528494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 供应商认为采购文件、采购过程和中标结果使自己的权益受到损害的，可以在知道或者应知其权益受到损害之日起 7 个工作日内，以书面形式向采购方提出质疑。</w:t>
      </w:r>
    </w:p>
    <w:p w14:paraId="106F76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39.2.1供应商应知其权益受到损害之日，是指：</w:t>
      </w:r>
    </w:p>
    <w:p w14:paraId="0DCCE7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7782D8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52D22D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4E7502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 对可以质疑的采购文件提出质疑的，质疑人为参与本项目的报价方或潜在报价方。可质疑的文件为采购公告以及采购文件（包括属于其组成部分的澄清、修改、补充文件和评审标准、合同文本等）。</w:t>
      </w:r>
    </w:p>
    <w:p w14:paraId="643D8E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 对采购过程和中标结果提出质疑的，质疑人为直接参与本项目的报价方。采购过程,即从采购项目信息公告发布起到中标结果公告止，包括采购文件的发出、提交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开启、评审等各个采购程序环节。</w:t>
      </w:r>
    </w:p>
    <w:p w14:paraId="7A201F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39.5   提出质疑应当符合下列条件：</w:t>
      </w:r>
    </w:p>
    <w:p w14:paraId="659B14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26CD2A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6854B8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32AEA3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7AA49A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6D3D00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39.7 质疑人所提供的证明材料应当具有真实性、合法性以及与质疑事项的关联性和证明力，否则不能作为认定该质疑事项成立的依据。</w:t>
      </w:r>
    </w:p>
    <w:p w14:paraId="027310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39.8 质疑人提出质疑时应当提交质疑函。质疑函包括下列内容：</w:t>
      </w:r>
    </w:p>
    <w:p w14:paraId="5146AE1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54B0185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6829E98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4DB3AD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7CAE2E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5AAB6A7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7D07F4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39.9  质疑函采用实名制。质疑人为自然人的应当由本人签字，并附有效身份证明文件；质疑人为法人或者非法人组织的应当由法定代表人或者负责人签字并加盖公章，并附有效身份证明文件。</w:t>
      </w:r>
    </w:p>
    <w:p w14:paraId="389458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39.10 质疑人可以委托代理人进行质疑。代理人应当提交授权委托书。授权委托书应当载明委托代理的具体权限、期限和相关事项。</w:t>
      </w:r>
    </w:p>
    <w:p w14:paraId="63863B6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40、质疑的审查和受理</w:t>
      </w:r>
    </w:p>
    <w:p w14:paraId="6E135D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采购方在收到质疑函后应当及时审查是否符合质疑受理条件，对符合质疑受理条件的，及时予以受理。</w:t>
      </w:r>
    </w:p>
    <w:p w14:paraId="1A84B3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对不符合质疑受理条件的，分别按照下列不同情形予以处理：</w:t>
      </w:r>
    </w:p>
    <w:p w14:paraId="474304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2D5CD3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36DDEC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5DE165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34D1F1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065B4B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6F609CE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41、质疑的处理和答复</w:t>
      </w:r>
    </w:p>
    <w:p w14:paraId="76326B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按照《政府采购质疑和投诉办法（财政部94号令）》处理及答复质疑。</w:t>
      </w:r>
    </w:p>
    <w:p w14:paraId="4E4026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采购方受理质疑后，将及时把质疑函发送给被质疑人，并要求其在一定限期人提交书面答复，同时提供有关证据、依据和相关材料。</w:t>
      </w:r>
    </w:p>
    <w:p w14:paraId="5C81D9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对于质疑事项中涉及的问题较多、情况比较复杂的，为了全面查清事实、取得充分的证据，采购方认为有必要时，可以进行调查取证或者组织质证。</w:t>
      </w:r>
    </w:p>
    <w:p w14:paraId="52CF6F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41.4对评审过程、中标结果提出质疑的，采购方可以组织原评审委员会协助答复质疑。</w:t>
      </w:r>
    </w:p>
    <w:p w14:paraId="3CD1C3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41.5质疑处理过程中，质疑人书面申请撤回质疑的，将终止质疑处理程序。</w:t>
      </w:r>
    </w:p>
    <w:p w14:paraId="312F8D8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41.6质疑人拒绝配合采购方依法对质疑进行调查处理的，采购方将按质疑人自动撤回质疑处理；被质疑人拒绝配合采购方依法对质疑进行调查处理的，采购方将视同其认可质疑事项。</w:t>
      </w:r>
    </w:p>
    <w:p w14:paraId="771667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 采购方将在正式受理质疑后 7 个工作日内作出答复，但处理质疑需要进行调查取证、组织专家评审、质疑人及被质疑人提交或补正材料等所需时间，不计算在质疑处理期限内。</w:t>
      </w:r>
    </w:p>
    <w:p w14:paraId="420E89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采购方经调查、论证、核实，认定质疑不能成立的，继续开展采购活动；认定质疑成立的，按照以下情况处理：</w:t>
      </w:r>
    </w:p>
    <w:p w14:paraId="070D3A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3AF7EF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38A424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41.9 采购方将书面答复质疑，质疑答复包括下列内容：</w:t>
      </w:r>
    </w:p>
    <w:p w14:paraId="377F3CF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14:paraId="098816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195701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05ADBA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14:paraId="73D706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14:paraId="4532B8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41.10 质疑人有下列行为之一的，属于虚假、恶意质疑，将由采购方建议财政部门将其列入不良行为记录名单，禁止其 1 至 3 年内参加政府采购活动：</w:t>
      </w:r>
    </w:p>
    <w:p w14:paraId="36EB46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14:paraId="169AF7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14:paraId="281AFD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14:paraId="05EB8D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14:paraId="2BF95EB1">
      <w:pPr>
        <w:spacing w:line="360" w:lineRule="auto"/>
        <w:ind w:firstLine="480" w:firstLineChars="200"/>
        <w:rPr>
          <w:rFonts w:hint="eastAsia"/>
        </w:rPr>
      </w:pPr>
      <w:r>
        <w:rPr>
          <w:rFonts w:hint="eastAsia" w:ascii="仿宋" w:hAnsi="仿宋" w:eastAsia="仿宋" w:cs="仿宋"/>
          <w:color w:val="auto"/>
          <w:sz w:val="24"/>
          <w:szCs w:val="24"/>
          <w:highlight w:val="none"/>
        </w:rPr>
        <w:t>（五）法律法规规定的其他违法情形。</w:t>
      </w:r>
    </w:p>
    <w:p w14:paraId="2E22D5FA">
      <w:pPr>
        <w:rPr>
          <w:rFonts w:hint="eastAsia" w:ascii="仿宋" w:hAnsi="仿宋" w:eastAsia="仿宋" w:cs="仿宋"/>
          <w:b/>
          <w:bCs/>
          <w:color w:val="auto"/>
          <w:sz w:val="28"/>
          <w:szCs w:val="28"/>
          <w:highlight w:val="none"/>
        </w:rPr>
      </w:pPr>
    </w:p>
    <w:bookmarkEnd w:id="47"/>
    <w:bookmarkEnd w:id="48"/>
    <w:p w14:paraId="292D2BED">
      <w:pPr>
        <w:rPr>
          <w:rFonts w:hint="eastAsia" w:ascii="仿宋" w:hAnsi="仿宋" w:eastAsia="仿宋" w:cs="仿宋"/>
          <w:b/>
          <w:bCs/>
          <w:sz w:val="24"/>
          <w:szCs w:val="24"/>
        </w:rPr>
      </w:pPr>
      <w:bookmarkStart w:id="67" w:name="_Toc23028"/>
      <w:bookmarkStart w:id="68" w:name="_Toc1354"/>
      <w:bookmarkStart w:id="69" w:name="_Toc20110"/>
      <w:bookmarkStart w:id="70" w:name="_Toc6417"/>
      <w:bookmarkStart w:id="71" w:name="_Toc29710"/>
      <w:r>
        <w:rPr>
          <w:rFonts w:hint="eastAsia" w:ascii="仿宋" w:hAnsi="仿宋" w:eastAsia="仿宋" w:cs="仿宋"/>
          <w:b/>
          <w:bCs/>
          <w:sz w:val="24"/>
          <w:szCs w:val="24"/>
        </w:rPr>
        <w:br w:type="page"/>
      </w:r>
    </w:p>
    <w:p w14:paraId="0AAAF44D">
      <w:pPr>
        <w:jc w:val="center"/>
        <w:rPr>
          <w:rFonts w:hint="eastAsia" w:ascii="仿宋" w:hAnsi="仿宋" w:eastAsia="仿宋" w:cs="仿宋"/>
          <w:b/>
          <w:bCs/>
          <w:sz w:val="24"/>
          <w:szCs w:val="24"/>
        </w:rPr>
      </w:pPr>
      <w:r>
        <w:rPr>
          <w:rFonts w:hint="eastAsia" w:ascii="仿宋" w:hAnsi="仿宋" w:eastAsia="仿宋" w:cs="仿宋"/>
          <w:b/>
          <w:bCs/>
          <w:sz w:val="24"/>
          <w:szCs w:val="24"/>
        </w:rPr>
        <w:t>质疑函范本</w:t>
      </w:r>
    </w:p>
    <w:p w14:paraId="69E899B5">
      <w:pPr>
        <w:adjustRightInd w:val="0"/>
        <w:snapToGrid w:val="0"/>
        <w:spacing w:beforeLines="100" w:line="360" w:lineRule="auto"/>
        <w:rPr>
          <w:rFonts w:hint="eastAsia" w:ascii="仿宋" w:hAnsi="仿宋" w:eastAsia="仿宋" w:cs="仿宋"/>
          <w:bCs/>
          <w:sz w:val="24"/>
          <w:szCs w:val="24"/>
        </w:rPr>
      </w:pPr>
      <w:r>
        <w:rPr>
          <w:rFonts w:hint="eastAsia" w:ascii="仿宋" w:hAnsi="仿宋" w:eastAsia="仿宋" w:cs="仿宋"/>
          <w:bCs/>
          <w:sz w:val="24"/>
          <w:szCs w:val="24"/>
        </w:rPr>
        <w:t>一、质疑供应商基本信息</w:t>
      </w:r>
    </w:p>
    <w:p w14:paraId="75990BE1">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14:paraId="6372FEC2">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759C6DB0">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6CAC5465">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14:paraId="382B84E2">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r>
        <w:rPr>
          <w:rFonts w:hint="eastAsia" w:ascii="仿宋" w:hAnsi="仿宋" w:eastAsia="仿宋" w:cs="仿宋"/>
          <w:sz w:val="24"/>
          <w:szCs w:val="24"/>
        </w:rPr>
        <w:t xml:space="preserve"> </w:t>
      </w:r>
    </w:p>
    <w:p w14:paraId="34A87F26">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地址：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4F8BF847">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二、质疑项目基本情况</w:t>
      </w:r>
    </w:p>
    <w:p w14:paraId="42F2F921">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14:paraId="2D786550">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14:paraId="055F7930">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p>
    <w:p w14:paraId="496AFBE6">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14:paraId="6902CBD5">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三、质疑事项具体内容</w:t>
      </w:r>
    </w:p>
    <w:p w14:paraId="118B13EE">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14:paraId="5A6010E4">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14:paraId="1C1AFF6C">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dotted"/>
        </w:rPr>
        <w:t xml:space="preserve">                                                       </w:t>
      </w:r>
    </w:p>
    <w:p w14:paraId="17AB8515">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14:paraId="5B26A101">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u w:val="dotted"/>
        </w:rPr>
        <w:t xml:space="preserve">                                                     </w:t>
      </w:r>
    </w:p>
    <w:p w14:paraId="16837093">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质疑事项2</w:t>
      </w:r>
    </w:p>
    <w:p w14:paraId="1899B9F2">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7F147CDD">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四、与质疑事项相关的质疑请求</w:t>
      </w:r>
    </w:p>
    <w:p w14:paraId="22A6EDD0">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14:paraId="1900F57C">
      <w:pPr>
        <w:rPr>
          <w:rFonts w:hint="eastAsia" w:ascii="仿宋" w:hAnsi="仿宋" w:eastAsia="仿宋" w:cs="仿宋"/>
          <w:sz w:val="24"/>
          <w:szCs w:val="24"/>
        </w:rPr>
      </w:pPr>
      <w:r>
        <w:rPr>
          <w:rFonts w:hint="eastAsia" w:ascii="仿宋" w:hAnsi="仿宋" w:eastAsia="仿宋" w:cs="仿宋"/>
          <w:sz w:val="24"/>
          <w:szCs w:val="24"/>
        </w:rPr>
        <w:t xml:space="preserve">签字(签章)：                   公章：                      </w:t>
      </w:r>
    </w:p>
    <w:p w14:paraId="3BD711FA">
      <w:pPr>
        <w:rPr>
          <w:rFonts w:hint="eastAsia" w:ascii="仿宋" w:hAnsi="仿宋" w:eastAsia="仿宋" w:cs="仿宋"/>
          <w:sz w:val="24"/>
          <w:szCs w:val="24"/>
        </w:rPr>
      </w:pPr>
      <w:r>
        <w:rPr>
          <w:rFonts w:hint="eastAsia" w:ascii="仿宋" w:hAnsi="仿宋" w:eastAsia="仿宋" w:cs="仿宋"/>
          <w:sz w:val="24"/>
          <w:szCs w:val="24"/>
        </w:rPr>
        <w:t xml:space="preserve">日期：    </w:t>
      </w:r>
    </w:p>
    <w:p w14:paraId="725D0D00">
      <w:pPr>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质疑函制作说明：</w:t>
      </w:r>
    </w:p>
    <w:p w14:paraId="0F950FD8">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57233893">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14:paraId="34A02228">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28A95C60">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640223C3">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3EB6D708">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3E8109C0">
      <w:pPr>
        <w:shd w:val="clear" w:color="auto" w:fill="auto"/>
        <w:spacing w:before="101" w:line="224" w:lineRule="auto"/>
        <w:ind w:left="49"/>
        <w:outlineLvl w:val="2"/>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br w:type="page"/>
      </w:r>
      <w:bookmarkStart w:id="72" w:name="_Toc22150"/>
      <w:bookmarkStart w:id="73" w:name="_Toc31259"/>
      <w:bookmarkStart w:id="74" w:name="_Toc23110"/>
      <w:bookmarkStart w:id="75" w:name="_Toc110010428"/>
      <w:r>
        <w:rPr>
          <w:rFonts w:hint="eastAsia" w:ascii="仿宋" w:hAnsi="仿宋" w:eastAsia="仿宋" w:cs="仿宋"/>
          <w:color w:val="auto"/>
          <w:spacing w:val="8"/>
          <w:sz w:val="24"/>
          <w:szCs w:val="24"/>
          <w:highlight w:val="none"/>
        </w:rPr>
        <w:t>附</w:t>
      </w:r>
      <w:r>
        <w:rPr>
          <w:rFonts w:hint="eastAsia" w:ascii="仿宋" w:hAnsi="仿宋" w:eastAsia="仿宋" w:cs="仿宋"/>
          <w:color w:val="auto"/>
          <w:spacing w:val="6"/>
          <w:sz w:val="24"/>
          <w:szCs w:val="24"/>
          <w:highlight w:val="none"/>
        </w:rPr>
        <w:t>件：投诉书范本</w:t>
      </w:r>
      <w:bookmarkEnd w:id="72"/>
      <w:bookmarkEnd w:id="73"/>
      <w:bookmarkEnd w:id="74"/>
      <w:bookmarkEnd w:id="75"/>
    </w:p>
    <w:p w14:paraId="52468098">
      <w:pPr>
        <w:shd w:val="clear" w:color="auto" w:fill="auto"/>
        <w:spacing w:before="115" w:line="22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投诉</w:t>
      </w:r>
      <w:r>
        <w:rPr>
          <w:rFonts w:hint="eastAsia" w:ascii="仿宋" w:hAnsi="仿宋" w:eastAsia="仿宋" w:cs="仿宋"/>
          <w:color w:val="auto"/>
          <w:spacing w:val="23"/>
          <w:sz w:val="24"/>
          <w:szCs w:val="24"/>
          <w:highlight w:val="none"/>
        </w:rPr>
        <w:t>书</w:t>
      </w:r>
    </w:p>
    <w:p w14:paraId="1435A394">
      <w:pPr>
        <w:shd w:val="clear" w:color="auto" w:fill="auto"/>
        <w:spacing w:before="265" w:line="434" w:lineRule="exact"/>
        <w:ind w:left="27"/>
        <w:outlineLvl w:val="2"/>
        <w:rPr>
          <w:rFonts w:hint="eastAsia" w:ascii="仿宋" w:hAnsi="仿宋" w:eastAsia="仿宋" w:cs="仿宋"/>
          <w:color w:val="auto"/>
          <w:sz w:val="24"/>
          <w:szCs w:val="24"/>
          <w:highlight w:val="none"/>
        </w:rPr>
      </w:pPr>
      <w:bookmarkStart w:id="76" w:name="_Toc21592"/>
      <w:bookmarkStart w:id="77" w:name="_Toc26371"/>
      <w:bookmarkStart w:id="78" w:name="_Toc5746"/>
      <w:bookmarkStart w:id="79" w:name="_Toc110010429"/>
      <w:r>
        <w:rPr>
          <w:rFonts w:hint="eastAsia" w:ascii="仿宋" w:hAnsi="仿宋" w:eastAsia="仿宋" w:cs="仿宋"/>
          <w:color w:val="auto"/>
          <w:spacing w:val="-2"/>
          <w:position w:val="1"/>
          <w:sz w:val="24"/>
          <w:szCs w:val="24"/>
          <w:highlight w:val="none"/>
        </w:rPr>
        <w:t>一、投诉</w:t>
      </w:r>
      <w:r>
        <w:rPr>
          <w:rFonts w:hint="eastAsia" w:ascii="仿宋" w:hAnsi="仿宋" w:eastAsia="仿宋" w:cs="仿宋"/>
          <w:color w:val="auto"/>
          <w:spacing w:val="-1"/>
          <w:position w:val="1"/>
          <w:sz w:val="24"/>
          <w:szCs w:val="24"/>
          <w:highlight w:val="none"/>
        </w:rPr>
        <w:t>相关主体基本情况</w:t>
      </w:r>
      <w:bookmarkEnd w:id="76"/>
      <w:bookmarkEnd w:id="77"/>
      <w:bookmarkEnd w:id="78"/>
      <w:bookmarkEnd w:id="79"/>
    </w:p>
    <w:p w14:paraId="3F97DC0E">
      <w:pPr>
        <w:shd w:val="clear" w:color="auto" w:fill="auto"/>
        <w:spacing w:before="1" w:line="220"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w:t>
      </w:r>
      <w:r>
        <w:rPr>
          <w:rFonts w:hint="eastAsia" w:ascii="仿宋" w:hAnsi="仿宋" w:eastAsia="仿宋" w:cs="仿宋"/>
          <w:color w:val="auto"/>
          <w:spacing w:val="-3"/>
          <w:sz w:val="24"/>
          <w:szCs w:val="24"/>
          <w:highlight w:val="none"/>
        </w:rPr>
        <w:t>诉人：</w:t>
      </w:r>
      <w:r>
        <w:rPr>
          <w:rFonts w:hint="eastAsia" w:ascii="仿宋" w:hAnsi="仿宋" w:eastAsia="仿宋" w:cs="仿宋"/>
          <w:color w:val="auto"/>
          <w:sz w:val="24"/>
          <w:szCs w:val="24"/>
          <w:highlight w:val="none"/>
          <w:u w:val="dotted"/>
        </w:rPr>
        <w:t xml:space="preserve">                                                 </w:t>
      </w:r>
    </w:p>
    <w:p w14:paraId="468FCE0C">
      <w:pPr>
        <w:shd w:val="clear" w:color="auto" w:fill="auto"/>
        <w:spacing w:before="102"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0261BA27">
      <w:pPr>
        <w:shd w:val="clear" w:color="auto" w:fill="auto"/>
        <w:spacing w:before="101" w:line="22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w:t>
      </w:r>
      <w:r>
        <w:rPr>
          <w:rFonts w:hint="eastAsia" w:ascii="仿宋" w:hAnsi="仿宋" w:eastAsia="仿宋" w:cs="仿宋"/>
          <w:color w:val="auto"/>
          <w:spacing w:val="-1"/>
          <w:sz w:val="24"/>
          <w:szCs w:val="24"/>
          <w:highlight w:val="none"/>
        </w:rPr>
        <w:t>表人/主要负责人：</w:t>
      </w:r>
      <w:r>
        <w:rPr>
          <w:rFonts w:hint="eastAsia" w:ascii="仿宋" w:hAnsi="仿宋" w:eastAsia="仿宋" w:cs="仿宋"/>
          <w:color w:val="auto"/>
          <w:sz w:val="24"/>
          <w:szCs w:val="24"/>
          <w:highlight w:val="none"/>
          <w:u w:val="dotted"/>
        </w:rPr>
        <w:t xml:space="preserve">                                  </w:t>
      </w:r>
    </w:p>
    <w:p w14:paraId="31B0C1E7">
      <w:pPr>
        <w:shd w:val="clear" w:color="auto" w:fill="auto"/>
        <w:spacing w:before="104"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w:t>
      </w:r>
      <w:r>
        <w:rPr>
          <w:rFonts w:hint="eastAsia" w:ascii="仿宋" w:hAnsi="仿宋" w:eastAsia="仿宋" w:cs="仿宋"/>
          <w:color w:val="auto"/>
          <w:spacing w:val="-2"/>
          <w:sz w:val="24"/>
          <w:szCs w:val="24"/>
          <w:highlight w:val="none"/>
        </w:rPr>
        <w:t>电话：</w:t>
      </w:r>
      <w:r>
        <w:rPr>
          <w:rFonts w:hint="eastAsia" w:ascii="仿宋" w:hAnsi="仿宋" w:eastAsia="仿宋" w:cs="仿宋"/>
          <w:color w:val="auto"/>
          <w:sz w:val="24"/>
          <w:szCs w:val="24"/>
          <w:highlight w:val="none"/>
          <w:u w:val="dotted"/>
        </w:rPr>
        <w:t xml:space="preserve">                                             </w:t>
      </w:r>
    </w:p>
    <w:p w14:paraId="68147AB8">
      <w:pPr>
        <w:shd w:val="clear" w:color="auto" w:fill="auto"/>
        <w:spacing w:before="99" w:line="22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授权代表：</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u w:val="dotted"/>
          <w:lang w:val="en-US" w:eastAsia="zh-CN"/>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u w:val="dotted"/>
        </w:rPr>
        <w:t xml:space="preserve">                </w:t>
      </w:r>
    </w:p>
    <w:p w14:paraId="2956EBB9">
      <w:pPr>
        <w:shd w:val="clear" w:color="auto" w:fill="auto"/>
        <w:spacing w:before="101"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u w:val="dotted"/>
          <w:lang w:val="en-US" w:eastAsia="zh-CN"/>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00A98697">
      <w:pPr>
        <w:shd w:val="clear" w:color="auto" w:fill="auto"/>
        <w:spacing w:before="103"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被</w:t>
      </w:r>
      <w:r>
        <w:rPr>
          <w:rFonts w:hint="eastAsia" w:ascii="仿宋" w:hAnsi="仿宋" w:eastAsia="仿宋" w:cs="仿宋"/>
          <w:color w:val="auto"/>
          <w:spacing w:val="-11"/>
          <w:sz w:val="24"/>
          <w:szCs w:val="24"/>
          <w:highlight w:val="none"/>
        </w:rPr>
        <w:t>投诉人 1：</w:t>
      </w:r>
    </w:p>
    <w:p w14:paraId="1B51FFE4">
      <w:pPr>
        <w:shd w:val="clear" w:color="auto" w:fill="auto"/>
        <w:spacing w:before="101" w:line="185"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u w:val="dotted"/>
          <w:lang w:val="en-US" w:eastAsia="zh-CN"/>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6D3E7A4E">
      <w:pPr>
        <w:shd w:val="clear" w:color="auto" w:fill="auto"/>
        <w:spacing w:before="103"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17"/>
          <w:sz w:val="24"/>
          <w:szCs w:val="24"/>
          <w:highlight w:val="none"/>
        </w:rPr>
        <w:t xml:space="preserve">联系电话：                </w:t>
      </w:r>
    </w:p>
    <w:p w14:paraId="4A4B7770">
      <w:pPr>
        <w:shd w:val="clear" w:color="auto" w:fill="auto"/>
        <w:spacing w:before="100" w:line="371" w:lineRule="exact"/>
        <w:ind w:left="27"/>
        <w:outlineLvl w:val="2"/>
        <w:rPr>
          <w:rFonts w:hint="eastAsia" w:ascii="仿宋" w:hAnsi="仿宋" w:eastAsia="仿宋" w:cs="仿宋"/>
          <w:color w:val="auto"/>
          <w:sz w:val="24"/>
          <w:szCs w:val="24"/>
          <w:highlight w:val="none"/>
        </w:rPr>
      </w:pPr>
      <w:bookmarkStart w:id="80" w:name="_Toc110010430"/>
      <w:bookmarkStart w:id="81" w:name="_Toc377"/>
      <w:bookmarkStart w:id="82" w:name="_Toc25199"/>
      <w:bookmarkStart w:id="83" w:name="_Toc27620"/>
      <w:r>
        <w:rPr>
          <w:rFonts w:hint="eastAsia" w:ascii="仿宋" w:hAnsi="仿宋" w:eastAsia="仿宋" w:cs="仿宋"/>
          <w:color w:val="auto"/>
          <w:spacing w:val="-2"/>
          <w:position w:val="1"/>
          <w:sz w:val="24"/>
          <w:szCs w:val="24"/>
          <w:highlight w:val="none"/>
        </w:rPr>
        <w:t>二、投诉项目</w:t>
      </w:r>
      <w:r>
        <w:rPr>
          <w:rFonts w:hint="eastAsia" w:ascii="仿宋" w:hAnsi="仿宋" w:eastAsia="仿宋" w:cs="仿宋"/>
          <w:color w:val="auto"/>
          <w:spacing w:val="-1"/>
          <w:position w:val="1"/>
          <w:sz w:val="24"/>
          <w:szCs w:val="24"/>
          <w:highlight w:val="none"/>
        </w:rPr>
        <w:t>基本情况</w:t>
      </w:r>
      <w:bookmarkEnd w:id="80"/>
      <w:bookmarkEnd w:id="81"/>
      <w:bookmarkEnd w:id="82"/>
      <w:bookmarkEnd w:id="83"/>
    </w:p>
    <w:p w14:paraId="38555E0A">
      <w:pPr>
        <w:shd w:val="clear" w:color="auto" w:fill="auto"/>
        <w:spacing w:before="64"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采购项</w:t>
      </w:r>
      <w:r>
        <w:rPr>
          <w:rFonts w:hint="eastAsia" w:ascii="仿宋" w:hAnsi="仿宋" w:eastAsia="仿宋" w:cs="仿宋"/>
          <w:color w:val="auto"/>
          <w:spacing w:val="-1"/>
          <w:sz w:val="24"/>
          <w:szCs w:val="24"/>
          <w:highlight w:val="none"/>
        </w:rPr>
        <w:t>目名称：</w:t>
      </w:r>
      <w:r>
        <w:rPr>
          <w:rFonts w:hint="eastAsia" w:ascii="仿宋" w:hAnsi="仿宋" w:eastAsia="仿宋" w:cs="仿宋"/>
          <w:color w:val="auto"/>
          <w:sz w:val="24"/>
          <w:szCs w:val="24"/>
          <w:highlight w:val="none"/>
          <w:u w:val="dotted"/>
        </w:rPr>
        <w:t xml:space="preserve">                                           </w:t>
      </w:r>
    </w:p>
    <w:p w14:paraId="46BF3A38">
      <w:pPr>
        <w:shd w:val="clear" w:color="auto" w:fill="auto"/>
        <w:spacing w:before="104"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采购项目</w:t>
      </w:r>
      <w:r>
        <w:rPr>
          <w:rFonts w:hint="eastAsia" w:ascii="仿宋" w:hAnsi="仿宋" w:eastAsia="仿宋" w:cs="仿宋"/>
          <w:color w:val="auto"/>
          <w:spacing w:val="-4"/>
          <w:sz w:val="24"/>
          <w:szCs w:val="24"/>
          <w:highlight w:val="none"/>
        </w:rPr>
        <w:t>编号：</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包号：</w:t>
      </w:r>
      <w:r>
        <w:rPr>
          <w:rFonts w:hint="eastAsia" w:ascii="仿宋" w:hAnsi="仿宋" w:eastAsia="仿宋" w:cs="仿宋"/>
          <w:color w:val="auto"/>
          <w:sz w:val="24"/>
          <w:szCs w:val="24"/>
          <w:highlight w:val="none"/>
          <w:u w:val="dotted"/>
        </w:rPr>
        <w:t xml:space="preserve">              </w:t>
      </w:r>
    </w:p>
    <w:p w14:paraId="2D854093">
      <w:pPr>
        <w:shd w:val="clear" w:color="auto" w:fill="auto"/>
        <w:spacing w:before="102"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采购人名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14:paraId="018F075E">
      <w:pPr>
        <w:shd w:val="clear" w:color="auto" w:fill="auto"/>
        <w:spacing w:before="105"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代理机构名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14:paraId="1EF44273">
      <w:pPr>
        <w:shd w:val="clear" w:color="auto" w:fill="auto"/>
        <w:spacing w:before="104" w:line="219" w:lineRule="auto"/>
        <w:ind w:left="503"/>
        <w:rPr>
          <w:rFonts w:hint="eastAsia" w:ascii="仿宋" w:hAnsi="仿宋" w:eastAsia="仿宋" w:cs="仿宋"/>
          <w:color w:val="auto"/>
          <w:sz w:val="24"/>
          <w:szCs w:val="24"/>
          <w:highlight w:val="none"/>
          <w:u w:val="single"/>
        </w:rPr>
      </w:pPr>
      <w:r>
        <w:rPr>
          <w:rFonts w:hint="eastAsia" w:ascii="仿宋" w:hAnsi="仿宋" w:eastAsia="仿宋" w:cs="仿宋"/>
          <w:color w:val="auto"/>
          <w:spacing w:val="7"/>
          <w:sz w:val="24"/>
          <w:szCs w:val="24"/>
          <w:highlight w:val="none"/>
        </w:rPr>
        <w:t>采购文件公告:</w:t>
      </w:r>
      <w:r>
        <w:rPr>
          <w:rFonts w:hint="eastAsia" w:ascii="仿宋" w:hAnsi="仿宋" w:eastAsia="仿宋" w:cs="仿宋"/>
          <w:color w:val="auto"/>
          <w:spacing w:val="7"/>
          <w:sz w:val="24"/>
          <w:szCs w:val="24"/>
          <w:highlight w:val="none"/>
          <w:u w:val="single"/>
        </w:rPr>
        <w:t xml:space="preserve">  是/否 </w:t>
      </w:r>
      <w:r>
        <w:rPr>
          <w:rFonts w:hint="eastAsia" w:ascii="仿宋" w:hAnsi="仿宋" w:eastAsia="仿宋" w:cs="仿宋"/>
          <w:color w:val="auto"/>
          <w:spacing w:val="7"/>
          <w:sz w:val="24"/>
          <w:szCs w:val="24"/>
          <w:highlight w:val="none"/>
        </w:rPr>
        <w:t xml:space="preserve"> 公告期限</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rPr>
        <w:t xml:space="preserve">                        </w:t>
      </w:r>
    </w:p>
    <w:p w14:paraId="1841525E">
      <w:pPr>
        <w:shd w:val="clear" w:color="auto" w:fill="auto"/>
        <w:spacing w:before="103" w:line="287" w:lineRule="auto"/>
        <w:ind w:left="22" w:right="12" w:firstLine="481"/>
        <w:rPr>
          <w:rFonts w:hint="eastAsia" w:ascii="仿宋" w:hAnsi="仿宋" w:eastAsia="仿宋" w:cs="仿宋"/>
          <w:color w:val="auto"/>
          <w:sz w:val="24"/>
          <w:szCs w:val="24"/>
          <w:highlight w:val="none"/>
          <w:u w:val="single"/>
        </w:rPr>
      </w:pPr>
      <w:r>
        <w:rPr>
          <w:rFonts w:hint="eastAsia" w:ascii="仿宋" w:hAnsi="仿宋" w:eastAsia="仿宋" w:cs="仿宋"/>
          <w:color w:val="auto"/>
          <w:spacing w:val="-1"/>
          <w:sz w:val="24"/>
          <w:szCs w:val="24"/>
          <w:highlight w:val="none"/>
          <w:u w:val="single"/>
        </w:rPr>
        <w:t xml:space="preserve">采购结果公告：  是/否 </w:t>
      </w:r>
      <w:r>
        <w:rPr>
          <w:rFonts w:hint="eastAsia" w:ascii="仿宋" w:hAnsi="仿宋" w:eastAsia="仿宋" w:cs="仿宋"/>
          <w:color w:val="auto"/>
          <w:spacing w:val="-1"/>
          <w:sz w:val="24"/>
          <w:szCs w:val="24"/>
          <w:highlight w:val="none"/>
          <w:u w:val="none"/>
        </w:rPr>
        <w:t xml:space="preserve"> 公告期限：</w:t>
      </w:r>
      <w:r>
        <w:rPr>
          <w:rFonts w:hint="eastAsia" w:ascii="仿宋" w:hAnsi="仿宋" w:eastAsia="仿宋" w:cs="仿宋"/>
          <w:color w:val="auto"/>
          <w:spacing w:val="-1"/>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14:paraId="0CD9F3AF">
      <w:pPr>
        <w:shd w:val="clear" w:color="auto" w:fill="auto"/>
        <w:spacing w:before="100" w:line="371" w:lineRule="exact"/>
        <w:ind w:left="27" w:right="0" w:firstLine="0"/>
        <w:outlineLvl w:val="2"/>
        <w:rPr>
          <w:rFonts w:hint="eastAsia" w:ascii="仿宋" w:hAnsi="仿宋" w:eastAsia="仿宋" w:cs="仿宋"/>
          <w:color w:val="auto"/>
          <w:spacing w:val="-2"/>
          <w:position w:val="1"/>
          <w:sz w:val="24"/>
          <w:szCs w:val="24"/>
          <w:highlight w:val="none"/>
        </w:rPr>
      </w:pPr>
      <w:r>
        <w:rPr>
          <w:rFonts w:hint="eastAsia" w:ascii="仿宋" w:hAnsi="仿宋" w:eastAsia="仿宋" w:cs="仿宋"/>
          <w:color w:val="auto"/>
          <w:spacing w:val="-2"/>
          <w:position w:val="1"/>
          <w:sz w:val="24"/>
          <w:szCs w:val="24"/>
          <w:highlight w:val="none"/>
        </w:rPr>
        <w:t>三、质疑基本情况</w:t>
      </w:r>
    </w:p>
    <w:p w14:paraId="7424452D">
      <w:pPr>
        <w:shd w:val="clear" w:color="auto" w:fill="auto"/>
        <w:spacing w:before="1" w:line="287" w:lineRule="auto"/>
        <w:ind w:left="23" w:right="11" w:firstLine="48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投</w:t>
      </w:r>
      <w:r>
        <w:rPr>
          <w:rFonts w:hint="eastAsia" w:ascii="仿宋" w:hAnsi="仿宋" w:eastAsia="仿宋" w:cs="仿宋"/>
          <w:color w:val="auto"/>
          <w:spacing w:val="-6"/>
          <w:sz w:val="24"/>
          <w:szCs w:val="24"/>
          <w:highlight w:val="none"/>
        </w:rPr>
        <w:t>诉人于</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日 ，向</w:t>
      </w:r>
      <w:r>
        <w:rPr>
          <w:rFonts w:hint="eastAsia" w:ascii="仿宋" w:hAnsi="仿宋" w:eastAsia="仿宋" w:cs="仿宋"/>
          <w:color w:val="auto"/>
          <w:spacing w:val="-4"/>
          <w:sz w:val="24"/>
          <w:szCs w:val="24"/>
          <w:highlight w:val="none"/>
        </w:rPr>
        <w:t>提</w:t>
      </w:r>
      <w:r>
        <w:rPr>
          <w:rFonts w:hint="eastAsia" w:ascii="仿宋" w:hAnsi="仿宋" w:eastAsia="仿宋" w:cs="仿宋"/>
          <w:color w:val="auto"/>
          <w:spacing w:val="-2"/>
          <w:sz w:val="24"/>
          <w:szCs w:val="24"/>
          <w:highlight w:val="none"/>
        </w:rPr>
        <w:t>出质疑，</w:t>
      </w:r>
    </w:p>
    <w:p w14:paraId="7616DE8B">
      <w:pPr>
        <w:shd w:val="clear" w:color="auto" w:fill="auto"/>
        <w:spacing w:before="1" w:line="22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w:t>
      </w:r>
      <w:r>
        <w:rPr>
          <w:rFonts w:hint="eastAsia" w:ascii="仿宋" w:hAnsi="仿宋" w:eastAsia="仿宋" w:cs="仿宋"/>
          <w:color w:val="auto"/>
          <w:spacing w:val="-2"/>
          <w:sz w:val="24"/>
          <w:szCs w:val="24"/>
          <w:highlight w:val="none"/>
        </w:rPr>
        <w:t>疑事项为：</w:t>
      </w:r>
      <w:r>
        <w:rPr>
          <w:rFonts w:hint="eastAsia" w:ascii="仿宋" w:hAnsi="仿宋" w:eastAsia="仿宋" w:cs="仿宋"/>
          <w:color w:val="auto"/>
          <w:sz w:val="24"/>
          <w:szCs w:val="24"/>
          <w:highlight w:val="none"/>
          <w:u w:val="dotted"/>
        </w:rPr>
        <w:t xml:space="preserve">                                           </w:t>
      </w:r>
    </w:p>
    <w:p w14:paraId="66EA57E0">
      <w:pPr>
        <w:shd w:val="clear" w:color="auto" w:fill="auto"/>
        <w:spacing w:before="103" w:line="287" w:lineRule="auto"/>
        <w:ind w:left="459" w:right="11" w:firstLine="10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采购人/</w:t>
      </w:r>
      <w:r>
        <w:rPr>
          <w:rFonts w:hint="eastAsia" w:ascii="仿宋" w:hAnsi="仿宋" w:eastAsia="仿宋" w:cs="仿宋"/>
          <w:color w:val="auto"/>
          <w:spacing w:val="-2"/>
          <w:sz w:val="24"/>
          <w:szCs w:val="24"/>
          <w:highlight w:val="none"/>
        </w:rPr>
        <w:t>采购代理机构于</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年</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月</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日，就质疑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事项做出了答复/没有在</w:t>
      </w:r>
      <w:r>
        <w:rPr>
          <w:rFonts w:hint="eastAsia" w:ascii="仿宋" w:hAnsi="仿宋" w:eastAsia="仿宋" w:cs="仿宋"/>
          <w:color w:val="auto"/>
          <w:sz w:val="24"/>
          <w:szCs w:val="24"/>
          <w:highlight w:val="none"/>
        </w:rPr>
        <w:t>法定期限内做出答复。</w:t>
      </w:r>
    </w:p>
    <w:p w14:paraId="5045B527">
      <w:pPr>
        <w:shd w:val="clear" w:color="auto" w:fill="auto"/>
        <w:spacing w:before="100" w:line="371" w:lineRule="exact"/>
        <w:ind w:left="27"/>
        <w:outlineLvl w:val="2"/>
        <w:rPr>
          <w:rFonts w:hint="eastAsia" w:ascii="仿宋" w:hAnsi="仿宋" w:eastAsia="仿宋" w:cs="仿宋"/>
          <w:color w:val="auto"/>
          <w:spacing w:val="-2"/>
          <w:position w:val="1"/>
          <w:sz w:val="24"/>
          <w:szCs w:val="24"/>
          <w:highlight w:val="none"/>
        </w:rPr>
      </w:pPr>
      <w:r>
        <w:rPr>
          <w:rFonts w:hint="eastAsia" w:ascii="仿宋" w:hAnsi="仿宋" w:eastAsia="仿宋" w:cs="仿宋"/>
          <w:color w:val="auto"/>
          <w:spacing w:val="-2"/>
          <w:position w:val="1"/>
          <w:sz w:val="24"/>
          <w:szCs w:val="24"/>
          <w:highlight w:val="none"/>
          <w:lang w:val="en-US" w:eastAsia="zh-CN"/>
        </w:rPr>
        <w:t>四</w:t>
      </w:r>
      <w:r>
        <w:rPr>
          <w:rFonts w:hint="eastAsia" w:ascii="仿宋" w:hAnsi="仿宋" w:eastAsia="仿宋" w:cs="仿宋"/>
          <w:color w:val="auto"/>
          <w:spacing w:val="-2"/>
          <w:position w:val="1"/>
          <w:sz w:val="24"/>
          <w:szCs w:val="24"/>
          <w:highlight w:val="none"/>
        </w:rPr>
        <w:t>、投诉事项具体内容</w:t>
      </w:r>
    </w:p>
    <w:p w14:paraId="0EC92A22">
      <w:pPr>
        <w:shd w:val="clear" w:color="auto" w:fill="auto"/>
        <w:spacing w:before="98" w:line="221"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投</w:t>
      </w:r>
      <w:r>
        <w:rPr>
          <w:rFonts w:hint="eastAsia" w:ascii="仿宋" w:hAnsi="仿宋" w:eastAsia="仿宋" w:cs="仿宋"/>
          <w:color w:val="auto"/>
          <w:spacing w:val="-10"/>
          <w:sz w:val="24"/>
          <w:szCs w:val="24"/>
          <w:highlight w:val="none"/>
        </w:rPr>
        <w:t>诉事项 1 ：</w:t>
      </w:r>
      <w:r>
        <w:rPr>
          <w:rFonts w:hint="eastAsia" w:ascii="仿宋" w:hAnsi="仿宋" w:eastAsia="仿宋" w:cs="仿宋"/>
          <w:color w:val="auto"/>
          <w:sz w:val="24"/>
          <w:szCs w:val="24"/>
          <w:highlight w:val="none"/>
          <w:u w:val="dotted"/>
        </w:rPr>
        <w:t xml:space="preserve">                                            </w:t>
      </w:r>
    </w:p>
    <w:p w14:paraId="4F540CCC">
      <w:pPr>
        <w:shd w:val="clear" w:color="auto" w:fill="auto"/>
        <w:spacing w:before="100" w:line="219"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w:t>
      </w:r>
      <w:r>
        <w:rPr>
          <w:rFonts w:hint="eastAsia" w:ascii="仿宋" w:hAnsi="仿宋" w:eastAsia="仿宋" w:cs="仿宋"/>
          <w:color w:val="auto"/>
          <w:spacing w:val="-2"/>
          <w:sz w:val="24"/>
          <w:szCs w:val="24"/>
          <w:highlight w:val="none"/>
        </w:rPr>
        <w:t>实依据：</w:t>
      </w:r>
      <w:r>
        <w:rPr>
          <w:rFonts w:hint="eastAsia" w:ascii="仿宋" w:hAnsi="仿宋" w:eastAsia="仿宋" w:cs="仿宋"/>
          <w:color w:val="auto"/>
          <w:sz w:val="24"/>
          <w:szCs w:val="24"/>
          <w:highlight w:val="none"/>
          <w:u w:val="dotted"/>
        </w:rPr>
        <w:t xml:space="preserve">                                             </w:t>
      </w:r>
    </w:p>
    <w:p w14:paraId="4BBE7FB7">
      <w:pPr>
        <w:shd w:val="clear" w:color="auto" w:fill="auto"/>
        <w:tabs>
          <w:tab w:val="left" w:pos="8322"/>
        </w:tabs>
        <w:spacing w:before="179" w:line="242" w:lineRule="exact"/>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14:paraId="1878EACB">
      <w:pPr>
        <w:shd w:val="clear" w:color="auto" w:fill="auto"/>
        <w:spacing w:before="118" w:line="219"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法律</w:t>
      </w:r>
      <w:r>
        <w:rPr>
          <w:rFonts w:hint="eastAsia" w:ascii="仿宋" w:hAnsi="仿宋" w:eastAsia="仿宋" w:cs="仿宋"/>
          <w:color w:val="auto"/>
          <w:spacing w:val="-2"/>
          <w:sz w:val="24"/>
          <w:szCs w:val="24"/>
          <w:highlight w:val="none"/>
        </w:rPr>
        <w:t>依据：</w:t>
      </w:r>
      <w:r>
        <w:rPr>
          <w:rFonts w:hint="eastAsia" w:ascii="仿宋" w:hAnsi="仿宋" w:eastAsia="仿宋" w:cs="仿宋"/>
          <w:color w:val="auto"/>
          <w:sz w:val="24"/>
          <w:szCs w:val="24"/>
          <w:highlight w:val="none"/>
          <w:u w:val="dotted"/>
        </w:rPr>
        <w:t xml:space="preserve">                                             </w:t>
      </w:r>
    </w:p>
    <w:p w14:paraId="0C1755D2">
      <w:pPr>
        <w:shd w:val="clear" w:color="auto" w:fill="auto"/>
        <w:tabs>
          <w:tab w:val="left" w:pos="8322"/>
        </w:tabs>
        <w:spacing w:before="179" w:line="242" w:lineRule="exact"/>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14:paraId="37C3677C">
      <w:pPr>
        <w:shd w:val="clear" w:color="auto" w:fill="auto"/>
        <w:spacing w:before="118" w:line="437" w:lineRule="exact"/>
        <w:ind w:left="508"/>
        <w:rPr>
          <w:rFonts w:hint="eastAsia" w:ascii="仿宋" w:hAnsi="仿宋" w:eastAsia="仿宋" w:cs="仿宋"/>
          <w:color w:val="auto"/>
          <w:sz w:val="24"/>
          <w:szCs w:val="24"/>
          <w:highlight w:val="none"/>
        </w:rPr>
      </w:pPr>
      <w:r>
        <w:rPr>
          <w:rFonts w:hint="eastAsia" w:ascii="仿宋" w:hAnsi="仿宋" w:eastAsia="仿宋" w:cs="仿宋"/>
          <w:color w:val="auto"/>
          <w:spacing w:val="-13"/>
          <w:position w:val="11"/>
          <w:sz w:val="24"/>
          <w:szCs w:val="24"/>
          <w:highlight w:val="none"/>
        </w:rPr>
        <w:t>投</w:t>
      </w:r>
      <w:r>
        <w:rPr>
          <w:rFonts w:hint="eastAsia" w:ascii="仿宋" w:hAnsi="仿宋" w:eastAsia="仿宋" w:cs="仿宋"/>
          <w:color w:val="auto"/>
          <w:spacing w:val="-12"/>
          <w:position w:val="11"/>
          <w:sz w:val="24"/>
          <w:szCs w:val="24"/>
          <w:highlight w:val="none"/>
        </w:rPr>
        <w:t>诉事项 2</w:t>
      </w:r>
    </w:p>
    <w:p w14:paraId="766BC6BF">
      <w:pPr>
        <w:shd w:val="clear" w:color="auto" w:fill="auto"/>
        <w:spacing w:line="437" w:lineRule="exact"/>
        <w:ind w:left="522"/>
        <w:rPr>
          <w:rFonts w:hint="eastAsia" w:ascii="仿宋" w:hAnsi="仿宋" w:eastAsia="仿宋" w:cs="仿宋"/>
          <w:color w:val="auto"/>
          <w:sz w:val="24"/>
          <w:szCs w:val="24"/>
          <w:highlight w:val="none"/>
        </w:rPr>
      </w:pPr>
      <w:r>
        <w:rPr>
          <w:rFonts w:hint="eastAsia" w:ascii="仿宋" w:hAnsi="仿宋" w:eastAsia="仿宋" w:cs="仿宋"/>
          <w:color w:val="auto"/>
          <w:position w:val="3"/>
          <w:sz w:val="24"/>
          <w:szCs w:val="24"/>
          <w:highlight w:val="none"/>
        </w:rPr>
        <w:t>……</w:t>
      </w:r>
    </w:p>
    <w:p w14:paraId="6D5E3B77">
      <w:pPr>
        <w:shd w:val="clear" w:color="auto" w:fill="auto"/>
        <w:spacing w:line="239" w:lineRule="exact"/>
        <w:rPr>
          <w:rFonts w:hint="eastAsia" w:ascii="仿宋" w:hAnsi="仿宋" w:eastAsia="仿宋" w:cs="仿宋"/>
          <w:color w:val="auto"/>
          <w:sz w:val="24"/>
          <w:szCs w:val="24"/>
          <w:highlight w:val="none"/>
        </w:rPr>
      </w:pPr>
    </w:p>
    <w:p w14:paraId="4DC85A0D">
      <w:pPr>
        <w:shd w:val="clear" w:color="auto" w:fill="auto"/>
        <w:spacing w:before="56" w:line="437" w:lineRule="exact"/>
        <w:ind w:left="505"/>
        <w:rPr>
          <w:rFonts w:hint="eastAsia" w:ascii="仿宋" w:hAnsi="仿宋" w:eastAsia="仿宋" w:cs="仿宋"/>
          <w:color w:val="auto"/>
          <w:spacing w:val="-1"/>
          <w:position w:val="11"/>
          <w:sz w:val="24"/>
          <w:szCs w:val="24"/>
          <w:highlight w:val="none"/>
        </w:rPr>
      </w:pPr>
      <w:r>
        <w:rPr>
          <w:rFonts w:hint="eastAsia" w:ascii="仿宋" w:hAnsi="仿宋" w:eastAsia="仿宋" w:cs="仿宋"/>
          <w:color w:val="auto"/>
          <w:spacing w:val="-2"/>
          <w:position w:val="11"/>
          <w:sz w:val="24"/>
          <w:szCs w:val="24"/>
          <w:highlight w:val="none"/>
        </w:rPr>
        <w:t>签字(签</w:t>
      </w:r>
      <w:r>
        <w:rPr>
          <w:rFonts w:hint="eastAsia" w:ascii="仿宋" w:hAnsi="仿宋" w:eastAsia="仿宋" w:cs="仿宋"/>
          <w:color w:val="auto"/>
          <w:spacing w:val="-1"/>
          <w:position w:val="11"/>
          <w:sz w:val="24"/>
          <w:szCs w:val="24"/>
          <w:highlight w:val="none"/>
        </w:rPr>
        <w:t xml:space="preserve">章)： </w:t>
      </w:r>
    </w:p>
    <w:p w14:paraId="449F1741">
      <w:pPr>
        <w:shd w:val="clear" w:color="auto" w:fill="auto"/>
        <w:spacing w:before="56" w:line="437" w:lineRule="exact"/>
        <w:ind w:left="505"/>
        <w:rPr>
          <w:rFonts w:hint="eastAsia" w:ascii="仿宋" w:hAnsi="仿宋" w:eastAsia="仿宋" w:cs="仿宋"/>
          <w:color w:val="auto"/>
          <w:spacing w:val="-1"/>
          <w:position w:val="11"/>
          <w:sz w:val="24"/>
          <w:szCs w:val="24"/>
          <w:highlight w:val="none"/>
        </w:rPr>
      </w:pPr>
      <w:r>
        <w:rPr>
          <w:rFonts w:hint="eastAsia" w:ascii="仿宋" w:hAnsi="仿宋" w:eastAsia="仿宋" w:cs="仿宋"/>
          <w:color w:val="auto"/>
          <w:spacing w:val="-20"/>
          <w:sz w:val="24"/>
          <w:szCs w:val="24"/>
          <w:highlight w:val="none"/>
        </w:rPr>
        <w:t>日</w:t>
      </w:r>
      <w:r>
        <w:rPr>
          <w:rFonts w:hint="eastAsia" w:ascii="仿宋" w:hAnsi="仿宋" w:eastAsia="仿宋" w:cs="仿宋"/>
          <w:color w:val="auto"/>
          <w:spacing w:val="-19"/>
          <w:sz w:val="24"/>
          <w:szCs w:val="24"/>
          <w:highlight w:val="none"/>
        </w:rPr>
        <w:t>期：</w:t>
      </w:r>
      <w:r>
        <w:rPr>
          <w:rFonts w:hint="eastAsia" w:ascii="仿宋" w:hAnsi="仿宋" w:eastAsia="仿宋" w:cs="仿宋"/>
          <w:color w:val="auto"/>
          <w:spacing w:val="-1"/>
          <w:position w:val="11"/>
          <w:sz w:val="24"/>
          <w:szCs w:val="24"/>
          <w:highlight w:val="none"/>
        </w:rPr>
        <w:t xml:space="preserve"> </w:t>
      </w:r>
    </w:p>
    <w:p w14:paraId="49041135">
      <w:pPr>
        <w:shd w:val="clear" w:color="auto" w:fill="auto"/>
        <w:spacing w:line="392" w:lineRule="auto"/>
        <w:rPr>
          <w:rFonts w:hint="eastAsia" w:ascii="仿宋" w:hAnsi="仿宋" w:eastAsia="仿宋" w:cs="仿宋"/>
          <w:color w:val="auto"/>
          <w:sz w:val="24"/>
          <w:szCs w:val="24"/>
          <w:highlight w:val="none"/>
        </w:rPr>
      </w:pPr>
    </w:p>
    <w:p w14:paraId="46F7C079">
      <w:pPr>
        <w:shd w:val="clear" w:color="auto" w:fill="auto"/>
        <w:spacing w:before="91" w:line="219"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投诉书制作说</w:t>
      </w:r>
      <w:r>
        <w:rPr>
          <w:rFonts w:hint="eastAsia" w:ascii="仿宋" w:hAnsi="仿宋" w:eastAsia="仿宋" w:cs="仿宋"/>
          <w:color w:val="auto"/>
          <w:spacing w:val="-1"/>
          <w:sz w:val="24"/>
          <w:szCs w:val="24"/>
          <w:highlight w:val="none"/>
        </w:rPr>
        <w:t>明：</w:t>
      </w:r>
    </w:p>
    <w:p w14:paraId="70DA6CFE">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1.投诉人提起投诉时，应当提交投诉书和必要的证明材料，并按 照被投诉人和与投诉事项有关的供应商数量提供投诉书副本。</w:t>
      </w:r>
    </w:p>
    <w:p w14:paraId="034E826D">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14:paraId="38F6C2D6">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3.投诉人若对项目的某一分包进行投诉，投诉书中应列明具体分 包号。</w:t>
      </w:r>
    </w:p>
    <w:p w14:paraId="7FA27BBA">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4.投诉书应简要列明质疑事项，质疑函、质疑答复等作为附件材 料提供。</w:t>
      </w:r>
    </w:p>
    <w:p w14:paraId="12665611">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5.投诉书的投诉事项应具体、明确，并有必要的事实依据和法律 依据。</w:t>
      </w:r>
    </w:p>
    <w:p w14:paraId="42A5AC69">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6.投诉书的投诉请求应与投诉事项相关。</w:t>
      </w:r>
    </w:p>
    <w:p w14:paraId="2C79FC12">
      <w:pPr>
        <w:shd w:val="clear" w:color="auto" w:fill="auto"/>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7.投诉人为自然人的，投诉书应由本人签字；投诉人为法人或者 其他组织的，投诉书应当由法定代表人、主要负责人，或者其授权代 表签字或者盖章，并加盖公章。</w:t>
      </w:r>
    </w:p>
    <w:p w14:paraId="3EB8C3C6">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182269F6">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7664EE01">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6BD3B5D2">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445AB8EB">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4DDD44ED">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09B5E4C4">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7141D61A">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54222268">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6E72E0D9">
      <w:pPr>
        <w:pStyle w:val="14"/>
        <w:rPr>
          <w:rFonts w:hint="eastAsia" w:ascii="仿宋" w:hAnsi="仿宋" w:eastAsia="仿宋" w:cs="仿宋"/>
          <w:sz w:val="24"/>
          <w:szCs w:val="24"/>
        </w:rPr>
      </w:pPr>
    </w:p>
    <w:p w14:paraId="4A1369C5">
      <w:pPr>
        <w:rPr>
          <w:rFonts w:hint="eastAsia" w:ascii="仿宋" w:hAnsi="仿宋" w:eastAsia="仿宋" w:cs="仿宋"/>
          <w:sz w:val="28"/>
          <w:szCs w:val="28"/>
        </w:rPr>
      </w:pPr>
    </w:p>
    <w:p w14:paraId="433FEF34">
      <w:pPr>
        <w:pStyle w:val="55"/>
        <w:rPr>
          <w:rFonts w:hint="eastAsia" w:ascii="仿宋" w:hAnsi="仿宋" w:eastAsia="仿宋" w:cs="仿宋"/>
          <w:sz w:val="28"/>
          <w:szCs w:val="28"/>
        </w:rPr>
      </w:pPr>
    </w:p>
    <w:p w14:paraId="32BE5604">
      <w:pPr>
        <w:pStyle w:val="55"/>
        <w:rPr>
          <w:rFonts w:hint="eastAsia" w:ascii="仿宋" w:hAnsi="仿宋" w:eastAsia="仿宋" w:cs="仿宋"/>
          <w:sz w:val="28"/>
          <w:szCs w:val="28"/>
        </w:rPr>
      </w:pPr>
    </w:p>
    <w:p w14:paraId="3B4EF2B0">
      <w:pPr>
        <w:pStyle w:val="55"/>
        <w:rPr>
          <w:rFonts w:hint="eastAsia" w:ascii="仿宋" w:hAnsi="仿宋" w:eastAsia="仿宋" w:cs="仿宋"/>
          <w:sz w:val="28"/>
          <w:szCs w:val="28"/>
        </w:rPr>
      </w:pPr>
    </w:p>
    <w:p w14:paraId="51425000">
      <w:pPr>
        <w:pStyle w:val="55"/>
        <w:rPr>
          <w:rFonts w:hint="eastAsia" w:ascii="仿宋" w:hAnsi="仿宋" w:eastAsia="仿宋" w:cs="仿宋"/>
          <w:sz w:val="28"/>
          <w:szCs w:val="28"/>
        </w:rPr>
      </w:pPr>
    </w:p>
    <w:p w14:paraId="40E5A140">
      <w:pPr>
        <w:pStyle w:val="55"/>
        <w:rPr>
          <w:rFonts w:hint="eastAsia" w:ascii="仿宋" w:hAnsi="仿宋" w:eastAsia="仿宋" w:cs="仿宋"/>
          <w:sz w:val="28"/>
          <w:szCs w:val="28"/>
        </w:rPr>
      </w:pPr>
    </w:p>
    <w:p w14:paraId="02DC0BEB">
      <w:pPr>
        <w:pStyle w:val="55"/>
        <w:rPr>
          <w:rFonts w:hint="eastAsia" w:ascii="仿宋" w:hAnsi="仿宋" w:eastAsia="仿宋" w:cs="仿宋"/>
          <w:sz w:val="28"/>
          <w:szCs w:val="28"/>
        </w:rPr>
      </w:pPr>
    </w:p>
    <w:p w14:paraId="17A4C586">
      <w:pPr>
        <w:pStyle w:val="55"/>
        <w:rPr>
          <w:rFonts w:hint="eastAsia" w:ascii="仿宋" w:hAnsi="仿宋" w:eastAsia="仿宋" w:cs="仿宋"/>
          <w:sz w:val="28"/>
          <w:szCs w:val="28"/>
        </w:rPr>
      </w:pPr>
    </w:p>
    <w:p w14:paraId="769F34AD">
      <w:pPr>
        <w:pStyle w:val="55"/>
        <w:rPr>
          <w:rFonts w:hint="eastAsia" w:ascii="仿宋" w:hAnsi="仿宋" w:eastAsia="仿宋" w:cs="仿宋"/>
          <w:sz w:val="28"/>
          <w:szCs w:val="28"/>
        </w:rPr>
      </w:pPr>
    </w:p>
    <w:p w14:paraId="3555EF0B">
      <w:pP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br w:type="page"/>
      </w:r>
    </w:p>
    <w:p w14:paraId="4EF1989F">
      <w:pPr>
        <w:keepNext w:val="0"/>
        <w:keepLines w:val="0"/>
        <w:widowControl/>
        <w:numPr>
          <w:ilvl w:val="0"/>
          <w:numId w:val="0"/>
        </w:numPr>
        <w:suppressLineNumbers w:val="0"/>
        <w:spacing w:line="360" w:lineRule="auto"/>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第二章  评标办法及标准</w:t>
      </w:r>
    </w:p>
    <w:p w14:paraId="5B16BEB2">
      <w:pPr>
        <w:pStyle w:val="36"/>
        <w:pageBreakBefore w:val="0"/>
        <w:widowControl w:val="0"/>
        <w:kinsoku/>
        <w:wordWrap/>
        <w:overflowPunct/>
        <w:topLinePunct w:val="0"/>
        <w:autoSpaceDE/>
        <w:autoSpaceDN/>
        <w:bidi w:val="0"/>
        <w:snapToGrid/>
        <w:spacing w:before="120" w:line="200" w:lineRule="exact"/>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eastAsia="zh-CN"/>
        </w:rPr>
        <w:t>附表</w:t>
      </w:r>
      <w:r>
        <w:rPr>
          <w:rFonts w:hint="eastAsia" w:ascii="仿宋" w:hAnsi="仿宋" w:eastAsia="仿宋" w:cs="仿宋"/>
          <w:color w:val="auto"/>
          <w:sz w:val="28"/>
          <w:szCs w:val="28"/>
          <w:lang w:val="en-US" w:eastAsia="zh-CN"/>
        </w:rPr>
        <w:t>...1</w:t>
      </w:r>
    </w:p>
    <w:p w14:paraId="661CF584">
      <w:pPr>
        <w:pStyle w:val="3"/>
        <w:pageBreakBefore w:val="0"/>
        <w:widowControl w:val="0"/>
        <w:kinsoku/>
        <w:wordWrap/>
        <w:overflowPunct/>
        <w:topLinePunct w:val="0"/>
        <w:autoSpaceDE/>
        <w:autoSpaceDN/>
        <w:bidi w:val="0"/>
        <w:snapToGrid/>
        <w:spacing w:line="200" w:lineRule="exact"/>
        <w:jc w:val="center"/>
        <w:rPr>
          <w:rFonts w:hint="eastAsia" w:ascii="仿宋" w:hAnsi="仿宋" w:eastAsia="仿宋" w:cs="仿宋"/>
          <w:color w:val="auto"/>
          <w:sz w:val="32"/>
          <w:szCs w:val="32"/>
          <w:lang w:val="en-US" w:eastAsia="zh-CN"/>
        </w:rPr>
      </w:pPr>
      <w:bookmarkStart w:id="84" w:name="_Toc5616"/>
      <w:bookmarkStart w:id="85" w:name="_Toc17117"/>
      <w:r>
        <w:rPr>
          <w:rFonts w:hint="eastAsia" w:ascii="仿宋" w:hAnsi="仿宋" w:eastAsia="仿宋" w:cs="仿宋"/>
          <w:color w:val="auto"/>
          <w:sz w:val="32"/>
          <w:szCs w:val="32"/>
          <w:lang w:val="en-US" w:eastAsia="zh-CN"/>
        </w:rPr>
        <w:t>资格审查</w:t>
      </w:r>
      <w:bookmarkEnd w:id="84"/>
      <w:bookmarkEnd w:id="85"/>
      <w:r>
        <w:rPr>
          <w:rFonts w:hint="eastAsia" w:ascii="仿宋" w:hAnsi="仿宋" w:eastAsia="仿宋" w:cs="仿宋"/>
          <w:color w:val="auto"/>
          <w:sz w:val="32"/>
          <w:szCs w:val="32"/>
          <w:lang w:val="en-US" w:eastAsia="zh-CN"/>
        </w:rPr>
        <w:t>表</w:t>
      </w:r>
    </w:p>
    <w:p w14:paraId="49E4E0A8">
      <w:pPr>
        <w:pStyle w:val="3"/>
        <w:pageBreakBefore w:val="0"/>
        <w:widowControl w:val="0"/>
        <w:kinsoku/>
        <w:wordWrap/>
        <w:overflowPunct/>
        <w:topLinePunct w:val="0"/>
        <w:autoSpaceDE/>
        <w:autoSpaceDN/>
        <w:bidi w:val="0"/>
        <w:snapToGrid/>
        <w:spacing w:line="240" w:lineRule="auto"/>
        <w:jc w:val="both"/>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项目名称：</w:t>
      </w:r>
    </w:p>
    <w:p w14:paraId="7162C9BE">
      <w:pPr>
        <w:pStyle w:val="4"/>
        <w:pageBreakBefore w:val="0"/>
        <w:widowControl w:val="0"/>
        <w:kinsoku/>
        <w:wordWrap/>
        <w:overflowPunct/>
        <w:topLinePunct w:val="0"/>
        <w:autoSpaceDE/>
        <w:autoSpaceDN/>
        <w:bidi w:val="0"/>
        <w:snapToGrid/>
        <w:spacing w:line="240" w:lineRule="auto"/>
        <w:rPr>
          <w:rFonts w:hint="eastAsia" w:ascii="仿宋" w:hAnsi="仿宋" w:eastAsia="仿宋" w:cs="仿宋"/>
          <w:sz w:val="22"/>
          <w:szCs w:val="22"/>
          <w:lang w:val="en-US"/>
        </w:rPr>
      </w:pPr>
      <w:r>
        <w:rPr>
          <w:rFonts w:hint="eastAsia" w:ascii="仿宋" w:hAnsi="仿宋" w:eastAsia="仿宋" w:cs="仿宋"/>
          <w:b/>
          <w:i w:val="0"/>
          <w:color w:val="auto"/>
          <w:kern w:val="0"/>
          <w:sz w:val="22"/>
          <w:szCs w:val="22"/>
          <w:u w:val="none"/>
          <w:lang w:val="en-US" w:eastAsia="zh-CN" w:bidi="ar"/>
        </w:rPr>
        <w:t>项目编号：</w:t>
      </w: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3"/>
        <w:gridCol w:w="7223"/>
        <w:gridCol w:w="2039"/>
      </w:tblGrid>
      <w:tr w14:paraId="0B39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6"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308A427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6A645A68">
            <w:pPr>
              <w:keepNext w:val="0"/>
              <w:keepLines w:val="0"/>
              <w:widowControl/>
              <w:suppressLineNumbers w:val="0"/>
              <w:jc w:val="righ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40005</wp:posOffset>
                      </wp:positionV>
                      <wp:extent cx="4552950" cy="521335"/>
                      <wp:effectExtent l="635" t="4445" r="18415" b="7620"/>
                      <wp:wrapNone/>
                      <wp:docPr id="1" name="直接箭头连接符 1"/>
                      <wp:cNvGraphicFramePr/>
                      <a:graphic xmlns:a="http://schemas.openxmlformats.org/drawingml/2006/main">
                        <a:graphicData uri="http://schemas.microsoft.com/office/word/2010/wordprocessingShape">
                          <wps:wsp>
                            <wps:cNvCnPr/>
                            <wps:spPr>
                              <a:xfrm>
                                <a:off x="0" y="0"/>
                                <a:ext cx="4552950" cy="52133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9pt;margin-top:3.15pt;height:41.05pt;width:358.5pt;z-index:251659264;mso-width-relative:page;mso-height-relative:page;" filled="f" stroked="t" coordsize="21600,21600" o:gfxdata="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aeInVAAAABgEAAA8AAAAAAAAAAQAgAAAAIgAAAGRycy9k&#10;b3ducmV2LnhtbFBLAQIUABQAAAAIAIdO4kDfUUKQBQIAAPsDAAAOAAAAAAAAAAEAIAAAACQ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i w:val="0"/>
                <w:color w:val="auto"/>
                <w:kern w:val="0"/>
                <w:sz w:val="21"/>
                <w:szCs w:val="21"/>
                <w:u w:val="none"/>
                <w:lang w:val="en-US" w:eastAsia="zh-CN" w:bidi="ar"/>
              </w:rPr>
              <w:t xml:space="preserve">      投标单位     </w:t>
            </w:r>
          </w:p>
          <w:p w14:paraId="62A5720D">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审查内容               </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14:paraId="188E70D7">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备注</w:t>
            </w:r>
          </w:p>
        </w:tc>
      </w:tr>
      <w:tr w14:paraId="75BE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94BDFE8">
            <w:pPr>
              <w:widowControl/>
              <w:jc w:val="center"/>
              <w:textAlignment w:val="center"/>
              <w:rPr>
                <w:rFonts w:hint="eastAsia" w:ascii="仿宋" w:hAnsi="仿宋" w:eastAsia="仿宋" w:cs="仿宋"/>
                <w:i w:val="0"/>
                <w:color w:val="auto"/>
                <w:sz w:val="21"/>
                <w:szCs w:val="21"/>
                <w:u w:val="none"/>
              </w:rPr>
            </w:pPr>
            <w:r>
              <w:rPr>
                <w:rFonts w:hint="eastAsia" w:ascii="仿宋" w:hAnsi="仿宋" w:eastAsia="仿宋" w:cs="仿宋"/>
                <w:b w:val="0"/>
                <w:bCs w:val="0"/>
                <w:color w:val="auto"/>
                <w:kern w:val="0"/>
                <w:sz w:val="21"/>
                <w:szCs w:val="21"/>
              </w:rPr>
              <w:t>1</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132A4F85">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是否提供合格的法人营业执照</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0E41D17C">
            <w:pPr>
              <w:jc w:val="both"/>
              <w:rPr>
                <w:rFonts w:hint="eastAsia" w:ascii="仿宋" w:hAnsi="仿宋" w:eastAsia="仿宋" w:cs="仿宋"/>
                <w:i w:val="0"/>
                <w:color w:val="auto"/>
                <w:sz w:val="21"/>
                <w:szCs w:val="21"/>
                <w:u w:val="none"/>
                <w:lang w:val="en-US" w:eastAsia="zh-CN"/>
              </w:rPr>
            </w:pPr>
            <w:r>
              <w:rPr>
                <w:rFonts w:hint="eastAsia" w:ascii="仿宋" w:hAnsi="仿宋" w:eastAsia="仿宋" w:cs="仿宋"/>
                <w:color w:val="auto"/>
                <w:kern w:val="0"/>
                <w:sz w:val="21"/>
                <w:szCs w:val="21"/>
                <w:highlight w:val="none"/>
              </w:rPr>
              <w:t>是否提供</w:t>
            </w:r>
            <w:r>
              <w:rPr>
                <w:rFonts w:hint="eastAsia" w:ascii="仿宋" w:hAnsi="仿宋" w:eastAsia="仿宋" w:cs="仿宋"/>
                <w:color w:val="auto"/>
                <w:kern w:val="0"/>
                <w:sz w:val="21"/>
                <w:szCs w:val="21"/>
                <w:highlight w:val="none"/>
                <w:lang w:val="en-US" w:eastAsia="zh-CN"/>
              </w:rPr>
              <w:t>并满足要求</w:t>
            </w:r>
          </w:p>
        </w:tc>
      </w:tr>
      <w:tr w14:paraId="56CB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7FA7817">
            <w:pPr>
              <w:widowControl/>
              <w:jc w:val="center"/>
              <w:textAlignment w:val="center"/>
              <w:rPr>
                <w:rFonts w:hint="eastAsia" w:ascii="仿宋" w:hAnsi="仿宋" w:eastAsia="仿宋" w:cs="仿宋"/>
                <w:i w:val="0"/>
                <w:color w:val="auto"/>
                <w:sz w:val="21"/>
                <w:szCs w:val="21"/>
                <w:u w:val="none"/>
                <w:lang w:eastAsia="zh-CN"/>
              </w:rPr>
            </w:pPr>
            <w:r>
              <w:rPr>
                <w:rFonts w:hint="eastAsia" w:ascii="仿宋" w:hAnsi="仿宋" w:eastAsia="仿宋" w:cs="仿宋"/>
                <w:b w:val="0"/>
                <w:bCs w:val="0"/>
                <w:color w:val="auto"/>
                <w:kern w:val="0"/>
                <w:sz w:val="21"/>
                <w:szCs w:val="21"/>
                <w:lang w:val="en-US" w:eastAsia="zh-CN"/>
              </w:rPr>
              <w:t>2</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51C0D338">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法定代表人开标应附《法定代表人身份证明书》及身份证复印件，委托代理人开标应附《法定代表人授权委托书》及身份证复印件</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09CDFE54">
            <w:pPr>
              <w:jc w:val="both"/>
              <w:rPr>
                <w:rFonts w:hint="eastAsia" w:ascii="仿宋" w:hAnsi="仿宋" w:eastAsia="仿宋" w:cs="仿宋"/>
                <w:i w:val="0"/>
                <w:color w:val="auto"/>
                <w:sz w:val="21"/>
                <w:szCs w:val="21"/>
                <w:u w:val="none"/>
              </w:rPr>
            </w:pPr>
            <w:r>
              <w:rPr>
                <w:rFonts w:hint="eastAsia" w:ascii="仿宋" w:hAnsi="仿宋" w:eastAsia="仿宋" w:cs="仿宋"/>
                <w:color w:val="auto"/>
                <w:kern w:val="0"/>
                <w:sz w:val="21"/>
                <w:szCs w:val="21"/>
                <w:highlight w:val="none"/>
              </w:rPr>
              <w:t>是否提供</w:t>
            </w:r>
            <w:r>
              <w:rPr>
                <w:rFonts w:hint="eastAsia" w:ascii="仿宋" w:hAnsi="仿宋" w:eastAsia="仿宋" w:cs="仿宋"/>
                <w:color w:val="auto"/>
                <w:kern w:val="0"/>
                <w:sz w:val="21"/>
                <w:szCs w:val="21"/>
                <w:highlight w:val="none"/>
                <w:lang w:val="en-US" w:eastAsia="zh-CN"/>
              </w:rPr>
              <w:t>并满足要求</w:t>
            </w:r>
          </w:p>
        </w:tc>
      </w:tr>
      <w:tr w14:paraId="3F1B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8"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371DF3CD">
            <w:pPr>
              <w:widowControl/>
              <w:jc w:val="center"/>
              <w:textAlignment w:val="center"/>
              <w:rPr>
                <w:rFonts w:hint="eastAsia" w:ascii="仿宋" w:hAnsi="仿宋" w:eastAsia="仿宋" w:cs="仿宋"/>
                <w:b w:val="0"/>
                <w:bCs w:val="0"/>
                <w:color w:val="auto"/>
                <w:kern w:val="0"/>
                <w:sz w:val="21"/>
                <w:szCs w:val="21"/>
                <w:lang w:val="en-US" w:eastAsia="zh-CN"/>
              </w:rPr>
            </w:pPr>
            <w:r>
              <w:rPr>
                <w:rFonts w:hint="eastAsia" w:ascii="仿宋" w:hAnsi="仿宋" w:eastAsia="仿宋" w:cs="仿宋"/>
                <w:b w:val="0"/>
                <w:bCs w:val="0"/>
                <w:color w:val="auto"/>
                <w:kern w:val="0"/>
                <w:sz w:val="21"/>
                <w:szCs w:val="21"/>
                <w:lang w:val="en-US" w:eastAsia="zh-CN"/>
              </w:rPr>
              <w:t>3</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6EF4E30B">
            <w:pPr>
              <w:keepNext w:val="0"/>
              <w:keepLines w:val="0"/>
              <w:pageBreakBefore w:val="0"/>
              <w:widowControl/>
              <w:kinsoku/>
              <w:wordWrap/>
              <w:overflowPunct/>
              <w:topLinePunct w:val="0"/>
              <w:bidi w:val="0"/>
              <w:spacing w:line="240" w:lineRule="auto"/>
              <w:ind w:left="0" w:leftChars="0" w:firstLine="0" w:firstLineChars="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139B92C4">
            <w:pPr>
              <w:jc w:val="both"/>
              <w:rPr>
                <w:rFonts w:hint="eastAsia" w:ascii="仿宋" w:hAnsi="仿宋" w:eastAsia="仿宋" w:cs="仿宋"/>
                <w:i w:val="0"/>
                <w:color w:val="auto"/>
                <w:sz w:val="21"/>
                <w:szCs w:val="21"/>
                <w:u w:val="none"/>
                <w:lang w:val="en-US"/>
              </w:rPr>
            </w:pPr>
            <w:r>
              <w:rPr>
                <w:rFonts w:hint="eastAsia" w:ascii="仿宋" w:hAnsi="仿宋" w:eastAsia="仿宋" w:cs="仿宋"/>
                <w:color w:val="auto"/>
                <w:kern w:val="0"/>
                <w:sz w:val="21"/>
                <w:szCs w:val="21"/>
                <w:highlight w:val="none"/>
              </w:rPr>
              <w:t>是否提供</w:t>
            </w:r>
            <w:r>
              <w:rPr>
                <w:rFonts w:hint="eastAsia" w:ascii="仿宋" w:hAnsi="仿宋" w:eastAsia="仿宋" w:cs="仿宋"/>
                <w:color w:val="auto"/>
                <w:kern w:val="0"/>
                <w:sz w:val="21"/>
                <w:szCs w:val="21"/>
                <w:highlight w:val="none"/>
                <w:lang w:val="en-US" w:eastAsia="zh-CN"/>
              </w:rPr>
              <w:t>并满足要求，提供声明函</w:t>
            </w:r>
          </w:p>
        </w:tc>
      </w:tr>
      <w:tr w14:paraId="259A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F8BB06C">
            <w:pPr>
              <w:widowControl/>
              <w:jc w:val="center"/>
              <w:textAlignment w:val="center"/>
              <w:rPr>
                <w:rFonts w:hint="eastAsia" w:ascii="仿宋" w:hAnsi="仿宋" w:eastAsia="仿宋" w:cs="仿宋"/>
                <w:i w:val="0"/>
                <w:color w:val="auto"/>
                <w:sz w:val="21"/>
                <w:szCs w:val="21"/>
                <w:u w:val="none"/>
              </w:rPr>
            </w:pPr>
            <w:r>
              <w:rPr>
                <w:rFonts w:hint="eastAsia" w:ascii="仿宋" w:hAnsi="仿宋" w:eastAsia="仿宋" w:cs="仿宋"/>
                <w:b w:val="0"/>
                <w:bCs w:val="0"/>
                <w:color w:val="auto"/>
                <w:kern w:val="0"/>
                <w:sz w:val="21"/>
                <w:szCs w:val="21"/>
              </w:rPr>
              <w:t>4</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201ABBC2">
            <w:pPr>
              <w:keepNext w:val="0"/>
              <w:keepLines w:val="0"/>
              <w:pageBreakBefore w:val="0"/>
              <w:widowControl/>
              <w:kinsoku/>
              <w:wordWrap/>
              <w:overflowPunct/>
              <w:topLinePunct w:val="0"/>
              <w:bidi w:val="0"/>
              <w:spacing w:line="240" w:lineRule="auto"/>
              <w:ind w:left="0" w:leftChars="0" w:firstLine="0" w:firstLineChars="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具有良好的商业信誉和健全的财务会计制度：提供最新年度</w:t>
            </w:r>
            <w:bookmarkStart w:id="129" w:name="_GoBack"/>
            <w:bookmarkEnd w:id="129"/>
            <w:r>
              <w:rPr>
                <w:rFonts w:hint="eastAsia" w:ascii="仿宋" w:hAnsi="仿宋" w:eastAsia="仿宋" w:cs="仿宋"/>
                <w:color w:val="auto"/>
                <w:kern w:val="0"/>
                <w:sz w:val="21"/>
                <w:szCs w:val="21"/>
                <w:highlight w:val="none"/>
                <w:lang w:val="en-US" w:eastAsia="zh-CN"/>
              </w:rPr>
              <w:t>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1E763449">
            <w:pPr>
              <w:jc w:val="both"/>
              <w:rPr>
                <w:rFonts w:hint="eastAsia" w:ascii="仿宋" w:hAnsi="仿宋" w:eastAsia="仿宋" w:cs="仿宋"/>
                <w:i w:val="0"/>
                <w:color w:val="auto"/>
                <w:sz w:val="21"/>
                <w:szCs w:val="21"/>
                <w:u w:val="none"/>
              </w:rPr>
            </w:pPr>
            <w:r>
              <w:rPr>
                <w:rFonts w:hint="eastAsia" w:ascii="仿宋" w:hAnsi="仿宋" w:eastAsia="仿宋" w:cs="仿宋"/>
                <w:color w:val="auto"/>
                <w:kern w:val="0"/>
                <w:sz w:val="21"/>
                <w:szCs w:val="21"/>
                <w:highlight w:val="none"/>
              </w:rPr>
              <w:t>是否提供</w:t>
            </w:r>
            <w:r>
              <w:rPr>
                <w:rFonts w:hint="eastAsia" w:ascii="仿宋" w:hAnsi="仿宋" w:eastAsia="仿宋" w:cs="仿宋"/>
                <w:color w:val="auto"/>
                <w:kern w:val="0"/>
                <w:sz w:val="21"/>
                <w:szCs w:val="21"/>
                <w:highlight w:val="none"/>
                <w:lang w:val="en-US" w:eastAsia="zh-CN"/>
              </w:rPr>
              <w:t>并满足要求</w:t>
            </w:r>
          </w:p>
        </w:tc>
      </w:tr>
      <w:tr w14:paraId="3F97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C8BD983">
            <w:pPr>
              <w:widowControl/>
              <w:jc w:val="center"/>
              <w:textAlignment w:val="center"/>
              <w:rPr>
                <w:rFonts w:hint="eastAsia" w:ascii="仿宋" w:hAnsi="仿宋" w:eastAsia="仿宋" w:cs="仿宋"/>
                <w:i w:val="0"/>
                <w:color w:val="auto"/>
                <w:sz w:val="21"/>
                <w:szCs w:val="21"/>
                <w:u w:val="none"/>
              </w:rPr>
            </w:pPr>
            <w:r>
              <w:rPr>
                <w:rFonts w:hint="eastAsia" w:ascii="仿宋" w:hAnsi="仿宋" w:eastAsia="仿宋" w:cs="仿宋"/>
                <w:b w:val="0"/>
                <w:bCs w:val="0"/>
                <w:color w:val="auto"/>
                <w:kern w:val="0"/>
                <w:sz w:val="21"/>
                <w:szCs w:val="21"/>
              </w:rPr>
              <w:t>5</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119AF059">
            <w:pPr>
              <w:keepNext w:val="0"/>
              <w:keepLines w:val="0"/>
              <w:pageBreakBefore w:val="0"/>
              <w:widowControl/>
              <w:kinsoku/>
              <w:wordWrap/>
              <w:overflowPunct/>
              <w:topLinePunct w:val="0"/>
              <w:bidi w:val="0"/>
              <w:spacing w:line="240" w:lineRule="auto"/>
              <w:ind w:left="0" w:leftChars="0" w:firstLine="0" w:firstLineChars="0"/>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en-US" w:eastAsia="zh-CN"/>
              </w:rPr>
              <w:t>有依法缴纳税收和社会保障资金的良好记录：提供投标截止日前近 3 个月的社保证明材料（社保缴费明细表及缴费凭证），如依法不需要缴纳社会保障资金的，应提供相应文件证明（新成立不满 3 个月的企业，按实际发生的提供）；提供投标截止日前近3个月的缴纳税收的完税证明或税务部门出具的纳税证明（或提供无欠税证明）；如依法免税的，应提供相应文件证明（新成立不满 3个月的企业，按实际发生的提供）；</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63201F9B">
            <w:pPr>
              <w:jc w:val="both"/>
              <w:rPr>
                <w:rFonts w:hint="eastAsia" w:ascii="仿宋" w:hAnsi="仿宋" w:eastAsia="仿宋" w:cs="仿宋"/>
                <w:i w:val="0"/>
                <w:color w:val="auto"/>
                <w:sz w:val="21"/>
                <w:szCs w:val="21"/>
                <w:u w:val="none"/>
              </w:rPr>
            </w:pPr>
            <w:r>
              <w:rPr>
                <w:rFonts w:hint="eastAsia" w:ascii="仿宋" w:hAnsi="仿宋" w:eastAsia="仿宋" w:cs="仿宋"/>
                <w:color w:val="auto"/>
                <w:kern w:val="0"/>
                <w:sz w:val="21"/>
                <w:szCs w:val="21"/>
                <w:highlight w:val="none"/>
              </w:rPr>
              <w:t>是否提供</w:t>
            </w:r>
            <w:r>
              <w:rPr>
                <w:rFonts w:hint="eastAsia" w:ascii="仿宋" w:hAnsi="仿宋" w:eastAsia="仿宋" w:cs="仿宋"/>
                <w:color w:val="auto"/>
                <w:kern w:val="0"/>
                <w:sz w:val="21"/>
                <w:szCs w:val="21"/>
                <w:highlight w:val="none"/>
                <w:lang w:val="en-US" w:eastAsia="zh-CN"/>
              </w:rPr>
              <w:t>并满足要求</w:t>
            </w:r>
          </w:p>
        </w:tc>
      </w:tr>
      <w:tr w14:paraId="604C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906DD8E">
            <w:pPr>
              <w:keepNext w:val="0"/>
              <w:keepLines w:val="0"/>
              <w:pageBreakBefore w:val="0"/>
              <w:widowControl/>
              <w:kinsoku/>
              <w:wordWrap/>
              <w:overflowPunct/>
              <w:topLinePunct w:val="0"/>
              <w:bidi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3E92675D">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zh-CN" w:eastAsia="zh-CN"/>
              </w:rPr>
            </w:pPr>
            <w:r>
              <w:rPr>
                <w:rFonts w:hint="eastAsia" w:ascii="仿宋" w:hAnsi="仿宋" w:eastAsia="仿宋" w:cs="仿宋"/>
                <w:b w:val="0"/>
                <w:bCs w:val="0"/>
                <w:color w:val="auto"/>
                <w:kern w:val="0"/>
                <w:sz w:val="21"/>
                <w:szCs w:val="21"/>
                <w:highlight w:val="none"/>
                <w:lang w:val="en-US" w:eastAsia="zh-CN"/>
              </w:rPr>
              <w:t>是否提供投标保证金转账凭证或保函文件；</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5FCF123C">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是否提供并满足要求，提供声明函</w:t>
            </w:r>
          </w:p>
        </w:tc>
      </w:tr>
      <w:tr w14:paraId="6BB1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2525038C">
            <w:pPr>
              <w:keepNext w:val="0"/>
              <w:keepLines w:val="0"/>
              <w:pageBreakBefore w:val="0"/>
              <w:widowControl/>
              <w:kinsoku/>
              <w:wordWrap/>
              <w:overflowPunct/>
              <w:topLinePunct w:val="0"/>
              <w:bidi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38F48E1A">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是否提供参加政府采购活动前三年内，在经营活动中没有重大违法记录的书面声明</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50E51F2B">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是否提供并满足要求</w:t>
            </w:r>
          </w:p>
        </w:tc>
      </w:tr>
      <w:tr w14:paraId="0CF2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59F20849">
            <w:pPr>
              <w:keepNext w:val="0"/>
              <w:keepLines w:val="0"/>
              <w:pageBreakBefore w:val="0"/>
              <w:widowControl/>
              <w:kinsoku/>
              <w:wordWrap/>
              <w:overflowPunct/>
              <w:topLinePunct w:val="0"/>
              <w:bidi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8</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38B0258A">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企业负责人为同一人或者存在直接控股、管理关系的不同投标人，不得参加同一合同项下的政府采购活动</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606CD1F1">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是否提供并满足要求，提供声明函</w:t>
            </w:r>
          </w:p>
        </w:tc>
      </w:tr>
      <w:tr w14:paraId="706D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FD3DDC6">
            <w:pPr>
              <w:keepNext w:val="0"/>
              <w:keepLines w:val="0"/>
              <w:pageBreakBefore w:val="0"/>
              <w:widowControl/>
              <w:kinsoku/>
              <w:wordWrap/>
              <w:overflowPunct/>
              <w:topLinePunct w:val="0"/>
              <w:bidi w:val="0"/>
              <w:spacing w:line="240" w:lineRule="auto"/>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9</w:t>
            </w:r>
          </w:p>
        </w:tc>
        <w:tc>
          <w:tcPr>
            <w:tcW w:w="7223" w:type="dxa"/>
            <w:tcBorders>
              <w:top w:val="single" w:color="000000" w:sz="4" w:space="0"/>
              <w:left w:val="single" w:color="000000" w:sz="4" w:space="0"/>
              <w:bottom w:val="single" w:color="000000" w:sz="4" w:space="0"/>
              <w:right w:val="single" w:color="000000" w:sz="4" w:space="0"/>
            </w:tcBorders>
            <w:noWrap w:val="0"/>
            <w:vAlign w:val="center"/>
          </w:tcPr>
          <w:p w14:paraId="522F197C">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是否通过评审；</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5B363D29">
            <w:pPr>
              <w:keepNext w:val="0"/>
              <w:keepLines w:val="0"/>
              <w:pageBreakBefore w:val="0"/>
              <w:widowControl/>
              <w:kinsoku/>
              <w:wordWrap/>
              <w:overflowPunct/>
              <w:topLinePunct w:val="0"/>
              <w:bidi w:val="0"/>
              <w:spacing w:line="240" w:lineRule="auto"/>
              <w:rPr>
                <w:rFonts w:hint="eastAsia" w:ascii="仿宋" w:hAnsi="仿宋" w:eastAsia="仿宋" w:cs="仿宋"/>
                <w:color w:val="auto"/>
                <w:kern w:val="0"/>
                <w:sz w:val="21"/>
                <w:szCs w:val="21"/>
                <w:highlight w:val="none"/>
                <w:lang w:val="en-US" w:eastAsia="zh-CN"/>
              </w:rPr>
            </w:pPr>
          </w:p>
        </w:tc>
      </w:tr>
      <w:tr w14:paraId="3677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3" w:hRule="atLeast"/>
          <w:jc w:val="center"/>
        </w:trPr>
        <w:tc>
          <w:tcPr>
            <w:tcW w:w="7816" w:type="dxa"/>
            <w:gridSpan w:val="2"/>
            <w:tcBorders>
              <w:top w:val="single" w:color="000000" w:sz="4" w:space="0"/>
              <w:left w:val="single" w:color="000000" w:sz="4" w:space="0"/>
              <w:bottom w:val="single" w:color="000000" w:sz="4" w:space="0"/>
              <w:right w:val="single" w:color="000000" w:sz="4" w:space="0"/>
            </w:tcBorders>
            <w:noWrap w:val="0"/>
            <w:vAlign w:val="center"/>
          </w:tcPr>
          <w:p w14:paraId="272E631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color w:val="auto"/>
                <w:sz w:val="21"/>
                <w:szCs w:val="21"/>
                <w:highlight w:val="none"/>
                <w:lang w:bidi="ar"/>
              </w:rPr>
              <w:t>结论（通过〝√〞，不通过〝×〞）（以上评审有任意一项不通过，则不进入下一环节）</w:t>
            </w: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653720F6">
            <w:pPr>
              <w:jc w:val="both"/>
              <w:rPr>
                <w:rFonts w:hint="eastAsia" w:ascii="仿宋" w:hAnsi="仿宋" w:eastAsia="仿宋" w:cs="仿宋"/>
                <w:i w:val="0"/>
                <w:color w:val="auto"/>
                <w:sz w:val="21"/>
                <w:szCs w:val="21"/>
                <w:u w:val="none"/>
              </w:rPr>
            </w:pPr>
          </w:p>
        </w:tc>
      </w:tr>
    </w:tbl>
    <w:p w14:paraId="48377309">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br w:type="page"/>
      </w:r>
    </w:p>
    <w:p w14:paraId="7EEE879E">
      <w:pPr>
        <w:pStyle w:val="36"/>
        <w:spacing w:before="120" w:line="360" w:lineRule="auto"/>
        <w:jc w:val="both"/>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eastAsia="zh-CN"/>
        </w:rPr>
        <w:t>附表</w:t>
      </w:r>
      <w:r>
        <w:rPr>
          <w:rFonts w:hint="eastAsia" w:ascii="仿宋" w:hAnsi="仿宋" w:eastAsia="仿宋" w:cs="仿宋"/>
          <w:color w:val="auto"/>
          <w:sz w:val="28"/>
          <w:szCs w:val="28"/>
          <w:lang w:val="en-US" w:eastAsia="zh-CN"/>
        </w:rPr>
        <w:t>...2</w:t>
      </w:r>
    </w:p>
    <w:p w14:paraId="20DB662E">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符合性</w:t>
      </w:r>
      <w:r>
        <w:rPr>
          <w:rFonts w:hint="eastAsia" w:ascii="仿宋" w:hAnsi="仿宋" w:eastAsia="仿宋" w:cs="仿宋"/>
          <w:b/>
          <w:bCs/>
          <w:color w:val="auto"/>
          <w:sz w:val="32"/>
          <w:szCs w:val="32"/>
        </w:rPr>
        <w:t>审查表</w:t>
      </w:r>
    </w:p>
    <w:p w14:paraId="530534B9">
      <w:pPr>
        <w:rPr>
          <w:rFonts w:hint="eastAsia" w:ascii="仿宋" w:hAnsi="仿宋" w:eastAsia="仿宋" w:cs="仿宋"/>
          <w:color w:val="auto"/>
        </w:rPr>
      </w:pPr>
    </w:p>
    <w:p w14:paraId="26A6C57B"/>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1"/>
        <w:gridCol w:w="5875"/>
        <w:gridCol w:w="750"/>
        <w:gridCol w:w="750"/>
        <w:gridCol w:w="750"/>
        <w:gridCol w:w="26"/>
        <w:gridCol w:w="727"/>
      </w:tblGrid>
      <w:tr w14:paraId="2C71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752" w:type="dxa"/>
            <w:gridSpan w:val="6"/>
            <w:noWrap w:val="0"/>
            <w:vAlign w:val="center"/>
          </w:tcPr>
          <w:p w14:paraId="3AC227F1">
            <w:pPr>
              <w:keepNext w:val="0"/>
              <w:keepLines w:val="0"/>
              <w:widowControl/>
              <w:suppressLineNumbers w:val="0"/>
              <w:jc w:val="left"/>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项目名称：</w:t>
            </w:r>
          </w:p>
        </w:tc>
        <w:tc>
          <w:tcPr>
            <w:tcW w:w="727" w:type="dxa"/>
            <w:noWrap w:val="0"/>
            <w:vAlign w:val="center"/>
          </w:tcPr>
          <w:p w14:paraId="075CBDA9">
            <w:pPr>
              <w:keepNext w:val="0"/>
              <w:keepLines w:val="0"/>
              <w:widowControl/>
              <w:suppressLineNumbers w:val="0"/>
              <w:jc w:val="left"/>
              <w:textAlignment w:val="center"/>
              <w:rPr>
                <w:rFonts w:hint="eastAsia" w:ascii="仿宋" w:hAnsi="仿宋" w:eastAsia="仿宋" w:cs="仿宋"/>
                <w:b/>
                <w:i w:val="0"/>
                <w:color w:val="auto"/>
                <w:kern w:val="0"/>
                <w:sz w:val="22"/>
                <w:szCs w:val="22"/>
                <w:u w:val="none"/>
                <w:lang w:val="en-US" w:eastAsia="zh-CN" w:bidi="ar"/>
              </w:rPr>
            </w:pPr>
          </w:p>
        </w:tc>
      </w:tr>
      <w:tr w14:paraId="4385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8752" w:type="dxa"/>
            <w:gridSpan w:val="6"/>
            <w:noWrap w:val="0"/>
            <w:vAlign w:val="center"/>
          </w:tcPr>
          <w:p w14:paraId="62E3864E">
            <w:pPr>
              <w:keepNext w:val="0"/>
              <w:keepLines w:val="0"/>
              <w:widowControl/>
              <w:suppressLineNumbers w:val="0"/>
              <w:jc w:val="left"/>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项目编号：</w:t>
            </w:r>
          </w:p>
        </w:tc>
        <w:tc>
          <w:tcPr>
            <w:tcW w:w="727" w:type="dxa"/>
            <w:noWrap w:val="0"/>
            <w:vAlign w:val="center"/>
          </w:tcPr>
          <w:p w14:paraId="01D85167">
            <w:pPr>
              <w:keepNext w:val="0"/>
              <w:keepLines w:val="0"/>
              <w:widowControl/>
              <w:suppressLineNumbers w:val="0"/>
              <w:jc w:val="left"/>
              <w:textAlignment w:val="center"/>
              <w:rPr>
                <w:rFonts w:hint="eastAsia" w:ascii="仿宋" w:hAnsi="仿宋" w:eastAsia="仿宋" w:cs="仿宋"/>
                <w:b/>
                <w:i w:val="0"/>
                <w:color w:val="auto"/>
                <w:kern w:val="0"/>
                <w:sz w:val="22"/>
                <w:szCs w:val="22"/>
                <w:u w:val="none"/>
                <w:lang w:val="en-US" w:eastAsia="zh-CN" w:bidi="ar"/>
              </w:rPr>
            </w:pPr>
          </w:p>
        </w:tc>
      </w:tr>
      <w:tr w14:paraId="3DEC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04B3D84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5875"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77AF9975">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                   投标单位          </w:t>
            </w:r>
          </w:p>
          <w:p w14:paraId="3B88991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   审查内容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14BA9F">
            <w:pPr>
              <w:keepNext w:val="0"/>
              <w:keepLines w:val="0"/>
              <w:widowControl/>
              <w:suppressLineNumbers w:val="0"/>
              <w:jc w:val="center"/>
              <w:textAlignment w:val="center"/>
              <w:rPr>
                <w:rFonts w:hint="eastAsia" w:ascii="仿宋" w:hAnsi="仿宋" w:eastAsia="仿宋" w:cs="仿宋"/>
                <w:i w:val="0"/>
                <w:color w:val="auto"/>
                <w:sz w:val="21"/>
                <w:szCs w:val="21"/>
                <w:u w:val="none"/>
                <w:lang w:val="en-US"/>
              </w:rPr>
            </w:pPr>
            <w:r>
              <w:rPr>
                <w:rFonts w:hint="eastAsia" w:ascii="仿宋" w:hAnsi="仿宋" w:eastAsia="仿宋" w:cs="仿宋"/>
                <w:i w:val="0"/>
                <w:color w:val="auto"/>
                <w:sz w:val="21"/>
                <w:szCs w:val="21"/>
                <w:u w:val="none"/>
                <w:lang w:eastAsia="zh-CN"/>
              </w:rPr>
              <w:t>投标人</w:t>
            </w:r>
            <w:r>
              <w:rPr>
                <w:rFonts w:hint="eastAsia" w:ascii="仿宋" w:hAnsi="仿宋" w:eastAsia="仿宋" w:cs="仿宋"/>
                <w:i w:val="0"/>
                <w:color w:val="auto"/>
                <w:sz w:val="21"/>
                <w:szCs w:val="21"/>
                <w:u w:val="none"/>
                <w:lang w:val="en-US" w:eastAsia="zh-CN"/>
              </w:rPr>
              <w:t>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5645B2">
            <w:pPr>
              <w:keepNext w:val="0"/>
              <w:keepLines w:val="0"/>
              <w:widowControl/>
              <w:suppressLineNumbers w:val="0"/>
              <w:jc w:val="center"/>
              <w:textAlignment w:val="center"/>
              <w:rPr>
                <w:rFonts w:hint="eastAsia" w:ascii="仿宋" w:hAnsi="仿宋" w:eastAsia="仿宋" w:cs="仿宋"/>
                <w:i w:val="0"/>
                <w:color w:val="auto"/>
                <w:sz w:val="21"/>
                <w:szCs w:val="21"/>
                <w:u w:val="none"/>
                <w:lang w:val="en-US"/>
              </w:rPr>
            </w:pPr>
            <w:r>
              <w:rPr>
                <w:rFonts w:hint="eastAsia" w:ascii="仿宋" w:hAnsi="仿宋" w:eastAsia="仿宋" w:cs="仿宋"/>
                <w:i w:val="0"/>
                <w:color w:val="auto"/>
                <w:sz w:val="21"/>
                <w:szCs w:val="21"/>
                <w:u w:val="none"/>
                <w:lang w:eastAsia="zh-CN"/>
              </w:rPr>
              <w:t>投标人</w:t>
            </w:r>
            <w:r>
              <w:rPr>
                <w:rFonts w:hint="eastAsia" w:ascii="仿宋" w:hAnsi="仿宋" w:eastAsia="仿宋" w:cs="仿宋"/>
                <w:i w:val="0"/>
                <w:color w:val="auto"/>
                <w:sz w:val="21"/>
                <w:szCs w:val="21"/>
                <w:u w:val="none"/>
                <w:lang w:val="en-US" w:eastAsia="zh-CN"/>
              </w:rPr>
              <w:t>B</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CB1BF0">
            <w:pPr>
              <w:keepNext w:val="0"/>
              <w:keepLines w:val="0"/>
              <w:widowControl/>
              <w:suppressLineNumbers w:val="0"/>
              <w:jc w:val="center"/>
              <w:textAlignment w:val="center"/>
              <w:rPr>
                <w:rFonts w:hint="eastAsia" w:ascii="仿宋" w:hAnsi="仿宋" w:eastAsia="仿宋" w:cs="仿宋"/>
                <w:i w:val="0"/>
                <w:color w:val="auto"/>
                <w:sz w:val="21"/>
                <w:szCs w:val="21"/>
                <w:u w:val="none"/>
                <w:lang w:val="en-US"/>
              </w:rPr>
            </w:pPr>
            <w:r>
              <w:rPr>
                <w:rFonts w:hint="eastAsia" w:ascii="仿宋" w:hAnsi="仿宋" w:eastAsia="仿宋" w:cs="仿宋"/>
                <w:i w:val="0"/>
                <w:color w:val="auto"/>
                <w:sz w:val="21"/>
                <w:szCs w:val="21"/>
                <w:u w:val="none"/>
                <w:lang w:eastAsia="zh-CN"/>
              </w:rPr>
              <w:t>投标人</w:t>
            </w:r>
            <w:r>
              <w:rPr>
                <w:rFonts w:hint="eastAsia" w:ascii="仿宋" w:hAnsi="仿宋" w:eastAsia="仿宋" w:cs="仿宋"/>
                <w:i w:val="0"/>
                <w:color w:val="auto"/>
                <w:sz w:val="21"/>
                <w:szCs w:val="21"/>
                <w:u w:val="none"/>
                <w:lang w:val="en-US" w:eastAsia="zh-CN"/>
              </w:rPr>
              <w:t>C</w:t>
            </w:r>
          </w:p>
        </w:tc>
        <w:tc>
          <w:tcPr>
            <w:tcW w:w="753" w:type="dxa"/>
            <w:gridSpan w:val="2"/>
            <w:tcBorders>
              <w:top w:val="single" w:color="000000" w:sz="4" w:space="0"/>
              <w:left w:val="single" w:color="000000" w:sz="4" w:space="0"/>
              <w:bottom w:val="single" w:color="000000" w:sz="4" w:space="0"/>
              <w:right w:val="single" w:color="000000" w:sz="4" w:space="0"/>
            </w:tcBorders>
            <w:noWrap w:val="0"/>
            <w:vAlign w:val="center"/>
          </w:tcPr>
          <w:p w14:paraId="3840547E">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eastAsia="zh-CN"/>
              </w:rPr>
              <w:t>投标人</w:t>
            </w:r>
            <w:r>
              <w:rPr>
                <w:rFonts w:hint="eastAsia" w:ascii="仿宋" w:hAnsi="仿宋" w:eastAsia="仿宋" w:cs="仿宋"/>
                <w:i w:val="0"/>
                <w:color w:val="auto"/>
                <w:sz w:val="21"/>
                <w:szCs w:val="21"/>
                <w:u w:val="none"/>
                <w:lang w:val="en-US" w:eastAsia="zh-CN"/>
              </w:rPr>
              <w:t>D</w:t>
            </w:r>
          </w:p>
        </w:tc>
      </w:tr>
      <w:tr w14:paraId="412D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3"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19835DFB">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1</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4F09BB4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响应文件是否有投标单位法定代表人或其委托代理人（签字或签章）和加盖了投标企业的公章（应按招标文件要求签字或盖章）；</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BEE9BC">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7F1FFF">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44FA03">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center"/>
          </w:tcPr>
          <w:p w14:paraId="417F69E7">
            <w:pPr>
              <w:rPr>
                <w:rFonts w:hint="eastAsia" w:ascii="仿宋" w:hAnsi="仿宋" w:eastAsia="仿宋" w:cs="仿宋"/>
                <w:i w:val="0"/>
                <w:color w:val="auto"/>
                <w:sz w:val="21"/>
                <w:szCs w:val="21"/>
                <w:u w:val="none"/>
              </w:rPr>
            </w:pPr>
          </w:p>
        </w:tc>
      </w:tr>
      <w:tr w14:paraId="29CB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6816479B">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2</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51BFAE14">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投标人是否对同一招标项目做出两个以上报价而未明确效力；</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8C7EFA">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81D232">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47F06C">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center"/>
          </w:tcPr>
          <w:p w14:paraId="7BF84A0E">
            <w:pPr>
              <w:rPr>
                <w:rFonts w:hint="eastAsia" w:ascii="仿宋" w:hAnsi="仿宋" w:eastAsia="仿宋" w:cs="仿宋"/>
                <w:i w:val="0"/>
                <w:color w:val="auto"/>
                <w:sz w:val="21"/>
                <w:szCs w:val="21"/>
                <w:u w:val="none"/>
              </w:rPr>
            </w:pPr>
          </w:p>
        </w:tc>
      </w:tr>
      <w:tr w14:paraId="293A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661F0661">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3</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664F63D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响应文件记载的招标项目合同履行期限是否超过招标文件规定的合同履行期限；</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265B409D">
            <w:pPr>
              <w:ind w:left="0" w:leftChars="0" w:firstLine="0" w:firstLineChars="0"/>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7C6BDB4E">
            <w:pPr>
              <w:ind w:left="0" w:leftChars="0" w:firstLine="0" w:firstLineChars="0"/>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575D54B5">
            <w:pPr>
              <w:ind w:left="0" w:leftChars="0" w:firstLine="0" w:firstLineChars="0"/>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0D9BD144">
            <w:pPr>
              <w:ind w:left="0" w:leftChars="0" w:firstLine="0" w:firstLineChars="0"/>
              <w:rPr>
                <w:rFonts w:hint="eastAsia" w:ascii="仿宋" w:hAnsi="仿宋" w:eastAsia="仿宋" w:cs="仿宋"/>
                <w:i w:val="0"/>
                <w:color w:val="auto"/>
                <w:sz w:val="21"/>
                <w:szCs w:val="21"/>
                <w:u w:val="none"/>
              </w:rPr>
            </w:pPr>
          </w:p>
        </w:tc>
      </w:tr>
      <w:tr w14:paraId="2565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6DC88E58">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4</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70D64288">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是否承诺招标文件规定的投标有效期；</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15160445">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7AFEE776">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72ECF48F">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39612757">
            <w:pPr>
              <w:rPr>
                <w:rFonts w:hint="eastAsia" w:ascii="仿宋" w:hAnsi="仿宋" w:eastAsia="仿宋" w:cs="仿宋"/>
                <w:i w:val="0"/>
                <w:color w:val="auto"/>
                <w:sz w:val="21"/>
                <w:szCs w:val="21"/>
                <w:u w:val="none"/>
              </w:rPr>
            </w:pPr>
          </w:p>
        </w:tc>
      </w:tr>
      <w:tr w14:paraId="0E7F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70DB5372">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5</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73CD37DF">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响应文件标明的响应或偏离与事实不符或伪造证明文件等虚假投标的；</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481F2E2E">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21A5C2D5">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101C8E07">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4895FD85">
            <w:pPr>
              <w:rPr>
                <w:rFonts w:hint="eastAsia" w:ascii="仿宋" w:hAnsi="仿宋" w:eastAsia="仿宋" w:cs="仿宋"/>
                <w:i w:val="0"/>
                <w:color w:val="auto"/>
                <w:sz w:val="21"/>
                <w:szCs w:val="21"/>
                <w:u w:val="none"/>
              </w:rPr>
            </w:pPr>
          </w:p>
        </w:tc>
      </w:tr>
      <w:tr w14:paraId="4DB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168C57A5">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6</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2E43992D">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商务条款是否有偏离情况的；</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40EA7C37">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612B2282">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7DFAA714">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3388A99D">
            <w:pPr>
              <w:rPr>
                <w:rFonts w:hint="eastAsia" w:ascii="仿宋" w:hAnsi="仿宋" w:eastAsia="仿宋" w:cs="仿宋"/>
                <w:i w:val="0"/>
                <w:color w:val="auto"/>
                <w:sz w:val="21"/>
                <w:szCs w:val="21"/>
                <w:u w:val="none"/>
              </w:rPr>
            </w:pPr>
          </w:p>
        </w:tc>
      </w:tr>
      <w:tr w14:paraId="003A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1E04F2B4">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7</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35557E1E">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响应文件是否附有招标人不能接受的条件；</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1334C9A5">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4BA47C20">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4E9722DE">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70DBD3DD">
            <w:pPr>
              <w:rPr>
                <w:rFonts w:hint="eastAsia" w:ascii="仿宋" w:hAnsi="仿宋" w:eastAsia="仿宋" w:cs="仿宋"/>
                <w:i w:val="0"/>
                <w:color w:val="auto"/>
                <w:sz w:val="21"/>
                <w:szCs w:val="21"/>
                <w:u w:val="none"/>
              </w:rPr>
            </w:pPr>
          </w:p>
        </w:tc>
      </w:tr>
      <w:tr w14:paraId="1FE6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500B0129">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8</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4FB0359A">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投标报价是否高于招标文件中规定的最高限价</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3F3CCBF9">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713F2919">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489D2955">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3877C7B7">
            <w:pPr>
              <w:rPr>
                <w:rFonts w:hint="eastAsia" w:ascii="仿宋" w:hAnsi="仿宋" w:eastAsia="仿宋" w:cs="仿宋"/>
                <w:i w:val="0"/>
                <w:color w:val="auto"/>
                <w:sz w:val="21"/>
                <w:szCs w:val="21"/>
                <w:u w:val="none"/>
              </w:rPr>
            </w:pPr>
          </w:p>
        </w:tc>
      </w:tr>
      <w:tr w14:paraId="7D4A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7AD6E73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9</w:t>
            </w:r>
          </w:p>
        </w:tc>
        <w:tc>
          <w:tcPr>
            <w:tcW w:w="5875" w:type="dxa"/>
            <w:tcBorders>
              <w:top w:val="single" w:color="000000" w:sz="4" w:space="0"/>
              <w:left w:val="single" w:color="000000" w:sz="4" w:space="0"/>
              <w:bottom w:val="single" w:color="000000" w:sz="4" w:space="0"/>
              <w:right w:val="single" w:color="000000" w:sz="4" w:space="0"/>
            </w:tcBorders>
            <w:noWrap w:val="0"/>
            <w:vAlign w:val="center"/>
          </w:tcPr>
          <w:p w14:paraId="373B0F9C">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eastAsia" w:ascii="仿宋" w:hAnsi="仿宋" w:eastAsia="仿宋" w:cs="仿宋"/>
                <w:color w:val="auto"/>
                <w:spacing w:val="-2"/>
                <w:kern w:val="2"/>
                <w:sz w:val="22"/>
                <w:szCs w:val="22"/>
                <w:highlight w:val="none"/>
                <w:lang w:val="en-US" w:eastAsia="zh-CN" w:bidi="ar-SA"/>
              </w:rPr>
            </w:pPr>
            <w:r>
              <w:rPr>
                <w:rFonts w:hint="eastAsia" w:ascii="仿宋" w:hAnsi="仿宋" w:eastAsia="仿宋" w:cs="仿宋"/>
                <w:color w:val="auto"/>
                <w:spacing w:val="-2"/>
                <w:kern w:val="2"/>
                <w:sz w:val="22"/>
                <w:szCs w:val="22"/>
                <w:highlight w:val="none"/>
                <w:lang w:val="en-US" w:eastAsia="zh-CN" w:bidi="ar-SA"/>
              </w:rPr>
              <w:t>明显不符合技术规格和技术标准（技术规格有偏离情况的）；</w:t>
            </w: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1E25D455">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058B1AE9">
            <w:pPr>
              <w:rPr>
                <w:rFonts w:hint="eastAsia" w:ascii="仿宋" w:hAnsi="仿宋" w:eastAsia="仿宋" w:cs="仿宋"/>
                <w:i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bottom"/>
          </w:tcPr>
          <w:p w14:paraId="6786F1DF">
            <w:pPr>
              <w:rPr>
                <w:rFonts w:hint="eastAsia" w:ascii="仿宋" w:hAnsi="仿宋" w:eastAsia="仿宋" w:cs="仿宋"/>
                <w:i w:val="0"/>
                <w:color w:val="auto"/>
                <w:sz w:val="21"/>
                <w:szCs w:val="21"/>
                <w:u w:val="none"/>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bottom"/>
          </w:tcPr>
          <w:p w14:paraId="4FDCE532">
            <w:pPr>
              <w:rPr>
                <w:rFonts w:hint="eastAsia" w:ascii="仿宋" w:hAnsi="仿宋" w:eastAsia="仿宋" w:cs="仿宋"/>
                <w:i w:val="0"/>
                <w:color w:val="auto"/>
                <w:sz w:val="21"/>
                <w:szCs w:val="21"/>
                <w:u w:val="none"/>
              </w:rPr>
            </w:pPr>
          </w:p>
        </w:tc>
      </w:tr>
      <w:tr w14:paraId="729F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9479" w:type="dxa"/>
            <w:gridSpan w:val="7"/>
            <w:tcBorders>
              <w:top w:val="single" w:color="000000" w:sz="4" w:space="0"/>
              <w:left w:val="single" w:color="000000" w:sz="4" w:space="0"/>
              <w:bottom w:val="single" w:color="000000" w:sz="4" w:space="0"/>
              <w:right w:val="single" w:color="000000" w:sz="4" w:space="0"/>
            </w:tcBorders>
            <w:noWrap w:val="0"/>
            <w:vAlign w:val="center"/>
          </w:tcPr>
          <w:p w14:paraId="230F4ACD">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注：通过的打“√”；未通过的打“×”</w:t>
            </w:r>
          </w:p>
        </w:tc>
      </w:tr>
      <w:tr w14:paraId="1210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 w:hRule="atLeast"/>
          <w:jc w:val="center"/>
        </w:trPr>
        <w:tc>
          <w:tcPr>
            <w:tcW w:w="9479" w:type="dxa"/>
            <w:gridSpan w:val="7"/>
            <w:tcBorders>
              <w:top w:val="single" w:color="000000" w:sz="4" w:space="0"/>
              <w:left w:val="single" w:color="000000" w:sz="4" w:space="0"/>
              <w:bottom w:val="single" w:color="000000" w:sz="4" w:space="0"/>
              <w:right w:val="single" w:color="000000" w:sz="4" w:space="0"/>
            </w:tcBorders>
            <w:noWrap w:val="0"/>
            <w:vAlign w:val="center"/>
          </w:tcPr>
          <w:p w14:paraId="503677B4">
            <w:pP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b/>
                <w:color w:val="auto"/>
                <w:sz w:val="22"/>
                <w:szCs w:val="15"/>
                <w:highlight w:val="none"/>
              </w:rPr>
              <w:t>评标委员会成员签名：</w:t>
            </w:r>
          </w:p>
        </w:tc>
      </w:tr>
      <w:tr w14:paraId="0BBA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479" w:type="dxa"/>
            <w:gridSpan w:val="7"/>
            <w:tcBorders>
              <w:top w:val="single" w:color="000000" w:sz="4" w:space="0"/>
              <w:left w:val="single" w:color="000000" w:sz="4" w:space="0"/>
              <w:bottom w:val="single" w:color="000000" w:sz="4" w:space="0"/>
              <w:right w:val="single" w:color="000000" w:sz="4" w:space="0"/>
            </w:tcBorders>
            <w:noWrap w:val="0"/>
            <w:vAlign w:val="center"/>
          </w:tcPr>
          <w:p w14:paraId="0DE2C463">
            <w:pPr>
              <w:keepNext w:val="0"/>
              <w:keepLines w:val="0"/>
              <w:widowControl/>
              <w:suppressLineNumbers w:val="0"/>
              <w:spacing w:line="240" w:lineRule="auto"/>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color w:val="auto"/>
                <w:sz w:val="21"/>
                <w:szCs w:val="13"/>
                <w:highlight w:val="none"/>
              </w:rPr>
              <w:t>备注：如果响应文件中有一项未通过上述审查标准，评标委员会将认定整个响应文件不响应</w:t>
            </w:r>
            <w:r>
              <w:rPr>
                <w:rFonts w:hint="eastAsia" w:ascii="仿宋" w:hAnsi="仿宋" w:eastAsia="仿宋" w:cs="仿宋"/>
                <w:color w:val="auto"/>
                <w:sz w:val="21"/>
                <w:szCs w:val="13"/>
                <w:highlight w:val="none"/>
                <w:lang w:eastAsia="zh-CN"/>
              </w:rPr>
              <w:t>招标</w:t>
            </w:r>
            <w:r>
              <w:rPr>
                <w:rFonts w:hint="eastAsia" w:ascii="仿宋" w:hAnsi="仿宋" w:eastAsia="仿宋" w:cs="仿宋"/>
                <w:color w:val="auto"/>
                <w:sz w:val="21"/>
                <w:szCs w:val="13"/>
                <w:highlight w:val="none"/>
              </w:rPr>
              <w:t>文件而予以废标，并且不允许供应商通过修改或撤销其不符合要求的差异或保留，使之成为具有响应性的投标。</w:t>
            </w:r>
          </w:p>
        </w:tc>
      </w:tr>
    </w:tbl>
    <w:p w14:paraId="06EB4A2D">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br w:type="page"/>
      </w:r>
    </w:p>
    <w:p w14:paraId="089A4EE0">
      <w:pPr>
        <w:widowControl/>
        <w:adjustRightInd w:val="0"/>
        <w:snapToGrid w:val="0"/>
        <w:spacing w:line="24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8"/>
          <w:szCs w:val="28"/>
          <w:lang w:eastAsia="zh-CN"/>
        </w:rPr>
        <w:t>附表</w:t>
      </w: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4"/>
          <w:szCs w:val="24"/>
          <w:lang w:val="en-US" w:eastAsia="zh-CN"/>
        </w:rPr>
        <w:t xml:space="preserve">                  </w:t>
      </w:r>
    </w:p>
    <w:p w14:paraId="0F3B52AA">
      <w:pPr>
        <w:widowControl/>
        <w:adjustRightInd w:val="0"/>
        <w:snapToGrid w:val="0"/>
        <w:spacing w:line="240" w:lineRule="auto"/>
        <w:jc w:val="center"/>
        <w:rPr>
          <w:rFonts w:hint="eastAsia" w:ascii="仿宋" w:hAnsi="仿宋" w:eastAsia="仿宋" w:cs="仿宋"/>
          <w:b/>
          <w:bCs w:val="0"/>
          <w:color w:val="auto"/>
          <w:kern w:val="0"/>
          <w:sz w:val="32"/>
          <w:szCs w:val="32"/>
          <w:lang w:val="en-US" w:eastAsia="zh-CN"/>
        </w:rPr>
      </w:pPr>
      <w:r>
        <w:rPr>
          <w:rFonts w:hint="eastAsia" w:ascii="仿宋" w:hAnsi="仿宋" w:eastAsia="仿宋" w:cs="仿宋"/>
          <w:b/>
          <w:bCs w:val="0"/>
          <w:color w:val="auto"/>
          <w:kern w:val="0"/>
          <w:sz w:val="32"/>
          <w:szCs w:val="32"/>
          <w:lang w:val="en-US" w:eastAsia="zh-CN"/>
        </w:rPr>
        <w:t>投标文件详细评分表</w:t>
      </w:r>
    </w:p>
    <w:p w14:paraId="63463639">
      <w:pPr>
        <w:tabs>
          <w:tab w:val="left" w:pos="7640"/>
        </w:tabs>
        <w:bidi w:val="0"/>
        <w:jc w:val="left"/>
        <w:rPr>
          <w:rFonts w:hint="eastAsia" w:ascii="仿宋" w:hAnsi="仿宋" w:eastAsia="仿宋" w:cs="仿宋"/>
          <w:lang w:val="en-US" w:eastAsia="zh-CN"/>
        </w:rPr>
      </w:pPr>
    </w:p>
    <w:tbl>
      <w:tblPr>
        <w:tblStyle w:val="46"/>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6518"/>
        <w:gridCol w:w="1031"/>
      </w:tblGrid>
      <w:tr w14:paraId="5FA5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14:paraId="18F8CAF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评分项目</w:t>
            </w:r>
          </w:p>
        </w:tc>
        <w:tc>
          <w:tcPr>
            <w:tcW w:w="1245" w:type="dxa"/>
            <w:noWrap w:val="0"/>
            <w:vAlign w:val="center"/>
          </w:tcPr>
          <w:p w14:paraId="4FC8140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评分因素</w:t>
            </w:r>
          </w:p>
        </w:tc>
        <w:tc>
          <w:tcPr>
            <w:tcW w:w="6518" w:type="dxa"/>
            <w:noWrap w:val="0"/>
            <w:vAlign w:val="center"/>
          </w:tcPr>
          <w:p w14:paraId="201B9F5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评审内容</w:t>
            </w:r>
          </w:p>
        </w:tc>
        <w:tc>
          <w:tcPr>
            <w:tcW w:w="1031" w:type="dxa"/>
            <w:noWrap w:val="0"/>
            <w:vAlign w:val="center"/>
          </w:tcPr>
          <w:p w14:paraId="5C5A5FE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分值</w:t>
            </w:r>
          </w:p>
        </w:tc>
      </w:tr>
      <w:tr w14:paraId="09DC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07" w:type="dxa"/>
            <w:noWrap w:val="0"/>
            <w:vAlign w:val="center"/>
          </w:tcPr>
          <w:p w14:paraId="3E869880">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价格部分（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0分）</w:t>
            </w:r>
          </w:p>
        </w:tc>
        <w:tc>
          <w:tcPr>
            <w:tcW w:w="1245" w:type="dxa"/>
            <w:noWrap w:val="0"/>
            <w:vAlign w:val="center"/>
          </w:tcPr>
          <w:p w14:paraId="0E2A6512">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w:t>
            </w:r>
          </w:p>
        </w:tc>
        <w:tc>
          <w:tcPr>
            <w:tcW w:w="6518" w:type="dxa"/>
            <w:noWrap w:val="0"/>
            <w:vAlign w:val="center"/>
          </w:tcPr>
          <w:p w14:paraId="44A2C67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价格分采用低价优先法计算，即满足本招标文件要求的最低投标报价为评标基准价，其价格分为满分，其它投标人的价格分统一按照下列公式计算：</w:t>
            </w:r>
          </w:p>
          <w:p w14:paraId="553B0758">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投标报价得分=（评标基准价／投标报价）×价格分分值（精确到小数点后两位）。</w:t>
            </w:r>
          </w:p>
          <w:p w14:paraId="5CC2900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超过了采购项目预算或最高限价的，为无效投标。</w:t>
            </w:r>
          </w:p>
        </w:tc>
        <w:tc>
          <w:tcPr>
            <w:tcW w:w="1031" w:type="dxa"/>
            <w:noWrap w:val="0"/>
            <w:vAlign w:val="center"/>
          </w:tcPr>
          <w:p w14:paraId="75FB57F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30</w:t>
            </w:r>
          </w:p>
        </w:tc>
      </w:tr>
      <w:tr w14:paraId="60F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7" w:type="dxa"/>
            <w:vMerge w:val="restart"/>
            <w:shd w:val="clear" w:color="auto" w:fill="auto"/>
            <w:noWrap w:val="0"/>
            <w:vAlign w:val="center"/>
          </w:tcPr>
          <w:p w14:paraId="51595EF6">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商务部分（</w:t>
            </w:r>
            <w:r>
              <w:rPr>
                <w:rFonts w:hint="eastAsia" w:ascii="仿宋" w:hAnsi="仿宋" w:eastAsia="仿宋" w:cs="仿宋"/>
                <w:color w:val="auto"/>
                <w:kern w:val="0"/>
                <w:sz w:val="24"/>
                <w:szCs w:val="24"/>
                <w:lang w:val="en-US" w:eastAsia="zh-CN"/>
              </w:rPr>
              <w:t>13</w:t>
            </w:r>
            <w:r>
              <w:rPr>
                <w:rFonts w:hint="eastAsia" w:ascii="仿宋" w:hAnsi="仿宋" w:eastAsia="仿宋" w:cs="仿宋"/>
                <w:color w:val="auto"/>
                <w:kern w:val="0"/>
                <w:sz w:val="24"/>
                <w:szCs w:val="24"/>
              </w:rPr>
              <w:t>分）</w:t>
            </w:r>
          </w:p>
        </w:tc>
        <w:tc>
          <w:tcPr>
            <w:tcW w:w="1245" w:type="dxa"/>
            <w:shd w:val="clear" w:color="auto" w:fill="auto"/>
            <w:noWrap w:val="0"/>
            <w:vAlign w:val="center"/>
          </w:tcPr>
          <w:p w14:paraId="5DF9C279">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w:t>
            </w:r>
          </w:p>
          <w:p w14:paraId="19B9B0A3">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业绩</w:t>
            </w:r>
          </w:p>
        </w:tc>
        <w:tc>
          <w:tcPr>
            <w:tcW w:w="6518" w:type="dxa"/>
            <w:shd w:val="clear" w:color="auto" w:fill="auto"/>
            <w:noWrap w:val="0"/>
            <w:vAlign w:val="center"/>
          </w:tcPr>
          <w:p w14:paraId="06A2D96E">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提供近五年内完成移动执法行业等成功案例合同复印件。每提供一个得1分，本项最高5分。</w:t>
            </w:r>
          </w:p>
        </w:tc>
        <w:tc>
          <w:tcPr>
            <w:tcW w:w="1031" w:type="dxa"/>
            <w:shd w:val="clear" w:color="000000" w:fill="FFFFFF"/>
            <w:noWrap w:val="0"/>
            <w:vAlign w:val="center"/>
          </w:tcPr>
          <w:p w14:paraId="553A872D">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6C07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Merge w:val="continue"/>
            <w:shd w:val="clear" w:color="auto" w:fill="auto"/>
            <w:noWrap w:val="0"/>
            <w:vAlign w:val="center"/>
          </w:tcPr>
          <w:p w14:paraId="0CEBF114">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shd w:val="clear" w:color="auto" w:fill="auto"/>
            <w:noWrap w:val="0"/>
            <w:vAlign w:val="center"/>
          </w:tcPr>
          <w:p w14:paraId="78D49792">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履约能力</w:t>
            </w:r>
          </w:p>
        </w:tc>
        <w:tc>
          <w:tcPr>
            <w:tcW w:w="6518" w:type="dxa"/>
            <w:shd w:val="clear" w:color="auto" w:fill="auto"/>
            <w:noWrap w:val="0"/>
            <w:vAlign w:val="center"/>
          </w:tcPr>
          <w:p w14:paraId="5CE8AE57">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SA"/>
              </w:rPr>
              <w:t>项目实施详细计划：为本项目提供包括但不限于项目实施计划、关键路径、进度计划、交付物清单、验收标准、项目实施过程中可能出现的技术风险、管理风险、进度和安全风险等实施内容，完全满足要求得8分，每有1项缺失或偏差的扣1分，扣完为止。</w:t>
            </w:r>
          </w:p>
        </w:tc>
        <w:tc>
          <w:tcPr>
            <w:tcW w:w="1031" w:type="dxa"/>
            <w:shd w:val="clear" w:color="000000" w:fill="FFFFFF"/>
            <w:noWrap w:val="0"/>
            <w:vAlign w:val="center"/>
          </w:tcPr>
          <w:p w14:paraId="66CCC460">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8</w:t>
            </w:r>
          </w:p>
        </w:tc>
      </w:tr>
      <w:tr w14:paraId="652F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restart"/>
            <w:noWrap w:val="0"/>
            <w:vAlign w:val="center"/>
          </w:tcPr>
          <w:p w14:paraId="141C479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技术部分(</w:t>
            </w:r>
            <w:r>
              <w:rPr>
                <w:rFonts w:hint="eastAsia" w:ascii="仿宋" w:hAnsi="仿宋" w:eastAsia="仿宋" w:cs="仿宋"/>
                <w:color w:val="auto"/>
                <w:kern w:val="0"/>
                <w:sz w:val="24"/>
                <w:szCs w:val="24"/>
                <w:lang w:val="en-US" w:eastAsia="zh-CN"/>
              </w:rPr>
              <w:t>57</w:t>
            </w:r>
            <w:r>
              <w:rPr>
                <w:rFonts w:hint="eastAsia" w:ascii="仿宋" w:hAnsi="仿宋" w:eastAsia="仿宋" w:cs="仿宋"/>
                <w:color w:val="auto"/>
                <w:kern w:val="0"/>
                <w:sz w:val="24"/>
                <w:szCs w:val="24"/>
              </w:rPr>
              <w:t>分)</w:t>
            </w:r>
          </w:p>
        </w:tc>
        <w:tc>
          <w:tcPr>
            <w:tcW w:w="1245" w:type="dxa"/>
            <w:tcBorders>
              <w:bottom w:val="single" w:color="auto" w:sz="4" w:space="0"/>
            </w:tcBorders>
            <w:noWrap w:val="0"/>
            <w:vAlign w:val="center"/>
          </w:tcPr>
          <w:p w14:paraId="36822578">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技术参数要求</w:t>
            </w:r>
          </w:p>
        </w:tc>
        <w:tc>
          <w:tcPr>
            <w:tcW w:w="6518" w:type="dxa"/>
            <w:tcBorders>
              <w:bottom w:val="single" w:color="auto" w:sz="4" w:space="0"/>
            </w:tcBorders>
            <w:noWrap w:val="0"/>
            <w:vAlign w:val="center"/>
          </w:tcPr>
          <w:p w14:paraId="28E09EB7">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对本项目服务需求中要求的标“★”项核心服务内容进行评分（须提供证明材料或承诺函），每缺漏1项扣2分，扣完为止。未标有“★”项参数，每有一项不满足或偏离的扣1分,扣完为止。</w:t>
            </w:r>
          </w:p>
        </w:tc>
        <w:tc>
          <w:tcPr>
            <w:tcW w:w="1031" w:type="dxa"/>
            <w:tcBorders>
              <w:bottom w:val="single" w:color="auto" w:sz="4" w:space="0"/>
            </w:tcBorders>
            <w:noWrap w:val="0"/>
            <w:vAlign w:val="center"/>
          </w:tcPr>
          <w:p w14:paraId="0A97F0EA">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30</w:t>
            </w:r>
          </w:p>
        </w:tc>
      </w:tr>
      <w:tr w14:paraId="467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continue"/>
            <w:noWrap w:val="0"/>
            <w:vAlign w:val="center"/>
          </w:tcPr>
          <w:p w14:paraId="0A5A9FA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p>
        </w:tc>
        <w:tc>
          <w:tcPr>
            <w:tcW w:w="1245" w:type="dxa"/>
            <w:tcBorders>
              <w:bottom w:val="single" w:color="auto" w:sz="4" w:space="0"/>
            </w:tcBorders>
            <w:noWrap w:val="0"/>
            <w:vAlign w:val="center"/>
          </w:tcPr>
          <w:p w14:paraId="3FCBA067">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rPr>
              <w:t>需求分析</w:t>
            </w:r>
          </w:p>
        </w:tc>
        <w:tc>
          <w:tcPr>
            <w:tcW w:w="6518" w:type="dxa"/>
            <w:tcBorders>
              <w:bottom w:val="single" w:color="auto" w:sz="4" w:space="0"/>
            </w:tcBorders>
            <w:noWrap w:val="0"/>
            <w:vAlign w:val="center"/>
          </w:tcPr>
          <w:p w14:paraId="48F9137B">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SA"/>
              </w:rPr>
              <w:t>对招标部分面临的移动执法终端的运行保障和维修替换服务、管理平台运维服务、应用功能提升完善服务、安全管控能力服务有及其深刻的理解和分析。完全满足要求得8分，每有1项缺失或偏差的扣2分，扣完为止。</w:t>
            </w:r>
          </w:p>
        </w:tc>
        <w:tc>
          <w:tcPr>
            <w:tcW w:w="1031" w:type="dxa"/>
            <w:tcBorders>
              <w:bottom w:val="single" w:color="auto" w:sz="4" w:space="0"/>
            </w:tcBorders>
            <w:noWrap w:val="0"/>
            <w:vAlign w:val="center"/>
          </w:tcPr>
          <w:p w14:paraId="43326F86">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8</w:t>
            </w:r>
          </w:p>
        </w:tc>
      </w:tr>
      <w:tr w14:paraId="2623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07" w:type="dxa"/>
            <w:vMerge w:val="continue"/>
            <w:noWrap w:val="0"/>
            <w:vAlign w:val="center"/>
          </w:tcPr>
          <w:p w14:paraId="3B6CA1BC">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32A01A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增值服务</w:t>
            </w:r>
          </w:p>
        </w:tc>
        <w:tc>
          <w:tcPr>
            <w:tcW w:w="6518" w:type="dxa"/>
            <w:noWrap w:val="0"/>
            <w:vAlign w:val="center"/>
          </w:tcPr>
          <w:p w14:paraId="13639D96">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仿宋" w:hAnsi="仿宋" w:eastAsia="仿宋" w:cs="仿宋"/>
                <w:color w:val="FF0000"/>
                <w:lang w:val="en-US" w:eastAsia="zh-CN"/>
              </w:rPr>
            </w:pPr>
            <w:r>
              <w:rPr>
                <w:rFonts w:hint="eastAsia" w:ascii="仿宋" w:hAnsi="仿宋" w:eastAsia="仿宋" w:cs="仿宋"/>
                <w:b w:val="0"/>
                <w:bCs w:val="0"/>
                <w:color w:val="auto"/>
                <w:kern w:val="0"/>
                <w:sz w:val="24"/>
                <w:szCs w:val="24"/>
                <w:lang w:val="en-US" w:eastAsia="zh-CN" w:bidi="ar-SA"/>
              </w:rPr>
              <w:t>在满足项目参数需求的基础上，对“</w:t>
            </w:r>
            <w:r>
              <w:rPr>
                <w:rFonts w:hint="eastAsia" w:ascii="仿宋" w:hAnsi="仿宋" w:eastAsia="仿宋" w:cs="仿宋"/>
                <w:b w:val="0"/>
                <w:bCs w:val="0"/>
                <w:i w:val="0"/>
                <w:iCs w:val="0"/>
                <w:color w:val="000000"/>
                <w:kern w:val="0"/>
                <w:sz w:val="20"/>
                <w:szCs w:val="20"/>
                <w:u w:val="none"/>
                <w:lang w:val="en-US" w:eastAsia="zh-CN" w:bidi="ar"/>
              </w:rPr>
              <w:t>▲</w:t>
            </w:r>
            <w:r>
              <w:rPr>
                <w:rFonts w:hint="eastAsia" w:ascii="仿宋" w:hAnsi="仿宋" w:eastAsia="仿宋" w:cs="仿宋"/>
                <w:b w:val="0"/>
                <w:bCs w:val="0"/>
                <w:color w:val="auto"/>
                <w:kern w:val="0"/>
                <w:sz w:val="24"/>
                <w:szCs w:val="24"/>
                <w:lang w:val="en-US" w:eastAsia="zh-CN" w:bidi="ar-SA"/>
              </w:rPr>
              <w:t>”项服务内容性能每满足一个正偏离增加1分，满分6分。</w:t>
            </w:r>
          </w:p>
        </w:tc>
        <w:tc>
          <w:tcPr>
            <w:tcW w:w="1031" w:type="dxa"/>
            <w:noWrap w:val="0"/>
            <w:vAlign w:val="center"/>
          </w:tcPr>
          <w:p w14:paraId="2E1BFCD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color w:val="auto"/>
                <w:kern w:val="0"/>
                <w:sz w:val="24"/>
                <w:szCs w:val="24"/>
                <w:lang w:val="en-US" w:eastAsia="zh-CN"/>
              </w:rPr>
              <w:t>6</w:t>
            </w:r>
          </w:p>
        </w:tc>
      </w:tr>
      <w:tr w14:paraId="6B65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701A3F92">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vMerge w:val="restart"/>
            <w:noWrap w:val="0"/>
            <w:vAlign w:val="center"/>
          </w:tcPr>
          <w:p w14:paraId="3821A60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售后服务</w:t>
            </w:r>
            <w:r>
              <w:rPr>
                <w:rFonts w:hint="eastAsia" w:ascii="仿宋" w:hAnsi="仿宋" w:eastAsia="仿宋" w:cs="仿宋"/>
                <w:color w:val="auto"/>
                <w:kern w:val="0"/>
                <w:sz w:val="24"/>
                <w:szCs w:val="24"/>
              </w:rPr>
              <w:t>方案</w:t>
            </w:r>
          </w:p>
        </w:tc>
        <w:tc>
          <w:tcPr>
            <w:tcW w:w="6518" w:type="dxa"/>
            <w:noWrap w:val="0"/>
            <w:vAlign w:val="center"/>
          </w:tcPr>
          <w:p w14:paraId="1050519D">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方案内容包括但不限于①质量保证承诺、②免费维保期限及内容（至少3年）、③维保方式、④全疆维保体系（需包含所有区域上门维护方式）、⑤安全承诺（维修过程中保证终端、内部程序数据安全及不得进行非授权操作的条款）、⑥远程系统升级等、⑦大众市场“三包服务”常规内容。</w:t>
            </w:r>
          </w:p>
          <w:p w14:paraId="4DDDF8CD">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每提供一项得0.5分，每一项提供不全得0.3分，本项满分3.5分 。</w:t>
            </w:r>
          </w:p>
        </w:tc>
        <w:tc>
          <w:tcPr>
            <w:tcW w:w="1031" w:type="dxa"/>
            <w:noWrap w:val="0"/>
            <w:vAlign w:val="center"/>
          </w:tcPr>
          <w:p w14:paraId="73FCF23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w:t>
            </w:r>
          </w:p>
        </w:tc>
      </w:tr>
      <w:tr w14:paraId="6A31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14:paraId="10B726F3">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vMerge w:val="continue"/>
            <w:noWrap w:val="0"/>
            <w:vAlign w:val="center"/>
          </w:tcPr>
          <w:p w14:paraId="43C78C5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p>
        </w:tc>
        <w:tc>
          <w:tcPr>
            <w:tcW w:w="6518" w:type="dxa"/>
            <w:noWrap w:val="0"/>
            <w:vAlign w:val="center"/>
          </w:tcPr>
          <w:p w14:paraId="1B9CD66C">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服务响应时间评比（2.5分）：</w:t>
            </w:r>
          </w:p>
          <w:p w14:paraId="598B867F">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1、质保期内2小时响应，12小时内到达设备使用现场，24小时内免费完成维修服务，对于非人为损坏的产品予以免费更换或维修，得2.5分。</w:t>
            </w:r>
          </w:p>
          <w:p w14:paraId="61354074">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2、质保期内6小时响应，24小时内到达设备使用现场，48小时内免费完成维修服务，对于非人为损坏的产品予以免费更换或维修，得1.5分。</w:t>
            </w:r>
          </w:p>
          <w:p w14:paraId="1F1C6067">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3、质保期内超过6小时响应，48小时内未到达设备使用现场的得1分。</w:t>
            </w:r>
          </w:p>
          <w:p w14:paraId="1E5AB2E0">
            <w:pPr>
              <w:keepNext w:val="0"/>
              <w:keepLines w:val="0"/>
              <w:pageBreakBefore w:val="0"/>
              <w:widowControl/>
              <w:kinsoku/>
              <w:wordWrap/>
              <w:overflowPunct/>
              <w:topLinePunct w:val="0"/>
              <w:autoSpaceDE/>
              <w:autoSpaceDN/>
              <w:bidi w:val="0"/>
              <w:adjustRightInd w:val="0"/>
              <w:snapToGrid w:val="0"/>
              <w:textAlignment w:val="auto"/>
              <w:rPr>
                <w:rFonts w:hint="eastAsia" w:ascii="仿宋" w:hAnsi="仿宋" w:eastAsia="仿宋" w:cs="仿宋"/>
                <w:lang w:val="en-US" w:eastAsia="zh-CN"/>
              </w:rPr>
            </w:pPr>
            <w:r>
              <w:rPr>
                <w:rFonts w:hint="eastAsia" w:ascii="仿宋" w:hAnsi="仿宋" w:eastAsia="仿宋" w:cs="仿宋"/>
                <w:color w:val="auto"/>
                <w:kern w:val="0"/>
                <w:sz w:val="24"/>
                <w:szCs w:val="24"/>
                <w:lang w:val="en-US" w:eastAsia="zh-CN" w:bidi="ar-SA"/>
              </w:rPr>
              <w:t>4、没有提供服务响应内容的均不得分。</w:t>
            </w:r>
          </w:p>
        </w:tc>
        <w:tc>
          <w:tcPr>
            <w:tcW w:w="1031" w:type="dxa"/>
            <w:noWrap w:val="0"/>
            <w:vAlign w:val="center"/>
          </w:tcPr>
          <w:p w14:paraId="69235A4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r>
      <w:tr w14:paraId="4D2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19E1553F">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24EBB2B6">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退换货方案</w:t>
            </w:r>
          </w:p>
        </w:tc>
        <w:tc>
          <w:tcPr>
            <w:tcW w:w="6518" w:type="dxa"/>
            <w:noWrap w:val="0"/>
            <w:vAlign w:val="center"/>
          </w:tcPr>
          <w:p w14:paraId="4DA8679C">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SA"/>
              </w:rPr>
              <w:t>供应商有明确地针对配送产品质量存在的问题时的退换货方案，①退换货方式②保证措施。全部提供得1分，每缺少一项扣0.5分。每有1项内容存在不足（指内容不全面或不完善、与项目实际不匹配或存在偏差、内容缺乏逻辑性等）扣0.5分，扣完为止。</w:t>
            </w:r>
          </w:p>
        </w:tc>
        <w:tc>
          <w:tcPr>
            <w:tcW w:w="1031" w:type="dxa"/>
            <w:noWrap w:val="0"/>
            <w:vAlign w:val="center"/>
          </w:tcPr>
          <w:p w14:paraId="236AE24A">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r>
      <w:tr w14:paraId="1090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7A5EA915">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2807AA04">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质量保证措施</w:t>
            </w:r>
          </w:p>
        </w:tc>
        <w:tc>
          <w:tcPr>
            <w:tcW w:w="6518" w:type="dxa"/>
            <w:noWrap w:val="0"/>
            <w:vAlign w:val="center"/>
          </w:tcPr>
          <w:p w14:paraId="7C38FFE1">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供应商有明确的①项目质量的保障措施方案，能够持续提供完整、优质后续服务；②工作安排满足任务要求，进度安排合理；全面提供得1分，每缺少1项扣0.5分。每有1处内容存在不足（指内容不全面或不完善、与项目实际不匹配或存在偏差、内容缺乏逻辑性等）扣0.5分，扣完为止。</w:t>
            </w:r>
          </w:p>
        </w:tc>
        <w:tc>
          <w:tcPr>
            <w:tcW w:w="1031" w:type="dxa"/>
            <w:noWrap w:val="0"/>
            <w:vAlign w:val="center"/>
          </w:tcPr>
          <w:p w14:paraId="1B9FD1FE">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r>
      <w:tr w14:paraId="3B5A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32FB5511">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41F67A8A">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保密措施</w:t>
            </w:r>
          </w:p>
        </w:tc>
        <w:tc>
          <w:tcPr>
            <w:tcW w:w="6518" w:type="dxa"/>
            <w:noWrap w:val="0"/>
            <w:vAlign w:val="center"/>
          </w:tcPr>
          <w:p w14:paraId="51317382">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对所知的项目相关信息保密，并在项目执行过程中全程提供安全保密措施，制定安全保密方案，保证信息不外泄且保密措施完善、保密方案安全度高得1分，保密方案及措施有缺失得0.5分，较差或有泄密风险得0分。</w:t>
            </w:r>
          </w:p>
        </w:tc>
        <w:tc>
          <w:tcPr>
            <w:tcW w:w="1031" w:type="dxa"/>
            <w:noWrap w:val="0"/>
            <w:vAlign w:val="center"/>
          </w:tcPr>
          <w:p w14:paraId="326A6DA2">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r>
      <w:tr w14:paraId="39F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14:paraId="45C6C287">
            <w:pPr>
              <w:keepNext w:val="0"/>
              <w:keepLines w:val="0"/>
              <w:pageBreakBefore w:val="0"/>
              <w:kinsoku/>
              <w:wordWrap/>
              <w:overflowPunct/>
              <w:topLinePunct w:val="0"/>
              <w:autoSpaceDE/>
              <w:autoSpaceDN/>
              <w:bidi w:val="0"/>
              <w:adjustRightInd w:val="0"/>
              <w:snapToGrid w:val="0"/>
              <w:jc w:val="left"/>
              <w:textAlignment w:val="auto"/>
              <w:rPr>
                <w:rFonts w:hint="eastAsia" w:ascii="仿宋" w:hAnsi="仿宋" w:eastAsia="仿宋" w:cs="仿宋"/>
                <w:color w:val="auto"/>
                <w:kern w:val="0"/>
                <w:sz w:val="24"/>
                <w:szCs w:val="24"/>
              </w:rPr>
            </w:pPr>
          </w:p>
        </w:tc>
        <w:tc>
          <w:tcPr>
            <w:tcW w:w="1245" w:type="dxa"/>
            <w:noWrap w:val="0"/>
            <w:vAlign w:val="center"/>
          </w:tcPr>
          <w:p w14:paraId="377FDC0C">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人员配置</w:t>
            </w:r>
          </w:p>
          <w:p w14:paraId="14F3766D">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bidi="ar-SA"/>
              </w:rPr>
            </w:pPr>
          </w:p>
        </w:tc>
        <w:tc>
          <w:tcPr>
            <w:tcW w:w="6518" w:type="dxa"/>
            <w:noWrap w:val="0"/>
            <w:vAlign w:val="center"/>
          </w:tcPr>
          <w:p w14:paraId="6DCF39A7">
            <w:pPr>
              <w:keepNext w:val="0"/>
              <w:keepLines w:val="0"/>
              <w:pageBreakBefore w:val="0"/>
              <w:widowControl/>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1、项目经理资质：持有PMP或信息系统项目管理师等证书，提供得2分，最高2分。</w:t>
            </w:r>
          </w:p>
          <w:p w14:paraId="44C6825B">
            <w:pPr>
              <w:pStyle w:val="20"/>
              <w:keepNext w:val="0"/>
              <w:keepLines w:val="0"/>
              <w:pageBreakBefore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cs="仿宋"/>
                <w:color w:val="auto"/>
                <w:lang w:val="en-US" w:eastAsia="zh-CN"/>
              </w:rPr>
            </w:pPr>
            <w:r>
              <w:rPr>
                <w:rFonts w:hint="eastAsia" w:ascii="仿宋" w:hAnsi="仿宋" w:eastAsia="仿宋" w:cs="仿宋"/>
                <w:color w:val="auto"/>
                <w:kern w:val="0"/>
                <w:sz w:val="24"/>
                <w:szCs w:val="24"/>
                <w:lang w:val="en-US" w:eastAsia="zh-CN" w:bidi="ar-SA"/>
              </w:rPr>
              <w:t>2、技术团队资质：团队成员5人，具备注册信息安全保障人员资质（CISAW）、ITSS运维服务经理证书、注册信息安全专业人员（CISP）、通信工程师（传输技术）证书，每提供一个认证得1分，最高得2分。</w:t>
            </w:r>
          </w:p>
          <w:p w14:paraId="3E4A4C8E">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0"/>
                <w:sz w:val="24"/>
                <w:szCs w:val="24"/>
                <w:lang w:val="en-US" w:eastAsia="zh-CN" w:bidi="ar-SA"/>
              </w:rPr>
              <w:t>（备注：项目组人员应为投标人正式员工，除提供上述证书外，还须提供投标人近3个月为其缴纳社保的证明材料（依法享受免缴或缓缴的提供税务机关证明材料））</w:t>
            </w:r>
          </w:p>
        </w:tc>
        <w:tc>
          <w:tcPr>
            <w:tcW w:w="1031" w:type="dxa"/>
            <w:noWrap w:val="0"/>
            <w:vAlign w:val="center"/>
          </w:tcPr>
          <w:p w14:paraId="43208FC8">
            <w:pPr>
              <w:keepNext w:val="0"/>
              <w:keepLines w:val="0"/>
              <w:pageBreakBefore w:val="0"/>
              <w:kinsoku/>
              <w:wordWrap/>
              <w:overflowPunct/>
              <w:topLinePunct w:val="0"/>
              <w:autoSpaceDE/>
              <w:autoSpaceDN/>
              <w:bidi w:val="0"/>
              <w:adjustRightInd w:val="0"/>
              <w:snapToGrid w:val="0"/>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w:t>
            </w:r>
          </w:p>
        </w:tc>
      </w:tr>
    </w:tbl>
    <w:p w14:paraId="358DAC41">
      <w:pPr>
        <w:rPr>
          <w:rFonts w:hint="eastAsia" w:ascii="仿宋" w:hAnsi="仿宋" w:eastAsia="仿宋" w:cs="仿宋"/>
          <w:b/>
          <w:bCs/>
          <w:color w:val="auto"/>
          <w:sz w:val="36"/>
          <w:szCs w:val="56"/>
          <w:highlight w:val="none"/>
          <w:lang w:val="en-US" w:eastAsia="zh-CN"/>
        </w:rPr>
      </w:pPr>
    </w:p>
    <w:p w14:paraId="716D0E2C">
      <w:pPr>
        <w:rPr>
          <w:rFonts w:hint="eastAsia" w:ascii="仿宋" w:hAnsi="仿宋" w:eastAsia="仿宋" w:cs="仿宋"/>
          <w:b/>
          <w:bCs/>
          <w:color w:val="auto"/>
          <w:sz w:val="36"/>
          <w:szCs w:val="56"/>
          <w:highlight w:val="none"/>
          <w:lang w:val="en-US" w:eastAsia="zh-CN"/>
        </w:rPr>
      </w:pPr>
      <w:r>
        <w:rPr>
          <w:rFonts w:hint="eastAsia" w:ascii="仿宋" w:hAnsi="仿宋" w:eastAsia="仿宋" w:cs="仿宋"/>
          <w:b/>
          <w:bCs/>
          <w:color w:val="auto"/>
          <w:sz w:val="36"/>
          <w:szCs w:val="56"/>
          <w:highlight w:val="none"/>
          <w:lang w:val="en-US" w:eastAsia="zh-CN"/>
        </w:rPr>
        <w:br w:type="page"/>
      </w:r>
    </w:p>
    <w:p w14:paraId="196FBF82">
      <w:pPr>
        <w:numPr>
          <w:ilvl w:val="0"/>
          <w:numId w:val="0"/>
        </w:numPr>
        <w:jc w:val="center"/>
        <w:rPr>
          <w:rFonts w:hint="eastAsia" w:ascii="仿宋" w:hAnsi="仿宋" w:eastAsia="仿宋" w:cs="仿宋"/>
          <w:b/>
          <w:bCs/>
          <w:color w:val="auto"/>
          <w:sz w:val="36"/>
          <w:szCs w:val="56"/>
          <w:highlight w:val="none"/>
        </w:rPr>
      </w:pPr>
      <w:r>
        <w:rPr>
          <w:rFonts w:hint="eastAsia" w:ascii="仿宋" w:hAnsi="仿宋" w:eastAsia="仿宋" w:cs="仿宋"/>
          <w:b/>
          <w:bCs/>
          <w:color w:val="auto"/>
          <w:sz w:val="36"/>
          <w:szCs w:val="56"/>
          <w:highlight w:val="none"/>
          <w:lang w:val="en-US" w:eastAsia="zh-CN"/>
        </w:rPr>
        <w:t>第三章、</w:t>
      </w:r>
      <w:r>
        <w:rPr>
          <w:rFonts w:hint="eastAsia" w:ascii="仿宋" w:hAnsi="仿宋" w:eastAsia="仿宋" w:cs="仿宋"/>
          <w:b/>
          <w:bCs/>
          <w:color w:val="auto"/>
          <w:sz w:val="36"/>
          <w:szCs w:val="56"/>
          <w:highlight w:val="none"/>
        </w:rPr>
        <w:t>采购需求</w:t>
      </w:r>
      <w:bookmarkEnd w:id="67"/>
      <w:bookmarkEnd w:id="68"/>
      <w:bookmarkEnd w:id="69"/>
      <w:bookmarkEnd w:id="70"/>
      <w:bookmarkEnd w:id="71"/>
      <w:bookmarkStart w:id="86" w:name="_Toc18832"/>
      <w:bookmarkStart w:id="87" w:name="_Toc28817"/>
      <w:bookmarkStart w:id="88" w:name="_Toc25254"/>
      <w:bookmarkStart w:id="89" w:name="_Toc19723"/>
      <w:bookmarkStart w:id="90" w:name="_Toc20061"/>
      <w:bookmarkStart w:id="91" w:name="_Toc11973"/>
      <w:bookmarkStart w:id="92" w:name="_Toc19312"/>
      <w:bookmarkStart w:id="93" w:name="_Toc26060"/>
      <w:bookmarkStart w:id="94" w:name="_Toc13536"/>
      <w:bookmarkStart w:id="95" w:name="_Toc32237"/>
      <w:bookmarkStart w:id="96" w:name="_Toc7241"/>
      <w:bookmarkStart w:id="97" w:name="_Toc24194"/>
      <w:bookmarkStart w:id="98" w:name="_Toc700"/>
    </w:p>
    <w:p w14:paraId="351FF11C">
      <w:pPr>
        <w:jc w:val="center"/>
        <w:rPr>
          <w:rFonts w:hint="default" w:ascii="仿宋" w:hAnsi="仿宋" w:eastAsia="仿宋" w:cs="仿宋"/>
          <w:b w:val="0"/>
          <w:bCs w:val="0"/>
          <w:i w:val="0"/>
          <w:iCs w:val="0"/>
          <w:color w:val="000000"/>
          <w:sz w:val="20"/>
          <w:szCs w:val="20"/>
          <w:u w:val="none"/>
          <w:lang w:val="en-US" w:eastAsia="zh-CN"/>
        </w:rPr>
      </w:pPr>
      <w:r>
        <w:rPr>
          <w:rFonts w:hint="eastAsia" w:ascii="仿宋" w:hAnsi="仿宋" w:eastAsia="仿宋" w:cs="仿宋"/>
          <w:b/>
          <w:color w:val="000000" w:themeColor="text1"/>
          <w:sz w:val="32"/>
          <w:szCs w:val="32"/>
          <w:highlight w:val="none"/>
          <w:lang w:eastAsia="zh-CN"/>
          <w14:textFill>
            <w14:solidFill>
              <w14:schemeClr w14:val="tx1"/>
            </w14:solidFill>
          </w14:textFill>
        </w:rPr>
        <w:t>关于移动执法终端运维服务的项目</w:t>
      </w: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采购服务需求</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1532"/>
        <w:gridCol w:w="1298"/>
        <w:gridCol w:w="5165"/>
        <w:gridCol w:w="532"/>
        <w:gridCol w:w="778"/>
      </w:tblGrid>
      <w:tr w14:paraId="1B034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333" w:type="pct"/>
            <w:tcBorders>
              <w:bottom w:val="single" w:color="000000" w:sz="4" w:space="0"/>
              <w:right w:val="single" w:color="000000" w:sz="4" w:space="0"/>
            </w:tcBorders>
            <w:noWrap/>
            <w:vAlign w:val="center"/>
          </w:tcPr>
          <w:p w14:paraId="73160C6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1419" w:type="pct"/>
            <w:gridSpan w:val="2"/>
            <w:tcBorders>
              <w:left w:val="single" w:color="000000" w:sz="4" w:space="0"/>
              <w:bottom w:val="single" w:color="000000" w:sz="4" w:space="0"/>
              <w:right w:val="single" w:color="000000" w:sz="4" w:space="0"/>
            </w:tcBorders>
            <w:noWrap/>
            <w:vAlign w:val="center"/>
          </w:tcPr>
          <w:p w14:paraId="1EBE234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设备名称</w:t>
            </w:r>
          </w:p>
        </w:tc>
        <w:tc>
          <w:tcPr>
            <w:tcW w:w="2590" w:type="pct"/>
            <w:tcBorders>
              <w:left w:val="single" w:color="000000" w:sz="4" w:space="0"/>
              <w:bottom w:val="single" w:color="000000" w:sz="4" w:space="0"/>
              <w:right w:val="single" w:color="000000" w:sz="4" w:space="0"/>
            </w:tcBorders>
            <w:noWrap w:val="0"/>
            <w:vAlign w:val="center"/>
          </w:tcPr>
          <w:p w14:paraId="469E8125">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运维服务内容</w:t>
            </w:r>
          </w:p>
        </w:tc>
        <w:tc>
          <w:tcPr>
            <w:tcW w:w="266" w:type="pct"/>
            <w:tcBorders>
              <w:left w:val="single" w:color="000000" w:sz="4" w:space="0"/>
              <w:bottom w:val="single" w:color="000000" w:sz="4" w:space="0"/>
              <w:right w:val="single" w:color="000000" w:sz="4" w:space="0"/>
            </w:tcBorders>
            <w:noWrap w:val="0"/>
            <w:vAlign w:val="center"/>
          </w:tcPr>
          <w:p w14:paraId="1FEEA77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390" w:type="pct"/>
            <w:tcBorders>
              <w:left w:val="single" w:color="000000" w:sz="4" w:space="0"/>
              <w:bottom w:val="single" w:color="000000" w:sz="4" w:space="0"/>
            </w:tcBorders>
            <w:noWrap w:val="0"/>
            <w:vAlign w:val="center"/>
          </w:tcPr>
          <w:p w14:paraId="67B3392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数量</w:t>
            </w:r>
          </w:p>
        </w:tc>
      </w:tr>
      <w:tr w14:paraId="70722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noWrap/>
            <w:vAlign w:val="center"/>
          </w:tcPr>
          <w:p w14:paraId="1973D4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419" w:type="pct"/>
            <w:gridSpan w:val="2"/>
            <w:tcBorders>
              <w:top w:val="single" w:color="000000" w:sz="4" w:space="0"/>
              <w:left w:val="single" w:color="000000" w:sz="4" w:space="0"/>
              <w:bottom w:val="single" w:color="000000" w:sz="4" w:space="0"/>
              <w:right w:val="single" w:color="000000" w:sz="4" w:space="0"/>
            </w:tcBorders>
            <w:noWrap w:val="0"/>
            <w:vAlign w:val="center"/>
          </w:tcPr>
          <w:p w14:paraId="09E327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移动执法终端的运行保障及维修替换服务</w:t>
            </w:r>
          </w:p>
        </w:tc>
        <w:tc>
          <w:tcPr>
            <w:tcW w:w="2590" w:type="pct"/>
            <w:tcBorders>
              <w:top w:val="single" w:color="000000" w:sz="4" w:space="0"/>
              <w:left w:val="single" w:color="000000" w:sz="4" w:space="0"/>
              <w:bottom w:val="single" w:color="000000" w:sz="4" w:space="0"/>
              <w:right w:val="single" w:color="000000" w:sz="4" w:space="0"/>
            </w:tcBorders>
            <w:noWrap w:val="0"/>
            <w:vAlign w:val="center"/>
          </w:tcPr>
          <w:p w14:paraId="3DD01FA8">
            <w:pPr>
              <w:keepNext w:val="0"/>
              <w:keepLines w:val="0"/>
              <w:widowControl/>
              <w:numPr>
                <w:ilvl w:val="0"/>
                <w:numId w:val="10"/>
              </w:numPr>
              <w:suppressLineNumbers w:val="0"/>
              <w:jc w:val="both"/>
              <w:textAlignment w:val="center"/>
              <w:rPr>
                <w:rFonts w:hint="eastAsia" w:ascii="仿宋" w:hAnsi="仿宋" w:eastAsia="仿宋" w:cs="仿宋"/>
                <w:b w:val="0"/>
                <w:bCs w:val="0"/>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处理器 国产高性能CPU，满足信息产品国产化要求</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★2、操作系统 采用国产操作系统，符合系统国产化要求</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▲3、运行内存 运行内存≥12G，存储空间≥256G</w:t>
            </w:r>
          </w:p>
          <w:p w14:paraId="7B54645D">
            <w:pPr>
              <w:keepNext w:val="0"/>
              <w:keepLines w:val="0"/>
              <w:widowControl/>
              <w:numPr>
                <w:ilvl w:val="0"/>
                <w:numId w:val="0"/>
              </w:numPr>
              <w:suppressLineNumbers w:val="0"/>
              <w:jc w:val="both"/>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大于运行内存12G或存储空间大于256G，任意一项为正偏离</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w:t>
            </w:r>
            <w:r>
              <w:rPr>
                <w:rFonts w:hint="eastAsia" w:ascii="仿宋" w:hAnsi="仿宋" w:eastAsia="仿宋" w:cs="仿宋"/>
                <w:b/>
                <w:bCs/>
                <w:i w:val="0"/>
                <w:iCs w:val="0"/>
                <w:color w:val="000000"/>
                <w:kern w:val="0"/>
                <w:sz w:val="20"/>
                <w:szCs w:val="20"/>
                <w:highlight w:val="none"/>
                <w:u w:val="none"/>
                <w:lang w:val="en-US" w:eastAsia="zh-CN" w:bidi="ar"/>
              </w:rPr>
              <w:t>4、</w:t>
            </w:r>
            <w:r>
              <w:rPr>
                <w:rFonts w:hint="eastAsia" w:ascii="仿宋" w:hAnsi="仿宋" w:eastAsia="仿宋" w:cs="仿宋"/>
                <w:b w:val="0"/>
                <w:bCs w:val="0"/>
                <w:i w:val="0"/>
                <w:iCs w:val="0"/>
                <w:color w:val="000000"/>
                <w:kern w:val="0"/>
                <w:sz w:val="20"/>
                <w:szCs w:val="20"/>
                <w:highlight w:val="none"/>
                <w:u w:val="none"/>
                <w:lang w:val="en-US" w:eastAsia="zh-CN" w:bidi="ar"/>
              </w:rPr>
              <w:t>电池 电池容量≥5200mAh。支持无线快充</w:t>
            </w:r>
          </w:p>
          <w:p w14:paraId="69E1DDB2">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b w:val="0"/>
                <w:bCs w:val="0"/>
                <w:i w:val="0"/>
                <w:iCs w:val="0"/>
                <w:color w:val="000000"/>
                <w:kern w:val="0"/>
                <w:sz w:val="20"/>
                <w:szCs w:val="20"/>
                <w:highlight w:val="none"/>
                <w:u w:val="none"/>
                <w:lang w:val="en-US" w:eastAsia="zh-CN" w:bidi="ar"/>
              </w:rPr>
              <w:t>大于5200mAh，任意一项为正偏离</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5、NFC 内置NFC模块，支持读卡器模式，卡模拟模式</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★6、防护能力 支持在GB/T 4208-2017（国内）标准下达到 IP68级防护</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★7、服务网点 全疆均有售后服务网点，并在所投产品生产商官网可查询。提供终端生产厂家官网截图，并出具移动警务终端双系统定制厂家的售后承诺函并加盖公章</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维修点由甲方统一指定，损坏统一交甲方 维修，关停权限再维修。</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★8、双系统隔离 两个操作系统运行在不同ROM空间，独立运行，完全隔离；两个系统的文件系统、网络连接、外围接口、用户数据都彼此隔离，不能相互访问；任何一个系统不能删除、创建或控制另外一个系统；一个系统重置不影响另外有一个系统</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★9、双卡双在线 支持两张卡分别同时接入公共APN和专属APN，业务同时在线。切换工作模式后，自动禁用生活SIM卡。</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10、安全水印 支持系统级全局水印功能，防止偷拍屏幕造成信息泄露，同时支持防截屏、防录屏</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11、产品授权 所投产品，须提供手机硬件生产厂家及系统定制厂家针对本项目的在有效期内的授权</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12、安全认证 终端须满足《司法行政移动执法系统技术规范》（SF/T 0049—2020）中第五部分：终端技术要求，并提供具备CNAS标识的由公安部下属检测机构出具的检测报告。</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13、执行标准</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满足《司法行政移动执法系统技术规范》（SF/T 0049-2020）中第五部分：终端技术要求，在交付产品前提供具备CNAS标识的由公安部安全与警用电子产品质量检测中心出具的检测报告</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满足《智能手机型移动警务终端 第1部分：技术要求》（GA/T 1466.1-2018）并出具的检测报告</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▲14、需提供移动警务终端所需通话、流量、短信服务同网网内通话免费（不限长短号），通话时长≥2000分钟，互联网流量≥100G，专网流量≥50G，短信≥100条.以上套餐超过原有基础的10%，为正偏离。</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76E286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户</w:t>
            </w:r>
          </w:p>
        </w:tc>
        <w:tc>
          <w:tcPr>
            <w:tcW w:w="390" w:type="pct"/>
            <w:tcBorders>
              <w:top w:val="single" w:color="000000" w:sz="4" w:space="0"/>
              <w:left w:val="single" w:color="000000" w:sz="4" w:space="0"/>
              <w:bottom w:val="single" w:color="000000" w:sz="4" w:space="0"/>
            </w:tcBorders>
            <w:noWrap/>
            <w:vAlign w:val="center"/>
          </w:tcPr>
          <w:p w14:paraId="3D0BF485">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400</w:t>
            </w:r>
          </w:p>
        </w:tc>
      </w:tr>
      <w:tr w14:paraId="62C4F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noWrap/>
            <w:vAlign w:val="center"/>
          </w:tcPr>
          <w:p w14:paraId="7DC6DA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1419" w:type="pct"/>
            <w:gridSpan w:val="2"/>
            <w:tcBorders>
              <w:top w:val="single" w:color="000000" w:sz="4" w:space="0"/>
              <w:left w:val="single" w:color="000000" w:sz="4" w:space="0"/>
              <w:bottom w:val="single" w:color="000000" w:sz="4" w:space="0"/>
              <w:right w:val="single" w:color="000000" w:sz="4" w:space="0"/>
            </w:tcBorders>
            <w:noWrap/>
            <w:vAlign w:val="center"/>
          </w:tcPr>
          <w:p w14:paraId="314F1A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管控平台运维服务</w:t>
            </w:r>
          </w:p>
        </w:tc>
        <w:tc>
          <w:tcPr>
            <w:tcW w:w="2590" w:type="pct"/>
            <w:tcBorders>
              <w:top w:val="single" w:color="000000" w:sz="4" w:space="0"/>
              <w:left w:val="single" w:color="000000" w:sz="4" w:space="0"/>
              <w:bottom w:val="single" w:color="000000" w:sz="4" w:space="0"/>
              <w:right w:val="single" w:color="000000" w:sz="4" w:space="0"/>
            </w:tcBorders>
            <w:noWrap w:val="0"/>
            <w:vAlign w:val="center"/>
          </w:tcPr>
          <w:p w14:paraId="13161679">
            <w:pPr>
              <w:keepNext w:val="0"/>
              <w:keepLines w:val="0"/>
              <w:widowControl/>
              <w:numPr>
                <w:ilvl w:val="0"/>
                <w:numId w:val="0"/>
              </w:numPr>
              <w:suppressLineNumbers w:val="0"/>
              <w:jc w:val="both"/>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（1）应用软件符合《司法行政移动执法系统技术规范》（SF/T0049-2020）要求。</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▲(2)平台具备终端管理功能、应用商店功能和内容管理功能。平台可实现对移动终端的集中安全管控，实现设备遗失后全程锁定、擦除数据等，保证移动终端高效安全的使用，需提供不少于400个用户授权。</w:t>
            </w:r>
          </w:p>
          <w:p w14:paraId="6940F446">
            <w:pPr>
              <w:keepNext w:val="0"/>
              <w:keepLines w:val="0"/>
              <w:widowControl/>
              <w:numPr>
                <w:ilvl w:val="0"/>
                <w:numId w:val="0"/>
              </w:numPr>
              <w:suppressLineNumbers w:val="0"/>
              <w:jc w:val="both"/>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能够提供终端数据的统计分析，综合性看板的为正偏离。</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▲(3)终端可以通过平台、NFC设备、蓝牙信标、电子地理围栏和手动进行生活、备勤、执勤三模式切换。提供较为精准的定位与轨迹。</w:t>
            </w:r>
          </w:p>
          <w:p w14:paraId="60580EAC">
            <w:pPr>
              <w:keepNext w:val="0"/>
              <w:keepLines w:val="0"/>
              <w:widowControl/>
              <w:numPr>
                <w:ilvl w:val="0"/>
                <w:numId w:val="0"/>
              </w:numPr>
              <w:suppressLineNumbers w:val="0"/>
              <w:jc w:val="left"/>
              <w:textAlignment w:val="center"/>
              <w:rPr>
                <w:rFonts w:hint="eastAsia" w:ascii="仿宋" w:hAnsi="仿宋" w:eastAsia="仿宋" w:cs="仿宋"/>
                <w:highlight w:val="none"/>
              </w:rPr>
            </w:pPr>
            <w:r>
              <w:rPr>
                <w:rFonts w:hint="eastAsia" w:ascii="仿宋" w:hAnsi="仿宋" w:eastAsia="仿宋" w:cs="仿宋"/>
                <w:b w:val="0"/>
                <w:bCs w:val="0"/>
                <w:i w:val="0"/>
                <w:iCs w:val="0"/>
                <w:color w:val="000000"/>
                <w:kern w:val="0"/>
                <w:sz w:val="20"/>
                <w:szCs w:val="20"/>
                <w:highlight w:val="none"/>
                <w:u w:val="none"/>
                <w:lang w:val="en-US" w:eastAsia="zh-CN" w:bidi="ar"/>
              </w:rPr>
              <w:t>满足以上需求并能提供其他切换方式为正偏离项。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(4)提供系统软件平台运维服务，进行系统调试和优化，确保系统正常运行。</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(5)提供系统数据配置服务，对业务系统进行数据参数配置，满足移动执法终端平稳运行，保证各系统单元间的访问和数据交互顺畅。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(6)对应用软件平台提供软件升级、更新等服务，定期开展巡检维护，保证应用在线正常运行。</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(7)面向客户开展系统使用培训，讲解系统操作以及应用，并提供相关培训材料。</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(8)平台下发指令实时同步终端,同步延迟小于5秒。</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(9)平台获取终端的状态要准确,状态描述要清楚表现出终端所处的工作模式,开关机状态,是否刷机等。(10)平台在服务期间内需提供至少一人的驻场服务。</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3FD9DC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户</w:t>
            </w:r>
          </w:p>
        </w:tc>
        <w:tc>
          <w:tcPr>
            <w:tcW w:w="390" w:type="pct"/>
            <w:tcBorders>
              <w:top w:val="single" w:color="000000" w:sz="4" w:space="0"/>
              <w:left w:val="single" w:color="000000" w:sz="4" w:space="0"/>
              <w:bottom w:val="single" w:color="000000" w:sz="4" w:space="0"/>
            </w:tcBorders>
            <w:noWrap/>
            <w:vAlign w:val="center"/>
          </w:tcPr>
          <w:p w14:paraId="06C1050D">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400</w:t>
            </w:r>
          </w:p>
        </w:tc>
      </w:tr>
      <w:tr w14:paraId="58D8C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109B3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w:t>
            </w:r>
          </w:p>
        </w:tc>
        <w:tc>
          <w:tcPr>
            <w:tcW w:w="768" w:type="pct"/>
            <w:vMerge w:val="restart"/>
            <w:tcBorders>
              <w:top w:val="single" w:color="000000" w:sz="4" w:space="0"/>
              <w:left w:val="single" w:color="000000" w:sz="4" w:space="0"/>
              <w:bottom w:val="nil"/>
              <w:right w:val="single" w:color="000000" w:sz="4" w:space="0"/>
            </w:tcBorders>
            <w:shd w:val="clear" w:color="auto" w:fill="auto"/>
            <w:noWrap/>
            <w:vAlign w:val="center"/>
          </w:tcPr>
          <w:p w14:paraId="4AA901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应用功能提升完善服务</w:t>
            </w: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E73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语音输入法</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2FCC9">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1）在监狱管理局私有化部署语音识别引擎，用户通过移动执法设备端访问私有化部署的语音输入应用，普通话识别率达到98%以上。私有化部署可以更好地保护数据安全性，将用户语音数据存储在私有化服务器上，可以确保数据不会被其他人访问或滥用。(2)提供系统软件平台运维服务，进行系统调试和优化，确保系统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CC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287AFE15">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400</w:t>
            </w:r>
          </w:p>
        </w:tc>
      </w:tr>
      <w:tr w14:paraId="06805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4A3F9E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E920C7E">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3AD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人脸特征值算法</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16471">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b w:val="0"/>
                <w:bCs w:val="0"/>
                <w:i w:val="0"/>
                <w:iCs w:val="0"/>
                <w:color w:val="000000"/>
                <w:kern w:val="0"/>
                <w:sz w:val="20"/>
                <w:szCs w:val="20"/>
                <w:highlight w:val="none"/>
                <w:u w:val="none"/>
                <w:lang w:val="en-US" w:eastAsia="zh-CN" w:bidi="ar"/>
              </w:rPr>
              <w:t>（1）为现有民警谈话、工作点名应用提供脱密化人脸算法仓。为保护民警、罪犯隐私，脱密化人脸算法在特征提取完成之后，对人脸进行特征屏蔽，将除人脸主要特征以外的信息进行模糊处理或者完全屏蔽，确保个人隐私数据不被泄露。(2)需配合第三方应用软件进行人脸认证兼容(3)提供系统软件平台运维服务，进行系统调试和优化，确保系统正常运行。</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EC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628D458C">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400</w:t>
            </w:r>
          </w:p>
        </w:tc>
      </w:tr>
      <w:tr w14:paraId="3C7DE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9359D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3.3</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58BEFC">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914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安全管控身份认证</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F62A5">
            <w:pPr>
              <w:keepNext w:val="0"/>
              <w:keepLines w:val="0"/>
              <w:widowControl/>
              <w:suppressLineNumbers w:val="0"/>
              <w:jc w:val="left"/>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▲满足GB/T 39786—2021《信息安全技术信息系统密码应用基本要求》第二级或以上要求，能够为移动端提供包括对称密钥与非对称密钥的生成、存储、分发、销毁等一系列密钥生命周期的操作，以及证书的申请、签发、更新、吊销等管理功能，为移动互联网提供了密码运算支撑能力，可用于身份认证、数据保护等，提供国密SM相关算法密钥分片、协同运算服务，为软件环境的密钥安全和算法运算提供安全保障，防止密钥泄露。</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w:t>
            </w:r>
            <w:r>
              <w:rPr>
                <w:rFonts w:hint="eastAsia" w:ascii="仿宋" w:hAnsi="仿宋" w:eastAsia="仿宋" w:cs="仿宋"/>
                <w:b w:val="0"/>
                <w:bCs w:val="0"/>
                <w:i w:val="0"/>
                <w:iCs w:val="0"/>
                <w:color w:val="000000"/>
                <w:kern w:val="0"/>
                <w:sz w:val="20"/>
                <w:szCs w:val="20"/>
                <w:highlight w:val="none"/>
                <w:u w:val="none"/>
                <w:lang w:val="en-US" w:eastAsia="zh-CN" w:bidi="ar"/>
              </w:rPr>
              <w:t>CA数字认证系统的产品，投标人或生产制造商具备有效期内的电子认证服务许可证、电子认证服务使用密码许可证提供相关证明材料。</w:t>
            </w:r>
          </w:p>
          <w:p w14:paraId="27A38849">
            <w:pPr>
              <w:keepNext w:val="0"/>
              <w:keepLines w:val="0"/>
              <w:widowControl/>
              <w:suppressLineNumbers w:val="0"/>
              <w:jc w:val="left"/>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000000"/>
                <w:kern w:val="0"/>
                <w:sz w:val="20"/>
                <w:szCs w:val="20"/>
                <w:highlight w:val="none"/>
                <w:u w:val="none"/>
                <w:lang w:val="en-US" w:eastAsia="zh-CN" w:bidi="ar"/>
              </w:rPr>
              <w:t>满足以上认证方式外提供其他认证方式为正偏离</w:t>
            </w:r>
            <w:r>
              <w:rPr>
                <w:rFonts w:hint="eastAsia" w:ascii="仿宋" w:hAnsi="仿宋" w:eastAsia="仿宋" w:cs="仿宋"/>
                <w:b/>
                <w:bCs/>
                <w:i w:val="0"/>
                <w:iCs w:val="0"/>
                <w:color w:val="000000"/>
                <w:kern w:val="0"/>
                <w:sz w:val="20"/>
                <w:szCs w:val="20"/>
                <w:highlight w:val="none"/>
                <w:u w:val="none"/>
                <w:lang w:val="en-US" w:eastAsia="zh-CN" w:bidi="ar"/>
              </w:rPr>
              <w:t xml:space="preserve"> </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CAE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noWrap/>
            <w:vAlign w:val="center"/>
          </w:tcPr>
          <w:p w14:paraId="28044267">
            <w:pPr>
              <w:keepNext w:val="0"/>
              <w:keepLines w:val="0"/>
              <w:widowControl/>
              <w:suppressLineNumbers w:val="0"/>
              <w:jc w:val="center"/>
              <w:textAlignment w:val="center"/>
              <w:rPr>
                <w:rFonts w:hint="default"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400</w:t>
            </w:r>
          </w:p>
        </w:tc>
      </w:tr>
      <w:tr w14:paraId="082BD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212CE5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3.4</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1899E5">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BE2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应用商店</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16EAB">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（1）应用商店为用户提供应用浏览与搜索、下载与安装、更新管理、用户评价、应用详情、分类推荐、账户管理等功能。</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(2)提供系统软件平台运维服务，进行系统调试和优化，确保系统正常运行。</w:t>
            </w:r>
          </w:p>
        </w:tc>
        <w:tc>
          <w:tcPr>
            <w:tcW w:w="266" w:type="pct"/>
            <w:vMerge w:val="restart"/>
            <w:tcBorders>
              <w:top w:val="single" w:color="000000" w:sz="4" w:space="0"/>
              <w:left w:val="single" w:color="000000" w:sz="4" w:space="0"/>
              <w:right w:val="single" w:color="000000" w:sz="4" w:space="0"/>
            </w:tcBorders>
            <w:shd w:val="clear" w:color="auto" w:fill="FFFFFF"/>
            <w:noWrap/>
            <w:vAlign w:val="center"/>
          </w:tcPr>
          <w:p w14:paraId="16097E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390" w:type="pct"/>
            <w:vMerge w:val="restart"/>
            <w:tcBorders>
              <w:top w:val="single" w:color="000000" w:sz="4" w:space="0"/>
              <w:left w:val="single" w:color="000000" w:sz="4" w:space="0"/>
            </w:tcBorders>
            <w:noWrap/>
            <w:vAlign w:val="center"/>
          </w:tcPr>
          <w:p w14:paraId="368D82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511EC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535CA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3.5</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30F5942">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2FD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通讯录</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D76B6">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通讯录可实现每个人的可视范围有权限控制，可以按照部门进行权限分配，比如领导的通讯录只有某些组织的人可以看，其他人不能查看。(2)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51E28D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41DDDD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668F3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D8684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3.6</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6EB7E2">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C9A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学习手册</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A27DC">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在移动警务终端资源之上，结合监狱的实际业务特点，利用专网VPN，构建网络安全、学习便捷的学习手册APP应用。将各类学习知识进行分类分级组织管理，通过对接、导入、录入等方式获取业务知识，针对业务知识类型和业务科室进行分类分级，形成监狱系统各级学习知识资源目录，通过资源目录进行统一管理和服务应用。(3)提供系统软件平台运维服务，进行系统调试和优化，确保系统正常运行。（4）包含党建理论学习、法律法规学习等</w:t>
            </w:r>
          </w:p>
        </w:tc>
        <w:tc>
          <w:tcPr>
            <w:tcW w:w="266" w:type="pct"/>
            <w:vMerge w:val="continue"/>
            <w:tcBorders>
              <w:left w:val="single" w:color="000000" w:sz="4" w:space="0"/>
              <w:right w:val="single" w:color="000000" w:sz="4" w:space="0"/>
            </w:tcBorders>
            <w:shd w:val="clear" w:color="auto" w:fill="FFFFFF"/>
            <w:noWrap/>
            <w:vAlign w:val="center"/>
          </w:tcPr>
          <w:p w14:paraId="662163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7F6627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68DF6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C81A7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A674860">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43B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执法取证</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815CE">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在监狱管理局部署执法取证应用，以确保监狱的安全、高效管理和应急响应能力。应用具有普通用户和管理员操作模式，执法人员利用移动执法终端可实现取证、执法查证登录、查看、编辑、删除等功能。(2)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07D1F42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4123916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032AA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1C6E9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3.8</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8C5753C">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F42D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指挥调度</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93663">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在监狱管理局部署指挥调度应用，由管理后台、PC端调度台、手机端应用程序组成。可实现在JY区域乃至全自治区、全国范围内的实时群呼、组呼、单呼功能,但根据用户权限可限制终端间互通,支持PC调度台单呼、群呼手机终端。(2)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32B5C4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0F8FD8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5014F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66BDED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3.9</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6B86625">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645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日历</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C21B4">
            <w:pPr>
              <w:keepNext w:val="0"/>
              <w:keepLines w:val="0"/>
              <w:widowControl/>
              <w:suppressLineNumbers w:val="0"/>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系统软件运维服务内容如下：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（1）按照公历显示日期(2)提供系统软件平台运维服务，进行系统调试和优化，确保系统正常运行。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ign w:val="center"/>
          </w:tcPr>
          <w:p w14:paraId="1A5A07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6B61D0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37AB3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8FBCFB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3.10</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3F9B2E2">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FD7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一键报警</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C8BBF">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系统软件运维服务内容如下：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应用软件符合《司法行政移动执法系统技术规范》（SF/T0049-2020）要求。（2）通过一键报警APP实现紧急情况下的一键报警，实时显示位置信息。触发报警后可联动指挥中心大屏弹窗报警信息，同步接通现场语音对讲。(3)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0"/>
            <w:vAlign w:val="center"/>
          </w:tcPr>
          <w:p w14:paraId="39A0C86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09D725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35CE8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B4998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3.11</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3319CA3">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9CF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数字对讲</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E4A14">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系统软件运维服务内容如下：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应用软件符合《司法行政移动执法系统技术规范》（SF/T0049-2020）要求。（2）通过在移动执法终端上部署数字对讲应用模块，能够终端之间、PC与终端之间的集群组呼与单呼，并实现呼叫权限控制，基本实现原有数字对讲系统同类功能。(3)提供系统软件平台运维服务，进行系统调试和优化，确保系统正常运行。</w:t>
            </w:r>
          </w:p>
        </w:tc>
        <w:tc>
          <w:tcPr>
            <w:tcW w:w="266" w:type="pct"/>
            <w:vMerge w:val="continue"/>
            <w:tcBorders>
              <w:left w:val="single" w:color="000000" w:sz="4" w:space="0"/>
              <w:right w:val="single" w:color="000000" w:sz="4" w:space="0"/>
            </w:tcBorders>
            <w:shd w:val="clear" w:color="auto" w:fill="FFFFFF"/>
            <w:noWrap w:val="0"/>
            <w:vAlign w:val="center"/>
          </w:tcPr>
          <w:p w14:paraId="5B542A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312A896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0ACC4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69CE8D36">
            <w:pPr>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3.12</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BD77841">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F5D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警务拍</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3F5EA">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系统软件运维服务内容如下：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应用软件符合《司法行政移动执法系统技术规范》（SF/T0049-2020）要求。（2）通过在移动执法终端上部署警务拍应用，为日常安全隐患排查，罪犯违规违纪，提供信息化便捷支撑能力。民警发现问题后通过移动警务终端，直接拍照上传，系统根据情况自动记录时间、地点等并将问题进行推送，同时对事件的处理进行闭环管理。</w:t>
            </w:r>
          </w:p>
        </w:tc>
        <w:tc>
          <w:tcPr>
            <w:tcW w:w="266" w:type="pct"/>
            <w:vMerge w:val="continue"/>
            <w:tcBorders>
              <w:left w:val="single" w:color="000000" w:sz="4" w:space="0"/>
              <w:right w:val="single" w:color="000000" w:sz="4" w:space="0"/>
            </w:tcBorders>
            <w:shd w:val="clear" w:color="auto" w:fill="FFFFFF"/>
            <w:noWrap w:val="0"/>
            <w:vAlign w:val="center"/>
          </w:tcPr>
          <w:p w14:paraId="7803A2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tcBorders>
            <w:noWrap/>
            <w:vAlign w:val="center"/>
          </w:tcPr>
          <w:p w14:paraId="4829D5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200D2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757CB1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lang w:val="en-US" w:eastAsia="zh-CN"/>
              </w:rPr>
            </w:pPr>
            <w:r>
              <w:rPr>
                <w:rFonts w:hint="eastAsia" w:ascii="仿宋" w:hAnsi="仿宋" w:eastAsia="仿宋" w:cs="仿宋"/>
                <w:i w:val="0"/>
                <w:iCs w:val="0"/>
                <w:color w:val="000000"/>
                <w:sz w:val="20"/>
                <w:szCs w:val="20"/>
                <w:highlight w:val="none"/>
                <w:u w:val="none"/>
                <w:lang w:val="en-US" w:eastAsia="zh-CN"/>
              </w:rPr>
              <w:t>3.13</w:t>
            </w:r>
          </w:p>
        </w:tc>
        <w:tc>
          <w:tcPr>
            <w:tcW w:w="768"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C2A36BC">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622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即时通讯</w:t>
            </w:r>
          </w:p>
        </w:tc>
        <w:tc>
          <w:tcPr>
            <w:tcW w:w="25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9E452">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系统软件运维服务内容如下：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应用软件符合《司法行政移动执法系统技术规范》（SF/T0049-2020）要求。（2）通过在移动执法终端上部署即时通讯应用，结合监狱特殊场景定制化开发，以安全、高效为核心，满足民警日常语音通讯，群组通讯等。适应监狱在应急指挥处置、日常巡查、日常人员分配等事务性工作中存在的工作安排。系统内置敏感字智能识别和屏蔽，从源头上规避泄露监狱风险的可能性。</w:t>
            </w:r>
          </w:p>
        </w:tc>
        <w:tc>
          <w:tcPr>
            <w:tcW w:w="266" w:type="pct"/>
            <w:vMerge w:val="continue"/>
            <w:tcBorders>
              <w:left w:val="single" w:color="000000" w:sz="4" w:space="0"/>
              <w:bottom w:val="single" w:color="000000" w:sz="4" w:space="0"/>
              <w:right w:val="single" w:color="000000" w:sz="4" w:space="0"/>
            </w:tcBorders>
            <w:shd w:val="clear" w:color="auto" w:fill="FFFFFF"/>
            <w:noWrap w:val="0"/>
            <w:vAlign w:val="center"/>
          </w:tcPr>
          <w:p w14:paraId="0733A1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390" w:type="pct"/>
            <w:vMerge w:val="continue"/>
            <w:tcBorders>
              <w:left w:val="single" w:color="000000" w:sz="4" w:space="0"/>
              <w:bottom w:val="single" w:color="000000" w:sz="4" w:space="0"/>
            </w:tcBorders>
            <w:noWrap/>
            <w:vAlign w:val="center"/>
          </w:tcPr>
          <w:p w14:paraId="587740E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r>
      <w:tr w14:paraId="46E25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584FCC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4.1</w:t>
            </w:r>
          </w:p>
        </w:tc>
        <w:tc>
          <w:tcPr>
            <w:tcW w:w="768" w:type="pct"/>
            <w:vMerge w:val="restart"/>
            <w:tcBorders>
              <w:top w:val="single" w:color="000000" w:sz="4" w:space="0"/>
              <w:left w:val="single" w:color="000000" w:sz="4" w:space="0"/>
              <w:bottom w:val="nil"/>
              <w:right w:val="single" w:color="000000" w:sz="4" w:space="0"/>
            </w:tcBorders>
            <w:shd w:val="clear" w:color="auto" w:fill="FFFFFF"/>
            <w:noWrap w:val="0"/>
            <w:vAlign w:val="center"/>
          </w:tcPr>
          <w:p w14:paraId="02E225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安全管控能力服务</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BF3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交换请求服务运维服务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61711">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据安全交换请求服务运维，服务要求提供并发数量≥90000个；交换能力≥12000Mbps；最大支持服务≥180个。并满足以下服务需求：1、支持SOAP协议、XML-RPC协议和REST协议。2、支持请求转文件（XML文件）和应答转文件（XML文件）。3、支持各种Web Service接口。4、支持移动应用系统访问。5、支持多级分布式部署、多节点非对称部署。6、接收管理中心的统一配置管理；向管理中心统一上报状态、业务运行情况。</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5C0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139C1F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636A7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14B88D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4.2</w:t>
            </w:r>
          </w:p>
        </w:tc>
        <w:tc>
          <w:tcPr>
            <w:tcW w:w="768"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9646E44">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092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文件数据库交换运维服务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2B540">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★数据安全交换文件数据库交换运维，服务要求提供交换能力≥600Mbps；最大支持服务≥60个。并满足以下服务需求：1、支持主流数据库交换，包括：Oracle、SQL Server、DB2、SYBASE、MYSQL。2、支持各种数据库之间的异构数据转换。3、支持共享、客户端、FTP等多种模式的文件同步服务，支持文件实时同步。4、支持对传输数据进行加密。5、支持多级分布式部署、多节点非对称部署。6、接收管理中心的统一配置管理；向管理中心统一上报状态、业务运行情况。  </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4A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3627D2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6C3BB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4D77F1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4.3</w:t>
            </w:r>
          </w:p>
        </w:tc>
        <w:tc>
          <w:tcPr>
            <w:tcW w:w="768"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133A7061">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FA5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视频交换运维服务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91D2B">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★数据安全交换视频交换运维，服务要求提供系统吞吐量8Gbps以上。并满足以下服务需求：1、支持主流视频协议类型包括：GB28181,DB33,海康,大华,宇视,立元,信产,科达 ,互信互通，华为等；2、能够直接识别各种主流的视频格式，仅允许合法的视频数据通过；3、对视频接入对象进行合法性认证；4、支持多级分布式部署、多节点非对称部署。5、接收管理中心的统一配置管理；向管理中心统一上报状态、业务运行情况。  </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FF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14CF76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1C79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76725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4.4</w:t>
            </w:r>
          </w:p>
        </w:tc>
        <w:tc>
          <w:tcPr>
            <w:tcW w:w="768"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06BE113E">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F0D1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安全隔离与信息交换服务 </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09758">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数据安全交换运维，服务包含：包括文件交换、FTP访问、数据库交换、邮件传输、安全浏览、安全传输、消息传输模块。</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52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72D8C5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75F9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49845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4.5</w:t>
            </w:r>
          </w:p>
        </w:tc>
        <w:tc>
          <w:tcPr>
            <w:tcW w:w="768"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E806A90">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7D7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双向管理中心运维服务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5886F">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据安全交换双向管理中心运维服务需求：1、支持节点管理功能，统一配置、管理各个节点。2、支持根据内部负载算法来感知不同节点的负载情况，实现动态负载。支持根据负载情况动态分配任务到各个不同的节点，对节点进行统一调度；节点故障能够及时切换业务 。3、支持对节点设备的运行状态信息、业务运行状况进行感知，实现统一监控。4、支持对各个节点日志进行统一查询、展示功能。节点管理:通过授权进行统一管理，管理40个节点以上。</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96E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4D91A9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39B84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061231C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w:t>
            </w:r>
          </w:p>
        </w:tc>
        <w:tc>
          <w:tcPr>
            <w:tcW w:w="768"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7A846261">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5346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网络层安全防护运维服务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319B6">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★网络层防护运维，服务要求吞吐量≥48G ； 并发连接数≥2900万  每秒新建连接数≥25万；提供防病毒能力；（含三年病毒库免费升级）、并提供以下服务：</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 xml:space="preserve">1、支持持IPv6地址、地址组配置。支持静态路由，动态路由（OSPF、RIP、BGP、ISIS等），VLAN间路由，单臂路由，组播路由等。支持多出口路由情况下的默认路由备份、负载均衡。必须支持基于应用、WEB地址URL、文件类型等的策略路由，可实现为不同的应用类型智能选择相应的智能链路选路；支持ISP路由，支持联通、电信、教育网、移动等ISP服务商地址列表，列表可导出及导入，可通过Web界面选择不同的ISP服务商实现快速切换；支持链路聚合功能，支持802.3ad和静态轮询、热备等多种模式，MAC、MAC&amp;IP、IP&amp;Port多种聚合负载算法；系统内置多系统（≥2）设置可在Web界面完成全部操作，可任意设置系统启动systemA或systemB； </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2.支持一体化安全策略配置，可以通过一条策略实现用户认证、IPS、AV、URL过滤、协议控制、流量控制、并发限制、新建限制、垃圾邮件过滤、审计等功能,简化用户管理；</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支持针对策略中的源、目的地址进行新建限制，可以针对单IP(或地址范围)进行新建控制。支持策略命中数显示，并支持通过安全策略命中数范围查询。支持根据规则序号、规则名、源地址、目的地址、入侵防护策略、服务、认证用户、认证用户组、所属策略组、备注进行规则查询。支持服务器负载均衡支持10种算法。</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支持外发信息的控制，可实现对BBS发帖的限制和关键字过滤；可实现发送微博信息的限制和关键字过滤；可实现对WEB邮件的收发限制和关键字过滤，要求支持5种以上的web邮件系统。；支持入侵场景保留，可记录入侵行为相关的网络数据报文，报文可保存至U盘或某台内网服务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5.支持工业协议控制，支持协议的完整性检查，支持协议分片的控制；支持工业动态协议的NAT和访问控制。</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6.流量呈现增加接口流量统计、新建连接、并发连接统计，支持实时、日、周、月显示；支持内置或外置数据存储介质；支持根据存储时间或硬盘使用率发送告警邮件；支持智能优化存储空间，保证近期数据的可追溯性，且必须支持手动删除保存时间较长的数据。</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7.支持对识别SQL Server、MySQL、Oracle、DB2等主流数据库基于用户的细粒度权限控制，支持禁止数据库登录，并可对数据库的Create、alter、insert、update、delete、select、drop等语句进行识别，支持用户名\SQL指令黑白名单，数据库操作可基于用户、sql命令、执行结果记录日志；支持协议命令进行识别和控制，支持针对网页正文关键字、附件文件名、恶意JavaScript代码、BBS关键字、微博内容及附件关键字等信息进行细粒度控制实现对数据库服务器的保护</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8.支持主流ICMPFLOOD\SYNFLOOD\ACKFLOOD\SYNACKFLOOD\UDPFLOOD攻击防护，采用专业高效的攻击防护算法，非采用简单的阈值进行攻击防护。支持包括后门、服务探测、文件共享、Windows系统补丁、认证等主动式扫描</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63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2B8CFA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57326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bottom w:val="single" w:color="000000" w:sz="4" w:space="0"/>
              <w:right w:val="single" w:color="000000" w:sz="4" w:space="0"/>
            </w:tcBorders>
            <w:shd w:val="clear" w:color="auto" w:fill="FFFFFF"/>
            <w:noWrap w:val="0"/>
            <w:vAlign w:val="center"/>
          </w:tcPr>
          <w:p w14:paraId="38662C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4.7</w:t>
            </w:r>
          </w:p>
        </w:tc>
        <w:tc>
          <w:tcPr>
            <w:tcW w:w="768" w:type="pct"/>
            <w:vMerge w:val="continue"/>
            <w:tcBorders>
              <w:top w:val="single" w:color="000000" w:sz="4" w:space="0"/>
              <w:left w:val="single" w:color="000000" w:sz="4" w:space="0"/>
              <w:bottom w:val="nil"/>
              <w:right w:val="single" w:color="000000" w:sz="4" w:space="0"/>
            </w:tcBorders>
            <w:shd w:val="clear" w:color="auto" w:fill="FFFFFF"/>
            <w:noWrap w:val="0"/>
            <w:vAlign w:val="center"/>
          </w:tcPr>
          <w:p w14:paraId="2EFAC1DC">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E58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入侵检测运维服务</w:t>
            </w:r>
          </w:p>
        </w:tc>
        <w:tc>
          <w:tcPr>
            <w:tcW w:w="2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120A5">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 入侵检测服务要求：</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支持发现资产的类型，包括终端、视频设备、办公设备、网络设备、服务器、安全设备、工控设备等；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kafka外发方式支持开启/关闭安全认证，支持的加密套件包括PLAIN、SSL、SASL_SSL方式；</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支持程序具备AI引擎自动对攻击进行威胁情报云查，页面自动呈现情报云查信息，查询结果至少包含：威胁等级、标签、威胁类型、IP地址、IP类型、活跃时间、发现时间、国家、地区、运营商、恶意端口等</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支持自定义规则，自定义模式支持基础模式和专家模式；可结合用户业务进行深度检测，自定义内容包括源IP、源端口、目的IP、目的端口、协议、事件威胁等级、主机状态、事件类型、检测方向、攻击阶段、攻击结果、攻击手段；支持关联规则分析，进行双向检测规则编写，页面支持下载自定义规则编写说明</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系统支持通过web页面导入pcap包离线回放检测功能，支持导入pcap数量不少于100个；导入方式包括：导入单个文件、批量导入多个文件、导入文件夹；支持对导入的pcap单独回放或批量回放；</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系统外发日志类型不少于8种，支持在界面上独立设置每种日志类型的外发选项至少包含：事件告警外发、异常连接告警外发、威胁情报告警外发、流数据外发、协议元数据外发、资产数据外发、审计日志外发、导流插件状态外发</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支持设备系统管理，可通过页面下发诊断对设备关键进程进行监测，同时可一键恢复关键进程，增强设备易用性与运维便捷度。</w:t>
            </w: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AAD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bottom w:val="single" w:color="000000" w:sz="4" w:space="0"/>
            </w:tcBorders>
            <w:shd w:val="clear" w:color="auto" w:fill="FFFFFF"/>
            <w:noWrap/>
            <w:vAlign w:val="center"/>
          </w:tcPr>
          <w:p w14:paraId="16DE0C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r w14:paraId="1EF0C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3" w:type="pct"/>
            <w:tcBorders>
              <w:top w:val="single" w:color="000000" w:sz="4" w:space="0"/>
              <w:right w:val="single" w:color="000000" w:sz="4" w:space="0"/>
            </w:tcBorders>
            <w:shd w:val="clear" w:color="auto" w:fill="FFFFFF"/>
            <w:noWrap w:val="0"/>
            <w:vAlign w:val="center"/>
          </w:tcPr>
          <w:p w14:paraId="67BAB9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4.8</w:t>
            </w:r>
          </w:p>
        </w:tc>
        <w:tc>
          <w:tcPr>
            <w:tcW w:w="768" w:type="pct"/>
            <w:vMerge w:val="continue"/>
            <w:tcBorders>
              <w:top w:val="single" w:color="000000" w:sz="4" w:space="0"/>
              <w:left w:val="single" w:color="000000" w:sz="4" w:space="0"/>
              <w:right w:val="single" w:color="000000" w:sz="4" w:space="0"/>
            </w:tcBorders>
            <w:shd w:val="clear" w:color="auto" w:fill="FFFFFF"/>
            <w:noWrap w:val="0"/>
            <w:vAlign w:val="center"/>
          </w:tcPr>
          <w:p w14:paraId="69AC50A2">
            <w:pPr>
              <w:jc w:val="center"/>
              <w:rPr>
                <w:rFonts w:hint="eastAsia" w:ascii="仿宋" w:hAnsi="仿宋" w:eastAsia="仿宋" w:cs="仿宋"/>
                <w:i w:val="0"/>
                <w:iCs w:val="0"/>
                <w:color w:val="000000"/>
                <w:sz w:val="20"/>
                <w:szCs w:val="20"/>
                <w:highlight w:val="none"/>
                <w:u w:val="none"/>
              </w:rPr>
            </w:pPr>
          </w:p>
        </w:tc>
        <w:tc>
          <w:tcPr>
            <w:tcW w:w="651" w:type="pct"/>
            <w:tcBorders>
              <w:top w:val="single" w:color="000000" w:sz="4" w:space="0"/>
              <w:left w:val="single" w:color="000000" w:sz="4" w:space="0"/>
              <w:right w:val="single" w:color="000000" w:sz="4" w:space="0"/>
            </w:tcBorders>
            <w:shd w:val="clear" w:color="auto" w:fill="auto"/>
            <w:noWrap w:val="0"/>
            <w:vAlign w:val="center"/>
          </w:tcPr>
          <w:p w14:paraId="1FC0C5E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应用层安全防护运维服务</w:t>
            </w:r>
          </w:p>
        </w:tc>
        <w:tc>
          <w:tcPr>
            <w:tcW w:w="2590" w:type="pct"/>
            <w:tcBorders>
              <w:top w:val="single" w:color="000000" w:sz="4" w:space="0"/>
              <w:left w:val="single" w:color="000000" w:sz="4" w:space="0"/>
              <w:right w:val="single" w:color="000000" w:sz="4" w:space="0"/>
            </w:tcBorders>
            <w:shd w:val="clear" w:color="auto" w:fill="auto"/>
            <w:noWrap w:val="0"/>
            <w:vAlign w:val="center"/>
          </w:tcPr>
          <w:p w14:paraId="46A9C094">
            <w:pPr>
              <w:keepNext w:val="0"/>
              <w:keepLines w:val="0"/>
              <w:widowControl/>
              <w:suppressLineNumbers w:val="0"/>
              <w:jc w:val="left"/>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★应用层安全防护，服务要求网络吞吐量≥60 Gbps，TCP最大并发连接数：≥1500万。并提供以下服务：</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1、支持DHCP功能，包括DHCP服务器和DHCP中继功能。并可以作为客户端获得IP地址，满足客户自动化管理的需要。</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2、支持自定义事件升级内容。针对新增加的事件特征，针对不同级别的事件，用户可以选择是否自动升级到自定义策略中。升级界面中至少包含高中低三种级别事件的升级启用选项。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3、系统应支持弱口令检测功能，需支持至少不小于8种网络协议并支持至少不小于7种弱口令检测元素，并文字说明支持的网络协议和定义弱口令的检测元素</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5、提供在线管理员数目限制和管理员唯一性检查功能，提高系统管理的安全性。</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6、系统应支持威胁分析功能，通过与威胁情报、NFT全流取证、网络负载、内置解码工具、事件处理流程、事件性质判定等信息综合对威胁进行分析判断。</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266" w:type="pct"/>
            <w:tcBorders>
              <w:top w:val="single" w:color="000000" w:sz="4" w:space="0"/>
              <w:left w:val="single" w:color="000000" w:sz="4" w:space="0"/>
              <w:right w:val="single" w:color="000000" w:sz="4" w:space="0"/>
            </w:tcBorders>
            <w:shd w:val="clear" w:color="auto" w:fill="FFFFFF"/>
            <w:noWrap/>
            <w:vAlign w:val="center"/>
          </w:tcPr>
          <w:p w14:paraId="3DE55BE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项</w:t>
            </w:r>
          </w:p>
        </w:tc>
        <w:tc>
          <w:tcPr>
            <w:tcW w:w="390" w:type="pct"/>
            <w:tcBorders>
              <w:top w:val="single" w:color="000000" w:sz="4" w:space="0"/>
              <w:left w:val="single" w:color="000000" w:sz="4" w:space="0"/>
            </w:tcBorders>
            <w:shd w:val="clear" w:color="auto" w:fill="FFFFFF"/>
            <w:noWrap/>
            <w:vAlign w:val="center"/>
          </w:tcPr>
          <w:p w14:paraId="580CA5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r>
    </w:tbl>
    <w:p w14:paraId="75EC847C">
      <w:pPr>
        <w:pStyle w:val="27"/>
        <w:snapToGrid w:val="0"/>
        <w:spacing w:before="156" w:after="156"/>
        <w:ind w:left="0" w:leftChars="0" w:right="26" w:firstLine="420" w:firstLineChars="17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二、商务条款</w:t>
      </w:r>
    </w:p>
    <w:p w14:paraId="57D62C5B">
      <w:pPr>
        <w:pStyle w:val="27"/>
        <w:snapToGrid w:val="0"/>
        <w:spacing w:before="156" w:after="156"/>
        <w:ind w:right="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服务期36</w:t>
      </w:r>
      <w:r>
        <w:rPr>
          <w:rFonts w:hint="eastAsia" w:ascii="仿宋" w:hAnsi="仿宋" w:eastAsia="仿宋" w:cs="仿宋"/>
          <w:color w:val="auto"/>
          <w:sz w:val="24"/>
          <w:szCs w:val="24"/>
          <w:highlight w:val="none"/>
        </w:rPr>
        <w:t>个月。（</w:t>
      </w:r>
      <w:r>
        <w:rPr>
          <w:rFonts w:hint="eastAsia" w:ascii="仿宋" w:hAnsi="仿宋" w:eastAsia="仿宋" w:cs="仿宋"/>
          <w:color w:val="auto"/>
          <w:sz w:val="24"/>
          <w:szCs w:val="24"/>
          <w:highlight w:val="none"/>
          <w:lang w:eastAsia="zh-CN"/>
        </w:rPr>
        <w:t>服务期根据乙方服务质量及双方履约情况确定，原则上不超过</w:t>
      </w:r>
      <w:r>
        <w:rPr>
          <w:rFonts w:hint="eastAsia" w:ascii="仿宋" w:hAnsi="仿宋" w:eastAsia="仿宋" w:cs="仿宋"/>
          <w:color w:val="auto"/>
          <w:sz w:val="24"/>
          <w:szCs w:val="24"/>
          <w:highlight w:val="none"/>
          <w:lang w:val="en-US" w:eastAsia="zh-CN"/>
        </w:rPr>
        <w:t>36个月</w:t>
      </w:r>
      <w:r>
        <w:rPr>
          <w:rFonts w:hint="eastAsia" w:ascii="仿宋" w:hAnsi="仿宋" w:eastAsia="仿宋" w:cs="仿宋"/>
          <w:color w:val="auto"/>
          <w:sz w:val="24"/>
          <w:szCs w:val="24"/>
          <w:highlight w:val="none"/>
        </w:rPr>
        <w:t>）</w:t>
      </w:r>
    </w:p>
    <w:p w14:paraId="5787E53B">
      <w:pPr>
        <w:pStyle w:val="27"/>
        <w:snapToGrid w:val="0"/>
        <w:spacing w:before="156" w:after="156"/>
        <w:ind w:right="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．交付期、交付方式及交付地点</w:t>
      </w:r>
    </w:p>
    <w:p w14:paraId="46B72527">
      <w:pPr>
        <w:pStyle w:val="27"/>
        <w:snapToGrid w:val="0"/>
        <w:spacing w:before="156" w:after="156"/>
        <w:ind w:right="26"/>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 交付期：</w:t>
      </w:r>
      <w:r>
        <w:rPr>
          <w:rFonts w:hint="eastAsia" w:ascii="仿宋" w:hAnsi="仿宋" w:eastAsia="仿宋" w:cs="仿宋"/>
          <w:sz w:val="24"/>
          <w:szCs w:val="24"/>
          <w:highlight w:val="none"/>
          <w:lang w:val="en-US" w:eastAsia="zh-CN"/>
        </w:rPr>
        <w:t>自合同签订之日起30个日历日内交货并完成安装调试。</w:t>
      </w:r>
    </w:p>
    <w:p w14:paraId="510C68CB">
      <w:pPr>
        <w:pStyle w:val="27"/>
        <w:snapToGrid w:val="0"/>
        <w:spacing w:before="156" w:after="156"/>
        <w:ind w:right="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 交付方式：采购人指定。</w:t>
      </w:r>
    </w:p>
    <w:p w14:paraId="58503579">
      <w:pPr>
        <w:pStyle w:val="27"/>
        <w:snapToGrid w:val="0"/>
        <w:spacing w:before="156" w:after="156"/>
        <w:ind w:right="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.3 交付地点：采购人指定。</w:t>
      </w:r>
    </w:p>
    <w:p w14:paraId="689A50A0">
      <w:pPr>
        <w:pStyle w:val="27"/>
        <w:snapToGrid w:val="0"/>
        <w:spacing w:before="156" w:after="156"/>
        <w:ind w:right="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．货款支付</w:t>
      </w:r>
    </w:p>
    <w:p w14:paraId="40050DE9">
      <w:pPr>
        <w:pStyle w:val="20"/>
        <w:ind w:left="0" w:leftChars="0" w:firstLine="0" w:firstLineChars="0"/>
        <w:rPr>
          <w:rFonts w:hint="eastAsia" w:ascii="仿宋" w:hAnsi="仿宋" w:eastAsia="仿宋" w:cs="仿宋"/>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.1 付款：</w:t>
      </w:r>
      <w:r>
        <w:rPr>
          <w:rFonts w:hint="eastAsia" w:ascii="仿宋" w:hAnsi="仿宋" w:eastAsia="仿宋" w:cs="仿宋"/>
          <w:sz w:val="24"/>
          <w:szCs w:val="24"/>
          <w:highlight w:val="none"/>
          <w:lang w:val="en-US" w:eastAsia="zh-CN"/>
        </w:rPr>
        <w:t>签订合同后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货物全部到场安装完成，并经采购人验收合格后一次性支付合同价款的</w:t>
      </w:r>
      <w:r>
        <w:rPr>
          <w:rFonts w:hint="eastAsia" w:ascii="仿宋" w:hAnsi="仿宋" w:eastAsia="仿宋" w:cs="仿宋"/>
          <w:sz w:val="24"/>
          <w:szCs w:val="24"/>
          <w:highlight w:val="none"/>
        </w:rPr>
        <w:t xml:space="preserve"> 100%。</w:t>
      </w:r>
    </w:p>
    <w:p w14:paraId="2F28DBC4">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0480F9C7">
      <w:pPr>
        <w:spacing w:line="360" w:lineRule="auto"/>
        <w:jc w:val="center"/>
        <w:outlineLvl w:val="0"/>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四</w:t>
      </w:r>
      <w:r>
        <w:rPr>
          <w:rFonts w:hint="eastAsia" w:ascii="仿宋" w:hAnsi="仿宋" w:eastAsia="仿宋" w:cs="仿宋"/>
          <w:b/>
          <w:bCs/>
          <w:color w:val="auto"/>
          <w:sz w:val="36"/>
          <w:szCs w:val="36"/>
          <w:highlight w:val="none"/>
        </w:rPr>
        <w:t xml:space="preserve">章   </w:t>
      </w:r>
      <w:bookmarkEnd w:id="86"/>
      <w:bookmarkEnd w:id="87"/>
      <w:r>
        <w:rPr>
          <w:rFonts w:hint="eastAsia" w:ascii="仿宋" w:hAnsi="仿宋" w:eastAsia="仿宋" w:cs="仿宋"/>
          <w:b/>
          <w:bCs/>
          <w:color w:val="auto"/>
          <w:sz w:val="36"/>
          <w:szCs w:val="36"/>
          <w:highlight w:val="none"/>
          <w:lang w:eastAsia="zh-CN"/>
        </w:rPr>
        <w:t>采购合同范本</w:t>
      </w:r>
      <w:r>
        <w:rPr>
          <w:rFonts w:hint="eastAsia" w:ascii="仿宋" w:hAnsi="仿宋" w:eastAsia="仿宋" w:cs="仿宋"/>
          <w:b/>
          <w:bCs/>
          <w:color w:val="auto"/>
          <w:sz w:val="36"/>
          <w:szCs w:val="36"/>
          <w:highlight w:val="none"/>
        </w:rPr>
        <w:t>（仅供参考）</w:t>
      </w:r>
      <w:bookmarkEnd w:id="88"/>
      <w:bookmarkEnd w:id="89"/>
      <w:bookmarkEnd w:id="90"/>
      <w:bookmarkEnd w:id="91"/>
      <w:bookmarkEnd w:id="92"/>
      <w:bookmarkEnd w:id="93"/>
      <w:bookmarkEnd w:id="94"/>
      <w:bookmarkEnd w:id="95"/>
      <w:bookmarkEnd w:id="96"/>
      <w:bookmarkEnd w:id="97"/>
      <w:bookmarkEnd w:id="98"/>
    </w:p>
    <w:p w14:paraId="30B5213D">
      <w:pPr>
        <w:widowControl/>
        <w:tabs>
          <w:tab w:val="left" w:pos="724"/>
        </w:tabs>
        <w:spacing w:line="460" w:lineRule="exact"/>
        <w:ind w:firstLine="480" w:firstLineChars="200"/>
        <w:jc w:val="left"/>
        <w:rPr>
          <w:rFonts w:hint="eastAsia" w:ascii="仿宋" w:hAnsi="仿宋" w:eastAsia="仿宋" w:cs="仿宋"/>
          <w:color w:val="auto"/>
          <w:sz w:val="24"/>
          <w:szCs w:val="24"/>
          <w:highlight w:val="none"/>
        </w:rPr>
      </w:pPr>
      <w:bookmarkStart w:id="99" w:name="_Toc381970843"/>
      <w:bookmarkStart w:id="100" w:name="_Toc29040"/>
      <w:bookmarkStart w:id="101" w:name="_Toc17546"/>
      <w:bookmarkStart w:id="102" w:name="_Toc25217"/>
    </w:p>
    <w:bookmarkEnd w:id="99"/>
    <w:bookmarkEnd w:id="100"/>
    <w:bookmarkEnd w:id="101"/>
    <w:bookmarkEnd w:id="102"/>
    <w:p w14:paraId="6FFACC89">
      <w:pPr>
        <w:jc w:val="both"/>
        <w:rPr>
          <w:rFonts w:hint="eastAsia" w:ascii="仿宋" w:hAnsi="仿宋" w:eastAsia="仿宋" w:cs="仿宋"/>
          <w:sz w:val="24"/>
          <w:szCs w:val="24"/>
          <w:highlight w:val="none"/>
        </w:rPr>
      </w:pPr>
    </w:p>
    <w:p w14:paraId="593D7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一、合同协议书</w:t>
      </w:r>
    </w:p>
    <w:p w14:paraId="2BD92D98">
      <w:pPr>
        <w:jc w:val="both"/>
        <w:rPr>
          <w:rFonts w:hint="eastAsia" w:ascii="仿宋" w:hAnsi="仿宋" w:eastAsia="仿宋" w:cs="仿宋"/>
          <w:sz w:val="24"/>
          <w:szCs w:val="24"/>
          <w:highlight w:val="none"/>
        </w:rPr>
      </w:pPr>
    </w:p>
    <w:p w14:paraId="2B22ACC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合同协议书</w:t>
      </w:r>
    </w:p>
    <w:p w14:paraId="5C571F3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中华人民共和国合同法》等有关法律法规规定，________(采购人名称)(以下简称：“甲方”)通过____采购(采购方式)确定____(供应商名称)(以下简称：“乙方”)为____项目(项目名称)的____供应商。甲乙双方同意签署《____项目(项目名称)合同》(合同编号：____，以下简称：“合同”)。</w:t>
      </w:r>
    </w:p>
    <w:p w14:paraId="2782DAA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1.合同文件</w:t>
      </w:r>
    </w:p>
    <w:p w14:paraId="18E123F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下列文件是构成本合同不可分割的部分：</w:t>
      </w:r>
    </w:p>
    <w:p w14:paraId="30D689C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(1)合同条款；</w:t>
      </w:r>
    </w:p>
    <w:p w14:paraId="4D109F2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(2)报价表；</w:t>
      </w:r>
    </w:p>
    <w:p w14:paraId="50E161B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(3)磋商（响应）文件；</w:t>
      </w:r>
    </w:p>
    <w:p w14:paraId="6F60AA4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(4)其他。（根据实际情况填写）</w:t>
      </w:r>
    </w:p>
    <w:p w14:paraId="7BD3F2D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2.合同标的（根据实际情况填写）</w:t>
      </w:r>
    </w:p>
    <w:p w14:paraId="4CEC05D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服务名称</w:t>
      </w:r>
      <w:r>
        <w:rPr>
          <w:rFonts w:hint="eastAsia" w:ascii="仿宋" w:hAnsi="仿宋" w:eastAsia="仿宋" w:cs="仿宋"/>
          <w:sz w:val="24"/>
          <w:szCs w:val="24"/>
          <w:highlight w:val="none"/>
        </w:rPr>
        <w:tab/>
      </w:r>
      <w:r>
        <w:rPr>
          <w:rFonts w:hint="eastAsia" w:ascii="仿宋" w:hAnsi="仿宋" w:eastAsia="仿宋" w:cs="仿宋"/>
          <w:sz w:val="24"/>
          <w:szCs w:val="24"/>
          <w:highlight w:val="none"/>
        </w:rPr>
        <w:t>数量</w:t>
      </w:r>
      <w:r>
        <w:rPr>
          <w:rFonts w:hint="eastAsia" w:ascii="仿宋" w:hAnsi="仿宋" w:eastAsia="仿宋" w:cs="仿宋"/>
          <w:sz w:val="24"/>
          <w:szCs w:val="24"/>
          <w:highlight w:val="none"/>
        </w:rPr>
        <w:tab/>
      </w:r>
      <w:r>
        <w:rPr>
          <w:rFonts w:hint="eastAsia" w:ascii="仿宋" w:hAnsi="仿宋" w:eastAsia="仿宋" w:cs="仿宋"/>
          <w:sz w:val="24"/>
          <w:szCs w:val="24"/>
          <w:highlight w:val="none"/>
        </w:rPr>
        <w:t>单位</w:t>
      </w:r>
      <w:r>
        <w:rPr>
          <w:rFonts w:hint="eastAsia" w:ascii="仿宋" w:hAnsi="仿宋" w:eastAsia="仿宋" w:cs="仿宋"/>
          <w:sz w:val="24"/>
          <w:szCs w:val="24"/>
          <w:highlight w:val="none"/>
        </w:rPr>
        <w:tab/>
      </w:r>
      <w:r>
        <w:rPr>
          <w:rFonts w:hint="eastAsia" w:ascii="仿宋" w:hAnsi="仿宋" w:eastAsia="仿宋" w:cs="仿宋"/>
          <w:sz w:val="24"/>
          <w:szCs w:val="24"/>
          <w:highlight w:val="none"/>
        </w:rPr>
        <w:t>具体服务承诺</w:t>
      </w:r>
    </w:p>
    <w:p w14:paraId="08B4AB5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项</w:t>
      </w:r>
      <w:r>
        <w:rPr>
          <w:rFonts w:hint="eastAsia" w:ascii="仿宋" w:hAnsi="仿宋" w:eastAsia="仿宋" w:cs="仿宋"/>
          <w:sz w:val="24"/>
          <w:szCs w:val="24"/>
          <w:highlight w:val="none"/>
        </w:rPr>
        <w:tab/>
      </w:r>
    </w:p>
    <w:p w14:paraId="5A26D1C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p>
    <w:p w14:paraId="65249DE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3.合同金额</w:t>
      </w:r>
    </w:p>
    <w:p w14:paraId="75F24301">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本合同总金额为人民币______元(￥______)。本合同项下所有服务的全部税费均已包含于合同价中，甲方不再另行支付。</w:t>
      </w:r>
    </w:p>
    <w:p w14:paraId="1D30CBB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4.服务时间、地点、期限</w:t>
      </w:r>
    </w:p>
    <w:p w14:paraId="651AD69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　服务时间：                             </w:t>
      </w:r>
    </w:p>
    <w:p w14:paraId="39439993">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　服务地点：                             </w:t>
      </w:r>
    </w:p>
    <w:p w14:paraId="5D5FD7A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　服务期限：                             </w:t>
      </w:r>
    </w:p>
    <w:p w14:paraId="4DE353C3">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5.合同履行期限：                           （根据实际情况填写）。</w:t>
      </w:r>
    </w:p>
    <w:p w14:paraId="35AA1E4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6.履约保证金：                             （根据实际情况填写）。</w:t>
      </w:r>
    </w:p>
    <w:p w14:paraId="6EF4A5B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7.验收方式、标准：                          （根据实际情况填写）。</w:t>
      </w:r>
    </w:p>
    <w:p w14:paraId="5B5291C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8.付款方式</w:t>
      </w:r>
    </w:p>
    <w:p w14:paraId="79ED790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8.1 本合同以人民币付款。</w:t>
      </w:r>
    </w:p>
    <w:p w14:paraId="292AD64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8.2 付款计划安排：</w:t>
      </w:r>
    </w:p>
    <w:p w14:paraId="4E60783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9.合同纠纷的解决方式</w:t>
      </w:r>
    </w:p>
    <w:p w14:paraId="048B59B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首先通过双方协商解决，协商解决不成，则通过以下途径之一解决纠纷(请在方框内画“√”选择)：</w:t>
      </w:r>
    </w:p>
    <w:p w14:paraId="4753AA93">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提请      仲裁委员会仲裁</w:t>
      </w:r>
    </w:p>
    <w:p w14:paraId="30988C3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向人民法院提起诉讼</w:t>
      </w:r>
    </w:p>
    <w:p w14:paraId="056281C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10.合同生效</w:t>
      </w:r>
    </w:p>
    <w:p w14:paraId="46D711C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本合同一式______份，经甲乙双方法定代表人或被授权代表签字盖章，并在甲方收到乙方提交的履约保证金后生效。</w:t>
      </w:r>
    </w:p>
    <w:p w14:paraId="789BCE36">
      <w:pPr>
        <w:jc w:val="both"/>
        <w:rPr>
          <w:rFonts w:hint="eastAsia" w:ascii="仿宋" w:hAnsi="仿宋" w:eastAsia="仿宋" w:cs="仿宋"/>
          <w:sz w:val="24"/>
          <w:szCs w:val="24"/>
          <w:highlight w:val="none"/>
        </w:rPr>
      </w:pPr>
    </w:p>
    <w:p w14:paraId="6BB7AEB7">
      <w:pPr>
        <w:jc w:val="both"/>
        <w:rPr>
          <w:rFonts w:hint="eastAsia" w:ascii="仿宋" w:hAnsi="仿宋" w:eastAsia="仿宋" w:cs="仿宋"/>
          <w:sz w:val="24"/>
          <w:szCs w:val="24"/>
          <w:highlight w:val="none"/>
        </w:rPr>
      </w:pPr>
    </w:p>
    <w:p w14:paraId="7054AFC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甲方：(采购人名称)                        乙方：(供应商名称)</w:t>
      </w:r>
    </w:p>
    <w:p w14:paraId="5C88CCCB">
      <w:pPr>
        <w:jc w:val="both"/>
        <w:rPr>
          <w:rFonts w:hint="eastAsia" w:ascii="仿宋" w:hAnsi="仿宋" w:eastAsia="仿宋" w:cs="仿宋"/>
          <w:sz w:val="24"/>
          <w:szCs w:val="24"/>
          <w:highlight w:val="none"/>
        </w:rPr>
      </w:pPr>
    </w:p>
    <w:p w14:paraId="73EE70B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签字：__________________  　　　　　　　　签字：__________________</w:t>
      </w:r>
    </w:p>
    <w:p w14:paraId="5A05752F">
      <w:pPr>
        <w:jc w:val="both"/>
        <w:rPr>
          <w:rFonts w:hint="eastAsia" w:ascii="仿宋" w:hAnsi="仿宋" w:eastAsia="仿宋" w:cs="仿宋"/>
          <w:sz w:val="24"/>
          <w:szCs w:val="24"/>
          <w:highlight w:val="none"/>
        </w:rPr>
      </w:pPr>
    </w:p>
    <w:p w14:paraId="191010B1">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盖章：__________________  　　　　　　　　盖章：__________________</w:t>
      </w:r>
    </w:p>
    <w:p w14:paraId="17FD4604">
      <w:pPr>
        <w:jc w:val="both"/>
        <w:rPr>
          <w:rFonts w:hint="eastAsia" w:ascii="仿宋" w:hAnsi="仿宋" w:eastAsia="仿宋" w:cs="仿宋"/>
          <w:sz w:val="24"/>
          <w:szCs w:val="24"/>
          <w:highlight w:val="none"/>
        </w:rPr>
      </w:pPr>
    </w:p>
    <w:p w14:paraId="1C9FA06C">
      <w:pPr>
        <w:jc w:val="both"/>
        <w:rPr>
          <w:rFonts w:hint="eastAsia" w:ascii="仿宋" w:hAnsi="仿宋" w:eastAsia="仿宋" w:cs="仿宋"/>
          <w:b/>
          <w:color w:val="auto"/>
          <w:sz w:val="24"/>
          <w:szCs w:val="24"/>
          <w:highlight w:val="none"/>
        </w:rPr>
      </w:pPr>
      <w:r>
        <w:rPr>
          <w:rFonts w:hint="eastAsia" w:ascii="仿宋" w:hAnsi="仿宋" w:eastAsia="仿宋" w:cs="仿宋"/>
          <w:sz w:val="24"/>
          <w:szCs w:val="24"/>
          <w:highlight w:val="none"/>
        </w:rPr>
        <w:t>日期：____年____月____日 　　　　　　　 日期：____年____月____日</w:t>
      </w:r>
    </w:p>
    <w:p w14:paraId="6685C71F">
      <w:pPr>
        <w:pStyle w:val="14"/>
        <w:rPr>
          <w:rFonts w:hint="eastAsia" w:ascii="仿宋" w:hAnsi="仿宋" w:eastAsia="仿宋" w:cs="仿宋"/>
          <w:b/>
          <w:color w:val="auto"/>
          <w:sz w:val="24"/>
          <w:szCs w:val="24"/>
          <w:highlight w:val="none"/>
        </w:rPr>
      </w:pPr>
    </w:p>
    <w:p w14:paraId="5642603F">
      <w:pPr>
        <w:rPr>
          <w:rFonts w:hint="eastAsia"/>
          <w:highlight w:val="none"/>
        </w:rPr>
      </w:pPr>
    </w:p>
    <w:p w14:paraId="567558C2">
      <w:pPr>
        <w:pStyle w:val="57"/>
        <w:rPr>
          <w:rFonts w:hint="eastAsia"/>
          <w:highlight w:val="none"/>
        </w:rPr>
      </w:pPr>
    </w:p>
    <w:p w14:paraId="768795EC">
      <w:pPr>
        <w:rPr>
          <w:rFonts w:hint="eastAsia"/>
          <w:highlight w:val="none"/>
        </w:rPr>
      </w:pPr>
    </w:p>
    <w:p w14:paraId="13B606BA">
      <w:pPr>
        <w:pStyle w:val="57"/>
        <w:rPr>
          <w:rFonts w:hint="eastAsia"/>
          <w:highlight w:val="none"/>
        </w:rPr>
      </w:pPr>
    </w:p>
    <w:p w14:paraId="71891306">
      <w:pPr>
        <w:rPr>
          <w:rFonts w:hint="eastAsia"/>
          <w:highlight w:val="none"/>
        </w:rPr>
      </w:pPr>
    </w:p>
    <w:p w14:paraId="4BA9F7AC">
      <w:pPr>
        <w:pStyle w:val="57"/>
        <w:rPr>
          <w:rFonts w:hint="eastAsia"/>
          <w:highlight w:val="none"/>
        </w:rPr>
      </w:pPr>
    </w:p>
    <w:p w14:paraId="73848F81">
      <w:pPr>
        <w:rPr>
          <w:rFonts w:hint="eastAsia"/>
          <w:highlight w:val="none"/>
        </w:rPr>
      </w:pPr>
    </w:p>
    <w:p w14:paraId="64A6EC05">
      <w:pPr>
        <w:pStyle w:val="57"/>
        <w:rPr>
          <w:rFonts w:hint="eastAsia"/>
          <w:highlight w:val="none"/>
        </w:rPr>
      </w:pPr>
    </w:p>
    <w:p w14:paraId="5F5C6D38">
      <w:pPr>
        <w:rPr>
          <w:rFonts w:hint="eastAsia"/>
          <w:highlight w:val="none"/>
        </w:rPr>
      </w:pPr>
    </w:p>
    <w:p w14:paraId="30EFB0CC">
      <w:pPr>
        <w:pStyle w:val="57"/>
        <w:rPr>
          <w:rFonts w:hint="eastAsia"/>
          <w:highlight w:val="none"/>
        </w:rPr>
      </w:pPr>
    </w:p>
    <w:p w14:paraId="16EB57D6">
      <w:pPr>
        <w:rPr>
          <w:rFonts w:hint="eastAsia"/>
          <w:highlight w:val="none"/>
        </w:rPr>
      </w:pPr>
    </w:p>
    <w:p w14:paraId="4F5C5B8B">
      <w:pPr>
        <w:pStyle w:val="57"/>
        <w:rPr>
          <w:rFonts w:hint="eastAsia"/>
          <w:highlight w:val="none"/>
        </w:rPr>
      </w:pPr>
    </w:p>
    <w:p w14:paraId="50D37B71">
      <w:pPr>
        <w:rPr>
          <w:rFonts w:hint="eastAsia"/>
          <w:highlight w:val="none"/>
        </w:rPr>
      </w:pPr>
    </w:p>
    <w:p w14:paraId="02252822">
      <w:pPr>
        <w:pStyle w:val="57"/>
        <w:rPr>
          <w:rFonts w:hint="eastAsia"/>
          <w:highlight w:val="none"/>
        </w:rPr>
      </w:pPr>
    </w:p>
    <w:p w14:paraId="7748C256">
      <w:pPr>
        <w:rPr>
          <w:rFonts w:hint="eastAsia"/>
          <w:highlight w:val="none"/>
        </w:rPr>
      </w:pPr>
    </w:p>
    <w:p w14:paraId="30877BB6">
      <w:pPr>
        <w:pStyle w:val="57"/>
        <w:rPr>
          <w:rFonts w:hint="eastAsia"/>
          <w:highlight w:val="none"/>
        </w:rPr>
      </w:pPr>
    </w:p>
    <w:p w14:paraId="7E50E8D0">
      <w:pPr>
        <w:rPr>
          <w:rFonts w:hint="eastAsia"/>
          <w:highlight w:val="none"/>
        </w:rPr>
      </w:pPr>
    </w:p>
    <w:p w14:paraId="6216BEFF">
      <w:pPr>
        <w:pStyle w:val="57"/>
        <w:rPr>
          <w:rFonts w:hint="eastAsia"/>
          <w:highlight w:val="none"/>
        </w:rPr>
      </w:pPr>
    </w:p>
    <w:p w14:paraId="764ABBBA">
      <w:pPr>
        <w:rPr>
          <w:rFonts w:hint="eastAsia"/>
          <w:highlight w:val="none"/>
        </w:rPr>
      </w:pPr>
    </w:p>
    <w:p w14:paraId="53AF73A6">
      <w:pPr>
        <w:pStyle w:val="57"/>
        <w:rPr>
          <w:rFonts w:hint="eastAsia"/>
          <w:highlight w:val="none"/>
        </w:rPr>
      </w:pPr>
    </w:p>
    <w:p w14:paraId="1A6965A8">
      <w:pPr>
        <w:rPr>
          <w:rFonts w:hint="eastAsia"/>
          <w:highlight w:val="none"/>
        </w:rPr>
      </w:pPr>
    </w:p>
    <w:p w14:paraId="2E9A293F">
      <w:pPr>
        <w:pStyle w:val="57"/>
        <w:rPr>
          <w:rFonts w:hint="eastAsia"/>
          <w:highlight w:val="none"/>
        </w:rPr>
      </w:pPr>
    </w:p>
    <w:p w14:paraId="5EE9064B">
      <w:pPr>
        <w:rPr>
          <w:rFonts w:hint="eastAsia"/>
          <w:highlight w:val="none"/>
        </w:rPr>
      </w:pPr>
    </w:p>
    <w:p w14:paraId="74446C54">
      <w:pPr>
        <w:pStyle w:val="57"/>
        <w:rPr>
          <w:rFonts w:hint="eastAsia"/>
          <w:highlight w:val="none"/>
        </w:rPr>
      </w:pPr>
    </w:p>
    <w:p w14:paraId="3A44D6E8">
      <w:pPr>
        <w:rPr>
          <w:rFonts w:hint="eastAsia"/>
          <w:highlight w:val="none"/>
        </w:rPr>
      </w:pPr>
    </w:p>
    <w:p w14:paraId="03013DA1">
      <w:pPr>
        <w:pStyle w:val="57"/>
        <w:rPr>
          <w:rFonts w:hint="eastAsia"/>
          <w:highlight w:val="none"/>
        </w:rPr>
      </w:pPr>
    </w:p>
    <w:p w14:paraId="48DAB8CA">
      <w:pPr>
        <w:rPr>
          <w:rFonts w:hint="eastAsia"/>
          <w:highlight w:val="none"/>
        </w:rPr>
      </w:pPr>
    </w:p>
    <w:p w14:paraId="1C692D87">
      <w:pPr>
        <w:pStyle w:val="57"/>
        <w:rPr>
          <w:rFonts w:hint="eastAsia"/>
          <w:highlight w:val="none"/>
        </w:rPr>
      </w:pPr>
    </w:p>
    <w:p w14:paraId="5105E357">
      <w:pPr>
        <w:rPr>
          <w:rFonts w:hint="eastAsia"/>
          <w:highlight w:val="none"/>
        </w:rPr>
      </w:pPr>
    </w:p>
    <w:p w14:paraId="400DA5D2">
      <w:pPr>
        <w:pStyle w:val="57"/>
        <w:rPr>
          <w:rFonts w:hint="eastAsia"/>
          <w:highlight w:val="none"/>
        </w:rPr>
      </w:pPr>
    </w:p>
    <w:p w14:paraId="00DB3583">
      <w:pPr>
        <w:rPr>
          <w:rFonts w:hint="eastAsia"/>
          <w:highlight w:val="none"/>
        </w:rPr>
      </w:pPr>
    </w:p>
    <w:p w14:paraId="5B25710E">
      <w:pPr>
        <w:pStyle w:val="57"/>
        <w:rPr>
          <w:rFonts w:hint="eastAsia"/>
          <w:highlight w:val="none"/>
        </w:rPr>
      </w:pPr>
    </w:p>
    <w:p w14:paraId="5001D52C">
      <w:pPr>
        <w:rPr>
          <w:rFonts w:hint="eastAsia"/>
          <w:highlight w:val="none"/>
        </w:rPr>
      </w:pPr>
    </w:p>
    <w:p w14:paraId="3BEBE105">
      <w:pPr>
        <w:pStyle w:val="57"/>
        <w:rPr>
          <w:rFonts w:hint="eastAsia"/>
          <w:highlight w:val="none"/>
        </w:rPr>
      </w:pPr>
    </w:p>
    <w:p w14:paraId="67A2C4F8">
      <w:pPr>
        <w:rPr>
          <w:rFonts w:hint="eastAsia"/>
          <w:highlight w:val="none"/>
        </w:rPr>
      </w:pPr>
    </w:p>
    <w:p w14:paraId="7D1951C5">
      <w:pPr>
        <w:pStyle w:val="57"/>
        <w:rPr>
          <w:rFonts w:hint="eastAsia"/>
          <w:highlight w:val="none"/>
        </w:rPr>
      </w:pPr>
    </w:p>
    <w:p w14:paraId="2255B280">
      <w:pPr>
        <w:rPr>
          <w:rFonts w:hint="eastAsia"/>
          <w:highlight w:val="none"/>
        </w:rPr>
      </w:pPr>
    </w:p>
    <w:p w14:paraId="1911D519">
      <w:pPr>
        <w:pStyle w:val="57"/>
        <w:rPr>
          <w:rFonts w:hint="eastAsia"/>
          <w:highlight w:val="none"/>
        </w:rPr>
      </w:pPr>
    </w:p>
    <w:p w14:paraId="4DDA5AF0">
      <w:pPr>
        <w:rPr>
          <w:rFonts w:hint="eastAsia"/>
          <w:highlight w:val="none"/>
        </w:rPr>
      </w:pPr>
    </w:p>
    <w:p w14:paraId="329DFE19">
      <w:pPr>
        <w:rPr>
          <w:rFonts w:hint="eastAsia"/>
          <w:highlight w:val="none"/>
        </w:rPr>
      </w:pPr>
    </w:p>
    <w:p w14:paraId="257D08BB">
      <w:pPr>
        <w:pStyle w:val="57"/>
        <w:rPr>
          <w:rFonts w:hint="eastAsia"/>
          <w:highlight w:val="none"/>
        </w:rPr>
      </w:pPr>
    </w:p>
    <w:p w14:paraId="0DFBA9C6">
      <w:pPr>
        <w:rPr>
          <w:rFonts w:hint="eastAsia" w:ascii="仿宋" w:hAnsi="仿宋" w:eastAsia="仿宋" w:cs="仿宋"/>
          <w:b/>
          <w:bCs/>
          <w:color w:val="auto"/>
          <w:sz w:val="30"/>
          <w:szCs w:val="30"/>
          <w:highlight w:val="none"/>
          <w:lang w:val="en-US" w:eastAsia="zh-CN"/>
        </w:rPr>
      </w:pPr>
      <w:r>
        <w:rPr>
          <w:rFonts w:hint="eastAsia" w:ascii="仿宋" w:hAnsi="仿宋" w:eastAsia="仿宋" w:cs="仿宋"/>
          <w:b/>
          <w:color w:val="auto"/>
          <w:sz w:val="36"/>
          <w:szCs w:val="36"/>
          <w:highlight w:val="none"/>
        </w:rPr>
        <w:br w:type="page"/>
      </w:r>
      <w:bookmarkStart w:id="103" w:name="_Toc22085"/>
    </w:p>
    <w:p w14:paraId="6CCCBB68">
      <w:pPr>
        <w:pStyle w:val="22"/>
        <w:rPr>
          <w:rFonts w:hint="eastAsia"/>
          <w:highlight w:val="none"/>
          <w:lang w:val="en-US" w:eastAsia="zh-CN"/>
        </w:rPr>
      </w:pPr>
    </w:p>
    <w:bookmarkEnd w:id="103"/>
    <w:p w14:paraId="4D85B1D0">
      <w:pPr>
        <w:spacing w:line="360" w:lineRule="auto"/>
        <w:jc w:val="center"/>
        <w:outlineLvl w:val="1"/>
        <w:rPr>
          <w:rFonts w:hint="eastAsia" w:ascii="仿宋" w:hAnsi="仿宋" w:eastAsia="仿宋" w:cs="仿宋"/>
          <w:sz w:val="48"/>
          <w:szCs w:val="48"/>
        </w:rPr>
      </w:pPr>
      <w:bookmarkStart w:id="104" w:name="_Toc17130"/>
      <w:bookmarkStart w:id="105" w:name="_Toc23960"/>
      <w:r>
        <w:rPr>
          <w:rFonts w:hint="eastAsia" w:ascii="仿宋" w:hAnsi="仿宋" w:eastAsia="仿宋" w:cs="仿宋"/>
          <w:sz w:val="48"/>
          <w:szCs w:val="48"/>
        </w:rPr>
        <w:t>项目名称</w:t>
      </w:r>
      <w:bookmarkEnd w:id="104"/>
      <w:bookmarkEnd w:id="105"/>
      <w:r>
        <w:rPr>
          <w:rFonts w:hint="eastAsia" w:ascii="仿宋" w:hAnsi="仿宋" w:eastAsia="仿宋" w:cs="仿宋"/>
          <w:sz w:val="48"/>
          <w:szCs w:val="48"/>
          <w:lang w:val="en-US" w:eastAsia="zh-CN"/>
        </w:rPr>
        <w:t xml:space="preserve"> </w:t>
      </w:r>
      <w:r>
        <w:rPr>
          <w:rFonts w:hint="eastAsia" w:ascii="仿宋" w:hAnsi="仿宋" w:eastAsia="仿宋" w:cs="仿宋"/>
          <w:sz w:val="48"/>
          <w:szCs w:val="48"/>
          <w:lang w:eastAsia="zh-CN"/>
        </w:rPr>
        <w:t>：</w:t>
      </w:r>
    </w:p>
    <w:p w14:paraId="67F8B3B0">
      <w:pPr>
        <w:spacing w:line="360" w:lineRule="auto"/>
        <w:jc w:val="center"/>
        <w:outlineLvl w:val="1"/>
        <w:rPr>
          <w:rFonts w:hint="eastAsia" w:ascii="仿宋" w:hAnsi="仿宋" w:eastAsia="仿宋" w:cs="仿宋"/>
          <w:sz w:val="48"/>
          <w:szCs w:val="48"/>
        </w:rPr>
      </w:pPr>
      <w:bookmarkStart w:id="106" w:name="_Toc24951"/>
      <w:r>
        <w:rPr>
          <w:rFonts w:hint="eastAsia" w:ascii="仿宋" w:hAnsi="仿宋" w:eastAsia="仿宋" w:cs="仿宋"/>
          <w:sz w:val="48"/>
          <w:szCs w:val="48"/>
        </w:rPr>
        <w:t>项目编号</w:t>
      </w:r>
      <w:r>
        <w:rPr>
          <w:rFonts w:hint="eastAsia" w:ascii="仿宋" w:hAnsi="仿宋" w:eastAsia="仿宋" w:cs="仿宋"/>
          <w:sz w:val="48"/>
          <w:szCs w:val="48"/>
          <w:lang w:val="en-US" w:eastAsia="zh-CN"/>
        </w:rPr>
        <w:t xml:space="preserve"> </w:t>
      </w:r>
      <w:r>
        <w:rPr>
          <w:rFonts w:hint="eastAsia" w:ascii="仿宋" w:hAnsi="仿宋" w:eastAsia="仿宋" w:cs="仿宋"/>
          <w:sz w:val="48"/>
          <w:szCs w:val="48"/>
        </w:rPr>
        <w:t>：</w:t>
      </w:r>
      <w:bookmarkEnd w:id="106"/>
    </w:p>
    <w:p w14:paraId="66842BB1">
      <w:pPr>
        <w:spacing w:line="560" w:lineRule="exact"/>
        <w:ind w:firstLine="883" w:firstLineChars="200"/>
        <w:jc w:val="center"/>
        <w:rPr>
          <w:rFonts w:hint="eastAsia" w:ascii="仿宋" w:hAnsi="仿宋" w:eastAsia="仿宋" w:cs="仿宋"/>
          <w:b/>
          <w:bCs/>
          <w:kern w:val="2"/>
          <w:sz w:val="44"/>
          <w:szCs w:val="52"/>
          <w:lang w:val="en-US" w:eastAsia="zh-CN" w:bidi="ar-SA"/>
        </w:rPr>
      </w:pPr>
    </w:p>
    <w:p w14:paraId="125DCEFD">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响</w:t>
      </w:r>
    </w:p>
    <w:p w14:paraId="2FDEE713">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应</w:t>
      </w:r>
    </w:p>
    <w:p w14:paraId="2C74366A">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文</w:t>
      </w:r>
    </w:p>
    <w:p w14:paraId="68764F19">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件</w:t>
      </w:r>
    </w:p>
    <w:p w14:paraId="7BACBDF1">
      <w:pPr>
        <w:spacing w:line="560" w:lineRule="exact"/>
        <w:ind w:left="0" w:leftChars="0" w:firstLine="0" w:firstLineChars="0"/>
        <w:rPr>
          <w:rFonts w:hint="eastAsia" w:ascii="仿宋" w:hAnsi="仿宋" w:eastAsia="仿宋" w:cs="仿宋"/>
          <w:kern w:val="2"/>
          <w:sz w:val="28"/>
          <w:szCs w:val="36"/>
          <w:lang w:val="en-US" w:eastAsia="zh-CN" w:bidi="ar-SA"/>
        </w:rPr>
      </w:pPr>
    </w:p>
    <w:p w14:paraId="0FC3A00C">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投标单位名称：</w:t>
      </w: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（加盖单位公章）</w:t>
      </w:r>
    </w:p>
    <w:p w14:paraId="340DE792">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投标单位地址：</w:t>
      </w:r>
      <w:r>
        <w:rPr>
          <w:rFonts w:hint="eastAsia" w:ascii="仿宋" w:hAnsi="仿宋" w:eastAsia="仿宋" w:cs="仿宋"/>
          <w:kern w:val="2"/>
          <w:sz w:val="28"/>
          <w:szCs w:val="36"/>
          <w:u w:val="single"/>
          <w:lang w:val="en-US" w:eastAsia="zh-CN" w:bidi="ar-SA"/>
        </w:rPr>
        <w:t xml:space="preserve">                                  </w:t>
      </w:r>
    </w:p>
    <w:p w14:paraId="1C882E28">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法人或法人授权代表（签字或盖章）：</w:t>
      </w:r>
      <w:r>
        <w:rPr>
          <w:rFonts w:hint="eastAsia" w:ascii="仿宋" w:hAnsi="仿宋" w:eastAsia="仿宋" w:cs="仿宋"/>
          <w:kern w:val="2"/>
          <w:sz w:val="28"/>
          <w:szCs w:val="36"/>
          <w:u w:val="single"/>
          <w:lang w:val="en-US" w:eastAsia="zh-CN" w:bidi="ar-SA"/>
        </w:rPr>
        <w:t xml:space="preserve">                        </w:t>
      </w:r>
    </w:p>
    <w:p w14:paraId="32AEBB91">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投标单位联系电话：</w:t>
      </w:r>
      <w:r>
        <w:rPr>
          <w:rFonts w:hint="eastAsia" w:ascii="仿宋" w:hAnsi="仿宋" w:eastAsia="仿宋" w:cs="仿宋"/>
          <w:kern w:val="2"/>
          <w:sz w:val="28"/>
          <w:szCs w:val="36"/>
          <w:u w:val="single"/>
          <w:lang w:val="en-US" w:eastAsia="zh-CN" w:bidi="ar-SA"/>
        </w:rPr>
        <w:t xml:space="preserve">                              </w:t>
      </w:r>
    </w:p>
    <w:p w14:paraId="5949A505">
      <w:pPr>
        <w:spacing w:line="560" w:lineRule="exact"/>
        <w:ind w:firstLine="420" w:firstLineChars="200"/>
        <w:rPr>
          <w:rFonts w:hint="eastAsia" w:ascii="仿宋" w:hAnsi="仿宋" w:eastAsia="仿宋" w:cs="仿宋"/>
          <w:kern w:val="2"/>
          <w:sz w:val="21"/>
          <w:szCs w:val="24"/>
          <w:lang w:val="en-US" w:eastAsia="zh-CN" w:bidi="ar-SA"/>
        </w:rPr>
      </w:pPr>
    </w:p>
    <w:p w14:paraId="2537D06F">
      <w:pPr>
        <w:spacing w:line="560" w:lineRule="exact"/>
        <w:ind w:firstLine="560" w:firstLineChars="200"/>
        <w:jc w:val="center"/>
        <w:rPr>
          <w:rFonts w:hint="eastAsia" w:ascii="仿宋" w:hAnsi="仿宋" w:eastAsia="仿宋" w:cs="仿宋"/>
          <w:kern w:val="2"/>
          <w:sz w:val="28"/>
          <w:szCs w:val="36"/>
          <w:lang w:val="en-US" w:eastAsia="zh-CN" w:bidi="ar-SA"/>
        </w:rPr>
      </w:pPr>
      <w:bookmarkStart w:id="107" w:name="_Toc1683"/>
    </w:p>
    <w:p w14:paraId="062CBCA2">
      <w:pPr>
        <w:spacing w:line="560" w:lineRule="exact"/>
        <w:ind w:firstLine="560" w:firstLineChars="200"/>
        <w:jc w:val="center"/>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年</w:t>
      </w: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月</w:t>
      </w: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日</w:t>
      </w:r>
      <w:bookmarkEnd w:id="107"/>
    </w:p>
    <w:p w14:paraId="48DCD4F5">
      <w:pPr>
        <w:pStyle w:val="27"/>
        <w:jc w:val="both"/>
        <w:outlineLvl w:val="1"/>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br w:type="page"/>
      </w:r>
    </w:p>
    <w:p w14:paraId="7C5F324A">
      <w:pPr>
        <w:pStyle w:val="27"/>
        <w:jc w:val="center"/>
        <w:outlineLvl w:val="1"/>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报价</w:t>
      </w:r>
      <w:r>
        <w:rPr>
          <w:rFonts w:hint="eastAsia" w:ascii="仿宋" w:hAnsi="仿宋" w:eastAsia="仿宋" w:cs="仿宋"/>
          <w:b/>
          <w:bCs/>
          <w:color w:val="000000"/>
          <w:sz w:val="24"/>
          <w:szCs w:val="24"/>
        </w:rPr>
        <w:t>文件格式</w:t>
      </w:r>
    </w:p>
    <w:p w14:paraId="6563BADD">
      <w:pPr>
        <w:snapToGrid w:val="0"/>
        <w:spacing w:before="165" w:beforeLines="50" w:beforeAutospacing="0" w:after="50" w:afterAutospacing="0"/>
        <w:rPr>
          <w:rFonts w:hint="eastAsia" w:ascii="仿宋" w:hAnsi="仿宋" w:eastAsia="仿宋" w:cs="仿宋"/>
          <w:color w:val="000000"/>
          <w:sz w:val="24"/>
          <w:szCs w:val="24"/>
        </w:rPr>
      </w:pPr>
    </w:p>
    <w:p w14:paraId="1723843C">
      <w:pPr>
        <w:snapToGrid w:val="0"/>
        <w:spacing w:before="165" w:beforeLines="50" w:beforeAutospacing="0" w:after="50" w:afterAutospacing="0"/>
        <w:rPr>
          <w:rFonts w:hint="eastAsia" w:ascii="仿宋" w:hAnsi="仿宋" w:eastAsia="仿宋" w:cs="仿宋"/>
          <w:color w:val="000000"/>
          <w:sz w:val="24"/>
          <w:szCs w:val="24"/>
        </w:rPr>
      </w:pPr>
    </w:p>
    <w:p w14:paraId="05282C6D">
      <w:pPr>
        <w:snapToGrid w:val="0"/>
        <w:spacing w:before="165" w:beforeLines="50" w:beforeAutospacing="0" w:after="50" w:afterAutospacing="0"/>
        <w:rPr>
          <w:rFonts w:hint="eastAsia" w:ascii="仿宋" w:hAnsi="仿宋" w:eastAsia="仿宋" w:cs="仿宋"/>
          <w:color w:val="000000"/>
          <w:sz w:val="24"/>
          <w:szCs w:val="24"/>
        </w:rPr>
      </w:pPr>
    </w:p>
    <w:p w14:paraId="13481293">
      <w:pPr>
        <w:snapToGrid w:val="0"/>
        <w:spacing w:before="165" w:beforeLines="50" w:beforeAutospacing="0" w:after="50" w:afterAutospacing="0"/>
        <w:rPr>
          <w:rFonts w:hint="eastAsia" w:ascii="仿宋" w:hAnsi="仿宋" w:eastAsia="仿宋" w:cs="仿宋"/>
          <w:color w:val="000000"/>
          <w:sz w:val="24"/>
          <w:szCs w:val="24"/>
        </w:rPr>
      </w:pPr>
    </w:p>
    <w:p w14:paraId="0CADE974">
      <w:pPr>
        <w:snapToGrid w:val="0"/>
        <w:spacing w:before="165" w:beforeLines="50" w:beforeAutospacing="0" w:after="50" w:afterAutospacing="0"/>
        <w:rPr>
          <w:rFonts w:hint="eastAsia" w:ascii="仿宋" w:hAnsi="仿宋" w:eastAsia="仿宋" w:cs="仿宋"/>
          <w:color w:val="000000"/>
          <w:sz w:val="24"/>
          <w:szCs w:val="24"/>
        </w:rPr>
      </w:pPr>
    </w:p>
    <w:p w14:paraId="79AECE4A">
      <w:pPr>
        <w:snapToGrid w:val="0"/>
        <w:spacing w:before="165" w:beforeLines="50" w:beforeAutospacing="0" w:after="50" w:afterAutospacing="0"/>
        <w:rPr>
          <w:rFonts w:hint="eastAsia" w:ascii="仿宋" w:hAnsi="仿宋" w:eastAsia="仿宋" w:cs="仿宋"/>
          <w:color w:val="000000"/>
          <w:sz w:val="24"/>
          <w:szCs w:val="24"/>
        </w:rPr>
      </w:pPr>
    </w:p>
    <w:p w14:paraId="64B3F701">
      <w:pPr>
        <w:snapToGrid w:val="0"/>
        <w:spacing w:before="165" w:beforeLines="50" w:beforeAutospacing="0" w:after="50" w:afterAutospacing="0"/>
        <w:jc w:val="center"/>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报价</w:t>
      </w:r>
      <w:r>
        <w:rPr>
          <w:rFonts w:hint="eastAsia" w:ascii="仿宋" w:hAnsi="仿宋" w:eastAsia="仿宋" w:cs="仿宋"/>
          <w:b/>
          <w:color w:val="000000"/>
          <w:sz w:val="24"/>
          <w:szCs w:val="24"/>
        </w:rPr>
        <w:t>文件（封面）</w:t>
      </w:r>
    </w:p>
    <w:p w14:paraId="4EA57564">
      <w:pPr>
        <w:snapToGrid w:val="0"/>
        <w:spacing w:before="165" w:beforeLines="50" w:beforeAutospacing="0" w:after="50" w:afterAutospacing="0"/>
        <w:rPr>
          <w:rFonts w:hint="eastAsia" w:ascii="仿宋" w:hAnsi="仿宋" w:eastAsia="仿宋" w:cs="仿宋"/>
          <w:bCs/>
          <w:color w:val="000000"/>
          <w:sz w:val="24"/>
          <w:szCs w:val="24"/>
        </w:rPr>
      </w:pPr>
    </w:p>
    <w:p w14:paraId="3437B981">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项目名称：</w:t>
      </w:r>
    </w:p>
    <w:p w14:paraId="2C4CBF95">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p>
    <w:p w14:paraId="0F925BE8">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项目编号： </w:t>
      </w:r>
    </w:p>
    <w:p w14:paraId="6050E37F">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p>
    <w:p w14:paraId="0874D1D2">
      <w:pPr>
        <w:pStyle w:val="14"/>
        <w:snapToGrid w:val="0"/>
        <w:spacing w:before="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投标人名称：</w:t>
      </w:r>
    </w:p>
    <w:p w14:paraId="6DB7CBDE">
      <w:pPr>
        <w:pStyle w:val="14"/>
        <w:snapToGrid w:val="0"/>
        <w:spacing w:before="50" w:beforeAutospacing="0" w:after="50" w:afterAutospacing="0"/>
        <w:ind w:firstLine="540" w:firstLineChars="225"/>
        <w:rPr>
          <w:rFonts w:hint="eastAsia" w:ascii="仿宋" w:hAnsi="仿宋" w:eastAsia="仿宋" w:cs="仿宋"/>
          <w:bCs/>
          <w:color w:val="000000"/>
          <w:sz w:val="24"/>
          <w:szCs w:val="24"/>
        </w:rPr>
      </w:pPr>
    </w:p>
    <w:p w14:paraId="0DD33F01">
      <w:pPr>
        <w:pStyle w:val="14"/>
        <w:snapToGrid w:val="0"/>
        <w:spacing w:before="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投标人地址：</w:t>
      </w:r>
    </w:p>
    <w:p w14:paraId="1148245C">
      <w:pPr>
        <w:pStyle w:val="14"/>
        <w:snapToGrid w:val="0"/>
        <w:spacing w:before="50" w:beforeAutospacing="0" w:after="50" w:afterAutospacing="0"/>
        <w:ind w:firstLine="960" w:firstLineChars="400"/>
        <w:rPr>
          <w:rFonts w:hint="eastAsia" w:ascii="仿宋" w:hAnsi="仿宋" w:eastAsia="仿宋" w:cs="仿宋"/>
          <w:bCs/>
          <w:color w:val="000000"/>
          <w:sz w:val="24"/>
          <w:szCs w:val="24"/>
        </w:rPr>
      </w:pPr>
    </w:p>
    <w:p w14:paraId="3E25893D">
      <w:pPr>
        <w:snapToGrid w:val="0"/>
        <w:spacing w:before="165" w:beforeLines="50" w:beforeAutospacing="0" w:after="50" w:afterAutospacing="0"/>
        <w:ind w:firstLine="645"/>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40DF072F">
      <w:pPr>
        <w:snapToGrid w:val="0"/>
        <w:spacing w:before="165" w:beforeLines="50" w:beforeAutospacing="0" w:after="50" w:afterAutospacing="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4019B37B">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3C19A9DF">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6D540438">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2B0CBB22">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756817D5">
      <w:pPr>
        <w:pStyle w:val="160"/>
        <w:widowControl/>
        <w:numPr>
          <w:ilvl w:val="0"/>
          <w:numId w:val="0"/>
        </w:numPr>
        <w:spacing w:before="100" w:beforeAutospacing="1" w:after="100" w:afterAutospacing="1"/>
        <w:ind w:leftChars="-50"/>
        <w:jc w:val="center"/>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br w:type="page"/>
      </w:r>
      <w:r>
        <w:rPr>
          <w:rFonts w:hint="eastAsia" w:ascii="仿宋" w:hAnsi="仿宋" w:eastAsia="仿宋" w:cs="仿宋"/>
          <w:b/>
          <w:bCs w:val="0"/>
          <w:color w:val="auto"/>
          <w:kern w:val="2"/>
          <w:sz w:val="24"/>
          <w:szCs w:val="24"/>
          <w:lang w:val="en-US" w:eastAsia="zh-CN" w:bidi="ar-SA"/>
        </w:rPr>
        <w:t>报价文件目录</w:t>
      </w:r>
    </w:p>
    <w:p w14:paraId="78E6542E">
      <w:pPr>
        <w:pStyle w:val="160"/>
        <w:widowControl/>
        <w:numPr>
          <w:ilvl w:val="0"/>
          <w:numId w:val="11"/>
        </w:numPr>
        <w:spacing w:before="100" w:beforeAutospacing="1" w:after="100" w:afterAutospacing="1" w:line="360" w:lineRule="auto"/>
        <w:ind w:leftChars="-50"/>
        <w:jc w:val="both"/>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投标函…………………………………………………………………………………（页码）（二）、开标一览表……………………………………………………………………………（页码）（三）、货物报价一览表………………………………………………………………………（页码）</w:t>
      </w:r>
    </w:p>
    <w:p w14:paraId="59FBA385">
      <w:pPr>
        <w:pStyle w:val="160"/>
        <w:widowControl/>
        <w:numPr>
          <w:ilvl w:val="0"/>
          <w:numId w:val="0"/>
        </w:numPr>
        <w:spacing w:before="100" w:beforeAutospacing="1" w:after="100" w:afterAutospacing="1"/>
        <w:jc w:val="both"/>
        <w:rPr>
          <w:rFonts w:hint="eastAsia" w:ascii="仿宋" w:hAnsi="仿宋" w:eastAsia="仿宋" w:cs="仿宋"/>
          <w:b w:val="0"/>
          <w:bCs/>
          <w:color w:val="auto"/>
          <w:kern w:val="2"/>
          <w:sz w:val="24"/>
          <w:szCs w:val="24"/>
          <w:lang w:val="en-US" w:eastAsia="zh-CN" w:bidi="ar-SA"/>
        </w:rPr>
      </w:pPr>
    </w:p>
    <w:p w14:paraId="557613A6">
      <w:pPr>
        <w:pStyle w:val="160"/>
        <w:widowControl/>
        <w:numPr>
          <w:ilvl w:val="0"/>
          <w:numId w:val="0"/>
        </w:numPr>
        <w:spacing w:before="100" w:beforeAutospacing="1" w:after="100" w:afterAutospacing="1"/>
        <w:ind w:leftChars="-50"/>
        <w:jc w:val="both"/>
        <w:rPr>
          <w:rFonts w:hint="eastAsia" w:ascii="仿宋" w:hAnsi="仿宋" w:eastAsia="仿宋" w:cs="仿宋"/>
          <w:b w:val="0"/>
          <w:bCs/>
          <w:color w:val="auto"/>
          <w:kern w:val="2"/>
          <w:sz w:val="24"/>
          <w:szCs w:val="24"/>
          <w:lang w:val="en-US" w:eastAsia="zh-CN" w:bidi="ar-SA"/>
        </w:rPr>
      </w:pPr>
    </w:p>
    <w:p w14:paraId="7B6C249A">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257D992B">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07D0D172">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5979788E">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6723DFF9">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0847A974">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094AB2E0">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5C2251CB">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73546475">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7111C708">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08E372CA">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683B8257">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33EB0291">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77CA0573">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6BECD7D9">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47CC6DE4">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47FEAFAC">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4856EBF5">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322E1962">
      <w:pPr>
        <w:pStyle w:val="160"/>
        <w:widowControl/>
        <w:numPr>
          <w:ilvl w:val="0"/>
          <w:numId w:val="0"/>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p>
    <w:p w14:paraId="4E72AA37">
      <w:pPr>
        <w:pStyle w:val="160"/>
        <w:widowControl/>
        <w:numPr>
          <w:ilvl w:val="0"/>
          <w:numId w:val="0"/>
        </w:numPr>
        <w:spacing w:before="100" w:beforeAutospacing="1" w:after="100" w:afterAutospacing="1"/>
        <w:jc w:val="both"/>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br w:type="page"/>
      </w:r>
    </w:p>
    <w:p w14:paraId="70583828">
      <w:pPr>
        <w:pStyle w:val="160"/>
        <w:widowControl/>
        <w:numPr>
          <w:ilvl w:val="0"/>
          <w:numId w:val="12"/>
        </w:numPr>
        <w:spacing w:before="100" w:beforeAutospacing="1" w:after="100" w:afterAutospacing="1"/>
        <w:ind w:leftChars="-50"/>
        <w:jc w:val="both"/>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、投标函</w:t>
      </w:r>
    </w:p>
    <w:p w14:paraId="3137171A">
      <w:pPr>
        <w:numPr>
          <w:ilvl w:val="0"/>
          <w:numId w:val="0"/>
        </w:numPr>
        <w:jc w:val="center"/>
        <w:rPr>
          <w:rFonts w:hint="eastAsia" w:ascii="仿宋" w:hAnsi="仿宋" w:eastAsia="仿宋" w:cs="仿宋"/>
          <w:b/>
          <w:bCs/>
          <w:color w:val="auto"/>
          <w:sz w:val="28"/>
          <w:szCs w:val="28"/>
          <w:highlight w:val="none"/>
          <w:lang w:eastAsia="zh-CN"/>
        </w:rPr>
      </w:pPr>
      <w:bookmarkStart w:id="108" w:name="_Toc19403"/>
      <w:bookmarkStart w:id="109" w:name="_Toc17339"/>
      <w:bookmarkStart w:id="110" w:name="_Toc8540"/>
      <w:bookmarkStart w:id="111" w:name="_Toc23287"/>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 xml:space="preserve">投 标 </w:t>
      </w:r>
      <w:bookmarkEnd w:id="108"/>
      <w:bookmarkEnd w:id="109"/>
      <w:bookmarkEnd w:id="110"/>
      <w:bookmarkEnd w:id="111"/>
      <w:r>
        <w:rPr>
          <w:rFonts w:hint="eastAsia" w:ascii="仿宋" w:hAnsi="仿宋" w:eastAsia="仿宋" w:cs="仿宋"/>
          <w:b/>
          <w:bCs/>
          <w:color w:val="auto"/>
          <w:sz w:val="28"/>
          <w:szCs w:val="28"/>
          <w:highlight w:val="none"/>
          <w:lang w:val="en-US" w:eastAsia="zh-CN"/>
        </w:rPr>
        <w:t>函</w:t>
      </w:r>
    </w:p>
    <w:p w14:paraId="1956FF60">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（招标单位）</w:t>
      </w:r>
      <w:r>
        <w:rPr>
          <w:rFonts w:hint="eastAsia" w:ascii="仿宋" w:hAnsi="仿宋" w:eastAsia="仿宋" w:cs="仿宋"/>
          <w:color w:val="auto"/>
          <w:sz w:val="24"/>
          <w:szCs w:val="24"/>
          <w:highlight w:val="none"/>
        </w:rPr>
        <w:t>：</w:t>
      </w:r>
    </w:p>
    <w:p w14:paraId="647EADB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收到你们的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（项目名称），经认真研究，我们决定参加投标。</w:t>
      </w:r>
    </w:p>
    <w:p w14:paraId="14DF32FD">
      <w:pPr>
        <w:numPr>
          <w:ilvl w:val="0"/>
          <w:numId w:val="13"/>
        </w:numPr>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中的一切要求，提供</w:t>
      </w:r>
      <w:r>
        <w:rPr>
          <w:rFonts w:hint="eastAsia" w:ascii="仿宋" w:hAnsi="仿宋" w:eastAsia="仿宋" w:cs="仿宋"/>
          <w:color w:val="auto"/>
          <w:sz w:val="24"/>
          <w:szCs w:val="24"/>
          <w:highlight w:val="none"/>
          <w:lang w:val="en-US" w:eastAsia="zh-CN"/>
        </w:rPr>
        <w:t>完成本项目的全部</w:t>
      </w:r>
      <w:r>
        <w:rPr>
          <w:rFonts w:hint="eastAsia" w:ascii="仿宋" w:hAnsi="仿宋" w:eastAsia="仿宋" w:cs="仿宋"/>
          <w:color w:val="auto"/>
          <w:sz w:val="24"/>
          <w:szCs w:val="24"/>
          <w:highlight w:val="none"/>
          <w:lang w:eastAsia="zh-CN"/>
        </w:rPr>
        <w:t>费用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元（用阿拉伯数字书写）人民币大写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，明细见投标报价表。</w:t>
      </w:r>
    </w:p>
    <w:p w14:paraId="239CFEDF">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如果我们的投标书被接受，我们将履行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中规定的每一项义务和要求，按期、按质、按量完成交货。</w:t>
      </w:r>
    </w:p>
    <w:p w14:paraId="63231A24">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的规定，本标书的有效期为开标后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w:t>
      </w:r>
    </w:p>
    <w:p w14:paraId="1EA40673">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我们愿意提供招标人在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中要求的所有资料。</w:t>
      </w:r>
    </w:p>
    <w:p w14:paraId="09B309EB">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我们认为你们有选择或拒绝任何投标者中标的权利。我们理解，最低报价不是中标的唯一条件。</w:t>
      </w:r>
    </w:p>
    <w:p w14:paraId="2434D2E4">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我们愿意按合同履行自己的全部责任。</w:t>
      </w:r>
    </w:p>
    <w:p w14:paraId="1B213F46">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我们愿意遵守国家有关规定和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中规定的收费标准，承付中标服务费。</w:t>
      </w:r>
    </w:p>
    <w:p w14:paraId="482E32BD">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该项投标在开标后全过程中保持有效，不做任何更改和变动。</w:t>
      </w:r>
    </w:p>
    <w:p w14:paraId="6587C93C">
      <w:pPr>
        <w:numPr>
          <w:ilvl w:val="0"/>
          <w:numId w:val="13"/>
        </w:num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我们同意按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规定，缴纳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元投标保证金。</w:t>
      </w:r>
    </w:p>
    <w:p w14:paraId="7E89AC52">
      <w:pPr>
        <w:spacing w:line="440" w:lineRule="exact"/>
        <w:ind w:left="721" w:leftChars="229"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10我们保证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中的所有证件和内容真实有效，否则我们愿意承担一切法律责任。</w:t>
      </w:r>
    </w:p>
    <w:p w14:paraId="466D50B8">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11、其他说明。</w:t>
      </w:r>
    </w:p>
    <w:p w14:paraId="55EBD4DB">
      <w:pPr>
        <w:spacing w:line="440" w:lineRule="exact"/>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12、所有有关本标书的函电，请按下列地址联系：</w:t>
      </w:r>
    </w:p>
    <w:p w14:paraId="076BCC6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 xml:space="preserve">(单位公章) ：                       </w:t>
      </w:r>
    </w:p>
    <w:p w14:paraId="5C36BE1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5811AAA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38D444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3E32976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7990D19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ED7B8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0DD1871">
      <w:pPr>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A0216F9">
      <w:pPr>
        <w:pStyle w:val="160"/>
        <w:widowControl/>
        <w:numPr>
          <w:ilvl w:val="0"/>
          <w:numId w:val="12"/>
        </w:numPr>
        <w:spacing w:before="100" w:beforeAutospacing="1" w:after="100" w:afterAutospacing="1"/>
        <w:ind w:left="-105" w:leftChars="-50" w:firstLine="0" w:firstLineChars="0"/>
        <w:jc w:val="both"/>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br w:type="page"/>
      </w:r>
      <w:r>
        <w:rPr>
          <w:rFonts w:hint="eastAsia" w:ascii="仿宋" w:hAnsi="仿宋" w:eastAsia="仿宋" w:cs="仿宋"/>
          <w:b/>
          <w:bCs/>
          <w:color w:val="000000"/>
          <w:sz w:val="24"/>
          <w:szCs w:val="24"/>
          <w:lang w:val="en-US" w:eastAsia="zh-CN"/>
        </w:rPr>
        <w:t>、开标一览表</w:t>
      </w:r>
    </w:p>
    <w:p w14:paraId="39A267E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8B68D1B">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 xml:space="preserve">项目编号：     </w:t>
      </w: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2069"/>
        <w:gridCol w:w="3158"/>
        <w:gridCol w:w="3165"/>
      </w:tblGrid>
      <w:tr w14:paraId="3AFA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51" w:type="dxa"/>
            <w:tcBorders>
              <w:top w:val="single" w:color="auto" w:sz="4" w:space="0"/>
              <w:left w:val="single" w:color="auto" w:sz="4" w:space="0"/>
              <w:right w:val="single" w:color="auto" w:sz="4" w:space="0"/>
            </w:tcBorders>
            <w:noWrap w:val="0"/>
            <w:vAlign w:val="center"/>
          </w:tcPr>
          <w:p w14:paraId="29B355F6">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5227" w:type="dxa"/>
            <w:gridSpan w:val="2"/>
            <w:tcBorders>
              <w:top w:val="single" w:color="auto" w:sz="4" w:space="0"/>
              <w:left w:val="single" w:color="auto" w:sz="4" w:space="0"/>
              <w:right w:val="single" w:color="auto" w:sz="4" w:space="0"/>
            </w:tcBorders>
            <w:noWrap w:val="0"/>
            <w:vAlign w:val="center"/>
          </w:tcPr>
          <w:p w14:paraId="291E620F">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内</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容</w:t>
            </w:r>
          </w:p>
        </w:tc>
        <w:tc>
          <w:tcPr>
            <w:tcW w:w="3165" w:type="dxa"/>
            <w:tcBorders>
              <w:top w:val="single" w:color="auto" w:sz="4" w:space="0"/>
              <w:left w:val="single" w:color="auto" w:sz="4" w:space="0"/>
              <w:right w:val="single" w:color="auto" w:sz="4" w:space="0"/>
            </w:tcBorders>
            <w:noWrap w:val="0"/>
            <w:vAlign w:val="center"/>
          </w:tcPr>
          <w:p w14:paraId="55FABDF0">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3CE33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051" w:type="dxa"/>
            <w:tcBorders>
              <w:top w:val="single" w:color="auto" w:sz="4" w:space="0"/>
              <w:left w:val="single" w:color="auto" w:sz="4" w:space="0"/>
              <w:right w:val="single" w:color="auto" w:sz="4" w:space="0"/>
            </w:tcBorders>
            <w:noWrap w:val="0"/>
            <w:vAlign w:val="center"/>
          </w:tcPr>
          <w:p w14:paraId="0A0A17C9">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069" w:type="dxa"/>
            <w:tcBorders>
              <w:top w:val="single" w:color="auto" w:sz="4" w:space="0"/>
              <w:left w:val="single" w:color="auto" w:sz="4" w:space="0"/>
              <w:right w:val="single" w:color="auto" w:sz="4" w:space="0"/>
            </w:tcBorders>
            <w:noWrap w:val="0"/>
            <w:vAlign w:val="center"/>
          </w:tcPr>
          <w:p w14:paraId="5E0FD8A9">
            <w:pPr>
              <w:snapToGrid w:val="0"/>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投标人名称</w:t>
            </w:r>
          </w:p>
        </w:tc>
        <w:tc>
          <w:tcPr>
            <w:tcW w:w="3158" w:type="dxa"/>
            <w:tcBorders>
              <w:top w:val="single" w:color="auto" w:sz="4" w:space="0"/>
              <w:left w:val="single" w:color="auto" w:sz="4" w:space="0"/>
              <w:right w:val="single" w:color="auto" w:sz="4" w:space="0"/>
            </w:tcBorders>
            <w:noWrap w:val="0"/>
            <w:vAlign w:val="center"/>
          </w:tcPr>
          <w:p w14:paraId="09638439">
            <w:pPr>
              <w:snapToGrid w:val="0"/>
              <w:spacing w:line="400" w:lineRule="exact"/>
              <w:jc w:val="center"/>
              <w:rPr>
                <w:rFonts w:hint="eastAsia" w:ascii="仿宋" w:hAnsi="仿宋" w:eastAsia="仿宋" w:cs="仿宋"/>
                <w:b w:val="0"/>
                <w:bCs/>
                <w:color w:val="auto"/>
                <w:sz w:val="24"/>
                <w:szCs w:val="24"/>
                <w:highlight w:val="none"/>
              </w:rPr>
            </w:pPr>
          </w:p>
        </w:tc>
        <w:tc>
          <w:tcPr>
            <w:tcW w:w="3165" w:type="dxa"/>
            <w:tcBorders>
              <w:top w:val="single" w:color="auto" w:sz="4" w:space="0"/>
              <w:left w:val="single" w:color="auto" w:sz="4" w:space="0"/>
              <w:right w:val="single" w:color="auto" w:sz="4" w:space="0"/>
            </w:tcBorders>
            <w:noWrap w:val="0"/>
            <w:vAlign w:val="center"/>
          </w:tcPr>
          <w:p w14:paraId="207E00C7">
            <w:pPr>
              <w:snapToGrid w:val="0"/>
              <w:spacing w:line="400" w:lineRule="exact"/>
              <w:jc w:val="center"/>
              <w:rPr>
                <w:rFonts w:hint="eastAsia" w:ascii="仿宋" w:hAnsi="仿宋" w:eastAsia="仿宋" w:cs="仿宋"/>
                <w:b w:val="0"/>
                <w:bCs/>
                <w:color w:val="auto"/>
                <w:sz w:val="24"/>
                <w:szCs w:val="24"/>
                <w:highlight w:val="none"/>
              </w:rPr>
            </w:pPr>
          </w:p>
        </w:tc>
      </w:tr>
      <w:tr w14:paraId="11836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1051" w:type="dxa"/>
            <w:tcBorders>
              <w:top w:val="single" w:color="auto" w:sz="4" w:space="0"/>
              <w:left w:val="single" w:color="auto" w:sz="4" w:space="0"/>
              <w:right w:val="single" w:color="auto" w:sz="4" w:space="0"/>
            </w:tcBorders>
            <w:noWrap w:val="0"/>
            <w:vAlign w:val="center"/>
          </w:tcPr>
          <w:p w14:paraId="0612B3A2">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77CD817C">
            <w:pPr>
              <w:snapToGrid w:val="0"/>
              <w:spacing w:line="240" w:lineRule="auto"/>
              <w:ind w:left="120" w:leftChars="0" w:right="62" w:rightChars="0" w:hanging="120" w:hangingChars="5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投标</w:t>
            </w:r>
            <w:r>
              <w:rPr>
                <w:rFonts w:hint="eastAsia" w:ascii="仿宋" w:hAnsi="仿宋" w:eastAsia="仿宋" w:cs="仿宋"/>
                <w:b w:val="0"/>
                <w:bCs/>
                <w:color w:val="auto"/>
                <w:sz w:val="24"/>
                <w:szCs w:val="24"/>
                <w:highlight w:val="none"/>
                <w:lang w:val="en-US" w:eastAsia="zh-CN"/>
              </w:rPr>
              <w:t>报价</w:t>
            </w:r>
          </w:p>
        </w:tc>
        <w:tc>
          <w:tcPr>
            <w:tcW w:w="3158" w:type="dxa"/>
            <w:tcBorders>
              <w:top w:val="single" w:color="auto" w:sz="4" w:space="0"/>
              <w:left w:val="single" w:color="auto" w:sz="4" w:space="0"/>
              <w:bottom w:val="single" w:color="auto" w:sz="4" w:space="0"/>
              <w:right w:val="single" w:color="auto" w:sz="4" w:space="0"/>
            </w:tcBorders>
            <w:noWrap w:val="0"/>
            <w:vAlign w:val="center"/>
          </w:tcPr>
          <w:p w14:paraId="63B1006C">
            <w:pPr>
              <w:snapToGrid w:val="0"/>
              <w:spacing w:line="36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小写：</w:t>
            </w:r>
          </w:p>
          <w:p w14:paraId="3FA9670C">
            <w:pPr>
              <w:snapToGrid w:val="0"/>
              <w:spacing w:line="360" w:lineRule="auto"/>
              <w:ind w:left="120" w:leftChars="0" w:right="62" w:rightChars="0" w:hanging="120" w:hangingChars="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大写：</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6B4095FD">
            <w:pPr>
              <w:snapToGrid w:val="0"/>
              <w:spacing w:line="400" w:lineRule="exact"/>
              <w:jc w:val="center"/>
              <w:rPr>
                <w:rFonts w:hint="eastAsia" w:ascii="仿宋" w:hAnsi="仿宋" w:eastAsia="仿宋" w:cs="仿宋"/>
                <w:b w:val="0"/>
                <w:bCs/>
                <w:color w:val="auto"/>
                <w:sz w:val="24"/>
                <w:szCs w:val="24"/>
                <w:highlight w:val="none"/>
                <w:lang w:val="en-US" w:eastAsia="zh-CN"/>
              </w:rPr>
            </w:pPr>
          </w:p>
        </w:tc>
      </w:tr>
      <w:tr w14:paraId="79565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14:paraId="7F9FBBF3">
            <w:pPr>
              <w:snapToGrid w:val="0"/>
              <w:spacing w:line="40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61E93F28">
            <w:pPr>
              <w:spacing w:line="360" w:lineRule="auto"/>
              <w:jc w:val="center"/>
              <w:rPr>
                <w:rFonts w:hint="eastAsia" w:ascii="仿宋" w:hAnsi="仿宋" w:eastAsia="仿宋" w:cs="仿宋"/>
                <w:b w:val="0"/>
                <w:bCs/>
                <w:color w:val="auto"/>
                <w:sz w:val="24"/>
                <w:szCs w:val="24"/>
                <w:highlight w:val="none"/>
                <w:u w:val="single"/>
              </w:rPr>
            </w:pPr>
            <w:r>
              <w:rPr>
                <w:rFonts w:hint="eastAsia" w:ascii="仿宋" w:hAnsi="仿宋" w:eastAsia="仿宋" w:cs="仿宋"/>
                <w:color w:val="auto"/>
                <w:kern w:val="2"/>
                <w:sz w:val="24"/>
                <w:szCs w:val="24"/>
                <w:highlight w:val="none"/>
                <w:lang w:val="en-US" w:eastAsia="zh-CN"/>
              </w:rPr>
              <w:t>服务期</w:t>
            </w:r>
          </w:p>
        </w:tc>
        <w:tc>
          <w:tcPr>
            <w:tcW w:w="3158" w:type="dxa"/>
            <w:tcBorders>
              <w:top w:val="single" w:color="auto" w:sz="4" w:space="0"/>
              <w:left w:val="single" w:color="auto" w:sz="4" w:space="0"/>
              <w:bottom w:val="single" w:color="auto" w:sz="4" w:space="0"/>
              <w:right w:val="single" w:color="auto" w:sz="4" w:space="0"/>
            </w:tcBorders>
            <w:noWrap w:val="0"/>
            <w:vAlign w:val="center"/>
          </w:tcPr>
          <w:p w14:paraId="7D784BA6">
            <w:pPr>
              <w:spacing w:line="480" w:lineRule="auto"/>
              <w:ind w:firstLine="480" w:firstLineChars="200"/>
              <w:jc w:val="center"/>
              <w:rPr>
                <w:rFonts w:hint="eastAsia" w:ascii="仿宋" w:hAnsi="仿宋" w:eastAsia="仿宋" w:cs="仿宋"/>
                <w:b w:val="0"/>
                <w:bCs/>
                <w:color w:val="auto"/>
                <w:sz w:val="24"/>
                <w:szCs w:val="24"/>
                <w:highlight w:val="none"/>
                <w:u w:val="single"/>
              </w:rPr>
            </w:pPr>
          </w:p>
        </w:tc>
        <w:tc>
          <w:tcPr>
            <w:tcW w:w="3165" w:type="dxa"/>
            <w:tcBorders>
              <w:top w:val="single" w:color="auto" w:sz="4" w:space="0"/>
              <w:left w:val="single" w:color="auto" w:sz="4" w:space="0"/>
              <w:bottom w:val="single" w:color="auto" w:sz="4" w:space="0"/>
              <w:right w:val="single" w:color="auto" w:sz="4" w:space="0"/>
            </w:tcBorders>
            <w:noWrap w:val="0"/>
            <w:vAlign w:val="center"/>
          </w:tcPr>
          <w:p w14:paraId="14A017CA">
            <w:pPr>
              <w:snapToGrid w:val="0"/>
              <w:spacing w:line="400" w:lineRule="exact"/>
              <w:jc w:val="center"/>
              <w:rPr>
                <w:rFonts w:hint="eastAsia" w:ascii="仿宋" w:hAnsi="仿宋" w:eastAsia="仿宋" w:cs="仿宋"/>
                <w:b w:val="0"/>
                <w:bCs/>
                <w:color w:val="auto"/>
                <w:sz w:val="24"/>
                <w:szCs w:val="24"/>
                <w:highlight w:val="none"/>
                <w:u w:val="single"/>
              </w:rPr>
            </w:pPr>
          </w:p>
        </w:tc>
      </w:tr>
      <w:tr w14:paraId="26338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14:paraId="1FFFD4AE">
            <w:pPr>
              <w:snapToGrid w:val="0"/>
              <w:spacing w:line="40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31691680">
            <w:pPr>
              <w:snapToGrid w:val="0"/>
              <w:spacing w:line="240" w:lineRule="auto"/>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供货期</w:t>
            </w:r>
          </w:p>
        </w:tc>
        <w:tc>
          <w:tcPr>
            <w:tcW w:w="3158" w:type="dxa"/>
            <w:tcBorders>
              <w:top w:val="single" w:color="auto" w:sz="4" w:space="0"/>
              <w:left w:val="single" w:color="auto" w:sz="4" w:space="0"/>
              <w:bottom w:val="single" w:color="auto" w:sz="4" w:space="0"/>
              <w:right w:val="single" w:color="auto" w:sz="4" w:space="0"/>
            </w:tcBorders>
            <w:noWrap w:val="0"/>
            <w:vAlign w:val="center"/>
          </w:tcPr>
          <w:p w14:paraId="670B17F6">
            <w:pPr>
              <w:snapToGrid w:val="0"/>
              <w:spacing w:line="400" w:lineRule="exact"/>
              <w:jc w:val="center"/>
              <w:rPr>
                <w:rFonts w:hint="eastAsia" w:ascii="仿宋" w:hAnsi="仿宋" w:eastAsia="仿宋" w:cs="仿宋"/>
                <w:b w:val="0"/>
                <w:bCs/>
                <w:color w:val="auto"/>
                <w:sz w:val="24"/>
                <w:szCs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center"/>
          </w:tcPr>
          <w:p w14:paraId="63EBFC02">
            <w:pPr>
              <w:snapToGrid w:val="0"/>
              <w:spacing w:line="400" w:lineRule="exact"/>
              <w:jc w:val="center"/>
              <w:rPr>
                <w:rFonts w:hint="eastAsia" w:ascii="仿宋" w:hAnsi="仿宋" w:eastAsia="仿宋" w:cs="仿宋"/>
                <w:b w:val="0"/>
                <w:bCs/>
                <w:color w:val="auto"/>
                <w:sz w:val="24"/>
                <w:szCs w:val="24"/>
                <w:highlight w:val="none"/>
              </w:rPr>
            </w:pPr>
          </w:p>
        </w:tc>
      </w:tr>
      <w:tr w14:paraId="5AFED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14:paraId="11F53F64">
            <w:pPr>
              <w:snapToGrid w:val="0"/>
              <w:spacing w:line="40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7E4C6B08">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质量保证</w:t>
            </w:r>
          </w:p>
        </w:tc>
        <w:tc>
          <w:tcPr>
            <w:tcW w:w="3158" w:type="dxa"/>
            <w:tcBorders>
              <w:top w:val="single" w:color="auto" w:sz="4" w:space="0"/>
              <w:left w:val="single" w:color="auto" w:sz="4" w:space="0"/>
              <w:bottom w:val="single" w:color="auto" w:sz="4" w:space="0"/>
              <w:right w:val="single" w:color="auto" w:sz="4" w:space="0"/>
            </w:tcBorders>
            <w:noWrap w:val="0"/>
            <w:vAlign w:val="center"/>
          </w:tcPr>
          <w:p w14:paraId="03E5296A">
            <w:pPr>
              <w:snapToGrid w:val="0"/>
              <w:spacing w:line="400" w:lineRule="exact"/>
              <w:jc w:val="center"/>
              <w:rPr>
                <w:rFonts w:hint="eastAsia" w:ascii="仿宋" w:hAnsi="仿宋" w:eastAsia="仿宋" w:cs="仿宋"/>
                <w:b w:val="0"/>
                <w:bCs/>
                <w:color w:val="auto"/>
                <w:sz w:val="24"/>
                <w:szCs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center"/>
          </w:tcPr>
          <w:p w14:paraId="39B0BA3F">
            <w:pPr>
              <w:snapToGrid w:val="0"/>
              <w:spacing w:line="400" w:lineRule="exact"/>
              <w:jc w:val="center"/>
              <w:rPr>
                <w:rFonts w:hint="eastAsia" w:ascii="仿宋" w:hAnsi="仿宋" w:eastAsia="仿宋" w:cs="仿宋"/>
                <w:b w:val="0"/>
                <w:bCs/>
                <w:color w:val="auto"/>
                <w:sz w:val="24"/>
                <w:szCs w:val="24"/>
                <w:highlight w:val="none"/>
              </w:rPr>
            </w:pPr>
          </w:p>
        </w:tc>
      </w:tr>
      <w:tr w14:paraId="7E518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14:paraId="204436DB">
            <w:pPr>
              <w:snapToGrid w:val="0"/>
              <w:spacing w:line="40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4342BA9D">
            <w:pPr>
              <w:snapToGrid w:val="0"/>
              <w:spacing w:line="24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备注</w:t>
            </w:r>
          </w:p>
        </w:tc>
        <w:tc>
          <w:tcPr>
            <w:tcW w:w="3158" w:type="dxa"/>
            <w:tcBorders>
              <w:top w:val="single" w:color="auto" w:sz="4" w:space="0"/>
              <w:left w:val="single" w:color="auto" w:sz="4" w:space="0"/>
              <w:bottom w:val="single" w:color="auto" w:sz="4" w:space="0"/>
              <w:right w:val="single" w:color="auto" w:sz="4" w:space="0"/>
            </w:tcBorders>
            <w:noWrap w:val="0"/>
            <w:vAlign w:val="center"/>
          </w:tcPr>
          <w:p w14:paraId="0A3F4B3E">
            <w:pPr>
              <w:snapToGrid w:val="0"/>
              <w:spacing w:line="400" w:lineRule="exact"/>
              <w:jc w:val="center"/>
              <w:rPr>
                <w:rFonts w:hint="eastAsia" w:ascii="仿宋" w:hAnsi="仿宋" w:eastAsia="仿宋" w:cs="仿宋"/>
                <w:b w:val="0"/>
                <w:bCs/>
                <w:color w:val="auto"/>
                <w:sz w:val="24"/>
                <w:szCs w:val="24"/>
                <w:highlight w:val="none"/>
              </w:rPr>
            </w:pPr>
          </w:p>
        </w:tc>
        <w:tc>
          <w:tcPr>
            <w:tcW w:w="3165" w:type="dxa"/>
            <w:tcBorders>
              <w:top w:val="single" w:color="auto" w:sz="4" w:space="0"/>
              <w:left w:val="single" w:color="auto" w:sz="4" w:space="0"/>
              <w:bottom w:val="single" w:color="auto" w:sz="4" w:space="0"/>
              <w:right w:val="single" w:color="auto" w:sz="4" w:space="0"/>
            </w:tcBorders>
            <w:noWrap w:val="0"/>
            <w:vAlign w:val="center"/>
          </w:tcPr>
          <w:p w14:paraId="763CE305">
            <w:pPr>
              <w:snapToGrid w:val="0"/>
              <w:spacing w:line="400" w:lineRule="exact"/>
              <w:jc w:val="center"/>
              <w:rPr>
                <w:rFonts w:hint="eastAsia" w:ascii="仿宋" w:hAnsi="仿宋" w:eastAsia="仿宋" w:cs="仿宋"/>
                <w:b w:val="0"/>
                <w:bCs/>
                <w:color w:val="auto"/>
                <w:sz w:val="24"/>
                <w:szCs w:val="24"/>
                <w:highlight w:val="none"/>
              </w:rPr>
            </w:pPr>
          </w:p>
        </w:tc>
      </w:tr>
    </w:tbl>
    <w:p w14:paraId="0F4E99DF">
      <w:pPr>
        <w:spacing w:line="360" w:lineRule="auto"/>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color w:val="auto"/>
          <w:sz w:val="24"/>
          <w:szCs w:val="24"/>
          <w:highlight w:val="none"/>
          <w:lang w:val="en-US" w:eastAsia="zh-CN"/>
        </w:rPr>
        <w:t>1、报价货币为人民币。</w:t>
      </w:r>
    </w:p>
    <w:p w14:paraId="5013CE97">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2、开标一览表中投标报价大小应写一致，如不一致以大写为准。</w:t>
      </w:r>
    </w:p>
    <w:p w14:paraId="01CC5E71">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3、供应商的报价应当为含税全包价，包括但不限于货物采购、运维服务、保险费、税费、相关售后服务等费用，采购人不再另行支付任何费用。</w:t>
      </w:r>
    </w:p>
    <w:p w14:paraId="5BD26E3B">
      <w:pPr>
        <w:numPr>
          <w:ilvl w:val="0"/>
          <w:numId w:val="0"/>
        </w:numPr>
        <w:spacing w:line="360" w:lineRule="auto"/>
        <w:ind w:leftChars="0" w:firstLine="960" w:firstLineChars="4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4、任何有选择或有条件的投标总价或明细表中某一项填写多个报价，均将导致投标被拒绝。</w:t>
      </w:r>
    </w:p>
    <w:p w14:paraId="12839A7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bookmarkStart w:id="112" w:name="_Toc4570"/>
      <w:bookmarkStart w:id="113" w:name="_Toc21935"/>
      <w:bookmarkStart w:id="114" w:name="_Toc4683"/>
      <w:bookmarkStart w:id="115" w:name="_Toc32601"/>
      <w:bookmarkStart w:id="116" w:name="_Toc12987"/>
      <w:r>
        <w:rPr>
          <w:rFonts w:hint="eastAsia" w:ascii="仿宋" w:hAnsi="仿宋" w:eastAsia="仿宋" w:cs="仿宋"/>
          <w:color w:val="auto"/>
          <w:sz w:val="24"/>
          <w:szCs w:val="24"/>
          <w:highlight w:val="none"/>
          <w:lang w:val="en-US" w:eastAsia="zh-CN"/>
        </w:rPr>
        <w:t xml:space="preserve">      投标人(单位公章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5B5817D0">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6887A92C">
      <w:pPr>
        <w:spacing w:line="360" w:lineRule="auto"/>
        <w:rPr>
          <w:rFonts w:hint="eastAsia" w:ascii="仿宋" w:hAnsi="仿宋" w:eastAsia="仿宋" w:cs="仿宋"/>
          <w:color w:val="auto"/>
          <w:sz w:val="24"/>
          <w:szCs w:val="24"/>
          <w:highlight w:val="none"/>
        </w:rPr>
      </w:pPr>
    </w:p>
    <w:p w14:paraId="7050A9E9">
      <w:pPr>
        <w:pStyle w:val="20"/>
        <w:rPr>
          <w:rFonts w:hint="default" w:eastAsia="仿宋"/>
          <w:lang w:val="en-US" w:eastAsia="zh-CN"/>
        </w:rPr>
      </w:pPr>
      <w:r>
        <w:rPr>
          <w:rFonts w:hint="eastAsia" w:ascii="仿宋" w:hAnsi="仿宋" w:eastAsia="仿宋" w:cs="仿宋"/>
          <w:color w:val="auto"/>
          <w:sz w:val="24"/>
          <w:szCs w:val="24"/>
          <w:highlight w:val="none"/>
        </w:rPr>
        <w:t>年   月   日</w:t>
      </w:r>
      <w:bookmarkEnd w:id="112"/>
      <w:bookmarkEnd w:id="113"/>
      <w:bookmarkEnd w:id="114"/>
      <w:bookmarkEnd w:id="115"/>
      <w:bookmarkEnd w:id="116"/>
    </w:p>
    <w:p w14:paraId="73E9E27A">
      <w:pPr>
        <w:pStyle w:val="3"/>
        <w:jc w:val="center"/>
        <w:rPr>
          <w:rFonts w:hint="eastAsia" w:ascii="仿宋" w:hAnsi="仿宋" w:eastAsia="仿宋" w:cs="仿宋"/>
          <w:color w:val="auto"/>
          <w:sz w:val="28"/>
          <w:highlight w:val="none"/>
          <w:lang w:val="en-US" w:eastAsia="zh-CN"/>
        </w:rPr>
      </w:pPr>
      <w:r>
        <w:rPr>
          <w:rFonts w:hint="eastAsia" w:ascii="仿宋" w:hAnsi="仿宋" w:eastAsia="仿宋" w:cs="仿宋"/>
          <w:b/>
          <w:bCs/>
          <w:color w:val="000000"/>
          <w:sz w:val="24"/>
          <w:szCs w:val="24"/>
        </w:rPr>
        <w:br w:type="page"/>
      </w:r>
      <w:r>
        <w:rPr>
          <w:rFonts w:hint="eastAsia" w:ascii="仿宋" w:hAnsi="仿宋" w:eastAsia="仿宋" w:cs="仿宋"/>
          <w:color w:val="auto"/>
          <w:sz w:val="28"/>
          <w:highlight w:val="none"/>
          <w:lang w:val="en-US" w:eastAsia="zh-CN"/>
        </w:rPr>
        <w:t>投标报价明细表</w:t>
      </w:r>
    </w:p>
    <w:p w14:paraId="7666E53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6E31562">
      <w:pPr>
        <w:pStyle w:val="14"/>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项目编号：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928"/>
        <w:gridCol w:w="2268"/>
        <w:gridCol w:w="1252"/>
        <w:gridCol w:w="1254"/>
      </w:tblGrid>
      <w:tr w14:paraId="51CD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28" w:type="dxa"/>
            <w:noWrap w:val="0"/>
            <w:vAlign w:val="center"/>
          </w:tcPr>
          <w:p w14:paraId="34C0415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928" w:type="dxa"/>
            <w:noWrap w:val="0"/>
            <w:vAlign w:val="center"/>
          </w:tcPr>
          <w:p w14:paraId="24FD91B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928" w:type="dxa"/>
            <w:noWrap w:val="0"/>
            <w:vAlign w:val="center"/>
          </w:tcPr>
          <w:p w14:paraId="3A0369AB">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单位</w:t>
            </w:r>
          </w:p>
        </w:tc>
        <w:tc>
          <w:tcPr>
            <w:tcW w:w="928" w:type="dxa"/>
            <w:noWrap w:val="0"/>
            <w:vAlign w:val="center"/>
          </w:tcPr>
          <w:p w14:paraId="04C45AE1">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数量</w:t>
            </w:r>
          </w:p>
        </w:tc>
        <w:tc>
          <w:tcPr>
            <w:tcW w:w="2268" w:type="dxa"/>
            <w:noWrap w:val="0"/>
            <w:vAlign w:val="center"/>
          </w:tcPr>
          <w:p w14:paraId="0413F823">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技术参数或规格</w:t>
            </w:r>
          </w:p>
        </w:tc>
        <w:tc>
          <w:tcPr>
            <w:tcW w:w="1252" w:type="dxa"/>
            <w:noWrap w:val="0"/>
            <w:vAlign w:val="center"/>
          </w:tcPr>
          <w:p w14:paraId="12EAB463">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投入产品的品牌</w:t>
            </w:r>
          </w:p>
        </w:tc>
        <w:tc>
          <w:tcPr>
            <w:tcW w:w="1254" w:type="dxa"/>
            <w:noWrap w:val="0"/>
            <w:vAlign w:val="center"/>
          </w:tcPr>
          <w:p w14:paraId="128EE189">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投入产品的产地</w:t>
            </w:r>
          </w:p>
        </w:tc>
      </w:tr>
      <w:tr w14:paraId="1B34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075C1A77">
            <w:pPr>
              <w:ind w:left="218" w:leftChars="104"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928" w:type="dxa"/>
            <w:noWrap w:val="0"/>
            <w:vAlign w:val="center"/>
          </w:tcPr>
          <w:p w14:paraId="2AEF1A2E">
            <w:pPr>
              <w:jc w:val="center"/>
              <w:rPr>
                <w:rFonts w:hint="eastAsia" w:ascii="仿宋" w:hAnsi="仿宋" w:eastAsia="仿宋" w:cs="仿宋"/>
                <w:color w:val="auto"/>
                <w:sz w:val="24"/>
                <w:szCs w:val="24"/>
                <w:highlight w:val="none"/>
              </w:rPr>
            </w:pPr>
          </w:p>
        </w:tc>
        <w:tc>
          <w:tcPr>
            <w:tcW w:w="928" w:type="dxa"/>
            <w:noWrap w:val="0"/>
            <w:vAlign w:val="center"/>
          </w:tcPr>
          <w:p w14:paraId="3B291BBC">
            <w:pPr>
              <w:jc w:val="center"/>
              <w:rPr>
                <w:rFonts w:hint="eastAsia" w:ascii="仿宋" w:hAnsi="仿宋" w:eastAsia="仿宋" w:cs="仿宋"/>
                <w:color w:val="auto"/>
                <w:sz w:val="24"/>
                <w:szCs w:val="24"/>
                <w:highlight w:val="none"/>
              </w:rPr>
            </w:pPr>
          </w:p>
        </w:tc>
        <w:tc>
          <w:tcPr>
            <w:tcW w:w="928" w:type="dxa"/>
            <w:noWrap w:val="0"/>
            <w:vAlign w:val="center"/>
          </w:tcPr>
          <w:p w14:paraId="5845C363">
            <w:pPr>
              <w:jc w:val="center"/>
              <w:rPr>
                <w:rFonts w:hint="eastAsia" w:ascii="仿宋" w:hAnsi="仿宋" w:eastAsia="仿宋" w:cs="仿宋"/>
                <w:color w:val="auto"/>
                <w:sz w:val="24"/>
                <w:szCs w:val="24"/>
                <w:highlight w:val="none"/>
              </w:rPr>
            </w:pPr>
          </w:p>
        </w:tc>
        <w:tc>
          <w:tcPr>
            <w:tcW w:w="2268" w:type="dxa"/>
            <w:noWrap w:val="0"/>
            <w:vAlign w:val="center"/>
          </w:tcPr>
          <w:p w14:paraId="54A69E21">
            <w:pPr>
              <w:jc w:val="center"/>
              <w:rPr>
                <w:rFonts w:hint="eastAsia" w:ascii="仿宋" w:hAnsi="仿宋" w:eastAsia="仿宋" w:cs="仿宋"/>
                <w:color w:val="auto"/>
                <w:sz w:val="24"/>
                <w:szCs w:val="24"/>
                <w:highlight w:val="none"/>
              </w:rPr>
            </w:pPr>
          </w:p>
        </w:tc>
        <w:tc>
          <w:tcPr>
            <w:tcW w:w="1252" w:type="dxa"/>
            <w:noWrap w:val="0"/>
            <w:vAlign w:val="center"/>
          </w:tcPr>
          <w:p w14:paraId="797507BA">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754F6F7D">
            <w:pPr>
              <w:spacing w:line="360" w:lineRule="auto"/>
              <w:jc w:val="center"/>
              <w:rPr>
                <w:rFonts w:hint="eastAsia" w:ascii="仿宋" w:hAnsi="仿宋" w:eastAsia="仿宋" w:cs="仿宋"/>
                <w:b/>
                <w:color w:val="auto"/>
                <w:sz w:val="24"/>
                <w:szCs w:val="24"/>
                <w:highlight w:val="none"/>
              </w:rPr>
            </w:pPr>
          </w:p>
        </w:tc>
      </w:tr>
      <w:tr w14:paraId="2BF1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24683157">
            <w:pPr>
              <w:jc w:val="center"/>
              <w:rPr>
                <w:rFonts w:hint="eastAsia" w:ascii="仿宋" w:hAnsi="仿宋" w:eastAsia="仿宋" w:cs="仿宋"/>
                <w:color w:val="auto"/>
                <w:sz w:val="24"/>
                <w:szCs w:val="24"/>
                <w:highlight w:val="none"/>
              </w:rPr>
            </w:pPr>
          </w:p>
        </w:tc>
        <w:tc>
          <w:tcPr>
            <w:tcW w:w="928" w:type="dxa"/>
            <w:noWrap w:val="0"/>
            <w:vAlign w:val="center"/>
          </w:tcPr>
          <w:p w14:paraId="3C6CD588">
            <w:pPr>
              <w:jc w:val="center"/>
              <w:rPr>
                <w:rFonts w:hint="eastAsia" w:ascii="仿宋" w:hAnsi="仿宋" w:eastAsia="仿宋" w:cs="仿宋"/>
                <w:color w:val="auto"/>
                <w:sz w:val="24"/>
                <w:szCs w:val="24"/>
                <w:highlight w:val="none"/>
              </w:rPr>
            </w:pPr>
          </w:p>
        </w:tc>
        <w:tc>
          <w:tcPr>
            <w:tcW w:w="928" w:type="dxa"/>
            <w:noWrap w:val="0"/>
            <w:vAlign w:val="center"/>
          </w:tcPr>
          <w:p w14:paraId="3BC34009">
            <w:pPr>
              <w:jc w:val="center"/>
              <w:rPr>
                <w:rFonts w:hint="eastAsia" w:ascii="仿宋" w:hAnsi="仿宋" w:eastAsia="仿宋" w:cs="仿宋"/>
                <w:color w:val="auto"/>
                <w:sz w:val="24"/>
                <w:szCs w:val="24"/>
                <w:highlight w:val="none"/>
              </w:rPr>
            </w:pPr>
          </w:p>
        </w:tc>
        <w:tc>
          <w:tcPr>
            <w:tcW w:w="928" w:type="dxa"/>
            <w:noWrap w:val="0"/>
            <w:vAlign w:val="center"/>
          </w:tcPr>
          <w:p w14:paraId="3DBDFF8D">
            <w:pPr>
              <w:jc w:val="center"/>
              <w:rPr>
                <w:rFonts w:hint="eastAsia" w:ascii="仿宋" w:hAnsi="仿宋" w:eastAsia="仿宋" w:cs="仿宋"/>
                <w:color w:val="auto"/>
                <w:sz w:val="24"/>
                <w:szCs w:val="24"/>
                <w:highlight w:val="none"/>
              </w:rPr>
            </w:pPr>
          </w:p>
        </w:tc>
        <w:tc>
          <w:tcPr>
            <w:tcW w:w="2268" w:type="dxa"/>
            <w:noWrap w:val="0"/>
            <w:vAlign w:val="center"/>
          </w:tcPr>
          <w:p w14:paraId="18780299">
            <w:pPr>
              <w:jc w:val="center"/>
              <w:rPr>
                <w:rFonts w:hint="eastAsia" w:ascii="仿宋" w:hAnsi="仿宋" w:eastAsia="仿宋" w:cs="仿宋"/>
                <w:color w:val="auto"/>
                <w:sz w:val="24"/>
                <w:szCs w:val="24"/>
                <w:highlight w:val="none"/>
              </w:rPr>
            </w:pPr>
          </w:p>
        </w:tc>
        <w:tc>
          <w:tcPr>
            <w:tcW w:w="1252" w:type="dxa"/>
            <w:noWrap w:val="0"/>
            <w:vAlign w:val="center"/>
          </w:tcPr>
          <w:p w14:paraId="354FCCBE">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56376341">
            <w:pPr>
              <w:spacing w:line="360" w:lineRule="auto"/>
              <w:jc w:val="center"/>
              <w:rPr>
                <w:rFonts w:hint="eastAsia" w:ascii="仿宋" w:hAnsi="仿宋" w:eastAsia="仿宋" w:cs="仿宋"/>
                <w:b/>
                <w:color w:val="auto"/>
                <w:sz w:val="24"/>
                <w:szCs w:val="24"/>
                <w:highlight w:val="none"/>
              </w:rPr>
            </w:pPr>
          </w:p>
        </w:tc>
      </w:tr>
      <w:tr w14:paraId="02CA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3B404D54">
            <w:pPr>
              <w:jc w:val="center"/>
              <w:rPr>
                <w:rFonts w:hint="eastAsia" w:ascii="仿宋" w:hAnsi="仿宋" w:eastAsia="仿宋" w:cs="仿宋"/>
                <w:color w:val="auto"/>
                <w:sz w:val="24"/>
                <w:szCs w:val="24"/>
                <w:highlight w:val="none"/>
              </w:rPr>
            </w:pPr>
          </w:p>
        </w:tc>
        <w:tc>
          <w:tcPr>
            <w:tcW w:w="928" w:type="dxa"/>
            <w:noWrap w:val="0"/>
            <w:vAlign w:val="center"/>
          </w:tcPr>
          <w:p w14:paraId="4789B1E5">
            <w:pPr>
              <w:jc w:val="center"/>
              <w:rPr>
                <w:rFonts w:hint="eastAsia" w:ascii="仿宋" w:hAnsi="仿宋" w:eastAsia="仿宋" w:cs="仿宋"/>
                <w:color w:val="auto"/>
                <w:sz w:val="24"/>
                <w:szCs w:val="24"/>
                <w:highlight w:val="none"/>
              </w:rPr>
            </w:pPr>
          </w:p>
        </w:tc>
        <w:tc>
          <w:tcPr>
            <w:tcW w:w="928" w:type="dxa"/>
            <w:noWrap w:val="0"/>
            <w:vAlign w:val="center"/>
          </w:tcPr>
          <w:p w14:paraId="2309D32A">
            <w:pPr>
              <w:jc w:val="center"/>
              <w:rPr>
                <w:rFonts w:hint="eastAsia" w:ascii="仿宋" w:hAnsi="仿宋" w:eastAsia="仿宋" w:cs="仿宋"/>
                <w:color w:val="auto"/>
                <w:sz w:val="24"/>
                <w:szCs w:val="24"/>
                <w:highlight w:val="none"/>
              </w:rPr>
            </w:pPr>
          </w:p>
        </w:tc>
        <w:tc>
          <w:tcPr>
            <w:tcW w:w="928" w:type="dxa"/>
            <w:noWrap w:val="0"/>
            <w:vAlign w:val="center"/>
          </w:tcPr>
          <w:p w14:paraId="1B6A5304">
            <w:pPr>
              <w:jc w:val="center"/>
              <w:rPr>
                <w:rFonts w:hint="eastAsia" w:ascii="仿宋" w:hAnsi="仿宋" w:eastAsia="仿宋" w:cs="仿宋"/>
                <w:color w:val="auto"/>
                <w:sz w:val="24"/>
                <w:szCs w:val="24"/>
                <w:highlight w:val="none"/>
              </w:rPr>
            </w:pPr>
          </w:p>
        </w:tc>
        <w:tc>
          <w:tcPr>
            <w:tcW w:w="2268" w:type="dxa"/>
            <w:noWrap w:val="0"/>
            <w:vAlign w:val="center"/>
          </w:tcPr>
          <w:p w14:paraId="7B26EA51">
            <w:pPr>
              <w:jc w:val="center"/>
              <w:rPr>
                <w:rFonts w:hint="eastAsia" w:ascii="仿宋" w:hAnsi="仿宋" w:eastAsia="仿宋" w:cs="仿宋"/>
                <w:color w:val="auto"/>
                <w:sz w:val="24"/>
                <w:szCs w:val="24"/>
                <w:highlight w:val="none"/>
              </w:rPr>
            </w:pPr>
          </w:p>
        </w:tc>
        <w:tc>
          <w:tcPr>
            <w:tcW w:w="1252" w:type="dxa"/>
            <w:noWrap w:val="0"/>
            <w:vAlign w:val="center"/>
          </w:tcPr>
          <w:p w14:paraId="0BFF6808">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21A11CD4">
            <w:pPr>
              <w:spacing w:line="360" w:lineRule="auto"/>
              <w:jc w:val="center"/>
              <w:rPr>
                <w:rFonts w:hint="eastAsia" w:ascii="仿宋" w:hAnsi="仿宋" w:eastAsia="仿宋" w:cs="仿宋"/>
                <w:b/>
                <w:color w:val="auto"/>
                <w:sz w:val="24"/>
                <w:szCs w:val="24"/>
                <w:highlight w:val="none"/>
              </w:rPr>
            </w:pPr>
          </w:p>
        </w:tc>
      </w:tr>
      <w:tr w14:paraId="4E9A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46B1A64A">
            <w:pPr>
              <w:jc w:val="center"/>
              <w:rPr>
                <w:rFonts w:hint="eastAsia" w:ascii="仿宋" w:hAnsi="仿宋" w:eastAsia="仿宋" w:cs="仿宋"/>
                <w:color w:val="auto"/>
                <w:sz w:val="24"/>
                <w:szCs w:val="24"/>
                <w:highlight w:val="none"/>
              </w:rPr>
            </w:pPr>
          </w:p>
        </w:tc>
        <w:tc>
          <w:tcPr>
            <w:tcW w:w="928" w:type="dxa"/>
            <w:noWrap w:val="0"/>
            <w:vAlign w:val="center"/>
          </w:tcPr>
          <w:p w14:paraId="7B01F84E">
            <w:pPr>
              <w:jc w:val="center"/>
              <w:rPr>
                <w:rFonts w:hint="eastAsia" w:ascii="仿宋" w:hAnsi="仿宋" w:eastAsia="仿宋" w:cs="仿宋"/>
                <w:color w:val="auto"/>
                <w:sz w:val="24"/>
                <w:szCs w:val="24"/>
                <w:highlight w:val="none"/>
              </w:rPr>
            </w:pPr>
          </w:p>
        </w:tc>
        <w:tc>
          <w:tcPr>
            <w:tcW w:w="928" w:type="dxa"/>
            <w:noWrap w:val="0"/>
            <w:vAlign w:val="center"/>
          </w:tcPr>
          <w:p w14:paraId="39F75E86">
            <w:pPr>
              <w:jc w:val="center"/>
              <w:rPr>
                <w:rFonts w:hint="eastAsia" w:ascii="仿宋" w:hAnsi="仿宋" w:eastAsia="仿宋" w:cs="仿宋"/>
                <w:color w:val="auto"/>
                <w:sz w:val="24"/>
                <w:szCs w:val="24"/>
                <w:highlight w:val="none"/>
              </w:rPr>
            </w:pPr>
          </w:p>
        </w:tc>
        <w:tc>
          <w:tcPr>
            <w:tcW w:w="928" w:type="dxa"/>
            <w:noWrap w:val="0"/>
            <w:vAlign w:val="center"/>
          </w:tcPr>
          <w:p w14:paraId="5C482F00">
            <w:pPr>
              <w:jc w:val="center"/>
              <w:rPr>
                <w:rFonts w:hint="eastAsia" w:ascii="仿宋" w:hAnsi="仿宋" w:eastAsia="仿宋" w:cs="仿宋"/>
                <w:color w:val="auto"/>
                <w:sz w:val="24"/>
                <w:szCs w:val="24"/>
                <w:highlight w:val="none"/>
              </w:rPr>
            </w:pPr>
          </w:p>
        </w:tc>
        <w:tc>
          <w:tcPr>
            <w:tcW w:w="2268" w:type="dxa"/>
            <w:noWrap w:val="0"/>
            <w:vAlign w:val="center"/>
          </w:tcPr>
          <w:p w14:paraId="27A2A9AE">
            <w:pPr>
              <w:jc w:val="center"/>
              <w:rPr>
                <w:rFonts w:hint="eastAsia" w:ascii="仿宋" w:hAnsi="仿宋" w:eastAsia="仿宋" w:cs="仿宋"/>
                <w:color w:val="auto"/>
                <w:sz w:val="24"/>
                <w:szCs w:val="24"/>
                <w:highlight w:val="none"/>
              </w:rPr>
            </w:pPr>
          </w:p>
        </w:tc>
        <w:tc>
          <w:tcPr>
            <w:tcW w:w="1252" w:type="dxa"/>
            <w:noWrap w:val="0"/>
            <w:vAlign w:val="center"/>
          </w:tcPr>
          <w:p w14:paraId="0090D813">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13F8A94A">
            <w:pPr>
              <w:spacing w:line="360" w:lineRule="auto"/>
              <w:jc w:val="center"/>
              <w:rPr>
                <w:rFonts w:hint="eastAsia" w:ascii="仿宋" w:hAnsi="仿宋" w:eastAsia="仿宋" w:cs="仿宋"/>
                <w:b/>
                <w:color w:val="auto"/>
                <w:sz w:val="24"/>
                <w:szCs w:val="24"/>
                <w:highlight w:val="none"/>
              </w:rPr>
            </w:pPr>
          </w:p>
        </w:tc>
      </w:tr>
      <w:tr w14:paraId="604E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144F7599">
            <w:pPr>
              <w:jc w:val="center"/>
              <w:rPr>
                <w:rFonts w:hint="eastAsia" w:ascii="仿宋" w:hAnsi="仿宋" w:eastAsia="仿宋" w:cs="仿宋"/>
                <w:color w:val="auto"/>
                <w:sz w:val="24"/>
                <w:szCs w:val="24"/>
                <w:highlight w:val="none"/>
              </w:rPr>
            </w:pPr>
          </w:p>
        </w:tc>
        <w:tc>
          <w:tcPr>
            <w:tcW w:w="928" w:type="dxa"/>
            <w:noWrap w:val="0"/>
            <w:vAlign w:val="center"/>
          </w:tcPr>
          <w:p w14:paraId="67CEB5B0">
            <w:pPr>
              <w:jc w:val="center"/>
              <w:rPr>
                <w:rFonts w:hint="eastAsia" w:ascii="仿宋" w:hAnsi="仿宋" w:eastAsia="仿宋" w:cs="仿宋"/>
                <w:color w:val="auto"/>
                <w:sz w:val="24"/>
                <w:szCs w:val="24"/>
                <w:highlight w:val="none"/>
              </w:rPr>
            </w:pPr>
          </w:p>
        </w:tc>
        <w:tc>
          <w:tcPr>
            <w:tcW w:w="928" w:type="dxa"/>
            <w:noWrap w:val="0"/>
            <w:vAlign w:val="center"/>
          </w:tcPr>
          <w:p w14:paraId="739999DA">
            <w:pPr>
              <w:jc w:val="center"/>
              <w:rPr>
                <w:rFonts w:hint="eastAsia" w:ascii="仿宋" w:hAnsi="仿宋" w:eastAsia="仿宋" w:cs="仿宋"/>
                <w:color w:val="auto"/>
                <w:sz w:val="24"/>
                <w:szCs w:val="24"/>
                <w:highlight w:val="none"/>
              </w:rPr>
            </w:pPr>
          </w:p>
        </w:tc>
        <w:tc>
          <w:tcPr>
            <w:tcW w:w="928" w:type="dxa"/>
            <w:noWrap w:val="0"/>
            <w:vAlign w:val="center"/>
          </w:tcPr>
          <w:p w14:paraId="403D1CB6">
            <w:pPr>
              <w:jc w:val="center"/>
              <w:rPr>
                <w:rFonts w:hint="eastAsia" w:ascii="仿宋" w:hAnsi="仿宋" w:eastAsia="仿宋" w:cs="仿宋"/>
                <w:color w:val="auto"/>
                <w:sz w:val="24"/>
                <w:szCs w:val="24"/>
                <w:highlight w:val="none"/>
              </w:rPr>
            </w:pPr>
          </w:p>
        </w:tc>
        <w:tc>
          <w:tcPr>
            <w:tcW w:w="2268" w:type="dxa"/>
            <w:noWrap w:val="0"/>
            <w:vAlign w:val="center"/>
          </w:tcPr>
          <w:p w14:paraId="2185BA86">
            <w:pPr>
              <w:jc w:val="center"/>
              <w:rPr>
                <w:rFonts w:hint="eastAsia" w:ascii="仿宋" w:hAnsi="仿宋" w:eastAsia="仿宋" w:cs="仿宋"/>
                <w:color w:val="auto"/>
                <w:sz w:val="24"/>
                <w:szCs w:val="24"/>
                <w:highlight w:val="none"/>
              </w:rPr>
            </w:pPr>
          </w:p>
        </w:tc>
        <w:tc>
          <w:tcPr>
            <w:tcW w:w="1252" w:type="dxa"/>
            <w:noWrap w:val="0"/>
            <w:vAlign w:val="center"/>
          </w:tcPr>
          <w:p w14:paraId="4D2747D5">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54D55868">
            <w:pPr>
              <w:spacing w:line="360" w:lineRule="auto"/>
              <w:jc w:val="center"/>
              <w:rPr>
                <w:rFonts w:hint="eastAsia" w:ascii="仿宋" w:hAnsi="仿宋" w:eastAsia="仿宋" w:cs="仿宋"/>
                <w:b/>
                <w:color w:val="auto"/>
                <w:sz w:val="24"/>
                <w:szCs w:val="24"/>
                <w:highlight w:val="none"/>
              </w:rPr>
            </w:pPr>
          </w:p>
        </w:tc>
      </w:tr>
      <w:tr w14:paraId="6485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0D682746">
            <w:pPr>
              <w:jc w:val="center"/>
              <w:rPr>
                <w:rFonts w:hint="eastAsia" w:ascii="仿宋" w:hAnsi="仿宋" w:eastAsia="仿宋" w:cs="仿宋"/>
                <w:color w:val="auto"/>
                <w:sz w:val="24"/>
                <w:szCs w:val="24"/>
                <w:highlight w:val="none"/>
              </w:rPr>
            </w:pPr>
          </w:p>
        </w:tc>
        <w:tc>
          <w:tcPr>
            <w:tcW w:w="928" w:type="dxa"/>
            <w:noWrap w:val="0"/>
            <w:vAlign w:val="center"/>
          </w:tcPr>
          <w:p w14:paraId="1AD7AFE7">
            <w:pPr>
              <w:jc w:val="center"/>
              <w:rPr>
                <w:rFonts w:hint="eastAsia" w:ascii="仿宋" w:hAnsi="仿宋" w:eastAsia="仿宋" w:cs="仿宋"/>
                <w:color w:val="auto"/>
                <w:sz w:val="24"/>
                <w:szCs w:val="24"/>
                <w:highlight w:val="none"/>
              </w:rPr>
            </w:pPr>
          </w:p>
        </w:tc>
        <w:tc>
          <w:tcPr>
            <w:tcW w:w="928" w:type="dxa"/>
            <w:noWrap w:val="0"/>
            <w:vAlign w:val="center"/>
          </w:tcPr>
          <w:p w14:paraId="65E60814">
            <w:pPr>
              <w:jc w:val="center"/>
              <w:rPr>
                <w:rFonts w:hint="eastAsia" w:ascii="仿宋" w:hAnsi="仿宋" w:eastAsia="仿宋" w:cs="仿宋"/>
                <w:color w:val="auto"/>
                <w:sz w:val="24"/>
                <w:szCs w:val="24"/>
                <w:highlight w:val="none"/>
              </w:rPr>
            </w:pPr>
          </w:p>
        </w:tc>
        <w:tc>
          <w:tcPr>
            <w:tcW w:w="928" w:type="dxa"/>
            <w:noWrap w:val="0"/>
            <w:vAlign w:val="center"/>
          </w:tcPr>
          <w:p w14:paraId="26FECDE4">
            <w:pPr>
              <w:jc w:val="center"/>
              <w:rPr>
                <w:rFonts w:hint="eastAsia" w:ascii="仿宋" w:hAnsi="仿宋" w:eastAsia="仿宋" w:cs="仿宋"/>
                <w:color w:val="auto"/>
                <w:sz w:val="24"/>
                <w:szCs w:val="24"/>
                <w:highlight w:val="none"/>
              </w:rPr>
            </w:pPr>
          </w:p>
        </w:tc>
        <w:tc>
          <w:tcPr>
            <w:tcW w:w="2268" w:type="dxa"/>
            <w:noWrap w:val="0"/>
            <w:vAlign w:val="center"/>
          </w:tcPr>
          <w:p w14:paraId="62B3B445">
            <w:pPr>
              <w:jc w:val="center"/>
              <w:rPr>
                <w:rFonts w:hint="eastAsia" w:ascii="仿宋" w:hAnsi="仿宋" w:eastAsia="仿宋" w:cs="仿宋"/>
                <w:color w:val="auto"/>
                <w:sz w:val="24"/>
                <w:szCs w:val="24"/>
                <w:highlight w:val="none"/>
              </w:rPr>
            </w:pPr>
          </w:p>
        </w:tc>
        <w:tc>
          <w:tcPr>
            <w:tcW w:w="1252" w:type="dxa"/>
            <w:noWrap w:val="0"/>
            <w:vAlign w:val="center"/>
          </w:tcPr>
          <w:p w14:paraId="3731D047">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20BEFFF7">
            <w:pPr>
              <w:spacing w:line="360" w:lineRule="auto"/>
              <w:jc w:val="center"/>
              <w:rPr>
                <w:rFonts w:hint="eastAsia" w:ascii="仿宋" w:hAnsi="仿宋" w:eastAsia="仿宋" w:cs="仿宋"/>
                <w:b/>
                <w:color w:val="auto"/>
                <w:sz w:val="24"/>
                <w:szCs w:val="24"/>
                <w:highlight w:val="none"/>
              </w:rPr>
            </w:pPr>
          </w:p>
        </w:tc>
      </w:tr>
      <w:tr w14:paraId="07EB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28" w:type="dxa"/>
            <w:noWrap w:val="0"/>
            <w:vAlign w:val="center"/>
          </w:tcPr>
          <w:p w14:paraId="3567B46B">
            <w:pPr>
              <w:jc w:val="center"/>
              <w:rPr>
                <w:rFonts w:hint="eastAsia" w:ascii="仿宋" w:hAnsi="仿宋" w:eastAsia="仿宋" w:cs="仿宋"/>
                <w:color w:val="auto"/>
                <w:sz w:val="24"/>
                <w:szCs w:val="24"/>
                <w:highlight w:val="none"/>
              </w:rPr>
            </w:pPr>
          </w:p>
        </w:tc>
        <w:tc>
          <w:tcPr>
            <w:tcW w:w="928" w:type="dxa"/>
            <w:noWrap w:val="0"/>
            <w:vAlign w:val="center"/>
          </w:tcPr>
          <w:p w14:paraId="5E2E7D37">
            <w:pPr>
              <w:jc w:val="center"/>
              <w:rPr>
                <w:rFonts w:hint="eastAsia" w:ascii="仿宋" w:hAnsi="仿宋" w:eastAsia="仿宋" w:cs="仿宋"/>
                <w:color w:val="auto"/>
                <w:sz w:val="24"/>
                <w:szCs w:val="24"/>
                <w:highlight w:val="none"/>
              </w:rPr>
            </w:pPr>
          </w:p>
        </w:tc>
        <w:tc>
          <w:tcPr>
            <w:tcW w:w="928" w:type="dxa"/>
            <w:noWrap w:val="0"/>
            <w:vAlign w:val="center"/>
          </w:tcPr>
          <w:p w14:paraId="0C95CE98">
            <w:pPr>
              <w:jc w:val="center"/>
              <w:rPr>
                <w:rFonts w:hint="eastAsia" w:ascii="仿宋" w:hAnsi="仿宋" w:eastAsia="仿宋" w:cs="仿宋"/>
                <w:color w:val="auto"/>
                <w:sz w:val="24"/>
                <w:szCs w:val="24"/>
                <w:highlight w:val="none"/>
              </w:rPr>
            </w:pPr>
          </w:p>
        </w:tc>
        <w:tc>
          <w:tcPr>
            <w:tcW w:w="928" w:type="dxa"/>
            <w:noWrap w:val="0"/>
            <w:vAlign w:val="center"/>
          </w:tcPr>
          <w:p w14:paraId="07013AE0">
            <w:pPr>
              <w:jc w:val="center"/>
              <w:rPr>
                <w:rFonts w:hint="eastAsia" w:ascii="仿宋" w:hAnsi="仿宋" w:eastAsia="仿宋" w:cs="仿宋"/>
                <w:color w:val="auto"/>
                <w:sz w:val="24"/>
                <w:szCs w:val="24"/>
                <w:highlight w:val="none"/>
              </w:rPr>
            </w:pPr>
          </w:p>
        </w:tc>
        <w:tc>
          <w:tcPr>
            <w:tcW w:w="2268" w:type="dxa"/>
            <w:noWrap w:val="0"/>
            <w:vAlign w:val="center"/>
          </w:tcPr>
          <w:p w14:paraId="0E9B1EE7">
            <w:pPr>
              <w:jc w:val="center"/>
              <w:rPr>
                <w:rFonts w:hint="eastAsia" w:ascii="仿宋" w:hAnsi="仿宋" w:eastAsia="仿宋" w:cs="仿宋"/>
                <w:color w:val="auto"/>
                <w:sz w:val="24"/>
                <w:szCs w:val="24"/>
                <w:highlight w:val="none"/>
              </w:rPr>
            </w:pPr>
          </w:p>
        </w:tc>
        <w:tc>
          <w:tcPr>
            <w:tcW w:w="1252" w:type="dxa"/>
            <w:noWrap w:val="0"/>
            <w:vAlign w:val="center"/>
          </w:tcPr>
          <w:p w14:paraId="39D83425">
            <w:pPr>
              <w:spacing w:line="360" w:lineRule="auto"/>
              <w:jc w:val="center"/>
              <w:rPr>
                <w:rFonts w:hint="eastAsia" w:ascii="仿宋" w:hAnsi="仿宋" w:eastAsia="仿宋" w:cs="仿宋"/>
                <w:b/>
                <w:color w:val="auto"/>
                <w:sz w:val="24"/>
                <w:szCs w:val="24"/>
                <w:highlight w:val="none"/>
              </w:rPr>
            </w:pPr>
          </w:p>
        </w:tc>
        <w:tc>
          <w:tcPr>
            <w:tcW w:w="1254" w:type="dxa"/>
            <w:noWrap w:val="0"/>
            <w:vAlign w:val="center"/>
          </w:tcPr>
          <w:p w14:paraId="41F5AA93">
            <w:pPr>
              <w:spacing w:line="360" w:lineRule="auto"/>
              <w:jc w:val="center"/>
              <w:rPr>
                <w:rFonts w:hint="eastAsia" w:ascii="仿宋" w:hAnsi="仿宋" w:eastAsia="仿宋" w:cs="仿宋"/>
                <w:b/>
                <w:color w:val="auto"/>
                <w:sz w:val="24"/>
                <w:szCs w:val="24"/>
                <w:highlight w:val="none"/>
              </w:rPr>
            </w:pPr>
          </w:p>
        </w:tc>
      </w:tr>
    </w:tbl>
    <w:p w14:paraId="4DE5215A">
      <w:pPr>
        <w:pStyle w:val="14"/>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3212C1C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（此表可延长）</w:t>
      </w:r>
    </w:p>
    <w:p w14:paraId="20C0FCAF">
      <w:pPr>
        <w:spacing w:line="360" w:lineRule="auto"/>
        <w:ind w:firstLine="723" w:firstLineChars="3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注：1、供应商只填写移动执法终端设备的具体内容。</w:t>
      </w:r>
    </w:p>
    <w:p w14:paraId="47B6B488">
      <w:pPr>
        <w:spacing w:line="360" w:lineRule="auto"/>
        <w:ind w:firstLine="4080" w:firstLineChars="1700"/>
        <w:rPr>
          <w:rFonts w:hint="eastAsia" w:ascii="仿宋" w:hAnsi="仿宋" w:eastAsia="仿宋" w:cs="仿宋"/>
          <w:color w:val="auto"/>
          <w:sz w:val="24"/>
          <w:szCs w:val="24"/>
          <w:highlight w:val="none"/>
        </w:rPr>
      </w:pPr>
    </w:p>
    <w:p w14:paraId="46321E0D">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14:paraId="27C3C404">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477896DF">
      <w:pPr>
        <w:keepNext w:val="0"/>
        <w:keepLines w:val="0"/>
        <w:pageBreakBefore w:val="0"/>
        <w:widowControl w:val="0"/>
        <w:kinsoku/>
        <w:wordWrap/>
        <w:overflowPunct/>
        <w:topLinePunct w:val="0"/>
        <w:autoSpaceDE/>
        <w:autoSpaceDN/>
        <w:bidi w:val="0"/>
        <w:adjustRightInd/>
        <w:snapToGrid/>
        <w:spacing w:line="55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79A09CD">
      <w:pPr>
        <w:pStyle w:val="27"/>
        <w:ind w:left="0" w:leftChars="0" w:firstLine="0" w:firstLineChars="0"/>
        <w:jc w:val="center"/>
        <w:outlineLvl w:val="1"/>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商务文件格式</w:t>
      </w:r>
    </w:p>
    <w:p w14:paraId="66638F3E">
      <w:pPr>
        <w:snapToGrid w:val="0"/>
        <w:spacing w:before="165" w:beforeLines="50" w:beforeAutospacing="0" w:after="50" w:afterAutospacing="0"/>
        <w:rPr>
          <w:rFonts w:hint="eastAsia" w:ascii="仿宋" w:hAnsi="仿宋" w:eastAsia="仿宋" w:cs="仿宋"/>
          <w:color w:val="000000"/>
          <w:sz w:val="24"/>
          <w:szCs w:val="24"/>
        </w:rPr>
      </w:pPr>
    </w:p>
    <w:p w14:paraId="3C04533F">
      <w:pPr>
        <w:snapToGrid w:val="0"/>
        <w:spacing w:before="165" w:beforeLines="50" w:beforeAutospacing="0" w:after="50" w:afterAutospacing="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 xml:space="preserve">                                 </w:t>
      </w:r>
    </w:p>
    <w:p w14:paraId="6AB6F870">
      <w:pPr>
        <w:pStyle w:val="45"/>
        <w:rPr>
          <w:rFonts w:hint="eastAsia" w:ascii="仿宋" w:hAnsi="仿宋" w:eastAsia="仿宋" w:cs="仿宋"/>
          <w:color w:val="000000"/>
          <w:sz w:val="24"/>
          <w:szCs w:val="24"/>
        </w:rPr>
      </w:pPr>
    </w:p>
    <w:p w14:paraId="308EF9A6">
      <w:pPr>
        <w:rPr>
          <w:rFonts w:hint="eastAsia" w:ascii="仿宋" w:hAnsi="仿宋" w:eastAsia="仿宋" w:cs="仿宋"/>
        </w:rPr>
      </w:pPr>
    </w:p>
    <w:p w14:paraId="3D681C41">
      <w:pPr>
        <w:snapToGrid w:val="0"/>
        <w:spacing w:before="165" w:beforeLines="50" w:beforeAutospacing="0" w:after="50" w:afterAutospacing="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商务文件（封面）</w:t>
      </w:r>
    </w:p>
    <w:p w14:paraId="5DEC0749">
      <w:pPr>
        <w:snapToGrid w:val="0"/>
        <w:spacing w:before="165" w:beforeLines="50" w:beforeAutospacing="0" w:after="50" w:afterAutospacing="0"/>
        <w:rPr>
          <w:rFonts w:hint="eastAsia" w:ascii="仿宋" w:hAnsi="仿宋" w:eastAsia="仿宋" w:cs="仿宋"/>
          <w:bCs/>
          <w:color w:val="000000"/>
          <w:sz w:val="24"/>
          <w:szCs w:val="24"/>
        </w:rPr>
      </w:pPr>
    </w:p>
    <w:p w14:paraId="39F0AA3B">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项目名称：</w:t>
      </w:r>
    </w:p>
    <w:p w14:paraId="7168C27A">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p>
    <w:p w14:paraId="4CDE26AB">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项目编号： </w:t>
      </w:r>
    </w:p>
    <w:p w14:paraId="01641246">
      <w:pPr>
        <w:snapToGrid w:val="0"/>
        <w:spacing w:before="165" w:beforeLines="50" w:beforeAutospacing="0" w:after="50" w:afterAutospacing="0"/>
        <w:ind w:firstLine="540" w:firstLineChars="225"/>
        <w:rPr>
          <w:rFonts w:hint="eastAsia" w:ascii="仿宋" w:hAnsi="仿宋" w:eastAsia="仿宋" w:cs="仿宋"/>
          <w:bCs/>
          <w:color w:val="000000"/>
          <w:sz w:val="24"/>
          <w:szCs w:val="24"/>
        </w:rPr>
      </w:pPr>
    </w:p>
    <w:p w14:paraId="5FEE7CDB">
      <w:pPr>
        <w:pStyle w:val="14"/>
        <w:snapToGrid w:val="0"/>
        <w:spacing w:before="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投标人名称：</w:t>
      </w:r>
    </w:p>
    <w:p w14:paraId="0680A5A3">
      <w:pPr>
        <w:pStyle w:val="14"/>
        <w:snapToGrid w:val="0"/>
        <w:spacing w:before="50" w:beforeAutospacing="0" w:after="50" w:afterAutospacing="0"/>
        <w:ind w:firstLine="540" w:firstLineChars="225"/>
        <w:rPr>
          <w:rFonts w:hint="eastAsia" w:ascii="仿宋" w:hAnsi="仿宋" w:eastAsia="仿宋" w:cs="仿宋"/>
          <w:bCs/>
          <w:color w:val="000000"/>
          <w:sz w:val="24"/>
          <w:szCs w:val="24"/>
        </w:rPr>
      </w:pPr>
    </w:p>
    <w:p w14:paraId="3F4559EB">
      <w:pPr>
        <w:pStyle w:val="14"/>
        <w:snapToGrid w:val="0"/>
        <w:spacing w:before="50" w:beforeAutospacing="0" w:after="50" w:afterAutospacing="0"/>
        <w:ind w:firstLine="540" w:firstLineChars="225"/>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投标人地址：</w:t>
      </w:r>
    </w:p>
    <w:p w14:paraId="7554D82F">
      <w:pPr>
        <w:pStyle w:val="14"/>
        <w:snapToGrid w:val="0"/>
        <w:spacing w:before="50" w:beforeAutospacing="0" w:after="50" w:afterAutospacing="0"/>
        <w:ind w:firstLine="960" w:firstLineChars="400"/>
        <w:rPr>
          <w:rFonts w:hint="eastAsia" w:ascii="仿宋" w:hAnsi="仿宋" w:eastAsia="仿宋" w:cs="仿宋"/>
          <w:bCs/>
          <w:color w:val="000000"/>
          <w:sz w:val="24"/>
          <w:szCs w:val="24"/>
        </w:rPr>
      </w:pPr>
    </w:p>
    <w:p w14:paraId="15116C8E">
      <w:pPr>
        <w:snapToGrid w:val="0"/>
        <w:spacing w:before="165" w:beforeLines="50" w:beforeAutospacing="0" w:after="50" w:afterAutospacing="0"/>
        <w:ind w:firstLine="645"/>
        <w:jc w:val="center"/>
        <w:rPr>
          <w:rFonts w:hint="eastAsia" w:ascii="仿宋" w:hAnsi="仿宋" w:eastAsia="仿宋" w:cs="仿宋"/>
          <w:color w:val="000000"/>
          <w:sz w:val="24"/>
          <w:szCs w:val="24"/>
        </w:rPr>
      </w:pPr>
    </w:p>
    <w:p w14:paraId="1FFB5A24">
      <w:pPr>
        <w:snapToGrid w:val="0"/>
        <w:spacing w:before="165" w:beforeLines="50" w:beforeAutospacing="0" w:after="50" w:afterAutospacing="0"/>
        <w:ind w:firstLine="645"/>
        <w:jc w:val="center"/>
        <w:rPr>
          <w:rFonts w:hint="eastAsia" w:ascii="仿宋" w:hAnsi="仿宋" w:eastAsia="仿宋" w:cs="仿宋"/>
          <w:color w:val="000000"/>
          <w:sz w:val="24"/>
          <w:szCs w:val="24"/>
        </w:rPr>
      </w:pPr>
    </w:p>
    <w:p w14:paraId="281BBA66">
      <w:pPr>
        <w:snapToGrid w:val="0"/>
        <w:spacing w:before="165" w:beforeLines="50" w:beforeAutospacing="0" w:after="50" w:afterAutospacing="0"/>
        <w:ind w:firstLine="645"/>
        <w:jc w:val="center"/>
        <w:rPr>
          <w:rFonts w:hint="eastAsia" w:ascii="仿宋" w:hAnsi="仿宋" w:eastAsia="仿宋" w:cs="仿宋"/>
          <w:color w:val="000000"/>
          <w:sz w:val="24"/>
          <w:szCs w:val="24"/>
        </w:rPr>
      </w:pPr>
    </w:p>
    <w:p w14:paraId="736E2172">
      <w:pPr>
        <w:pStyle w:val="55"/>
        <w:rPr>
          <w:rFonts w:hint="eastAsia" w:ascii="仿宋" w:hAnsi="仿宋" w:eastAsia="仿宋" w:cs="仿宋"/>
          <w:color w:val="000000"/>
          <w:sz w:val="24"/>
          <w:szCs w:val="24"/>
        </w:rPr>
      </w:pPr>
    </w:p>
    <w:p w14:paraId="41F02E93">
      <w:pPr>
        <w:pStyle w:val="55"/>
        <w:ind w:left="0" w:leftChars="0" w:firstLine="0" w:firstLineChars="0"/>
        <w:rPr>
          <w:rFonts w:hint="eastAsia" w:ascii="仿宋" w:hAnsi="仿宋" w:eastAsia="仿宋" w:cs="仿宋"/>
          <w:color w:val="000000"/>
          <w:sz w:val="24"/>
          <w:szCs w:val="24"/>
        </w:rPr>
      </w:pPr>
    </w:p>
    <w:p w14:paraId="7F50B68C">
      <w:pPr>
        <w:snapToGrid w:val="0"/>
        <w:spacing w:before="165" w:beforeLines="50" w:beforeAutospacing="0" w:after="50" w:afterAutospacing="0"/>
        <w:ind w:firstLine="645"/>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14:paraId="6137E8BB">
      <w:pPr>
        <w:snapToGrid w:val="0"/>
        <w:spacing w:before="165" w:beforeLines="50" w:beforeAutospacing="0" w:after="50" w:afterAutospacing="0"/>
        <w:ind w:left="0" w:leftChars="0" w:firstLine="0" w:firstLineChars="0"/>
        <w:jc w:val="both"/>
        <w:rPr>
          <w:rFonts w:hint="eastAsia" w:ascii="仿宋" w:hAnsi="仿宋" w:eastAsia="仿宋" w:cs="仿宋"/>
        </w:rPr>
      </w:pPr>
      <w:r>
        <w:rPr>
          <w:rFonts w:hint="eastAsia" w:ascii="仿宋" w:hAnsi="仿宋" w:eastAsia="仿宋" w:cs="仿宋"/>
          <w:color w:val="000000"/>
          <w:sz w:val="24"/>
          <w:szCs w:val="24"/>
        </w:rPr>
        <w:br w:type="page"/>
      </w:r>
    </w:p>
    <w:p w14:paraId="61E2D991">
      <w:pPr>
        <w:bidi w:val="0"/>
        <w:jc w:val="center"/>
        <w:rPr>
          <w:rFonts w:hint="eastAsia" w:ascii="仿宋" w:hAnsi="仿宋" w:eastAsia="仿宋" w:cs="仿宋"/>
          <w:sz w:val="24"/>
          <w:szCs w:val="24"/>
        </w:rPr>
      </w:pPr>
      <w:r>
        <w:rPr>
          <w:rFonts w:hint="eastAsia" w:ascii="仿宋" w:hAnsi="仿宋" w:eastAsia="仿宋" w:cs="仿宋"/>
          <w:b/>
          <w:bCs/>
          <w:color w:val="000000"/>
          <w:sz w:val="24"/>
          <w:szCs w:val="24"/>
        </w:rPr>
        <w:t>商务文件目录</w:t>
      </w:r>
    </w:p>
    <w:p w14:paraId="57EF2F62">
      <w:pPr>
        <w:keepNext w:val="0"/>
        <w:keepLines w:val="0"/>
        <w:pageBreakBefore w:val="0"/>
        <w:widowControl w:val="0"/>
        <w:numPr>
          <w:ilvl w:val="0"/>
          <w:numId w:val="14"/>
        </w:numPr>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、投标单位简介，并附投标人资质证件及特定资格</w:t>
      </w:r>
    </w:p>
    <w:p w14:paraId="646A1484">
      <w:pPr>
        <w:keepNext w:val="0"/>
        <w:keepLines w:val="0"/>
        <w:pageBreakBefore w:val="0"/>
        <w:widowControl w:val="0"/>
        <w:numPr>
          <w:ilvl w:val="0"/>
          <w:numId w:val="14"/>
        </w:numPr>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、具法人营业执照函（格式见附件）</w:t>
      </w:r>
    </w:p>
    <w:p w14:paraId="4FED35AA">
      <w:pPr>
        <w:pStyle w:val="45"/>
        <w:keepNext w:val="0"/>
        <w:keepLines w:val="0"/>
        <w:pageBreakBefore w:val="0"/>
        <w:widowControl w:val="0"/>
        <w:kinsoku/>
        <w:wordWrap/>
        <w:overflowPunct/>
        <w:topLinePunct w:val="0"/>
        <w:autoSpaceDE/>
        <w:autoSpaceDN/>
        <w:bidi w:val="0"/>
        <w:adjustRightInd/>
        <w:snapToGrid/>
        <w:spacing w:line="450" w:lineRule="exact"/>
        <w:ind w:left="0" w:leftChars="0" w:right="62"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）、法定代表人证明书及身份证复印件</w:t>
      </w:r>
    </w:p>
    <w:p w14:paraId="3FC726C6">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）、法人代表授权委托书及身份证复印件</w:t>
      </w:r>
    </w:p>
    <w:p w14:paraId="7803373F">
      <w:pPr>
        <w:pStyle w:val="45"/>
        <w:keepNext w:val="0"/>
        <w:keepLines w:val="0"/>
        <w:pageBreakBefore w:val="0"/>
        <w:widowControl w:val="0"/>
        <w:kinsoku/>
        <w:wordWrap/>
        <w:overflowPunct/>
        <w:topLinePunct w:val="0"/>
        <w:autoSpaceDE/>
        <w:autoSpaceDN/>
        <w:bidi w:val="0"/>
        <w:adjustRightInd/>
        <w:snapToGrid/>
        <w:spacing w:line="450" w:lineRule="exact"/>
        <w:ind w:left="0" w:leftChars="0" w:right="62"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highlight w:val="none"/>
          <w:lang w:val="en-US" w:eastAsia="zh-CN"/>
        </w:rPr>
        <w:t>有良好的商业信誉和健全的财务会计制度：提供最新年度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w:t>
      </w:r>
    </w:p>
    <w:p w14:paraId="752A006C">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）、提供投标截止日前近 3 个月的社保证明材料（社保缴费明细表及缴费凭证），如依法不需要缴纳社会保障资金的，应提供相应文件证明（新成立不满 3 个月的企业，按实际发生的提供）</w:t>
      </w:r>
    </w:p>
    <w:p w14:paraId="5ED1673A">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（七）、提供投标截止日前近3个月的缴纳税收的完税证明或税务部门出具的纳税证明；如依法免税的，应提供相应文件证明（新成立不满 3个月的企业，按实际发生的提供）；</w:t>
      </w:r>
    </w:p>
    <w:p w14:paraId="573216E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right="62" w:righ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（八）、提供具备履行合同所必需的设备和专业技术能力的投标人声明函</w:t>
      </w:r>
    </w:p>
    <w:p w14:paraId="5F7FC860">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p w14:paraId="09BC42FA">
      <w:pPr>
        <w:pStyle w:val="45"/>
        <w:keepNext w:val="0"/>
        <w:keepLines w:val="0"/>
        <w:pageBreakBefore w:val="0"/>
        <w:widowControl w:val="0"/>
        <w:kinsoku/>
        <w:wordWrap/>
        <w:overflowPunct/>
        <w:topLinePunct w:val="0"/>
        <w:autoSpaceDE/>
        <w:autoSpaceDN/>
        <w:bidi w:val="0"/>
        <w:adjustRightInd/>
        <w:snapToGrid/>
        <w:spacing w:line="450" w:lineRule="exact"/>
        <w:ind w:left="0" w:leftChars="0" w:right="62"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（十）、</w:t>
      </w:r>
      <w:r>
        <w:rPr>
          <w:rFonts w:hint="eastAsia" w:ascii="仿宋" w:hAnsi="仿宋" w:eastAsia="仿宋" w:cs="仿宋"/>
          <w:kern w:val="2"/>
          <w:sz w:val="24"/>
          <w:szCs w:val="24"/>
          <w:lang w:val="en-US" w:eastAsia="zh-CN" w:bidi="ar-SA"/>
        </w:rPr>
        <w:t>企业负责人为同一人或者存在直接控股、管理关系的不同投标人，不得参加同一合同项下的政府采购活动。否则，皆取消投标资格</w:t>
      </w:r>
    </w:p>
    <w:p w14:paraId="14C24973">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十一）、提供参加政府采购活动前三年内，在经营活动中没有重大违法记录的书面声明；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 </w:t>
      </w:r>
    </w:p>
    <w:p w14:paraId="148583A7">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w:t>
      </w:r>
      <w:r>
        <w:rPr>
          <w:rFonts w:hint="eastAsia" w:ascii="仿宋" w:hAnsi="仿宋" w:eastAsia="仿宋" w:cs="仿宋"/>
          <w:sz w:val="24"/>
          <w:szCs w:val="24"/>
          <w:highlight w:val="none"/>
          <w:lang w:val="en-US" w:eastAsia="zh-CN"/>
        </w:rPr>
        <w:t>投标保证金打款凭证或保函文件</w:t>
      </w:r>
    </w:p>
    <w:p w14:paraId="3E7AE380">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120" w:leftChars="0" w:right="62" w:rightChars="0" w:hanging="120" w:hangingChars="5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（十三）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lang w:val="en-US" w:eastAsia="zh-CN"/>
        </w:rPr>
        <w:t>商务偏离表（格式见附件）</w:t>
      </w:r>
    </w:p>
    <w:p w14:paraId="6159F6A2">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120" w:leftChars="0" w:right="62" w:rightChars="0" w:hanging="120" w:hangingChars="5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（十四）</w:t>
      </w:r>
      <w:r>
        <w:rPr>
          <w:rFonts w:hint="eastAsia" w:ascii="仿宋" w:hAnsi="仿宋" w:eastAsia="仿宋" w:cs="仿宋"/>
          <w:sz w:val="24"/>
          <w:szCs w:val="24"/>
          <w:lang w:val="en-US" w:eastAsia="zh-CN"/>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反商业贿赂承诺书（格式见附件）</w:t>
      </w:r>
    </w:p>
    <w:p w14:paraId="5C54DC53">
      <w:pPr>
        <w:pStyle w:val="27"/>
        <w:keepNext w:val="0"/>
        <w:keepLines w:val="0"/>
        <w:pageBreakBefore w:val="0"/>
        <w:widowControl w:val="0"/>
        <w:numPr>
          <w:ilvl w:val="0"/>
          <w:numId w:val="0"/>
        </w:numPr>
        <w:kinsoku/>
        <w:wordWrap/>
        <w:overflowPunct/>
        <w:topLinePunct w:val="0"/>
        <w:autoSpaceDE/>
        <w:autoSpaceDN/>
        <w:bidi w:val="0"/>
        <w:adjustRightInd/>
        <w:snapToGrid/>
        <w:spacing w:line="450" w:lineRule="exact"/>
        <w:ind w:left="120" w:leftChars="0" w:right="62" w:rightChars="0" w:hanging="120" w:hangingChars="5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（十五）</w:t>
      </w:r>
      <w:r>
        <w:rPr>
          <w:rFonts w:hint="eastAsia" w:ascii="仿宋" w:hAnsi="仿宋" w:eastAsia="仿宋" w:cs="仿宋"/>
          <w:sz w:val="24"/>
          <w:szCs w:val="24"/>
          <w:highlight w:val="none"/>
          <w:lang w:val="en-US" w:eastAsia="zh-CN"/>
        </w:rPr>
        <w:t>、无围标、串标等违法违规行为承诺书</w:t>
      </w:r>
      <w:r>
        <w:rPr>
          <w:rFonts w:hint="eastAsia" w:ascii="仿宋" w:hAnsi="仿宋" w:eastAsia="仿宋" w:cs="仿宋"/>
          <w:sz w:val="24"/>
          <w:szCs w:val="24"/>
          <w:highlight w:val="none"/>
        </w:rPr>
        <w:t>（格式见附件）</w:t>
      </w:r>
    </w:p>
    <w:p w14:paraId="29D1BC57">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（十六）、中小企业声明函</w:t>
      </w:r>
    </w:p>
    <w:p w14:paraId="5DB479A8">
      <w:pPr>
        <w:pStyle w:val="27"/>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（十七）、</w:t>
      </w:r>
      <w:r>
        <w:rPr>
          <w:rFonts w:hint="eastAsia" w:ascii="仿宋" w:hAnsi="仿宋" w:eastAsia="仿宋" w:cs="仿宋"/>
          <w:sz w:val="24"/>
          <w:szCs w:val="24"/>
          <w:highlight w:val="none"/>
        </w:rPr>
        <w:t>投标人认为有必要提供的声明及文件资料。</w:t>
      </w:r>
    </w:p>
    <w:p w14:paraId="229EC7B5">
      <w:pPr>
        <w:keepNext w:val="0"/>
        <w:keepLines w:val="0"/>
        <w:pageBreakBefore w:val="0"/>
        <w:widowControl w:val="0"/>
        <w:kinsoku/>
        <w:wordWrap/>
        <w:overflowPunct/>
        <w:topLinePunct w:val="0"/>
        <w:autoSpaceDE/>
        <w:autoSpaceDN/>
        <w:bidi w:val="0"/>
        <w:adjustRightInd/>
        <w:snapToGrid/>
        <w:spacing w:line="450" w:lineRule="exact"/>
        <w:ind w:right="62"/>
        <w:textAlignment w:val="auto"/>
        <w:rPr>
          <w:rFonts w:hint="eastAsia" w:ascii="仿宋" w:hAnsi="仿宋" w:eastAsia="仿宋" w:cs="仿宋"/>
          <w:b/>
          <w:bCs/>
          <w:color w:val="000000"/>
          <w:sz w:val="24"/>
          <w:szCs w:val="24"/>
        </w:rPr>
      </w:pPr>
      <w:r>
        <w:rPr>
          <w:rFonts w:hint="eastAsia" w:ascii="仿宋" w:hAnsi="仿宋" w:eastAsia="仿宋" w:cs="仿宋"/>
          <w:b/>
          <w:bCs/>
          <w:sz w:val="24"/>
          <w:szCs w:val="24"/>
          <w:lang w:eastAsia="zh-CN"/>
        </w:rPr>
        <w:t>注：以上目录是基本格式要求</w:t>
      </w:r>
      <w:r>
        <w:rPr>
          <w:rFonts w:hint="eastAsia" w:ascii="仿宋" w:hAnsi="仿宋" w:eastAsia="仿宋" w:cs="仿宋"/>
          <w:b/>
          <w:bCs/>
          <w:sz w:val="24"/>
          <w:szCs w:val="24"/>
        </w:rPr>
        <w:t>，各投标人可根据自</w:t>
      </w:r>
      <w:r>
        <w:rPr>
          <w:rFonts w:hint="eastAsia" w:ascii="仿宋" w:hAnsi="仿宋" w:eastAsia="仿宋" w:cs="仿宋"/>
          <w:b/>
          <w:bCs/>
          <w:color w:val="000000"/>
          <w:sz w:val="24"/>
          <w:szCs w:val="24"/>
        </w:rPr>
        <w:t>身情况进一步向下增加内容或细化</w:t>
      </w:r>
    </w:p>
    <w:p w14:paraId="77990B56">
      <w:pPr>
        <w:pStyle w:val="27"/>
        <w:numPr>
          <w:ilvl w:val="0"/>
          <w:numId w:val="0"/>
        </w:numPr>
        <w:ind w:right="62" w:rightChars="0"/>
        <w:jc w:val="both"/>
        <w:rPr>
          <w:rFonts w:hint="eastAsia" w:ascii="仿宋" w:hAnsi="仿宋" w:eastAsia="仿宋" w:cs="仿宋"/>
          <w:b/>
          <w:color w:val="000000"/>
          <w:sz w:val="24"/>
          <w:szCs w:val="24"/>
        </w:rPr>
      </w:pPr>
    </w:p>
    <w:p w14:paraId="29FA7F88">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r>
        <w:rPr>
          <w:rFonts w:hint="eastAsia" w:ascii="仿宋" w:hAnsi="仿宋" w:eastAsia="仿宋" w:cs="仿宋"/>
          <w:b/>
          <w:color w:val="000000"/>
          <w:sz w:val="24"/>
          <w:szCs w:val="24"/>
          <w:lang w:eastAsia="zh-CN"/>
        </w:rPr>
        <w:t>（</w:t>
      </w:r>
      <w:r>
        <w:rPr>
          <w:rFonts w:hint="eastAsia" w:ascii="仿宋" w:hAnsi="仿宋" w:eastAsia="仿宋" w:cs="仿宋"/>
          <w:b/>
          <w:color w:val="000000"/>
          <w:sz w:val="24"/>
          <w:szCs w:val="24"/>
          <w:lang w:val="en-US" w:eastAsia="zh-CN"/>
        </w:rPr>
        <w:t>一）</w:t>
      </w:r>
      <w:r>
        <w:rPr>
          <w:rFonts w:hint="eastAsia" w:ascii="仿宋" w:hAnsi="仿宋" w:eastAsia="仿宋" w:cs="仿宋"/>
          <w:b/>
          <w:color w:val="000000"/>
          <w:sz w:val="24"/>
          <w:szCs w:val="24"/>
        </w:rPr>
        <w:t>投标单位简介</w:t>
      </w:r>
    </w:p>
    <w:p w14:paraId="76EE9F86">
      <w:pPr>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    </w:t>
      </w:r>
    </w:p>
    <w:p w14:paraId="6F52033F">
      <w:pPr>
        <w:ind w:firstLine="482" w:firstLineChars="2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投标人自行编制</w:t>
      </w:r>
    </w:p>
    <w:p w14:paraId="4BD416FA">
      <w:pPr>
        <w:ind w:firstLine="482" w:firstLineChars="200"/>
        <w:rPr>
          <w:rFonts w:hint="eastAsia" w:ascii="仿宋" w:hAnsi="仿宋" w:eastAsia="仿宋" w:cs="仿宋"/>
          <w:b/>
          <w:color w:val="000000"/>
          <w:sz w:val="24"/>
          <w:szCs w:val="24"/>
        </w:rPr>
      </w:pPr>
    </w:p>
    <w:p w14:paraId="7F337ECD">
      <w:pPr>
        <w:numPr>
          <w:ilvl w:val="0"/>
          <w:numId w:val="0"/>
        </w:numPr>
        <w:ind w:leftChars="-50" w:right="62" w:rightChars="0"/>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后附：投标人单位相关资质证件</w:t>
      </w:r>
      <w:r>
        <w:rPr>
          <w:rFonts w:hint="eastAsia" w:ascii="仿宋" w:hAnsi="仿宋" w:eastAsia="仿宋" w:cs="仿宋"/>
          <w:b/>
          <w:color w:val="000000"/>
          <w:sz w:val="24"/>
          <w:szCs w:val="24"/>
          <w:lang w:val="en-US" w:eastAsia="zh-CN"/>
        </w:rPr>
        <w:t>及特定资格证明文件</w:t>
      </w:r>
    </w:p>
    <w:p w14:paraId="45AF0E8E">
      <w:pPr>
        <w:pStyle w:val="27"/>
        <w:rPr>
          <w:rFonts w:hint="eastAsia" w:ascii="仿宋" w:hAnsi="仿宋" w:eastAsia="仿宋" w:cs="仿宋"/>
          <w:b/>
          <w:color w:val="000000"/>
          <w:sz w:val="24"/>
          <w:szCs w:val="24"/>
        </w:rPr>
      </w:pPr>
    </w:p>
    <w:p w14:paraId="746CB1E8">
      <w:pPr>
        <w:rPr>
          <w:rFonts w:hint="eastAsia" w:ascii="仿宋" w:hAnsi="仿宋" w:eastAsia="仿宋" w:cs="仿宋"/>
          <w:b/>
          <w:color w:val="000000"/>
          <w:sz w:val="24"/>
          <w:szCs w:val="24"/>
        </w:rPr>
      </w:pPr>
    </w:p>
    <w:p w14:paraId="3E45FF79">
      <w:pPr>
        <w:pStyle w:val="27"/>
        <w:numPr>
          <w:ilvl w:val="0"/>
          <w:numId w:val="0"/>
        </w:numPr>
        <w:ind w:leftChars="-50" w:right="62" w:right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4"/>
          <w:szCs w:val="24"/>
          <w:lang w:val="en-US" w:eastAsia="zh-CN"/>
        </w:rPr>
        <w:t>（二）、具法人营业执照函（格式见附件）</w:t>
      </w:r>
    </w:p>
    <w:p w14:paraId="6B84C350">
      <w:pPr>
        <w:pStyle w:val="23"/>
        <w:spacing w:line="240" w:lineRule="auto"/>
        <w:ind w:left="0" w:leftChars="0" w:firstLine="0" w:firstLineChars="0"/>
        <w:jc w:val="center"/>
        <w:rPr>
          <w:rFonts w:hint="eastAsia" w:ascii="仿宋" w:hAnsi="仿宋" w:eastAsia="仿宋" w:cs="仿宋"/>
          <w:b/>
          <w:color w:val="000000"/>
          <w:sz w:val="24"/>
          <w:szCs w:val="24"/>
        </w:rPr>
      </w:pPr>
    </w:p>
    <w:p w14:paraId="5E06716A">
      <w:pPr>
        <w:rPr>
          <w:rFonts w:hint="eastAsia" w:ascii="仿宋" w:hAnsi="仿宋" w:eastAsia="仿宋" w:cs="仿宋"/>
          <w:color w:val="000000"/>
          <w:sz w:val="24"/>
          <w:szCs w:val="24"/>
        </w:rPr>
      </w:pPr>
    </w:p>
    <w:p w14:paraId="49491EE8">
      <w:pPr>
        <w:rPr>
          <w:rFonts w:hint="eastAsia" w:ascii="仿宋" w:hAnsi="仿宋" w:eastAsia="仿宋" w:cs="仿宋"/>
          <w:color w:val="000000"/>
          <w:sz w:val="24"/>
          <w:szCs w:val="24"/>
        </w:rPr>
      </w:pPr>
      <w:r>
        <w:rPr>
          <w:rFonts w:hint="eastAsia" w:ascii="仿宋" w:hAnsi="仿宋" w:eastAsia="仿宋" w:cs="仿宋"/>
          <w:color w:val="000000"/>
          <w:sz w:val="24"/>
          <w:szCs w:val="24"/>
        </w:rPr>
        <w:t>招标人：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737F5BD6">
      <w:pPr>
        <w:rPr>
          <w:rFonts w:hint="eastAsia" w:ascii="仿宋" w:hAnsi="仿宋" w:eastAsia="仿宋" w:cs="仿宋"/>
          <w:color w:val="000000"/>
          <w:sz w:val="24"/>
          <w:szCs w:val="24"/>
        </w:rPr>
      </w:pPr>
    </w:p>
    <w:p w14:paraId="3626A723">
      <w:pPr>
        <w:pStyle w:val="23"/>
        <w:spacing w:line="240" w:lineRule="auto"/>
        <w:ind w:left="0" w:leftChars="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现附上由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（签发机关名称）签发的我方法人营业执照复印件，该执照已经年检，真实有效。</w:t>
      </w:r>
    </w:p>
    <w:p w14:paraId="20AF6E90">
      <w:pPr>
        <w:ind w:firstLine="852"/>
        <w:rPr>
          <w:rFonts w:hint="eastAsia" w:ascii="仿宋" w:hAnsi="仿宋" w:eastAsia="仿宋" w:cs="仿宋"/>
          <w:color w:val="000000"/>
          <w:sz w:val="24"/>
          <w:szCs w:val="24"/>
        </w:rPr>
      </w:pPr>
    </w:p>
    <w:p w14:paraId="06C90B74">
      <w:pPr>
        <w:ind w:firstLine="852"/>
        <w:rPr>
          <w:rFonts w:hint="eastAsia" w:ascii="仿宋" w:hAnsi="仿宋" w:eastAsia="仿宋" w:cs="仿宋"/>
          <w:color w:val="000000"/>
          <w:sz w:val="24"/>
          <w:szCs w:val="24"/>
        </w:rPr>
      </w:pPr>
    </w:p>
    <w:p w14:paraId="1EDE9E9E">
      <w:pPr>
        <w:ind w:firstLine="852"/>
        <w:rPr>
          <w:rFonts w:hint="eastAsia" w:ascii="仿宋" w:hAnsi="仿宋" w:eastAsia="仿宋" w:cs="仿宋"/>
          <w:color w:val="000000"/>
          <w:sz w:val="24"/>
          <w:szCs w:val="24"/>
        </w:rPr>
      </w:pPr>
    </w:p>
    <w:p w14:paraId="2473C57B">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投标单位名称</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盖章</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17BCDF11">
      <w:pPr>
        <w:rPr>
          <w:rFonts w:hint="eastAsia" w:ascii="仿宋" w:hAnsi="仿宋" w:eastAsia="仿宋" w:cs="仿宋"/>
          <w:color w:val="000000"/>
          <w:sz w:val="24"/>
          <w:szCs w:val="24"/>
        </w:rPr>
      </w:pPr>
    </w:p>
    <w:p w14:paraId="04EE4799">
      <w:pPr>
        <w:rPr>
          <w:rFonts w:hint="eastAsia" w:ascii="仿宋" w:hAnsi="仿宋" w:eastAsia="仿宋" w:cs="仿宋"/>
          <w:color w:val="000000"/>
          <w:sz w:val="24"/>
          <w:szCs w:val="24"/>
        </w:rPr>
      </w:pPr>
    </w:p>
    <w:p w14:paraId="3203C9B5">
      <w:pPr>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签字或</w:t>
      </w:r>
      <w:r>
        <w:rPr>
          <w:rFonts w:hint="eastAsia" w:ascii="仿宋" w:hAnsi="仿宋" w:eastAsia="仿宋" w:cs="仿宋"/>
          <w:color w:val="000000"/>
          <w:sz w:val="24"/>
          <w:szCs w:val="24"/>
        </w:rPr>
        <w:t>盖章）</w:t>
      </w:r>
      <w:r>
        <w:rPr>
          <w:rFonts w:hint="eastAsia" w:ascii="仿宋" w:hAnsi="仿宋" w:eastAsia="仿宋" w:cs="仿宋"/>
          <w:color w:val="000000"/>
          <w:sz w:val="24"/>
          <w:szCs w:val="24"/>
          <w:u w:val="single"/>
        </w:rPr>
        <w:t xml:space="preserve">                </w:t>
      </w:r>
    </w:p>
    <w:p w14:paraId="4BFE06FF">
      <w:pPr>
        <w:rPr>
          <w:rFonts w:hint="eastAsia" w:ascii="仿宋" w:hAnsi="仿宋" w:eastAsia="仿宋" w:cs="仿宋"/>
          <w:color w:val="000000"/>
          <w:sz w:val="24"/>
          <w:szCs w:val="24"/>
        </w:rPr>
      </w:pPr>
    </w:p>
    <w:p w14:paraId="73A24493">
      <w:pPr>
        <w:rPr>
          <w:rFonts w:hint="eastAsia" w:ascii="仿宋" w:hAnsi="仿宋" w:eastAsia="仿宋" w:cs="仿宋"/>
          <w:color w:val="000000"/>
          <w:sz w:val="24"/>
          <w:szCs w:val="24"/>
        </w:rPr>
      </w:pPr>
    </w:p>
    <w:p w14:paraId="7B7291E0">
      <w:pPr>
        <w:ind w:firstLine="3290" w:firstLineChars="1371"/>
        <w:jc w:val="right"/>
        <w:rPr>
          <w:rFonts w:hint="eastAsia" w:ascii="仿宋" w:hAnsi="仿宋" w:eastAsia="仿宋" w:cs="仿宋"/>
          <w:sz w:val="24"/>
          <w:szCs w:val="24"/>
        </w:rPr>
      </w:pPr>
      <w:r>
        <w:rPr>
          <w:rFonts w:hint="eastAsia" w:ascii="仿宋" w:hAnsi="仿宋" w:eastAsia="仿宋" w:cs="仿宋"/>
          <w:color w:val="000000"/>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1B24328">
      <w:pPr>
        <w:jc w:val="right"/>
        <w:rPr>
          <w:rFonts w:hint="eastAsia" w:ascii="仿宋" w:hAnsi="仿宋" w:eastAsia="仿宋" w:cs="仿宋"/>
          <w:color w:val="000000"/>
          <w:sz w:val="24"/>
          <w:szCs w:val="24"/>
        </w:rPr>
      </w:pPr>
    </w:p>
    <w:p w14:paraId="59A1F21E">
      <w:pPr>
        <w:rPr>
          <w:rFonts w:hint="eastAsia" w:ascii="仿宋" w:hAnsi="仿宋" w:eastAsia="仿宋" w:cs="仿宋"/>
          <w:color w:val="000000"/>
          <w:sz w:val="24"/>
          <w:szCs w:val="24"/>
        </w:rPr>
      </w:pPr>
    </w:p>
    <w:p w14:paraId="1FC1B18A">
      <w:pPr>
        <w:numPr>
          <w:ilvl w:val="0"/>
          <w:numId w:val="0"/>
        </w:numPr>
        <w:ind w:leftChars="-50" w:right="62" w:rightChars="0"/>
        <w:rPr>
          <w:rFonts w:hint="eastAsia" w:ascii="仿宋" w:hAnsi="仿宋" w:eastAsia="仿宋" w:cs="仿宋"/>
          <w:b/>
          <w:color w:val="000000"/>
          <w:sz w:val="24"/>
          <w:szCs w:val="24"/>
        </w:rPr>
      </w:pPr>
      <w:r>
        <w:rPr>
          <w:rFonts w:hint="eastAsia" w:ascii="仿宋" w:hAnsi="仿宋" w:eastAsia="仿宋" w:cs="仿宋"/>
          <w:b/>
          <w:color w:val="000000"/>
          <w:sz w:val="24"/>
          <w:szCs w:val="24"/>
        </w:rPr>
        <w:t>后附：投标单位三合一营业执照复印件</w:t>
      </w:r>
    </w:p>
    <w:p w14:paraId="6B44A4D6">
      <w:pPr>
        <w:pStyle w:val="27"/>
        <w:numPr>
          <w:ilvl w:val="0"/>
          <w:numId w:val="0"/>
        </w:numPr>
        <w:ind w:right="62" w:rightChars="0"/>
        <w:jc w:val="both"/>
        <w:rPr>
          <w:rFonts w:hint="eastAsia" w:ascii="仿宋" w:hAnsi="仿宋" w:eastAsia="仿宋" w:cs="仿宋"/>
          <w:b/>
          <w:bCs/>
          <w:spacing w:val="8"/>
        </w:rPr>
        <w:sectPr>
          <w:headerReference r:id="rId3" w:type="default"/>
          <w:footerReference r:id="rId4" w:type="default"/>
          <w:pgSz w:w="11900" w:h="16838"/>
          <w:pgMar w:top="1373" w:right="948" w:bottom="528" w:left="1199" w:header="0" w:footer="368" w:gutter="0"/>
          <w:cols w:space="720" w:num="1"/>
        </w:sectPr>
      </w:pPr>
    </w:p>
    <w:p w14:paraId="728B4922">
      <w:pPr>
        <w:pStyle w:val="27"/>
        <w:numPr>
          <w:ilvl w:val="0"/>
          <w:numId w:val="0"/>
        </w:numPr>
        <w:ind w:right="62" w:right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（三）法定代表人证明书及身份证复印件</w:t>
      </w:r>
    </w:p>
    <w:p w14:paraId="781C3E8C">
      <w:pPr>
        <w:pStyle w:val="23"/>
        <w:spacing w:line="240" w:lineRule="auto"/>
        <w:ind w:left="0" w:leftChars="0" w:firstLine="0" w:firstLineChars="0"/>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法定代表人身份证</w:t>
      </w:r>
      <w:r>
        <w:rPr>
          <w:rFonts w:hint="eastAsia" w:ascii="仿宋" w:hAnsi="仿宋" w:eastAsia="仿宋" w:cs="仿宋"/>
          <w:b/>
          <w:color w:val="000000"/>
          <w:sz w:val="24"/>
          <w:szCs w:val="24"/>
          <w:lang w:val="en-US" w:eastAsia="zh-CN"/>
        </w:rPr>
        <w:t>明</w:t>
      </w:r>
    </w:p>
    <w:p w14:paraId="19A4254B">
      <w:pPr>
        <w:autoSpaceDE w:val="0"/>
        <w:autoSpaceDN w:val="0"/>
        <w:adjustRightInd w:val="0"/>
        <w:ind w:left="120" w:hanging="120"/>
        <w:rPr>
          <w:rFonts w:hint="eastAsia" w:ascii="仿宋" w:hAnsi="仿宋" w:eastAsia="仿宋" w:cs="仿宋"/>
          <w:sz w:val="24"/>
          <w:szCs w:val="24"/>
          <w:lang w:val="zh-CN"/>
        </w:rPr>
      </w:pPr>
    </w:p>
    <w:p w14:paraId="4ECAAB13">
      <w:pPr>
        <w:spacing w:line="460" w:lineRule="exact"/>
        <w:ind w:left="120" w:hanging="12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32F8288C">
      <w:pPr>
        <w:spacing w:line="460" w:lineRule="exact"/>
        <w:ind w:left="120" w:hanging="12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D77D5DC">
      <w:pPr>
        <w:spacing w:line="460" w:lineRule="exact"/>
        <w:ind w:left="120" w:hanging="12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14:paraId="5CC0F1B0">
      <w:pPr>
        <w:spacing w:line="460" w:lineRule="exact"/>
        <w:ind w:left="120" w:hanging="12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w:t>
      </w:r>
      <w:r>
        <w:rPr>
          <w:rFonts w:hint="eastAsia" w:ascii="仿宋" w:hAnsi="仿宋" w:eastAsia="仿宋" w:cs="仿宋"/>
          <w:sz w:val="24"/>
          <w:szCs w:val="24"/>
        </w:rPr>
        <w:t>的法定代表人。</w:t>
      </w:r>
    </w:p>
    <w:p w14:paraId="65BBBA6E">
      <w:pPr>
        <w:spacing w:line="460" w:lineRule="exact"/>
        <w:ind w:left="120" w:hanging="120"/>
        <w:rPr>
          <w:rFonts w:hint="eastAsia" w:ascii="仿宋" w:hAnsi="仿宋" w:eastAsia="仿宋" w:cs="仿宋"/>
          <w:sz w:val="24"/>
          <w:szCs w:val="24"/>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14:paraId="4E07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4644" w:type="dxa"/>
            <w:noWrap w:val="0"/>
            <w:vAlign w:val="top"/>
          </w:tcPr>
          <w:p w14:paraId="654141F3">
            <w:pPr>
              <w:ind w:left="140" w:hanging="140"/>
              <w:jc w:val="center"/>
              <w:rPr>
                <w:rFonts w:hint="eastAsia" w:ascii="仿宋" w:hAnsi="仿宋" w:eastAsia="仿宋" w:cs="仿宋"/>
                <w:sz w:val="28"/>
                <w:szCs w:val="28"/>
              </w:rPr>
            </w:pPr>
            <w:r>
              <w:rPr>
                <w:rFonts w:hint="eastAsia" w:ascii="仿宋" w:hAnsi="仿宋" w:eastAsia="仿宋" w:cs="仿宋"/>
                <w:sz w:val="28"/>
                <w:szCs w:val="28"/>
              </w:rPr>
              <w:t>法人身份证复印件正面</w:t>
            </w:r>
          </w:p>
          <w:p w14:paraId="71DB2966">
            <w:pPr>
              <w:autoSpaceDE w:val="0"/>
              <w:autoSpaceDN w:val="0"/>
              <w:adjustRightInd w:val="0"/>
              <w:spacing w:line="320" w:lineRule="exact"/>
              <w:rPr>
                <w:rFonts w:hint="eastAsia" w:ascii="仿宋" w:hAnsi="仿宋" w:eastAsia="仿宋" w:cs="仿宋"/>
                <w:sz w:val="24"/>
                <w:szCs w:val="24"/>
                <w:vertAlign w:val="baseline"/>
                <w:lang w:val="zh-CN"/>
              </w:rPr>
            </w:pPr>
          </w:p>
        </w:tc>
        <w:tc>
          <w:tcPr>
            <w:tcW w:w="4644" w:type="dxa"/>
            <w:noWrap w:val="0"/>
            <w:vAlign w:val="top"/>
          </w:tcPr>
          <w:p w14:paraId="176A3334">
            <w:pPr>
              <w:ind w:left="140" w:hanging="140"/>
              <w:jc w:val="center"/>
              <w:rPr>
                <w:rFonts w:hint="eastAsia" w:ascii="仿宋" w:hAnsi="仿宋" w:eastAsia="仿宋" w:cs="仿宋"/>
                <w:sz w:val="28"/>
                <w:szCs w:val="28"/>
              </w:rPr>
            </w:pPr>
            <w:r>
              <w:rPr>
                <w:rFonts w:hint="eastAsia" w:ascii="仿宋" w:hAnsi="仿宋" w:eastAsia="仿宋" w:cs="仿宋"/>
                <w:sz w:val="28"/>
                <w:szCs w:val="28"/>
              </w:rPr>
              <w:t>法人身份证复印件背面</w:t>
            </w:r>
          </w:p>
          <w:p w14:paraId="2C6EF374">
            <w:pPr>
              <w:autoSpaceDE w:val="0"/>
              <w:autoSpaceDN w:val="0"/>
              <w:adjustRightInd w:val="0"/>
              <w:spacing w:line="320" w:lineRule="exact"/>
              <w:rPr>
                <w:rFonts w:hint="eastAsia" w:ascii="仿宋" w:hAnsi="仿宋" w:eastAsia="仿宋" w:cs="仿宋"/>
                <w:sz w:val="24"/>
                <w:szCs w:val="24"/>
                <w:vertAlign w:val="baseline"/>
                <w:lang w:val="zh-CN"/>
              </w:rPr>
            </w:pPr>
          </w:p>
        </w:tc>
      </w:tr>
    </w:tbl>
    <w:p w14:paraId="5E6179B4">
      <w:pPr>
        <w:autoSpaceDE w:val="0"/>
        <w:autoSpaceDN w:val="0"/>
        <w:adjustRightInd w:val="0"/>
        <w:spacing w:line="320" w:lineRule="exact"/>
        <w:ind w:left="0" w:leftChars="0" w:firstLine="0" w:firstLineChars="0"/>
        <w:rPr>
          <w:rFonts w:hint="eastAsia" w:ascii="仿宋" w:hAnsi="仿宋" w:eastAsia="仿宋" w:cs="仿宋"/>
          <w:sz w:val="24"/>
          <w:szCs w:val="24"/>
          <w:lang w:val="zh-CN"/>
        </w:rPr>
      </w:pPr>
    </w:p>
    <w:p w14:paraId="213F9325">
      <w:pPr>
        <w:autoSpaceDE w:val="0"/>
        <w:autoSpaceDN w:val="0"/>
        <w:adjustRightInd w:val="0"/>
        <w:spacing w:line="320" w:lineRule="exact"/>
        <w:ind w:left="120" w:hanging="120"/>
        <w:rPr>
          <w:rFonts w:hint="eastAsia" w:ascii="仿宋" w:hAnsi="仿宋" w:eastAsia="仿宋" w:cs="仿宋"/>
          <w:sz w:val="24"/>
          <w:szCs w:val="24"/>
          <w:lang w:val="zh-CN"/>
        </w:rPr>
      </w:pPr>
    </w:p>
    <w:p w14:paraId="0BF5410B">
      <w:pPr>
        <w:autoSpaceDE w:val="0"/>
        <w:autoSpaceDN w:val="0"/>
        <w:adjustRightInd w:val="0"/>
        <w:spacing w:line="320" w:lineRule="exact"/>
        <w:ind w:left="120" w:hanging="120"/>
        <w:rPr>
          <w:rFonts w:hint="eastAsia" w:ascii="仿宋" w:hAnsi="仿宋" w:eastAsia="仿宋" w:cs="仿宋"/>
          <w:sz w:val="24"/>
          <w:szCs w:val="24"/>
          <w:lang w:val="zh-CN"/>
        </w:rPr>
      </w:pPr>
    </w:p>
    <w:p w14:paraId="7F120B46">
      <w:pPr>
        <w:autoSpaceDE w:val="0"/>
        <w:autoSpaceDN w:val="0"/>
        <w:adjustRightInd w:val="0"/>
        <w:spacing w:line="320" w:lineRule="exact"/>
        <w:ind w:left="120" w:hanging="120"/>
        <w:rPr>
          <w:rFonts w:hint="eastAsia" w:ascii="仿宋" w:hAnsi="仿宋" w:eastAsia="仿宋" w:cs="仿宋"/>
          <w:sz w:val="24"/>
          <w:szCs w:val="24"/>
          <w:lang w:val="zh-CN"/>
        </w:rPr>
      </w:pPr>
    </w:p>
    <w:p w14:paraId="2948028F">
      <w:pPr>
        <w:pStyle w:val="3"/>
        <w:outlineLvl w:val="9"/>
        <w:rPr>
          <w:rFonts w:hint="eastAsia" w:ascii="仿宋" w:hAnsi="仿宋" w:eastAsia="仿宋" w:cs="仿宋"/>
          <w:sz w:val="24"/>
          <w:szCs w:val="24"/>
          <w:lang w:val="zh-CN"/>
        </w:rPr>
      </w:pPr>
    </w:p>
    <w:p w14:paraId="108A2B76">
      <w:pPr>
        <w:rPr>
          <w:rFonts w:hint="eastAsia" w:ascii="仿宋" w:hAnsi="仿宋" w:eastAsia="仿宋" w:cs="仿宋"/>
          <w:sz w:val="24"/>
          <w:szCs w:val="24"/>
          <w:lang w:val="zh-CN"/>
        </w:rPr>
      </w:pPr>
    </w:p>
    <w:p w14:paraId="0EBDB736">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投标单位名称：公章）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36179367">
      <w:pPr>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签字或</w:t>
      </w:r>
      <w:r>
        <w:rPr>
          <w:rFonts w:hint="eastAsia" w:ascii="仿宋" w:hAnsi="仿宋" w:eastAsia="仿宋" w:cs="仿宋"/>
          <w:color w:val="000000"/>
          <w:sz w:val="24"/>
          <w:szCs w:val="24"/>
        </w:rPr>
        <w:t>盖章）</w:t>
      </w:r>
      <w:r>
        <w:rPr>
          <w:rFonts w:hint="eastAsia" w:ascii="仿宋" w:hAnsi="仿宋" w:eastAsia="仿宋" w:cs="仿宋"/>
          <w:color w:val="000000"/>
          <w:sz w:val="24"/>
          <w:szCs w:val="24"/>
          <w:u w:val="single"/>
        </w:rPr>
        <w:t xml:space="preserve">                </w:t>
      </w:r>
    </w:p>
    <w:p w14:paraId="7D8FA447">
      <w:pPr>
        <w:pStyle w:val="92"/>
        <w:rPr>
          <w:rFonts w:hint="eastAsia" w:ascii="仿宋" w:hAnsi="仿宋" w:eastAsia="仿宋" w:cs="仿宋"/>
          <w:sz w:val="24"/>
          <w:szCs w:val="24"/>
        </w:rPr>
      </w:pPr>
    </w:p>
    <w:p w14:paraId="62FA629F">
      <w:pPr>
        <w:autoSpaceDE w:val="0"/>
        <w:autoSpaceDN w:val="0"/>
        <w:adjustRightInd w:val="0"/>
        <w:spacing w:line="320" w:lineRule="exact"/>
        <w:ind w:left="120" w:hanging="120"/>
        <w:rPr>
          <w:rFonts w:hint="eastAsia" w:ascii="仿宋" w:hAnsi="仿宋" w:eastAsia="仿宋" w:cs="仿宋"/>
          <w:b/>
          <w:bCs/>
          <w:sz w:val="24"/>
          <w:szCs w:val="24"/>
          <w:lang w:val="zh-CN"/>
        </w:rPr>
      </w:pPr>
    </w:p>
    <w:p w14:paraId="133A050B">
      <w:pPr>
        <w:autoSpaceDE w:val="0"/>
        <w:autoSpaceDN w:val="0"/>
        <w:adjustRightInd w:val="0"/>
        <w:spacing w:line="320" w:lineRule="exact"/>
        <w:ind w:left="120" w:hanging="120"/>
        <w:jc w:val="center"/>
        <w:outlineLvl w:val="9"/>
        <w:rPr>
          <w:rFonts w:hint="eastAsia" w:ascii="仿宋" w:hAnsi="仿宋" w:eastAsia="仿宋" w:cs="仿宋"/>
          <w:sz w:val="24"/>
          <w:szCs w:val="24"/>
          <w:lang w:val="zh-CN"/>
        </w:rPr>
      </w:pPr>
    </w:p>
    <w:p w14:paraId="3826E282">
      <w:pPr>
        <w:autoSpaceDE w:val="0"/>
        <w:autoSpaceDN w:val="0"/>
        <w:adjustRightInd w:val="0"/>
        <w:spacing w:line="320" w:lineRule="exact"/>
        <w:ind w:left="120" w:hanging="120"/>
        <w:jc w:val="center"/>
        <w:outlineLvl w:val="9"/>
        <w:rPr>
          <w:rFonts w:hint="eastAsia" w:ascii="仿宋" w:hAnsi="仿宋" w:eastAsia="仿宋" w:cs="仿宋"/>
          <w:sz w:val="24"/>
          <w:szCs w:val="24"/>
          <w:lang w:val="zh-CN"/>
        </w:rPr>
      </w:pPr>
    </w:p>
    <w:p w14:paraId="14D21B58">
      <w:pPr>
        <w:autoSpaceDE w:val="0"/>
        <w:autoSpaceDN w:val="0"/>
        <w:adjustRightInd w:val="0"/>
        <w:spacing w:line="320" w:lineRule="exact"/>
        <w:ind w:left="120" w:hanging="120"/>
        <w:jc w:val="center"/>
        <w:outlineLvl w:val="9"/>
        <w:rPr>
          <w:rFonts w:hint="eastAsia" w:ascii="仿宋" w:hAnsi="仿宋" w:eastAsia="仿宋" w:cs="仿宋"/>
          <w:sz w:val="24"/>
          <w:szCs w:val="24"/>
          <w:lang w:val="zh-CN"/>
        </w:rPr>
      </w:pPr>
    </w:p>
    <w:p w14:paraId="126C5BF6">
      <w:pPr>
        <w:numPr>
          <w:ilvl w:val="0"/>
          <w:numId w:val="0"/>
        </w:numPr>
        <w:ind w:leftChars="-50" w:right="62" w:rightChars="0"/>
        <w:jc w:val="right"/>
        <w:rPr>
          <w:rFonts w:hint="eastAsia" w:ascii="仿宋" w:hAnsi="仿宋" w:eastAsia="仿宋" w:cs="仿宋"/>
          <w:sz w:val="24"/>
          <w:szCs w:val="24"/>
          <w:lang w:val="zh-CN"/>
        </w:rPr>
      </w:pPr>
      <w:bookmarkStart w:id="117" w:name="_Toc18606"/>
      <w:bookmarkStart w:id="118" w:name="_Toc7513"/>
      <w:bookmarkStart w:id="119" w:name="_Toc9354"/>
      <w:r>
        <w:rPr>
          <w:rFonts w:hint="eastAsia" w:ascii="仿宋" w:hAnsi="仿宋" w:eastAsia="仿宋" w:cs="仿宋"/>
          <w:sz w:val="24"/>
          <w:szCs w:val="24"/>
          <w:lang w:val="zh-CN"/>
        </w:rPr>
        <w:t>日期：</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bookmarkEnd w:id="117"/>
      <w:bookmarkEnd w:id="118"/>
      <w:bookmarkEnd w:id="119"/>
    </w:p>
    <w:p w14:paraId="183CF220">
      <w:pPr>
        <w:pStyle w:val="27"/>
        <w:rPr>
          <w:rFonts w:hint="eastAsia" w:ascii="仿宋" w:hAnsi="仿宋" w:eastAsia="仿宋" w:cs="仿宋"/>
          <w:sz w:val="24"/>
          <w:szCs w:val="24"/>
          <w:lang w:val="zh-CN"/>
        </w:rPr>
      </w:pPr>
    </w:p>
    <w:p w14:paraId="7751D726">
      <w:pPr>
        <w:rPr>
          <w:rFonts w:hint="eastAsia" w:ascii="仿宋" w:hAnsi="仿宋" w:eastAsia="仿宋" w:cs="仿宋"/>
          <w:lang w:val="zh-CN"/>
        </w:rPr>
      </w:pPr>
    </w:p>
    <w:p w14:paraId="096C6B68">
      <w:pPr>
        <w:rPr>
          <w:rFonts w:hint="eastAsia" w:ascii="仿宋" w:hAnsi="仿宋" w:eastAsia="仿宋" w:cs="仿宋"/>
          <w:sz w:val="24"/>
          <w:szCs w:val="24"/>
          <w:lang w:val="zh-CN"/>
        </w:rPr>
      </w:pPr>
    </w:p>
    <w:p w14:paraId="5957280E">
      <w:pPr>
        <w:rPr>
          <w:rFonts w:hint="eastAsia" w:ascii="仿宋" w:hAnsi="仿宋" w:eastAsia="仿宋" w:cs="仿宋"/>
          <w:sz w:val="24"/>
          <w:szCs w:val="24"/>
          <w:lang w:val="zh-CN"/>
        </w:rPr>
      </w:pPr>
    </w:p>
    <w:p w14:paraId="438BA5E1">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542D353E">
      <w:pPr>
        <w:pStyle w:val="27"/>
        <w:numPr>
          <w:ilvl w:val="0"/>
          <w:numId w:val="0"/>
        </w:numPr>
        <w:ind w:right="62" w:right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（四)、法人代表授权委托书及身份证复印件</w:t>
      </w:r>
    </w:p>
    <w:p w14:paraId="29076E5C">
      <w:pPr>
        <w:jc w:val="center"/>
        <w:rPr>
          <w:rFonts w:hint="eastAsia" w:ascii="仿宋" w:hAnsi="仿宋" w:eastAsia="仿宋" w:cs="仿宋"/>
          <w:b/>
          <w:bCs w:val="0"/>
          <w:color w:val="auto"/>
          <w:sz w:val="24"/>
          <w:szCs w:val="24"/>
        </w:rPr>
      </w:pPr>
    </w:p>
    <w:p w14:paraId="67BCB6CF">
      <w:pPr>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法定代表人授权委托书</w:t>
      </w:r>
    </w:p>
    <w:p w14:paraId="5FBB80F5">
      <w:pPr>
        <w:pStyle w:val="27"/>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本授权委托书声明：注册于</w:t>
      </w:r>
      <w:r>
        <w:rPr>
          <w:rFonts w:hint="eastAsia" w:ascii="仿宋" w:hAnsi="仿宋" w:eastAsia="仿宋" w:cs="仿宋"/>
          <w:color w:val="000000"/>
          <w:sz w:val="24"/>
          <w:szCs w:val="24"/>
          <w:u w:val="single"/>
        </w:rPr>
        <w:t xml:space="preserve"> （投标人地址）  </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  （单位名称）    </w:t>
      </w:r>
      <w:r>
        <w:rPr>
          <w:rFonts w:hint="eastAsia" w:ascii="仿宋" w:hAnsi="仿宋" w:eastAsia="仿宋" w:cs="仿宋"/>
          <w:color w:val="000000"/>
          <w:sz w:val="24"/>
          <w:szCs w:val="24"/>
        </w:rPr>
        <w:t>在下面签名的</w:t>
      </w:r>
      <w:r>
        <w:rPr>
          <w:rFonts w:hint="eastAsia" w:ascii="仿宋" w:hAnsi="仿宋" w:eastAsia="仿宋" w:cs="仿宋"/>
          <w:color w:val="000000"/>
          <w:sz w:val="24"/>
          <w:szCs w:val="24"/>
          <w:u w:val="single"/>
        </w:rPr>
        <w:t>（法定代表人姓名、职务）</w:t>
      </w:r>
      <w:r>
        <w:rPr>
          <w:rFonts w:hint="eastAsia" w:ascii="仿宋" w:hAnsi="仿宋" w:eastAsia="仿宋" w:cs="仿宋"/>
          <w:color w:val="000000"/>
          <w:sz w:val="24"/>
          <w:szCs w:val="24"/>
        </w:rPr>
        <w:t>在此授权</w:t>
      </w:r>
      <w:r>
        <w:rPr>
          <w:rFonts w:hint="eastAsia" w:ascii="仿宋" w:hAnsi="仿宋" w:eastAsia="仿宋" w:cs="仿宋"/>
          <w:color w:val="000000"/>
          <w:sz w:val="24"/>
          <w:szCs w:val="24"/>
          <w:u w:val="single"/>
        </w:rPr>
        <w:t>（被授权人姓名、职务）</w:t>
      </w:r>
      <w:r>
        <w:rPr>
          <w:rFonts w:hint="eastAsia" w:ascii="仿宋" w:hAnsi="仿宋" w:eastAsia="仿宋" w:cs="仿宋"/>
          <w:color w:val="000000"/>
          <w:sz w:val="24"/>
          <w:szCs w:val="24"/>
        </w:rPr>
        <w:t>作为我公司的合法代理人，就</w:t>
      </w:r>
      <w:r>
        <w:rPr>
          <w:rFonts w:hint="eastAsia" w:ascii="仿宋" w:hAnsi="仿宋" w:eastAsia="仿宋" w:cs="仿宋"/>
          <w:color w:val="000000"/>
          <w:sz w:val="24"/>
          <w:szCs w:val="24"/>
          <w:u w:val="single"/>
        </w:rPr>
        <w:t>（项目名称、项目编号）</w:t>
      </w:r>
      <w:r>
        <w:rPr>
          <w:rFonts w:hint="eastAsia" w:ascii="仿宋" w:hAnsi="仿宋" w:eastAsia="仿宋" w:cs="仿宋"/>
          <w:color w:val="000000"/>
          <w:sz w:val="24"/>
          <w:szCs w:val="24"/>
        </w:rPr>
        <w:t>的招投标活动，</w:t>
      </w:r>
      <w:r>
        <w:rPr>
          <w:rFonts w:hint="eastAsia" w:ascii="仿宋" w:hAnsi="仿宋" w:eastAsia="仿宋" w:cs="仿宋"/>
          <w:color w:val="000000"/>
          <w:sz w:val="24"/>
          <w:szCs w:val="24"/>
          <w:lang w:eastAsia="zh-CN"/>
        </w:rPr>
        <w:t>设计</w:t>
      </w:r>
      <w:r>
        <w:rPr>
          <w:rFonts w:hint="eastAsia" w:ascii="仿宋" w:hAnsi="仿宋" w:eastAsia="仿宋" w:cs="仿宋"/>
          <w:color w:val="000000"/>
          <w:sz w:val="24"/>
          <w:szCs w:val="24"/>
        </w:rPr>
        <w:t>合同的签订、执行、完成和售后服务，作为投标人代表以我方的名义处理一切与之有关的事务。</w:t>
      </w:r>
    </w:p>
    <w:p w14:paraId="69647DA8">
      <w:pPr>
        <w:pStyle w:val="27"/>
        <w:spacing w:line="360" w:lineRule="auto"/>
        <w:ind w:firstLine="480" w:firstLineChars="200"/>
        <w:rPr>
          <w:rFonts w:hint="eastAsia" w:ascii="仿宋" w:hAnsi="仿宋" w:eastAsia="仿宋" w:cs="仿宋"/>
          <w:color w:val="000000"/>
          <w:sz w:val="24"/>
          <w:szCs w:val="24"/>
        </w:rPr>
      </w:pPr>
    </w:p>
    <w:p w14:paraId="18ADFA32">
      <w:pPr>
        <w:pStyle w:val="27"/>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被授权人（投标人授权代表）无转委托权限。</w:t>
      </w:r>
    </w:p>
    <w:p w14:paraId="09AD9A5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本授权书自法定代表人签字（盖个人名章）之日起生效，特此声明。</w:t>
      </w:r>
    </w:p>
    <w:p w14:paraId="27532250">
      <w:pPr>
        <w:rPr>
          <w:rFonts w:hint="eastAsia" w:ascii="仿宋" w:hAnsi="仿宋" w:eastAsia="仿宋" w:cs="仿宋"/>
          <w:color w:val="auto"/>
          <w:sz w:val="24"/>
          <w:szCs w:val="24"/>
        </w:rPr>
      </w:pPr>
    </w:p>
    <w:p w14:paraId="18E1A2D2">
      <w:pPr>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需附：法定代表人、被授权人身份证复印件。</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14:paraId="5EDF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644" w:type="dxa"/>
            <w:noWrap w:val="0"/>
            <w:vAlign w:val="top"/>
          </w:tcPr>
          <w:p w14:paraId="02754DD6">
            <w:pPr>
              <w:jc w:val="center"/>
              <w:rPr>
                <w:rFonts w:hint="eastAsia" w:ascii="仿宋" w:hAnsi="仿宋" w:eastAsia="仿宋" w:cs="仿宋"/>
              </w:rPr>
            </w:pPr>
            <w:r>
              <w:rPr>
                <w:rFonts w:hint="eastAsia" w:ascii="仿宋" w:hAnsi="仿宋" w:eastAsia="仿宋" w:cs="仿宋"/>
              </w:rPr>
              <w:t>法定代表人身份证复印件正面</w:t>
            </w:r>
          </w:p>
          <w:p w14:paraId="7D4DACAC">
            <w:pPr>
              <w:rPr>
                <w:rFonts w:hint="eastAsia" w:ascii="仿宋" w:hAnsi="仿宋" w:eastAsia="仿宋" w:cs="仿宋"/>
                <w:color w:val="auto"/>
                <w:sz w:val="24"/>
                <w:szCs w:val="24"/>
                <w:vertAlign w:val="baseline"/>
              </w:rPr>
            </w:pPr>
          </w:p>
        </w:tc>
        <w:tc>
          <w:tcPr>
            <w:tcW w:w="4644" w:type="dxa"/>
            <w:noWrap w:val="0"/>
            <w:vAlign w:val="top"/>
          </w:tcPr>
          <w:p w14:paraId="3F53ACE7">
            <w:pPr>
              <w:jc w:val="center"/>
              <w:rPr>
                <w:rFonts w:hint="eastAsia" w:ascii="仿宋" w:hAnsi="仿宋" w:eastAsia="仿宋" w:cs="仿宋"/>
              </w:rPr>
            </w:pPr>
            <w:r>
              <w:rPr>
                <w:rFonts w:hint="eastAsia" w:ascii="仿宋" w:hAnsi="仿宋" w:eastAsia="仿宋" w:cs="仿宋"/>
              </w:rPr>
              <w:t>被授权人身份证复印件正面</w:t>
            </w:r>
          </w:p>
          <w:p w14:paraId="67DC2A0A">
            <w:pPr>
              <w:rPr>
                <w:rFonts w:hint="eastAsia" w:ascii="仿宋" w:hAnsi="仿宋" w:eastAsia="仿宋" w:cs="仿宋"/>
                <w:color w:val="auto"/>
                <w:sz w:val="24"/>
                <w:szCs w:val="24"/>
                <w:vertAlign w:val="baseline"/>
              </w:rPr>
            </w:pPr>
          </w:p>
        </w:tc>
      </w:tr>
      <w:tr w14:paraId="1DA5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4644" w:type="dxa"/>
            <w:noWrap w:val="0"/>
            <w:vAlign w:val="top"/>
          </w:tcPr>
          <w:p w14:paraId="6B5EA21F">
            <w:pPr>
              <w:jc w:val="center"/>
              <w:rPr>
                <w:rFonts w:hint="eastAsia" w:ascii="仿宋" w:hAnsi="仿宋" w:eastAsia="仿宋" w:cs="仿宋"/>
              </w:rPr>
            </w:pPr>
            <w:r>
              <w:rPr>
                <w:rFonts w:hint="eastAsia" w:ascii="仿宋" w:hAnsi="仿宋" w:eastAsia="仿宋" w:cs="仿宋"/>
              </w:rPr>
              <w:t>法定代表人身份证复印件背面</w:t>
            </w:r>
          </w:p>
          <w:p w14:paraId="20676844">
            <w:pPr>
              <w:rPr>
                <w:rFonts w:hint="eastAsia" w:ascii="仿宋" w:hAnsi="仿宋" w:eastAsia="仿宋" w:cs="仿宋"/>
                <w:color w:val="auto"/>
                <w:sz w:val="24"/>
                <w:szCs w:val="24"/>
                <w:vertAlign w:val="baseline"/>
              </w:rPr>
            </w:pPr>
          </w:p>
        </w:tc>
        <w:tc>
          <w:tcPr>
            <w:tcW w:w="4644" w:type="dxa"/>
            <w:noWrap w:val="0"/>
            <w:vAlign w:val="top"/>
          </w:tcPr>
          <w:p w14:paraId="34C0131A">
            <w:pPr>
              <w:jc w:val="center"/>
              <w:rPr>
                <w:rFonts w:hint="eastAsia" w:ascii="仿宋" w:hAnsi="仿宋" w:eastAsia="仿宋" w:cs="仿宋"/>
              </w:rPr>
            </w:pPr>
            <w:r>
              <w:rPr>
                <w:rFonts w:hint="eastAsia" w:ascii="仿宋" w:hAnsi="仿宋" w:eastAsia="仿宋" w:cs="仿宋"/>
              </w:rPr>
              <w:t>被授权人身份证复印件背面</w:t>
            </w:r>
          </w:p>
          <w:p w14:paraId="06BE8B1D">
            <w:pPr>
              <w:rPr>
                <w:rFonts w:hint="eastAsia" w:ascii="仿宋" w:hAnsi="仿宋" w:eastAsia="仿宋" w:cs="仿宋"/>
                <w:color w:val="auto"/>
                <w:sz w:val="24"/>
                <w:szCs w:val="24"/>
                <w:vertAlign w:val="baseline"/>
              </w:rPr>
            </w:pPr>
          </w:p>
        </w:tc>
      </w:tr>
    </w:tbl>
    <w:p w14:paraId="60396F5F">
      <w:pPr>
        <w:spacing w:line="360" w:lineRule="auto"/>
        <w:ind w:left="0" w:leftChars="0" w:firstLine="0" w:firstLineChars="0"/>
        <w:rPr>
          <w:rFonts w:hint="eastAsia" w:ascii="仿宋" w:hAnsi="仿宋" w:eastAsia="仿宋" w:cs="仿宋"/>
          <w:color w:val="auto"/>
          <w:sz w:val="24"/>
          <w:szCs w:val="24"/>
        </w:rPr>
      </w:pPr>
    </w:p>
    <w:p w14:paraId="0646AE5B">
      <w:pPr>
        <w:spacing w:line="360" w:lineRule="auto"/>
        <w:rPr>
          <w:rFonts w:hint="eastAsia" w:ascii="仿宋" w:hAnsi="仿宋" w:eastAsia="仿宋" w:cs="仿宋"/>
          <w:color w:val="auto"/>
          <w:sz w:val="24"/>
          <w:szCs w:val="24"/>
        </w:rPr>
      </w:pPr>
    </w:p>
    <w:p w14:paraId="2B40764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投标单位名称：（</w:t>
      </w:r>
      <w:r>
        <w:rPr>
          <w:rFonts w:hint="eastAsia" w:ascii="仿宋" w:hAnsi="仿宋" w:eastAsia="仿宋" w:cs="仿宋"/>
          <w:color w:val="auto"/>
          <w:sz w:val="24"/>
          <w:szCs w:val="24"/>
          <w:lang w:eastAsia="zh-CN"/>
        </w:rPr>
        <w:t>盖章</w:t>
      </w:r>
      <w:r>
        <w:rPr>
          <w:rFonts w:hint="eastAsia" w:ascii="仿宋" w:hAnsi="仿宋" w:eastAsia="仿宋" w:cs="仿宋"/>
          <w:color w:val="auto"/>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21308228">
      <w:pPr>
        <w:spacing w:line="360" w:lineRule="auto"/>
        <w:rPr>
          <w:rFonts w:hint="eastAsia" w:ascii="仿宋" w:hAnsi="仿宋" w:eastAsia="仿宋" w:cs="仿宋"/>
          <w:color w:val="auto"/>
          <w:sz w:val="24"/>
          <w:szCs w:val="24"/>
        </w:rPr>
      </w:pPr>
    </w:p>
    <w:p w14:paraId="46C38D1E">
      <w:pPr>
        <w:spacing w:line="360" w:lineRule="auto"/>
        <w:rPr>
          <w:rFonts w:hint="eastAsia" w:ascii="仿宋" w:hAnsi="仿宋" w:eastAsia="仿宋" w:cs="仿宋"/>
          <w:color w:val="000000"/>
          <w:sz w:val="24"/>
          <w:szCs w:val="24"/>
          <w:u w:val="single"/>
          <w:lang w:val="en-US" w:eastAsia="zh-CN"/>
        </w:rPr>
      </w:pPr>
      <w:r>
        <w:rPr>
          <w:rFonts w:hint="eastAsia" w:ascii="仿宋" w:hAnsi="仿宋" w:eastAsia="仿宋" w:cs="仿宋"/>
          <w:color w:val="auto"/>
          <w:sz w:val="24"/>
          <w:szCs w:val="24"/>
        </w:rPr>
        <w:t>授权代表人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（签字</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盖章）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6E82DBF0">
      <w:pPr>
        <w:pStyle w:val="27"/>
        <w:rPr>
          <w:rFonts w:hint="eastAsia" w:ascii="仿宋" w:hAnsi="仿宋" w:eastAsia="仿宋" w:cs="仿宋"/>
        </w:rPr>
      </w:pPr>
    </w:p>
    <w:p w14:paraId="0C169DD1">
      <w:pPr>
        <w:numPr>
          <w:ilvl w:val="0"/>
          <w:numId w:val="0"/>
        </w:numPr>
        <w:ind w:leftChars="-50" w:right="62" w:rightChars="0"/>
        <w:jc w:val="right"/>
        <w:rPr>
          <w:rFonts w:hint="eastAsia" w:ascii="仿宋" w:hAnsi="仿宋" w:eastAsia="仿宋" w:cs="仿宋"/>
          <w:sz w:val="24"/>
          <w:szCs w:val="24"/>
        </w:rPr>
      </w:pPr>
      <w:r>
        <w:rPr>
          <w:rFonts w:hint="eastAsia" w:ascii="仿宋" w:hAnsi="仿宋" w:eastAsia="仿宋" w:cs="仿宋"/>
          <w:color w:val="auto"/>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EFA8E45">
      <w:pPr>
        <w:spacing w:line="300" w:lineRule="auto"/>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br w:type="page"/>
      </w:r>
      <w:r>
        <w:rPr>
          <w:rFonts w:hint="eastAsia" w:ascii="仿宋" w:hAnsi="仿宋" w:eastAsia="仿宋" w:cs="仿宋"/>
          <w:b/>
          <w:bCs/>
          <w:sz w:val="24"/>
          <w:szCs w:val="24"/>
          <w:highlight w:val="none"/>
          <w:lang w:val="en-US" w:eastAsia="zh-CN"/>
        </w:rPr>
        <w:t>(五）有良好的商业信誉和健全的财务会计制度：提供最新年度2025年由第三方财务审计机构出具及注册会计师行业统一监管平台有备案赋码的财务审计报告（新成立不足一年的公司需提供银行出具的近三个月（近三个月指 2026年2月至2026年4月）的资信证明，成立不足三个月的按实际发生提供）及健全的财务会计制度（健全的财务会计制度需单独提供）；</w:t>
      </w:r>
    </w:p>
    <w:p w14:paraId="50E88883">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b/>
          <w:bCs/>
          <w:kern w:val="2"/>
          <w:sz w:val="24"/>
          <w:szCs w:val="24"/>
          <w:highlight w:val="none"/>
          <w:lang w:val="en-US" w:eastAsia="zh-CN" w:bidi="ar-SA"/>
        </w:rPr>
      </w:pPr>
    </w:p>
    <w:p w14:paraId="6DF7BFDE">
      <w:pPr>
        <w:pStyle w:val="41"/>
        <w:keepNext w:val="0"/>
        <w:keepLines w:val="0"/>
        <w:widowControl/>
        <w:numPr>
          <w:ilvl w:val="0"/>
          <w:numId w:val="15"/>
        </w:numPr>
        <w:suppressLineNumbers w:val="0"/>
        <w:spacing w:before="75" w:beforeAutospacing="0" w:after="75" w:afterAutospacing="0" w:line="240" w:lineRule="auto"/>
        <w:ind w:leftChars="0" w:right="0" w:right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提供投标截止日前近 3 个月的社保证明材料（社保缴费明细表及缴费凭证），如依法不需要缴纳社会保障资金的，应提供相应文件证明（新成立不满 3 个月的企业，按实际发生的提供）；</w:t>
      </w:r>
    </w:p>
    <w:p w14:paraId="1A598D90">
      <w:pPr>
        <w:pStyle w:val="41"/>
        <w:keepNext w:val="0"/>
        <w:keepLines w:val="0"/>
        <w:widowControl/>
        <w:numPr>
          <w:ilvl w:val="0"/>
          <w:numId w:val="0"/>
        </w:numPr>
        <w:suppressLineNumbers w:val="0"/>
        <w:spacing w:before="75" w:beforeAutospacing="0" w:after="75" w:afterAutospacing="0" w:line="240" w:lineRule="auto"/>
        <w:ind w:right="0" w:rightChars="0"/>
        <w:jc w:val="left"/>
        <w:rPr>
          <w:rFonts w:hint="eastAsia" w:ascii="仿宋" w:hAnsi="仿宋" w:eastAsia="仿宋" w:cs="仿宋"/>
          <w:b/>
          <w:bCs/>
          <w:kern w:val="2"/>
          <w:sz w:val="24"/>
          <w:szCs w:val="24"/>
          <w:highlight w:val="none"/>
          <w:lang w:val="en-US" w:eastAsia="zh-CN" w:bidi="ar-SA"/>
        </w:rPr>
      </w:pPr>
    </w:p>
    <w:p w14:paraId="1A97D9D5">
      <w:pPr>
        <w:pStyle w:val="41"/>
        <w:keepNext w:val="0"/>
        <w:keepLines w:val="0"/>
        <w:widowControl/>
        <w:numPr>
          <w:ilvl w:val="0"/>
          <w:numId w:val="0"/>
        </w:numPr>
        <w:suppressLineNumbers w:val="0"/>
        <w:spacing w:before="75" w:beforeAutospacing="0" w:after="75" w:afterAutospacing="0" w:line="240" w:lineRule="auto"/>
        <w:ind w:right="0" w:rightChars="0"/>
        <w:jc w:val="left"/>
        <w:rPr>
          <w:rFonts w:hint="eastAsia" w:ascii="仿宋" w:hAnsi="仿宋" w:eastAsia="仿宋" w:cs="仿宋"/>
          <w:b/>
          <w:bCs/>
          <w:kern w:val="2"/>
          <w:sz w:val="24"/>
          <w:szCs w:val="24"/>
          <w:highlight w:val="none"/>
          <w:lang w:val="en-US" w:eastAsia="zh-CN" w:bidi="ar-SA"/>
        </w:rPr>
      </w:pPr>
    </w:p>
    <w:p w14:paraId="1E2B0FA2">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（七）提供投标截止日前近3个月的缴纳税收的完税证明或税务部门出具的纳税证明；如依法免税的，应提供相应文件证明（新成立不满 3个月的企业，按实际发生的提供）；</w:t>
      </w:r>
    </w:p>
    <w:p w14:paraId="4DF22923">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b/>
          <w:bCs/>
          <w:kern w:val="2"/>
          <w:sz w:val="24"/>
          <w:szCs w:val="24"/>
          <w:highlight w:val="none"/>
          <w:lang w:val="en-US" w:eastAsia="zh-CN" w:bidi="ar-SA"/>
        </w:rPr>
      </w:pPr>
    </w:p>
    <w:p w14:paraId="2672C2EA">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b/>
          <w:bCs/>
          <w:sz w:val="24"/>
          <w:szCs w:val="24"/>
          <w:lang w:eastAsia="zh-CN"/>
        </w:rPr>
      </w:pPr>
      <w:r>
        <w:rPr>
          <w:rFonts w:hint="eastAsia" w:ascii="仿宋" w:hAnsi="仿宋" w:eastAsia="仿宋" w:cs="仿宋"/>
          <w:b/>
          <w:bCs/>
          <w:kern w:val="2"/>
          <w:sz w:val="24"/>
          <w:szCs w:val="24"/>
          <w:highlight w:val="none"/>
          <w:lang w:val="en-US" w:eastAsia="zh-CN" w:bidi="ar-SA"/>
        </w:rPr>
        <w:br w:type="page"/>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lang w:eastAsia="zh-CN"/>
        </w:rPr>
        <w:t>根据项目需求提供履行合同所必需的设备和专业技术能力的加盖单位公章的书面承诺函</w:t>
      </w:r>
    </w:p>
    <w:p w14:paraId="7638A3C3">
      <w:pPr>
        <w:numPr>
          <w:ilvl w:val="0"/>
          <w:numId w:val="0"/>
        </w:numPr>
        <w:bidi w:val="0"/>
        <w:jc w:val="center"/>
        <w:rPr>
          <w:rFonts w:hint="eastAsia" w:ascii="仿宋" w:hAnsi="仿宋" w:eastAsia="仿宋" w:cs="仿宋"/>
          <w:b/>
          <w:bCs/>
          <w:sz w:val="24"/>
          <w:szCs w:val="24"/>
        </w:rPr>
      </w:pPr>
      <w:r>
        <w:rPr>
          <w:rFonts w:hint="eastAsia" w:ascii="仿宋" w:hAnsi="仿宋" w:eastAsia="仿宋" w:cs="仿宋"/>
          <w:b/>
          <w:bCs/>
          <w:sz w:val="24"/>
          <w:szCs w:val="24"/>
        </w:rPr>
        <w:t>具有履行合同所必需的设备和专业技术能力书面声明</w:t>
      </w:r>
    </w:p>
    <w:p w14:paraId="465A10ED">
      <w:pPr>
        <w:tabs>
          <w:tab w:val="left" w:pos="6300"/>
        </w:tabs>
        <w:snapToGrid w:val="0"/>
        <w:spacing w:before="312" w:beforeLines="100" w:after="312" w:afterLines="100" w:line="50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DE0522A">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2CDE56D9">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14:paraId="71E6C1A3">
      <w:pPr>
        <w:snapToGrid w:val="0"/>
        <w:spacing w:beforeAutospacing="0" w:afterAutospacing="0" w:line="360" w:lineRule="auto"/>
        <w:jc w:val="right"/>
        <w:rPr>
          <w:rFonts w:hint="eastAsia" w:ascii="仿宋" w:hAnsi="仿宋" w:eastAsia="仿宋" w:cs="仿宋"/>
          <w:kern w:val="0"/>
          <w:sz w:val="24"/>
          <w:szCs w:val="24"/>
        </w:rPr>
      </w:pPr>
      <w:r>
        <w:rPr>
          <w:rFonts w:hint="eastAsia" w:ascii="仿宋" w:hAnsi="仿宋" w:eastAsia="仿宋" w:cs="仿宋"/>
          <w:kern w:val="0"/>
          <w:sz w:val="24"/>
          <w:szCs w:val="24"/>
          <w:lang w:val="zh-CN"/>
        </w:rPr>
        <w:t>投标人名称(电子签章)：</w:t>
      </w:r>
    </w:p>
    <w:p w14:paraId="301FA722">
      <w:pPr>
        <w:widowControl w:val="0"/>
        <w:numPr>
          <w:ilvl w:val="0"/>
          <w:numId w:val="0"/>
        </w:numPr>
        <w:spacing w:line="360" w:lineRule="auto"/>
        <w:ind w:right="62" w:rightChars="0"/>
        <w:jc w:val="righ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日期</w:t>
      </w:r>
      <w:r>
        <w:rPr>
          <w:rFonts w:hint="eastAsia" w:ascii="仿宋" w:hAnsi="仿宋" w:eastAsia="仿宋" w:cs="仿宋"/>
          <w:kern w:val="0"/>
          <w:sz w:val="24"/>
          <w:szCs w:val="24"/>
        </w:rPr>
        <w:t xml:space="preserve">：  年  </w:t>
      </w:r>
      <w:r>
        <w:rPr>
          <w:rFonts w:hint="eastAsia" w:ascii="仿宋" w:hAnsi="仿宋" w:eastAsia="仿宋" w:cs="仿宋"/>
          <w:kern w:val="0"/>
          <w:sz w:val="24"/>
          <w:szCs w:val="24"/>
          <w:lang w:val="zh-CN"/>
        </w:rPr>
        <w:t>月</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zh-CN"/>
        </w:rPr>
        <w:t>日</w:t>
      </w:r>
    </w:p>
    <w:p w14:paraId="449F1FCA">
      <w:pPr>
        <w:pStyle w:val="45"/>
        <w:rPr>
          <w:rFonts w:hint="eastAsia" w:ascii="仿宋" w:hAnsi="仿宋" w:eastAsia="仿宋" w:cs="仿宋"/>
          <w:kern w:val="0"/>
          <w:sz w:val="24"/>
          <w:szCs w:val="24"/>
          <w:lang w:val="zh-CN"/>
        </w:rPr>
      </w:pPr>
    </w:p>
    <w:p w14:paraId="06DDDA70">
      <w:pPr>
        <w:pStyle w:val="41"/>
        <w:keepNext w:val="0"/>
        <w:keepLines w:val="0"/>
        <w:widowControl/>
        <w:numPr>
          <w:ilvl w:val="0"/>
          <w:numId w:val="16"/>
        </w:numPr>
        <w:suppressLineNumbers w:val="0"/>
        <w:spacing w:before="75" w:beforeAutospacing="0" w:after="75" w:afterAutospacing="0" w:line="240" w:lineRule="auto"/>
        <w:ind w:leftChars="0" w:right="0" w:right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凡拟参加本次招标项目的投标人，如在①“信用中国”网站（www.creditchina.gov.cn）；②中国政府采购网（www.ccgp.gov.cn）；中被列入失信被执行人、重大税收违法案件当事人名单、政府采购严重违法失信行为记录名单的（尚在处罚期内的）、经营异常名录的，将拒绝其参加本次政府采购活动；</w:t>
      </w:r>
    </w:p>
    <w:p w14:paraId="2B45F6BE">
      <w:pPr>
        <w:pStyle w:val="41"/>
        <w:keepNext w:val="0"/>
        <w:keepLines w:val="0"/>
        <w:widowControl/>
        <w:numPr>
          <w:ilvl w:val="0"/>
          <w:numId w:val="0"/>
        </w:numPr>
        <w:suppressLineNumbers w:val="0"/>
        <w:spacing w:before="75" w:beforeAutospacing="0" w:after="75" w:afterAutospacing="0" w:line="240" w:lineRule="auto"/>
        <w:ind w:right="0" w:rightChars="0"/>
        <w:jc w:val="left"/>
        <w:rPr>
          <w:rFonts w:hint="eastAsia" w:ascii="仿宋" w:hAnsi="仿宋" w:eastAsia="仿宋" w:cs="仿宋"/>
          <w:b/>
          <w:bCs/>
          <w:sz w:val="24"/>
          <w:szCs w:val="24"/>
          <w:lang w:val="en-US" w:eastAsia="zh-CN"/>
        </w:rPr>
      </w:pPr>
    </w:p>
    <w:p w14:paraId="18BC076C">
      <w:pPr>
        <w:pStyle w:val="41"/>
        <w:keepNext w:val="0"/>
        <w:keepLines w:val="0"/>
        <w:widowControl/>
        <w:numPr>
          <w:ilvl w:val="0"/>
          <w:numId w:val="0"/>
        </w:numPr>
        <w:suppressLineNumbers w:val="0"/>
        <w:spacing w:before="75" w:beforeAutospacing="0" w:after="75" w:afterAutospacing="0" w:line="240" w:lineRule="auto"/>
        <w:ind w:right="0" w:rightChars="0"/>
        <w:jc w:val="left"/>
        <w:rPr>
          <w:rFonts w:hint="eastAsia" w:ascii="仿宋" w:hAnsi="仿宋" w:eastAsia="仿宋" w:cs="仿宋"/>
          <w:b/>
          <w:bCs/>
          <w:sz w:val="24"/>
          <w:szCs w:val="24"/>
          <w:lang w:val="en-US" w:eastAsia="zh-CN"/>
        </w:rPr>
      </w:pPr>
    </w:p>
    <w:p w14:paraId="7257A8AF">
      <w:pPr>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（十）提供企业负责人为同一人或者存在直接控股、管理关系的不同投标人，不得参加同一合同项下的政府采购活动的《投标人资格声明函》。</w:t>
      </w:r>
    </w:p>
    <w:p w14:paraId="723DA723">
      <w:pPr>
        <w:pStyle w:val="45"/>
        <w:rPr>
          <w:rFonts w:hint="eastAsia" w:ascii="仿宋" w:hAnsi="仿宋" w:eastAsia="仿宋" w:cs="仿宋"/>
          <w:b/>
          <w:bCs/>
          <w:lang w:val="en-US" w:eastAsia="zh-CN"/>
        </w:rPr>
      </w:pPr>
    </w:p>
    <w:p w14:paraId="45ABF621">
      <w:pPr>
        <w:pStyle w:val="41"/>
        <w:keepNext w:val="0"/>
        <w:keepLines w:val="0"/>
        <w:widowControl/>
        <w:numPr>
          <w:ilvl w:val="0"/>
          <w:numId w:val="0"/>
        </w:numPr>
        <w:suppressLineNumbers w:val="0"/>
        <w:spacing w:before="75" w:beforeAutospacing="0" w:after="75" w:afterAutospacing="0" w:line="240" w:lineRule="auto"/>
        <w:ind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highlight w:val="none"/>
          <w:lang w:val="en-US" w:eastAsia="zh-CN"/>
        </w:rPr>
        <w:t>（十一）</w:t>
      </w:r>
      <w:r>
        <w:rPr>
          <w:rFonts w:hint="eastAsia" w:ascii="仿宋" w:hAnsi="仿宋" w:eastAsia="仿宋" w:cs="仿宋"/>
          <w:b/>
          <w:bCs/>
          <w:sz w:val="24"/>
          <w:szCs w:val="24"/>
          <w:lang w:val="en-US" w:eastAsia="zh-CN"/>
        </w:rPr>
        <w:t>提供参加政府采购活动前三年内，在经营活动中没有重大违法记录的书面声明；重大违法记录，是指供应商因违法经营受到刑事处罚或者责令停产停业、吊销许可证或者执照、较大数额罚款等行政处罚。（根据财库〔2022〕3 号文，“较大数额罚款”认定为 200 万元以上的罚款，法律、行政法规以及国务院有关部门明确规定相关领域“较大数额罚款”标准高于 200万元的，从其规定）</w:t>
      </w:r>
    </w:p>
    <w:p w14:paraId="5A52940E">
      <w:pPr>
        <w:rPr>
          <w:rFonts w:hint="eastAsia" w:ascii="仿宋" w:hAnsi="仿宋" w:eastAsia="仿宋" w:cs="仿宋"/>
          <w:b/>
          <w:bCs/>
          <w:sz w:val="24"/>
          <w:szCs w:val="24"/>
          <w:highlight w:val="none"/>
          <w:lang w:val="en-US" w:eastAsia="zh-CN"/>
        </w:rPr>
      </w:pPr>
    </w:p>
    <w:p w14:paraId="67814810">
      <w:pPr>
        <w:rPr>
          <w:rFonts w:hint="eastAsia" w:ascii="仿宋" w:hAnsi="仿宋" w:eastAsia="仿宋" w:cs="仿宋"/>
          <w:b/>
          <w:bCs/>
          <w:lang w:val="en-US" w:eastAsia="zh-CN"/>
        </w:rPr>
      </w:pPr>
      <w:r>
        <w:rPr>
          <w:rFonts w:hint="eastAsia" w:ascii="仿宋" w:hAnsi="仿宋" w:eastAsia="仿宋" w:cs="仿宋"/>
          <w:b/>
          <w:bCs/>
          <w:sz w:val="24"/>
          <w:szCs w:val="24"/>
          <w:highlight w:val="none"/>
          <w:lang w:val="en-US" w:eastAsia="zh-CN"/>
        </w:rPr>
        <w:t>（十二）投标保证金转账凭证或保函文件</w:t>
      </w:r>
    </w:p>
    <w:p w14:paraId="45060BFA">
      <w:pPr>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投标保证金回单（以银行到账推送名单情况为准）、或电子保函凭证</w:t>
      </w:r>
    </w:p>
    <w:p w14:paraId="2C3CE2BC">
      <w:pPr>
        <w:pStyle w:val="27"/>
        <w:rPr>
          <w:rFonts w:hint="eastAsia" w:ascii="仿宋" w:hAnsi="仿宋" w:eastAsia="仿宋" w:cs="仿宋"/>
          <w:b/>
          <w:bCs/>
          <w:sz w:val="24"/>
          <w:szCs w:val="24"/>
          <w:lang w:val="en-US" w:eastAsia="zh-CN"/>
        </w:rPr>
      </w:pPr>
    </w:p>
    <w:p w14:paraId="4CB5A602">
      <w:pPr>
        <w:numPr>
          <w:ilvl w:val="0"/>
          <w:numId w:val="0"/>
        </w:numPr>
        <w:ind w:leftChars="-50" w:right="62" w:righ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4"/>
          <w:szCs w:val="24"/>
          <w:lang w:val="en-US" w:eastAsia="zh-CN"/>
        </w:rPr>
        <w:t>（十三）、商务偏离表（格式见附件）</w:t>
      </w:r>
    </w:p>
    <w:p w14:paraId="15CBC23F">
      <w:pPr>
        <w:pStyle w:val="27"/>
        <w:widowControl w:val="0"/>
        <w:numPr>
          <w:ilvl w:val="0"/>
          <w:numId w:val="0"/>
        </w:numPr>
        <w:spacing w:line="360" w:lineRule="auto"/>
        <w:ind w:right="62" w:rightChars="0"/>
        <w:jc w:val="both"/>
        <w:rPr>
          <w:rFonts w:hint="eastAsia" w:ascii="仿宋" w:hAnsi="仿宋" w:eastAsia="仿宋" w:cs="仿宋"/>
          <w:lang w:val="en-US" w:eastAsia="zh-CN"/>
        </w:rPr>
      </w:pPr>
    </w:p>
    <w:p w14:paraId="44462949">
      <w:pPr>
        <w:pStyle w:val="14"/>
        <w:numPr>
          <w:ilvl w:val="0"/>
          <w:numId w:val="0"/>
        </w:numPr>
        <w:tabs>
          <w:tab w:val="left" w:pos="2160"/>
        </w:tabs>
        <w:overflowPunct w:val="0"/>
        <w:snapToGrid w:val="0"/>
        <w:spacing w:line="360" w:lineRule="auto"/>
        <w:ind w:leftChars="0"/>
        <w:jc w:val="center"/>
        <w:rPr>
          <w:rFonts w:hint="eastAsia" w:ascii="仿宋" w:hAnsi="仿宋" w:eastAsia="仿宋" w:cs="仿宋"/>
          <w:color w:val="000000"/>
          <w:sz w:val="24"/>
          <w:szCs w:val="24"/>
        </w:rPr>
      </w:pPr>
      <w:r>
        <w:rPr>
          <w:rFonts w:hint="eastAsia" w:ascii="仿宋" w:hAnsi="仿宋" w:eastAsia="仿宋" w:cs="仿宋"/>
          <w:b/>
          <w:bCs w:val="0"/>
          <w:color w:val="auto"/>
          <w:kern w:val="2"/>
          <w:sz w:val="24"/>
          <w:szCs w:val="24"/>
          <w:lang w:val="en-US" w:eastAsia="zh-CN" w:bidi="ar-SA"/>
        </w:rPr>
        <w:t>商务偏离表</w:t>
      </w:r>
    </w:p>
    <w:p w14:paraId="2E7E79F3">
      <w:pPr>
        <w:adjustRightInd w:val="0"/>
        <w:snapToGrid w:val="0"/>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项目名称：</w:t>
      </w:r>
    </w:p>
    <w:p w14:paraId="11249A52">
      <w:pPr>
        <w:adjustRightInd w:val="0"/>
        <w:snapToGrid w:val="0"/>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项目编号：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14:paraId="4339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14:paraId="465B0EF4">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181" w:type="dxa"/>
            <w:noWrap w:val="0"/>
            <w:vAlign w:val="center"/>
          </w:tcPr>
          <w:p w14:paraId="341E014F">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招标文件条目号</w:t>
            </w:r>
          </w:p>
        </w:tc>
        <w:tc>
          <w:tcPr>
            <w:tcW w:w="2552" w:type="dxa"/>
            <w:noWrap w:val="0"/>
            <w:vAlign w:val="center"/>
          </w:tcPr>
          <w:p w14:paraId="1F1D62D9">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招标文件的商务条款</w:t>
            </w:r>
          </w:p>
        </w:tc>
        <w:tc>
          <w:tcPr>
            <w:tcW w:w="2551" w:type="dxa"/>
            <w:noWrap w:val="0"/>
            <w:vAlign w:val="center"/>
          </w:tcPr>
          <w:p w14:paraId="58584F50">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招标响应文件的商务条款</w:t>
            </w:r>
          </w:p>
        </w:tc>
        <w:tc>
          <w:tcPr>
            <w:tcW w:w="1210" w:type="dxa"/>
            <w:noWrap w:val="0"/>
            <w:vAlign w:val="center"/>
          </w:tcPr>
          <w:p w14:paraId="3930457A">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r>
      <w:tr w14:paraId="7E82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96" w:type="dxa"/>
            <w:noWrap w:val="0"/>
            <w:vAlign w:val="center"/>
          </w:tcPr>
          <w:p w14:paraId="65D0C4E8">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81" w:type="dxa"/>
            <w:noWrap w:val="0"/>
            <w:vAlign w:val="top"/>
          </w:tcPr>
          <w:p w14:paraId="1C041A55">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（示例）</w:t>
            </w:r>
          </w:p>
        </w:tc>
        <w:tc>
          <w:tcPr>
            <w:tcW w:w="2552" w:type="dxa"/>
            <w:noWrap w:val="0"/>
            <w:vAlign w:val="top"/>
          </w:tcPr>
          <w:p w14:paraId="77F07AD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招标人的资格声明</w:t>
            </w:r>
          </w:p>
        </w:tc>
        <w:tc>
          <w:tcPr>
            <w:tcW w:w="2551" w:type="dxa"/>
            <w:noWrap w:val="0"/>
            <w:vAlign w:val="top"/>
          </w:tcPr>
          <w:p w14:paraId="1E78ADC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投标人的资格声明</w:t>
            </w:r>
          </w:p>
        </w:tc>
        <w:tc>
          <w:tcPr>
            <w:tcW w:w="1210" w:type="dxa"/>
            <w:noWrap w:val="0"/>
            <w:vAlign w:val="top"/>
          </w:tcPr>
          <w:p w14:paraId="572A058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无偏离</w:t>
            </w:r>
          </w:p>
        </w:tc>
      </w:tr>
      <w:tr w14:paraId="5BE6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14:paraId="562CA80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181" w:type="dxa"/>
            <w:noWrap w:val="0"/>
            <w:vAlign w:val="center"/>
          </w:tcPr>
          <w:p w14:paraId="1D1CDD24">
            <w:pPr>
              <w:adjustRightInd w:val="0"/>
              <w:snapToGrid w:val="0"/>
              <w:jc w:val="center"/>
              <w:rPr>
                <w:rFonts w:hint="eastAsia" w:ascii="仿宋" w:hAnsi="仿宋" w:eastAsia="仿宋" w:cs="仿宋"/>
                <w:color w:val="000000"/>
                <w:sz w:val="24"/>
                <w:szCs w:val="24"/>
              </w:rPr>
            </w:pPr>
          </w:p>
        </w:tc>
        <w:tc>
          <w:tcPr>
            <w:tcW w:w="2552" w:type="dxa"/>
            <w:noWrap w:val="0"/>
            <w:vAlign w:val="center"/>
          </w:tcPr>
          <w:p w14:paraId="5BE320B5">
            <w:pPr>
              <w:adjustRightInd w:val="0"/>
              <w:snapToGrid w:val="0"/>
              <w:jc w:val="center"/>
              <w:rPr>
                <w:rFonts w:hint="eastAsia" w:ascii="仿宋" w:hAnsi="仿宋" w:eastAsia="仿宋" w:cs="仿宋"/>
                <w:color w:val="000000"/>
                <w:sz w:val="24"/>
                <w:szCs w:val="24"/>
              </w:rPr>
            </w:pPr>
          </w:p>
        </w:tc>
        <w:tc>
          <w:tcPr>
            <w:tcW w:w="2551" w:type="dxa"/>
            <w:noWrap w:val="0"/>
            <w:vAlign w:val="center"/>
          </w:tcPr>
          <w:p w14:paraId="2558DD92">
            <w:pPr>
              <w:adjustRightInd w:val="0"/>
              <w:snapToGrid w:val="0"/>
              <w:jc w:val="center"/>
              <w:rPr>
                <w:rFonts w:hint="eastAsia" w:ascii="仿宋" w:hAnsi="仿宋" w:eastAsia="仿宋" w:cs="仿宋"/>
                <w:color w:val="000000"/>
                <w:sz w:val="24"/>
                <w:szCs w:val="24"/>
              </w:rPr>
            </w:pPr>
          </w:p>
        </w:tc>
        <w:tc>
          <w:tcPr>
            <w:tcW w:w="1210" w:type="dxa"/>
            <w:noWrap w:val="0"/>
            <w:vAlign w:val="center"/>
          </w:tcPr>
          <w:p w14:paraId="0EC9CC89">
            <w:pPr>
              <w:adjustRightInd w:val="0"/>
              <w:snapToGrid w:val="0"/>
              <w:jc w:val="center"/>
              <w:rPr>
                <w:rFonts w:hint="eastAsia" w:ascii="仿宋" w:hAnsi="仿宋" w:eastAsia="仿宋" w:cs="仿宋"/>
                <w:color w:val="000000"/>
                <w:sz w:val="24"/>
                <w:szCs w:val="24"/>
              </w:rPr>
            </w:pPr>
          </w:p>
        </w:tc>
      </w:tr>
      <w:tr w14:paraId="59E9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14:paraId="60379337">
            <w:pPr>
              <w:adjustRightInd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2181" w:type="dxa"/>
            <w:noWrap w:val="0"/>
            <w:vAlign w:val="center"/>
          </w:tcPr>
          <w:p w14:paraId="443CCDCD">
            <w:pPr>
              <w:adjustRightInd w:val="0"/>
              <w:snapToGrid w:val="0"/>
              <w:jc w:val="center"/>
              <w:rPr>
                <w:rFonts w:hint="eastAsia" w:ascii="仿宋" w:hAnsi="仿宋" w:eastAsia="仿宋" w:cs="仿宋"/>
                <w:color w:val="000000"/>
                <w:sz w:val="24"/>
                <w:szCs w:val="24"/>
              </w:rPr>
            </w:pPr>
          </w:p>
        </w:tc>
        <w:tc>
          <w:tcPr>
            <w:tcW w:w="2552" w:type="dxa"/>
            <w:noWrap w:val="0"/>
            <w:vAlign w:val="center"/>
          </w:tcPr>
          <w:p w14:paraId="001760C6">
            <w:pPr>
              <w:adjustRightInd w:val="0"/>
              <w:snapToGrid w:val="0"/>
              <w:jc w:val="center"/>
              <w:rPr>
                <w:rFonts w:hint="eastAsia" w:ascii="仿宋" w:hAnsi="仿宋" w:eastAsia="仿宋" w:cs="仿宋"/>
                <w:color w:val="000000"/>
                <w:sz w:val="24"/>
                <w:szCs w:val="24"/>
              </w:rPr>
            </w:pPr>
          </w:p>
        </w:tc>
        <w:tc>
          <w:tcPr>
            <w:tcW w:w="2551" w:type="dxa"/>
            <w:noWrap w:val="0"/>
            <w:vAlign w:val="center"/>
          </w:tcPr>
          <w:p w14:paraId="0A15F052">
            <w:pPr>
              <w:adjustRightInd w:val="0"/>
              <w:snapToGrid w:val="0"/>
              <w:jc w:val="center"/>
              <w:rPr>
                <w:rFonts w:hint="eastAsia" w:ascii="仿宋" w:hAnsi="仿宋" w:eastAsia="仿宋" w:cs="仿宋"/>
                <w:color w:val="000000"/>
                <w:sz w:val="24"/>
                <w:szCs w:val="24"/>
              </w:rPr>
            </w:pPr>
          </w:p>
        </w:tc>
        <w:tc>
          <w:tcPr>
            <w:tcW w:w="1210" w:type="dxa"/>
            <w:noWrap w:val="0"/>
            <w:vAlign w:val="center"/>
          </w:tcPr>
          <w:p w14:paraId="2893E0FE">
            <w:pPr>
              <w:adjustRightInd w:val="0"/>
              <w:snapToGrid w:val="0"/>
              <w:jc w:val="center"/>
              <w:rPr>
                <w:rFonts w:hint="eastAsia" w:ascii="仿宋" w:hAnsi="仿宋" w:eastAsia="仿宋" w:cs="仿宋"/>
                <w:color w:val="000000"/>
                <w:sz w:val="24"/>
                <w:szCs w:val="24"/>
              </w:rPr>
            </w:pPr>
          </w:p>
        </w:tc>
      </w:tr>
    </w:tbl>
    <w:p w14:paraId="7DD59890">
      <w:pPr>
        <w:adjustRightInd w:val="0"/>
        <w:snapToGrid w:val="0"/>
        <w:spacing w:line="360" w:lineRule="auto"/>
        <w:rPr>
          <w:rFonts w:hint="eastAsia" w:ascii="仿宋" w:hAnsi="仿宋" w:eastAsia="仿宋" w:cs="仿宋"/>
          <w:color w:val="000000"/>
          <w:sz w:val="24"/>
          <w:szCs w:val="24"/>
        </w:rPr>
      </w:pPr>
    </w:p>
    <w:p w14:paraId="468A7891">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说明：</w:t>
      </w:r>
    </w:p>
    <w:p w14:paraId="79555E28">
      <w:pPr>
        <w:spacing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rPr>
        <w:t>1、</w:t>
      </w:r>
      <w:r>
        <w:rPr>
          <w:rFonts w:hint="eastAsia" w:ascii="仿宋" w:hAnsi="仿宋" w:eastAsia="仿宋" w:cs="仿宋"/>
          <w:color w:val="auto"/>
          <w:sz w:val="24"/>
          <w:szCs w:val="24"/>
          <w:highlight w:val="none"/>
        </w:rPr>
        <w:t>应与招标文件要求的实质性条款对应填写，如投标企业填写无偏离或此表空白，则视为完全响应招标文件。</w:t>
      </w:r>
    </w:p>
    <w:p w14:paraId="2CB6D4F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2、本表如填写不完，可以续页。</w:t>
      </w:r>
    </w:p>
    <w:p w14:paraId="2AE4FD7C">
      <w:pPr>
        <w:adjustRightInd w:val="0"/>
        <w:snapToGrid w:val="0"/>
        <w:spacing w:line="360" w:lineRule="auto"/>
        <w:ind w:firstLine="480" w:firstLineChars="200"/>
        <w:outlineLvl w:val="2"/>
        <w:rPr>
          <w:rFonts w:hint="eastAsia" w:ascii="仿宋" w:hAnsi="仿宋" w:eastAsia="仿宋" w:cs="仿宋"/>
          <w:color w:val="000000"/>
          <w:sz w:val="24"/>
          <w:szCs w:val="24"/>
        </w:rPr>
      </w:pPr>
    </w:p>
    <w:p w14:paraId="420EE6D2">
      <w:pPr>
        <w:adjustRightInd w:val="0"/>
        <w:snapToGrid w:val="0"/>
        <w:spacing w:before="100" w:beforeAutospacing="1" w:after="100" w:afterAutospacing="1"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投标单位：</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none"/>
          <w:lang w:eastAsia="zh-CN"/>
        </w:rPr>
        <w:t>盖章</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07843994">
      <w:pPr>
        <w:adjustRightInd w:val="0"/>
        <w:snapToGrid w:val="0"/>
        <w:spacing w:line="360" w:lineRule="auto"/>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bookmarkStart w:id="120" w:name="_Toc5383"/>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（签字</w:t>
      </w:r>
      <w:r>
        <w:rPr>
          <w:rFonts w:hint="eastAsia" w:ascii="仿宋" w:hAnsi="仿宋" w:eastAsia="仿宋" w:cs="仿宋"/>
          <w:color w:val="000000"/>
          <w:sz w:val="24"/>
          <w:szCs w:val="24"/>
          <w:lang w:val="en-US" w:eastAsia="zh-CN"/>
        </w:rPr>
        <w:t>或</w:t>
      </w:r>
      <w:r>
        <w:rPr>
          <w:rFonts w:hint="eastAsia" w:ascii="仿宋" w:hAnsi="仿宋" w:eastAsia="仿宋" w:cs="仿宋"/>
          <w:color w:val="000000"/>
          <w:sz w:val="24"/>
          <w:szCs w:val="24"/>
        </w:rPr>
        <w:t>盖章）</w:t>
      </w:r>
      <w:bookmarkEnd w:id="120"/>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0FF574B8">
      <w:pPr>
        <w:adjustRightInd w:val="0"/>
        <w:snapToGrid w:val="0"/>
        <w:spacing w:line="360" w:lineRule="auto"/>
        <w:rPr>
          <w:rFonts w:hint="eastAsia" w:ascii="仿宋" w:hAnsi="仿宋" w:eastAsia="仿宋" w:cs="仿宋"/>
          <w:color w:val="000000"/>
          <w:sz w:val="24"/>
          <w:szCs w:val="24"/>
        </w:rPr>
      </w:pPr>
    </w:p>
    <w:p w14:paraId="7349B29C">
      <w:pPr>
        <w:adjustRightInd w:val="0"/>
        <w:snapToGrid w:val="0"/>
        <w:spacing w:line="360" w:lineRule="auto"/>
        <w:jc w:val="right"/>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3FD64F4">
      <w:pPr>
        <w:rPr>
          <w:rFonts w:hint="eastAsia" w:ascii="仿宋" w:hAnsi="仿宋" w:eastAsia="仿宋" w:cs="仿宋"/>
          <w:lang w:val="en-US" w:eastAsia="zh-CN"/>
        </w:rPr>
      </w:pPr>
    </w:p>
    <w:p w14:paraId="04864D81">
      <w:pPr>
        <w:pStyle w:val="27"/>
        <w:rPr>
          <w:rFonts w:hint="eastAsia" w:ascii="仿宋" w:hAnsi="仿宋" w:eastAsia="仿宋" w:cs="仿宋"/>
          <w:lang w:val="en-US" w:eastAsia="zh-CN"/>
        </w:rPr>
      </w:pPr>
    </w:p>
    <w:p w14:paraId="7D13D1B3">
      <w:pPr>
        <w:rPr>
          <w:rFonts w:hint="eastAsia" w:ascii="仿宋" w:hAnsi="仿宋" w:eastAsia="仿宋" w:cs="仿宋"/>
          <w:lang w:val="en-US" w:eastAsia="zh-CN"/>
        </w:rPr>
      </w:pPr>
    </w:p>
    <w:p w14:paraId="6EC0D1CE">
      <w:pPr>
        <w:pStyle w:val="27"/>
        <w:ind w:left="0" w:leftChars="0" w:firstLine="0" w:firstLineChars="0"/>
        <w:rPr>
          <w:rFonts w:hint="eastAsia" w:ascii="仿宋" w:hAnsi="仿宋" w:eastAsia="仿宋" w:cs="仿宋"/>
          <w:lang w:val="en-US" w:eastAsia="zh-CN"/>
        </w:rPr>
      </w:pPr>
    </w:p>
    <w:p w14:paraId="0FD1B547">
      <w:pPr>
        <w:rPr>
          <w:rFonts w:hint="eastAsia" w:ascii="仿宋" w:hAnsi="仿宋" w:eastAsia="仿宋" w:cs="仿宋"/>
          <w:lang w:val="en-US" w:eastAsia="zh-CN"/>
        </w:rPr>
      </w:pPr>
    </w:p>
    <w:p w14:paraId="269CEBE0">
      <w:pPr>
        <w:rPr>
          <w:rFonts w:hint="eastAsia" w:ascii="仿宋" w:hAnsi="仿宋" w:eastAsia="仿宋" w:cs="仿宋"/>
          <w:lang w:val="en-US" w:eastAsia="zh-CN"/>
        </w:rPr>
      </w:pPr>
    </w:p>
    <w:p w14:paraId="52364F30">
      <w:pPr>
        <w:pStyle w:val="27"/>
        <w:numPr>
          <w:ilvl w:val="0"/>
          <w:numId w:val="0"/>
        </w:numPr>
        <w:ind w:leftChars="-50" w:right="62" w:righ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4"/>
          <w:szCs w:val="24"/>
          <w:lang w:val="en-US" w:eastAsia="zh-CN"/>
        </w:rPr>
        <w:t>（十四）、投标人反商业贿赂承诺书（格式见附件）</w:t>
      </w:r>
    </w:p>
    <w:p w14:paraId="120E2DE1">
      <w:pPr>
        <w:widowControl w:val="0"/>
        <w:numPr>
          <w:ilvl w:val="0"/>
          <w:numId w:val="0"/>
        </w:numPr>
        <w:spacing w:line="360" w:lineRule="auto"/>
        <w:ind w:right="62" w:rightChars="0"/>
        <w:jc w:val="both"/>
        <w:rPr>
          <w:rFonts w:hint="eastAsia" w:ascii="仿宋" w:hAnsi="仿宋" w:eastAsia="仿宋" w:cs="仿宋"/>
          <w:lang w:val="en-US" w:eastAsia="zh-CN"/>
        </w:rPr>
      </w:pPr>
    </w:p>
    <w:p w14:paraId="761427F6">
      <w:pPr>
        <w:pStyle w:val="14"/>
        <w:numPr>
          <w:ilvl w:val="0"/>
          <w:numId w:val="0"/>
        </w:numPr>
        <w:overflowPunct w:val="0"/>
        <w:snapToGrid w:val="0"/>
        <w:spacing w:line="360" w:lineRule="auto"/>
        <w:jc w:val="center"/>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投标人反商业贿赂承诺书</w:t>
      </w:r>
    </w:p>
    <w:p w14:paraId="2E1643C5">
      <w:pPr>
        <w:autoSpaceDE w:val="0"/>
        <w:autoSpaceDN w:val="0"/>
        <w:adjustRightInd w:val="0"/>
        <w:spacing w:line="480" w:lineRule="auto"/>
        <w:ind w:firstLine="600" w:firstLineChars="25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我公司承诺在</w:t>
      </w:r>
      <w:r>
        <w:rPr>
          <w:rFonts w:hint="eastAsia" w:ascii="仿宋" w:hAnsi="仿宋" w:eastAsia="仿宋" w:cs="仿宋"/>
          <w:bCs/>
          <w:color w:val="000000"/>
          <w:sz w:val="24"/>
          <w:szCs w:val="24"/>
          <w:u w:val="single"/>
          <w:lang w:val="zh-CN"/>
        </w:rPr>
        <w:t xml:space="preserve">                             </w:t>
      </w:r>
      <w:r>
        <w:rPr>
          <w:rFonts w:hint="eastAsia" w:ascii="仿宋" w:hAnsi="仿宋" w:eastAsia="仿宋" w:cs="仿宋"/>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14:paraId="0F2BAB38">
      <w:pPr>
        <w:autoSpaceDE w:val="0"/>
        <w:autoSpaceDN w:val="0"/>
        <w:adjustRightInd w:val="0"/>
        <w:spacing w:line="360" w:lineRule="auto"/>
        <w:ind w:firstLine="600" w:firstLineChars="250"/>
        <w:rPr>
          <w:rFonts w:hint="eastAsia" w:ascii="仿宋" w:hAnsi="仿宋" w:eastAsia="仿宋" w:cs="仿宋"/>
          <w:bCs/>
          <w:color w:val="000000"/>
          <w:sz w:val="24"/>
          <w:szCs w:val="24"/>
          <w:lang w:val="zh-CN"/>
        </w:rPr>
      </w:pPr>
      <w:r>
        <w:rPr>
          <w:rFonts w:hint="eastAsia" w:ascii="仿宋" w:hAnsi="仿宋" w:eastAsia="仿宋" w:cs="仿宋"/>
          <w:color w:val="000000"/>
          <w:kern w:val="0"/>
          <w:sz w:val="24"/>
          <w:szCs w:val="24"/>
          <w:lang w:val="zh-CN"/>
        </w:rPr>
        <w:t xml:space="preserve"> </w:t>
      </w:r>
    </w:p>
    <w:p w14:paraId="39DBAEF0">
      <w:pPr>
        <w:spacing w:before="100" w:beforeAutospacing="1" w:after="100" w:afterAutospacing="1" w:line="360" w:lineRule="auto"/>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投标单位：</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none"/>
          <w:lang w:eastAsia="zh-CN"/>
        </w:rPr>
        <w:t>盖章</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1EDDA848">
      <w:pPr>
        <w:spacing w:before="100" w:beforeAutospacing="1" w:after="100" w:afterAutospacing="1" w:line="360" w:lineRule="auto"/>
        <w:ind w:firstLine="480" w:firstLineChars="200"/>
        <w:rPr>
          <w:rFonts w:hint="eastAsia" w:ascii="仿宋" w:hAnsi="仿宋" w:eastAsia="仿宋" w:cs="仿宋"/>
          <w:color w:val="000000"/>
          <w:sz w:val="24"/>
          <w:szCs w:val="24"/>
          <w:u w:val="single"/>
        </w:rPr>
      </w:pPr>
    </w:p>
    <w:p w14:paraId="6AAF46C3">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（签字</w:t>
      </w:r>
      <w:r>
        <w:rPr>
          <w:rFonts w:hint="eastAsia" w:ascii="仿宋" w:hAnsi="仿宋" w:eastAsia="仿宋" w:cs="仿宋"/>
          <w:color w:val="000000"/>
          <w:sz w:val="24"/>
          <w:szCs w:val="24"/>
          <w:lang w:val="en-US" w:eastAsia="zh-CN"/>
        </w:rPr>
        <w:t>或</w:t>
      </w:r>
      <w:r>
        <w:rPr>
          <w:rFonts w:hint="eastAsia" w:ascii="仿宋" w:hAnsi="仿宋" w:eastAsia="仿宋" w:cs="仿宋"/>
          <w:color w:val="000000"/>
          <w:sz w:val="24"/>
          <w:szCs w:val="24"/>
        </w:rPr>
        <w:t>盖章）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3AE49F3F">
      <w:pPr>
        <w:spacing w:line="360" w:lineRule="auto"/>
        <w:ind w:firstLine="240" w:firstLineChars="100"/>
        <w:rPr>
          <w:rFonts w:hint="eastAsia" w:ascii="仿宋" w:hAnsi="仿宋" w:eastAsia="仿宋" w:cs="仿宋"/>
          <w:color w:val="000000"/>
          <w:sz w:val="24"/>
          <w:szCs w:val="24"/>
          <w:lang w:val="zh-CN"/>
        </w:rPr>
      </w:pPr>
    </w:p>
    <w:p w14:paraId="2DB9BE3F">
      <w:pPr>
        <w:spacing w:before="100" w:beforeAutospacing="1" w:after="100" w:afterAutospacing="1" w:line="360" w:lineRule="auto"/>
        <w:ind w:firstLine="465"/>
        <w:rPr>
          <w:rFonts w:hint="eastAsia" w:ascii="仿宋" w:hAnsi="仿宋" w:eastAsia="仿宋" w:cs="仿宋"/>
          <w:color w:val="000000"/>
          <w:sz w:val="24"/>
          <w:szCs w:val="24"/>
          <w:lang w:val="zh-CN"/>
        </w:rPr>
      </w:pPr>
    </w:p>
    <w:p w14:paraId="70C48513">
      <w:pPr>
        <w:pStyle w:val="27"/>
        <w:ind w:left="0" w:leftChars="0" w:firstLine="0" w:firstLineChars="0"/>
        <w:jc w:val="right"/>
        <w:rPr>
          <w:rFonts w:hint="eastAsia" w:ascii="仿宋" w:hAnsi="仿宋" w:eastAsia="仿宋" w:cs="仿宋"/>
          <w:sz w:val="24"/>
          <w:szCs w:val="24"/>
        </w:rPr>
      </w:pPr>
      <w:r>
        <w:rPr>
          <w:rFonts w:hint="eastAsia" w:ascii="仿宋" w:hAnsi="仿宋" w:eastAsia="仿宋" w:cs="仿宋"/>
          <w:color w:val="000000"/>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8392C41">
      <w:pPr>
        <w:rPr>
          <w:rFonts w:hint="eastAsia" w:ascii="仿宋" w:hAnsi="仿宋" w:eastAsia="仿宋" w:cs="仿宋"/>
          <w:sz w:val="24"/>
          <w:szCs w:val="24"/>
        </w:rPr>
      </w:pPr>
    </w:p>
    <w:p w14:paraId="0B744BCA">
      <w:pPr>
        <w:pStyle w:val="27"/>
        <w:rPr>
          <w:rFonts w:hint="eastAsia" w:ascii="仿宋" w:hAnsi="仿宋" w:eastAsia="仿宋" w:cs="仿宋"/>
          <w:sz w:val="24"/>
          <w:szCs w:val="24"/>
        </w:rPr>
      </w:pPr>
    </w:p>
    <w:p w14:paraId="29D4B33F">
      <w:pPr>
        <w:rPr>
          <w:rFonts w:hint="eastAsia" w:ascii="仿宋" w:hAnsi="仿宋" w:eastAsia="仿宋" w:cs="仿宋"/>
          <w:sz w:val="24"/>
          <w:szCs w:val="24"/>
        </w:rPr>
      </w:pPr>
    </w:p>
    <w:p w14:paraId="21579430">
      <w:pPr>
        <w:pStyle w:val="27"/>
        <w:rPr>
          <w:rFonts w:hint="eastAsia" w:ascii="仿宋" w:hAnsi="仿宋" w:eastAsia="仿宋" w:cs="仿宋"/>
          <w:sz w:val="24"/>
          <w:szCs w:val="24"/>
        </w:rPr>
      </w:pPr>
    </w:p>
    <w:p w14:paraId="7B7D4875">
      <w:pPr>
        <w:rPr>
          <w:rFonts w:hint="eastAsia" w:ascii="仿宋" w:hAnsi="仿宋" w:eastAsia="仿宋" w:cs="仿宋"/>
          <w:sz w:val="24"/>
          <w:szCs w:val="24"/>
        </w:rPr>
      </w:pPr>
    </w:p>
    <w:p w14:paraId="2060D39D">
      <w:pPr>
        <w:pStyle w:val="27"/>
        <w:rPr>
          <w:rFonts w:hint="eastAsia" w:ascii="仿宋" w:hAnsi="仿宋" w:eastAsia="仿宋" w:cs="仿宋"/>
          <w:sz w:val="24"/>
          <w:szCs w:val="24"/>
        </w:rPr>
      </w:pPr>
    </w:p>
    <w:p w14:paraId="2EEE6AE9">
      <w:pPr>
        <w:rPr>
          <w:rFonts w:hint="eastAsia" w:ascii="仿宋" w:hAnsi="仿宋" w:eastAsia="仿宋" w:cs="仿宋"/>
          <w:sz w:val="24"/>
          <w:szCs w:val="24"/>
        </w:rPr>
      </w:pPr>
    </w:p>
    <w:p w14:paraId="0F2471CA">
      <w:pPr>
        <w:pStyle w:val="27"/>
        <w:rPr>
          <w:rFonts w:hint="eastAsia" w:ascii="仿宋" w:hAnsi="仿宋" w:eastAsia="仿宋" w:cs="仿宋"/>
          <w:sz w:val="24"/>
          <w:szCs w:val="24"/>
        </w:rPr>
      </w:pPr>
    </w:p>
    <w:p w14:paraId="5F3623FC">
      <w:pPr>
        <w:rPr>
          <w:rFonts w:hint="eastAsia" w:ascii="仿宋" w:hAnsi="仿宋" w:eastAsia="仿宋" w:cs="仿宋"/>
          <w:sz w:val="24"/>
          <w:szCs w:val="24"/>
        </w:rPr>
      </w:pPr>
    </w:p>
    <w:p w14:paraId="3B90216E">
      <w:pPr>
        <w:pStyle w:val="27"/>
        <w:rPr>
          <w:rFonts w:hint="eastAsia" w:ascii="仿宋" w:hAnsi="仿宋" w:eastAsia="仿宋" w:cs="仿宋"/>
        </w:rPr>
      </w:pPr>
    </w:p>
    <w:p w14:paraId="6E1F8C62">
      <w:pPr>
        <w:rPr>
          <w:rFonts w:hint="eastAsia" w:ascii="仿宋" w:hAnsi="仿宋" w:eastAsia="仿宋" w:cs="仿宋"/>
        </w:rPr>
      </w:pPr>
    </w:p>
    <w:p w14:paraId="675CDD48">
      <w:pPr>
        <w:rPr>
          <w:rFonts w:hint="eastAsia" w:ascii="仿宋" w:hAnsi="仿宋" w:eastAsia="仿宋" w:cs="仿宋"/>
        </w:rPr>
      </w:pPr>
    </w:p>
    <w:p w14:paraId="0AF5033D">
      <w:pPr>
        <w:pStyle w:val="27"/>
        <w:rPr>
          <w:rFonts w:hint="eastAsia" w:ascii="仿宋" w:hAnsi="仿宋" w:eastAsia="仿宋" w:cs="仿宋"/>
        </w:rPr>
      </w:pPr>
    </w:p>
    <w:p w14:paraId="366290E7">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25777D11">
      <w:pPr>
        <w:pStyle w:val="27"/>
        <w:numPr>
          <w:ilvl w:val="0"/>
          <w:numId w:val="0"/>
        </w:numPr>
        <w:ind w:leftChars="-50" w:right="62" w:righ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（十五）无围标、串标等违法违规行为承诺书（格式见附件）</w:t>
      </w:r>
    </w:p>
    <w:p w14:paraId="4E52A486">
      <w:pPr>
        <w:rPr>
          <w:rFonts w:hint="eastAsia" w:ascii="仿宋" w:hAnsi="仿宋" w:eastAsia="仿宋" w:cs="仿宋"/>
          <w:b/>
          <w:bCs w:val="0"/>
          <w:color w:val="auto"/>
          <w:kern w:val="2"/>
          <w:sz w:val="24"/>
          <w:szCs w:val="24"/>
          <w:highlight w:val="none"/>
          <w:lang w:val="en-US" w:eastAsia="zh-CN" w:bidi="ar-SA"/>
        </w:rPr>
      </w:pPr>
    </w:p>
    <w:p w14:paraId="4520A0D3">
      <w:pPr>
        <w:spacing w:line="640" w:lineRule="exact"/>
        <w:ind w:firstLine="426" w:firstLineChars="177"/>
        <w:jc w:val="center"/>
        <w:rPr>
          <w:rFonts w:hint="eastAsia" w:ascii="仿宋" w:hAnsi="仿宋" w:eastAsia="仿宋" w:cs="仿宋"/>
          <w:sz w:val="24"/>
          <w:szCs w:val="24"/>
          <w:highlight w:val="none"/>
        </w:rPr>
      </w:pPr>
      <w:r>
        <w:rPr>
          <w:rFonts w:hint="eastAsia" w:ascii="仿宋" w:hAnsi="仿宋" w:eastAsia="仿宋" w:cs="仿宋"/>
          <w:b/>
          <w:bCs w:val="0"/>
          <w:color w:val="auto"/>
          <w:kern w:val="2"/>
          <w:sz w:val="24"/>
          <w:szCs w:val="24"/>
          <w:highlight w:val="none"/>
          <w:lang w:val="en-US" w:eastAsia="zh-CN" w:bidi="ar-SA"/>
        </w:rPr>
        <w:t>无围标、串标等违法违规行为承诺书</w:t>
      </w:r>
    </w:p>
    <w:p w14:paraId="43E7D1E6">
      <w:pPr>
        <w:spacing w:line="640" w:lineRule="exact"/>
        <w:jc w:val="left"/>
        <w:rPr>
          <w:rFonts w:hint="eastAsia" w:ascii="仿宋" w:hAnsi="仿宋" w:eastAsia="仿宋" w:cs="仿宋"/>
          <w:sz w:val="24"/>
          <w:szCs w:val="24"/>
        </w:rPr>
      </w:pPr>
    </w:p>
    <w:p w14:paraId="1577C049">
      <w:pPr>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本人作为</w:t>
      </w:r>
      <w:r>
        <w:rPr>
          <w:rFonts w:hint="eastAsia" w:ascii="仿宋" w:hAnsi="仿宋" w:eastAsia="仿宋" w:cs="仿宋"/>
          <w:sz w:val="24"/>
          <w:szCs w:val="24"/>
          <w:u w:val="single"/>
        </w:rPr>
        <w:t xml:space="preserve">（单位名称）                    </w:t>
      </w:r>
      <w:r>
        <w:rPr>
          <w:rFonts w:hint="eastAsia" w:ascii="仿宋" w:hAnsi="仿宋" w:eastAsia="仿宋" w:cs="仿宋"/>
          <w:sz w:val="24"/>
          <w:szCs w:val="24"/>
        </w:rPr>
        <w:t>的法人，清楚知晓我公司本项目投标活动，对以下事项作出承诺：</w:t>
      </w:r>
    </w:p>
    <w:p w14:paraId="39513A34">
      <w:pPr>
        <w:spacing w:line="6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一、我单位遵循公开、公平、公正、诚实守信的原则，依法依规参与本项目竞标。</w:t>
      </w:r>
    </w:p>
    <w:p w14:paraId="24C13B6C">
      <w:pPr>
        <w:spacing w:line="640" w:lineRule="exact"/>
        <w:ind w:firstLine="480" w:firstLineChars="200"/>
        <w:outlineLvl w:val="1"/>
        <w:rPr>
          <w:rFonts w:hint="eastAsia" w:ascii="仿宋" w:hAnsi="仿宋" w:eastAsia="仿宋" w:cs="仿宋"/>
          <w:sz w:val="24"/>
          <w:szCs w:val="24"/>
        </w:rPr>
      </w:pPr>
      <w:bookmarkStart w:id="121" w:name="_Toc3592"/>
      <w:r>
        <w:rPr>
          <w:rFonts w:hint="eastAsia" w:ascii="仿宋" w:hAnsi="仿宋" w:eastAsia="仿宋" w:cs="仿宋"/>
          <w:sz w:val="24"/>
          <w:szCs w:val="24"/>
        </w:rPr>
        <w:t>二、我单位在本项目招标投标活动中，未参与围标串标。</w:t>
      </w:r>
      <w:bookmarkEnd w:id="121"/>
    </w:p>
    <w:p w14:paraId="305D2F28">
      <w:pPr>
        <w:spacing w:line="64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三、我单位如被查实在本项目招标投标活动中存在围标串标的，递交投标文件行为作为实施串通投标违法行为的关键环节，本人承担直接责任人员法律责任，接受相应行政处罚和失信惩戒。</w:t>
      </w:r>
    </w:p>
    <w:p w14:paraId="5CB12F93">
      <w:pPr>
        <w:spacing w:line="640" w:lineRule="exact"/>
        <w:jc w:val="left"/>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rPr>
        <w:t xml:space="preserve"> </w:t>
      </w:r>
    </w:p>
    <w:p w14:paraId="62ADB15B">
      <w:pPr>
        <w:spacing w:line="640" w:lineRule="exact"/>
        <w:jc w:val="left"/>
        <w:rPr>
          <w:rFonts w:hint="eastAsia" w:ascii="仿宋" w:hAnsi="仿宋" w:eastAsia="仿宋" w:cs="仿宋"/>
          <w:sz w:val="24"/>
          <w:szCs w:val="24"/>
        </w:rPr>
      </w:pPr>
      <w:r>
        <w:rPr>
          <w:rFonts w:hint="eastAsia" w:ascii="仿宋" w:hAnsi="仿宋" w:eastAsia="仿宋" w:cs="仿宋"/>
          <w:sz w:val="24"/>
          <w:szCs w:val="24"/>
          <w:lang w:eastAsia="zh-CN"/>
        </w:rPr>
        <w:t>项目名称</w:t>
      </w:r>
      <w:r>
        <w:rPr>
          <w:rFonts w:hint="eastAsia" w:ascii="仿宋" w:hAnsi="仿宋" w:eastAsia="仿宋" w:cs="仿宋"/>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rPr>
        <w:t xml:space="preserve">    </w:t>
      </w:r>
    </w:p>
    <w:p w14:paraId="04DADC3F">
      <w:pPr>
        <w:spacing w:line="640" w:lineRule="exact"/>
        <w:jc w:val="left"/>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单位名称：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45CF4D20">
      <w:pPr>
        <w:spacing w:line="640" w:lineRule="exact"/>
        <w:jc w:val="left"/>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法</w:t>
      </w:r>
      <w:r>
        <w:rPr>
          <w:rFonts w:hint="eastAsia" w:ascii="仿宋" w:hAnsi="仿宋" w:eastAsia="仿宋" w:cs="仿宋"/>
          <w:sz w:val="24"/>
          <w:szCs w:val="24"/>
          <w:lang w:eastAsia="zh-CN"/>
        </w:rPr>
        <w:t>定代表</w:t>
      </w:r>
      <w:r>
        <w:rPr>
          <w:rFonts w:hint="eastAsia" w:ascii="仿宋" w:hAnsi="仿宋" w:eastAsia="仿宋" w:cs="仿宋"/>
          <w:sz w:val="24"/>
          <w:szCs w:val="24"/>
        </w:rPr>
        <w:t>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签字或盖章</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14:paraId="7ACFC579">
      <w:pPr>
        <w:spacing w:line="640"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p>
    <w:p w14:paraId="7DB7646B">
      <w:pPr>
        <w:spacing w:line="640" w:lineRule="exact"/>
        <w:jc w:val="left"/>
        <w:rPr>
          <w:rFonts w:hint="eastAsia" w:ascii="仿宋" w:hAnsi="仿宋" w:eastAsia="仿宋" w:cs="仿宋"/>
          <w:sz w:val="24"/>
          <w:szCs w:val="24"/>
        </w:rPr>
      </w:pPr>
    </w:p>
    <w:p w14:paraId="13B8CDD3">
      <w:pPr>
        <w:spacing w:line="640" w:lineRule="exact"/>
        <w:ind w:firstLine="4080" w:firstLineChars="1700"/>
        <w:jc w:val="left"/>
        <w:rPr>
          <w:rFonts w:hint="eastAsia" w:ascii="仿宋" w:hAnsi="仿宋" w:eastAsia="仿宋" w:cs="仿宋"/>
          <w:sz w:val="24"/>
          <w:szCs w:val="24"/>
        </w:rPr>
      </w:pPr>
      <w:r>
        <w:rPr>
          <w:rFonts w:hint="eastAsia" w:ascii="仿宋" w:hAnsi="仿宋" w:eastAsia="仿宋" w:cs="仿宋"/>
          <w:sz w:val="24"/>
          <w:szCs w:val="24"/>
        </w:rPr>
        <w:t xml:space="preserve">     </w:t>
      </w:r>
    </w:p>
    <w:p w14:paraId="011FB684">
      <w:pPr>
        <w:pStyle w:val="27"/>
        <w:jc w:val="right"/>
        <w:rPr>
          <w:rFonts w:hint="eastAsia" w:ascii="仿宋" w:hAnsi="仿宋" w:eastAsia="仿宋" w:cs="仿宋"/>
          <w:sz w:val="24"/>
          <w:szCs w:val="24"/>
        </w:rPr>
      </w:pPr>
      <w:r>
        <w:rPr>
          <w:rFonts w:hint="eastAsia" w:ascii="仿宋" w:hAnsi="仿宋" w:eastAsia="仿宋" w:cs="仿宋"/>
          <w:color w:val="000000"/>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E0D20F">
      <w:pPr>
        <w:pStyle w:val="27"/>
        <w:ind w:left="0" w:leftChars="0" w:firstLine="0" w:firstLineChars="0"/>
        <w:rPr>
          <w:rFonts w:hint="eastAsia" w:ascii="仿宋" w:hAnsi="仿宋" w:eastAsia="仿宋" w:cs="仿宋"/>
        </w:rPr>
      </w:pPr>
    </w:p>
    <w:p w14:paraId="42506883">
      <w:pPr>
        <w:pStyle w:val="22"/>
        <w:numPr>
          <w:ilvl w:val="0"/>
          <w:numId w:val="17"/>
        </w:numPr>
        <w:spacing w:before="282" w:line="224" w:lineRule="auto"/>
        <w:ind w:leftChars="-50" w:right="62" w:rightChars="0"/>
        <w:jc w:val="both"/>
        <w:rPr>
          <w:rFonts w:hint="eastAsia" w:ascii="仿宋" w:hAnsi="仿宋" w:eastAsia="仿宋" w:cs="仿宋"/>
          <w:b/>
          <w:bCs/>
          <w:sz w:val="28"/>
          <w:szCs w:val="28"/>
          <w:lang w:val="en-US"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8"/>
          <w:szCs w:val="28"/>
          <w:lang w:val="en-US" w:eastAsia="zh-CN"/>
        </w:rPr>
        <w:t>中小企业声明函</w:t>
      </w:r>
    </w:p>
    <w:p w14:paraId="0777BF2A">
      <w:pPr>
        <w:spacing w:before="114" w:line="228"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中小</w:t>
      </w:r>
      <w:r>
        <w:rPr>
          <w:rFonts w:hint="eastAsia" w:ascii="仿宋" w:hAnsi="仿宋" w:eastAsia="仿宋" w:cs="仿宋"/>
          <w:b/>
          <w:bCs/>
          <w:spacing w:val="3"/>
          <w:sz w:val="24"/>
          <w:szCs w:val="24"/>
          <w:highlight w:val="none"/>
        </w:rPr>
        <w:t>企</w:t>
      </w:r>
      <w:r>
        <w:rPr>
          <w:rFonts w:hint="eastAsia" w:ascii="仿宋" w:hAnsi="仿宋" w:eastAsia="仿宋" w:cs="仿宋"/>
          <w:b/>
          <w:bCs/>
          <w:spacing w:val="2"/>
          <w:sz w:val="24"/>
          <w:szCs w:val="24"/>
          <w:highlight w:val="none"/>
        </w:rPr>
        <w:t>业声明函 (服务)</w:t>
      </w:r>
      <w:r>
        <w:rPr>
          <w:rFonts w:hint="eastAsia" w:ascii="仿宋" w:hAnsi="仿宋" w:eastAsia="仿宋" w:cs="仿宋"/>
          <w:b/>
          <w:bCs/>
          <w:spacing w:val="2"/>
          <w:sz w:val="24"/>
          <w:szCs w:val="24"/>
          <w:highlight w:val="none"/>
          <w:lang w:eastAsia="zh-CN"/>
        </w:rPr>
        <w:t>（</w:t>
      </w:r>
      <w:r>
        <w:rPr>
          <w:rFonts w:hint="eastAsia" w:ascii="仿宋" w:hAnsi="仿宋" w:eastAsia="仿宋" w:cs="仿宋"/>
          <w:b/>
          <w:bCs/>
          <w:spacing w:val="2"/>
          <w:sz w:val="24"/>
          <w:szCs w:val="24"/>
          <w:highlight w:val="none"/>
          <w:lang w:val="en-US" w:eastAsia="zh-CN"/>
        </w:rPr>
        <w:t>如是</w:t>
      </w:r>
      <w:r>
        <w:rPr>
          <w:rFonts w:hint="eastAsia" w:ascii="仿宋" w:hAnsi="仿宋" w:eastAsia="仿宋" w:cs="仿宋"/>
          <w:b/>
          <w:bCs/>
          <w:spacing w:val="2"/>
          <w:sz w:val="24"/>
          <w:szCs w:val="24"/>
          <w:highlight w:val="none"/>
          <w:lang w:eastAsia="zh-CN"/>
        </w:rPr>
        <w:t>）</w:t>
      </w:r>
    </w:p>
    <w:p w14:paraId="7EB822FF">
      <w:pPr>
        <w:spacing w:before="257" w:line="228" w:lineRule="auto"/>
        <w:ind w:left="244" w:leftChars="116" w:firstLine="393" w:firstLineChars="150"/>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本公</w:t>
      </w:r>
      <w:r>
        <w:rPr>
          <w:rFonts w:hint="eastAsia" w:ascii="仿宋" w:hAnsi="仿宋" w:eastAsia="仿宋" w:cs="仿宋"/>
          <w:spacing w:val="15"/>
          <w:sz w:val="23"/>
          <w:szCs w:val="23"/>
          <w:highlight w:val="none"/>
        </w:rPr>
        <w:t>司</w:t>
      </w:r>
      <w:r>
        <w:rPr>
          <w:rFonts w:hint="eastAsia" w:ascii="仿宋" w:hAnsi="仿宋" w:eastAsia="仿宋" w:cs="仿宋"/>
          <w:spacing w:val="8"/>
          <w:sz w:val="23"/>
          <w:szCs w:val="23"/>
          <w:highlight w:val="none"/>
        </w:rPr>
        <w:t xml:space="preserve"> (联合体) 郑重声明，根据《政府采购促进中小企业发展管理办法》</w:t>
      </w:r>
    </w:p>
    <w:p w14:paraId="7C28240F">
      <w:pPr>
        <w:spacing w:before="182" w:line="379" w:lineRule="auto"/>
        <w:ind w:left="4" w:right="2" w:firstLine="5"/>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(财库〔2020〕46 号) 的规定，本公司 (联合体) 参加</w:t>
      </w:r>
      <w:r>
        <w:rPr>
          <w:rFonts w:hint="eastAsia" w:ascii="仿宋" w:hAnsi="仿宋" w:eastAsia="仿宋" w:cs="仿宋"/>
          <w:spacing w:val="7"/>
          <w:sz w:val="23"/>
          <w:szCs w:val="23"/>
          <w:highlight w:val="none"/>
          <w:u w:val="single" w:color="auto"/>
        </w:rPr>
        <w:t xml:space="preserve">  (单位名称)  </w:t>
      </w:r>
      <w:r>
        <w:rPr>
          <w:rFonts w:hint="eastAsia" w:ascii="仿宋" w:hAnsi="仿宋" w:eastAsia="仿宋" w:cs="仿宋"/>
          <w:spacing w:val="7"/>
          <w:sz w:val="23"/>
          <w:szCs w:val="23"/>
          <w:highlight w:val="none"/>
        </w:rPr>
        <w:t xml:space="preserve"> 的</w:t>
      </w:r>
      <w:r>
        <w:rPr>
          <w:rFonts w:hint="eastAsia" w:ascii="仿宋" w:hAnsi="仿宋" w:eastAsia="仿宋" w:cs="仿宋"/>
          <w:spacing w:val="7"/>
          <w:sz w:val="23"/>
          <w:szCs w:val="23"/>
          <w:highlight w:val="none"/>
          <w:u w:val="single" w:color="auto"/>
        </w:rPr>
        <w:t xml:space="preserve">  (项目</w:t>
      </w:r>
      <w:r>
        <w:rPr>
          <w:rFonts w:hint="eastAsia" w:ascii="仿宋" w:hAnsi="仿宋" w:eastAsia="仿宋" w:cs="仿宋"/>
          <w:spacing w:val="3"/>
          <w:sz w:val="23"/>
          <w:szCs w:val="23"/>
          <w:highlight w:val="none"/>
          <w:u w:val="single" w:color="auto"/>
        </w:rPr>
        <w:t>名</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u w:val="single" w:color="auto"/>
        </w:rPr>
        <w:t xml:space="preserve">称) </w:t>
      </w:r>
      <w:r>
        <w:rPr>
          <w:rFonts w:hint="eastAsia" w:ascii="仿宋" w:hAnsi="仿宋" w:eastAsia="仿宋" w:cs="仿宋"/>
          <w:spacing w:val="8"/>
          <w:sz w:val="23"/>
          <w:szCs w:val="23"/>
          <w:highlight w:val="none"/>
          <w:u w:val="single" w:color="auto"/>
        </w:rPr>
        <w:t xml:space="preserve"> </w:t>
      </w:r>
      <w:r>
        <w:rPr>
          <w:rFonts w:hint="eastAsia" w:ascii="仿宋" w:hAnsi="仿宋" w:eastAsia="仿宋" w:cs="仿宋"/>
          <w:spacing w:val="8"/>
          <w:sz w:val="23"/>
          <w:szCs w:val="23"/>
          <w:highlight w:val="none"/>
        </w:rPr>
        <w:t xml:space="preserve"> 采购活动，服务全部由符合政策要求的中小企业承接。相关企业 (含联合体中</w:t>
      </w:r>
      <w:r>
        <w:rPr>
          <w:rFonts w:hint="eastAsia" w:ascii="仿宋" w:hAnsi="仿宋" w:eastAsia="仿宋" w:cs="仿宋"/>
          <w:sz w:val="23"/>
          <w:szCs w:val="23"/>
          <w:highlight w:val="none"/>
        </w:rPr>
        <w:t xml:space="preserve"> </w:t>
      </w:r>
      <w:r>
        <w:rPr>
          <w:rFonts w:hint="eastAsia" w:ascii="仿宋" w:hAnsi="仿宋" w:eastAsia="仿宋" w:cs="仿宋"/>
          <w:spacing w:val="16"/>
          <w:sz w:val="23"/>
          <w:szCs w:val="23"/>
          <w:highlight w:val="none"/>
        </w:rPr>
        <w:t>的中</w:t>
      </w:r>
      <w:r>
        <w:rPr>
          <w:rFonts w:hint="eastAsia" w:ascii="仿宋" w:hAnsi="仿宋" w:eastAsia="仿宋" w:cs="仿宋"/>
          <w:spacing w:val="14"/>
          <w:sz w:val="23"/>
          <w:szCs w:val="23"/>
          <w:highlight w:val="none"/>
        </w:rPr>
        <w:t>小</w:t>
      </w:r>
      <w:r>
        <w:rPr>
          <w:rFonts w:hint="eastAsia" w:ascii="仿宋" w:hAnsi="仿宋" w:eastAsia="仿宋" w:cs="仿宋"/>
          <w:spacing w:val="8"/>
          <w:sz w:val="23"/>
          <w:szCs w:val="23"/>
          <w:highlight w:val="none"/>
        </w:rPr>
        <w:t>企业、签订分包意向协议的中小企业) 的具体情况如下：</w:t>
      </w:r>
    </w:p>
    <w:p w14:paraId="0664F948">
      <w:pPr>
        <w:spacing w:before="3" w:line="378" w:lineRule="auto"/>
        <w:ind w:left="5" w:firstLine="489"/>
        <w:rPr>
          <w:rFonts w:hint="eastAsia" w:ascii="仿宋" w:hAnsi="仿宋" w:eastAsia="仿宋" w:cs="仿宋"/>
          <w:sz w:val="23"/>
          <w:szCs w:val="23"/>
          <w:highlight w:val="none"/>
        </w:rPr>
      </w:pPr>
      <w:r>
        <w:rPr>
          <w:rFonts w:hint="eastAsia" w:ascii="仿宋" w:hAnsi="仿宋" w:eastAsia="仿宋" w:cs="仿宋"/>
          <w:spacing w:val="12"/>
          <w:sz w:val="22"/>
          <w:szCs w:val="22"/>
          <w:highlight w:val="none"/>
        </w:rPr>
        <w:t xml:space="preserve">1. </w:t>
      </w:r>
      <w:r>
        <w:rPr>
          <w:rFonts w:hint="eastAsia" w:ascii="仿宋" w:hAnsi="仿宋" w:eastAsia="仿宋" w:cs="仿宋"/>
          <w:spacing w:val="12"/>
          <w:sz w:val="23"/>
          <w:szCs w:val="23"/>
          <w:highlight w:val="none"/>
          <w:u w:val="single" w:color="auto"/>
        </w:rPr>
        <w:t xml:space="preserve">  </w:t>
      </w:r>
      <w:r>
        <w:rPr>
          <w:rFonts w:hint="eastAsia" w:ascii="仿宋" w:hAnsi="仿宋" w:eastAsia="仿宋" w:cs="仿宋"/>
          <w:spacing w:val="6"/>
          <w:sz w:val="23"/>
          <w:szCs w:val="23"/>
          <w:highlight w:val="none"/>
          <w:u w:val="single" w:color="auto"/>
        </w:rPr>
        <w:t xml:space="preserve">   (标的名称) </w:t>
      </w:r>
      <w:r>
        <w:rPr>
          <w:rFonts w:hint="eastAsia" w:ascii="仿宋" w:hAnsi="仿宋" w:eastAsia="仿宋" w:cs="仿宋"/>
          <w:spacing w:val="6"/>
          <w:sz w:val="23"/>
          <w:szCs w:val="23"/>
          <w:highlight w:val="none"/>
        </w:rPr>
        <w:t xml:space="preserve"> ，属于</w:t>
      </w:r>
      <w:r>
        <w:rPr>
          <w:rFonts w:hint="eastAsia" w:ascii="仿宋" w:hAnsi="仿宋" w:eastAsia="仿宋" w:cs="仿宋"/>
          <w:spacing w:val="6"/>
          <w:sz w:val="23"/>
          <w:szCs w:val="23"/>
          <w:highlight w:val="none"/>
          <w:u w:val="single" w:color="auto"/>
        </w:rPr>
        <w:t xml:space="preserve">   </w:t>
      </w:r>
      <w:r>
        <w:rPr>
          <w:rFonts w:hint="eastAsia" w:ascii="仿宋" w:hAnsi="仿宋" w:eastAsia="仿宋" w:cs="仿宋"/>
          <w:spacing w:val="6"/>
          <w:sz w:val="23"/>
          <w:szCs w:val="23"/>
          <w:highlight w:val="none"/>
        </w:rPr>
        <w:t>(其他未列明行业)  ；承建 (承接)</w:t>
      </w:r>
      <w:r>
        <w:rPr>
          <w:rFonts w:hint="eastAsia" w:ascii="仿宋" w:hAnsi="仿宋" w:eastAsia="仿宋" w:cs="仿宋"/>
          <w:sz w:val="23"/>
          <w:szCs w:val="23"/>
          <w:highlight w:val="none"/>
        </w:rPr>
        <w:t xml:space="preserve"> </w:t>
      </w:r>
      <w:r>
        <w:rPr>
          <w:rFonts w:hint="eastAsia" w:ascii="仿宋" w:hAnsi="仿宋" w:eastAsia="仿宋" w:cs="仿宋"/>
          <w:spacing w:val="8"/>
          <w:sz w:val="23"/>
          <w:szCs w:val="23"/>
          <w:highlight w:val="none"/>
        </w:rPr>
        <w:t>企业为</w:t>
      </w:r>
      <w:r>
        <w:rPr>
          <w:rFonts w:hint="eastAsia" w:ascii="仿宋" w:hAnsi="仿宋" w:eastAsia="仿宋" w:cs="仿宋"/>
          <w:spacing w:val="8"/>
          <w:sz w:val="23"/>
          <w:szCs w:val="23"/>
          <w:highlight w:val="none"/>
          <w:u w:val="single" w:color="auto"/>
        </w:rPr>
        <w:t xml:space="preserve">  (企业</w:t>
      </w:r>
      <w:r>
        <w:rPr>
          <w:rFonts w:hint="eastAsia" w:ascii="仿宋" w:hAnsi="仿宋" w:eastAsia="仿宋" w:cs="仿宋"/>
          <w:spacing w:val="7"/>
          <w:sz w:val="23"/>
          <w:szCs w:val="23"/>
          <w:highlight w:val="none"/>
          <w:u w:val="single" w:color="auto"/>
        </w:rPr>
        <w:t>名</w:t>
      </w:r>
      <w:r>
        <w:rPr>
          <w:rFonts w:hint="eastAsia" w:ascii="仿宋" w:hAnsi="仿宋" w:eastAsia="仿宋" w:cs="仿宋"/>
          <w:spacing w:val="4"/>
          <w:sz w:val="23"/>
          <w:szCs w:val="23"/>
          <w:highlight w:val="none"/>
          <w:u w:val="single" w:color="auto"/>
        </w:rPr>
        <w:t xml:space="preserve">称) </w:t>
      </w:r>
      <w:r>
        <w:rPr>
          <w:rFonts w:hint="eastAsia" w:ascii="仿宋" w:hAnsi="仿宋" w:eastAsia="仿宋" w:cs="仿宋"/>
          <w:spacing w:val="4"/>
          <w:sz w:val="23"/>
          <w:szCs w:val="23"/>
          <w:highlight w:val="none"/>
        </w:rPr>
        <w:t xml:space="preserve"> ，从业人员</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 xml:space="preserve"> 人，营业收入为</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 xml:space="preserve"> 万元， 资产总额</w:t>
      </w:r>
      <w:r>
        <w:rPr>
          <w:rFonts w:hint="eastAsia" w:ascii="仿宋" w:hAnsi="仿宋" w:eastAsia="仿宋" w:cs="仿宋"/>
          <w:sz w:val="23"/>
          <w:szCs w:val="23"/>
          <w:highlight w:val="none"/>
        </w:rPr>
        <w:t xml:space="preserve"> </w:t>
      </w:r>
      <w:r>
        <w:rPr>
          <w:rFonts w:hint="eastAsia" w:ascii="仿宋" w:hAnsi="仿宋" w:eastAsia="仿宋" w:cs="仿宋"/>
          <w:spacing w:val="4"/>
          <w:sz w:val="23"/>
          <w:szCs w:val="23"/>
          <w:highlight w:val="none"/>
        </w:rPr>
        <w:t>为</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2"/>
          <w:sz w:val="23"/>
          <w:szCs w:val="23"/>
          <w:highlight w:val="none"/>
          <w:u w:val="single" w:color="auto"/>
        </w:rPr>
        <w:t xml:space="preserve">    </w:t>
      </w:r>
      <w:r>
        <w:rPr>
          <w:rFonts w:hint="eastAsia" w:ascii="仿宋" w:hAnsi="仿宋" w:eastAsia="仿宋" w:cs="仿宋"/>
          <w:spacing w:val="2"/>
          <w:sz w:val="23"/>
          <w:szCs w:val="23"/>
          <w:highlight w:val="none"/>
        </w:rPr>
        <w:t xml:space="preserve"> 万元 </w:t>
      </w:r>
      <w:r>
        <w:rPr>
          <w:rFonts w:hint="eastAsia" w:ascii="仿宋" w:hAnsi="仿宋" w:eastAsia="仿宋" w:cs="仿宋"/>
          <w:spacing w:val="2"/>
          <w:position w:val="11"/>
          <w:sz w:val="11"/>
          <w:szCs w:val="11"/>
          <w:highlight w:val="none"/>
        </w:rPr>
        <w:t xml:space="preserve">1 </w:t>
      </w:r>
      <w:r>
        <w:rPr>
          <w:rFonts w:hint="eastAsia" w:ascii="仿宋" w:hAnsi="仿宋" w:eastAsia="仿宋" w:cs="仿宋"/>
          <w:spacing w:val="2"/>
          <w:sz w:val="23"/>
          <w:szCs w:val="23"/>
          <w:highlight w:val="none"/>
        </w:rPr>
        <w:t>，属于</w:t>
      </w:r>
      <w:r>
        <w:rPr>
          <w:rFonts w:hint="eastAsia" w:ascii="仿宋" w:hAnsi="仿宋" w:eastAsia="仿宋" w:cs="仿宋"/>
          <w:spacing w:val="2"/>
          <w:sz w:val="23"/>
          <w:szCs w:val="23"/>
          <w:highlight w:val="none"/>
          <w:u w:val="single" w:color="auto"/>
        </w:rPr>
        <w:t xml:space="preserve"> (中型企业、小型企业、微型企业) </w:t>
      </w:r>
      <w:r>
        <w:rPr>
          <w:rFonts w:hint="eastAsia" w:ascii="仿宋" w:hAnsi="仿宋" w:eastAsia="仿宋" w:cs="仿宋"/>
          <w:spacing w:val="2"/>
          <w:sz w:val="23"/>
          <w:szCs w:val="23"/>
          <w:highlight w:val="none"/>
        </w:rPr>
        <w:t>；</w:t>
      </w:r>
    </w:p>
    <w:p w14:paraId="172896FA">
      <w:pPr>
        <w:spacing w:before="1" w:line="378" w:lineRule="auto"/>
        <w:ind w:left="5" w:firstLine="467"/>
        <w:rPr>
          <w:rFonts w:hint="eastAsia" w:ascii="仿宋" w:hAnsi="仿宋" w:eastAsia="仿宋" w:cs="仿宋"/>
          <w:sz w:val="23"/>
          <w:szCs w:val="23"/>
          <w:highlight w:val="none"/>
        </w:rPr>
      </w:pPr>
      <w:r>
        <w:rPr>
          <w:rFonts w:hint="eastAsia" w:ascii="仿宋" w:hAnsi="仿宋" w:eastAsia="仿宋" w:cs="仿宋"/>
          <w:spacing w:val="12"/>
          <w:sz w:val="22"/>
          <w:szCs w:val="22"/>
          <w:highlight w:val="none"/>
        </w:rPr>
        <w:t>2</w:t>
      </w:r>
      <w:r>
        <w:rPr>
          <w:rFonts w:hint="eastAsia" w:ascii="仿宋" w:hAnsi="仿宋" w:eastAsia="仿宋" w:cs="仿宋"/>
          <w:spacing w:val="7"/>
          <w:sz w:val="22"/>
          <w:szCs w:val="22"/>
          <w:highlight w:val="none"/>
        </w:rPr>
        <w:t xml:space="preserve">. </w:t>
      </w:r>
      <w:r>
        <w:rPr>
          <w:rFonts w:hint="eastAsia" w:ascii="仿宋" w:hAnsi="仿宋" w:eastAsia="仿宋" w:cs="仿宋"/>
          <w:spacing w:val="7"/>
          <w:sz w:val="23"/>
          <w:szCs w:val="23"/>
          <w:highlight w:val="none"/>
          <w:u w:val="single" w:color="auto"/>
        </w:rPr>
        <w:t xml:space="preserve">     (标的名称) </w:t>
      </w:r>
      <w:r>
        <w:rPr>
          <w:rFonts w:hint="eastAsia" w:ascii="仿宋" w:hAnsi="仿宋" w:eastAsia="仿宋" w:cs="仿宋"/>
          <w:spacing w:val="7"/>
          <w:sz w:val="23"/>
          <w:szCs w:val="23"/>
          <w:highlight w:val="none"/>
        </w:rPr>
        <w:t xml:space="preserve"> ，属于</w:t>
      </w:r>
      <w:r>
        <w:rPr>
          <w:rFonts w:hint="eastAsia" w:ascii="仿宋" w:hAnsi="仿宋" w:eastAsia="仿宋" w:cs="仿宋"/>
          <w:spacing w:val="7"/>
          <w:sz w:val="23"/>
          <w:szCs w:val="23"/>
          <w:highlight w:val="none"/>
          <w:u w:val="single" w:color="auto"/>
        </w:rPr>
        <w:t xml:space="preserve">   (其他未列明行业) </w:t>
      </w:r>
      <w:r>
        <w:rPr>
          <w:rFonts w:hint="eastAsia" w:ascii="仿宋" w:hAnsi="仿宋" w:eastAsia="仿宋" w:cs="仿宋"/>
          <w:spacing w:val="7"/>
          <w:sz w:val="23"/>
          <w:szCs w:val="23"/>
          <w:highlight w:val="none"/>
        </w:rPr>
        <w:t xml:space="preserve"> ；承建 (承接)</w:t>
      </w:r>
      <w:r>
        <w:rPr>
          <w:rFonts w:hint="eastAsia" w:ascii="仿宋" w:hAnsi="仿宋" w:eastAsia="仿宋" w:cs="仿宋"/>
          <w:sz w:val="23"/>
          <w:szCs w:val="23"/>
          <w:highlight w:val="none"/>
        </w:rPr>
        <w:t xml:space="preserve"> </w:t>
      </w:r>
      <w:r>
        <w:rPr>
          <w:rFonts w:hint="eastAsia" w:ascii="仿宋" w:hAnsi="仿宋" w:eastAsia="仿宋" w:cs="仿宋"/>
          <w:spacing w:val="8"/>
          <w:sz w:val="23"/>
          <w:szCs w:val="23"/>
          <w:highlight w:val="none"/>
        </w:rPr>
        <w:t>企业为</w:t>
      </w:r>
      <w:r>
        <w:rPr>
          <w:rFonts w:hint="eastAsia" w:ascii="仿宋" w:hAnsi="仿宋" w:eastAsia="仿宋" w:cs="仿宋"/>
          <w:spacing w:val="8"/>
          <w:sz w:val="23"/>
          <w:szCs w:val="23"/>
          <w:highlight w:val="none"/>
          <w:u w:val="single" w:color="auto"/>
        </w:rPr>
        <w:t xml:space="preserve">  (企业</w:t>
      </w:r>
      <w:r>
        <w:rPr>
          <w:rFonts w:hint="eastAsia" w:ascii="仿宋" w:hAnsi="仿宋" w:eastAsia="仿宋" w:cs="仿宋"/>
          <w:spacing w:val="7"/>
          <w:sz w:val="23"/>
          <w:szCs w:val="23"/>
          <w:highlight w:val="none"/>
          <w:u w:val="single" w:color="auto"/>
        </w:rPr>
        <w:t>名</w:t>
      </w:r>
      <w:r>
        <w:rPr>
          <w:rFonts w:hint="eastAsia" w:ascii="仿宋" w:hAnsi="仿宋" w:eastAsia="仿宋" w:cs="仿宋"/>
          <w:spacing w:val="4"/>
          <w:sz w:val="23"/>
          <w:szCs w:val="23"/>
          <w:highlight w:val="none"/>
          <w:u w:val="single" w:color="auto"/>
        </w:rPr>
        <w:t xml:space="preserve">称) </w:t>
      </w:r>
      <w:r>
        <w:rPr>
          <w:rFonts w:hint="eastAsia" w:ascii="仿宋" w:hAnsi="仿宋" w:eastAsia="仿宋" w:cs="仿宋"/>
          <w:spacing w:val="4"/>
          <w:sz w:val="23"/>
          <w:szCs w:val="23"/>
          <w:highlight w:val="none"/>
        </w:rPr>
        <w:t xml:space="preserve"> ，从业人员</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 xml:space="preserve"> 人，营业收入为</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4"/>
          <w:sz w:val="23"/>
          <w:szCs w:val="23"/>
          <w:highlight w:val="none"/>
        </w:rPr>
        <w:t xml:space="preserve"> 万元， 资产总额</w:t>
      </w:r>
    </w:p>
    <w:p w14:paraId="1FB0FA7B">
      <w:pPr>
        <w:spacing w:before="1" w:line="230" w:lineRule="auto"/>
        <w:ind w:left="12"/>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为</w:t>
      </w:r>
      <w:r>
        <w:rPr>
          <w:rFonts w:hint="eastAsia" w:ascii="仿宋" w:hAnsi="仿宋" w:eastAsia="仿宋" w:cs="仿宋"/>
          <w:spacing w:val="6"/>
          <w:sz w:val="23"/>
          <w:szCs w:val="23"/>
          <w:highlight w:val="none"/>
          <w:u w:val="single" w:color="auto"/>
        </w:rPr>
        <w:t xml:space="preserve">     </w:t>
      </w:r>
      <w:r>
        <w:rPr>
          <w:rFonts w:hint="eastAsia" w:ascii="仿宋" w:hAnsi="仿宋" w:eastAsia="仿宋" w:cs="仿宋"/>
          <w:spacing w:val="4"/>
          <w:sz w:val="23"/>
          <w:szCs w:val="23"/>
          <w:highlight w:val="none"/>
          <w:u w:val="single" w:color="auto"/>
        </w:rPr>
        <w:t xml:space="preserve"> </w:t>
      </w:r>
      <w:r>
        <w:rPr>
          <w:rFonts w:hint="eastAsia" w:ascii="仿宋" w:hAnsi="仿宋" w:eastAsia="仿宋" w:cs="仿宋"/>
          <w:spacing w:val="3"/>
          <w:sz w:val="23"/>
          <w:szCs w:val="23"/>
          <w:highlight w:val="none"/>
          <w:u w:val="single" w:color="auto"/>
        </w:rPr>
        <w:t xml:space="preserve">  </w:t>
      </w:r>
      <w:r>
        <w:rPr>
          <w:rFonts w:hint="eastAsia" w:ascii="仿宋" w:hAnsi="仿宋" w:eastAsia="仿宋" w:cs="仿宋"/>
          <w:spacing w:val="3"/>
          <w:sz w:val="23"/>
          <w:szCs w:val="23"/>
          <w:highlight w:val="none"/>
        </w:rPr>
        <w:t xml:space="preserve"> 万元，属于</w:t>
      </w:r>
      <w:r>
        <w:rPr>
          <w:rFonts w:hint="eastAsia" w:ascii="仿宋" w:hAnsi="仿宋" w:eastAsia="仿宋" w:cs="仿宋"/>
          <w:spacing w:val="3"/>
          <w:sz w:val="23"/>
          <w:szCs w:val="23"/>
          <w:highlight w:val="none"/>
          <w:u w:val="single" w:color="auto"/>
        </w:rPr>
        <w:t xml:space="preserve"> (中型企业、小型企业、微型企业) </w:t>
      </w:r>
      <w:r>
        <w:rPr>
          <w:rFonts w:hint="eastAsia" w:ascii="仿宋" w:hAnsi="仿宋" w:eastAsia="仿宋" w:cs="仿宋"/>
          <w:spacing w:val="3"/>
          <w:sz w:val="23"/>
          <w:szCs w:val="23"/>
          <w:highlight w:val="none"/>
        </w:rPr>
        <w:t>；</w:t>
      </w:r>
    </w:p>
    <w:p w14:paraId="4FF6F6C1">
      <w:pPr>
        <w:spacing w:before="161" w:line="377" w:lineRule="exact"/>
        <w:ind w:left="496"/>
        <w:rPr>
          <w:rFonts w:hint="eastAsia" w:ascii="仿宋" w:hAnsi="仿宋" w:eastAsia="仿宋" w:cs="仿宋"/>
          <w:sz w:val="23"/>
          <w:szCs w:val="23"/>
          <w:highlight w:val="none"/>
        </w:rPr>
      </w:pPr>
      <w:r>
        <w:rPr>
          <w:rFonts w:hint="eastAsia" w:ascii="仿宋" w:hAnsi="仿宋" w:eastAsia="仿宋" w:cs="仿宋"/>
          <w:spacing w:val="5"/>
          <w:position w:val="3"/>
          <w:sz w:val="23"/>
          <w:szCs w:val="23"/>
          <w:highlight w:val="none"/>
        </w:rPr>
        <w:t>……</w:t>
      </w:r>
    </w:p>
    <w:p w14:paraId="17E29589">
      <w:pPr>
        <w:spacing w:before="59" w:line="379" w:lineRule="auto"/>
        <w:ind w:left="6" w:right="2" w:firstLine="502"/>
        <w:rPr>
          <w:rFonts w:hint="eastAsia" w:ascii="仿宋" w:hAnsi="仿宋" w:eastAsia="仿宋" w:cs="仿宋"/>
          <w:sz w:val="23"/>
          <w:szCs w:val="23"/>
          <w:highlight w:val="none"/>
        </w:rPr>
      </w:pPr>
      <w:r>
        <w:rPr>
          <w:rFonts w:hint="eastAsia" w:ascii="仿宋" w:hAnsi="仿宋" w:eastAsia="仿宋" w:cs="仿宋"/>
          <w:spacing w:val="16"/>
          <w:sz w:val="23"/>
          <w:szCs w:val="23"/>
          <w:highlight w:val="none"/>
        </w:rPr>
        <w:t>以上</w:t>
      </w:r>
      <w:r>
        <w:rPr>
          <w:rFonts w:hint="eastAsia" w:ascii="仿宋" w:hAnsi="仿宋" w:eastAsia="仿宋" w:cs="仿宋"/>
          <w:spacing w:val="12"/>
          <w:sz w:val="23"/>
          <w:szCs w:val="23"/>
          <w:highlight w:val="none"/>
        </w:rPr>
        <w:t>企</w:t>
      </w:r>
      <w:r>
        <w:rPr>
          <w:rFonts w:hint="eastAsia" w:ascii="仿宋" w:hAnsi="仿宋" w:eastAsia="仿宋" w:cs="仿宋"/>
          <w:spacing w:val="8"/>
          <w:sz w:val="23"/>
          <w:szCs w:val="23"/>
          <w:highlight w:val="none"/>
        </w:rPr>
        <w:t>业，不属于大企业的分支机构，不存在控股股东为大企业的情形，也不存</w:t>
      </w:r>
      <w:r>
        <w:rPr>
          <w:rFonts w:hint="eastAsia" w:ascii="仿宋" w:hAnsi="仿宋" w:eastAsia="仿宋" w:cs="仿宋"/>
          <w:sz w:val="23"/>
          <w:szCs w:val="23"/>
          <w:highlight w:val="none"/>
        </w:rPr>
        <w:t xml:space="preserve"> </w:t>
      </w:r>
      <w:r>
        <w:rPr>
          <w:rFonts w:hint="eastAsia" w:ascii="仿宋" w:hAnsi="仿宋" w:eastAsia="仿宋" w:cs="仿宋"/>
          <w:spacing w:val="14"/>
          <w:sz w:val="23"/>
          <w:szCs w:val="23"/>
          <w:highlight w:val="none"/>
        </w:rPr>
        <w:t>在</w:t>
      </w:r>
      <w:r>
        <w:rPr>
          <w:rFonts w:hint="eastAsia" w:ascii="仿宋" w:hAnsi="仿宋" w:eastAsia="仿宋" w:cs="仿宋"/>
          <w:spacing w:val="8"/>
          <w:sz w:val="23"/>
          <w:szCs w:val="23"/>
          <w:highlight w:val="none"/>
        </w:rPr>
        <w:t>与大企业的负责人为同一人的情形。</w:t>
      </w:r>
    </w:p>
    <w:p w14:paraId="2AD7237E">
      <w:pPr>
        <w:spacing w:line="228" w:lineRule="auto"/>
        <w:ind w:left="485"/>
        <w:rPr>
          <w:rFonts w:hint="eastAsia" w:ascii="仿宋" w:hAnsi="仿宋" w:eastAsia="仿宋" w:cs="仿宋"/>
          <w:sz w:val="23"/>
          <w:szCs w:val="23"/>
          <w:highlight w:val="none"/>
        </w:rPr>
      </w:pPr>
      <w:r>
        <w:rPr>
          <w:rFonts w:hint="eastAsia" w:ascii="仿宋" w:hAnsi="仿宋" w:eastAsia="仿宋" w:cs="仿宋"/>
          <w:spacing w:val="14"/>
          <w:sz w:val="23"/>
          <w:szCs w:val="23"/>
          <w:highlight w:val="none"/>
        </w:rPr>
        <w:t>本</w:t>
      </w:r>
      <w:r>
        <w:rPr>
          <w:rFonts w:hint="eastAsia" w:ascii="仿宋" w:hAnsi="仿宋" w:eastAsia="仿宋" w:cs="仿宋"/>
          <w:spacing w:val="9"/>
          <w:sz w:val="23"/>
          <w:szCs w:val="23"/>
          <w:highlight w:val="none"/>
        </w:rPr>
        <w:t>企业对上述声明内容的真实性负责。如有虚假，将依法承担相应责任。</w:t>
      </w:r>
    </w:p>
    <w:p w14:paraId="7D3E32DC">
      <w:pPr>
        <w:pStyle w:val="22"/>
        <w:spacing w:before="29" w:line="360" w:lineRule="auto"/>
        <w:ind w:left="4060" w:right="2046"/>
        <w:rPr>
          <w:rFonts w:hint="eastAsia" w:ascii="仿宋" w:hAnsi="仿宋" w:eastAsia="仿宋" w:cs="仿宋"/>
          <w:sz w:val="24"/>
          <w:szCs w:val="24"/>
          <w:highlight w:val="none"/>
        </w:rPr>
      </w:pPr>
    </w:p>
    <w:p w14:paraId="15E94D8A">
      <w:pPr>
        <w:pStyle w:val="22"/>
        <w:spacing w:before="29" w:line="480" w:lineRule="auto"/>
        <w:ind w:right="2046"/>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rPr>
        <w:t>单位公章</w:t>
      </w:r>
      <w:r>
        <w:rPr>
          <w:rFonts w:hint="eastAsia" w:ascii="仿宋" w:hAnsi="仿宋" w:eastAsia="仿宋" w:cs="仿宋"/>
          <w:sz w:val="24"/>
          <w:szCs w:val="24"/>
          <w:highlight w:val="none"/>
        </w:rPr>
        <w:t>）：</w:t>
      </w:r>
    </w:p>
    <w:p w14:paraId="3639D885">
      <w:pPr>
        <w:pStyle w:val="22"/>
        <w:spacing w:before="29" w:line="360" w:lineRule="auto"/>
        <w:ind w:right="2046"/>
        <w:jc w:val="center"/>
        <w:rPr>
          <w:rFonts w:hint="eastAsia" w:ascii="仿宋" w:hAnsi="仿宋" w:eastAsia="仿宋" w:cs="仿宋"/>
          <w:spacing w:val="24"/>
          <w:sz w:val="24"/>
          <w:szCs w:val="24"/>
          <w:highlight w:val="none"/>
        </w:rPr>
      </w:pPr>
      <w:r>
        <w:rPr>
          <w:rFonts w:hint="eastAsia" w:ascii="仿宋" w:hAnsi="仿宋" w:eastAsia="仿宋" w:cs="仿宋"/>
          <w:spacing w:val="24"/>
          <w:sz w:val="24"/>
          <w:szCs w:val="24"/>
          <w:highlight w:val="none"/>
          <w:lang w:val="en-US" w:eastAsia="zh-CN"/>
        </w:rPr>
        <w:t xml:space="preserve">            </w:t>
      </w:r>
      <w:r>
        <w:rPr>
          <w:rFonts w:hint="eastAsia" w:ascii="仿宋" w:hAnsi="仿宋" w:eastAsia="仿宋" w:cs="仿宋"/>
          <w:spacing w:val="24"/>
          <w:sz w:val="24"/>
          <w:szCs w:val="24"/>
          <w:highlight w:val="none"/>
        </w:rPr>
        <w:t>年  月  日</w:t>
      </w:r>
    </w:p>
    <w:p w14:paraId="49990C5A">
      <w:pPr>
        <w:rPr>
          <w:rFonts w:hint="eastAsia" w:ascii="仿宋" w:hAnsi="仿宋" w:eastAsia="仿宋" w:cs="仿宋"/>
          <w:sz w:val="24"/>
          <w:szCs w:val="24"/>
          <w:highlight w:val="none"/>
        </w:rPr>
      </w:pPr>
    </w:p>
    <w:p w14:paraId="61A7F1AE">
      <w:pPr>
        <w:rPr>
          <w:rFonts w:hint="eastAsia" w:ascii="仿宋" w:hAnsi="仿宋" w:eastAsia="仿宋" w:cs="仿宋"/>
          <w:sz w:val="24"/>
          <w:szCs w:val="24"/>
          <w:highlight w:val="none"/>
          <w:lang w:eastAsia="zh-CN"/>
        </w:rPr>
      </w:pPr>
    </w:p>
    <w:p w14:paraId="41376CF4">
      <w:pPr>
        <w:spacing w:before="94" w:line="360" w:lineRule="auto"/>
        <w:ind w:left="220" w:right="0" w:firstLine="0"/>
        <w:jc w:val="left"/>
        <w:rPr>
          <w:rFonts w:hint="eastAsia" w:ascii="仿宋" w:hAnsi="仿宋" w:eastAsia="仿宋" w:cs="仿宋"/>
          <w:sz w:val="24"/>
          <w:szCs w:val="24"/>
          <w:highlight w:val="none"/>
        </w:rPr>
      </w:pPr>
      <w:r>
        <w:rPr>
          <w:rFonts w:hint="eastAsia" w:ascii="仿宋" w:hAnsi="仿宋" w:eastAsia="仿宋" w:cs="仿宋"/>
          <w:position w:val="6"/>
          <w:sz w:val="24"/>
          <w:szCs w:val="24"/>
          <w:highlight w:val="none"/>
        </w:rPr>
        <w:t>1</w:t>
      </w:r>
      <w:bookmarkStart w:id="122" w:name="_bookmark0"/>
      <w:bookmarkEnd w:id="122"/>
      <w:r>
        <w:rPr>
          <w:rFonts w:hint="eastAsia" w:ascii="仿宋" w:hAnsi="仿宋" w:eastAsia="仿宋" w:cs="仿宋"/>
          <w:position w:val="6"/>
          <w:sz w:val="24"/>
          <w:szCs w:val="24"/>
          <w:highlight w:val="none"/>
        </w:rPr>
        <w:t xml:space="preserve"> </w:t>
      </w:r>
      <w:r>
        <w:rPr>
          <w:rFonts w:hint="eastAsia" w:ascii="仿宋" w:hAnsi="仿宋" w:eastAsia="仿宋" w:cs="仿宋"/>
          <w:sz w:val="24"/>
          <w:szCs w:val="24"/>
          <w:highlight w:val="none"/>
        </w:rPr>
        <w:t>从业人员、营业收入、资产总额填报上一年度数据，无上一年度数据的新成立企业可不填报。</w:t>
      </w:r>
    </w:p>
    <w:p w14:paraId="735B21A0">
      <w:pPr>
        <w:spacing w:before="94" w:line="360" w:lineRule="auto"/>
        <w:ind w:left="22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注：1、详细要求请参照</w:t>
      </w:r>
      <w:r>
        <w:rPr>
          <w:rFonts w:hint="eastAsia" w:ascii="仿宋" w:hAnsi="仿宋" w:eastAsia="仿宋" w:cs="仿宋"/>
          <w:b/>
          <w:bCs/>
          <w:spacing w:val="-2"/>
          <w:sz w:val="24"/>
          <w:szCs w:val="24"/>
          <w:highlight w:val="none"/>
        </w:rPr>
        <w:t>《政府采购促进中小企业发展管理办法</w:t>
      </w:r>
      <w:r>
        <w:rPr>
          <w:rFonts w:hint="eastAsia" w:ascii="仿宋" w:hAnsi="仿宋" w:eastAsia="仿宋" w:cs="仿宋"/>
          <w:b/>
          <w:bCs/>
          <w:spacing w:val="-18"/>
          <w:sz w:val="24"/>
          <w:szCs w:val="24"/>
          <w:highlight w:val="none"/>
        </w:rPr>
        <w:t>》</w:t>
      </w:r>
      <w:r>
        <w:rPr>
          <w:rFonts w:hint="eastAsia" w:ascii="仿宋" w:hAnsi="仿宋" w:eastAsia="仿宋" w:cs="仿宋"/>
          <w:b/>
          <w:bCs/>
          <w:sz w:val="24"/>
          <w:szCs w:val="24"/>
          <w:highlight w:val="none"/>
        </w:rPr>
        <w:t>（财库〔2020〕[2020]46号）的规定；</w:t>
      </w:r>
    </w:p>
    <w:p w14:paraId="7024131F">
      <w:pPr>
        <w:numPr>
          <w:ilvl w:val="0"/>
          <w:numId w:val="10"/>
        </w:numPr>
        <w:spacing w:before="94" w:line="360" w:lineRule="auto"/>
        <w:ind w:left="120" w:leftChars="0" w:hanging="120" w:hangingChars="5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若投标文件中无上述文件，则在评审时不考虑对该小、微企业的相关优惠</w:t>
      </w:r>
    </w:p>
    <w:p w14:paraId="0CD23B04">
      <w:pPr>
        <w:spacing w:line="480" w:lineRule="auto"/>
        <w:ind w:left="0" w:leftChars="0" w:firstLine="0" w:firstLineChars="0"/>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br w:type="page"/>
      </w:r>
      <w:r>
        <w:rPr>
          <w:rFonts w:hint="eastAsia" w:ascii="仿宋" w:hAnsi="仿宋" w:eastAsia="仿宋" w:cs="仿宋"/>
          <w:b/>
          <w:bCs/>
          <w:color w:val="000000"/>
          <w:sz w:val="24"/>
          <w:szCs w:val="24"/>
          <w:highlight w:val="none"/>
          <w:lang w:val="en-US" w:eastAsia="zh-CN"/>
        </w:rPr>
        <w:t>监狱</w:t>
      </w:r>
      <w:r>
        <w:rPr>
          <w:rFonts w:hint="eastAsia" w:ascii="仿宋" w:hAnsi="仿宋" w:eastAsia="仿宋" w:cs="仿宋"/>
          <w:b/>
          <w:bCs/>
          <w:color w:val="000000"/>
          <w:sz w:val="24"/>
          <w:szCs w:val="24"/>
          <w:highlight w:val="none"/>
        </w:rPr>
        <w:t>企业声明函</w:t>
      </w:r>
      <w:r>
        <w:rPr>
          <w:rStyle w:val="137"/>
          <w:rFonts w:hint="eastAsia" w:ascii="仿宋" w:hAnsi="仿宋" w:eastAsia="仿宋" w:cs="仿宋"/>
          <w:b/>
          <w:bCs/>
          <w:color w:val="auto"/>
          <w:sz w:val="24"/>
          <w:szCs w:val="24"/>
          <w:highlight w:val="none"/>
          <w:lang w:val="zh-CN" w:eastAsia="zh-CN"/>
        </w:rPr>
        <w:t>（如是）</w:t>
      </w:r>
    </w:p>
    <w:p w14:paraId="07BD1EE8">
      <w:pPr>
        <w:spacing w:line="360" w:lineRule="auto"/>
        <w:ind w:left="0" w:leftChars="0" w:firstLine="660" w:firstLineChars="275"/>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本公司郑重声明，根据《关于政府采购支持</w:t>
      </w:r>
      <w:r>
        <w:rPr>
          <w:rFonts w:hint="eastAsia" w:ascii="仿宋" w:hAnsi="仿宋" w:eastAsia="仿宋" w:cs="仿宋"/>
          <w:b w:val="0"/>
          <w:bCs w:val="0"/>
          <w:color w:val="000000"/>
          <w:sz w:val="24"/>
          <w:szCs w:val="24"/>
          <w:highlight w:val="none"/>
          <w:lang w:val="en-US" w:eastAsia="zh-CN"/>
        </w:rPr>
        <w:t>监狱</w:t>
      </w:r>
      <w:r>
        <w:rPr>
          <w:rFonts w:hint="eastAsia" w:ascii="仿宋" w:hAnsi="仿宋" w:eastAsia="仿宋" w:cs="仿宋"/>
          <w:b w:val="0"/>
          <w:bCs w:val="0"/>
          <w:color w:val="000000"/>
          <w:sz w:val="24"/>
          <w:szCs w:val="24"/>
          <w:highlight w:val="none"/>
        </w:rPr>
        <w:t>企业发展有关问题的通知》（财库[2014]68号）的规定，本公司为</w:t>
      </w:r>
      <w:r>
        <w:rPr>
          <w:rFonts w:hint="eastAsia" w:ascii="仿宋" w:hAnsi="仿宋" w:eastAsia="仿宋" w:cs="仿宋"/>
          <w:b w:val="0"/>
          <w:bCs w:val="0"/>
          <w:color w:val="000000"/>
          <w:sz w:val="24"/>
          <w:szCs w:val="24"/>
          <w:highlight w:val="none"/>
          <w:lang w:val="en-US" w:eastAsia="zh-CN"/>
        </w:rPr>
        <w:t>监狱</w:t>
      </w:r>
      <w:r>
        <w:rPr>
          <w:rFonts w:hint="eastAsia" w:ascii="仿宋" w:hAnsi="仿宋" w:eastAsia="仿宋" w:cs="仿宋"/>
          <w:b w:val="0"/>
          <w:bCs w:val="0"/>
          <w:color w:val="000000"/>
          <w:sz w:val="24"/>
          <w:szCs w:val="24"/>
          <w:highlight w:val="none"/>
        </w:rPr>
        <w:t>企业。即，本公司同时满足以下条件：</w:t>
      </w:r>
    </w:p>
    <w:p w14:paraId="7D89A406">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rPr>
        <w:t>1.根据《关于政府采购支持</w:t>
      </w:r>
      <w:r>
        <w:rPr>
          <w:rFonts w:hint="eastAsia" w:ascii="仿宋" w:hAnsi="仿宋" w:eastAsia="仿宋" w:cs="仿宋"/>
          <w:b w:val="0"/>
          <w:bCs w:val="0"/>
          <w:color w:val="000000"/>
          <w:sz w:val="24"/>
          <w:szCs w:val="24"/>
          <w:highlight w:val="none"/>
          <w:lang w:val="en-US" w:eastAsia="zh-CN"/>
        </w:rPr>
        <w:t>监狱</w:t>
      </w:r>
      <w:r>
        <w:rPr>
          <w:rFonts w:hint="eastAsia" w:ascii="仿宋" w:hAnsi="仿宋" w:eastAsia="仿宋" w:cs="仿宋"/>
          <w:b w:val="0"/>
          <w:bCs w:val="0"/>
          <w:color w:val="000000"/>
          <w:sz w:val="24"/>
          <w:szCs w:val="24"/>
          <w:highlight w:val="none"/>
        </w:rPr>
        <w:t>企业发展有关问题的通知》（财库[2014]68号）规定的标准，本公司是由司法部认定的为罪犯、</w:t>
      </w:r>
      <w:r>
        <w:rPr>
          <w:rFonts w:hint="eastAsia" w:ascii="仿宋" w:hAnsi="仿宋" w:eastAsia="仿宋" w:cs="仿宋"/>
          <w:b w:val="0"/>
          <w:bCs w:val="0"/>
          <w:color w:val="000000"/>
          <w:sz w:val="24"/>
          <w:szCs w:val="24"/>
          <w:highlight w:val="none"/>
          <w:lang w:eastAsia="zh-CN"/>
        </w:rPr>
        <w:t>戒毒</w:t>
      </w:r>
      <w:r>
        <w:rPr>
          <w:rFonts w:hint="eastAsia" w:ascii="仿宋" w:hAnsi="仿宋" w:eastAsia="仿宋" w:cs="仿宋"/>
          <w:b w:val="0"/>
          <w:bCs w:val="0"/>
          <w:color w:val="000000"/>
          <w:sz w:val="24"/>
          <w:szCs w:val="24"/>
          <w:highlight w:val="none"/>
        </w:rPr>
        <w:t>人员提供生产项目和劳动对象，且全部产权属于司法部</w:t>
      </w:r>
      <w:r>
        <w:rPr>
          <w:rFonts w:hint="eastAsia" w:ascii="仿宋" w:hAnsi="仿宋" w:eastAsia="仿宋" w:cs="仿宋"/>
          <w:b w:val="0"/>
          <w:bCs w:val="0"/>
          <w:color w:val="000000"/>
          <w:sz w:val="24"/>
          <w:szCs w:val="24"/>
          <w:highlight w:val="none"/>
          <w:lang w:val="en-US" w:eastAsia="zh-CN"/>
        </w:rPr>
        <w:t>监狱</w:t>
      </w:r>
      <w:r>
        <w:rPr>
          <w:rFonts w:hint="eastAsia" w:ascii="仿宋" w:hAnsi="仿宋" w:eastAsia="仿宋" w:cs="仿宋"/>
          <w:b w:val="0"/>
          <w:bCs w:val="0"/>
          <w:color w:val="000000"/>
          <w:sz w:val="24"/>
          <w:szCs w:val="24"/>
          <w:highlight w:val="none"/>
        </w:rPr>
        <w:t>管理局、</w:t>
      </w:r>
      <w:r>
        <w:rPr>
          <w:rFonts w:hint="eastAsia" w:ascii="仿宋" w:hAnsi="仿宋" w:eastAsia="仿宋" w:cs="仿宋"/>
          <w:b w:val="0"/>
          <w:bCs w:val="0"/>
          <w:color w:val="000000"/>
          <w:sz w:val="24"/>
          <w:szCs w:val="24"/>
          <w:highlight w:val="none"/>
          <w:lang w:eastAsia="zh-CN"/>
        </w:rPr>
        <w:t>戒毒</w:t>
      </w:r>
      <w:r>
        <w:rPr>
          <w:rFonts w:hint="eastAsia" w:ascii="仿宋" w:hAnsi="仿宋" w:eastAsia="仿宋" w:cs="仿宋"/>
          <w:b w:val="0"/>
          <w:bCs w:val="0"/>
          <w:color w:val="000000"/>
          <w:sz w:val="24"/>
          <w:szCs w:val="24"/>
          <w:highlight w:val="none"/>
        </w:rPr>
        <w:t>管理局、直属煤矿管理局，各省</w:t>
      </w:r>
      <w:r>
        <w:rPr>
          <w:rFonts w:hint="eastAsia" w:ascii="仿宋" w:hAnsi="仿宋" w:eastAsia="仿宋" w:cs="仿宋"/>
          <w:color w:val="000000"/>
          <w:sz w:val="24"/>
          <w:szCs w:val="24"/>
          <w:highlight w:val="none"/>
        </w:rPr>
        <w:t>、自治区、直辖市</w:t>
      </w:r>
      <w:r>
        <w:rPr>
          <w:rFonts w:hint="eastAsia" w:ascii="仿宋" w:hAnsi="仿宋" w:eastAsia="仿宋" w:cs="仿宋"/>
          <w:color w:val="000000"/>
          <w:sz w:val="24"/>
          <w:szCs w:val="24"/>
          <w:highlight w:val="none"/>
          <w:lang w:eastAsia="zh-CN"/>
        </w:rPr>
        <w:t>监狱</w:t>
      </w:r>
      <w:r>
        <w:rPr>
          <w:rFonts w:hint="eastAsia" w:ascii="仿宋" w:hAnsi="仿宋" w:eastAsia="仿宋" w:cs="仿宋"/>
          <w:color w:val="000000"/>
          <w:sz w:val="24"/>
          <w:szCs w:val="24"/>
          <w:highlight w:val="none"/>
        </w:rPr>
        <w:t>管理局、</w:t>
      </w:r>
      <w:r>
        <w:rPr>
          <w:rFonts w:hint="eastAsia" w:ascii="仿宋" w:hAnsi="仿宋" w:eastAsia="仿宋" w:cs="仿宋"/>
          <w:color w:val="000000"/>
          <w:sz w:val="24"/>
          <w:szCs w:val="24"/>
          <w:highlight w:val="none"/>
          <w:lang w:eastAsia="zh-CN"/>
        </w:rPr>
        <w:t>戒毒</w:t>
      </w:r>
      <w:r>
        <w:rPr>
          <w:rFonts w:hint="eastAsia" w:ascii="仿宋" w:hAnsi="仿宋" w:eastAsia="仿宋" w:cs="仿宋"/>
          <w:color w:val="000000"/>
          <w:sz w:val="24"/>
          <w:szCs w:val="24"/>
          <w:highlight w:val="none"/>
        </w:rPr>
        <w:t>管理局，各地(设区的市)</w:t>
      </w:r>
      <w:r>
        <w:rPr>
          <w:rFonts w:hint="eastAsia" w:ascii="仿宋" w:hAnsi="仿宋" w:eastAsia="仿宋" w:cs="仿宋"/>
          <w:color w:val="000000"/>
          <w:sz w:val="24"/>
          <w:szCs w:val="24"/>
          <w:highlight w:val="none"/>
          <w:lang w:eastAsia="zh-CN"/>
        </w:rPr>
        <w:t>监狱</w:t>
      </w:r>
      <w:r>
        <w:rPr>
          <w:rFonts w:hint="eastAsia" w:ascii="仿宋" w:hAnsi="仿宋" w:eastAsia="仿宋" w:cs="仿宋"/>
          <w:color w:val="000000"/>
          <w:sz w:val="24"/>
          <w:szCs w:val="24"/>
          <w:highlight w:val="none"/>
        </w:rPr>
        <w:t>、强制隔离</w:t>
      </w:r>
      <w:r>
        <w:rPr>
          <w:rFonts w:hint="eastAsia" w:ascii="仿宋" w:hAnsi="仿宋" w:eastAsia="仿宋" w:cs="仿宋"/>
          <w:color w:val="000000"/>
          <w:sz w:val="24"/>
          <w:szCs w:val="24"/>
          <w:highlight w:val="none"/>
          <w:lang w:eastAsia="zh-CN"/>
        </w:rPr>
        <w:t>戒毒</w:t>
      </w:r>
      <w:r>
        <w:rPr>
          <w:rFonts w:hint="eastAsia" w:ascii="仿宋" w:hAnsi="仿宋" w:eastAsia="仿宋" w:cs="仿宋"/>
          <w:color w:val="000000"/>
          <w:sz w:val="24"/>
          <w:szCs w:val="24"/>
          <w:highlight w:val="none"/>
        </w:rPr>
        <w:t>所、</w:t>
      </w:r>
      <w:r>
        <w:rPr>
          <w:rFonts w:hint="eastAsia" w:ascii="仿宋" w:hAnsi="仿宋" w:eastAsia="仿宋" w:cs="仿宋"/>
          <w:color w:val="000000"/>
          <w:sz w:val="24"/>
          <w:szCs w:val="24"/>
          <w:highlight w:val="none"/>
          <w:lang w:eastAsia="zh-CN"/>
        </w:rPr>
        <w:t>戒毒</w:t>
      </w:r>
      <w:r>
        <w:rPr>
          <w:rFonts w:hint="eastAsia" w:ascii="仿宋" w:hAnsi="仿宋" w:eastAsia="仿宋" w:cs="仿宋"/>
          <w:color w:val="000000"/>
          <w:sz w:val="24"/>
          <w:szCs w:val="24"/>
          <w:highlight w:val="none"/>
        </w:rPr>
        <w:t>康复所，以及新疆生产建设兵团</w:t>
      </w:r>
      <w:r>
        <w:rPr>
          <w:rFonts w:hint="eastAsia" w:ascii="仿宋" w:hAnsi="仿宋" w:eastAsia="仿宋" w:cs="仿宋"/>
          <w:color w:val="000000"/>
          <w:sz w:val="24"/>
          <w:szCs w:val="24"/>
          <w:highlight w:val="none"/>
          <w:lang w:eastAsia="zh-CN"/>
        </w:rPr>
        <w:t>监狱</w:t>
      </w:r>
      <w:r>
        <w:rPr>
          <w:rFonts w:hint="eastAsia" w:ascii="仿宋" w:hAnsi="仿宋" w:eastAsia="仿宋" w:cs="仿宋"/>
          <w:color w:val="000000"/>
          <w:sz w:val="24"/>
          <w:szCs w:val="24"/>
          <w:highlight w:val="none"/>
        </w:rPr>
        <w:t>管理局、</w:t>
      </w:r>
      <w:r>
        <w:rPr>
          <w:rFonts w:hint="eastAsia" w:ascii="仿宋" w:hAnsi="仿宋" w:eastAsia="仿宋" w:cs="仿宋"/>
          <w:color w:val="000000"/>
          <w:sz w:val="24"/>
          <w:szCs w:val="24"/>
          <w:highlight w:val="none"/>
          <w:lang w:eastAsia="zh-CN"/>
        </w:rPr>
        <w:t>戒毒</w:t>
      </w:r>
      <w:r>
        <w:rPr>
          <w:rFonts w:hint="eastAsia" w:ascii="仿宋" w:hAnsi="仿宋" w:eastAsia="仿宋" w:cs="仿宋"/>
          <w:color w:val="000000"/>
          <w:sz w:val="24"/>
          <w:szCs w:val="24"/>
          <w:highlight w:val="none"/>
        </w:rPr>
        <w:t>管理局的企业。</w:t>
      </w:r>
    </w:p>
    <w:p w14:paraId="5CC3BAD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2.本公司参加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项目（项目编号：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）采购活动时提供的是本企业的产品（包括由本企业承担的工程和提供的服务），或者提供的是其他</w:t>
      </w:r>
      <w:r>
        <w:rPr>
          <w:rFonts w:hint="eastAsia" w:ascii="仿宋" w:hAnsi="仿宋" w:eastAsia="仿宋" w:cs="仿宋"/>
          <w:color w:val="000000"/>
          <w:sz w:val="24"/>
          <w:szCs w:val="24"/>
          <w:highlight w:val="none"/>
          <w:lang w:eastAsia="zh-CN"/>
        </w:rPr>
        <w:t>监狱</w:t>
      </w:r>
      <w:r>
        <w:rPr>
          <w:rFonts w:hint="eastAsia" w:ascii="仿宋" w:hAnsi="仿宋" w:eastAsia="仿宋" w:cs="仿宋"/>
          <w:color w:val="000000"/>
          <w:sz w:val="24"/>
          <w:szCs w:val="24"/>
          <w:highlight w:val="none"/>
        </w:rPr>
        <w:t>企业制造的产品。</w:t>
      </w:r>
    </w:p>
    <w:p w14:paraId="4C1332CE">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本公司对上述声明的真实性负责。如有虚假，将依法承担相应责任。</w:t>
      </w:r>
    </w:p>
    <w:p w14:paraId="14F86DE7">
      <w:pPr>
        <w:spacing w:line="360" w:lineRule="auto"/>
        <w:ind w:left="0" w:leftChars="0" w:firstLine="420" w:firstLineChars="175"/>
        <w:rPr>
          <w:rFonts w:hint="eastAsia" w:ascii="仿宋" w:hAnsi="仿宋" w:eastAsia="仿宋" w:cs="仿宋"/>
          <w:color w:val="000000"/>
          <w:sz w:val="24"/>
          <w:szCs w:val="24"/>
          <w:highlight w:val="none"/>
        </w:rPr>
      </w:pPr>
    </w:p>
    <w:p w14:paraId="7795C27F">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附件：省级以上</w:t>
      </w:r>
      <w:r>
        <w:rPr>
          <w:rFonts w:hint="eastAsia" w:ascii="仿宋" w:hAnsi="仿宋" w:eastAsia="仿宋" w:cs="仿宋"/>
          <w:color w:val="000000"/>
          <w:sz w:val="24"/>
          <w:szCs w:val="24"/>
          <w:highlight w:val="none"/>
          <w:lang w:eastAsia="zh-CN"/>
        </w:rPr>
        <w:t>监狱</w:t>
      </w:r>
      <w:r>
        <w:rPr>
          <w:rFonts w:hint="eastAsia" w:ascii="仿宋" w:hAnsi="仿宋" w:eastAsia="仿宋" w:cs="仿宋"/>
          <w:color w:val="000000"/>
          <w:sz w:val="24"/>
          <w:szCs w:val="24"/>
          <w:highlight w:val="none"/>
        </w:rPr>
        <w:t>管理局、</w:t>
      </w:r>
      <w:r>
        <w:rPr>
          <w:rFonts w:hint="eastAsia" w:ascii="仿宋" w:hAnsi="仿宋" w:eastAsia="仿宋" w:cs="仿宋"/>
          <w:color w:val="000000"/>
          <w:sz w:val="24"/>
          <w:szCs w:val="24"/>
          <w:highlight w:val="none"/>
          <w:lang w:eastAsia="zh-CN"/>
        </w:rPr>
        <w:t>戒毒</w:t>
      </w:r>
      <w:r>
        <w:rPr>
          <w:rFonts w:hint="eastAsia" w:ascii="仿宋" w:hAnsi="仿宋" w:eastAsia="仿宋" w:cs="仿宋"/>
          <w:color w:val="000000"/>
          <w:sz w:val="24"/>
          <w:szCs w:val="24"/>
          <w:highlight w:val="none"/>
        </w:rPr>
        <w:t>管理局(含新疆生产建设兵团)出具的属于</w:t>
      </w:r>
      <w:r>
        <w:rPr>
          <w:rFonts w:hint="eastAsia" w:ascii="仿宋" w:hAnsi="仿宋" w:eastAsia="仿宋" w:cs="仿宋"/>
          <w:color w:val="000000"/>
          <w:sz w:val="24"/>
          <w:szCs w:val="24"/>
          <w:highlight w:val="none"/>
          <w:lang w:eastAsia="zh-CN"/>
        </w:rPr>
        <w:t>监狱</w:t>
      </w:r>
      <w:r>
        <w:rPr>
          <w:rFonts w:hint="eastAsia" w:ascii="仿宋" w:hAnsi="仿宋" w:eastAsia="仿宋" w:cs="仿宋"/>
          <w:color w:val="000000"/>
          <w:sz w:val="24"/>
          <w:szCs w:val="24"/>
          <w:highlight w:val="none"/>
        </w:rPr>
        <w:t>企业的证明文件</w:t>
      </w:r>
    </w:p>
    <w:p w14:paraId="63F93F93">
      <w:pPr>
        <w:rPr>
          <w:rFonts w:hint="eastAsia" w:ascii="仿宋" w:hAnsi="仿宋" w:eastAsia="仿宋" w:cs="仿宋"/>
          <w:color w:val="000000"/>
          <w:sz w:val="24"/>
          <w:szCs w:val="24"/>
          <w:highlight w:val="none"/>
        </w:rPr>
      </w:pPr>
    </w:p>
    <w:p w14:paraId="7A07BB7F">
      <w:pPr>
        <w:rPr>
          <w:rFonts w:hint="eastAsia" w:ascii="仿宋" w:hAnsi="仿宋" w:eastAsia="仿宋" w:cs="仿宋"/>
          <w:color w:val="000000"/>
          <w:sz w:val="24"/>
          <w:szCs w:val="24"/>
          <w:highlight w:val="none"/>
        </w:rPr>
      </w:pPr>
    </w:p>
    <w:p w14:paraId="36A45C5E">
      <w:pPr>
        <w:pStyle w:val="22"/>
        <w:rPr>
          <w:rFonts w:hint="eastAsia" w:ascii="仿宋" w:hAnsi="仿宋" w:eastAsia="仿宋" w:cs="仿宋"/>
          <w:color w:val="000000"/>
          <w:sz w:val="24"/>
          <w:szCs w:val="24"/>
          <w:highlight w:val="none"/>
        </w:rPr>
      </w:pPr>
    </w:p>
    <w:p w14:paraId="1D2D30A9">
      <w:pPr>
        <w:pStyle w:val="22"/>
        <w:rPr>
          <w:rFonts w:hint="eastAsia" w:ascii="仿宋" w:hAnsi="仿宋" w:eastAsia="仿宋" w:cs="仿宋"/>
          <w:highlight w:val="none"/>
        </w:rPr>
      </w:pPr>
    </w:p>
    <w:p w14:paraId="19336681">
      <w:pPr>
        <w:rPr>
          <w:rFonts w:hint="eastAsia" w:ascii="仿宋" w:hAnsi="仿宋" w:eastAsia="仿宋" w:cs="仿宋"/>
          <w:color w:val="000000"/>
          <w:sz w:val="24"/>
          <w:szCs w:val="24"/>
          <w:highlight w:val="none"/>
        </w:rPr>
      </w:pPr>
    </w:p>
    <w:p w14:paraId="74938605">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14:paraId="5B9E5839">
      <w:pPr>
        <w:spacing w:line="6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1EC9B1BE">
      <w:pPr>
        <w:spacing w:line="60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66732E1A">
      <w:pPr>
        <w:spacing w:line="600" w:lineRule="auto"/>
        <w:jc w:val="right"/>
        <w:rPr>
          <w:rFonts w:hint="eastAsia" w:ascii="仿宋" w:hAnsi="仿宋" w:eastAsia="仿宋" w:cs="仿宋"/>
          <w:color w:val="000000"/>
          <w:sz w:val="24"/>
          <w:szCs w:val="24"/>
          <w:highlight w:val="none"/>
        </w:rPr>
        <w:sectPr>
          <w:headerReference r:id="rId5" w:type="default"/>
          <w:footerReference r:id="rId6"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14:paraId="310CC603">
      <w:pPr>
        <w:spacing w:line="480" w:lineRule="auto"/>
        <w:jc w:val="center"/>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残疾人福利性单位声明函</w:t>
      </w:r>
      <w:r>
        <w:rPr>
          <w:rFonts w:hint="eastAsia" w:ascii="仿宋" w:hAnsi="仿宋" w:eastAsia="仿宋" w:cs="仿宋"/>
          <w:b/>
          <w:bCs/>
          <w:color w:val="000000"/>
          <w:sz w:val="24"/>
          <w:szCs w:val="24"/>
          <w:highlight w:val="none"/>
          <w:lang w:eastAsia="zh-CN"/>
        </w:rPr>
        <w:t>（如是）</w:t>
      </w:r>
    </w:p>
    <w:p w14:paraId="122A39A2">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本单位郑重声明，根据《关于促进残疾人就业政府采购政策的通知》（财库[2017]141号）的规定，本单位为残疾人福利性单位。即，本单位同时满足以下条件：</w:t>
      </w:r>
    </w:p>
    <w:p w14:paraId="00991CC9">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1.安置的残疾人占本单位在职职工人数的比例不低于25%（含25%），并且安置的残疾人人数不少于10人（含10人）；</w:t>
      </w:r>
    </w:p>
    <w:p w14:paraId="0A4B1A78">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2.本单位依法与安置的每位残疾人签订了一年以上（含一年）的劳动合同或服务协议；</w:t>
      </w:r>
    </w:p>
    <w:p w14:paraId="082D2F6C">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3.本单位为安置的每位残疾人按月足额缴纳了基本养老保险、基本医疗保险、失业保险、工伤保险和生育保险等社会保险费；</w:t>
      </w:r>
    </w:p>
    <w:p w14:paraId="6035F3D0">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4.本单位通过银行等金融机构向安置的每位残疾人，按月支付了不低于单位所在区县适用的经省级人民政府批准的月最低工资标准的工资；</w:t>
      </w:r>
    </w:p>
    <w:p w14:paraId="5114BA37">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5.本单位参加 项目（项目编号： ）采购活</w:t>
      </w:r>
    </w:p>
    <w:p w14:paraId="3E69BE9C">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动时提供的是本单位的产品（包括由本单位承担的工程和提供的服务），或者提供的是其他残疾人福利性单位制造的产品。</w:t>
      </w:r>
    </w:p>
    <w:p w14:paraId="24DA369A">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本公司对上述声明的真实性负责。如有虚假，将依法承担相应责任。</w:t>
      </w:r>
    </w:p>
    <w:p w14:paraId="5F3F7765">
      <w:pPr>
        <w:spacing w:line="360" w:lineRule="auto"/>
        <w:ind w:left="0" w:leftChars="0" w:firstLine="420" w:firstLineChars="175"/>
        <w:rPr>
          <w:rFonts w:hint="eastAsia" w:ascii="仿宋" w:hAnsi="仿宋" w:eastAsia="仿宋" w:cs="仿宋"/>
          <w:color w:val="000000"/>
          <w:sz w:val="24"/>
          <w:szCs w:val="24"/>
          <w:highlight w:val="none"/>
        </w:rPr>
      </w:pPr>
    </w:p>
    <w:p w14:paraId="1552F6C7">
      <w:p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附件：近三个月依法为安置残疾人缴纳社会保障资金的证明文件</w:t>
      </w:r>
    </w:p>
    <w:p w14:paraId="13A046AC">
      <w:pPr>
        <w:pStyle w:val="22"/>
        <w:rPr>
          <w:rFonts w:hint="eastAsia" w:ascii="仿宋" w:hAnsi="仿宋" w:eastAsia="仿宋" w:cs="仿宋"/>
          <w:color w:val="000000"/>
          <w:sz w:val="24"/>
          <w:szCs w:val="24"/>
          <w:highlight w:val="none"/>
        </w:rPr>
      </w:pPr>
    </w:p>
    <w:p w14:paraId="3CB58607">
      <w:pPr>
        <w:rPr>
          <w:rFonts w:hint="eastAsia" w:ascii="仿宋" w:hAnsi="仿宋" w:eastAsia="仿宋" w:cs="仿宋"/>
          <w:color w:val="000000"/>
          <w:sz w:val="24"/>
          <w:szCs w:val="24"/>
          <w:highlight w:val="none"/>
        </w:rPr>
      </w:pPr>
    </w:p>
    <w:p w14:paraId="7F8F462D">
      <w:pPr>
        <w:pStyle w:val="22"/>
        <w:rPr>
          <w:rFonts w:hint="eastAsia" w:ascii="仿宋" w:hAnsi="仿宋" w:eastAsia="仿宋" w:cs="仿宋"/>
          <w:color w:val="000000"/>
          <w:sz w:val="24"/>
          <w:szCs w:val="24"/>
          <w:highlight w:val="none"/>
        </w:rPr>
      </w:pPr>
    </w:p>
    <w:p w14:paraId="2B50BFD1">
      <w:pPr>
        <w:rPr>
          <w:rFonts w:hint="eastAsia" w:ascii="仿宋" w:hAnsi="仿宋" w:eastAsia="仿宋" w:cs="仿宋"/>
          <w:color w:val="000000"/>
          <w:sz w:val="24"/>
          <w:szCs w:val="24"/>
          <w:highlight w:val="none"/>
        </w:rPr>
      </w:pPr>
    </w:p>
    <w:p w14:paraId="078D758E">
      <w:pPr>
        <w:pStyle w:val="22"/>
        <w:rPr>
          <w:rFonts w:hint="eastAsia" w:ascii="仿宋" w:hAnsi="仿宋" w:eastAsia="仿宋" w:cs="仿宋"/>
          <w:highlight w:val="none"/>
        </w:rPr>
      </w:pPr>
    </w:p>
    <w:p w14:paraId="0180212F">
      <w:pPr>
        <w:rPr>
          <w:rFonts w:hint="eastAsia" w:ascii="仿宋" w:hAnsi="仿宋" w:eastAsia="仿宋" w:cs="仿宋"/>
          <w:highlight w:val="none"/>
        </w:rPr>
      </w:pPr>
    </w:p>
    <w:p w14:paraId="6134001C">
      <w:pPr>
        <w:pStyle w:val="22"/>
        <w:rPr>
          <w:rFonts w:hint="eastAsia" w:ascii="仿宋" w:hAnsi="仿宋" w:eastAsia="仿宋" w:cs="仿宋"/>
          <w:highlight w:val="none"/>
        </w:rPr>
      </w:pPr>
    </w:p>
    <w:p w14:paraId="2198292D">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（单位公章）：</w:t>
      </w:r>
    </w:p>
    <w:p w14:paraId="7C4A7FF3">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5994D5B4">
      <w:pPr>
        <w:spacing w:line="60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14:paraId="6B7BA2BE">
      <w:pPr>
        <w:jc w:val="center"/>
        <w:rPr>
          <w:rFonts w:hint="eastAsia" w:ascii="仿宋" w:hAnsi="仿宋" w:eastAsia="仿宋" w:cs="仿宋"/>
          <w:b/>
          <w:bCs/>
          <w:sz w:val="24"/>
          <w:szCs w:val="24"/>
        </w:rPr>
      </w:pPr>
      <w:r>
        <w:rPr>
          <w:rFonts w:hint="eastAsia" w:ascii="仿宋" w:hAnsi="仿宋" w:eastAsia="仿宋" w:cs="仿宋"/>
          <w:b/>
          <w:bCs/>
          <w:sz w:val="24"/>
          <w:szCs w:val="24"/>
          <w:lang w:eastAsia="zh-CN"/>
        </w:rPr>
        <w:br w:type="page"/>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十六</w:t>
      </w:r>
      <w:r>
        <w:rPr>
          <w:rFonts w:hint="eastAsia" w:ascii="仿宋" w:hAnsi="仿宋" w:eastAsia="仿宋" w:cs="仿宋"/>
          <w:b/>
          <w:bCs/>
          <w:sz w:val="24"/>
          <w:szCs w:val="24"/>
          <w:lang w:eastAsia="zh-CN"/>
        </w:rPr>
        <w:t>）</w:t>
      </w:r>
      <w:r>
        <w:rPr>
          <w:rFonts w:hint="eastAsia" w:ascii="仿宋" w:hAnsi="仿宋" w:eastAsia="仿宋" w:cs="仿宋"/>
          <w:b/>
          <w:bCs/>
          <w:sz w:val="24"/>
          <w:szCs w:val="24"/>
        </w:rPr>
        <w:t>虚假应标承担责任声明（统一格式）</w:t>
      </w:r>
    </w:p>
    <w:p w14:paraId="3D193304">
      <w:pPr>
        <w:shd w:val="clear" w:color="auto" w:fill="auto"/>
        <w:ind w:right="-92" w:rightChars="-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采购人/采购代理机构</w:t>
      </w:r>
    </w:p>
    <w:p w14:paraId="7BF6EAC2">
      <w:pPr>
        <w:pStyle w:val="22"/>
        <w:shd w:val="clear" w:color="auto" w:fill="auto"/>
        <w:tabs>
          <w:tab w:val="left" w:pos="9214"/>
        </w:tabs>
        <w:spacing w:before="9"/>
        <w:ind w:right="-92" w:rightChars="-44"/>
        <w:rPr>
          <w:rFonts w:hint="eastAsia" w:ascii="仿宋" w:hAnsi="仿宋" w:eastAsia="仿宋" w:cs="仿宋"/>
          <w:b/>
          <w:color w:val="auto"/>
          <w:sz w:val="24"/>
          <w:szCs w:val="24"/>
          <w:highlight w:val="none"/>
        </w:rPr>
      </w:pPr>
    </w:p>
    <w:p w14:paraId="58A482D8">
      <w:pPr>
        <w:pStyle w:val="22"/>
        <w:shd w:val="clear" w:color="auto" w:fill="auto"/>
        <w:tabs>
          <w:tab w:val="left" w:pos="9214"/>
        </w:tabs>
        <w:spacing w:before="67" w:line="360" w:lineRule="auto"/>
        <w:ind w:right="-92" w:rightChars="-44"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pacing w:val="-7"/>
          <w:sz w:val="24"/>
          <w:szCs w:val="24"/>
          <w:highlight w:val="none"/>
        </w:rPr>
        <w:t>承诺：</w:t>
      </w:r>
      <w:r>
        <w:rPr>
          <w:rFonts w:hint="eastAsia" w:ascii="仿宋" w:hAnsi="仿宋" w:eastAsia="仿宋" w:cs="仿宋"/>
          <w:color w:val="auto"/>
          <w:spacing w:val="-3"/>
          <w:sz w:val="24"/>
          <w:szCs w:val="24"/>
          <w:highlight w:val="none"/>
        </w:rPr>
        <w:t>所提供的投标文件</w:t>
      </w:r>
      <w:r>
        <w:rPr>
          <w:rFonts w:hint="eastAsia" w:ascii="仿宋" w:hAnsi="仿宋" w:eastAsia="仿宋" w:cs="仿宋"/>
          <w:color w:val="auto"/>
          <w:sz w:val="24"/>
          <w:szCs w:val="24"/>
          <w:highlight w:val="none"/>
        </w:rPr>
        <w:t>（</w:t>
      </w:r>
      <w:r>
        <w:rPr>
          <w:rFonts w:hint="eastAsia" w:ascii="仿宋" w:hAnsi="仿宋" w:eastAsia="仿宋" w:cs="仿宋"/>
          <w:color w:val="auto"/>
          <w:spacing w:val="-5"/>
          <w:sz w:val="24"/>
          <w:szCs w:val="24"/>
          <w:highlight w:val="none"/>
        </w:rPr>
        <w:t>包括一切技术资料、技术承诺、商务承诺等</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12"/>
          <w:sz w:val="24"/>
          <w:szCs w:val="24"/>
          <w:highlight w:val="none"/>
        </w:rPr>
        <w:t>均</w:t>
      </w:r>
      <w:r>
        <w:rPr>
          <w:rFonts w:hint="eastAsia" w:ascii="仿宋" w:hAnsi="仿宋" w:eastAsia="仿宋" w:cs="仿宋"/>
          <w:color w:val="auto"/>
          <w:spacing w:val="-6"/>
          <w:sz w:val="24"/>
          <w:szCs w:val="24"/>
          <w:highlight w:val="none"/>
        </w:rPr>
        <w:t>真实有效，若在项目招标过程中</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rPr>
        <w:t>包括开评审、中标公示过程</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2"/>
          <w:sz w:val="24"/>
          <w:szCs w:val="24"/>
          <w:highlight w:val="none"/>
        </w:rPr>
        <w:t>及履行合同期间</w:t>
      </w:r>
      <w:r>
        <w:rPr>
          <w:rFonts w:hint="eastAsia" w:ascii="仿宋" w:hAnsi="仿宋" w:eastAsia="仿宋" w:cs="仿宋"/>
          <w:color w:val="auto"/>
          <w:sz w:val="24"/>
          <w:szCs w:val="24"/>
          <w:highlight w:val="none"/>
        </w:rPr>
        <w:t>（包括验收过程</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2"/>
          <w:sz w:val="24"/>
          <w:szCs w:val="24"/>
          <w:highlight w:val="none"/>
        </w:rPr>
        <w:t>发现我公司提供的货物</w:t>
      </w:r>
      <w:r>
        <w:rPr>
          <w:rFonts w:hint="eastAsia" w:ascii="仿宋" w:hAnsi="仿宋" w:eastAsia="仿宋" w:cs="仿宋"/>
          <w:color w:val="auto"/>
          <w:sz w:val="24"/>
          <w:szCs w:val="24"/>
          <w:highlight w:val="none"/>
        </w:rPr>
        <w:t>（或产品</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5"/>
          <w:sz w:val="24"/>
          <w:szCs w:val="24"/>
          <w:highlight w:val="none"/>
        </w:rPr>
        <w:t>与投标</w:t>
      </w:r>
      <w:r>
        <w:rPr>
          <w:rFonts w:hint="eastAsia" w:ascii="仿宋" w:hAnsi="仿宋" w:eastAsia="仿宋" w:cs="仿宋"/>
          <w:color w:val="auto"/>
          <w:sz w:val="24"/>
          <w:szCs w:val="24"/>
          <w:highlight w:val="none"/>
        </w:rPr>
        <w:t>文件</w:t>
      </w:r>
      <w:r>
        <w:rPr>
          <w:rFonts w:hint="eastAsia" w:ascii="仿宋" w:hAnsi="仿宋" w:eastAsia="仿宋" w:cs="仿宋"/>
          <w:color w:val="auto"/>
          <w:spacing w:val="-6"/>
          <w:sz w:val="24"/>
          <w:szCs w:val="24"/>
          <w:highlight w:val="none"/>
        </w:rPr>
        <w:t>不一致，或发现我</w:t>
      </w:r>
      <w:r>
        <w:rPr>
          <w:rFonts w:hint="eastAsia" w:ascii="仿宋" w:hAnsi="仿宋" w:eastAsia="仿宋" w:cs="仿宋"/>
          <w:color w:val="auto"/>
          <w:sz w:val="24"/>
          <w:szCs w:val="24"/>
          <w:highlight w:val="none"/>
        </w:rPr>
        <w:t>公司提供了不真实的投标文件（虚假材料</w:t>
      </w:r>
      <w:r>
        <w:rPr>
          <w:rFonts w:hint="eastAsia" w:ascii="仿宋" w:hAnsi="仿宋" w:eastAsia="仿宋" w:cs="仿宋"/>
          <w:color w:val="auto"/>
          <w:spacing w:val="-120"/>
          <w:sz w:val="24"/>
          <w:szCs w:val="24"/>
          <w:highlight w:val="none"/>
        </w:rPr>
        <w:t>）   ）</w:t>
      </w:r>
      <w:r>
        <w:rPr>
          <w:rFonts w:hint="eastAsia" w:ascii="仿宋" w:hAnsi="仿宋" w:eastAsia="仿宋" w:cs="仿宋"/>
          <w:color w:val="auto"/>
          <w:sz w:val="24"/>
          <w:szCs w:val="24"/>
          <w:highlight w:val="none"/>
        </w:rPr>
        <w:t>），我公司愿意承担一切法律责任并认可采购人或采购代理机构作出的取消中标资格、罚没保证金等决定。</w:t>
      </w:r>
    </w:p>
    <w:p w14:paraId="76B2F8D2">
      <w:pPr>
        <w:pStyle w:val="22"/>
        <w:shd w:val="clear" w:color="auto" w:fill="auto"/>
        <w:tabs>
          <w:tab w:val="left" w:pos="9214"/>
        </w:tabs>
        <w:spacing w:line="360" w:lineRule="auto"/>
        <w:ind w:right="-92" w:rightChars="-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32B866EB">
      <w:pPr>
        <w:pStyle w:val="22"/>
        <w:shd w:val="clear" w:color="auto" w:fill="auto"/>
        <w:tabs>
          <w:tab w:val="left" w:pos="9214"/>
        </w:tabs>
        <w:spacing w:line="360" w:lineRule="auto"/>
        <w:ind w:right="-92" w:rightChars="-44"/>
        <w:rPr>
          <w:rFonts w:hint="eastAsia" w:ascii="仿宋" w:hAnsi="仿宋" w:eastAsia="仿宋" w:cs="仿宋"/>
          <w:color w:val="auto"/>
          <w:sz w:val="24"/>
          <w:szCs w:val="24"/>
          <w:highlight w:val="none"/>
        </w:rPr>
      </w:pPr>
    </w:p>
    <w:p w14:paraId="68476D1D">
      <w:pPr>
        <w:pStyle w:val="22"/>
        <w:shd w:val="clear" w:color="auto" w:fill="auto"/>
        <w:tabs>
          <w:tab w:val="left" w:pos="9214"/>
        </w:tabs>
        <w:ind w:right="-92" w:rightChars="-44"/>
        <w:rPr>
          <w:rFonts w:hint="eastAsia" w:ascii="仿宋" w:hAnsi="仿宋" w:eastAsia="仿宋" w:cs="仿宋"/>
          <w:color w:val="auto"/>
          <w:sz w:val="24"/>
          <w:szCs w:val="24"/>
          <w:highlight w:val="none"/>
        </w:rPr>
      </w:pPr>
    </w:p>
    <w:p w14:paraId="06C5D78E">
      <w:pPr>
        <w:pStyle w:val="22"/>
        <w:shd w:val="clear" w:color="auto" w:fill="auto"/>
        <w:tabs>
          <w:tab w:val="left" w:pos="9214"/>
        </w:tabs>
        <w:ind w:right="-92" w:rightChars="-44"/>
        <w:rPr>
          <w:rFonts w:hint="eastAsia" w:ascii="仿宋" w:hAnsi="仿宋" w:eastAsia="仿宋" w:cs="仿宋"/>
          <w:color w:val="auto"/>
          <w:sz w:val="24"/>
          <w:szCs w:val="24"/>
          <w:highlight w:val="none"/>
        </w:rPr>
      </w:pPr>
    </w:p>
    <w:p w14:paraId="5FBFCBFF">
      <w:pPr>
        <w:pStyle w:val="22"/>
        <w:shd w:val="clear" w:color="auto" w:fill="auto"/>
        <w:tabs>
          <w:tab w:val="left" w:pos="4736"/>
          <w:tab w:val="left" w:pos="9214"/>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0D036B8A">
      <w:pPr>
        <w:pStyle w:val="22"/>
        <w:shd w:val="clear" w:color="auto" w:fill="auto"/>
        <w:tabs>
          <w:tab w:val="left" w:pos="5521"/>
          <w:tab w:val="left" w:pos="6366"/>
          <w:tab w:val="left" w:pos="9062"/>
          <w:tab w:val="left" w:pos="9214"/>
        </w:tabs>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投标人授权代表(签字或签章)：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4BF7D3F2">
      <w:pPr>
        <w:rPr>
          <w:rFonts w:hint="eastAsia" w:ascii="仿宋" w:hAnsi="仿宋" w:eastAsia="仿宋" w:cs="仿宋"/>
          <w:b/>
          <w:bCs/>
          <w:sz w:val="24"/>
          <w:szCs w:val="24"/>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1C7F0CAA">
      <w:pPr>
        <w:rPr>
          <w:rFonts w:hint="eastAsia" w:ascii="仿宋" w:hAnsi="仿宋" w:eastAsia="仿宋" w:cs="仿宋"/>
          <w:b/>
          <w:bCs/>
          <w:sz w:val="24"/>
          <w:szCs w:val="24"/>
        </w:rPr>
      </w:pPr>
    </w:p>
    <w:p w14:paraId="0D9300B4">
      <w:pPr>
        <w:pStyle w:val="27"/>
        <w:rPr>
          <w:rFonts w:hint="eastAsia" w:ascii="仿宋" w:hAnsi="仿宋" w:eastAsia="仿宋" w:cs="仿宋"/>
          <w:b/>
          <w:bCs/>
          <w:sz w:val="24"/>
          <w:szCs w:val="24"/>
        </w:rPr>
      </w:pPr>
    </w:p>
    <w:p w14:paraId="77A0D17E">
      <w:pPr>
        <w:rPr>
          <w:rFonts w:hint="eastAsia" w:ascii="仿宋" w:hAnsi="仿宋" w:eastAsia="仿宋" w:cs="仿宋"/>
          <w:b/>
          <w:bCs/>
          <w:sz w:val="24"/>
          <w:szCs w:val="24"/>
        </w:rPr>
      </w:pPr>
    </w:p>
    <w:p w14:paraId="17081D3C">
      <w:pPr>
        <w:pStyle w:val="27"/>
        <w:rPr>
          <w:rFonts w:hint="eastAsia" w:ascii="仿宋" w:hAnsi="仿宋" w:eastAsia="仿宋" w:cs="仿宋"/>
          <w:b/>
          <w:bCs/>
          <w:sz w:val="24"/>
          <w:szCs w:val="24"/>
        </w:rPr>
      </w:pPr>
    </w:p>
    <w:p w14:paraId="6829C3DB">
      <w:pPr>
        <w:rPr>
          <w:rFonts w:hint="eastAsia" w:ascii="仿宋" w:hAnsi="仿宋" w:eastAsia="仿宋" w:cs="仿宋"/>
          <w:b/>
          <w:bCs/>
          <w:sz w:val="24"/>
          <w:szCs w:val="24"/>
        </w:rPr>
      </w:pPr>
    </w:p>
    <w:p w14:paraId="01763840">
      <w:pPr>
        <w:pStyle w:val="27"/>
        <w:rPr>
          <w:rFonts w:hint="eastAsia" w:ascii="仿宋" w:hAnsi="仿宋" w:eastAsia="仿宋" w:cs="仿宋"/>
          <w:b/>
          <w:bCs/>
          <w:sz w:val="24"/>
          <w:szCs w:val="24"/>
        </w:rPr>
      </w:pPr>
    </w:p>
    <w:p w14:paraId="75B30E58">
      <w:pPr>
        <w:rPr>
          <w:rFonts w:hint="eastAsia" w:ascii="仿宋" w:hAnsi="仿宋" w:eastAsia="仿宋" w:cs="仿宋"/>
          <w:b/>
          <w:bCs/>
          <w:sz w:val="24"/>
          <w:szCs w:val="24"/>
        </w:rPr>
      </w:pPr>
    </w:p>
    <w:p w14:paraId="3DEAF3D5">
      <w:pPr>
        <w:pStyle w:val="27"/>
        <w:rPr>
          <w:rFonts w:hint="eastAsia" w:ascii="仿宋" w:hAnsi="仿宋" w:eastAsia="仿宋" w:cs="仿宋"/>
          <w:b/>
          <w:bCs/>
          <w:sz w:val="24"/>
          <w:szCs w:val="24"/>
        </w:rPr>
      </w:pPr>
    </w:p>
    <w:p w14:paraId="2C9405D5">
      <w:pPr>
        <w:rPr>
          <w:rFonts w:hint="eastAsia" w:ascii="仿宋" w:hAnsi="仿宋" w:eastAsia="仿宋" w:cs="仿宋"/>
          <w:b/>
          <w:bCs/>
          <w:sz w:val="24"/>
          <w:szCs w:val="24"/>
        </w:rPr>
      </w:pPr>
    </w:p>
    <w:p w14:paraId="56AF2AA6">
      <w:pPr>
        <w:pStyle w:val="27"/>
        <w:rPr>
          <w:rFonts w:hint="eastAsia" w:ascii="仿宋" w:hAnsi="仿宋" w:eastAsia="仿宋" w:cs="仿宋"/>
          <w:b/>
          <w:bCs/>
          <w:sz w:val="24"/>
          <w:szCs w:val="24"/>
        </w:rPr>
      </w:pPr>
    </w:p>
    <w:p w14:paraId="7E232D3A">
      <w:pPr>
        <w:rPr>
          <w:rFonts w:hint="eastAsia" w:ascii="仿宋" w:hAnsi="仿宋" w:eastAsia="仿宋" w:cs="仿宋"/>
          <w:b/>
          <w:bCs/>
          <w:sz w:val="24"/>
          <w:szCs w:val="24"/>
        </w:rPr>
      </w:pPr>
    </w:p>
    <w:p w14:paraId="671688C1">
      <w:pPr>
        <w:pStyle w:val="27"/>
        <w:rPr>
          <w:rFonts w:hint="eastAsia" w:ascii="仿宋" w:hAnsi="仿宋" w:eastAsia="仿宋" w:cs="仿宋"/>
          <w:b/>
          <w:bCs/>
          <w:sz w:val="24"/>
          <w:szCs w:val="24"/>
        </w:rPr>
      </w:pPr>
    </w:p>
    <w:p w14:paraId="00D681A0">
      <w:pPr>
        <w:rPr>
          <w:rFonts w:hint="eastAsia" w:ascii="仿宋" w:hAnsi="仿宋" w:eastAsia="仿宋" w:cs="仿宋"/>
          <w:b/>
          <w:bCs/>
          <w:sz w:val="24"/>
          <w:szCs w:val="24"/>
        </w:rPr>
      </w:pPr>
    </w:p>
    <w:p w14:paraId="36ADC122">
      <w:pPr>
        <w:pStyle w:val="27"/>
        <w:rPr>
          <w:rFonts w:hint="eastAsia" w:ascii="仿宋" w:hAnsi="仿宋" w:eastAsia="仿宋" w:cs="仿宋"/>
          <w:b/>
          <w:bCs/>
          <w:sz w:val="24"/>
          <w:szCs w:val="24"/>
        </w:rPr>
      </w:pPr>
    </w:p>
    <w:p w14:paraId="26AA071D">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page"/>
      </w:r>
    </w:p>
    <w:p w14:paraId="5F1CFCDA">
      <w:pPr>
        <w:numPr>
          <w:ilvl w:val="0"/>
          <w:numId w:val="0"/>
        </w:numPr>
        <w:ind w:right="62"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十七</w:t>
      </w:r>
      <w:r>
        <w:rPr>
          <w:rFonts w:hint="eastAsia" w:ascii="仿宋" w:hAnsi="仿宋" w:eastAsia="仿宋" w:cs="仿宋"/>
          <w:b/>
          <w:bCs/>
          <w:sz w:val="24"/>
          <w:szCs w:val="24"/>
          <w:lang w:eastAsia="zh-CN"/>
        </w:rPr>
        <w:t>）</w:t>
      </w:r>
      <w:r>
        <w:rPr>
          <w:rFonts w:hint="eastAsia" w:ascii="仿宋" w:hAnsi="仿宋" w:eastAsia="仿宋" w:cs="仿宋"/>
          <w:b/>
          <w:bCs/>
          <w:sz w:val="24"/>
          <w:szCs w:val="24"/>
        </w:rPr>
        <w:t>关于对本投标文件中资料真实性的承诺书</w:t>
      </w:r>
    </w:p>
    <w:p w14:paraId="28261CB3">
      <w:pPr>
        <w:shd w:val="clear" w:color="auto" w:fill="auto"/>
        <w:jc w:val="center"/>
        <w:rPr>
          <w:rFonts w:hint="eastAsia" w:ascii="仿宋" w:hAnsi="仿宋" w:eastAsia="仿宋" w:cs="仿宋"/>
          <w:b/>
          <w:color w:val="auto"/>
          <w:kern w:val="0"/>
          <w:sz w:val="24"/>
          <w:szCs w:val="24"/>
          <w:highlight w:val="none"/>
        </w:rPr>
      </w:pPr>
    </w:p>
    <w:p w14:paraId="47B3A03D">
      <w:pPr>
        <w:shd w:val="clear" w:color="auto" w:fill="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关于对本投标文件中资料真实性的承诺</w:t>
      </w:r>
    </w:p>
    <w:p w14:paraId="508FCF59">
      <w:pPr>
        <w:shd w:val="clear" w:color="auto" w:fill="auto"/>
        <w:rPr>
          <w:rFonts w:hint="eastAsia" w:ascii="仿宋" w:hAnsi="仿宋" w:eastAsia="仿宋" w:cs="仿宋"/>
          <w:b/>
          <w:color w:val="auto"/>
          <w:kern w:val="0"/>
          <w:sz w:val="24"/>
          <w:szCs w:val="24"/>
          <w:highlight w:val="none"/>
        </w:rPr>
      </w:pPr>
    </w:p>
    <w:p w14:paraId="080B1E69">
      <w:pPr>
        <w:shd w:val="clear" w:color="auto" w:fill="auto"/>
        <w:spacing w:line="360" w:lineRule="auto"/>
        <w:rPr>
          <w:rFonts w:hint="eastAsia" w:ascii="仿宋" w:hAnsi="仿宋" w:eastAsia="仿宋" w:cs="仿宋"/>
          <w:b/>
          <w:color w:val="auto"/>
          <w:kern w:val="0"/>
          <w:sz w:val="24"/>
          <w:szCs w:val="24"/>
          <w:highlight w:val="none"/>
          <w:u w:val="single"/>
        </w:rPr>
      </w:pPr>
      <w:r>
        <w:rPr>
          <w:rFonts w:hint="eastAsia" w:ascii="仿宋" w:hAnsi="仿宋" w:eastAsia="仿宋" w:cs="仿宋"/>
          <w:b/>
          <w:color w:val="auto"/>
          <w:kern w:val="0"/>
          <w:sz w:val="24"/>
          <w:szCs w:val="24"/>
          <w:highlight w:val="none"/>
          <w:lang w:val="en-US" w:eastAsia="zh-CN"/>
        </w:rPr>
        <w:t>致</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u w:val="single"/>
        </w:rPr>
        <w:t xml:space="preserve"> （项目、包段名称）评标委员会  </w:t>
      </w:r>
    </w:p>
    <w:p w14:paraId="0ABD82AA">
      <w:pPr>
        <w:shd w:val="clear" w:color="auto" w:fill="auto"/>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根据《中华人民共和国政府采购法》、《中华人民共和国政府采购法实施条例》等有关法律、法规的规定和</w:t>
      </w:r>
      <w:r>
        <w:rPr>
          <w:rFonts w:hint="eastAsia" w:ascii="仿宋" w:hAnsi="仿宋" w:eastAsia="仿宋" w:cs="仿宋"/>
          <w:color w:val="auto"/>
          <w:kern w:val="0"/>
          <w:sz w:val="24"/>
          <w:szCs w:val="24"/>
          <w:highlight w:val="none"/>
          <w:u w:val="single"/>
        </w:rPr>
        <w:t>        （项目、包段名称）         </w:t>
      </w:r>
      <w:r>
        <w:rPr>
          <w:rFonts w:hint="eastAsia" w:ascii="仿宋" w:hAnsi="仿宋" w:eastAsia="仿宋" w:cs="仿宋"/>
          <w:color w:val="auto"/>
          <w:kern w:val="0"/>
          <w:sz w:val="24"/>
          <w:szCs w:val="24"/>
          <w:highlight w:val="none"/>
        </w:rPr>
        <w:t>的招标文件的要求，我公司在</w:t>
      </w:r>
      <w:r>
        <w:rPr>
          <w:rFonts w:hint="eastAsia" w:ascii="仿宋" w:hAnsi="仿宋" w:eastAsia="仿宋" w:cs="仿宋"/>
          <w:color w:val="auto"/>
          <w:kern w:val="0"/>
          <w:sz w:val="24"/>
          <w:szCs w:val="24"/>
          <w:highlight w:val="none"/>
          <w:u w:val="single"/>
        </w:rPr>
        <w:t>   （项目、包段名称）   </w:t>
      </w:r>
      <w:r>
        <w:rPr>
          <w:rFonts w:hint="eastAsia" w:ascii="仿宋" w:hAnsi="仿宋" w:eastAsia="仿宋" w:cs="仿宋"/>
          <w:color w:val="auto"/>
          <w:kern w:val="0"/>
          <w:sz w:val="24"/>
          <w:szCs w:val="24"/>
          <w:highlight w:val="none"/>
        </w:rPr>
        <w:t>投标文件中所提供资料真实性作如下承诺：</w:t>
      </w:r>
    </w:p>
    <w:p w14:paraId="72A19F9E">
      <w:pPr>
        <w:shd w:val="clear" w:color="auto" w:fill="auto"/>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14:paraId="2D6CC23F">
      <w:pPr>
        <w:shd w:val="clear" w:color="auto" w:fill="auto"/>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对提供的全部资料中有存在不真实（伪造或租借等虚假资料）情形，将无条件接受任何处罚，自行承担由此引起的一切责任！</w:t>
      </w:r>
    </w:p>
    <w:p w14:paraId="28056AF4">
      <w:pPr>
        <w:shd w:val="clear" w:color="auto" w:fill="auto"/>
        <w:spacing w:line="360" w:lineRule="auto"/>
        <w:ind w:firstLine="723" w:firstLineChars="300"/>
        <w:rPr>
          <w:rFonts w:hint="eastAsia" w:ascii="仿宋" w:hAnsi="仿宋" w:eastAsia="仿宋" w:cs="仿宋"/>
          <w:b/>
          <w:color w:val="auto"/>
          <w:kern w:val="0"/>
          <w:sz w:val="24"/>
          <w:szCs w:val="24"/>
          <w:highlight w:val="none"/>
        </w:rPr>
      </w:pPr>
    </w:p>
    <w:p w14:paraId="7DCB2D3C">
      <w:pPr>
        <w:shd w:val="clear" w:color="auto" w:fill="auto"/>
        <w:spacing w:line="360" w:lineRule="auto"/>
        <w:ind w:firstLine="723" w:firstLineChars="3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特此承诺</w:t>
      </w:r>
    </w:p>
    <w:p w14:paraId="0292CDA2">
      <w:pPr>
        <w:shd w:val="clear" w:color="auto" w:fill="auto"/>
        <w:spacing w:line="360" w:lineRule="auto"/>
        <w:ind w:firstLine="723" w:firstLineChars="300"/>
        <w:rPr>
          <w:rFonts w:hint="eastAsia" w:ascii="仿宋" w:hAnsi="仿宋" w:eastAsia="仿宋" w:cs="仿宋"/>
          <w:b/>
          <w:color w:val="auto"/>
          <w:kern w:val="0"/>
          <w:sz w:val="24"/>
          <w:szCs w:val="24"/>
          <w:highlight w:val="none"/>
        </w:rPr>
      </w:pPr>
    </w:p>
    <w:p w14:paraId="0F4A0F95">
      <w:pPr>
        <w:shd w:val="clear" w:color="auto" w:fill="auto"/>
        <w:spacing w:line="360" w:lineRule="auto"/>
        <w:jc w:val="righ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供应商（全称）：</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rPr>
        <w:t>（盖单位章）</w:t>
      </w:r>
    </w:p>
    <w:p w14:paraId="7A18EB71">
      <w:pPr>
        <w:shd w:val="clear" w:color="auto" w:fill="auto"/>
        <w:spacing w:line="360" w:lineRule="auto"/>
        <w:jc w:val="righ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法定代表人：</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rPr>
        <w:t>（签字）</w:t>
      </w:r>
    </w:p>
    <w:p w14:paraId="2A449F14">
      <w:pPr>
        <w:shd w:val="clear" w:color="auto" w:fill="auto"/>
        <w:spacing w:line="360" w:lineRule="auto"/>
        <w:jc w:val="righ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有效的联系方式：</w:t>
      </w:r>
      <w:r>
        <w:rPr>
          <w:rFonts w:hint="eastAsia" w:ascii="仿宋" w:hAnsi="仿宋" w:eastAsia="仿宋" w:cs="仿宋"/>
          <w:b/>
          <w:color w:val="auto"/>
          <w:kern w:val="0"/>
          <w:sz w:val="24"/>
          <w:szCs w:val="24"/>
          <w:highlight w:val="none"/>
          <w:u w:val="single"/>
        </w:rPr>
        <w:t xml:space="preserve">                          </w:t>
      </w:r>
      <w:r>
        <w:rPr>
          <w:rFonts w:hint="eastAsia" w:ascii="仿宋" w:hAnsi="仿宋" w:eastAsia="仿宋" w:cs="仿宋"/>
          <w:b/>
          <w:color w:val="auto"/>
          <w:kern w:val="0"/>
          <w:sz w:val="24"/>
          <w:szCs w:val="24"/>
          <w:highlight w:val="none"/>
        </w:rPr>
        <w:t>（手机号）</w:t>
      </w:r>
    </w:p>
    <w:p w14:paraId="28841B1B">
      <w:pPr>
        <w:shd w:val="clear" w:color="auto" w:fill="auto"/>
        <w:spacing w:line="360" w:lineRule="auto"/>
        <w:rPr>
          <w:rFonts w:hint="eastAsia" w:ascii="仿宋" w:hAnsi="仿宋" w:eastAsia="仿宋" w:cs="仿宋"/>
          <w:b/>
          <w:color w:val="auto"/>
          <w:kern w:val="0"/>
          <w:sz w:val="24"/>
          <w:szCs w:val="24"/>
          <w:highlight w:val="none"/>
        </w:rPr>
      </w:pPr>
    </w:p>
    <w:p w14:paraId="021870AB">
      <w:pPr>
        <w:shd w:val="clear" w:color="auto" w:fill="auto"/>
        <w:spacing w:line="360" w:lineRule="auto"/>
        <w:rPr>
          <w:rFonts w:hint="eastAsia" w:ascii="仿宋" w:hAnsi="仿宋" w:eastAsia="仿宋" w:cs="仿宋"/>
          <w:b/>
          <w:color w:val="auto"/>
          <w:kern w:val="0"/>
          <w:sz w:val="24"/>
          <w:szCs w:val="24"/>
          <w:highlight w:val="none"/>
        </w:rPr>
      </w:pPr>
    </w:p>
    <w:p w14:paraId="1E40001B">
      <w:pPr>
        <w:shd w:val="clear" w:color="auto" w:fill="auto"/>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年      月       日</w:t>
      </w:r>
    </w:p>
    <w:p w14:paraId="7CDC9662">
      <w:pPr>
        <w:shd w:val="clear" w:color="auto" w:fill="auto"/>
        <w:spacing w:line="360" w:lineRule="auto"/>
        <w:rPr>
          <w:rFonts w:hint="eastAsia" w:ascii="仿宋" w:hAnsi="仿宋" w:eastAsia="仿宋" w:cs="仿宋"/>
          <w:b/>
          <w:color w:val="auto"/>
          <w:kern w:val="0"/>
          <w:sz w:val="24"/>
          <w:szCs w:val="24"/>
          <w:highlight w:val="none"/>
        </w:rPr>
      </w:pPr>
    </w:p>
    <w:p w14:paraId="51356C13">
      <w:pPr>
        <w:pStyle w:val="27"/>
        <w:numPr>
          <w:ilvl w:val="0"/>
          <w:numId w:val="0"/>
        </w:numPr>
        <w:ind w:leftChars="-50" w:right="62" w:rightChars="0"/>
        <w:rPr>
          <w:rFonts w:hint="eastAsia" w:ascii="仿宋" w:hAnsi="仿宋" w:eastAsia="仿宋" w:cs="仿宋"/>
        </w:rPr>
      </w:pPr>
      <w:r>
        <w:rPr>
          <w:rFonts w:hint="eastAsia" w:ascii="仿宋" w:hAnsi="仿宋" w:eastAsia="仿宋" w:cs="仿宋"/>
          <w:b/>
          <w:color w:val="auto"/>
          <w:kern w:val="0"/>
          <w:sz w:val="24"/>
          <w:szCs w:val="24"/>
          <w:highlight w:val="none"/>
        </w:rPr>
        <w:t>说明：投标供应商应按上述要求将内容填写完整，未提供此承诺的其投标将被拒绝！</w:t>
      </w:r>
    </w:p>
    <w:p w14:paraId="03A5AF5F">
      <w:pPr>
        <w:rPr>
          <w:rFonts w:hint="eastAsia" w:ascii="仿宋" w:hAnsi="仿宋" w:eastAsia="仿宋" w:cs="仿宋"/>
          <w:b/>
          <w:bCs/>
          <w:sz w:val="24"/>
          <w:szCs w:val="24"/>
        </w:rPr>
      </w:pPr>
    </w:p>
    <w:p w14:paraId="34A39C00">
      <w:pPr>
        <w:ind w:left="0" w:leftChars="0" w:firstLine="0" w:firstLineChars="0"/>
        <w:rPr>
          <w:rFonts w:hint="eastAsia" w:ascii="仿宋" w:hAnsi="仿宋" w:eastAsia="仿宋" w:cs="仿宋"/>
          <w:b/>
          <w:bCs/>
          <w:sz w:val="24"/>
          <w:szCs w:val="24"/>
        </w:rPr>
      </w:pPr>
    </w:p>
    <w:p w14:paraId="7BAAAB70">
      <w:pPr>
        <w:ind w:left="0" w:leftChars="0" w:firstLine="0" w:firstLineChars="0"/>
        <w:rPr>
          <w:rFonts w:hint="eastAsia" w:ascii="仿宋" w:hAnsi="仿宋" w:eastAsia="仿宋" w:cs="仿宋"/>
          <w:b/>
          <w:bCs/>
          <w:sz w:val="24"/>
          <w:szCs w:val="24"/>
        </w:rPr>
      </w:pPr>
    </w:p>
    <w:p w14:paraId="658F60E7">
      <w:pPr>
        <w:ind w:left="0" w:leftChars="0" w:firstLine="0" w:firstLineChars="0"/>
        <w:rPr>
          <w:rFonts w:hint="eastAsia" w:ascii="仿宋" w:hAnsi="仿宋" w:eastAsia="仿宋" w:cs="仿宋"/>
          <w:b/>
          <w:bCs/>
          <w:sz w:val="24"/>
          <w:szCs w:val="24"/>
        </w:rPr>
      </w:pPr>
    </w:p>
    <w:p w14:paraId="1BFADFF0">
      <w:pPr>
        <w:ind w:left="0" w:leftChars="0" w:firstLine="0" w:firstLineChars="0"/>
        <w:rPr>
          <w:rFonts w:hint="eastAsia" w:ascii="仿宋" w:hAnsi="仿宋" w:eastAsia="仿宋" w:cs="仿宋"/>
          <w:b/>
          <w:bCs/>
          <w:sz w:val="24"/>
          <w:szCs w:val="24"/>
        </w:rPr>
      </w:pPr>
    </w:p>
    <w:p w14:paraId="765E5504">
      <w:pPr>
        <w:ind w:left="0" w:leftChars="0" w:firstLine="0" w:firstLineChars="0"/>
        <w:rPr>
          <w:rFonts w:hint="eastAsia" w:ascii="仿宋" w:hAnsi="仿宋" w:eastAsia="仿宋" w:cs="仿宋"/>
          <w:b/>
          <w:bCs/>
          <w:sz w:val="24"/>
          <w:szCs w:val="24"/>
        </w:rPr>
      </w:pPr>
    </w:p>
    <w:p w14:paraId="13456907">
      <w:pPr>
        <w:ind w:left="0" w:leftChars="0" w:firstLine="0" w:firstLineChars="0"/>
        <w:jc w:val="center"/>
        <w:rPr>
          <w:rFonts w:hint="eastAsia" w:ascii="仿宋" w:hAnsi="仿宋" w:eastAsia="仿宋" w:cs="仿宋"/>
          <w:b/>
          <w:bCs/>
          <w:sz w:val="24"/>
          <w:szCs w:val="24"/>
        </w:rPr>
      </w:pPr>
    </w:p>
    <w:p w14:paraId="4ADA9D56">
      <w:pPr>
        <w:jc w:val="center"/>
        <w:rPr>
          <w:rFonts w:hint="eastAsia" w:ascii="仿宋" w:hAnsi="仿宋" w:eastAsia="仿宋" w:cs="仿宋"/>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十八</w:t>
      </w:r>
      <w:r>
        <w:rPr>
          <w:rFonts w:hint="eastAsia" w:ascii="仿宋" w:hAnsi="仿宋" w:eastAsia="仿宋" w:cs="仿宋"/>
          <w:b/>
          <w:bCs/>
          <w:sz w:val="24"/>
          <w:szCs w:val="24"/>
          <w:lang w:eastAsia="zh-CN"/>
        </w:rPr>
        <w:t>）、</w:t>
      </w:r>
      <w:r>
        <w:rPr>
          <w:rFonts w:hint="eastAsia" w:ascii="仿宋" w:hAnsi="仿宋" w:eastAsia="仿宋" w:cs="仿宋"/>
          <w:b/>
          <w:bCs/>
          <w:sz w:val="24"/>
          <w:szCs w:val="24"/>
        </w:rPr>
        <w:t>投标人认为有必要提供的声明及文件资料</w:t>
      </w:r>
    </w:p>
    <w:p w14:paraId="06D42931">
      <w:pPr>
        <w:jc w:val="center"/>
        <w:rPr>
          <w:rFonts w:hint="eastAsia" w:ascii="仿宋" w:hAnsi="仿宋" w:eastAsia="仿宋" w:cs="仿宋"/>
          <w:lang w:val="en-US" w:eastAsia="zh-CN"/>
        </w:rPr>
      </w:pPr>
    </w:p>
    <w:p w14:paraId="41816283">
      <w:pPr>
        <w:pStyle w:val="27"/>
        <w:rPr>
          <w:rFonts w:hint="eastAsia" w:ascii="仿宋" w:hAnsi="仿宋" w:eastAsia="仿宋" w:cs="仿宋"/>
          <w:lang w:val="en-US" w:eastAsia="zh-CN"/>
        </w:rPr>
      </w:pPr>
    </w:p>
    <w:p w14:paraId="5D60146C">
      <w:pPr>
        <w:rPr>
          <w:rFonts w:hint="eastAsia" w:ascii="仿宋" w:hAnsi="仿宋" w:eastAsia="仿宋" w:cs="仿宋"/>
          <w:lang w:val="en-US" w:eastAsia="zh-CN"/>
        </w:rPr>
      </w:pPr>
    </w:p>
    <w:p w14:paraId="2472818D">
      <w:pPr>
        <w:pStyle w:val="27"/>
        <w:rPr>
          <w:rFonts w:hint="eastAsia" w:ascii="仿宋" w:hAnsi="仿宋" w:eastAsia="仿宋" w:cs="仿宋"/>
          <w:lang w:val="en-US" w:eastAsia="zh-CN"/>
        </w:rPr>
      </w:pPr>
    </w:p>
    <w:p w14:paraId="1381D8A8">
      <w:pPr>
        <w:pStyle w:val="27"/>
        <w:jc w:val="center"/>
        <w:outlineLvl w:val="1"/>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技术文件格式</w:t>
      </w:r>
    </w:p>
    <w:p w14:paraId="3F1B52F3">
      <w:pPr>
        <w:snapToGrid w:val="0"/>
        <w:spacing w:before="165" w:beforeLines="50" w:beforeAutospacing="0" w:after="50" w:afterAutospacing="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359CAC80">
      <w:pPr>
        <w:snapToGrid w:val="0"/>
        <w:spacing w:before="165" w:beforeLines="50" w:beforeAutospacing="0" w:after="50" w:afterAutospacing="0"/>
        <w:jc w:val="right"/>
        <w:rPr>
          <w:rFonts w:hint="eastAsia" w:ascii="仿宋" w:hAnsi="仿宋" w:eastAsia="仿宋" w:cs="仿宋"/>
          <w:color w:val="000000"/>
          <w:sz w:val="24"/>
          <w:szCs w:val="24"/>
        </w:rPr>
      </w:pPr>
    </w:p>
    <w:p w14:paraId="7BC3B2A6">
      <w:pPr>
        <w:snapToGrid w:val="0"/>
        <w:spacing w:before="165" w:beforeLines="50" w:beforeAutospacing="0" w:after="50" w:afterAutospacing="0"/>
        <w:jc w:val="right"/>
        <w:rPr>
          <w:rFonts w:hint="eastAsia" w:ascii="仿宋" w:hAnsi="仿宋" w:eastAsia="仿宋" w:cs="仿宋"/>
          <w:color w:val="000000"/>
          <w:sz w:val="24"/>
          <w:szCs w:val="24"/>
        </w:rPr>
      </w:pPr>
    </w:p>
    <w:p w14:paraId="22A36C4C">
      <w:pPr>
        <w:snapToGrid w:val="0"/>
        <w:spacing w:before="165" w:beforeLines="50" w:beforeAutospacing="0" w:after="50" w:afterAutospacing="0"/>
        <w:jc w:val="right"/>
        <w:rPr>
          <w:rFonts w:hint="eastAsia" w:ascii="仿宋" w:hAnsi="仿宋" w:eastAsia="仿宋" w:cs="仿宋"/>
          <w:bCs/>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bCs/>
          <w:color w:val="000000"/>
          <w:sz w:val="24"/>
          <w:szCs w:val="24"/>
        </w:rPr>
        <w:t>电子投标文件</w:t>
      </w:r>
    </w:p>
    <w:p w14:paraId="0A966C17">
      <w:pPr>
        <w:snapToGrid w:val="0"/>
        <w:spacing w:before="165" w:beforeLines="50" w:beforeAutospacing="0" w:after="50" w:afterAutospacing="0"/>
        <w:rPr>
          <w:rFonts w:hint="eastAsia" w:ascii="仿宋" w:hAnsi="仿宋" w:eastAsia="仿宋" w:cs="仿宋"/>
          <w:color w:val="000000"/>
          <w:sz w:val="24"/>
          <w:szCs w:val="24"/>
        </w:rPr>
      </w:pPr>
    </w:p>
    <w:p w14:paraId="75556FAA">
      <w:pPr>
        <w:snapToGrid w:val="0"/>
        <w:spacing w:before="165" w:beforeLines="50" w:beforeAutospacing="0" w:after="50" w:afterAutospacing="0"/>
        <w:jc w:val="center"/>
        <w:rPr>
          <w:rFonts w:hint="eastAsia" w:ascii="仿宋" w:hAnsi="仿宋" w:eastAsia="仿宋" w:cs="仿宋"/>
          <w:b/>
          <w:bCs/>
          <w:color w:val="000000"/>
          <w:sz w:val="24"/>
          <w:szCs w:val="24"/>
        </w:rPr>
      </w:pPr>
    </w:p>
    <w:p w14:paraId="3CF0BB9B">
      <w:pPr>
        <w:snapToGrid w:val="0"/>
        <w:spacing w:before="165" w:beforeLines="50" w:beforeAutospacing="0" w:after="50" w:afterAutospacing="0"/>
        <w:jc w:val="center"/>
        <w:rPr>
          <w:rFonts w:hint="eastAsia" w:ascii="仿宋" w:hAnsi="仿宋" w:eastAsia="仿宋" w:cs="仿宋"/>
          <w:b/>
          <w:bCs/>
          <w:color w:val="000000"/>
          <w:sz w:val="24"/>
          <w:szCs w:val="24"/>
        </w:rPr>
      </w:pPr>
    </w:p>
    <w:p w14:paraId="27CCD181">
      <w:pPr>
        <w:snapToGrid w:val="0"/>
        <w:spacing w:before="165" w:beforeLines="50" w:beforeAutospacing="0" w:after="50" w:afterAutospacing="0"/>
        <w:jc w:val="center"/>
        <w:rPr>
          <w:rFonts w:hint="eastAsia" w:ascii="仿宋" w:hAnsi="仿宋" w:eastAsia="仿宋" w:cs="仿宋"/>
          <w:b/>
          <w:bCs/>
          <w:color w:val="000000"/>
          <w:sz w:val="24"/>
          <w:szCs w:val="24"/>
        </w:rPr>
      </w:pPr>
    </w:p>
    <w:p w14:paraId="15469C96">
      <w:pPr>
        <w:snapToGrid w:val="0"/>
        <w:spacing w:before="165" w:beforeLines="50" w:beforeAutospacing="0" w:after="50" w:afterAutospacing="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技术文件（封面）</w:t>
      </w:r>
    </w:p>
    <w:p w14:paraId="0E0FE800">
      <w:pPr>
        <w:snapToGrid w:val="0"/>
        <w:spacing w:before="165" w:beforeLines="50" w:beforeAutospacing="0" w:after="50" w:afterAutospacing="0"/>
        <w:rPr>
          <w:rFonts w:hint="eastAsia" w:ascii="仿宋" w:hAnsi="仿宋" w:eastAsia="仿宋" w:cs="仿宋"/>
          <w:bCs/>
          <w:color w:val="000000"/>
          <w:sz w:val="24"/>
          <w:szCs w:val="24"/>
        </w:rPr>
      </w:pPr>
    </w:p>
    <w:p w14:paraId="58D6455C">
      <w:pPr>
        <w:snapToGrid w:val="0"/>
        <w:spacing w:before="165" w:beforeLines="50" w:beforeAutospacing="0" w:after="50" w:afterAutospacing="0" w:line="400" w:lineRule="exact"/>
        <w:ind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项目名称： </w:t>
      </w:r>
    </w:p>
    <w:p w14:paraId="26371514">
      <w:pPr>
        <w:snapToGrid w:val="0"/>
        <w:spacing w:before="165" w:beforeLines="50" w:beforeAutospacing="0" w:after="50" w:afterAutospacing="0" w:line="400" w:lineRule="exact"/>
        <w:ind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项目编号： </w:t>
      </w:r>
    </w:p>
    <w:p w14:paraId="565D8DD7">
      <w:pPr>
        <w:snapToGrid w:val="0"/>
        <w:spacing w:before="165" w:beforeLines="50" w:beforeAutospacing="0" w:after="50" w:afterAutospacing="0" w:line="400" w:lineRule="exact"/>
        <w:ind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投标人名称：</w:t>
      </w:r>
    </w:p>
    <w:p w14:paraId="0150CE7E">
      <w:pPr>
        <w:snapToGrid w:val="0"/>
        <w:spacing w:before="165" w:beforeLines="50" w:beforeAutospacing="0" w:after="50" w:afterAutospacing="0" w:line="400" w:lineRule="exact"/>
        <w:ind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投标人地址：</w:t>
      </w:r>
    </w:p>
    <w:p w14:paraId="77D1F715">
      <w:pPr>
        <w:snapToGrid w:val="0"/>
        <w:spacing w:before="165" w:beforeLines="50" w:beforeAutospacing="0" w:after="50" w:afterAutospacing="0"/>
        <w:ind w:firstLine="645"/>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3FFAB1E4">
      <w:pPr>
        <w:snapToGrid w:val="0"/>
        <w:spacing w:before="165" w:beforeLines="50" w:beforeAutospacing="0" w:after="50" w:afterAutospacing="0"/>
        <w:ind w:firstLine="645"/>
        <w:jc w:val="center"/>
        <w:rPr>
          <w:rFonts w:hint="eastAsia" w:ascii="仿宋" w:hAnsi="仿宋" w:eastAsia="仿宋" w:cs="仿宋"/>
          <w:color w:val="000000"/>
          <w:sz w:val="24"/>
          <w:szCs w:val="24"/>
        </w:rPr>
      </w:pPr>
    </w:p>
    <w:p w14:paraId="02383187">
      <w:pPr>
        <w:snapToGrid w:val="0"/>
        <w:spacing w:before="165" w:beforeLines="50" w:beforeAutospacing="0" w:after="50" w:afterAutospacing="0"/>
        <w:ind w:firstLine="645"/>
        <w:jc w:val="center"/>
        <w:rPr>
          <w:rFonts w:hint="eastAsia" w:ascii="仿宋" w:hAnsi="仿宋" w:eastAsia="仿宋" w:cs="仿宋"/>
          <w:color w:val="000000"/>
          <w:sz w:val="24"/>
          <w:szCs w:val="24"/>
        </w:rPr>
      </w:pPr>
    </w:p>
    <w:p w14:paraId="37E46B97">
      <w:pPr>
        <w:pStyle w:val="45"/>
        <w:rPr>
          <w:rFonts w:hint="eastAsia" w:ascii="仿宋" w:hAnsi="仿宋" w:eastAsia="仿宋" w:cs="仿宋"/>
        </w:rPr>
      </w:pPr>
    </w:p>
    <w:p w14:paraId="7DBAE633">
      <w:pPr>
        <w:snapToGrid w:val="0"/>
        <w:spacing w:before="165" w:beforeLines="50" w:beforeAutospacing="0" w:after="50" w:afterAutospacing="0"/>
        <w:ind w:firstLine="645"/>
        <w:jc w:val="center"/>
        <w:rPr>
          <w:rFonts w:hint="eastAsia" w:ascii="仿宋" w:hAnsi="仿宋" w:eastAsia="仿宋" w:cs="仿宋"/>
          <w:lang w:val="en-US" w:eastAsia="zh-CN"/>
        </w:rPr>
      </w:pPr>
      <w:r>
        <w:rPr>
          <w:rFonts w:hint="eastAsia" w:ascii="仿宋" w:hAnsi="仿宋" w:eastAsia="仿宋" w:cs="仿宋"/>
          <w:color w:val="000000"/>
          <w:sz w:val="24"/>
          <w:szCs w:val="24"/>
        </w:rPr>
        <w:t xml:space="preserve">    年    月    日</w:t>
      </w:r>
    </w:p>
    <w:p w14:paraId="0EE1463F">
      <w:pPr>
        <w:spacing w:line="48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r>
        <w:rPr>
          <w:rFonts w:hint="eastAsia" w:ascii="仿宋" w:hAnsi="仿宋" w:eastAsia="仿宋" w:cs="仿宋"/>
          <w:b/>
          <w:bCs/>
          <w:sz w:val="24"/>
          <w:szCs w:val="24"/>
          <w:lang w:val="en-US" w:eastAsia="zh-CN"/>
        </w:rPr>
        <w:t>技术文件目录</w:t>
      </w:r>
    </w:p>
    <w:p w14:paraId="6D051550">
      <w:pPr>
        <w:pStyle w:val="45"/>
        <w:numPr>
          <w:ilvl w:val="0"/>
          <w:numId w:val="18"/>
        </w:numPr>
        <w:spacing w:line="480" w:lineRule="auto"/>
        <w:ind w:left="135" w:leftChars="0" w:right="62" w:rightChars="0" w:hanging="135" w:hangingChars="5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、技术参数、功能偏离表</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lang w:val="en-US" w:eastAsia="zh-CN"/>
        </w:rPr>
        <w:t>………………</w:t>
      </w:r>
      <w:r>
        <w:rPr>
          <w:rFonts w:hint="eastAsia" w:ascii="仿宋" w:hAnsi="仿宋" w:eastAsia="仿宋" w:cs="仿宋"/>
          <w:kern w:val="2"/>
          <w:sz w:val="24"/>
          <w:szCs w:val="24"/>
          <w:lang w:val="en-US" w:eastAsia="zh-CN" w:bidi="ar-SA"/>
        </w:rPr>
        <w:t>（页码）</w:t>
      </w:r>
    </w:p>
    <w:p w14:paraId="4AA21C89">
      <w:pPr>
        <w:rPr>
          <w:rFonts w:hint="eastAsia"/>
          <w:lang w:val="en-US" w:eastAsia="zh-CN"/>
        </w:rPr>
      </w:pPr>
    </w:p>
    <w:p w14:paraId="749CFAAB">
      <w:pPr>
        <w:pStyle w:val="45"/>
        <w:numPr>
          <w:ilvl w:val="0"/>
          <w:numId w:val="18"/>
        </w:numPr>
        <w:spacing w:line="480" w:lineRule="auto"/>
        <w:ind w:left="135" w:leftChars="0" w:right="62" w:rightChars="0" w:hanging="135" w:hangingChars="5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、对本次投标项目的技术方案(投标人视需要自行编写)</w:t>
      </w:r>
      <w:bookmarkStart w:id="123" w:name="OLE_LINK13"/>
      <w:r>
        <w:rPr>
          <w:rFonts w:hint="eastAsia" w:ascii="仿宋" w:hAnsi="仿宋" w:eastAsia="仿宋" w:cs="仿宋"/>
          <w:kern w:val="2"/>
          <w:sz w:val="24"/>
          <w:szCs w:val="24"/>
          <w:lang w:val="en-US" w:eastAsia="zh-CN" w:bidi="ar-SA"/>
        </w:rPr>
        <w:t>（页码）</w:t>
      </w:r>
      <w:bookmarkEnd w:id="123"/>
    </w:p>
    <w:p w14:paraId="359C0A16">
      <w:pPr>
        <w:numPr>
          <w:ilvl w:val="0"/>
          <w:numId w:val="18"/>
        </w:num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、服务承诺书…</w:t>
      </w:r>
      <w:bookmarkStart w:id="124" w:name="OLE_LINK14"/>
      <w:r>
        <w:rPr>
          <w:rFonts w:hint="eastAsia" w:ascii="仿宋" w:hAnsi="仿宋" w:eastAsia="仿宋" w:cs="仿宋"/>
          <w:sz w:val="24"/>
          <w:szCs w:val="24"/>
          <w:lang w:val="en-US" w:eastAsia="zh-CN"/>
        </w:rPr>
        <w:t>……………………………</w:t>
      </w:r>
      <w:bookmarkEnd w:id="124"/>
      <w:r>
        <w:rPr>
          <w:rFonts w:hint="eastAsia" w:ascii="仿宋" w:hAnsi="仿宋" w:eastAsia="仿宋" w:cs="仿宋"/>
          <w:sz w:val="24"/>
          <w:szCs w:val="24"/>
          <w:lang w:val="en-US" w:eastAsia="zh-CN"/>
        </w:rPr>
        <w:t>……………………（页码）</w:t>
      </w:r>
    </w:p>
    <w:p w14:paraId="19CE79B3">
      <w:pPr>
        <w:numPr>
          <w:ilvl w:val="0"/>
          <w:numId w:val="18"/>
        </w:num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、其他有利于投标人的资料（如有）………………………（页码）</w:t>
      </w:r>
    </w:p>
    <w:p w14:paraId="28C4E4A9">
      <w:pPr>
        <w:spacing w:line="48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注：以上目录是基本格式要求，各投标人可根据自身情况进一步向下增加内容或细化。</w:t>
      </w:r>
    </w:p>
    <w:p w14:paraId="1824E758">
      <w:pPr>
        <w:pStyle w:val="45"/>
        <w:spacing w:line="480" w:lineRule="auto"/>
        <w:rPr>
          <w:rFonts w:hint="eastAsia" w:ascii="仿宋" w:hAnsi="仿宋" w:eastAsia="仿宋" w:cs="仿宋"/>
          <w:sz w:val="24"/>
          <w:szCs w:val="24"/>
          <w:lang w:val="en-US" w:eastAsia="zh-CN"/>
        </w:rPr>
      </w:pPr>
    </w:p>
    <w:p w14:paraId="15860EAD">
      <w:pPr>
        <w:rPr>
          <w:rFonts w:hint="eastAsia" w:ascii="仿宋" w:hAnsi="仿宋" w:eastAsia="仿宋" w:cs="仿宋"/>
          <w:sz w:val="24"/>
          <w:szCs w:val="24"/>
          <w:lang w:val="en-US" w:eastAsia="zh-CN"/>
        </w:rPr>
      </w:pPr>
    </w:p>
    <w:p w14:paraId="64F86C05">
      <w:pPr>
        <w:pStyle w:val="45"/>
        <w:rPr>
          <w:rFonts w:hint="eastAsia" w:ascii="仿宋" w:hAnsi="仿宋" w:eastAsia="仿宋" w:cs="仿宋"/>
          <w:sz w:val="24"/>
          <w:szCs w:val="24"/>
          <w:lang w:val="en-US" w:eastAsia="zh-CN"/>
        </w:rPr>
      </w:pPr>
    </w:p>
    <w:p w14:paraId="61C4ACDA">
      <w:pPr>
        <w:rPr>
          <w:rFonts w:hint="eastAsia" w:ascii="仿宋" w:hAnsi="仿宋" w:eastAsia="仿宋" w:cs="仿宋"/>
          <w:sz w:val="24"/>
          <w:szCs w:val="24"/>
          <w:lang w:val="en-US" w:eastAsia="zh-CN"/>
        </w:rPr>
      </w:pPr>
    </w:p>
    <w:p w14:paraId="4375D416">
      <w:pPr>
        <w:pStyle w:val="45"/>
        <w:rPr>
          <w:rFonts w:hint="eastAsia" w:ascii="仿宋" w:hAnsi="仿宋" w:eastAsia="仿宋" w:cs="仿宋"/>
          <w:sz w:val="24"/>
          <w:szCs w:val="24"/>
          <w:lang w:val="en-US" w:eastAsia="zh-CN"/>
        </w:rPr>
      </w:pPr>
    </w:p>
    <w:p w14:paraId="30C29D5B">
      <w:pPr>
        <w:rPr>
          <w:rFonts w:hint="eastAsia" w:ascii="仿宋" w:hAnsi="仿宋" w:eastAsia="仿宋" w:cs="仿宋"/>
          <w:sz w:val="24"/>
          <w:szCs w:val="24"/>
          <w:lang w:val="en-US" w:eastAsia="zh-CN"/>
        </w:rPr>
      </w:pPr>
    </w:p>
    <w:p w14:paraId="00723055">
      <w:pPr>
        <w:pStyle w:val="45"/>
        <w:rPr>
          <w:rFonts w:hint="eastAsia" w:ascii="仿宋" w:hAnsi="仿宋" w:eastAsia="仿宋" w:cs="仿宋"/>
          <w:sz w:val="24"/>
          <w:szCs w:val="24"/>
          <w:lang w:val="en-US" w:eastAsia="zh-CN"/>
        </w:rPr>
      </w:pPr>
    </w:p>
    <w:p w14:paraId="7E124E61">
      <w:pPr>
        <w:rPr>
          <w:rFonts w:hint="eastAsia" w:ascii="仿宋" w:hAnsi="仿宋" w:eastAsia="仿宋" w:cs="仿宋"/>
          <w:sz w:val="24"/>
          <w:szCs w:val="24"/>
          <w:lang w:val="en-US" w:eastAsia="zh-CN"/>
        </w:rPr>
      </w:pPr>
    </w:p>
    <w:p w14:paraId="2A4512C6">
      <w:pPr>
        <w:pStyle w:val="45"/>
        <w:rPr>
          <w:rFonts w:hint="eastAsia" w:ascii="仿宋" w:hAnsi="仿宋" w:eastAsia="仿宋" w:cs="仿宋"/>
          <w:sz w:val="24"/>
          <w:szCs w:val="24"/>
          <w:lang w:val="en-US" w:eastAsia="zh-CN"/>
        </w:rPr>
      </w:pPr>
    </w:p>
    <w:p w14:paraId="69E4173F">
      <w:pPr>
        <w:rPr>
          <w:rFonts w:hint="eastAsia" w:ascii="仿宋" w:hAnsi="仿宋" w:eastAsia="仿宋" w:cs="仿宋"/>
          <w:sz w:val="24"/>
          <w:szCs w:val="24"/>
          <w:lang w:val="en-US" w:eastAsia="zh-CN"/>
        </w:rPr>
      </w:pPr>
    </w:p>
    <w:p w14:paraId="79055234">
      <w:pPr>
        <w:pStyle w:val="45"/>
        <w:rPr>
          <w:rFonts w:hint="eastAsia" w:ascii="仿宋" w:hAnsi="仿宋" w:eastAsia="仿宋" w:cs="仿宋"/>
          <w:sz w:val="24"/>
          <w:szCs w:val="24"/>
          <w:lang w:val="en-US" w:eastAsia="zh-CN"/>
        </w:rPr>
      </w:pPr>
    </w:p>
    <w:p w14:paraId="1B63549C">
      <w:pPr>
        <w:rPr>
          <w:rFonts w:hint="eastAsia" w:ascii="仿宋" w:hAnsi="仿宋" w:eastAsia="仿宋" w:cs="仿宋"/>
          <w:sz w:val="24"/>
          <w:szCs w:val="24"/>
          <w:lang w:val="en-US" w:eastAsia="zh-CN"/>
        </w:rPr>
      </w:pPr>
    </w:p>
    <w:p w14:paraId="54AF0D76">
      <w:pPr>
        <w:pStyle w:val="45"/>
        <w:rPr>
          <w:rFonts w:hint="eastAsia" w:ascii="仿宋" w:hAnsi="仿宋" w:eastAsia="仿宋" w:cs="仿宋"/>
          <w:sz w:val="24"/>
          <w:szCs w:val="24"/>
          <w:lang w:val="en-US" w:eastAsia="zh-CN"/>
        </w:rPr>
      </w:pPr>
    </w:p>
    <w:p w14:paraId="09ADD14D">
      <w:pPr>
        <w:rPr>
          <w:rFonts w:hint="eastAsia" w:ascii="仿宋" w:hAnsi="仿宋" w:eastAsia="仿宋" w:cs="仿宋"/>
          <w:sz w:val="24"/>
          <w:szCs w:val="24"/>
          <w:lang w:val="en-US" w:eastAsia="zh-CN"/>
        </w:rPr>
      </w:pPr>
    </w:p>
    <w:p w14:paraId="68DA967C">
      <w:pPr>
        <w:pStyle w:val="45"/>
        <w:rPr>
          <w:rFonts w:hint="eastAsia" w:ascii="仿宋" w:hAnsi="仿宋" w:eastAsia="仿宋" w:cs="仿宋"/>
          <w:sz w:val="24"/>
          <w:szCs w:val="24"/>
          <w:lang w:val="en-US" w:eastAsia="zh-CN"/>
        </w:rPr>
      </w:pPr>
    </w:p>
    <w:p w14:paraId="6FF416A0">
      <w:pPr>
        <w:rPr>
          <w:rFonts w:hint="eastAsia" w:ascii="仿宋" w:hAnsi="仿宋" w:eastAsia="仿宋" w:cs="仿宋"/>
          <w:sz w:val="24"/>
          <w:szCs w:val="24"/>
          <w:lang w:val="en-US" w:eastAsia="zh-CN"/>
        </w:rPr>
      </w:pPr>
    </w:p>
    <w:p w14:paraId="53C9B177">
      <w:pPr>
        <w:pStyle w:val="45"/>
        <w:rPr>
          <w:rFonts w:hint="eastAsia" w:ascii="仿宋" w:hAnsi="仿宋" w:eastAsia="仿宋" w:cs="仿宋"/>
          <w:sz w:val="24"/>
          <w:szCs w:val="24"/>
          <w:lang w:val="en-US" w:eastAsia="zh-CN"/>
        </w:rPr>
      </w:pPr>
    </w:p>
    <w:p w14:paraId="7F1D603F">
      <w:pPr>
        <w:widowControl/>
        <w:numPr>
          <w:ilvl w:val="0"/>
          <w:numId w:val="0"/>
        </w:numPr>
        <w:shd w:val="clear" w:color="auto" w:fill="FFFFFF"/>
        <w:spacing w:line="360" w:lineRule="auto"/>
        <w:ind w:right="62" w:rightChars="0"/>
        <w:rPr>
          <w:rFonts w:hint="eastAsia" w:ascii="仿宋" w:hAnsi="仿宋" w:eastAsia="仿宋" w:cs="仿宋"/>
          <w:sz w:val="28"/>
          <w:szCs w:val="28"/>
        </w:rPr>
      </w:pPr>
      <w:r>
        <w:rPr>
          <w:rFonts w:hint="eastAsia" w:ascii="仿宋" w:hAnsi="仿宋" w:eastAsia="仿宋" w:cs="仿宋"/>
          <w:sz w:val="28"/>
          <w:szCs w:val="28"/>
          <w:lang w:eastAsia="zh-CN"/>
        </w:rPr>
        <w:br w:type="page"/>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bookmarkStart w:id="125" w:name="OLE_LINK12"/>
      <w:r>
        <w:rPr>
          <w:rFonts w:hint="eastAsia" w:ascii="仿宋" w:hAnsi="仿宋" w:eastAsia="仿宋" w:cs="仿宋"/>
          <w:sz w:val="28"/>
          <w:szCs w:val="28"/>
        </w:rPr>
        <w:t>技术参数、功能偏离表</w:t>
      </w:r>
      <w:bookmarkEnd w:id="125"/>
      <w:r>
        <w:rPr>
          <w:rFonts w:hint="eastAsia" w:ascii="仿宋" w:hAnsi="仿宋" w:eastAsia="仿宋" w:cs="仿宋"/>
          <w:sz w:val="28"/>
          <w:szCs w:val="28"/>
        </w:rPr>
        <w:t>。</w:t>
      </w:r>
    </w:p>
    <w:p w14:paraId="4331A9DE">
      <w:pPr>
        <w:spacing w:line="360" w:lineRule="auto"/>
        <w:ind w:left="555"/>
        <w:jc w:val="center"/>
        <w:rPr>
          <w:rFonts w:hint="eastAsia" w:ascii="仿宋" w:hAnsi="仿宋" w:eastAsia="仿宋" w:cs="仿宋"/>
          <w:b/>
          <w:bCs/>
          <w:sz w:val="28"/>
          <w:szCs w:val="28"/>
        </w:rPr>
      </w:pPr>
      <w:r>
        <w:rPr>
          <w:rFonts w:hint="eastAsia" w:ascii="仿宋" w:hAnsi="仿宋" w:eastAsia="仿宋" w:cs="仿宋"/>
          <w:b/>
          <w:bCs/>
          <w:sz w:val="28"/>
          <w:szCs w:val="28"/>
        </w:rPr>
        <w:t>技术参数、功能偏离表</w:t>
      </w:r>
    </w:p>
    <w:p w14:paraId="53E9A35A">
      <w:pPr>
        <w:spacing w:line="360" w:lineRule="auto"/>
        <w:ind w:left="555"/>
        <w:rPr>
          <w:rFonts w:hint="eastAsia" w:ascii="仿宋" w:hAnsi="仿宋" w:eastAsia="仿宋" w:cs="仿宋"/>
          <w:sz w:val="28"/>
          <w:szCs w:val="28"/>
        </w:rPr>
      </w:pPr>
      <w:r>
        <w:rPr>
          <w:rFonts w:hint="eastAsia" w:ascii="仿宋" w:hAnsi="仿宋" w:eastAsia="仿宋" w:cs="仿宋"/>
          <w:sz w:val="28"/>
          <w:szCs w:val="28"/>
        </w:rPr>
        <w:t>供应商名称（公章）：         　　　　　  招标编号：　　　　　　　</w:t>
      </w:r>
    </w:p>
    <w:tbl>
      <w:tblPr>
        <w:tblStyle w:val="46"/>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70"/>
        <w:gridCol w:w="1557"/>
        <w:gridCol w:w="1657"/>
        <w:gridCol w:w="1538"/>
        <w:gridCol w:w="1590"/>
      </w:tblGrid>
      <w:tr w14:paraId="1594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872" w:type="dxa"/>
            <w:noWrap w:val="0"/>
            <w:vAlign w:val="center"/>
          </w:tcPr>
          <w:p w14:paraId="4A14487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2670" w:type="dxa"/>
            <w:noWrap w:val="0"/>
            <w:vAlign w:val="center"/>
          </w:tcPr>
          <w:p w14:paraId="244C0B7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招标文件货物名称</w:t>
            </w:r>
          </w:p>
        </w:tc>
        <w:tc>
          <w:tcPr>
            <w:tcW w:w="1557" w:type="dxa"/>
            <w:noWrap w:val="0"/>
            <w:vAlign w:val="center"/>
          </w:tcPr>
          <w:p w14:paraId="563F5C8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招标规格</w:t>
            </w:r>
          </w:p>
        </w:tc>
        <w:tc>
          <w:tcPr>
            <w:tcW w:w="1657" w:type="dxa"/>
            <w:noWrap w:val="0"/>
            <w:vAlign w:val="center"/>
          </w:tcPr>
          <w:p w14:paraId="3C8F77C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投标规格</w:t>
            </w:r>
          </w:p>
        </w:tc>
        <w:tc>
          <w:tcPr>
            <w:tcW w:w="1538" w:type="dxa"/>
            <w:noWrap w:val="0"/>
            <w:vAlign w:val="center"/>
          </w:tcPr>
          <w:p w14:paraId="780D6CB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偏离情况</w:t>
            </w:r>
          </w:p>
        </w:tc>
        <w:tc>
          <w:tcPr>
            <w:tcW w:w="1590" w:type="dxa"/>
            <w:noWrap w:val="0"/>
            <w:vAlign w:val="center"/>
          </w:tcPr>
          <w:p w14:paraId="353750F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说明</w:t>
            </w:r>
          </w:p>
        </w:tc>
      </w:tr>
      <w:tr w14:paraId="51FA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72" w:type="dxa"/>
            <w:noWrap w:val="0"/>
            <w:vAlign w:val="top"/>
          </w:tcPr>
          <w:p w14:paraId="6926A202">
            <w:pPr>
              <w:spacing w:line="360" w:lineRule="auto"/>
              <w:ind w:left="555"/>
              <w:jc w:val="center"/>
              <w:rPr>
                <w:rFonts w:hint="eastAsia" w:ascii="仿宋" w:hAnsi="仿宋" w:eastAsia="仿宋" w:cs="仿宋"/>
                <w:sz w:val="28"/>
                <w:szCs w:val="28"/>
              </w:rPr>
            </w:pPr>
            <w:r>
              <w:rPr>
                <w:rFonts w:hint="eastAsia" w:ascii="仿宋" w:hAnsi="仿宋" w:eastAsia="仿宋" w:cs="仿宋"/>
                <w:sz w:val="28"/>
                <w:szCs w:val="28"/>
              </w:rPr>
              <w:t>1</w:t>
            </w:r>
          </w:p>
        </w:tc>
        <w:tc>
          <w:tcPr>
            <w:tcW w:w="2670" w:type="dxa"/>
            <w:noWrap w:val="0"/>
            <w:vAlign w:val="top"/>
          </w:tcPr>
          <w:p w14:paraId="4209111D">
            <w:pPr>
              <w:spacing w:line="360" w:lineRule="auto"/>
              <w:ind w:left="555"/>
              <w:rPr>
                <w:rFonts w:hint="eastAsia" w:ascii="仿宋" w:hAnsi="仿宋" w:eastAsia="仿宋" w:cs="仿宋"/>
                <w:sz w:val="28"/>
                <w:szCs w:val="28"/>
              </w:rPr>
            </w:pPr>
          </w:p>
        </w:tc>
        <w:tc>
          <w:tcPr>
            <w:tcW w:w="1557" w:type="dxa"/>
            <w:noWrap w:val="0"/>
            <w:vAlign w:val="top"/>
          </w:tcPr>
          <w:p w14:paraId="58796BE3">
            <w:pPr>
              <w:spacing w:line="360" w:lineRule="auto"/>
              <w:ind w:left="555"/>
              <w:rPr>
                <w:rFonts w:hint="eastAsia" w:ascii="仿宋" w:hAnsi="仿宋" w:eastAsia="仿宋" w:cs="仿宋"/>
                <w:sz w:val="28"/>
                <w:szCs w:val="28"/>
              </w:rPr>
            </w:pPr>
          </w:p>
        </w:tc>
        <w:tc>
          <w:tcPr>
            <w:tcW w:w="1657" w:type="dxa"/>
            <w:noWrap w:val="0"/>
            <w:vAlign w:val="top"/>
          </w:tcPr>
          <w:p w14:paraId="54DA1249">
            <w:pPr>
              <w:spacing w:line="360" w:lineRule="auto"/>
              <w:ind w:left="555"/>
              <w:rPr>
                <w:rFonts w:hint="eastAsia" w:ascii="仿宋" w:hAnsi="仿宋" w:eastAsia="仿宋" w:cs="仿宋"/>
                <w:sz w:val="28"/>
                <w:szCs w:val="28"/>
              </w:rPr>
            </w:pPr>
          </w:p>
        </w:tc>
        <w:tc>
          <w:tcPr>
            <w:tcW w:w="1538" w:type="dxa"/>
            <w:noWrap w:val="0"/>
            <w:vAlign w:val="top"/>
          </w:tcPr>
          <w:p w14:paraId="6AD8964A">
            <w:pPr>
              <w:spacing w:line="360" w:lineRule="auto"/>
              <w:ind w:left="555"/>
              <w:rPr>
                <w:rFonts w:hint="eastAsia" w:ascii="仿宋" w:hAnsi="仿宋" w:eastAsia="仿宋" w:cs="仿宋"/>
                <w:sz w:val="28"/>
                <w:szCs w:val="28"/>
              </w:rPr>
            </w:pPr>
          </w:p>
        </w:tc>
        <w:tc>
          <w:tcPr>
            <w:tcW w:w="1590" w:type="dxa"/>
            <w:noWrap w:val="0"/>
            <w:vAlign w:val="top"/>
          </w:tcPr>
          <w:p w14:paraId="240F2773">
            <w:pPr>
              <w:spacing w:line="360" w:lineRule="auto"/>
              <w:ind w:left="555"/>
              <w:rPr>
                <w:rFonts w:hint="eastAsia" w:ascii="仿宋" w:hAnsi="仿宋" w:eastAsia="仿宋" w:cs="仿宋"/>
                <w:sz w:val="28"/>
                <w:szCs w:val="28"/>
              </w:rPr>
            </w:pPr>
          </w:p>
        </w:tc>
      </w:tr>
      <w:tr w14:paraId="391D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72" w:type="dxa"/>
            <w:noWrap w:val="0"/>
            <w:vAlign w:val="top"/>
          </w:tcPr>
          <w:p w14:paraId="4CD92CA2">
            <w:pPr>
              <w:spacing w:line="360" w:lineRule="auto"/>
              <w:ind w:left="555"/>
              <w:jc w:val="center"/>
              <w:rPr>
                <w:rFonts w:hint="eastAsia" w:ascii="仿宋" w:hAnsi="仿宋" w:eastAsia="仿宋" w:cs="仿宋"/>
                <w:sz w:val="28"/>
                <w:szCs w:val="28"/>
              </w:rPr>
            </w:pPr>
            <w:r>
              <w:rPr>
                <w:rFonts w:hint="eastAsia" w:ascii="仿宋" w:hAnsi="仿宋" w:eastAsia="仿宋" w:cs="仿宋"/>
                <w:sz w:val="28"/>
                <w:szCs w:val="28"/>
              </w:rPr>
              <w:t>2</w:t>
            </w:r>
          </w:p>
        </w:tc>
        <w:tc>
          <w:tcPr>
            <w:tcW w:w="2670" w:type="dxa"/>
            <w:noWrap w:val="0"/>
            <w:vAlign w:val="top"/>
          </w:tcPr>
          <w:p w14:paraId="4C05926F">
            <w:pPr>
              <w:spacing w:line="360" w:lineRule="auto"/>
              <w:ind w:left="555"/>
              <w:rPr>
                <w:rFonts w:hint="eastAsia" w:ascii="仿宋" w:hAnsi="仿宋" w:eastAsia="仿宋" w:cs="仿宋"/>
                <w:sz w:val="28"/>
                <w:szCs w:val="28"/>
              </w:rPr>
            </w:pPr>
          </w:p>
        </w:tc>
        <w:tc>
          <w:tcPr>
            <w:tcW w:w="1557" w:type="dxa"/>
            <w:noWrap w:val="0"/>
            <w:vAlign w:val="top"/>
          </w:tcPr>
          <w:p w14:paraId="26E420D9">
            <w:pPr>
              <w:spacing w:line="360" w:lineRule="auto"/>
              <w:ind w:left="555"/>
              <w:rPr>
                <w:rFonts w:hint="eastAsia" w:ascii="仿宋" w:hAnsi="仿宋" w:eastAsia="仿宋" w:cs="仿宋"/>
                <w:sz w:val="28"/>
                <w:szCs w:val="28"/>
              </w:rPr>
            </w:pPr>
          </w:p>
        </w:tc>
        <w:tc>
          <w:tcPr>
            <w:tcW w:w="1657" w:type="dxa"/>
            <w:noWrap w:val="0"/>
            <w:vAlign w:val="top"/>
          </w:tcPr>
          <w:p w14:paraId="6779317B">
            <w:pPr>
              <w:spacing w:line="360" w:lineRule="auto"/>
              <w:ind w:left="555"/>
              <w:rPr>
                <w:rFonts w:hint="eastAsia" w:ascii="仿宋" w:hAnsi="仿宋" w:eastAsia="仿宋" w:cs="仿宋"/>
                <w:sz w:val="28"/>
                <w:szCs w:val="28"/>
              </w:rPr>
            </w:pPr>
          </w:p>
        </w:tc>
        <w:tc>
          <w:tcPr>
            <w:tcW w:w="1538" w:type="dxa"/>
            <w:noWrap w:val="0"/>
            <w:vAlign w:val="top"/>
          </w:tcPr>
          <w:p w14:paraId="7766FB8E">
            <w:pPr>
              <w:spacing w:line="360" w:lineRule="auto"/>
              <w:ind w:left="555"/>
              <w:rPr>
                <w:rFonts w:hint="eastAsia" w:ascii="仿宋" w:hAnsi="仿宋" w:eastAsia="仿宋" w:cs="仿宋"/>
                <w:sz w:val="28"/>
                <w:szCs w:val="28"/>
              </w:rPr>
            </w:pPr>
          </w:p>
        </w:tc>
        <w:tc>
          <w:tcPr>
            <w:tcW w:w="1590" w:type="dxa"/>
            <w:noWrap w:val="0"/>
            <w:vAlign w:val="top"/>
          </w:tcPr>
          <w:p w14:paraId="02067766">
            <w:pPr>
              <w:spacing w:line="360" w:lineRule="auto"/>
              <w:ind w:left="555"/>
              <w:rPr>
                <w:rFonts w:hint="eastAsia" w:ascii="仿宋" w:hAnsi="仿宋" w:eastAsia="仿宋" w:cs="仿宋"/>
                <w:sz w:val="28"/>
                <w:szCs w:val="28"/>
              </w:rPr>
            </w:pPr>
          </w:p>
        </w:tc>
      </w:tr>
      <w:tr w14:paraId="4AB8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872" w:type="dxa"/>
            <w:noWrap w:val="0"/>
            <w:vAlign w:val="top"/>
          </w:tcPr>
          <w:p w14:paraId="0E5C307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2670" w:type="dxa"/>
            <w:noWrap w:val="0"/>
            <w:vAlign w:val="top"/>
          </w:tcPr>
          <w:p w14:paraId="0F6502CD">
            <w:pPr>
              <w:spacing w:line="360" w:lineRule="auto"/>
              <w:ind w:left="555"/>
              <w:rPr>
                <w:rFonts w:hint="eastAsia" w:ascii="仿宋" w:hAnsi="仿宋" w:eastAsia="仿宋" w:cs="仿宋"/>
                <w:sz w:val="28"/>
                <w:szCs w:val="28"/>
              </w:rPr>
            </w:pPr>
          </w:p>
        </w:tc>
        <w:tc>
          <w:tcPr>
            <w:tcW w:w="1557" w:type="dxa"/>
            <w:noWrap w:val="0"/>
            <w:vAlign w:val="top"/>
          </w:tcPr>
          <w:p w14:paraId="467507DF">
            <w:pPr>
              <w:spacing w:line="360" w:lineRule="auto"/>
              <w:ind w:left="555"/>
              <w:rPr>
                <w:rFonts w:hint="eastAsia" w:ascii="仿宋" w:hAnsi="仿宋" w:eastAsia="仿宋" w:cs="仿宋"/>
                <w:sz w:val="28"/>
                <w:szCs w:val="28"/>
              </w:rPr>
            </w:pPr>
          </w:p>
        </w:tc>
        <w:tc>
          <w:tcPr>
            <w:tcW w:w="1657" w:type="dxa"/>
            <w:noWrap w:val="0"/>
            <w:vAlign w:val="top"/>
          </w:tcPr>
          <w:p w14:paraId="0C23F1C6">
            <w:pPr>
              <w:spacing w:line="360" w:lineRule="auto"/>
              <w:ind w:left="555"/>
              <w:rPr>
                <w:rFonts w:hint="eastAsia" w:ascii="仿宋" w:hAnsi="仿宋" w:eastAsia="仿宋" w:cs="仿宋"/>
                <w:sz w:val="28"/>
                <w:szCs w:val="28"/>
              </w:rPr>
            </w:pPr>
          </w:p>
        </w:tc>
        <w:tc>
          <w:tcPr>
            <w:tcW w:w="1538" w:type="dxa"/>
            <w:noWrap w:val="0"/>
            <w:vAlign w:val="top"/>
          </w:tcPr>
          <w:p w14:paraId="3C9FC7B9">
            <w:pPr>
              <w:spacing w:line="360" w:lineRule="auto"/>
              <w:ind w:left="555"/>
              <w:rPr>
                <w:rFonts w:hint="eastAsia" w:ascii="仿宋" w:hAnsi="仿宋" w:eastAsia="仿宋" w:cs="仿宋"/>
                <w:sz w:val="28"/>
                <w:szCs w:val="28"/>
              </w:rPr>
            </w:pPr>
          </w:p>
        </w:tc>
        <w:tc>
          <w:tcPr>
            <w:tcW w:w="1590" w:type="dxa"/>
            <w:noWrap w:val="0"/>
            <w:vAlign w:val="top"/>
          </w:tcPr>
          <w:p w14:paraId="4739B8D9">
            <w:pPr>
              <w:spacing w:line="360" w:lineRule="auto"/>
              <w:ind w:left="555"/>
              <w:rPr>
                <w:rFonts w:hint="eastAsia" w:ascii="仿宋" w:hAnsi="仿宋" w:eastAsia="仿宋" w:cs="仿宋"/>
                <w:sz w:val="28"/>
                <w:szCs w:val="28"/>
              </w:rPr>
            </w:pPr>
          </w:p>
        </w:tc>
      </w:tr>
    </w:tbl>
    <w:p w14:paraId="23D3EA22">
      <w:pPr>
        <w:spacing w:line="360" w:lineRule="auto"/>
        <w:ind w:left="555"/>
        <w:rPr>
          <w:rFonts w:hint="eastAsia" w:ascii="仿宋" w:hAnsi="仿宋" w:eastAsia="仿宋" w:cs="仿宋"/>
          <w:b/>
          <w:sz w:val="28"/>
          <w:szCs w:val="28"/>
        </w:rPr>
      </w:pPr>
      <w:r>
        <w:rPr>
          <w:rFonts w:hint="eastAsia" w:ascii="仿宋" w:hAnsi="仿宋" w:eastAsia="仿宋" w:cs="仿宋"/>
          <w:b/>
          <w:sz w:val="28"/>
          <w:szCs w:val="28"/>
        </w:rPr>
        <w:t>注：与招标文件第五部分货物需求、技术参数要求逐条对应填写，技术参数要求中</w:t>
      </w:r>
      <w:r>
        <w:rPr>
          <w:rFonts w:hint="eastAsia" w:ascii="仿宋" w:hAnsi="仿宋" w:eastAsia="仿宋" w:cs="仿宋"/>
          <w:b/>
          <w:sz w:val="28"/>
          <w:szCs w:val="28"/>
          <w:lang w:val="en-US" w:eastAsia="zh-CN"/>
        </w:rPr>
        <w:t>的</w:t>
      </w:r>
      <w:r>
        <w:rPr>
          <w:rFonts w:hint="eastAsia" w:ascii="仿宋" w:hAnsi="仿宋" w:eastAsia="仿宋" w:cs="仿宋"/>
          <w:b/>
          <w:sz w:val="28"/>
          <w:szCs w:val="28"/>
        </w:rPr>
        <w:t>条款不得出现负偏离，如不满足此类条款的规定，视为未能对招标文件作出实质性满足的投标，做否决投标处理。</w:t>
      </w:r>
    </w:p>
    <w:p w14:paraId="619F8B6D">
      <w:pPr>
        <w:spacing w:line="360" w:lineRule="auto"/>
        <w:ind w:left="555"/>
        <w:rPr>
          <w:rFonts w:hint="eastAsia" w:ascii="仿宋" w:hAnsi="仿宋" w:eastAsia="仿宋" w:cs="仿宋"/>
          <w:sz w:val="28"/>
          <w:szCs w:val="28"/>
        </w:rPr>
      </w:pPr>
      <w:r>
        <w:rPr>
          <w:rFonts w:hint="eastAsia" w:ascii="仿宋" w:hAnsi="仿宋" w:eastAsia="仿宋" w:cs="仿宋"/>
          <w:sz w:val="28"/>
          <w:szCs w:val="28"/>
        </w:rPr>
        <w:t>法定代表人或授权代表人（签字或盖章）：</w:t>
      </w:r>
    </w:p>
    <w:p w14:paraId="293A988A">
      <w:pPr>
        <w:widowControl/>
        <w:adjustRightInd w:val="0"/>
        <w:snapToGrid w:val="0"/>
        <w:spacing w:line="360" w:lineRule="auto"/>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sz w:val="28"/>
          <w:szCs w:val="28"/>
          <w:lang w:eastAsia="zh-CN"/>
        </w:rPr>
        <w:br w:type="page"/>
      </w:r>
      <w:r>
        <w:rPr>
          <w:rFonts w:hint="eastAsia" w:ascii="仿宋" w:hAnsi="仿宋" w:eastAsia="仿宋" w:cs="仿宋"/>
          <w:b/>
          <w:bCs/>
          <w:sz w:val="24"/>
          <w:szCs w:val="24"/>
          <w:lang w:val="en-US" w:eastAsia="zh-CN"/>
        </w:rPr>
        <w:t>（二）、</w:t>
      </w:r>
      <w:r>
        <w:rPr>
          <w:rFonts w:hint="eastAsia" w:ascii="仿宋" w:hAnsi="仿宋" w:eastAsia="仿宋" w:cs="仿宋"/>
          <w:b/>
          <w:bCs/>
          <w:color w:val="auto"/>
          <w:kern w:val="2"/>
          <w:sz w:val="24"/>
          <w:szCs w:val="24"/>
          <w:highlight w:val="none"/>
          <w:lang w:val="en-US" w:eastAsia="zh-CN" w:bidi="ar-SA"/>
        </w:rPr>
        <w:t>技术方案</w:t>
      </w:r>
    </w:p>
    <w:p w14:paraId="2FC148F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技术方案</w:t>
      </w:r>
    </w:p>
    <w:p w14:paraId="0AB048DB">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（根据需要编写，格式自制）</w:t>
      </w:r>
    </w:p>
    <w:p w14:paraId="6910C43B">
      <w:pPr>
        <w:spacing w:line="440" w:lineRule="exact"/>
        <w:ind w:firstLine="480" w:firstLineChars="200"/>
        <w:rPr>
          <w:rFonts w:hint="eastAsia" w:ascii="仿宋" w:hAnsi="仿宋" w:eastAsia="仿宋" w:cs="仿宋"/>
          <w:color w:val="auto"/>
          <w:sz w:val="24"/>
          <w:szCs w:val="24"/>
          <w:highlight w:val="none"/>
        </w:rPr>
      </w:pPr>
    </w:p>
    <w:p w14:paraId="5CB9AB00">
      <w:pPr>
        <w:spacing w:line="440" w:lineRule="exact"/>
        <w:rPr>
          <w:rFonts w:hint="eastAsia" w:ascii="仿宋" w:hAnsi="仿宋" w:eastAsia="仿宋" w:cs="仿宋"/>
          <w:color w:val="auto"/>
          <w:sz w:val="24"/>
          <w:szCs w:val="24"/>
          <w:highlight w:val="none"/>
        </w:rPr>
      </w:pPr>
      <w:bookmarkStart w:id="126" w:name="_Toc6353"/>
      <w:r>
        <w:rPr>
          <w:rFonts w:hint="eastAsia" w:ascii="仿宋" w:hAnsi="仿宋" w:eastAsia="仿宋" w:cs="仿宋"/>
          <w:color w:val="auto"/>
          <w:sz w:val="24"/>
          <w:szCs w:val="24"/>
          <w:highlight w:val="none"/>
        </w:rPr>
        <w:t>1、</w:t>
      </w:r>
      <w:r>
        <w:rPr>
          <w:rFonts w:hint="eastAsia" w:ascii="仿宋" w:hAnsi="仿宋" w:eastAsia="仿宋" w:cs="仿宋"/>
          <w:b/>
          <w:bCs/>
          <w:color w:val="auto"/>
          <w:sz w:val="24"/>
          <w:szCs w:val="24"/>
          <w:highlight w:val="none"/>
        </w:rPr>
        <w:t xml:space="preserve"> 项目</w:t>
      </w:r>
      <w:r>
        <w:rPr>
          <w:rFonts w:hint="eastAsia" w:ascii="仿宋" w:hAnsi="仿宋" w:eastAsia="仿宋" w:cs="仿宋"/>
          <w:b/>
          <w:bCs/>
          <w:color w:val="auto"/>
          <w:sz w:val="24"/>
          <w:szCs w:val="24"/>
          <w:highlight w:val="none"/>
          <w:lang w:val="en-US" w:eastAsia="zh-CN"/>
        </w:rPr>
        <w:t>技术</w:t>
      </w:r>
      <w:r>
        <w:rPr>
          <w:rFonts w:hint="eastAsia" w:ascii="仿宋" w:hAnsi="仿宋" w:eastAsia="仿宋" w:cs="仿宋"/>
          <w:b/>
          <w:bCs/>
          <w:color w:val="auto"/>
          <w:sz w:val="24"/>
          <w:szCs w:val="24"/>
          <w:highlight w:val="none"/>
        </w:rPr>
        <w:t>方案；</w:t>
      </w:r>
      <w:bookmarkEnd w:id="126"/>
      <w:r>
        <w:rPr>
          <w:rFonts w:hint="eastAsia" w:ascii="仿宋" w:hAnsi="仿宋" w:eastAsia="仿宋" w:cs="仿宋"/>
          <w:b/>
          <w:bCs/>
          <w:color w:val="auto"/>
          <w:sz w:val="24"/>
          <w:szCs w:val="24"/>
          <w:highlight w:val="none"/>
        </w:rPr>
        <w:t>（格式自拟）</w:t>
      </w:r>
    </w:p>
    <w:p w14:paraId="77C4D67F">
      <w:pPr>
        <w:spacing w:line="440" w:lineRule="exact"/>
        <w:ind w:firstLine="480" w:firstLineChars="200"/>
        <w:outlineLvl w:val="2"/>
        <w:rPr>
          <w:rFonts w:hint="eastAsia" w:ascii="仿宋" w:hAnsi="仿宋" w:eastAsia="仿宋" w:cs="仿宋"/>
          <w:color w:val="auto"/>
          <w:sz w:val="24"/>
          <w:szCs w:val="24"/>
          <w:highlight w:val="none"/>
        </w:rPr>
      </w:pPr>
    </w:p>
    <w:p w14:paraId="0B54FEEB">
      <w:pPr>
        <w:spacing w:line="440" w:lineRule="exact"/>
        <w:ind w:firstLine="480" w:firstLineChars="200"/>
        <w:rPr>
          <w:rFonts w:hint="eastAsia" w:ascii="仿宋" w:hAnsi="仿宋" w:eastAsia="仿宋" w:cs="仿宋"/>
          <w:color w:val="auto"/>
          <w:sz w:val="24"/>
          <w:szCs w:val="24"/>
          <w:highlight w:val="none"/>
        </w:rPr>
      </w:pPr>
    </w:p>
    <w:p w14:paraId="4ABF57AF">
      <w:pPr>
        <w:spacing w:line="440" w:lineRule="exact"/>
        <w:ind w:firstLine="480" w:firstLineChars="200"/>
        <w:rPr>
          <w:rFonts w:hint="eastAsia" w:ascii="仿宋" w:hAnsi="仿宋" w:eastAsia="仿宋" w:cs="仿宋"/>
          <w:color w:val="auto"/>
          <w:sz w:val="24"/>
          <w:szCs w:val="24"/>
          <w:highlight w:val="none"/>
        </w:rPr>
      </w:pPr>
    </w:p>
    <w:p w14:paraId="06BEC458">
      <w:pPr>
        <w:pStyle w:val="45"/>
        <w:numPr>
          <w:ilvl w:val="0"/>
          <w:numId w:val="0"/>
        </w:numPr>
        <w:ind w:right="62" w:rightChars="0"/>
        <w:rPr>
          <w:rFonts w:hint="eastAsia" w:ascii="仿宋" w:hAnsi="仿宋" w:eastAsia="仿宋" w:cs="仿宋"/>
          <w:b/>
          <w:bCs/>
          <w:sz w:val="24"/>
          <w:szCs w:val="24"/>
          <w:lang w:val="en-US" w:eastAsia="zh-CN"/>
        </w:rPr>
      </w:pPr>
    </w:p>
    <w:p w14:paraId="0E6E608E">
      <w:pPr>
        <w:pStyle w:val="45"/>
        <w:numPr>
          <w:ilvl w:val="0"/>
          <w:numId w:val="0"/>
        </w:numPr>
        <w:ind w:leftChars="-50" w:right="62" w:righ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（三）、服务承诺书</w:t>
      </w:r>
    </w:p>
    <w:p w14:paraId="5A4E3CC1">
      <w:pPr>
        <w:widowControl w:val="0"/>
        <w:numPr>
          <w:ilvl w:val="0"/>
          <w:numId w:val="0"/>
        </w:numPr>
        <w:spacing w:line="360" w:lineRule="auto"/>
        <w:ind w:right="62" w:rightChars="0"/>
        <w:jc w:val="center"/>
        <w:rPr>
          <w:rFonts w:hint="eastAsia" w:ascii="仿宋" w:hAnsi="仿宋" w:eastAsia="仿宋" w:cs="仿宋"/>
          <w:b w:val="0"/>
          <w:bCs w:val="0"/>
          <w:sz w:val="24"/>
          <w:szCs w:val="24"/>
          <w:lang w:val="en-US" w:eastAsia="zh-CN"/>
        </w:rPr>
      </w:pPr>
    </w:p>
    <w:p w14:paraId="5C10BF36">
      <w:pPr>
        <w:widowControl w:val="0"/>
        <w:numPr>
          <w:ilvl w:val="0"/>
          <w:numId w:val="0"/>
        </w:numPr>
        <w:spacing w:line="360" w:lineRule="auto"/>
        <w:ind w:right="62" w:rightChars="0"/>
        <w:jc w:val="center"/>
        <w:rPr>
          <w:rFonts w:hint="eastAsia" w:ascii="仿宋" w:hAnsi="仿宋" w:eastAsia="仿宋" w:cs="仿宋"/>
          <w:b w:val="0"/>
          <w:bCs w:val="0"/>
          <w:sz w:val="24"/>
          <w:szCs w:val="24"/>
          <w:lang w:val="en-US" w:eastAsia="zh-CN"/>
        </w:rPr>
      </w:pPr>
    </w:p>
    <w:p w14:paraId="1809B4A8">
      <w:pPr>
        <w:widowControl w:val="0"/>
        <w:numPr>
          <w:ilvl w:val="0"/>
          <w:numId w:val="0"/>
        </w:numPr>
        <w:spacing w:line="360" w:lineRule="auto"/>
        <w:ind w:right="62" w:right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服务承诺书</w:t>
      </w:r>
    </w:p>
    <w:p w14:paraId="7C5A814F">
      <w:pPr>
        <w:widowControl w:val="0"/>
        <w:numPr>
          <w:ilvl w:val="0"/>
          <w:numId w:val="0"/>
        </w:numPr>
        <w:spacing w:line="360" w:lineRule="auto"/>
        <w:ind w:right="62" w:rightChars="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根据本项目的情况，给出服务承诺；格式自拟。</w:t>
      </w:r>
    </w:p>
    <w:p w14:paraId="161572B6">
      <w:pPr>
        <w:widowControl w:val="0"/>
        <w:numPr>
          <w:ilvl w:val="0"/>
          <w:numId w:val="0"/>
        </w:numPr>
        <w:spacing w:line="360" w:lineRule="auto"/>
        <w:ind w:right="62" w:rightChars="0"/>
        <w:jc w:val="center"/>
        <w:rPr>
          <w:rFonts w:hint="eastAsia" w:ascii="仿宋" w:hAnsi="仿宋" w:eastAsia="仿宋" w:cs="仿宋"/>
          <w:b w:val="0"/>
          <w:bCs w:val="0"/>
          <w:sz w:val="24"/>
          <w:szCs w:val="24"/>
          <w:lang w:val="en-US" w:eastAsia="zh-CN"/>
        </w:rPr>
      </w:pPr>
    </w:p>
    <w:p w14:paraId="79999DF1">
      <w:pPr>
        <w:widowControl w:val="0"/>
        <w:numPr>
          <w:ilvl w:val="0"/>
          <w:numId w:val="0"/>
        </w:numPr>
        <w:spacing w:line="360" w:lineRule="auto"/>
        <w:ind w:right="62" w:rightChars="0"/>
        <w:jc w:val="center"/>
        <w:rPr>
          <w:rFonts w:hint="eastAsia" w:ascii="仿宋" w:hAnsi="仿宋" w:eastAsia="仿宋" w:cs="仿宋"/>
          <w:b w:val="0"/>
          <w:bCs w:val="0"/>
          <w:sz w:val="24"/>
          <w:szCs w:val="24"/>
          <w:lang w:val="en-US" w:eastAsia="zh-CN"/>
        </w:rPr>
      </w:pPr>
    </w:p>
    <w:p w14:paraId="61906D42">
      <w:pPr>
        <w:widowControl w:val="0"/>
        <w:numPr>
          <w:ilvl w:val="0"/>
          <w:numId w:val="0"/>
        </w:numPr>
        <w:spacing w:line="360" w:lineRule="auto"/>
        <w:ind w:right="62" w:righ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（四）、其他有利于投标人的资料（如有）</w:t>
      </w:r>
    </w:p>
    <w:p w14:paraId="7D0938C9">
      <w:pPr>
        <w:widowControl w:val="0"/>
        <w:numPr>
          <w:ilvl w:val="0"/>
          <w:numId w:val="0"/>
        </w:numPr>
        <w:spacing w:line="360" w:lineRule="auto"/>
        <w:ind w:right="62" w:rightChars="0"/>
        <w:jc w:val="both"/>
        <w:rPr>
          <w:rFonts w:hint="eastAsia" w:ascii="仿宋" w:hAnsi="仿宋" w:eastAsia="仿宋" w:cs="仿宋"/>
          <w:b/>
          <w:bCs/>
          <w:sz w:val="24"/>
          <w:szCs w:val="24"/>
          <w:lang w:val="en-US" w:eastAsia="zh-CN"/>
        </w:rPr>
      </w:pPr>
    </w:p>
    <w:p w14:paraId="033777EF">
      <w:pPr>
        <w:widowControl w:val="0"/>
        <w:numPr>
          <w:ilvl w:val="0"/>
          <w:numId w:val="0"/>
        </w:numPr>
        <w:spacing w:line="360" w:lineRule="auto"/>
        <w:ind w:right="62" w:rightChars="0"/>
        <w:jc w:val="both"/>
        <w:rPr>
          <w:rFonts w:hint="eastAsia" w:ascii="仿宋" w:hAnsi="仿宋" w:eastAsia="仿宋" w:cs="仿宋"/>
          <w:b/>
          <w:bCs/>
          <w:sz w:val="24"/>
          <w:szCs w:val="24"/>
          <w:lang w:val="en-US" w:eastAsia="zh-CN"/>
        </w:rPr>
      </w:pPr>
    </w:p>
    <w:p w14:paraId="62CEA99C">
      <w:pPr>
        <w:widowControl w:val="0"/>
        <w:numPr>
          <w:ilvl w:val="0"/>
          <w:numId w:val="0"/>
        </w:numPr>
        <w:spacing w:line="360" w:lineRule="auto"/>
        <w:ind w:right="62" w:rightChars="0"/>
        <w:jc w:val="both"/>
        <w:rPr>
          <w:rFonts w:hint="eastAsia" w:ascii="仿宋" w:hAnsi="仿宋" w:eastAsia="仿宋" w:cs="仿宋"/>
          <w:b/>
          <w:bCs/>
          <w:sz w:val="24"/>
          <w:szCs w:val="24"/>
          <w:lang w:val="en-US" w:eastAsia="zh-CN"/>
        </w:rPr>
      </w:pPr>
    </w:p>
    <w:p w14:paraId="48C5589A">
      <w:pPr>
        <w:widowControl w:val="0"/>
        <w:numPr>
          <w:ilvl w:val="0"/>
          <w:numId w:val="0"/>
        </w:numPr>
        <w:spacing w:line="360" w:lineRule="auto"/>
        <w:ind w:right="62" w:rightChars="0"/>
        <w:jc w:val="both"/>
        <w:rPr>
          <w:rFonts w:hint="eastAsia" w:ascii="仿宋" w:hAnsi="仿宋" w:eastAsia="仿宋" w:cs="仿宋"/>
          <w:b/>
          <w:bCs/>
          <w:sz w:val="24"/>
          <w:szCs w:val="24"/>
          <w:lang w:val="en-US" w:eastAsia="zh-CN"/>
        </w:rPr>
      </w:pPr>
    </w:p>
    <w:p w14:paraId="35217544">
      <w:pPr>
        <w:spacing w:line="400" w:lineRule="exact"/>
        <w:ind w:left="0" w:lef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中小企业划分标准</w:t>
      </w:r>
    </w:p>
    <w:p w14:paraId="6E4DEE92">
      <w:pPr>
        <w:shd w:val="clear" w:color="auto" w:fill="auto"/>
        <w:ind w:left="0" w:leftChars="0" w:firstLine="480" w:firstLineChars="200"/>
        <w:rPr>
          <w:rFonts w:hint="eastAsia" w:ascii="仿宋" w:hAnsi="仿宋" w:eastAsia="仿宋" w:cs="仿宋"/>
          <w:color w:val="auto"/>
          <w:sz w:val="24"/>
          <w:szCs w:val="24"/>
          <w:highlight w:val="none"/>
        </w:rPr>
      </w:pPr>
      <w:bookmarkStart w:id="127" w:name="bookmark4"/>
      <w:bookmarkStart w:id="128" w:name="bookmark5"/>
      <w:r>
        <w:rPr>
          <w:rFonts w:hint="eastAsia" w:ascii="仿宋" w:hAnsi="仿宋" w:eastAsia="仿宋" w:cs="仿宋"/>
          <w:color w:val="auto"/>
          <w:sz w:val="24"/>
          <w:szCs w:val="24"/>
          <w:highlight w:val="none"/>
        </w:rPr>
        <w:t>工业和信息化部、国家统计局、发展改革委、财政部等四部门《关于印发中小企业划型标准规定的通知》（工信部联企业〔2011〕300号）规定中小企业划型标准如表所示：</w:t>
      </w:r>
      <w:bookmarkEnd w:id="127"/>
      <w:bookmarkEnd w:id="128"/>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29"/>
        <w:gridCol w:w="1049"/>
        <w:gridCol w:w="6990"/>
      </w:tblGrid>
      <w:tr w14:paraId="6BCB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23AED747">
            <w:pPr>
              <w:pStyle w:val="156"/>
              <w:shd w:val="clear" w:color="auto" w:fill="auto"/>
              <w:spacing w:line="240" w:lineRule="auto"/>
              <w:ind w:firstLine="2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农、林、牧、渔业</w:t>
            </w:r>
          </w:p>
        </w:tc>
        <w:tc>
          <w:tcPr>
            <w:tcW w:w="8039" w:type="dxa"/>
            <w:gridSpan w:val="2"/>
            <w:shd w:val="clear" w:color="auto" w:fill="FFFFFF"/>
            <w:noWrap w:val="0"/>
            <w:vAlign w:val="center"/>
          </w:tcPr>
          <w:p w14:paraId="798E277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营业收入20000万元以下的为中小微型企业。</w:t>
            </w:r>
          </w:p>
        </w:tc>
      </w:tr>
      <w:tr w14:paraId="3085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15F3B302">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2F4D1A01">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2898E5D2">
            <w:pPr>
              <w:pStyle w:val="156"/>
              <w:shd w:val="clear" w:color="auto" w:fill="auto"/>
              <w:tabs>
                <w:tab w:val="left" w:pos="1930"/>
              </w:tabs>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20 000万元</w:t>
            </w:r>
          </w:p>
        </w:tc>
      </w:tr>
      <w:tr w14:paraId="6590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194A812B">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5C578BAC">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321E2FF0">
            <w:pPr>
              <w:pStyle w:val="156"/>
              <w:shd w:val="clear" w:color="auto" w:fill="auto"/>
              <w:tabs>
                <w:tab w:val="left" w:pos="1752"/>
              </w:tabs>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500万元</w:t>
            </w:r>
          </w:p>
        </w:tc>
      </w:tr>
      <w:tr w14:paraId="604E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66F02303">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51A0211C">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749E5D86">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50万元以下</w:t>
            </w:r>
          </w:p>
        </w:tc>
      </w:tr>
      <w:tr w14:paraId="1A86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0584D75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w:t>
            </w:r>
          </w:p>
          <w:p w14:paraId="23851A38">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（包括采矿业，制造业，电力、热力、燃气及水生产和供应</w:t>
            </w:r>
          </w:p>
          <w:p w14:paraId="5BC3CEAB">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w:t>
            </w:r>
          </w:p>
        </w:tc>
        <w:tc>
          <w:tcPr>
            <w:tcW w:w="8039" w:type="dxa"/>
            <w:gridSpan w:val="2"/>
            <w:shd w:val="clear" w:color="auto" w:fill="FFFFFF"/>
            <w:noWrap w:val="0"/>
            <w:vAlign w:val="center"/>
          </w:tcPr>
          <w:p w14:paraId="2CCC411D">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40000万元以下的为中小微型企业。</w:t>
            </w:r>
          </w:p>
        </w:tc>
      </w:tr>
      <w:tr w14:paraId="1F5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321FDC25">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6961230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65FB986A">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2 000万元一40 000万元</w:t>
            </w:r>
          </w:p>
        </w:tc>
      </w:tr>
      <w:tr w14:paraId="0CF4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5498069D">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2A1A669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37EFC16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300万元一2 000万元</w:t>
            </w:r>
          </w:p>
        </w:tc>
      </w:tr>
      <w:tr w14:paraId="2411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4117F780">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1CDCA72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6B8386A7">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300万元以下</w:t>
            </w:r>
          </w:p>
        </w:tc>
      </w:tr>
      <w:tr w14:paraId="0013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65DB778F">
            <w:pPr>
              <w:pStyle w:val="156"/>
              <w:shd w:val="clear" w:color="auto" w:fill="auto"/>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建筑业</w:t>
            </w:r>
          </w:p>
        </w:tc>
        <w:tc>
          <w:tcPr>
            <w:tcW w:w="8039" w:type="dxa"/>
            <w:gridSpan w:val="2"/>
            <w:shd w:val="clear" w:color="auto" w:fill="FFFFFF"/>
            <w:noWrap w:val="0"/>
            <w:vAlign w:val="center"/>
          </w:tcPr>
          <w:p w14:paraId="21B3C5B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营业收入80000万元以下或资产总额 80000万元以下的为中小微型企业。</w:t>
            </w:r>
          </w:p>
        </w:tc>
      </w:tr>
      <w:tr w14:paraId="45A6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0C753647">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1D63813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08315CF0">
            <w:pPr>
              <w:pStyle w:val="156"/>
              <w:shd w:val="clear" w:color="auto" w:fill="auto"/>
              <w:spacing w:line="240" w:lineRule="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营业收入6000万元一80000万元，且资产总额 5 000万元一80 000 万元</w:t>
            </w:r>
          </w:p>
        </w:tc>
      </w:tr>
      <w:tr w14:paraId="26D1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1B2517F5">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63115285">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258C6CE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 300万元一6 000万元，且资产总额 300万一5 000万元</w:t>
            </w:r>
          </w:p>
        </w:tc>
      </w:tr>
      <w:tr w14:paraId="23F5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0F65F07F">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1841C166">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04386D2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营业收入300万元以下或资产总额 300万元以下</w:t>
            </w:r>
          </w:p>
        </w:tc>
      </w:tr>
      <w:tr w14:paraId="349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759D349A">
            <w:pPr>
              <w:pStyle w:val="156"/>
              <w:shd w:val="clear" w:color="auto" w:fill="auto"/>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批发业</w:t>
            </w:r>
          </w:p>
        </w:tc>
        <w:tc>
          <w:tcPr>
            <w:tcW w:w="8039" w:type="dxa"/>
            <w:gridSpan w:val="2"/>
            <w:shd w:val="clear" w:color="auto" w:fill="FFFFFF"/>
            <w:noWrap w:val="0"/>
            <w:vAlign w:val="center"/>
          </w:tcPr>
          <w:p w14:paraId="734868C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40 000万元以下的为中小微型企业。</w:t>
            </w:r>
          </w:p>
        </w:tc>
      </w:tr>
      <w:tr w14:paraId="6241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0F929BCF">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7197D332">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3D9657DD">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从业人员20人一200人，且营业收入 5 000万元一40 000万元</w:t>
            </w:r>
          </w:p>
        </w:tc>
      </w:tr>
      <w:tr w14:paraId="3534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586E2D87">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5C2E99D5">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46B8C6BA">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从业人员5人一20人，且营业收入 1 000万元一5 000万元</w:t>
            </w:r>
          </w:p>
        </w:tc>
      </w:tr>
      <w:tr w14:paraId="72C2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638461C5">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5F5DB25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5E585779">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从业人员5人以下或营业收入 1 000万元以下</w:t>
            </w:r>
          </w:p>
        </w:tc>
      </w:tr>
      <w:tr w14:paraId="79CB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2CCBCED7">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零售业</w:t>
            </w:r>
          </w:p>
        </w:tc>
        <w:tc>
          <w:tcPr>
            <w:tcW w:w="8039" w:type="dxa"/>
            <w:gridSpan w:val="2"/>
            <w:shd w:val="clear" w:color="auto" w:fill="FFFFFF"/>
            <w:noWrap w:val="0"/>
            <w:vAlign w:val="center"/>
          </w:tcPr>
          <w:p w14:paraId="1AED54EA">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20 000万元以下的为中小微型企业。</w:t>
            </w:r>
          </w:p>
        </w:tc>
      </w:tr>
      <w:tr w14:paraId="138E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1B8E67E0">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2C73DC6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403E76D9">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50人一300人，且营业收入 500万元一20 000万元</w:t>
            </w:r>
          </w:p>
        </w:tc>
      </w:tr>
      <w:tr w14:paraId="510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41FDAC9F">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137FEE11">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2E6D8864">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从业人员10人一50人，且营业收入 100万元一500万元</w:t>
            </w:r>
          </w:p>
        </w:tc>
      </w:tr>
      <w:tr w14:paraId="45E4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37D67719">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0E146C6C">
            <w:pPr>
              <w:pStyle w:val="156"/>
              <w:shd w:val="clear" w:color="auto" w:fill="auto"/>
              <w:spacing w:before="80"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47139871">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054C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4762D976">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交通运输业 （不含铁路运输业）</w:t>
            </w:r>
          </w:p>
        </w:tc>
        <w:tc>
          <w:tcPr>
            <w:tcW w:w="8039" w:type="dxa"/>
            <w:gridSpan w:val="2"/>
            <w:shd w:val="clear" w:color="auto" w:fill="FFFFFF"/>
            <w:noWrap w:val="0"/>
            <w:vAlign w:val="center"/>
          </w:tcPr>
          <w:p w14:paraId="26058DE9">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14:paraId="05DF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412A4708">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2B2B62A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0ADDA6DD">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3 000万元一30 000万元</w:t>
            </w:r>
          </w:p>
        </w:tc>
      </w:tr>
      <w:tr w14:paraId="10A3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0E84CEBF">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1B52655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7BBE09A6">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200万元一3 000万元</w:t>
            </w:r>
          </w:p>
        </w:tc>
      </w:tr>
      <w:tr w14:paraId="1A1E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18701676">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763A933A">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71E98158">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200万元以下</w:t>
            </w:r>
          </w:p>
        </w:tc>
      </w:tr>
      <w:tr w14:paraId="5034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438140F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仓储业</w:t>
            </w:r>
          </w:p>
        </w:tc>
        <w:tc>
          <w:tcPr>
            <w:tcW w:w="8039" w:type="dxa"/>
            <w:gridSpan w:val="2"/>
            <w:shd w:val="clear" w:color="auto" w:fill="FFFFFF"/>
            <w:noWrap w:val="0"/>
            <w:vAlign w:val="center"/>
          </w:tcPr>
          <w:p w14:paraId="105741F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从业人员200人以下或营业收入 30 000万元以下的为中小微型企业。</w:t>
            </w:r>
          </w:p>
        </w:tc>
      </w:tr>
      <w:tr w14:paraId="6075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3B7B0218">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7E55C9A8">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53C558C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从业人员100人一200人，且营业收入 1 000万元一30 000万元</w:t>
            </w:r>
          </w:p>
        </w:tc>
      </w:tr>
      <w:tr w14:paraId="59AA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35CF2F99">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4B921CD2">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42151D0A">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从业人员20人一100人，且营业收入 100万元一1 000万元</w:t>
            </w:r>
          </w:p>
        </w:tc>
      </w:tr>
      <w:tr w14:paraId="477C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54D5A843">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7783E84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70F03393">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r w14:paraId="40AD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restart"/>
            <w:shd w:val="clear" w:color="auto" w:fill="FFFFFF"/>
            <w:noWrap w:val="0"/>
            <w:vAlign w:val="center"/>
          </w:tcPr>
          <w:p w14:paraId="5925BCFE">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邮政业</w:t>
            </w:r>
          </w:p>
        </w:tc>
        <w:tc>
          <w:tcPr>
            <w:tcW w:w="8039" w:type="dxa"/>
            <w:gridSpan w:val="2"/>
            <w:shd w:val="clear" w:color="auto" w:fill="FFFFFF"/>
            <w:noWrap w:val="0"/>
            <w:vAlign w:val="center"/>
          </w:tcPr>
          <w:p w14:paraId="6B609FE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30 000万元以下的为中小微型企业。</w:t>
            </w:r>
          </w:p>
        </w:tc>
      </w:tr>
      <w:tr w14:paraId="68E4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0CABB91D">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4FB3148F">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6990" w:type="dxa"/>
            <w:shd w:val="clear" w:color="auto" w:fill="FFFFFF"/>
            <w:noWrap w:val="0"/>
            <w:vAlign w:val="center"/>
          </w:tcPr>
          <w:p w14:paraId="47E4E505">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2 000万元一30 000万元</w:t>
            </w:r>
          </w:p>
        </w:tc>
      </w:tr>
      <w:tr w14:paraId="4924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3530C823">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2C4CF0E0">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6990" w:type="dxa"/>
            <w:shd w:val="clear" w:color="auto" w:fill="FFFFFF"/>
            <w:noWrap w:val="0"/>
            <w:vAlign w:val="center"/>
          </w:tcPr>
          <w:p w14:paraId="4B27E1DA">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从业人员20人一300人，且营业收入 100万元一2 000万元</w:t>
            </w:r>
          </w:p>
        </w:tc>
      </w:tr>
      <w:tr w14:paraId="63C3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729" w:type="dxa"/>
            <w:vMerge w:val="continue"/>
            <w:shd w:val="clear" w:color="auto" w:fill="FFFFFF"/>
            <w:noWrap w:val="0"/>
            <w:vAlign w:val="center"/>
          </w:tcPr>
          <w:p w14:paraId="694B426E">
            <w:pPr>
              <w:shd w:val="clear" w:color="auto" w:fill="auto"/>
              <w:spacing w:line="240" w:lineRule="auto"/>
              <w:jc w:val="center"/>
              <w:rPr>
                <w:rFonts w:hint="eastAsia" w:ascii="仿宋" w:hAnsi="仿宋" w:eastAsia="仿宋" w:cs="仿宋"/>
                <w:color w:val="auto"/>
                <w:sz w:val="24"/>
                <w:szCs w:val="24"/>
                <w:highlight w:val="none"/>
              </w:rPr>
            </w:pPr>
          </w:p>
        </w:tc>
        <w:tc>
          <w:tcPr>
            <w:tcW w:w="1049" w:type="dxa"/>
            <w:shd w:val="clear" w:color="auto" w:fill="FFFFFF"/>
            <w:noWrap w:val="0"/>
            <w:vAlign w:val="center"/>
          </w:tcPr>
          <w:p w14:paraId="24ABCD04">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6990" w:type="dxa"/>
            <w:shd w:val="clear" w:color="auto" w:fill="FFFFFF"/>
            <w:noWrap w:val="0"/>
            <w:vAlign w:val="center"/>
          </w:tcPr>
          <w:p w14:paraId="67F08982">
            <w:pPr>
              <w:pStyle w:val="156"/>
              <w:shd w:val="clear" w:color="auto" w:fill="auto"/>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从业人员20人以下或营业收入 100万元以下</w:t>
            </w:r>
          </w:p>
        </w:tc>
      </w:tr>
    </w:tbl>
    <w:p w14:paraId="1546AD7D">
      <w:pPr>
        <w:shd w:val="clear" w:color="auto" w:fill="auto"/>
        <w:spacing w:line="1" w:lineRule="exact"/>
        <w:jc w:val="center"/>
        <w:rPr>
          <w:rFonts w:hint="eastAsia" w:ascii="仿宋" w:hAnsi="仿宋" w:eastAsia="仿宋" w:cs="仿宋"/>
          <w:color w:val="auto"/>
          <w:sz w:val="24"/>
          <w:szCs w:val="24"/>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93"/>
        <w:gridCol w:w="769"/>
        <w:gridCol w:w="7308"/>
      </w:tblGrid>
      <w:tr w14:paraId="58E9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498B14B8">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住宿业</w:t>
            </w:r>
          </w:p>
        </w:tc>
        <w:tc>
          <w:tcPr>
            <w:tcW w:w="8077" w:type="dxa"/>
            <w:gridSpan w:val="2"/>
            <w:shd w:val="clear" w:color="auto" w:fill="FFFFFF"/>
            <w:noWrap w:val="0"/>
            <w:vAlign w:val="center"/>
          </w:tcPr>
          <w:p w14:paraId="2979FA97">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14:paraId="2850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77C2E64">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4A128D4D">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64F6C030">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2 000万元一10 000万元</w:t>
            </w:r>
          </w:p>
        </w:tc>
      </w:tr>
      <w:tr w14:paraId="21DC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86CC9E6">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09434E82">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187F22A3">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14:paraId="1B67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72EE232">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4BAA2689">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5CC7AD67">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2A24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63AB165D">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餐饮业</w:t>
            </w:r>
          </w:p>
        </w:tc>
        <w:tc>
          <w:tcPr>
            <w:tcW w:w="8077" w:type="dxa"/>
            <w:gridSpan w:val="2"/>
            <w:shd w:val="clear" w:color="auto" w:fill="FFFFFF"/>
            <w:noWrap w:val="0"/>
            <w:vAlign w:val="center"/>
          </w:tcPr>
          <w:p w14:paraId="36877D7D">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10 000万元以下的为中小微型企业。</w:t>
            </w:r>
          </w:p>
        </w:tc>
      </w:tr>
      <w:tr w14:paraId="7140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C6CF3B4">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682884EC">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65CBBEB3">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2 000万元一10 000万元</w:t>
            </w:r>
          </w:p>
        </w:tc>
      </w:tr>
      <w:tr w14:paraId="239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E1B5A77">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55A9DCF5">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6D047AA0">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100万元一2 000万元</w:t>
            </w:r>
          </w:p>
        </w:tc>
      </w:tr>
      <w:tr w14:paraId="666B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B87D40F">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5C827A6B">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6CEF18D7">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1276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65361733">
            <w:pPr>
              <w:pStyle w:val="156"/>
              <w:shd w:val="clear" w:color="auto" w:fill="auto"/>
              <w:spacing w:line="492"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信息传输业 （包括电信、互联网 和相关服务）</w:t>
            </w:r>
          </w:p>
        </w:tc>
        <w:tc>
          <w:tcPr>
            <w:tcW w:w="8077" w:type="dxa"/>
            <w:gridSpan w:val="2"/>
            <w:shd w:val="clear" w:color="auto" w:fill="FFFFFF"/>
            <w:noWrap w:val="0"/>
            <w:vAlign w:val="center"/>
          </w:tcPr>
          <w:p w14:paraId="064E08C7">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从业人员2 000人以下或营业收入 100 000万元以下的为中小微型企业。</w:t>
            </w:r>
          </w:p>
        </w:tc>
      </w:tr>
      <w:tr w14:paraId="1D28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FBED29E">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57F66FD6">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5BA7AE5C">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从业人员100人一2 000人，且营业收入 1 000万元一10 000万元</w:t>
            </w:r>
          </w:p>
        </w:tc>
      </w:tr>
      <w:tr w14:paraId="4A6A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1A33520E">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30253E0E">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6A76021B">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100万元一1 000万元</w:t>
            </w:r>
          </w:p>
        </w:tc>
      </w:tr>
      <w:tr w14:paraId="7E43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52EDC27">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1234F7E7">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5373738E">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100万元以下</w:t>
            </w:r>
          </w:p>
        </w:tc>
      </w:tr>
      <w:tr w14:paraId="0643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161AA12B">
            <w:pPr>
              <w:pStyle w:val="156"/>
              <w:shd w:val="clear" w:color="auto" w:fill="auto"/>
              <w:spacing w:line="509"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8077" w:type="dxa"/>
            <w:gridSpan w:val="2"/>
            <w:shd w:val="clear" w:color="auto" w:fill="FFFFFF"/>
            <w:noWrap w:val="0"/>
            <w:vAlign w:val="center"/>
          </w:tcPr>
          <w:p w14:paraId="5F364B4F">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从业人员300人以下或营业收入 10000万元以下的为中小微型企业。</w:t>
            </w:r>
          </w:p>
        </w:tc>
      </w:tr>
      <w:tr w14:paraId="3E56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6CCAB8E">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664BBCD0">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0D73AC3B">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300人，且营业收入 1 000万元一10 000万元</w:t>
            </w:r>
          </w:p>
        </w:tc>
      </w:tr>
      <w:tr w14:paraId="23D9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F13A967">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57ABB1F7">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78AF6673">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从业人员10人一100人，且营业收入 50万元一1 000万元</w:t>
            </w:r>
          </w:p>
        </w:tc>
      </w:tr>
      <w:tr w14:paraId="022B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52C081C0">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31F218A8">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1C6B1AD2">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从业人员10人以下或营业收入 50万元以下</w:t>
            </w:r>
          </w:p>
        </w:tc>
      </w:tr>
      <w:tr w14:paraId="13F3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7CE32C4A">
            <w:pPr>
              <w:pStyle w:val="156"/>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房地产开发经营</w:t>
            </w:r>
          </w:p>
        </w:tc>
        <w:tc>
          <w:tcPr>
            <w:tcW w:w="8077" w:type="dxa"/>
            <w:gridSpan w:val="2"/>
            <w:shd w:val="clear" w:color="auto" w:fill="FFFFFF"/>
            <w:noWrap w:val="0"/>
            <w:vAlign w:val="center"/>
          </w:tcPr>
          <w:p w14:paraId="2D8C6565">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营业收入200 000万元以下或资产总额 10 000万元以下的为中小微型企业。</w:t>
            </w:r>
          </w:p>
        </w:tc>
      </w:tr>
      <w:tr w14:paraId="0239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0DD1A44">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72E3DA1E">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1490B02C">
            <w:pPr>
              <w:pStyle w:val="156"/>
              <w:shd w:val="clear" w:color="auto" w:fill="auto"/>
              <w:spacing w:after="120"/>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营业收入1 000万元一200 000万元，且资产总额 5 000万元一10000万元</w:t>
            </w:r>
          </w:p>
        </w:tc>
      </w:tr>
      <w:tr w14:paraId="53DD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4A55C6ED">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6E77DBD4">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0969FCA1">
            <w:pPr>
              <w:pStyle w:val="156"/>
              <w:shd w:val="clear" w:color="auto" w:fill="auto"/>
              <w:spacing w:line="240" w:lineRule="auto"/>
              <w:ind w:left="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营业收入100万元一1 000万元，且资产总额 2 000万元一5 000 万元</w:t>
            </w:r>
          </w:p>
        </w:tc>
      </w:tr>
      <w:tr w14:paraId="0A45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70B78137">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3C284F3A">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65CF96D9">
            <w:pPr>
              <w:pStyle w:val="156"/>
              <w:shd w:val="clear" w:color="auto" w:fill="auto"/>
              <w:tabs>
                <w:tab w:val="left" w:pos="5256"/>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营业收入100万元以下或资产总额2 000万元以下的为微型企业</w:t>
            </w:r>
          </w:p>
        </w:tc>
      </w:tr>
      <w:tr w14:paraId="574C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18420AA0">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物业管理</w:t>
            </w:r>
          </w:p>
        </w:tc>
        <w:tc>
          <w:tcPr>
            <w:tcW w:w="8077" w:type="dxa"/>
            <w:gridSpan w:val="2"/>
            <w:shd w:val="clear" w:color="auto" w:fill="FFFFFF"/>
            <w:noWrap w:val="0"/>
            <w:vAlign w:val="center"/>
          </w:tcPr>
          <w:p w14:paraId="4B5BA210">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从业人员1 000人以下或营业收入 5 000万元以下的为中小微型企业。</w:t>
            </w:r>
          </w:p>
        </w:tc>
      </w:tr>
      <w:tr w14:paraId="199F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1521BB0A">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7D975392">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3BBD3653">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 300人一1 000人，且营业收入 1000万元一5 000万元</w:t>
            </w:r>
          </w:p>
        </w:tc>
      </w:tr>
      <w:tr w14:paraId="673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179229DF">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746D7F50">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1671121B">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从业人员100人一300人，且营业收入 500万元一1 000万元</w:t>
            </w:r>
          </w:p>
        </w:tc>
      </w:tr>
      <w:tr w14:paraId="3111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11410AC4">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5986C12F">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4FC1BF9D">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从业人员100人以下或营业收入 500万元以下</w:t>
            </w:r>
          </w:p>
        </w:tc>
      </w:tr>
      <w:tr w14:paraId="60D5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5D940F51">
            <w:pPr>
              <w:pStyle w:val="156"/>
              <w:shd w:val="clear" w:color="auto" w:fill="auto"/>
              <w:ind w:firstLine="2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租赁和商务服务业</w:t>
            </w:r>
          </w:p>
        </w:tc>
        <w:tc>
          <w:tcPr>
            <w:tcW w:w="8077" w:type="dxa"/>
            <w:gridSpan w:val="2"/>
            <w:shd w:val="clear" w:color="auto" w:fill="FFFFFF"/>
            <w:noWrap w:val="0"/>
            <w:vAlign w:val="center"/>
          </w:tcPr>
          <w:p w14:paraId="07DD80B5">
            <w:pPr>
              <w:pStyle w:val="156"/>
              <w:shd w:val="clear" w:color="auto" w:fill="auto"/>
              <w:tabs>
                <w:tab w:val="left" w:pos="10666"/>
              </w:tabs>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仿宋" w:hAnsi="仿宋" w:eastAsia="仿宋" w:cs="仿宋"/>
                <w:color w:val="auto"/>
                <w:sz w:val="24"/>
                <w:szCs w:val="24"/>
                <w:highlight w:val="none"/>
                <w:lang w:val="en-US"/>
              </w:rPr>
              <w:t>10</w:t>
            </w:r>
            <w:r>
              <w:rPr>
                <w:rFonts w:hint="eastAsia" w:ascii="仿宋" w:hAnsi="仿宋" w:eastAsia="仿宋" w:cs="仿宋"/>
                <w:color w:val="auto"/>
                <w:sz w:val="24"/>
                <w:szCs w:val="24"/>
                <w:highlight w:val="none"/>
              </w:rPr>
              <w:t>人以下或资产总额 100万元以下的为微型企业。</w:t>
            </w:r>
          </w:p>
        </w:tc>
      </w:tr>
      <w:tr w14:paraId="11DF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B7A47C6">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61FD62F5">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5DA4CCE4">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从业人员100人一300人，且资产总额 8 000万元一120 000万元</w:t>
            </w:r>
          </w:p>
        </w:tc>
      </w:tr>
      <w:tr w14:paraId="69E5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19AC867">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5F07369F">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1612287A">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从业人员10人一100人，且资产总额 100万元一8 000万元</w:t>
            </w:r>
          </w:p>
        </w:tc>
      </w:tr>
      <w:tr w14:paraId="1585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69EFB666">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4467F319">
            <w:pPr>
              <w:pStyle w:val="156"/>
              <w:shd w:val="clear" w:color="auto" w:fill="auto"/>
              <w:spacing w:before="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4762F24C">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从业人员10人以下或资产总额 100万元以下</w:t>
            </w:r>
          </w:p>
        </w:tc>
      </w:tr>
      <w:tr w14:paraId="35AA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restart"/>
            <w:shd w:val="clear" w:color="auto" w:fill="FFFFFF"/>
            <w:noWrap w:val="0"/>
            <w:vAlign w:val="center"/>
          </w:tcPr>
          <w:p w14:paraId="5938A6EB">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其他未列明行业</w:t>
            </w:r>
          </w:p>
        </w:tc>
        <w:tc>
          <w:tcPr>
            <w:tcW w:w="8077" w:type="dxa"/>
            <w:gridSpan w:val="2"/>
            <w:shd w:val="clear" w:color="auto" w:fill="FFFFFF"/>
            <w:noWrap w:val="0"/>
            <w:vAlign w:val="center"/>
          </w:tcPr>
          <w:p w14:paraId="2D13D914">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从业人员300人以下的为中小微型企业。</w:t>
            </w:r>
          </w:p>
        </w:tc>
      </w:tr>
      <w:tr w14:paraId="66F5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4AD25B3">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7E79E504">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中型</w:t>
            </w:r>
          </w:p>
        </w:tc>
        <w:tc>
          <w:tcPr>
            <w:tcW w:w="7308" w:type="dxa"/>
            <w:shd w:val="clear" w:color="auto" w:fill="FFFFFF"/>
            <w:noWrap w:val="0"/>
            <w:vAlign w:val="center"/>
          </w:tcPr>
          <w:p w14:paraId="3A408363">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 300人</w:t>
            </w:r>
          </w:p>
        </w:tc>
      </w:tr>
      <w:tr w14:paraId="5D31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3085C52F">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0E9FB8DD">
            <w:pPr>
              <w:pStyle w:val="156"/>
              <w:shd w:val="clear" w:color="auto" w:fill="auto"/>
              <w:spacing w:before="8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w:t>
            </w:r>
          </w:p>
        </w:tc>
        <w:tc>
          <w:tcPr>
            <w:tcW w:w="7308" w:type="dxa"/>
            <w:shd w:val="clear" w:color="auto" w:fill="FFFFFF"/>
            <w:noWrap w:val="0"/>
            <w:vAlign w:val="center"/>
          </w:tcPr>
          <w:p w14:paraId="1E2A2889">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从业人员10人一100人</w:t>
            </w:r>
          </w:p>
        </w:tc>
      </w:tr>
      <w:tr w14:paraId="6155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693" w:type="dxa"/>
            <w:vMerge w:val="continue"/>
            <w:shd w:val="clear" w:color="auto" w:fill="FFFFFF"/>
            <w:noWrap w:val="0"/>
            <w:vAlign w:val="center"/>
          </w:tcPr>
          <w:p w14:paraId="0DDE8DE0">
            <w:pPr>
              <w:shd w:val="clear" w:color="auto" w:fill="auto"/>
              <w:jc w:val="center"/>
              <w:rPr>
                <w:rFonts w:hint="eastAsia" w:ascii="仿宋" w:hAnsi="仿宋" w:eastAsia="仿宋" w:cs="仿宋"/>
                <w:color w:val="auto"/>
                <w:sz w:val="24"/>
                <w:szCs w:val="24"/>
                <w:highlight w:val="none"/>
              </w:rPr>
            </w:pPr>
          </w:p>
        </w:tc>
        <w:tc>
          <w:tcPr>
            <w:tcW w:w="769" w:type="dxa"/>
            <w:shd w:val="clear" w:color="auto" w:fill="FFFFFF"/>
            <w:noWrap w:val="0"/>
            <w:vAlign w:val="center"/>
          </w:tcPr>
          <w:p w14:paraId="27EB993A">
            <w:pPr>
              <w:pStyle w:val="156"/>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微型</w:t>
            </w:r>
          </w:p>
        </w:tc>
        <w:tc>
          <w:tcPr>
            <w:tcW w:w="7308" w:type="dxa"/>
            <w:shd w:val="clear" w:color="auto" w:fill="FFFFFF"/>
            <w:noWrap w:val="0"/>
            <w:vAlign w:val="center"/>
          </w:tcPr>
          <w:p w14:paraId="3BBF6DDB">
            <w:pPr>
              <w:pStyle w:val="156"/>
              <w:shd w:val="clear" w:color="auto" w:fill="auto"/>
              <w:ind w:firstLine="1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从业人员10人以下</w:t>
            </w:r>
          </w:p>
        </w:tc>
      </w:tr>
    </w:tbl>
    <w:p w14:paraId="459823F4">
      <w:pPr>
        <w:widowControl w:val="0"/>
        <w:numPr>
          <w:ilvl w:val="0"/>
          <w:numId w:val="0"/>
        </w:numPr>
        <w:spacing w:line="360" w:lineRule="auto"/>
        <w:ind w:right="62" w:rightChars="0"/>
        <w:jc w:val="both"/>
        <w:rPr>
          <w:rFonts w:hint="eastAsia" w:ascii="仿宋" w:hAnsi="仿宋" w:eastAsia="仿宋" w:cs="仿宋"/>
          <w:b/>
          <w:bCs/>
          <w:sz w:val="24"/>
          <w:szCs w:val="24"/>
          <w:lang w:val="en-US" w:eastAsia="zh-CN"/>
        </w:rPr>
      </w:pPr>
    </w:p>
    <w:p w14:paraId="568740D5">
      <w:pPr>
        <w:pStyle w:val="92"/>
        <w:rPr>
          <w:rFonts w:hint="eastAsia" w:ascii="仿宋" w:hAnsi="仿宋" w:eastAsia="仿宋" w:cs="仿宋"/>
          <w:color w:val="000000"/>
          <w:highlight w:val="none"/>
          <w:lang w:val="en-US" w:eastAsia="zh-CN"/>
        </w:rPr>
      </w:pPr>
    </w:p>
    <w:p w14:paraId="3303F6A3">
      <w:pPr>
        <w:spacing w:line="380" w:lineRule="exact"/>
        <w:rPr>
          <w:rFonts w:hint="eastAsia" w:ascii="仿宋" w:hAnsi="仿宋" w:eastAsia="仿宋" w:cs="仿宋"/>
          <w:color w:val="auto"/>
          <w:sz w:val="28"/>
          <w:szCs w:val="28"/>
          <w:highlight w:val="none"/>
        </w:rPr>
      </w:pPr>
    </w:p>
    <w:sectPr>
      <w:headerReference r:id="rId7" w:type="default"/>
      <w:footerReference r:id="rId8"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8B90">
    <w:pPr>
      <w:spacing w:line="184" w:lineRule="auto"/>
      <w:ind w:left="0" w:leftChars="0" w:firstLine="0" w:firstLineChars="0"/>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6C0DC">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046C0DC">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651B">
    <w:pPr>
      <w:pStyle w:val="3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ED7112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yaiNgBAACzAwAADgAAAAAAAAAB&#10;ACAAAAAiAQAAZHJzL2Uyb0RvYy54bWxQSwUGAAAAAAYABgBZAQAAbAUAAAAA&#10;">
              <v:fill on="f" focussize="0,0"/>
              <v:stroke on="f" weight="1.25pt"/>
              <v:imagedata o:title=""/>
              <o:lock v:ext="edit" aspectratio="f"/>
              <v:textbox inset="0mm,0mm,0mm,0mm" style="mso-fit-shape-to-text:t;">
                <w:txbxContent>
                  <w:p w14:paraId="0ED7112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14:paraId="148EC45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CA2F">
    <w:pPr>
      <w:pStyle w:val="31"/>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F2587E">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14:paraId="45F2587E">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F844">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B472">
    <w:pPr>
      <w:tabs>
        <w:tab w:val="left" w:pos="2863"/>
      </w:tabs>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620D">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EEF62"/>
    <w:multiLevelType w:val="singleLevel"/>
    <w:tmpl w:val="91DEEF62"/>
    <w:lvl w:ilvl="0" w:tentative="0">
      <w:start w:val="1"/>
      <w:numFmt w:val="chineseCounting"/>
      <w:suff w:val="nothing"/>
      <w:lvlText w:val="（%1）"/>
      <w:lvlJc w:val="left"/>
      <w:rPr>
        <w:rFonts w:hint="eastAsia"/>
      </w:rPr>
    </w:lvl>
  </w:abstractNum>
  <w:abstractNum w:abstractNumId="1">
    <w:nsid w:val="AE751629"/>
    <w:multiLevelType w:val="singleLevel"/>
    <w:tmpl w:val="AE751629"/>
    <w:lvl w:ilvl="0" w:tentative="0">
      <w:start w:val="1"/>
      <w:numFmt w:val="decimal"/>
      <w:lvlText w:val="%1."/>
      <w:lvlJc w:val="left"/>
      <w:pPr>
        <w:tabs>
          <w:tab w:val="left" w:pos="312"/>
        </w:tabs>
      </w:pPr>
    </w:lvl>
  </w:abstractNum>
  <w:abstractNum w:abstractNumId="2">
    <w:nsid w:val="C8DA13A4"/>
    <w:multiLevelType w:val="singleLevel"/>
    <w:tmpl w:val="C8DA13A4"/>
    <w:lvl w:ilvl="0" w:tentative="0">
      <w:start w:val="1"/>
      <w:numFmt w:val="chineseCounting"/>
      <w:suff w:val="nothing"/>
      <w:lvlText w:val="（%1）"/>
      <w:lvlJc w:val="left"/>
      <w:rPr>
        <w:rFonts w:hint="eastAsia"/>
      </w:rPr>
    </w:lvl>
  </w:abstractNum>
  <w:abstractNum w:abstractNumId="3">
    <w:nsid w:val="CE48D951"/>
    <w:multiLevelType w:val="singleLevel"/>
    <w:tmpl w:val="CE48D951"/>
    <w:lvl w:ilvl="0" w:tentative="0">
      <w:start w:val="1"/>
      <w:numFmt w:val="decimal"/>
      <w:pStyle w:val="82"/>
      <w:suff w:val="nothing"/>
      <w:lvlText w:val="%1、"/>
      <w:lvlJc w:val="left"/>
    </w:lvl>
  </w:abstractNum>
  <w:abstractNum w:abstractNumId="4">
    <w:nsid w:val="D7B87AE9"/>
    <w:multiLevelType w:val="singleLevel"/>
    <w:tmpl w:val="D7B87AE9"/>
    <w:lvl w:ilvl="0" w:tentative="0">
      <w:start w:val="1"/>
      <w:numFmt w:val="chineseCounting"/>
      <w:suff w:val="nothing"/>
      <w:lvlText w:val="%1、"/>
      <w:lvlJc w:val="left"/>
      <w:rPr>
        <w:rFonts w:hint="eastAsia"/>
      </w:rPr>
    </w:lvl>
  </w:abstractNum>
  <w:abstractNum w:abstractNumId="5">
    <w:nsid w:val="FFFA5E5F"/>
    <w:multiLevelType w:val="singleLevel"/>
    <w:tmpl w:val="FFFA5E5F"/>
    <w:lvl w:ilvl="0" w:tentative="0">
      <w:start w:val="1"/>
      <w:numFmt w:val="decimal"/>
      <w:suff w:val="nothing"/>
      <w:lvlText w:val="%1、"/>
      <w:lvlJc w:val="left"/>
    </w:lvl>
  </w:abstractNum>
  <w:abstractNum w:abstractNumId="6">
    <w:nsid w:val="0000000C"/>
    <w:multiLevelType w:val="multilevel"/>
    <w:tmpl w:val="0000000C"/>
    <w:lvl w:ilvl="0" w:tentative="0">
      <w:start w:val="2"/>
      <w:numFmt w:val="decimal"/>
      <w:pStyle w:val="59"/>
      <w:suff w:val="nothing"/>
      <w:lvlText w:val="%1、"/>
      <w:lvlJc w:val="left"/>
    </w:lvl>
    <w:lvl w:ilvl="1" w:tentative="0">
      <w:start w:val="1"/>
      <w:numFmt w:val="decimal"/>
      <w:pStyle w:val="81"/>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pStyle w:val="6"/>
      <w:lvlText w:val="%5."/>
      <w:lvlJc w:val="left"/>
      <w:pPr>
        <w:tabs>
          <w:tab w:val="left" w:pos="2100"/>
        </w:tabs>
        <w:ind w:left="2100" w:hanging="420"/>
      </w:pPr>
      <w:rPr>
        <w:rFonts w:hint="default"/>
      </w:rPr>
    </w:lvl>
    <w:lvl w:ilvl="5" w:tentative="0">
      <w:start w:val="1"/>
      <w:numFmt w:val="lowerLetter"/>
      <w:pStyle w:val="7"/>
      <w:lvlText w:val="%6)"/>
      <w:lvlJc w:val="left"/>
      <w:pPr>
        <w:tabs>
          <w:tab w:val="left" w:pos="2520"/>
        </w:tabs>
        <w:ind w:left="2520" w:hanging="420"/>
      </w:pPr>
      <w:rPr>
        <w:rFonts w:hint="default"/>
      </w:rPr>
    </w:lvl>
    <w:lvl w:ilvl="6" w:tentative="0">
      <w:start w:val="1"/>
      <w:numFmt w:val="lowerRoman"/>
      <w:pStyle w:val="8"/>
      <w:lvlText w:val="%7."/>
      <w:lvlJc w:val="left"/>
      <w:pPr>
        <w:tabs>
          <w:tab w:val="left" w:pos="2940"/>
        </w:tabs>
        <w:ind w:left="2940" w:hanging="420"/>
      </w:pPr>
      <w:rPr>
        <w:rFonts w:hint="default"/>
      </w:rPr>
    </w:lvl>
    <w:lvl w:ilvl="7" w:tentative="0">
      <w:start w:val="1"/>
      <w:numFmt w:val="lowerRoman"/>
      <w:pStyle w:val="9"/>
      <w:lvlText w:val="%8)"/>
      <w:lvlJc w:val="left"/>
      <w:pPr>
        <w:tabs>
          <w:tab w:val="left" w:pos="3360"/>
        </w:tabs>
        <w:ind w:left="3360" w:hanging="420"/>
      </w:pPr>
      <w:rPr>
        <w:rFonts w:hint="default"/>
      </w:rPr>
    </w:lvl>
    <w:lvl w:ilvl="8" w:tentative="0">
      <w:start w:val="1"/>
      <w:numFmt w:val="lowerLetter"/>
      <w:pStyle w:val="10"/>
      <w:lvlText w:val="%9."/>
      <w:lvlJc w:val="left"/>
      <w:pPr>
        <w:tabs>
          <w:tab w:val="left" w:pos="3780"/>
        </w:tabs>
        <w:ind w:left="3780" w:hanging="420"/>
      </w:pPr>
      <w:rPr>
        <w:rFonts w:hint="default"/>
      </w:rPr>
    </w:lvl>
  </w:abstractNum>
  <w:abstractNum w:abstractNumId="7">
    <w:nsid w:val="0680E908"/>
    <w:multiLevelType w:val="singleLevel"/>
    <w:tmpl w:val="0680E908"/>
    <w:lvl w:ilvl="0" w:tentative="0">
      <w:start w:val="1"/>
      <w:numFmt w:val="decimal"/>
      <w:lvlText w:val="%1."/>
      <w:lvlJc w:val="left"/>
      <w:pPr>
        <w:tabs>
          <w:tab w:val="left" w:pos="312"/>
        </w:tabs>
      </w:pPr>
    </w:lvl>
  </w:abstractNum>
  <w:abstractNum w:abstractNumId="8">
    <w:nsid w:val="08303CEE"/>
    <w:multiLevelType w:val="singleLevel"/>
    <w:tmpl w:val="08303CEE"/>
    <w:lvl w:ilvl="0" w:tentative="0">
      <w:start w:val="16"/>
      <w:numFmt w:val="chineseCounting"/>
      <w:suff w:val="nothing"/>
      <w:lvlText w:val="（%1）"/>
      <w:lvlJc w:val="left"/>
      <w:rPr>
        <w:rFonts w:hint="eastAsia"/>
      </w:rPr>
    </w:lvl>
  </w:abstractNum>
  <w:abstractNum w:abstractNumId="9">
    <w:nsid w:val="0FC959E1"/>
    <w:multiLevelType w:val="singleLevel"/>
    <w:tmpl w:val="0FC959E1"/>
    <w:lvl w:ilvl="0" w:tentative="0">
      <w:start w:val="1"/>
      <w:numFmt w:val="chineseCounting"/>
      <w:suff w:val="nothing"/>
      <w:lvlText w:val="（%1）"/>
      <w:lvlJc w:val="left"/>
      <w:rPr>
        <w:rFonts w:hint="eastAsia"/>
      </w:rPr>
    </w:lvl>
  </w:abstractNum>
  <w:abstractNum w:abstractNumId="10">
    <w:nsid w:val="19C5E42D"/>
    <w:multiLevelType w:val="singleLevel"/>
    <w:tmpl w:val="19C5E42D"/>
    <w:lvl w:ilvl="0" w:tentative="0">
      <w:start w:val="1"/>
      <w:numFmt w:val="decimal"/>
      <w:pStyle w:val="13"/>
      <w:lvlText w:val="%1."/>
      <w:lvlJc w:val="left"/>
      <w:pPr>
        <w:tabs>
          <w:tab w:val="left" w:pos="360"/>
        </w:tabs>
        <w:ind w:left="360" w:hanging="360"/>
      </w:pPr>
    </w:lvl>
  </w:abstractNum>
  <w:abstractNum w:abstractNumId="11">
    <w:nsid w:val="2CE42F9D"/>
    <w:multiLevelType w:val="singleLevel"/>
    <w:tmpl w:val="2CE42F9D"/>
    <w:lvl w:ilvl="0" w:tentative="0">
      <w:start w:val="9"/>
      <w:numFmt w:val="chineseCounting"/>
      <w:suff w:val="nothing"/>
      <w:lvlText w:val="（%1）"/>
      <w:lvlJc w:val="left"/>
      <w:rPr>
        <w:rFonts w:hint="eastAsia"/>
      </w:rPr>
    </w:lvl>
  </w:abstractNum>
  <w:abstractNum w:abstractNumId="12">
    <w:nsid w:val="41E5A38C"/>
    <w:multiLevelType w:val="singleLevel"/>
    <w:tmpl w:val="41E5A38C"/>
    <w:lvl w:ilvl="0" w:tentative="0">
      <w:start w:val="11"/>
      <w:numFmt w:val="chineseCounting"/>
      <w:suff w:val="nothing"/>
      <w:lvlText w:val="%1、"/>
      <w:lvlJc w:val="left"/>
      <w:rPr>
        <w:rFonts w:hint="eastAsia"/>
      </w:rPr>
    </w:lvl>
  </w:abstractNum>
  <w:abstractNum w:abstractNumId="13">
    <w:nsid w:val="44AFBEAF"/>
    <w:multiLevelType w:val="singleLevel"/>
    <w:tmpl w:val="44AFBEAF"/>
    <w:lvl w:ilvl="0" w:tentative="0">
      <w:start w:val="1"/>
      <w:numFmt w:val="chineseCounting"/>
      <w:suff w:val="nothing"/>
      <w:lvlText w:val="（%1）"/>
      <w:lvlJc w:val="left"/>
      <w:rPr>
        <w:rFonts w:hint="eastAsia"/>
      </w:rPr>
    </w:lvl>
  </w:abstractNum>
  <w:abstractNum w:abstractNumId="14">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5786B327"/>
    <w:multiLevelType w:val="singleLevel"/>
    <w:tmpl w:val="5786B327"/>
    <w:lvl w:ilvl="0" w:tentative="0">
      <w:start w:val="1"/>
      <w:numFmt w:val="decimal"/>
      <w:suff w:val="nothing"/>
      <w:lvlText w:val="%1、"/>
      <w:lvlJc w:val="left"/>
    </w:lvl>
  </w:abstractNum>
  <w:abstractNum w:abstractNumId="16">
    <w:nsid w:val="6CAAD70C"/>
    <w:multiLevelType w:val="singleLevel"/>
    <w:tmpl w:val="6CAAD70C"/>
    <w:lvl w:ilvl="0" w:tentative="0">
      <w:start w:val="11"/>
      <w:numFmt w:val="decimal"/>
      <w:suff w:val="nothing"/>
      <w:lvlText w:val="%1、"/>
      <w:lvlJc w:val="left"/>
      <w:pPr>
        <w:ind w:left="481" w:firstLine="0"/>
      </w:pPr>
    </w:lvl>
  </w:abstractNum>
  <w:abstractNum w:abstractNumId="17">
    <w:nsid w:val="6D273637"/>
    <w:multiLevelType w:val="singleLevel"/>
    <w:tmpl w:val="6D273637"/>
    <w:lvl w:ilvl="0" w:tentative="0">
      <w:start w:val="6"/>
      <w:numFmt w:val="chineseCounting"/>
      <w:suff w:val="nothing"/>
      <w:lvlText w:val="（%1）"/>
      <w:lvlJc w:val="left"/>
      <w:rPr>
        <w:rFonts w:hint="eastAsia"/>
      </w:rPr>
    </w:lvl>
  </w:abstractNum>
  <w:num w:numId="1">
    <w:abstractNumId w:val="6"/>
  </w:num>
  <w:num w:numId="2">
    <w:abstractNumId w:val="10"/>
  </w:num>
  <w:num w:numId="3">
    <w:abstractNumId w:val="3"/>
  </w:num>
  <w:num w:numId="4">
    <w:abstractNumId w:val="7"/>
  </w:num>
  <w:num w:numId="5">
    <w:abstractNumId w:val="15"/>
  </w:num>
  <w:num w:numId="6">
    <w:abstractNumId w:val="1"/>
  </w:num>
  <w:num w:numId="7">
    <w:abstractNumId w:val="4"/>
  </w:num>
  <w:num w:numId="8">
    <w:abstractNumId w:val="16"/>
  </w:num>
  <w:num w:numId="9">
    <w:abstractNumId w:val="12"/>
  </w:num>
  <w:num w:numId="10">
    <w:abstractNumId w:val="5"/>
  </w:num>
  <w:num w:numId="11">
    <w:abstractNumId w:val="9"/>
  </w:num>
  <w:num w:numId="12">
    <w:abstractNumId w:val="2"/>
  </w:num>
  <w:num w:numId="13">
    <w:abstractNumId w:val="14"/>
  </w:num>
  <w:num w:numId="14">
    <w:abstractNumId w:val="13"/>
  </w:num>
  <w:num w:numId="15">
    <w:abstractNumId w:val="17"/>
  </w:num>
  <w:num w:numId="16">
    <w:abstractNumId w:val="11"/>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ZGRiNmNjMWQ3MDIxYzkxYjA1ZGJmNTM0ZDYzOGIifQ=="/>
  </w:docVars>
  <w:rsids>
    <w:rsidRoot w:val="00172A27"/>
    <w:rsid w:val="000F78F8"/>
    <w:rsid w:val="00164C33"/>
    <w:rsid w:val="002F5EFC"/>
    <w:rsid w:val="002F6D43"/>
    <w:rsid w:val="004852A3"/>
    <w:rsid w:val="006843FA"/>
    <w:rsid w:val="006A7838"/>
    <w:rsid w:val="00735ACC"/>
    <w:rsid w:val="0078578F"/>
    <w:rsid w:val="00842086"/>
    <w:rsid w:val="008F7817"/>
    <w:rsid w:val="009D1D6B"/>
    <w:rsid w:val="00A54779"/>
    <w:rsid w:val="00B42D9D"/>
    <w:rsid w:val="00B71FBF"/>
    <w:rsid w:val="00C56DFF"/>
    <w:rsid w:val="00D41950"/>
    <w:rsid w:val="00D4336C"/>
    <w:rsid w:val="00D70EA7"/>
    <w:rsid w:val="00E3321F"/>
    <w:rsid w:val="00E577A1"/>
    <w:rsid w:val="00E77F2B"/>
    <w:rsid w:val="00E83F8F"/>
    <w:rsid w:val="00EF1595"/>
    <w:rsid w:val="00FD7FED"/>
    <w:rsid w:val="014673F9"/>
    <w:rsid w:val="017753C6"/>
    <w:rsid w:val="017F5739"/>
    <w:rsid w:val="01916D9E"/>
    <w:rsid w:val="01D10442"/>
    <w:rsid w:val="01DE5A0A"/>
    <w:rsid w:val="022A7A8C"/>
    <w:rsid w:val="024A0BA6"/>
    <w:rsid w:val="025678F5"/>
    <w:rsid w:val="02647AD4"/>
    <w:rsid w:val="02C1531D"/>
    <w:rsid w:val="03164A81"/>
    <w:rsid w:val="03183930"/>
    <w:rsid w:val="033A01A8"/>
    <w:rsid w:val="03451AAA"/>
    <w:rsid w:val="03793B97"/>
    <w:rsid w:val="03833451"/>
    <w:rsid w:val="03895ADE"/>
    <w:rsid w:val="03910145"/>
    <w:rsid w:val="03C61693"/>
    <w:rsid w:val="03CA7259"/>
    <w:rsid w:val="03D604BB"/>
    <w:rsid w:val="04257B1C"/>
    <w:rsid w:val="048C2C9E"/>
    <w:rsid w:val="04FD70C7"/>
    <w:rsid w:val="0510448D"/>
    <w:rsid w:val="05536562"/>
    <w:rsid w:val="055920B6"/>
    <w:rsid w:val="05621F2C"/>
    <w:rsid w:val="05692D56"/>
    <w:rsid w:val="05DC228D"/>
    <w:rsid w:val="060D148A"/>
    <w:rsid w:val="061C61D8"/>
    <w:rsid w:val="062B7991"/>
    <w:rsid w:val="06717375"/>
    <w:rsid w:val="06A65C7E"/>
    <w:rsid w:val="06AF013D"/>
    <w:rsid w:val="06F9464B"/>
    <w:rsid w:val="070B6825"/>
    <w:rsid w:val="07436C5F"/>
    <w:rsid w:val="07555CB3"/>
    <w:rsid w:val="07B25F62"/>
    <w:rsid w:val="07BA1167"/>
    <w:rsid w:val="07E01D22"/>
    <w:rsid w:val="07E15CC2"/>
    <w:rsid w:val="082F3FD3"/>
    <w:rsid w:val="08501B4C"/>
    <w:rsid w:val="08F5187D"/>
    <w:rsid w:val="091559BB"/>
    <w:rsid w:val="095C4021"/>
    <w:rsid w:val="097A4F8F"/>
    <w:rsid w:val="09863D9C"/>
    <w:rsid w:val="099A5D5B"/>
    <w:rsid w:val="09AE02BC"/>
    <w:rsid w:val="09F361E9"/>
    <w:rsid w:val="09F758E1"/>
    <w:rsid w:val="0A035572"/>
    <w:rsid w:val="0A8214DE"/>
    <w:rsid w:val="0A932CCA"/>
    <w:rsid w:val="0A964AA8"/>
    <w:rsid w:val="0AB637A9"/>
    <w:rsid w:val="0AD1579D"/>
    <w:rsid w:val="0AD70087"/>
    <w:rsid w:val="0B410F8B"/>
    <w:rsid w:val="0B58238F"/>
    <w:rsid w:val="0B7E012E"/>
    <w:rsid w:val="0B8C1F3D"/>
    <w:rsid w:val="0BBA6113"/>
    <w:rsid w:val="0BD81D82"/>
    <w:rsid w:val="0C4B28E5"/>
    <w:rsid w:val="0C6243A4"/>
    <w:rsid w:val="0C70367A"/>
    <w:rsid w:val="0CC54204"/>
    <w:rsid w:val="0D3851A2"/>
    <w:rsid w:val="0D410B01"/>
    <w:rsid w:val="0DC54E21"/>
    <w:rsid w:val="0DF922C0"/>
    <w:rsid w:val="0E187EE3"/>
    <w:rsid w:val="0E395338"/>
    <w:rsid w:val="0EAC48BD"/>
    <w:rsid w:val="0EBF3FBE"/>
    <w:rsid w:val="0EF62538"/>
    <w:rsid w:val="0F2A5FF8"/>
    <w:rsid w:val="0F2D4EC8"/>
    <w:rsid w:val="0F3B0774"/>
    <w:rsid w:val="0F597EC1"/>
    <w:rsid w:val="0F6D24C6"/>
    <w:rsid w:val="1046608D"/>
    <w:rsid w:val="105D6BCF"/>
    <w:rsid w:val="10824ED0"/>
    <w:rsid w:val="108B08F2"/>
    <w:rsid w:val="10907D37"/>
    <w:rsid w:val="10AC6E3D"/>
    <w:rsid w:val="10B80A0C"/>
    <w:rsid w:val="11114205"/>
    <w:rsid w:val="1120496E"/>
    <w:rsid w:val="11693E13"/>
    <w:rsid w:val="119874BB"/>
    <w:rsid w:val="11D9089D"/>
    <w:rsid w:val="11E93B5E"/>
    <w:rsid w:val="12723C85"/>
    <w:rsid w:val="12C246A7"/>
    <w:rsid w:val="131655CE"/>
    <w:rsid w:val="1320787A"/>
    <w:rsid w:val="134C2C02"/>
    <w:rsid w:val="13EA53A0"/>
    <w:rsid w:val="14380D8D"/>
    <w:rsid w:val="14561156"/>
    <w:rsid w:val="14710DC1"/>
    <w:rsid w:val="14754F4B"/>
    <w:rsid w:val="14B6713D"/>
    <w:rsid w:val="14D868FD"/>
    <w:rsid w:val="151B67BE"/>
    <w:rsid w:val="153F193C"/>
    <w:rsid w:val="15524BE4"/>
    <w:rsid w:val="15DB6150"/>
    <w:rsid w:val="162D6097"/>
    <w:rsid w:val="165E2C35"/>
    <w:rsid w:val="17292AE8"/>
    <w:rsid w:val="175B1B2C"/>
    <w:rsid w:val="178253FE"/>
    <w:rsid w:val="17842684"/>
    <w:rsid w:val="17A0586A"/>
    <w:rsid w:val="17A462EF"/>
    <w:rsid w:val="184F474B"/>
    <w:rsid w:val="1867248F"/>
    <w:rsid w:val="18725D99"/>
    <w:rsid w:val="189E2620"/>
    <w:rsid w:val="18D46954"/>
    <w:rsid w:val="191663F0"/>
    <w:rsid w:val="197163E1"/>
    <w:rsid w:val="19A253D3"/>
    <w:rsid w:val="19D40F30"/>
    <w:rsid w:val="19E75E11"/>
    <w:rsid w:val="1A094190"/>
    <w:rsid w:val="1A415875"/>
    <w:rsid w:val="1B2158C7"/>
    <w:rsid w:val="1B9B4247"/>
    <w:rsid w:val="1C006EAF"/>
    <w:rsid w:val="1C190A99"/>
    <w:rsid w:val="1C206580"/>
    <w:rsid w:val="1C2675B4"/>
    <w:rsid w:val="1C3D63ED"/>
    <w:rsid w:val="1C5D66E6"/>
    <w:rsid w:val="1CCB2A5A"/>
    <w:rsid w:val="1CD91ED5"/>
    <w:rsid w:val="1CE2284F"/>
    <w:rsid w:val="1CE27665"/>
    <w:rsid w:val="1D1F7314"/>
    <w:rsid w:val="1D954F84"/>
    <w:rsid w:val="1D985169"/>
    <w:rsid w:val="1DAA1CFA"/>
    <w:rsid w:val="1DB176EC"/>
    <w:rsid w:val="1DC07F24"/>
    <w:rsid w:val="1DF47391"/>
    <w:rsid w:val="1E046ED9"/>
    <w:rsid w:val="1E0B6D0F"/>
    <w:rsid w:val="1E395928"/>
    <w:rsid w:val="1E436CBC"/>
    <w:rsid w:val="1E4F29BA"/>
    <w:rsid w:val="1E4F50EF"/>
    <w:rsid w:val="1E8C66EB"/>
    <w:rsid w:val="1E9637FD"/>
    <w:rsid w:val="1EBB7EAA"/>
    <w:rsid w:val="1F026509"/>
    <w:rsid w:val="1F771A4D"/>
    <w:rsid w:val="202265AF"/>
    <w:rsid w:val="20451F26"/>
    <w:rsid w:val="206705CC"/>
    <w:rsid w:val="207C716F"/>
    <w:rsid w:val="20A6633B"/>
    <w:rsid w:val="20D11B48"/>
    <w:rsid w:val="20F011EF"/>
    <w:rsid w:val="212E3899"/>
    <w:rsid w:val="21310218"/>
    <w:rsid w:val="21360A09"/>
    <w:rsid w:val="213B1339"/>
    <w:rsid w:val="218E01CF"/>
    <w:rsid w:val="21A16738"/>
    <w:rsid w:val="21BA4918"/>
    <w:rsid w:val="21BB1762"/>
    <w:rsid w:val="21DC0A70"/>
    <w:rsid w:val="21DD2101"/>
    <w:rsid w:val="21E620E9"/>
    <w:rsid w:val="21ED20DF"/>
    <w:rsid w:val="21FA7FF4"/>
    <w:rsid w:val="220215B6"/>
    <w:rsid w:val="22235A2F"/>
    <w:rsid w:val="22702D55"/>
    <w:rsid w:val="23915BF2"/>
    <w:rsid w:val="23AE6F3A"/>
    <w:rsid w:val="23F9781D"/>
    <w:rsid w:val="247B615F"/>
    <w:rsid w:val="248E4857"/>
    <w:rsid w:val="24ED1F1B"/>
    <w:rsid w:val="2567077F"/>
    <w:rsid w:val="259B4ADE"/>
    <w:rsid w:val="25BB2B7A"/>
    <w:rsid w:val="25ED53CE"/>
    <w:rsid w:val="262D4932"/>
    <w:rsid w:val="26360BC2"/>
    <w:rsid w:val="26527375"/>
    <w:rsid w:val="266542FD"/>
    <w:rsid w:val="26845B90"/>
    <w:rsid w:val="26955E2C"/>
    <w:rsid w:val="26A15028"/>
    <w:rsid w:val="26F70735"/>
    <w:rsid w:val="27585507"/>
    <w:rsid w:val="275E310C"/>
    <w:rsid w:val="27AB234F"/>
    <w:rsid w:val="27C54C43"/>
    <w:rsid w:val="27CB1478"/>
    <w:rsid w:val="27D677D0"/>
    <w:rsid w:val="27FE496D"/>
    <w:rsid w:val="281015F1"/>
    <w:rsid w:val="285D6E5B"/>
    <w:rsid w:val="28727659"/>
    <w:rsid w:val="2877154C"/>
    <w:rsid w:val="28845CC2"/>
    <w:rsid w:val="289A3987"/>
    <w:rsid w:val="28A702B9"/>
    <w:rsid w:val="28AA25E9"/>
    <w:rsid w:val="28BE3623"/>
    <w:rsid w:val="28C96735"/>
    <w:rsid w:val="28DB6EAA"/>
    <w:rsid w:val="296C4096"/>
    <w:rsid w:val="29A123BB"/>
    <w:rsid w:val="29B80F87"/>
    <w:rsid w:val="29DD218D"/>
    <w:rsid w:val="2A3558B4"/>
    <w:rsid w:val="2A3A16E9"/>
    <w:rsid w:val="2A45792B"/>
    <w:rsid w:val="2A613DB9"/>
    <w:rsid w:val="2AA8758A"/>
    <w:rsid w:val="2AAE6BCF"/>
    <w:rsid w:val="2AE06085"/>
    <w:rsid w:val="2B433BE2"/>
    <w:rsid w:val="2BC316BB"/>
    <w:rsid w:val="2C0078D2"/>
    <w:rsid w:val="2C2B5431"/>
    <w:rsid w:val="2C2C721C"/>
    <w:rsid w:val="2CDA0972"/>
    <w:rsid w:val="2D3F156A"/>
    <w:rsid w:val="2D4F7387"/>
    <w:rsid w:val="2D913ECB"/>
    <w:rsid w:val="2DC16D9B"/>
    <w:rsid w:val="2E231423"/>
    <w:rsid w:val="2E4B76EC"/>
    <w:rsid w:val="2EC51780"/>
    <w:rsid w:val="2EF56EA2"/>
    <w:rsid w:val="2F1D1D8E"/>
    <w:rsid w:val="2F2A04CA"/>
    <w:rsid w:val="2F4C12F7"/>
    <w:rsid w:val="2F52087C"/>
    <w:rsid w:val="2F570AD7"/>
    <w:rsid w:val="2F84708E"/>
    <w:rsid w:val="2F9D1627"/>
    <w:rsid w:val="2FA0650B"/>
    <w:rsid w:val="2FD76221"/>
    <w:rsid w:val="2FEA776D"/>
    <w:rsid w:val="300A4BE4"/>
    <w:rsid w:val="302225B6"/>
    <w:rsid w:val="302945C4"/>
    <w:rsid w:val="303259D2"/>
    <w:rsid w:val="30384235"/>
    <w:rsid w:val="306758CD"/>
    <w:rsid w:val="30B240A1"/>
    <w:rsid w:val="30EB3AFB"/>
    <w:rsid w:val="30F465F9"/>
    <w:rsid w:val="30F9075B"/>
    <w:rsid w:val="31482489"/>
    <w:rsid w:val="31665252"/>
    <w:rsid w:val="317131A4"/>
    <w:rsid w:val="31AE472F"/>
    <w:rsid w:val="31B21658"/>
    <w:rsid w:val="31CB168D"/>
    <w:rsid w:val="31D01CB1"/>
    <w:rsid w:val="31EB38F9"/>
    <w:rsid w:val="31F711FF"/>
    <w:rsid w:val="31F877A0"/>
    <w:rsid w:val="320B3E33"/>
    <w:rsid w:val="3256662F"/>
    <w:rsid w:val="32731930"/>
    <w:rsid w:val="329218B6"/>
    <w:rsid w:val="32A25B59"/>
    <w:rsid w:val="32BA750F"/>
    <w:rsid w:val="33140E40"/>
    <w:rsid w:val="332E6D2C"/>
    <w:rsid w:val="33374CE0"/>
    <w:rsid w:val="33650BC1"/>
    <w:rsid w:val="33A9307D"/>
    <w:rsid w:val="33AD37C7"/>
    <w:rsid w:val="33F64849"/>
    <w:rsid w:val="34024F70"/>
    <w:rsid w:val="3405793E"/>
    <w:rsid w:val="341A69F5"/>
    <w:rsid w:val="342601B1"/>
    <w:rsid w:val="347C79C5"/>
    <w:rsid w:val="34C0700F"/>
    <w:rsid w:val="34D23D8F"/>
    <w:rsid w:val="34E17CC1"/>
    <w:rsid w:val="351C3972"/>
    <w:rsid w:val="357830FD"/>
    <w:rsid w:val="358A639D"/>
    <w:rsid w:val="35DD617F"/>
    <w:rsid w:val="36101977"/>
    <w:rsid w:val="363A12E4"/>
    <w:rsid w:val="365517B7"/>
    <w:rsid w:val="36722E94"/>
    <w:rsid w:val="3681127D"/>
    <w:rsid w:val="368C74AA"/>
    <w:rsid w:val="369A4AAB"/>
    <w:rsid w:val="36B63A76"/>
    <w:rsid w:val="36D16E9F"/>
    <w:rsid w:val="370E34F8"/>
    <w:rsid w:val="37180D0B"/>
    <w:rsid w:val="37322849"/>
    <w:rsid w:val="37352257"/>
    <w:rsid w:val="374C7D9F"/>
    <w:rsid w:val="374F4745"/>
    <w:rsid w:val="375A3AF3"/>
    <w:rsid w:val="37622048"/>
    <w:rsid w:val="38104315"/>
    <w:rsid w:val="381370C2"/>
    <w:rsid w:val="383249D2"/>
    <w:rsid w:val="38C60AB9"/>
    <w:rsid w:val="38EE5DE8"/>
    <w:rsid w:val="38FA6EBF"/>
    <w:rsid w:val="39083B56"/>
    <w:rsid w:val="392274DB"/>
    <w:rsid w:val="39492C1E"/>
    <w:rsid w:val="395E28CA"/>
    <w:rsid w:val="39DD53FD"/>
    <w:rsid w:val="39F4517C"/>
    <w:rsid w:val="3A05640B"/>
    <w:rsid w:val="3A34505A"/>
    <w:rsid w:val="3A442FE9"/>
    <w:rsid w:val="3A5969B4"/>
    <w:rsid w:val="3B634059"/>
    <w:rsid w:val="3B7F4C3A"/>
    <w:rsid w:val="3B8813BF"/>
    <w:rsid w:val="3B887742"/>
    <w:rsid w:val="3B9628EE"/>
    <w:rsid w:val="3B9B23CA"/>
    <w:rsid w:val="3C3A012D"/>
    <w:rsid w:val="3C457305"/>
    <w:rsid w:val="3C5B7C42"/>
    <w:rsid w:val="3C621722"/>
    <w:rsid w:val="3CB31014"/>
    <w:rsid w:val="3CBF63D0"/>
    <w:rsid w:val="3CE17E80"/>
    <w:rsid w:val="3CF83553"/>
    <w:rsid w:val="3D2F72C4"/>
    <w:rsid w:val="3D3D6556"/>
    <w:rsid w:val="3D9E2D08"/>
    <w:rsid w:val="3DE758F0"/>
    <w:rsid w:val="3DF46EE2"/>
    <w:rsid w:val="3E0151D6"/>
    <w:rsid w:val="3E113140"/>
    <w:rsid w:val="3E3B3C8A"/>
    <w:rsid w:val="3E5F0393"/>
    <w:rsid w:val="3EA70407"/>
    <w:rsid w:val="3EB267C9"/>
    <w:rsid w:val="3EDA5274"/>
    <w:rsid w:val="3F1D60A0"/>
    <w:rsid w:val="3F345B16"/>
    <w:rsid w:val="3F6E1C6A"/>
    <w:rsid w:val="3FA13A7E"/>
    <w:rsid w:val="3FB90913"/>
    <w:rsid w:val="3FC94073"/>
    <w:rsid w:val="403826DB"/>
    <w:rsid w:val="406946E9"/>
    <w:rsid w:val="415C66C0"/>
    <w:rsid w:val="41661607"/>
    <w:rsid w:val="41B164B6"/>
    <w:rsid w:val="41CF588A"/>
    <w:rsid w:val="41D628A7"/>
    <w:rsid w:val="41D91864"/>
    <w:rsid w:val="41E24788"/>
    <w:rsid w:val="41EE08A5"/>
    <w:rsid w:val="420C2C04"/>
    <w:rsid w:val="427325F4"/>
    <w:rsid w:val="42882165"/>
    <w:rsid w:val="42EA27D9"/>
    <w:rsid w:val="430C2C22"/>
    <w:rsid w:val="439E61FC"/>
    <w:rsid w:val="44213529"/>
    <w:rsid w:val="447D2BC4"/>
    <w:rsid w:val="44BD7C24"/>
    <w:rsid w:val="44D04F36"/>
    <w:rsid w:val="44DD2EE3"/>
    <w:rsid w:val="44E35554"/>
    <w:rsid w:val="450D65D4"/>
    <w:rsid w:val="451538BF"/>
    <w:rsid w:val="455C71CE"/>
    <w:rsid w:val="455E4BA2"/>
    <w:rsid w:val="456071E7"/>
    <w:rsid w:val="45863910"/>
    <w:rsid w:val="459D123E"/>
    <w:rsid w:val="45DC5978"/>
    <w:rsid w:val="45EB3DD6"/>
    <w:rsid w:val="461C6256"/>
    <w:rsid w:val="46291EB8"/>
    <w:rsid w:val="462D5C7F"/>
    <w:rsid w:val="46325C58"/>
    <w:rsid w:val="46466F77"/>
    <w:rsid w:val="466149D1"/>
    <w:rsid w:val="467008B0"/>
    <w:rsid w:val="46A056E2"/>
    <w:rsid w:val="46A74B88"/>
    <w:rsid w:val="46AF2651"/>
    <w:rsid w:val="46B76B4B"/>
    <w:rsid w:val="46BA07E8"/>
    <w:rsid w:val="46E4489A"/>
    <w:rsid w:val="47254AF7"/>
    <w:rsid w:val="47304E59"/>
    <w:rsid w:val="47B944D6"/>
    <w:rsid w:val="47E44BEF"/>
    <w:rsid w:val="48674534"/>
    <w:rsid w:val="48690401"/>
    <w:rsid w:val="486D481D"/>
    <w:rsid w:val="48AC1460"/>
    <w:rsid w:val="48B40A50"/>
    <w:rsid w:val="48C87B66"/>
    <w:rsid w:val="48E716FF"/>
    <w:rsid w:val="49154F13"/>
    <w:rsid w:val="49261F57"/>
    <w:rsid w:val="492C77A2"/>
    <w:rsid w:val="493731C3"/>
    <w:rsid w:val="496E2020"/>
    <w:rsid w:val="4971269F"/>
    <w:rsid w:val="498B2FA1"/>
    <w:rsid w:val="49C71CCA"/>
    <w:rsid w:val="49E13B64"/>
    <w:rsid w:val="4A1B7A43"/>
    <w:rsid w:val="4A2732E1"/>
    <w:rsid w:val="4A2951D7"/>
    <w:rsid w:val="4A4D0245"/>
    <w:rsid w:val="4A9D7E98"/>
    <w:rsid w:val="4AED40DB"/>
    <w:rsid w:val="4B037A9E"/>
    <w:rsid w:val="4B5931AB"/>
    <w:rsid w:val="4B9F73FC"/>
    <w:rsid w:val="4BA708E2"/>
    <w:rsid w:val="4C272F70"/>
    <w:rsid w:val="4C703E50"/>
    <w:rsid w:val="4C770388"/>
    <w:rsid w:val="4C863258"/>
    <w:rsid w:val="4CA014AC"/>
    <w:rsid w:val="4CD7475C"/>
    <w:rsid w:val="4D2F41FE"/>
    <w:rsid w:val="4D3105D5"/>
    <w:rsid w:val="4D790D7A"/>
    <w:rsid w:val="4D8773EE"/>
    <w:rsid w:val="4DB724AF"/>
    <w:rsid w:val="4DE010E4"/>
    <w:rsid w:val="4DF32B56"/>
    <w:rsid w:val="4E37382D"/>
    <w:rsid w:val="4E556D4D"/>
    <w:rsid w:val="4E627E3E"/>
    <w:rsid w:val="4E984E43"/>
    <w:rsid w:val="4F552A9C"/>
    <w:rsid w:val="4F59232C"/>
    <w:rsid w:val="4F8B03CD"/>
    <w:rsid w:val="4FBF0985"/>
    <w:rsid w:val="4FF2658A"/>
    <w:rsid w:val="50646DBF"/>
    <w:rsid w:val="506C4329"/>
    <w:rsid w:val="50DF7BCD"/>
    <w:rsid w:val="512F2209"/>
    <w:rsid w:val="51681AE8"/>
    <w:rsid w:val="518728D1"/>
    <w:rsid w:val="519F6E1A"/>
    <w:rsid w:val="51A60DC3"/>
    <w:rsid w:val="51E14FDF"/>
    <w:rsid w:val="52103A14"/>
    <w:rsid w:val="521C76E1"/>
    <w:rsid w:val="52BB5599"/>
    <w:rsid w:val="52DD6CFF"/>
    <w:rsid w:val="52E2398A"/>
    <w:rsid w:val="52F3391C"/>
    <w:rsid w:val="530E61AC"/>
    <w:rsid w:val="53151A46"/>
    <w:rsid w:val="531C15FC"/>
    <w:rsid w:val="53395CCF"/>
    <w:rsid w:val="53510116"/>
    <w:rsid w:val="53AD5812"/>
    <w:rsid w:val="541E5E06"/>
    <w:rsid w:val="545413CC"/>
    <w:rsid w:val="549C486F"/>
    <w:rsid w:val="54B47EFB"/>
    <w:rsid w:val="54DB0F18"/>
    <w:rsid w:val="55011C7A"/>
    <w:rsid w:val="551E22F8"/>
    <w:rsid w:val="55543AF1"/>
    <w:rsid w:val="55706241"/>
    <w:rsid w:val="559C6CBA"/>
    <w:rsid w:val="55A91602"/>
    <w:rsid w:val="55B94875"/>
    <w:rsid w:val="55D51B93"/>
    <w:rsid w:val="567C5380"/>
    <w:rsid w:val="5719502F"/>
    <w:rsid w:val="57790922"/>
    <w:rsid w:val="578339E3"/>
    <w:rsid w:val="57C54D03"/>
    <w:rsid w:val="57E53B64"/>
    <w:rsid w:val="583409BB"/>
    <w:rsid w:val="583515C0"/>
    <w:rsid w:val="5835412C"/>
    <w:rsid w:val="588F48D4"/>
    <w:rsid w:val="58AB7BD9"/>
    <w:rsid w:val="58AF759C"/>
    <w:rsid w:val="58E66A6D"/>
    <w:rsid w:val="597328A2"/>
    <w:rsid w:val="59DB079F"/>
    <w:rsid w:val="59E27009"/>
    <w:rsid w:val="59FA4317"/>
    <w:rsid w:val="5A1C331D"/>
    <w:rsid w:val="5A522082"/>
    <w:rsid w:val="5A6539D1"/>
    <w:rsid w:val="5A88315D"/>
    <w:rsid w:val="5AA2162F"/>
    <w:rsid w:val="5ADD5E18"/>
    <w:rsid w:val="5B212785"/>
    <w:rsid w:val="5B800A46"/>
    <w:rsid w:val="5BB500C9"/>
    <w:rsid w:val="5C2E0652"/>
    <w:rsid w:val="5C447F88"/>
    <w:rsid w:val="5C514CA0"/>
    <w:rsid w:val="5CA57B86"/>
    <w:rsid w:val="5CC77C96"/>
    <w:rsid w:val="5CF557A7"/>
    <w:rsid w:val="5D2327C3"/>
    <w:rsid w:val="5D523508"/>
    <w:rsid w:val="5D546753"/>
    <w:rsid w:val="5D6D7EF5"/>
    <w:rsid w:val="5DA930C5"/>
    <w:rsid w:val="5DFE458C"/>
    <w:rsid w:val="5E0A1538"/>
    <w:rsid w:val="5E2A239D"/>
    <w:rsid w:val="5E5B1E18"/>
    <w:rsid w:val="5EAE2BA6"/>
    <w:rsid w:val="5EBA52DF"/>
    <w:rsid w:val="5EBC4888"/>
    <w:rsid w:val="5EF42FE6"/>
    <w:rsid w:val="5F117C07"/>
    <w:rsid w:val="5F480A20"/>
    <w:rsid w:val="5F541A66"/>
    <w:rsid w:val="5F6A29B1"/>
    <w:rsid w:val="5FDF599A"/>
    <w:rsid w:val="5FE56811"/>
    <w:rsid w:val="5FF37A81"/>
    <w:rsid w:val="602C45FD"/>
    <w:rsid w:val="602F35F7"/>
    <w:rsid w:val="60795CBD"/>
    <w:rsid w:val="60F23855"/>
    <w:rsid w:val="60F47BEC"/>
    <w:rsid w:val="616431AF"/>
    <w:rsid w:val="61816125"/>
    <w:rsid w:val="618366DA"/>
    <w:rsid w:val="61D7523F"/>
    <w:rsid w:val="62117254"/>
    <w:rsid w:val="624806F1"/>
    <w:rsid w:val="629D0895"/>
    <w:rsid w:val="62C0222F"/>
    <w:rsid w:val="63443247"/>
    <w:rsid w:val="63CE5C30"/>
    <w:rsid w:val="63EA5A54"/>
    <w:rsid w:val="6415508D"/>
    <w:rsid w:val="644019DA"/>
    <w:rsid w:val="648038FA"/>
    <w:rsid w:val="64E50547"/>
    <w:rsid w:val="658978B2"/>
    <w:rsid w:val="65EB6652"/>
    <w:rsid w:val="66115E76"/>
    <w:rsid w:val="66212F88"/>
    <w:rsid w:val="66496768"/>
    <w:rsid w:val="66574FE9"/>
    <w:rsid w:val="669727FD"/>
    <w:rsid w:val="66C8233B"/>
    <w:rsid w:val="66F629D6"/>
    <w:rsid w:val="672561C2"/>
    <w:rsid w:val="6744454D"/>
    <w:rsid w:val="67754838"/>
    <w:rsid w:val="67762C3A"/>
    <w:rsid w:val="677A4210"/>
    <w:rsid w:val="679B13E4"/>
    <w:rsid w:val="67F264CF"/>
    <w:rsid w:val="67FF6CD4"/>
    <w:rsid w:val="681A7E9D"/>
    <w:rsid w:val="688C2FB0"/>
    <w:rsid w:val="68BE0772"/>
    <w:rsid w:val="68D708A0"/>
    <w:rsid w:val="691E5105"/>
    <w:rsid w:val="695B1C7B"/>
    <w:rsid w:val="696B5AAD"/>
    <w:rsid w:val="69803202"/>
    <w:rsid w:val="698D2961"/>
    <w:rsid w:val="69AC6EAA"/>
    <w:rsid w:val="69E43DFD"/>
    <w:rsid w:val="69F60484"/>
    <w:rsid w:val="6A101AC6"/>
    <w:rsid w:val="6A1E79B5"/>
    <w:rsid w:val="6A354541"/>
    <w:rsid w:val="6A6F5F93"/>
    <w:rsid w:val="6ADF0E98"/>
    <w:rsid w:val="6B453FD7"/>
    <w:rsid w:val="6B5B576C"/>
    <w:rsid w:val="6B707A3D"/>
    <w:rsid w:val="6B7B1A68"/>
    <w:rsid w:val="6BA537D6"/>
    <w:rsid w:val="6BB1273B"/>
    <w:rsid w:val="6BB85D17"/>
    <w:rsid w:val="6BC82C73"/>
    <w:rsid w:val="6C071FC4"/>
    <w:rsid w:val="6C2C7FB1"/>
    <w:rsid w:val="6C5B4CE2"/>
    <w:rsid w:val="6D535911"/>
    <w:rsid w:val="6D7878FB"/>
    <w:rsid w:val="6DBA6446"/>
    <w:rsid w:val="6DC64D96"/>
    <w:rsid w:val="6DE61BA4"/>
    <w:rsid w:val="6E7D3EAA"/>
    <w:rsid w:val="6EC47B07"/>
    <w:rsid w:val="6EEE1ED2"/>
    <w:rsid w:val="6EF9070E"/>
    <w:rsid w:val="6EFA2348"/>
    <w:rsid w:val="6EFC7DC4"/>
    <w:rsid w:val="6FBC32DD"/>
    <w:rsid w:val="6FC92611"/>
    <w:rsid w:val="6FEB70E8"/>
    <w:rsid w:val="70017D21"/>
    <w:rsid w:val="702678A4"/>
    <w:rsid w:val="704C1FF2"/>
    <w:rsid w:val="70957B36"/>
    <w:rsid w:val="70BA2FFA"/>
    <w:rsid w:val="70C5527D"/>
    <w:rsid w:val="713A744C"/>
    <w:rsid w:val="7141561C"/>
    <w:rsid w:val="71465DA4"/>
    <w:rsid w:val="715A74D5"/>
    <w:rsid w:val="718E0763"/>
    <w:rsid w:val="71B50FA0"/>
    <w:rsid w:val="71D37FA9"/>
    <w:rsid w:val="723B6489"/>
    <w:rsid w:val="723E5522"/>
    <w:rsid w:val="7268421C"/>
    <w:rsid w:val="728968DA"/>
    <w:rsid w:val="72A82C84"/>
    <w:rsid w:val="72AA61C2"/>
    <w:rsid w:val="73050C51"/>
    <w:rsid w:val="731F4A98"/>
    <w:rsid w:val="733F6D56"/>
    <w:rsid w:val="73870838"/>
    <w:rsid w:val="739871D5"/>
    <w:rsid w:val="73F11288"/>
    <w:rsid w:val="73F23F7B"/>
    <w:rsid w:val="74067081"/>
    <w:rsid w:val="741C1C19"/>
    <w:rsid w:val="744D0E77"/>
    <w:rsid w:val="745E05AD"/>
    <w:rsid w:val="74835184"/>
    <w:rsid w:val="74A4132C"/>
    <w:rsid w:val="74AF0E31"/>
    <w:rsid w:val="75787206"/>
    <w:rsid w:val="75A512B8"/>
    <w:rsid w:val="75BF77EE"/>
    <w:rsid w:val="75D70FF2"/>
    <w:rsid w:val="75F479B7"/>
    <w:rsid w:val="75FA1E0C"/>
    <w:rsid w:val="75FB3FF3"/>
    <w:rsid w:val="76186A30"/>
    <w:rsid w:val="762C31BE"/>
    <w:rsid w:val="7653467E"/>
    <w:rsid w:val="772B4ED2"/>
    <w:rsid w:val="77777E50"/>
    <w:rsid w:val="77E37EFF"/>
    <w:rsid w:val="77E652C6"/>
    <w:rsid w:val="782563F5"/>
    <w:rsid w:val="78880F29"/>
    <w:rsid w:val="794723D1"/>
    <w:rsid w:val="7977267E"/>
    <w:rsid w:val="799177F1"/>
    <w:rsid w:val="7A293DF5"/>
    <w:rsid w:val="7A33664F"/>
    <w:rsid w:val="7A3B7C05"/>
    <w:rsid w:val="7AA6237E"/>
    <w:rsid w:val="7AB67AD9"/>
    <w:rsid w:val="7ACA6A91"/>
    <w:rsid w:val="7ACE1913"/>
    <w:rsid w:val="7B0E23F7"/>
    <w:rsid w:val="7B515EAC"/>
    <w:rsid w:val="7BAA251B"/>
    <w:rsid w:val="7C06770E"/>
    <w:rsid w:val="7C6F65A8"/>
    <w:rsid w:val="7C8D3CA3"/>
    <w:rsid w:val="7C8E03A3"/>
    <w:rsid w:val="7C90112B"/>
    <w:rsid w:val="7C946125"/>
    <w:rsid w:val="7CC32006"/>
    <w:rsid w:val="7CD35C4B"/>
    <w:rsid w:val="7CD67A48"/>
    <w:rsid w:val="7CE017BB"/>
    <w:rsid w:val="7CE335DB"/>
    <w:rsid w:val="7D0664BA"/>
    <w:rsid w:val="7D2324BD"/>
    <w:rsid w:val="7D8C3879"/>
    <w:rsid w:val="7DE61A14"/>
    <w:rsid w:val="7E0D5970"/>
    <w:rsid w:val="7E3566D4"/>
    <w:rsid w:val="7E367B16"/>
    <w:rsid w:val="7E3937A2"/>
    <w:rsid w:val="7E540974"/>
    <w:rsid w:val="7E5A6E32"/>
    <w:rsid w:val="7E604E32"/>
    <w:rsid w:val="7EC34539"/>
    <w:rsid w:val="7F3103EC"/>
    <w:rsid w:val="7F5176FB"/>
    <w:rsid w:val="7FB97105"/>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137"/>
    <w:autoRedefine/>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4">
    <w:name w:val="heading 3"/>
    <w:basedOn w:val="1"/>
    <w:next w:val="1"/>
    <w:link w:val="148"/>
    <w:autoRedefine/>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5">
    <w:name w:val="heading 4"/>
    <w:basedOn w:val="1"/>
    <w:next w:val="1"/>
    <w:link w:val="144"/>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38"/>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14"/>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39"/>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19"/>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43"/>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link w:val="49"/>
    <w:autoRedefine/>
    <w:qFormat/>
    <w:uiPriority w:val="0"/>
    <w:rPr>
      <w:szCs w:val="21"/>
    </w:rPr>
  </w:style>
  <w:style w:type="table" w:default="1" w:styleId="46">
    <w:name w:val="Normal Table"/>
    <w:autoRedefine/>
    <w:semiHidden/>
    <w:qFormat/>
    <w:uiPriority w:val="0"/>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szCs w:val="24"/>
    </w:rPr>
  </w:style>
  <w:style w:type="paragraph" w:styleId="12">
    <w:name w:val="table of authorities"/>
    <w:basedOn w:val="1"/>
    <w:next w:val="1"/>
    <w:autoRedefine/>
    <w:unhideWhenUsed/>
    <w:qFormat/>
    <w:uiPriority w:val="99"/>
    <w:pPr>
      <w:ind w:left="420" w:leftChars="200"/>
    </w:pPr>
  </w:style>
  <w:style w:type="paragraph" w:styleId="13">
    <w:name w:val="List Number"/>
    <w:basedOn w:val="1"/>
    <w:autoRedefine/>
    <w:qFormat/>
    <w:uiPriority w:val="0"/>
    <w:pPr>
      <w:numPr>
        <w:ilvl w:val="0"/>
        <w:numId w:val="2"/>
      </w:numPr>
    </w:pPr>
  </w:style>
  <w:style w:type="paragraph" w:styleId="14">
    <w:name w:val="Normal Indent"/>
    <w:basedOn w:val="1"/>
    <w:next w:val="15"/>
    <w:autoRedefine/>
    <w:qFormat/>
    <w:uiPriority w:val="0"/>
    <w:pPr>
      <w:adjustRightInd w:val="0"/>
      <w:ind w:firstLine="420"/>
    </w:pPr>
    <w:rPr>
      <w:rFonts w:eastAsia="楷体_GB2312"/>
      <w:sz w:val="24"/>
      <w:lang w:val="en-US" w:eastAsia="zh-CN" w:bidi="ar-SA"/>
    </w:rPr>
  </w:style>
  <w:style w:type="paragraph" w:customStyle="1" w:styleId="15">
    <w:name w:val="样式 正文缩进 + 首行缩进:  2 字符"/>
    <w:basedOn w:val="14"/>
    <w:autoRedefine/>
    <w:qFormat/>
    <w:uiPriority w:val="0"/>
    <w:pPr>
      <w:ind w:firstLine="560" w:firstLineChars="200"/>
    </w:pPr>
    <w:rPr>
      <w:rFonts w:cs="宋体"/>
    </w:rPr>
  </w:style>
  <w:style w:type="paragraph" w:styleId="16">
    <w:name w:val="caption"/>
    <w:basedOn w:val="1"/>
    <w:next w:val="1"/>
    <w:autoRedefine/>
    <w:qFormat/>
    <w:uiPriority w:val="0"/>
    <w:pPr>
      <w:spacing w:before="152" w:after="160"/>
    </w:pPr>
    <w:rPr>
      <w:rFonts w:ascii="Arial" w:hAnsi="Arial" w:eastAsia="黑体" w:cs="Arial"/>
      <w:sz w:val="20"/>
    </w:rPr>
  </w:style>
  <w:style w:type="paragraph" w:styleId="17">
    <w:name w:val="Document Map"/>
    <w:basedOn w:val="1"/>
    <w:link w:val="117"/>
    <w:autoRedefine/>
    <w:qFormat/>
    <w:uiPriority w:val="0"/>
    <w:pPr>
      <w:shd w:val="clear" w:color="auto" w:fill="000080"/>
    </w:pPr>
    <w:rPr>
      <w:szCs w:val="24"/>
    </w:rPr>
  </w:style>
  <w:style w:type="paragraph" w:styleId="18">
    <w:name w:val="toa heading"/>
    <w:basedOn w:val="1"/>
    <w:next w:val="1"/>
    <w:autoRedefine/>
    <w:qFormat/>
    <w:uiPriority w:val="0"/>
    <w:rPr>
      <w:rFonts w:ascii="Arial" w:hAnsi="Arial"/>
      <w:sz w:val="24"/>
    </w:rPr>
  </w:style>
  <w:style w:type="paragraph" w:styleId="19">
    <w:name w:val="annotation text"/>
    <w:basedOn w:val="1"/>
    <w:link w:val="100"/>
    <w:autoRedefine/>
    <w:qFormat/>
    <w:uiPriority w:val="0"/>
    <w:pPr>
      <w:jc w:val="left"/>
    </w:pPr>
  </w:style>
  <w:style w:type="paragraph" w:styleId="20">
    <w:name w:val="index 6"/>
    <w:basedOn w:val="1"/>
    <w:next w:val="1"/>
    <w:qFormat/>
    <w:uiPriority w:val="99"/>
    <w:pPr>
      <w:ind w:left="2100"/>
    </w:pPr>
  </w:style>
  <w:style w:type="paragraph" w:styleId="21">
    <w:name w:val="Body Text 3"/>
    <w:basedOn w:val="1"/>
    <w:link w:val="140"/>
    <w:autoRedefine/>
    <w:qFormat/>
    <w:uiPriority w:val="0"/>
    <w:pPr>
      <w:spacing w:after="120"/>
    </w:pPr>
    <w:rPr>
      <w:sz w:val="16"/>
      <w:szCs w:val="16"/>
    </w:rPr>
  </w:style>
  <w:style w:type="paragraph" w:styleId="22">
    <w:name w:val="Body Text"/>
    <w:basedOn w:val="1"/>
    <w:next w:val="1"/>
    <w:link w:val="131"/>
    <w:autoRedefine/>
    <w:qFormat/>
    <w:uiPriority w:val="0"/>
    <w:pPr>
      <w:spacing w:after="120"/>
    </w:pPr>
    <w:rPr>
      <w:szCs w:val="24"/>
    </w:rPr>
  </w:style>
  <w:style w:type="paragraph" w:styleId="23">
    <w:name w:val="Body Text Indent"/>
    <w:basedOn w:val="1"/>
    <w:next w:val="24"/>
    <w:link w:val="124"/>
    <w:autoRedefine/>
    <w:qFormat/>
    <w:uiPriority w:val="0"/>
    <w:pPr>
      <w:spacing w:line="360" w:lineRule="auto"/>
      <w:ind w:firstLine="560" w:firstLineChars="200"/>
    </w:pPr>
    <w:rPr>
      <w:sz w:val="28"/>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List 2"/>
    <w:basedOn w:val="1"/>
    <w:autoRedefine/>
    <w:qFormat/>
    <w:uiPriority w:val="0"/>
    <w:pPr>
      <w:ind w:left="100" w:leftChars="200" w:hanging="200" w:hangingChars="200"/>
    </w:pPr>
    <w:rPr>
      <w:szCs w:val="24"/>
    </w:rPr>
  </w:style>
  <w:style w:type="paragraph" w:styleId="26">
    <w:name w:val="toc 3"/>
    <w:basedOn w:val="1"/>
    <w:next w:val="1"/>
    <w:autoRedefine/>
    <w:qFormat/>
    <w:uiPriority w:val="39"/>
    <w:pPr>
      <w:ind w:left="840" w:leftChars="400"/>
    </w:pPr>
    <w:rPr>
      <w:szCs w:val="24"/>
    </w:rPr>
  </w:style>
  <w:style w:type="paragraph" w:styleId="27">
    <w:name w:val="Plain Text"/>
    <w:basedOn w:val="1"/>
    <w:link w:val="120"/>
    <w:autoRedefine/>
    <w:qFormat/>
    <w:uiPriority w:val="0"/>
    <w:rPr>
      <w:rFonts w:ascii="宋体" w:hAnsi="Courier New"/>
    </w:rPr>
  </w:style>
  <w:style w:type="paragraph" w:styleId="28">
    <w:name w:val="Date"/>
    <w:basedOn w:val="1"/>
    <w:next w:val="1"/>
    <w:link w:val="134"/>
    <w:autoRedefine/>
    <w:qFormat/>
    <w:uiPriority w:val="0"/>
    <w:pPr>
      <w:ind w:left="100" w:leftChars="2500"/>
    </w:pPr>
    <w:rPr>
      <w:szCs w:val="24"/>
    </w:rPr>
  </w:style>
  <w:style w:type="paragraph" w:styleId="29">
    <w:name w:val="Body Text Indent 2"/>
    <w:basedOn w:val="1"/>
    <w:link w:val="142"/>
    <w:autoRedefine/>
    <w:qFormat/>
    <w:uiPriority w:val="0"/>
    <w:pPr>
      <w:spacing w:after="120" w:line="480" w:lineRule="auto"/>
      <w:ind w:left="420" w:leftChars="200"/>
    </w:pPr>
    <w:rPr>
      <w:szCs w:val="24"/>
    </w:rPr>
  </w:style>
  <w:style w:type="paragraph" w:styleId="30">
    <w:name w:val="Balloon Text"/>
    <w:basedOn w:val="1"/>
    <w:link w:val="141"/>
    <w:autoRedefine/>
    <w:qFormat/>
    <w:uiPriority w:val="0"/>
    <w:rPr>
      <w:sz w:val="18"/>
      <w:szCs w:val="18"/>
    </w:rPr>
  </w:style>
  <w:style w:type="paragraph" w:styleId="31">
    <w:name w:val="footer"/>
    <w:basedOn w:val="1"/>
    <w:link w:val="118"/>
    <w:autoRedefine/>
    <w:qFormat/>
    <w:uiPriority w:val="99"/>
    <w:pPr>
      <w:tabs>
        <w:tab w:val="center" w:pos="4153"/>
        <w:tab w:val="right" w:pos="8306"/>
      </w:tabs>
      <w:snapToGrid w:val="0"/>
      <w:jc w:val="left"/>
    </w:pPr>
    <w:rPr>
      <w:sz w:val="18"/>
      <w:szCs w:val="18"/>
    </w:rPr>
  </w:style>
  <w:style w:type="paragraph" w:styleId="3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autoRedefine/>
    <w:qFormat/>
    <w:uiPriority w:val="39"/>
    <w:rPr>
      <w:szCs w:val="24"/>
    </w:rPr>
  </w:style>
  <w:style w:type="paragraph" w:styleId="34">
    <w:name w:val="Subtitle"/>
    <w:basedOn w:val="1"/>
    <w:next w:val="1"/>
    <w:link w:val="129"/>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before="312" w:beforeLines="100" w:line="360" w:lineRule="auto"/>
      <w:jc w:val="center"/>
    </w:pPr>
    <w:rPr>
      <w:rFonts w:ascii="宋体" w:hAnsi="宋体"/>
      <w:b/>
      <w:sz w:val="28"/>
      <w:szCs w:val="24"/>
    </w:rPr>
  </w:style>
  <w:style w:type="paragraph" w:styleId="36">
    <w:name w:val="footnote text"/>
    <w:basedOn w:val="1"/>
    <w:link w:val="128"/>
    <w:autoRedefine/>
    <w:qFormat/>
    <w:uiPriority w:val="0"/>
    <w:pPr>
      <w:adjustRightInd w:val="0"/>
      <w:spacing w:line="312" w:lineRule="atLeast"/>
      <w:textAlignment w:val="baseline"/>
    </w:pPr>
    <w:rPr>
      <w:kern w:val="0"/>
      <w:sz w:val="18"/>
    </w:rPr>
  </w:style>
  <w:style w:type="paragraph" w:styleId="37">
    <w:name w:val="Body Text Indent 3"/>
    <w:basedOn w:val="1"/>
    <w:link w:val="105"/>
    <w:autoRedefine/>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8">
    <w:name w:val="index 7"/>
    <w:basedOn w:val="1"/>
    <w:next w:val="1"/>
    <w:autoRedefine/>
    <w:qFormat/>
    <w:uiPriority w:val="0"/>
    <w:pPr>
      <w:ind w:left="1200" w:leftChars="1200"/>
    </w:pPr>
    <w:rPr>
      <w:szCs w:val="24"/>
    </w:rPr>
  </w:style>
  <w:style w:type="paragraph" w:styleId="39">
    <w:name w:val="toc 2"/>
    <w:basedOn w:val="1"/>
    <w:next w:val="1"/>
    <w:autoRedefine/>
    <w:qFormat/>
    <w:uiPriority w:val="39"/>
    <w:pPr>
      <w:ind w:left="420" w:leftChars="200"/>
    </w:pPr>
    <w:rPr>
      <w:szCs w:val="24"/>
    </w:rPr>
  </w:style>
  <w:style w:type="paragraph" w:styleId="40">
    <w:name w:val="HTML Preformatted"/>
    <w:basedOn w:val="1"/>
    <w:link w:val="10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autoRedefine/>
    <w:qFormat/>
    <w:uiPriority w:val="0"/>
    <w:pPr>
      <w:spacing w:before="100" w:beforeLines="0" w:beforeAutospacing="1" w:after="100" w:afterLines="0" w:afterAutospacing="1"/>
      <w:jc w:val="left"/>
    </w:pPr>
    <w:rPr>
      <w:rFonts w:ascii="Calibri" w:hAnsi="Calibri"/>
      <w:kern w:val="0"/>
      <w:sz w:val="24"/>
      <w:szCs w:val="24"/>
    </w:rPr>
  </w:style>
  <w:style w:type="paragraph" w:styleId="42">
    <w:name w:val="Title"/>
    <w:basedOn w:val="1"/>
    <w:next w:val="1"/>
    <w:link w:val="133"/>
    <w:autoRedefine/>
    <w:qFormat/>
    <w:uiPriority w:val="0"/>
    <w:pPr>
      <w:spacing w:before="240" w:after="60"/>
      <w:jc w:val="center"/>
      <w:outlineLvl w:val="0"/>
    </w:pPr>
    <w:rPr>
      <w:rFonts w:ascii="Cambria" w:hAnsi="Cambria"/>
      <w:b/>
      <w:bCs/>
      <w:sz w:val="32"/>
      <w:szCs w:val="32"/>
    </w:rPr>
  </w:style>
  <w:style w:type="paragraph" w:styleId="43">
    <w:name w:val="annotation subject"/>
    <w:basedOn w:val="19"/>
    <w:next w:val="19"/>
    <w:link w:val="113"/>
    <w:autoRedefine/>
    <w:qFormat/>
    <w:uiPriority w:val="0"/>
    <w:rPr>
      <w:b/>
      <w:bCs/>
      <w:szCs w:val="24"/>
    </w:rPr>
  </w:style>
  <w:style w:type="paragraph" w:styleId="44">
    <w:name w:val="Body Text First Indent"/>
    <w:basedOn w:val="22"/>
    <w:autoRedefine/>
    <w:qFormat/>
    <w:uiPriority w:val="0"/>
    <w:pPr>
      <w:tabs>
        <w:tab w:val="left" w:pos="9214"/>
      </w:tabs>
      <w:spacing w:after="0"/>
      <w:ind w:firstLine="200" w:firstLineChars="200"/>
    </w:pPr>
  </w:style>
  <w:style w:type="paragraph" w:styleId="45">
    <w:name w:val="Body Text First Indent 2"/>
    <w:basedOn w:val="23"/>
    <w:next w:val="1"/>
    <w:link w:val="123"/>
    <w:autoRedefine/>
    <w:qFormat/>
    <w:uiPriority w:val="0"/>
    <w:pPr>
      <w:ind w:left="1588" w:leftChars="832" w:firstLine="433"/>
    </w:pPr>
    <w:rPr>
      <w:rFonts w:eastAsia="仿宋_GB2312"/>
      <w:spacing w:val="15"/>
      <w:kern w:val="10"/>
      <w:sz w:val="24"/>
      <w:szCs w:val="24"/>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Char Char Char Char"/>
    <w:basedOn w:val="1"/>
    <w:link w:val="48"/>
    <w:autoRedefine/>
    <w:qFormat/>
    <w:uiPriority w:val="0"/>
    <w:rPr>
      <w:szCs w:val="21"/>
    </w:rPr>
  </w:style>
  <w:style w:type="character" w:styleId="50">
    <w:name w:val="Strong"/>
    <w:basedOn w:val="48"/>
    <w:autoRedefine/>
    <w:qFormat/>
    <w:uiPriority w:val="0"/>
    <w:rPr>
      <w:b/>
      <w:bCs/>
    </w:rPr>
  </w:style>
  <w:style w:type="character" w:styleId="51">
    <w:name w:val="page number"/>
    <w:basedOn w:val="48"/>
    <w:autoRedefine/>
    <w:qFormat/>
    <w:uiPriority w:val="0"/>
  </w:style>
  <w:style w:type="character" w:styleId="52">
    <w:name w:val="Emphasis"/>
    <w:basedOn w:val="48"/>
    <w:autoRedefine/>
    <w:qFormat/>
    <w:uiPriority w:val="0"/>
    <w:rPr>
      <w:i/>
    </w:rPr>
  </w:style>
  <w:style w:type="character" w:styleId="53">
    <w:name w:val="Hyperlink"/>
    <w:basedOn w:val="48"/>
    <w:autoRedefine/>
    <w:qFormat/>
    <w:uiPriority w:val="99"/>
    <w:rPr>
      <w:color w:val="0000FF"/>
      <w:u w:val="single"/>
    </w:rPr>
  </w:style>
  <w:style w:type="character" w:styleId="54">
    <w:name w:val="annotation reference"/>
    <w:autoRedefine/>
    <w:qFormat/>
    <w:uiPriority w:val="0"/>
    <w:rPr>
      <w:sz w:val="21"/>
      <w:szCs w:val="21"/>
    </w:rPr>
  </w:style>
  <w:style w:type="paragraph" w:customStyle="1" w:styleId="55">
    <w:name w:val="正"/>
    <w:basedOn w:val="56"/>
    <w:autoRedefine/>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6">
    <w:name w:val="正文_1"/>
    <w:next w:val="55"/>
    <w:autoRedefine/>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7">
    <w:name w:val="正文文字 1"/>
    <w:basedOn w:val="1"/>
    <w:next w:val="1"/>
    <w:autoRedefine/>
    <w:qFormat/>
    <w:uiPriority w:val="0"/>
    <w:pPr>
      <w:ind w:left="240"/>
    </w:pPr>
    <w:rPr>
      <w:rFonts w:ascii="Calibri" w:hAnsi="Calibri" w:eastAsia="仿宋_GB2312" w:cs="Times New Roman"/>
      <w:sz w:val="28"/>
    </w:rPr>
  </w:style>
  <w:style w:type="paragraph" w:customStyle="1" w:styleId="58">
    <w:name w:val="文本正文"/>
    <w:basedOn w:val="1"/>
    <w:autoRedefine/>
    <w:qFormat/>
    <w:uiPriority w:val="0"/>
    <w:pPr>
      <w:spacing w:afterLines="50"/>
      <w:ind w:firstLine="200" w:firstLineChars="200"/>
      <w:jc w:val="left"/>
    </w:pPr>
    <w:rPr>
      <w:rFonts w:ascii="Calibri" w:hAnsi="Calibri"/>
      <w:szCs w:val="22"/>
      <w:lang w:bidi="en-US"/>
    </w:rPr>
  </w:style>
  <w:style w:type="paragraph" w:customStyle="1" w:styleId="59">
    <w:name w:val="样式1"/>
    <w:basedOn w:val="18"/>
    <w:next w:val="5"/>
    <w:autoRedefine/>
    <w:qFormat/>
    <w:uiPriority w:val="0"/>
    <w:pPr>
      <w:numPr>
        <w:ilvl w:val="0"/>
        <w:numId w:val="1"/>
      </w:numPr>
      <w:tabs>
        <w:tab w:val="left" w:pos="1110"/>
      </w:tabs>
      <w:adjustRightInd w:val="0"/>
      <w:textAlignment w:val="baseline"/>
    </w:pPr>
    <w:rPr>
      <w:rFonts w:ascii="宋体" w:hAnsi="宋体"/>
      <w:kern w:val="0"/>
      <w:szCs w:val="21"/>
    </w:rPr>
  </w:style>
  <w:style w:type="character" w:customStyle="1" w:styleId="60">
    <w:name w:val="标题 1 Char"/>
    <w:link w:val="2"/>
    <w:autoRedefine/>
    <w:qFormat/>
    <w:uiPriority w:val="0"/>
    <w:rPr>
      <w:b/>
      <w:bCs/>
      <w:kern w:val="44"/>
      <w:sz w:val="44"/>
      <w:szCs w:val="44"/>
    </w:rPr>
  </w:style>
  <w:style w:type="paragraph" w:customStyle="1" w:styleId="61">
    <w:name w:val="_Style 5"/>
    <w:basedOn w:val="1"/>
    <w:autoRedefine/>
    <w:qFormat/>
    <w:uiPriority w:val="0"/>
    <w:pPr>
      <w:tabs>
        <w:tab w:val="left" w:pos="360"/>
      </w:tabs>
      <w:ind w:firstLine="420" w:firstLineChars="150"/>
    </w:pPr>
    <w:rPr>
      <w:rFonts w:ascii="Arial" w:hAnsi="Arial" w:cs="Arial"/>
      <w:sz w:val="20"/>
    </w:rPr>
  </w:style>
  <w:style w:type="paragraph" w:customStyle="1" w:styleId="62">
    <w:name w:val="WPSOffice手动目录 1"/>
    <w:autoRedefine/>
    <w:qFormat/>
    <w:uiPriority w:val="0"/>
    <w:rPr>
      <w:rFonts w:ascii="Times New Roman" w:hAnsi="Times New Roman" w:eastAsia="宋体" w:cs="Times New Roman"/>
      <w:lang w:val="en-US" w:eastAsia="zh-CN" w:bidi="ar-SA"/>
    </w:rPr>
  </w:style>
  <w:style w:type="paragraph" w:customStyle="1" w:styleId="63">
    <w:name w:val="pa-7"/>
    <w:basedOn w:val="1"/>
    <w:autoRedefine/>
    <w:qFormat/>
    <w:uiPriority w:val="0"/>
    <w:pPr>
      <w:widowControl/>
      <w:spacing w:before="150" w:beforeLines="0" w:after="150" w:afterLines="0"/>
      <w:jc w:val="left"/>
    </w:pPr>
    <w:rPr>
      <w:rFonts w:ascii="宋体" w:hAnsi="宋体" w:cs="宋体"/>
      <w:kern w:val="0"/>
      <w:sz w:val="24"/>
      <w:szCs w:val="24"/>
    </w:rPr>
  </w:style>
  <w:style w:type="paragraph" w:customStyle="1" w:styleId="64">
    <w:name w:val="Char Char Char Char Char Char"/>
    <w:basedOn w:val="17"/>
    <w:autoRedefine/>
    <w:qFormat/>
    <w:uiPriority w:val="0"/>
    <w:rPr>
      <w:rFonts w:ascii="Tahoma" w:hAnsi="Tahoma"/>
      <w:sz w:val="24"/>
    </w:rPr>
  </w:style>
  <w:style w:type="paragraph" w:customStyle="1" w:styleId="65">
    <w:name w:val="缺省文本"/>
    <w:autoRedefine/>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6">
    <w:name w:val="p16"/>
    <w:basedOn w:val="1"/>
    <w:autoRedefine/>
    <w:qFormat/>
    <w:uiPriority w:val="0"/>
    <w:pPr>
      <w:widowControl/>
    </w:pPr>
    <w:rPr>
      <w:kern w:val="0"/>
      <w:szCs w:val="21"/>
    </w:rPr>
  </w:style>
  <w:style w:type="paragraph" w:customStyle="1" w:styleId="67">
    <w:name w:val="WPSOffice手动目录 2"/>
    <w:autoRedefine/>
    <w:qFormat/>
    <w:uiPriority w:val="0"/>
    <w:pPr>
      <w:ind w:leftChars="200"/>
    </w:pPr>
    <w:rPr>
      <w:rFonts w:ascii="Times New Roman" w:hAnsi="Times New Roman" w:eastAsia="宋体" w:cs="Times New Roman"/>
      <w:sz w:val="20"/>
      <w:szCs w:val="20"/>
    </w:rPr>
  </w:style>
  <w:style w:type="paragraph" w:customStyle="1" w:styleId="68">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 Char Char Char Char"/>
    <w:basedOn w:val="1"/>
    <w:autoRedefine/>
    <w:qFormat/>
    <w:uiPriority w:val="0"/>
    <w:pPr>
      <w:tabs>
        <w:tab w:val="left" w:pos="360"/>
      </w:tabs>
      <w:ind w:firstLine="420" w:firstLineChars="150"/>
    </w:pPr>
    <w:rPr>
      <w:rFonts w:ascii="Arial" w:hAnsi="Arial" w:cs="Arial"/>
      <w:sz w:val="20"/>
    </w:rPr>
  </w:style>
  <w:style w:type="paragraph" w:customStyle="1" w:styleId="70">
    <w:name w:val="Plain Text1"/>
    <w:basedOn w:val="1"/>
    <w:autoRedefine/>
    <w:qFormat/>
    <w:uiPriority w:val="99"/>
    <w:rPr>
      <w:rFonts w:ascii="宋体" w:hAnsi="Courier New"/>
    </w:rPr>
  </w:style>
  <w:style w:type="paragraph" w:customStyle="1" w:styleId="71">
    <w:name w:val="Char Char Char"/>
    <w:basedOn w:val="1"/>
    <w:autoRedefine/>
    <w:qFormat/>
    <w:uiPriority w:val="0"/>
    <w:pPr>
      <w:widowControl/>
      <w:spacing w:after="160" w:line="240" w:lineRule="exact"/>
      <w:jc w:val="left"/>
    </w:pPr>
    <w:rPr>
      <w:szCs w:val="24"/>
    </w:rPr>
  </w:style>
  <w:style w:type="paragraph" w:customStyle="1" w:styleId="72">
    <w:name w:val="正文缩进1"/>
    <w:basedOn w:val="1"/>
    <w:autoRedefine/>
    <w:qFormat/>
    <w:uiPriority w:val="0"/>
    <w:pPr>
      <w:autoSpaceDE w:val="0"/>
      <w:autoSpaceDN w:val="0"/>
      <w:adjustRightInd w:val="0"/>
      <w:ind w:firstLine="420"/>
    </w:pPr>
    <w:rPr>
      <w:rFonts w:ascii="宋体" w:hAnsi="Calibri"/>
      <w:szCs w:val="22"/>
    </w:rPr>
  </w:style>
  <w:style w:type="paragraph" w:customStyle="1" w:styleId="73">
    <w:name w:val="Normal"/>
    <w:autoRedefine/>
    <w:qFormat/>
    <w:uiPriority w:val="0"/>
    <w:rPr>
      <w:rFonts w:ascii="Times New Roman" w:hAnsi="Times New Roman" w:eastAsia="Times New Roman" w:cs="Times New Roman"/>
      <w:sz w:val="24"/>
      <w:szCs w:val="24"/>
      <w:lang w:val="en-US" w:eastAsia="zh-CN" w:bidi="ar-SA"/>
    </w:rPr>
  </w:style>
  <w:style w:type="paragraph" w:customStyle="1" w:styleId="74">
    <w:name w:val="List 2"/>
    <w:basedOn w:val="1"/>
    <w:autoRedefine/>
    <w:qFormat/>
    <w:uiPriority w:val="0"/>
    <w:pPr>
      <w:spacing w:beforeAutospacing="1" w:afterAutospacing="1" w:line="360" w:lineRule="auto"/>
      <w:ind w:left="100" w:leftChars="200" w:hanging="200" w:hangingChars="200"/>
      <w:contextualSpacing/>
    </w:pPr>
    <w:rPr>
      <w:sz w:val="24"/>
    </w:rPr>
  </w:style>
  <w:style w:type="paragraph" w:customStyle="1" w:styleId="75">
    <w:name w:val="_Style 6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6">
    <w:name w:val="_Style 7"/>
    <w:basedOn w:val="1"/>
    <w:autoRedefine/>
    <w:qFormat/>
    <w:uiPriority w:val="0"/>
    <w:pPr>
      <w:tabs>
        <w:tab w:val="left" w:pos="360"/>
      </w:tabs>
      <w:ind w:firstLine="420" w:firstLineChars="150"/>
    </w:pPr>
    <w:rPr>
      <w:rFonts w:ascii="Arial" w:hAnsi="Arial" w:cs="Arial"/>
      <w:sz w:val="20"/>
    </w:rPr>
  </w:style>
  <w:style w:type="paragraph" w:customStyle="1" w:styleId="77">
    <w:name w:val="_Style 11"/>
    <w:basedOn w:val="1"/>
    <w:autoRedefine/>
    <w:qFormat/>
    <w:uiPriority w:val="0"/>
    <w:pPr>
      <w:tabs>
        <w:tab w:val="left" w:pos="360"/>
      </w:tabs>
      <w:ind w:firstLine="420" w:firstLineChars="150"/>
    </w:pPr>
    <w:rPr>
      <w:rFonts w:ascii="Arial" w:hAnsi="Arial" w:cs="Arial"/>
      <w:sz w:val="20"/>
    </w:rPr>
  </w:style>
  <w:style w:type="paragraph" w:customStyle="1" w:styleId="78">
    <w:name w:val="p15"/>
    <w:basedOn w:val="1"/>
    <w:autoRedefine/>
    <w:qFormat/>
    <w:uiPriority w:val="0"/>
    <w:pPr>
      <w:widowControl/>
    </w:pPr>
    <w:rPr>
      <w:rFonts w:ascii="宋体" w:hAnsi="宋体" w:cs="宋体"/>
      <w:kern w:val="0"/>
      <w:szCs w:val="21"/>
    </w:rPr>
  </w:style>
  <w:style w:type="paragraph" w:customStyle="1" w:styleId="79">
    <w:name w:val="正文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0">
    <w:name w:val="正文1"/>
    <w:basedOn w:val="1"/>
    <w:autoRedefine/>
    <w:qFormat/>
    <w:uiPriority w:val="0"/>
    <w:pPr>
      <w:spacing w:before="156" w:beforeLines="50" w:line="360" w:lineRule="auto"/>
      <w:ind w:firstLine="420" w:firstLineChars="200"/>
    </w:pPr>
    <w:rPr>
      <w:rFonts w:ascii="宋体" w:hAnsi="宋体"/>
      <w:iCs/>
      <w:szCs w:val="21"/>
    </w:rPr>
  </w:style>
  <w:style w:type="paragraph" w:customStyle="1" w:styleId="81">
    <w:name w:val="样式 标题 2 + 宋体 五号 非加粗 黑色"/>
    <w:basedOn w:val="3"/>
    <w:autoRedefine/>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82">
    <w:name w:val="正文序号 1"/>
    <w:basedOn w:val="1"/>
    <w:autoRedefine/>
    <w:qFormat/>
    <w:uiPriority w:val="0"/>
    <w:pPr>
      <w:numPr>
        <w:ilvl w:val="0"/>
        <w:numId w:val="3"/>
      </w:numPr>
      <w:tabs>
        <w:tab w:val="left" w:pos="502"/>
        <w:tab w:val="left" w:pos="839"/>
      </w:tabs>
      <w:spacing w:before="60"/>
    </w:pPr>
    <w:rPr>
      <w:szCs w:val="24"/>
    </w:rPr>
  </w:style>
  <w:style w:type="paragraph" w:customStyle="1" w:styleId="83">
    <w:name w:val="p0"/>
    <w:basedOn w:val="1"/>
    <w:autoRedefine/>
    <w:qFormat/>
    <w:uiPriority w:val="0"/>
    <w:pPr>
      <w:widowControl/>
      <w:jc w:val="left"/>
    </w:pPr>
    <w:rPr>
      <w:kern w:val="0"/>
      <w:szCs w:val="21"/>
    </w:rPr>
  </w:style>
  <w:style w:type="paragraph" w:customStyle="1" w:styleId="84">
    <w:name w:val="Char Char2"/>
    <w:basedOn w:val="1"/>
    <w:autoRedefine/>
    <w:qFormat/>
    <w:uiPriority w:val="0"/>
    <w:pPr>
      <w:widowControl/>
      <w:spacing w:after="160" w:line="240" w:lineRule="exact"/>
      <w:jc w:val="left"/>
    </w:pPr>
    <w:rPr>
      <w:rFonts w:ascii="Verdana" w:hAnsi="Verdana"/>
      <w:kern w:val="0"/>
      <w:sz w:val="20"/>
      <w:lang w:eastAsia="en-US"/>
    </w:rPr>
  </w:style>
  <w:style w:type="paragraph" w:customStyle="1" w:styleId="85">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86">
    <w:name w:val=" Char"/>
    <w:basedOn w:val="1"/>
    <w:autoRedefine/>
    <w:qFormat/>
    <w:uiPriority w:val="0"/>
    <w:pPr>
      <w:widowControl/>
      <w:spacing w:after="160" w:afterLines="0" w:line="240" w:lineRule="exact"/>
      <w:jc w:val="left"/>
    </w:pPr>
    <w:rPr>
      <w:rFonts w:ascii="Verdana" w:hAnsi="Verdana" w:cs="Verdana"/>
      <w:kern w:val="0"/>
      <w:szCs w:val="21"/>
      <w:lang w:eastAsia="en-US"/>
    </w:rPr>
  </w:style>
  <w:style w:type="paragraph" w:customStyle="1" w:styleId="87">
    <w:name w:val="列出段落1"/>
    <w:basedOn w:val="1"/>
    <w:autoRedefine/>
    <w:qFormat/>
    <w:uiPriority w:val="34"/>
    <w:pPr>
      <w:ind w:firstLine="420" w:firstLineChars="200"/>
    </w:pPr>
  </w:style>
  <w:style w:type="paragraph" w:customStyle="1" w:styleId="8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9">
    <w:name w:val="Char"/>
    <w:basedOn w:val="1"/>
    <w:autoRedefine/>
    <w:qFormat/>
    <w:uiPriority w:val="0"/>
    <w:pPr>
      <w:tabs>
        <w:tab w:val="left" w:pos="360"/>
      </w:tabs>
      <w:spacing w:line="360" w:lineRule="auto"/>
      <w:ind w:firstLine="480" w:firstLineChars="200"/>
    </w:pPr>
    <w:rPr>
      <w:rFonts w:ascii="楷体_GB2312" w:eastAsia="楷体_GB2312"/>
      <w:sz w:val="24"/>
      <w:szCs w:val="24"/>
    </w:rPr>
  </w:style>
  <w:style w:type="paragraph" w:customStyle="1" w:styleId="90">
    <w:name w:val="表头文本"/>
    <w:basedOn w:val="1"/>
    <w:autoRedefine/>
    <w:qFormat/>
    <w:uiPriority w:val="0"/>
    <w:pPr>
      <w:autoSpaceDE w:val="0"/>
      <w:autoSpaceDN w:val="0"/>
      <w:adjustRightInd w:val="0"/>
      <w:jc w:val="center"/>
    </w:pPr>
    <w:rPr>
      <w:b/>
      <w:kern w:val="0"/>
      <w:sz w:val="24"/>
    </w:rPr>
  </w:style>
  <w:style w:type="paragraph" w:customStyle="1" w:styleId="91">
    <w:name w:val="默认段落字体 Para Char Char Char Char Char Char Char Char Char Char Char Char Char Char Char Char"/>
    <w:basedOn w:val="1"/>
    <w:autoRedefine/>
    <w:qFormat/>
    <w:uiPriority w:val="0"/>
    <w:rPr>
      <w:rFonts w:ascii="Tahoma" w:hAnsi="Tahoma"/>
      <w:sz w:val="24"/>
    </w:rPr>
  </w:style>
  <w:style w:type="paragraph" w:customStyle="1" w:styleId="92">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样式2"/>
    <w:basedOn w:val="1"/>
    <w:autoRedefine/>
    <w:qFormat/>
    <w:uiPriority w:val="0"/>
    <w:pPr>
      <w:spacing w:line="560" w:lineRule="exact"/>
      <w:ind w:firstLine="601"/>
    </w:pPr>
    <w:rPr>
      <w:rFonts w:eastAsia="宋体"/>
      <w:kern w:val="2"/>
      <w:sz w:val="28"/>
      <w:lang w:val="en-US" w:eastAsia="zh-CN" w:bidi="ar-SA"/>
    </w:rPr>
  </w:style>
  <w:style w:type="paragraph" w:customStyle="1" w:styleId="9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标题 3_0"/>
    <w:basedOn w:val="79"/>
    <w:next w:val="79"/>
    <w:link w:val="126"/>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6">
    <w:name w:val="附件正文"/>
    <w:basedOn w:val="1"/>
    <w:autoRedefine/>
    <w:qFormat/>
    <w:uiPriority w:val="0"/>
    <w:pPr>
      <w:snapToGrid w:val="0"/>
      <w:spacing w:line="500" w:lineRule="exact"/>
      <w:ind w:firstLine="540" w:firstLineChars="225"/>
    </w:pPr>
    <w:rPr>
      <w:kern w:val="0"/>
      <w:sz w:val="24"/>
      <w:szCs w:val="24"/>
    </w:rPr>
  </w:style>
  <w:style w:type="paragraph" w:styleId="97">
    <w:name w:val="List Paragraph"/>
    <w:basedOn w:val="1"/>
    <w:autoRedefine/>
    <w:qFormat/>
    <w:uiPriority w:val="0"/>
    <w:pPr>
      <w:ind w:firstLine="420" w:firstLineChars="200"/>
    </w:pPr>
    <w:rPr>
      <w:rFonts w:ascii="Calibri" w:hAnsi="Calibri"/>
      <w:szCs w:val="22"/>
    </w:rPr>
  </w:style>
  <w:style w:type="paragraph" w:customStyle="1" w:styleId="98">
    <w:name w:val="正文文字"/>
    <w:basedOn w:val="1"/>
    <w:link w:val="125"/>
    <w:autoRedefine/>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9">
    <w:name w:val="WPSOffice手动目录 3"/>
    <w:autoRedefine/>
    <w:qFormat/>
    <w:uiPriority w:val="0"/>
    <w:pPr>
      <w:ind w:leftChars="400"/>
    </w:pPr>
    <w:rPr>
      <w:rFonts w:ascii="Times New Roman" w:hAnsi="Times New Roman" w:eastAsia="宋体" w:cs="Times New Roman"/>
      <w:sz w:val="20"/>
      <w:szCs w:val="20"/>
    </w:rPr>
  </w:style>
  <w:style w:type="character" w:customStyle="1" w:styleId="100">
    <w:name w:val="批注文字 Char1"/>
    <w:basedOn w:val="48"/>
    <w:link w:val="19"/>
    <w:autoRedefine/>
    <w:qFormat/>
    <w:uiPriority w:val="0"/>
    <w:rPr>
      <w:kern w:val="2"/>
      <w:sz w:val="21"/>
    </w:rPr>
  </w:style>
  <w:style w:type="character" w:customStyle="1" w:styleId="101">
    <w:name w:val="批注文字 Char"/>
    <w:autoRedefine/>
    <w:qFormat/>
    <w:uiPriority w:val="0"/>
    <w:rPr>
      <w:rFonts w:eastAsia="宋体"/>
      <w:kern w:val="2"/>
      <w:sz w:val="21"/>
      <w:szCs w:val="24"/>
      <w:lang w:val="en-US" w:eastAsia="zh-CN" w:bidi="ar-SA"/>
    </w:rPr>
  </w:style>
  <w:style w:type="character" w:customStyle="1" w:styleId="102">
    <w:name w:val="font41"/>
    <w:basedOn w:val="48"/>
    <w:autoRedefine/>
    <w:qFormat/>
    <w:uiPriority w:val="0"/>
    <w:rPr>
      <w:rFonts w:hint="eastAsia" w:ascii="宋体" w:hAnsi="宋体" w:eastAsia="宋体" w:cs="宋体"/>
      <w:color w:val="000000"/>
      <w:sz w:val="20"/>
      <w:szCs w:val="20"/>
      <w:u w:val="none"/>
    </w:rPr>
  </w:style>
  <w:style w:type="character" w:customStyle="1" w:styleId="103">
    <w:name w:val="font141"/>
    <w:basedOn w:val="48"/>
    <w:autoRedefine/>
    <w:qFormat/>
    <w:uiPriority w:val="0"/>
    <w:rPr>
      <w:rFonts w:hint="eastAsia" w:ascii="宋体" w:hAnsi="宋体" w:eastAsia="宋体" w:cs="宋体"/>
      <w:color w:val="000000"/>
      <w:sz w:val="24"/>
      <w:szCs w:val="24"/>
      <w:u w:val="none"/>
    </w:rPr>
  </w:style>
  <w:style w:type="character" w:customStyle="1" w:styleId="104">
    <w:name w:val="font51"/>
    <w:basedOn w:val="48"/>
    <w:autoRedefine/>
    <w:qFormat/>
    <w:uiPriority w:val="0"/>
    <w:rPr>
      <w:rFonts w:hint="eastAsia" w:ascii="宋体" w:hAnsi="宋体" w:eastAsia="宋体" w:cs="宋体"/>
      <w:color w:val="FF0000"/>
      <w:sz w:val="20"/>
      <w:szCs w:val="20"/>
      <w:u w:val="none"/>
    </w:rPr>
  </w:style>
  <w:style w:type="character" w:customStyle="1" w:styleId="105">
    <w:name w:val="正文文本缩进 3 Char"/>
    <w:basedOn w:val="48"/>
    <w:link w:val="37"/>
    <w:autoRedefine/>
    <w:qFormat/>
    <w:uiPriority w:val="0"/>
    <w:rPr>
      <w:rFonts w:eastAsia="黑体"/>
      <w:b/>
      <w:bCs/>
      <w:kern w:val="2"/>
      <w:sz w:val="72"/>
      <w:szCs w:val="24"/>
    </w:rPr>
  </w:style>
  <w:style w:type="character" w:customStyle="1" w:styleId="106">
    <w:name w:val="HTML 预设格式 Char"/>
    <w:basedOn w:val="48"/>
    <w:link w:val="40"/>
    <w:autoRedefine/>
    <w:qFormat/>
    <w:uiPriority w:val="0"/>
    <w:rPr>
      <w:rFonts w:ascii="宋体" w:hAnsi="宋体"/>
      <w:sz w:val="24"/>
      <w:szCs w:val="24"/>
    </w:rPr>
  </w:style>
  <w:style w:type="character" w:customStyle="1" w:styleId="107">
    <w:name w:val="font31"/>
    <w:basedOn w:val="48"/>
    <w:autoRedefine/>
    <w:qFormat/>
    <w:uiPriority w:val="0"/>
    <w:rPr>
      <w:rFonts w:hint="eastAsia" w:ascii="宋体" w:hAnsi="宋体" w:eastAsia="宋体" w:cs="宋体"/>
      <w:color w:val="000000"/>
      <w:sz w:val="16"/>
      <w:szCs w:val="16"/>
      <w:u w:val="none"/>
    </w:rPr>
  </w:style>
  <w:style w:type="character" w:customStyle="1" w:styleId="108">
    <w:name w:val="标题 3 Char"/>
    <w:basedOn w:val="48"/>
    <w:link w:val="4"/>
    <w:autoRedefine/>
    <w:qFormat/>
    <w:uiPriority w:val="0"/>
    <w:rPr>
      <w:b/>
      <w:bCs/>
      <w:kern w:val="2"/>
      <w:sz w:val="32"/>
      <w:szCs w:val="32"/>
    </w:rPr>
  </w:style>
  <w:style w:type="character" w:customStyle="1" w:styleId="109">
    <w:name w:val="正文文本缩进 Char"/>
    <w:autoRedefine/>
    <w:qFormat/>
    <w:uiPriority w:val="0"/>
    <w:rPr>
      <w:rFonts w:eastAsia="宋体"/>
      <w:kern w:val="2"/>
      <w:sz w:val="24"/>
      <w:szCs w:val="24"/>
      <w:lang w:val="en-US" w:eastAsia="zh-CN" w:bidi="ar-SA"/>
    </w:rPr>
  </w:style>
  <w:style w:type="character" w:customStyle="1" w:styleId="110">
    <w:name w:val="font11"/>
    <w:basedOn w:val="48"/>
    <w:autoRedefine/>
    <w:qFormat/>
    <w:uiPriority w:val="0"/>
    <w:rPr>
      <w:rFonts w:hint="eastAsia" w:ascii="宋体" w:hAnsi="宋体" w:eastAsia="宋体" w:cs="宋体"/>
      <w:color w:val="000000"/>
      <w:sz w:val="16"/>
      <w:szCs w:val="16"/>
      <w:u w:val="none"/>
    </w:rPr>
  </w:style>
  <w:style w:type="character" w:customStyle="1" w:styleId="111">
    <w:name w:val="font01"/>
    <w:basedOn w:val="48"/>
    <w:autoRedefine/>
    <w:qFormat/>
    <w:uiPriority w:val="0"/>
    <w:rPr>
      <w:rFonts w:hint="eastAsia" w:ascii="宋体" w:hAnsi="宋体" w:eastAsia="宋体" w:cs="宋体"/>
      <w:color w:val="000000"/>
      <w:sz w:val="24"/>
      <w:szCs w:val="24"/>
      <w:u w:val="none"/>
    </w:rPr>
  </w:style>
  <w:style w:type="character" w:customStyle="1" w:styleId="112">
    <w:name w:val="正文文本 Char1"/>
    <w:basedOn w:val="48"/>
    <w:link w:val="22"/>
    <w:autoRedefine/>
    <w:qFormat/>
    <w:uiPriority w:val="0"/>
    <w:rPr>
      <w:kern w:val="2"/>
      <w:sz w:val="21"/>
    </w:rPr>
  </w:style>
  <w:style w:type="character" w:customStyle="1" w:styleId="113">
    <w:name w:val="批注主题 Char"/>
    <w:basedOn w:val="100"/>
    <w:link w:val="43"/>
    <w:autoRedefine/>
    <w:qFormat/>
    <w:uiPriority w:val="0"/>
  </w:style>
  <w:style w:type="character" w:customStyle="1" w:styleId="114">
    <w:name w:val="标题 6 Char"/>
    <w:basedOn w:val="48"/>
    <w:link w:val="7"/>
    <w:autoRedefine/>
    <w:qFormat/>
    <w:uiPriority w:val="0"/>
    <w:rPr>
      <w:rFonts w:eastAsia="黑体"/>
      <w:b/>
      <w:bCs/>
      <w:sz w:val="24"/>
      <w:szCs w:val="24"/>
    </w:rPr>
  </w:style>
  <w:style w:type="character" w:customStyle="1" w:styleId="115">
    <w:name w:val="font151"/>
    <w:basedOn w:val="48"/>
    <w:autoRedefine/>
    <w:qFormat/>
    <w:uiPriority w:val="0"/>
    <w:rPr>
      <w:rFonts w:hint="default" w:ascii="Times New Roman" w:hAnsi="Times New Roman" w:cs="Times New Roman"/>
      <w:color w:val="000000"/>
      <w:sz w:val="20"/>
      <w:szCs w:val="20"/>
      <w:u w:val="none"/>
    </w:rPr>
  </w:style>
  <w:style w:type="character" w:customStyle="1" w:styleId="116">
    <w:name w:val="font61"/>
    <w:basedOn w:val="48"/>
    <w:autoRedefine/>
    <w:qFormat/>
    <w:uiPriority w:val="0"/>
    <w:rPr>
      <w:rFonts w:hint="eastAsia" w:ascii="微软雅黑" w:hAnsi="微软雅黑" w:eastAsia="微软雅黑" w:cs="微软雅黑"/>
      <w:color w:val="000000"/>
      <w:sz w:val="16"/>
      <w:szCs w:val="16"/>
      <w:u w:val="none"/>
    </w:rPr>
  </w:style>
  <w:style w:type="character" w:customStyle="1" w:styleId="117">
    <w:name w:val="文档结构图 Char"/>
    <w:basedOn w:val="48"/>
    <w:link w:val="17"/>
    <w:autoRedefine/>
    <w:qFormat/>
    <w:uiPriority w:val="0"/>
    <w:rPr>
      <w:kern w:val="2"/>
      <w:sz w:val="21"/>
      <w:szCs w:val="24"/>
      <w:shd w:val="clear" w:color="auto" w:fill="000080"/>
    </w:rPr>
  </w:style>
  <w:style w:type="character" w:customStyle="1" w:styleId="118">
    <w:name w:val="页脚 Char"/>
    <w:link w:val="31"/>
    <w:autoRedefine/>
    <w:qFormat/>
    <w:uiPriority w:val="99"/>
    <w:rPr>
      <w:kern w:val="2"/>
      <w:sz w:val="18"/>
      <w:szCs w:val="18"/>
    </w:rPr>
  </w:style>
  <w:style w:type="character" w:customStyle="1" w:styleId="119">
    <w:name w:val="标题 8 Char"/>
    <w:basedOn w:val="48"/>
    <w:link w:val="9"/>
    <w:autoRedefine/>
    <w:qFormat/>
    <w:uiPriority w:val="0"/>
    <w:rPr>
      <w:rFonts w:eastAsia="黑体"/>
      <w:sz w:val="24"/>
      <w:szCs w:val="24"/>
    </w:rPr>
  </w:style>
  <w:style w:type="character" w:customStyle="1" w:styleId="120">
    <w:name w:val="纯文本 Char"/>
    <w:link w:val="27"/>
    <w:autoRedefine/>
    <w:qFormat/>
    <w:uiPriority w:val="0"/>
    <w:rPr>
      <w:rFonts w:ascii="宋体" w:hAnsi="Courier New"/>
      <w:kern w:val="2"/>
      <w:sz w:val="21"/>
    </w:rPr>
  </w:style>
  <w:style w:type="character" w:customStyle="1" w:styleId="121">
    <w:name w:val="font112"/>
    <w:basedOn w:val="48"/>
    <w:autoRedefine/>
    <w:qFormat/>
    <w:uiPriority w:val="0"/>
    <w:rPr>
      <w:rFonts w:hint="eastAsia" w:ascii="宋体" w:hAnsi="宋体" w:eastAsia="宋体" w:cs="宋体"/>
      <w:color w:val="000000"/>
      <w:sz w:val="16"/>
      <w:szCs w:val="16"/>
      <w:u w:val="none"/>
    </w:rPr>
  </w:style>
  <w:style w:type="character" w:customStyle="1" w:styleId="122">
    <w:name w:val="纯文本 Char1"/>
    <w:basedOn w:val="48"/>
    <w:autoRedefine/>
    <w:qFormat/>
    <w:uiPriority w:val="0"/>
    <w:rPr>
      <w:rFonts w:eastAsia="宋体"/>
      <w:kern w:val="2"/>
      <w:sz w:val="24"/>
      <w:lang w:val="en-US" w:eastAsia="zh-CN" w:bidi="ar-SA"/>
    </w:rPr>
  </w:style>
  <w:style w:type="character" w:customStyle="1" w:styleId="123">
    <w:name w:val="正文首行缩进 2 Char"/>
    <w:basedOn w:val="124"/>
    <w:link w:val="45"/>
    <w:autoRedefine/>
    <w:qFormat/>
    <w:uiPriority w:val="0"/>
  </w:style>
  <w:style w:type="character" w:customStyle="1" w:styleId="124">
    <w:name w:val="正文文本缩进 Char1"/>
    <w:basedOn w:val="48"/>
    <w:link w:val="23"/>
    <w:autoRedefine/>
    <w:qFormat/>
    <w:uiPriority w:val="0"/>
    <w:rPr>
      <w:kern w:val="2"/>
      <w:sz w:val="28"/>
    </w:rPr>
  </w:style>
  <w:style w:type="character" w:customStyle="1" w:styleId="125">
    <w:name w:val="正文文字 Char1"/>
    <w:basedOn w:val="48"/>
    <w:link w:val="98"/>
    <w:autoRedefine/>
    <w:qFormat/>
    <w:uiPriority w:val="0"/>
    <w:rPr>
      <w:rFonts w:ascii="宋体"/>
      <w:color w:val="000000"/>
      <w:kern w:val="0"/>
      <w:sz w:val="28"/>
      <w:u w:val="none" w:color="000000"/>
    </w:rPr>
  </w:style>
  <w:style w:type="character" w:customStyle="1" w:styleId="126">
    <w:name w:val="标题 3 Char_0"/>
    <w:link w:val="95"/>
    <w:autoRedefine/>
    <w:qFormat/>
    <w:uiPriority w:val="0"/>
    <w:rPr>
      <w:rFonts w:ascii="宋体" w:hAnsi="宋体"/>
      <w:b/>
      <w:kern w:val="2"/>
      <w:sz w:val="28"/>
      <w:szCs w:val="28"/>
    </w:rPr>
  </w:style>
  <w:style w:type="character" w:customStyle="1" w:styleId="127">
    <w:name w:val="font21"/>
    <w:basedOn w:val="48"/>
    <w:autoRedefine/>
    <w:qFormat/>
    <w:uiPriority w:val="0"/>
    <w:rPr>
      <w:rFonts w:hint="eastAsia" w:ascii="宋体" w:hAnsi="宋体" w:eastAsia="宋体" w:cs="宋体"/>
      <w:color w:val="000000"/>
      <w:sz w:val="22"/>
      <w:szCs w:val="22"/>
      <w:u w:val="none"/>
    </w:rPr>
  </w:style>
  <w:style w:type="character" w:customStyle="1" w:styleId="128">
    <w:name w:val="脚注文本 Char"/>
    <w:basedOn w:val="48"/>
    <w:link w:val="36"/>
    <w:autoRedefine/>
    <w:qFormat/>
    <w:uiPriority w:val="0"/>
    <w:rPr>
      <w:sz w:val="18"/>
    </w:rPr>
  </w:style>
  <w:style w:type="character" w:customStyle="1" w:styleId="129">
    <w:name w:val="副标题 Char"/>
    <w:link w:val="34"/>
    <w:autoRedefine/>
    <w:qFormat/>
    <w:uiPriority w:val="0"/>
    <w:rPr>
      <w:rFonts w:ascii="Cambria" w:hAnsi="Cambria" w:eastAsia="宋体"/>
      <w:b/>
      <w:bCs/>
      <w:kern w:val="28"/>
      <w:sz w:val="32"/>
      <w:szCs w:val="32"/>
      <w:lang w:val="en-US" w:eastAsia="zh-CN" w:bidi="ar-SA"/>
    </w:rPr>
  </w:style>
  <w:style w:type="character" w:customStyle="1" w:styleId="130">
    <w:name w:val=" Char Char3"/>
    <w:autoRedefine/>
    <w:qFormat/>
    <w:uiPriority w:val="0"/>
    <w:rPr>
      <w:rFonts w:eastAsia="宋体"/>
      <w:kern w:val="2"/>
      <w:sz w:val="21"/>
      <w:szCs w:val="24"/>
      <w:lang w:val="en-US" w:eastAsia="zh-CN" w:bidi="ar-SA"/>
    </w:rPr>
  </w:style>
  <w:style w:type="character" w:customStyle="1" w:styleId="131">
    <w:name w:val="正文文本 Char"/>
    <w:link w:val="22"/>
    <w:autoRedefine/>
    <w:qFormat/>
    <w:uiPriority w:val="0"/>
    <w:rPr>
      <w:kern w:val="2"/>
      <w:sz w:val="21"/>
      <w:szCs w:val="24"/>
    </w:rPr>
  </w:style>
  <w:style w:type="character" w:customStyle="1" w:styleId="132">
    <w:name w:val=" Char Char6"/>
    <w:autoRedefine/>
    <w:qFormat/>
    <w:uiPriority w:val="0"/>
    <w:rPr>
      <w:rFonts w:eastAsia="宋体"/>
      <w:kern w:val="2"/>
      <w:sz w:val="21"/>
      <w:szCs w:val="24"/>
      <w:lang w:val="en-US" w:eastAsia="zh-CN" w:bidi="ar-SA"/>
    </w:rPr>
  </w:style>
  <w:style w:type="character" w:customStyle="1" w:styleId="133">
    <w:name w:val="标题 Char"/>
    <w:basedOn w:val="48"/>
    <w:link w:val="42"/>
    <w:autoRedefine/>
    <w:qFormat/>
    <w:uiPriority w:val="0"/>
    <w:rPr>
      <w:rFonts w:ascii="Cambria" w:hAnsi="Cambria"/>
      <w:b/>
      <w:bCs/>
      <w:kern w:val="2"/>
      <w:sz w:val="32"/>
      <w:szCs w:val="32"/>
    </w:rPr>
  </w:style>
  <w:style w:type="character" w:customStyle="1" w:styleId="134">
    <w:name w:val="日期 Char"/>
    <w:basedOn w:val="48"/>
    <w:link w:val="28"/>
    <w:autoRedefine/>
    <w:qFormat/>
    <w:uiPriority w:val="0"/>
    <w:rPr>
      <w:kern w:val="2"/>
      <w:sz w:val="21"/>
      <w:szCs w:val="24"/>
    </w:rPr>
  </w:style>
  <w:style w:type="character" w:customStyle="1" w:styleId="135">
    <w:name w:val="ca-1"/>
    <w:basedOn w:val="48"/>
    <w:autoRedefine/>
    <w:qFormat/>
    <w:uiPriority w:val="0"/>
  </w:style>
  <w:style w:type="character" w:customStyle="1" w:styleId="136">
    <w:name w:val="font101"/>
    <w:basedOn w:val="48"/>
    <w:autoRedefine/>
    <w:qFormat/>
    <w:uiPriority w:val="0"/>
    <w:rPr>
      <w:rFonts w:ascii="Arial Unicode MS" w:hAnsi="Arial Unicode MS" w:eastAsia="Arial Unicode MS" w:cs="Arial Unicode MS"/>
      <w:color w:val="000000"/>
      <w:sz w:val="16"/>
      <w:szCs w:val="16"/>
      <w:u w:val="none"/>
    </w:rPr>
  </w:style>
  <w:style w:type="character" w:customStyle="1" w:styleId="137">
    <w:name w:val="标题 2 Char"/>
    <w:link w:val="3"/>
    <w:autoRedefine/>
    <w:qFormat/>
    <w:uiPriority w:val="0"/>
    <w:rPr>
      <w:rFonts w:ascii="Arial Black" w:hAnsi="Arial Black" w:eastAsia="黑体"/>
      <w:b/>
      <w:bCs/>
      <w:kern w:val="2"/>
      <w:sz w:val="32"/>
      <w:szCs w:val="32"/>
      <w:lang w:val="en-US" w:eastAsia="zh-CN" w:bidi="ar-SA"/>
    </w:rPr>
  </w:style>
  <w:style w:type="character" w:customStyle="1" w:styleId="138">
    <w:name w:val="标题 5 Char"/>
    <w:basedOn w:val="48"/>
    <w:link w:val="6"/>
    <w:autoRedefine/>
    <w:qFormat/>
    <w:uiPriority w:val="0"/>
    <w:rPr>
      <w:b/>
      <w:bCs/>
      <w:sz w:val="28"/>
      <w:szCs w:val="28"/>
    </w:rPr>
  </w:style>
  <w:style w:type="character" w:customStyle="1" w:styleId="139">
    <w:name w:val="标题 7 Char"/>
    <w:basedOn w:val="48"/>
    <w:link w:val="8"/>
    <w:autoRedefine/>
    <w:qFormat/>
    <w:uiPriority w:val="0"/>
    <w:rPr>
      <w:b/>
      <w:bCs/>
      <w:sz w:val="24"/>
      <w:szCs w:val="24"/>
    </w:rPr>
  </w:style>
  <w:style w:type="character" w:customStyle="1" w:styleId="140">
    <w:name w:val="正文文本 3 Char"/>
    <w:basedOn w:val="48"/>
    <w:link w:val="21"/>
    <w:autoRedefine/>
    <w:qFormat/>
    <w:uiPriority w:val="0"/>
    <w:rPr>
      <w:kern w:val="2"/>
      <w:sz w:val="16"/>
      <w:szCs w:val="16"/>
    </w:rPr>
  </w:style>
  <w:style w:type="character" w:customStyle="1" w:styleId="141">
    <w:name w:val="批注框文本 Char"/>
    <w:basedOn w:val="48"/>
    <w:link w:val="30"/>
    <w:autoRedefine/>
    <w:qFormat/>
    <w:uiPriority w:val="0"/>
    <w:rPr>
      <w:kern w:val="2"/>
      <w:sz w:val="18"/>
      <w:szCs w:val="18"/>
    </w:rPr>
  </w:style>
  <w:style w:type="character" w:customStyle="1" w:styleId="142">
    <w:name w:val="正文文本缩进 2 Char"/>
    <w:basedOn w:val="48"/>
    <w:link w:val="29"/>
    <w:autoRedefine/>
    <w:qFormat/>
    <w:uiPriority w:val="0"/>
    <w:rPr>
      <w:kern w:val="2"/>
      <w:sz w:val="21"/>
      <w:szCs w:val="24"/>
    </w:rPr>
  </w:style>
  <w:style w:type="character" w:customStyle="1" w:styleId="143">
    <w:name w:val="标题 9 Char"/>
    <w:basedOn w:val="48"/>
    <w:link w:val="10"/>
    <w:autoRedefine/>
    <w:qFormat/>
    <w:uiPriority w:val="0"/>
    <w:rPr>
      <w:rFonts w:eastAsia="黑体"/>
      <w:sz w:val="21"/>
      <w:szCs w:val="21"/>
    </w:rPr>
  </w:style>
  <w:style w:type="character" w:customStyle="1" w:styleId="144">
    <w:name w:val="标题 4 Char"/>
    <w:basedOn w:val="48"/>
    <w:link w:val="5"/>
    <w:autoRedefine/>
    <w:qFormat/>
    <w:uiPriority w:val="0"/>
    <w:rPr>
      <w:rFonts w:eastAsia="黑体"/>
      <w:b/>
      <w:bCs/>
      <w:sz w:val="28"/>
      <w:szCs w:val="28"/>
    </w:rPr>
  </w:style>
  <w:style w:type="character" w:customStyle="1" w:styleId="145">
    <w:name w:val="font91"/>
    <w:basedOn w:val="48"/>
    <w:autoRedefine/>
    <w:qFormat/>
    <w:uiPriority w:val="0"/>
    <w:rPr>
      <w:rFonts w:hint="eastAsia" w:ascii="宋体" w:hAnsi="宋体" w:eastAsia="宋体" w:cs="宋体"/>
      <w:b/>
      <w:color w:val="FF0000"/>
      <w:sz w:val="20"/>
      <w:szCs w:val="20"/>
      <w:u w:val="none"/>
    </w:rPr>
  </w:style>
  <w:style w:type="paragraph" w:customStyle="1" w:styleId="146">
    <w:name w:val="Table Paragraph"/>
    <w:basedOn w:val="1"/>
    <w:autoRedefine/>
    <w:qFormat/>
    <w:uiPriority w:val="1"/>
    <w:rPr>
      <w:rFonts w:ascii="宋体" w:hAnsi="宋体" w:eastAsia="宋体" w:cs="宋体"/>
      <w:lang w:val="zh-CN" w:eastAsia="zh-CN" w:bidi="zh-CN"/>
    </w:rPr>
  </w:style>
  <w:style w:type="paragraph" w:customStyle="1" w:styleId="147">
    <w:name w:val="图"/>
    <w:basedOn w:val="1"/>
    <w:autoRedefine/>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48">
    <w:name w:val="标题 3 字符"/>
    <w:basedOn w:val="48"/>
    <w:link w:val="4"/>
    <w:autoRedefine/>
    <w:semiHidden/>
    <w:qFormat/>
    <w:locked/>
    <w:uiPriority w:val="99"/>
    <w:rPr>
      <w:rFonts w:cs="Times New Roman"/>
      <w:b/>
      <w:bCs/>
      <w:sz w:val="32"/>
      <w:szCs w:val="32"/>
    </w:rPr>
  </w:style>
  <w:style w:type="paragraph" w:customStyle="1" w:styleId="149">
    <w:name w:val="样式3"/>
    <w:basedOn w:val="27"/>
    <w:autoRedefine/>
    <w:qFormat/>
    <w:uiPriority w:val="0"/>
    <w:pPr>
      <w:spacing w:line="0" w:lineRule="atLeast"/>
      <w:outlineLvl w:val="0"/>
    </w:pPr>
    <w:rPr>
      <w:sz w:val="28"/>
    </w:rPr>
  </w:style>
  <w:style w:type="paragraph" w:customStyle="1" w:styleId="150">
    <w:name w:val="?y??"/>
    <w:autoRedefine/>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51">
    <w:name w:val="纯文本1"/>
    <w:basedOn w:val="1"/>
    <w:autoRedefine/>
    <w:qFormat/>
    <w:uiPriority w:val="0"/>
    <w:rPr>
      <w:rFonts w:ascii="宋体" w:hAnsi="Courier New" w:eastAsia="宋体" w:cs="Times New Roman"/>
      <w:szCs w:val="22"/>
    </w:rPr>
  </w:style>
  <w:style w:type="paragraph" w:customStyle="1" w:styleId="152">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3">
    <w:name w:val="表格"/>
    <w:basedOn w:val="1"/>
    <w:autoRedefine/>
    <w:qFormat/>
    <w:uiPriority w:val="0"/>
    <w:pPr>
      <w:spacing w:line="360" w:lineRule="auto"/>
      <w:jc w:val="left"/>
    </w:pPr>
    <w:rPr>
      <w:rFonts w:eastAsia="新宋体" w:cs="新宋体"/>
      <w:spacing w:val="24"/>
      <w:sz w:val="21"/>
      <w:szCs w:val="21"/>
    </w:rPr>
  </w:style>
  <w:style w:type="table" w:customStyle="1" w:styleId="154">
    <w:name w:val="Table Normal"/>
    <w:autoRedefine/>
    <w:semiHidden/>
    <w:unhideWhenUsed/>
    <w:qFormat/>
    <w:uiPriority w:val="0"/>
    <w:tblPr>
      <w:tblCellMar>
        <w:top w:w="0" w:type="dxa"/>
        <w:left w:w="0" w:type="dxa"/>
        <w:bottom w:w="0" w:type="dxa"/>
        <w:right w:w="0" w:type="dxa"/>
      </w:tblCellMar>
    </w:tblPr>
  </w:style>
  <w:style w:type="paragraph" w:customStyle="1" w:styleId="155">
    <w:name w:val="BodyText"/>
    <w:basedOn w:val="1"/>
    <w:autoRedefine/>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56">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5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szCs w:val="20"/>
    </w:rPr>
  </w:style>
  <w:style w:type="paragraph" w:customStyle="1" w:styleId="158">
    <w:name w:val="Table Text"/>
    <w:basedOn w:val="1"/>
    <w:semiHidden/>
    <w:qFormat/>
    <w:uiPriority w:val="0"/>
    <w:rPr>
      <w:rFonts w:ascii="宋体" w:hAnsi="宋体" w:eastAsia="宋体" w:cs="宋体"/>
      <w:sz w:val="20"/>
      <w:szCs w:val="20"/>
      <w:lang w:val="en-US" w:eastAsia="en-US" w:bidi="ar-SA"/>
    </w:rPr>
  </w:style>
  <w:style w:type="paragraph" w:customStyle="1" w:styleId="159">
    <w:name w:val="表"/>
    <w:basedOn w:val="1"/>
    <w:qFormat/>
    <w:uiPriority w:val="0"/>
    <w:pPr>
      <w:ind w:firstLine="0" w:firstLineChars="0"/>
      <w:jc w:val="center"/>
    </w:pPr>
  </w:style>
  <w:style w:type="paragraph" w:customStyle="1" w:styleId="160">
    <w:name w:val="正文_8_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80</Pages>
  <Words>24238</Words>
  <Characters>26524</Characters>
  <Lines>227</Lines>
  <Paragraphs>64</Paragraphs>
  <TotalTime>2</TotalTime>
  <ScaleCrop>false</ScaleCrop>
  <LinksUpToDate>false</LinksUpToDate>
  <CharactersWithSpaces>27093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天一  李攀东</cp:lastModifiedBy>
  <cp:lastPrinted>2025-03-13T02:03:00Z</cp:lastPrinted>
  <dcterms:modified xsi:type="dcterms:W3CDTF">2026-05-15T09:41:41Z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0C7FC50D5AF847ED8461C0380D2C1B8E_13</vt:lpwstr>
  </property>
  <property fmtid="{D5CDD505-2E9C-101B-9397-08002B2CF9AE}" pid="4" name="KSOTemplateDocerSaveRecord">
    <vt:lpwstr>eyJoZGlkIjoiZmRlYjVlOTAzZjVmMmM3M2IwNDUzYWI1ZGE4MDI1NTciLCJ1c2VySWQiOiIyODcxMzE4NzYifQ==</vt:lpwstr>
  </property>
</Properties>
</file>