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566B">
      <w:pPr>
        <w:jc w:val="center"/>
        <w:rPr>
          <w:rFonts w:hint="eastAsia"/>
          <w:color w:val="auto"/>
          <w:highlight w:val="none"/>
        </w:rPr>
      </w:pPr>
    </w:p>
    <w:p w14:paraId="76D6F4E0">
      <w:pPr>
        <w:jc w:val="center"/>
        <w:rPr>
          <w:rFonts w:hint="eastAsia"/>
          <w:color w:val="auto"/>
          <w:highlight w:val="none"/>
        </w:rPr>
      </w:pPr>
    </w:p>
    <w:p w14:paraId="09043BA5">
      <w:pPr>
        <w:pStyle w:val="5"/>
        <w:jc w:val="center"/>
        <w:outlineLvl w:val="9"/>
        <w:rPr>
          <w:rFonts w:hint="eastAsia" w:ascii="宋体" w:hAnsi="宋体"/>
          <w:color w:val="auto"/>
          <w:sz w:val="44"/>
          <w:szCs w:val="44"/>
          <w:highlight w:val="none"/>
          <w:lang w:eastAsia="zh-CN"/>
        </w:rPr>
      </w:pPr>
      <w:r>
        <w:rPr>
          <w:rFonts w:hint="eastAsia" w:ascii="宋体" w:hAnsi="宋体"/>
          <w:color w:val="auto"/>
          <w:sz w:val="44"/>
          <w:szCs w:val="44"/>
          <w:highlight w:val="none"/>
          <w:lang w:eastAsia="zh-CN"/>
        </w:rPr>
        <w:t>新疆维吾尔自治区某厅某单位路面修缮项目</w:t>
      </w:r>
    </w:p>
    <w:p w14:paraId="6EC59FCF">
      <w:pPr>
        <w:pStyle w:val="5"/>
        <w:jc w:val="center"/>
        <w:outlineLvl w:val="9"/>
        <w:rPr>
          <w:rFonts w:hint="default" w:ascii="宋体" w:hAnsi="宋体" w:eastAsia="宋体"/>
          <w:color w:val="auto"/>
          <w:sz w:val="44"/>
          <w:szCs w:val="44"/>
          <w:highlight w:val="none"/>
          <w:lang w:val="en-US" w:eastAsia="zh-CN"/>
        </w:rPr>
      </w:pPr>
      <w:r>
        <w:rPr>
          <w:rFonts w:hint="eastAsia" w:ascii="宋体" w:hAnsi="宋体"/>
          <w:color w:val="auto"/>
          <w:sz w:val="44"/>
          <w:szCs w:val="44"/>
          <w:highlight w:val="none"/>
        </w:rPr>
        <w:t>竞争性磋商文件</w:t>
      </w:r>
      <w:r>
        <w:rPr>
          <w:rFonts w:hint="eastAsia" w:ascii="宋体" w:hAnsi="宋体"/>
          <w:color w:val="auto"/>
          <w:sz w:val="44"/>
          <w:szCs w:val="44"/>
          <w:highlight w:val="none"/>
          <w:lang w:eastAsia="zh-CN"/>
        </w:rPr>
        <w:t>（</w:t>
      </w:r>
      <w:r>
        <w:rPr>
          <w:rFonts w:hint="eastAsia" w:ascii="宋体" w:hAnsi="宋体"/>
          <w:color w:val="auto"/>
          <w:sz w:val="44"/>
          <w:szCs w:val="44"/>
          <w:highlight w:val="none"/>
          <w:lang w:val="en-US" w:eastAsia="zh-CN"/>
        </w:rPr>
        <w:t>工程类）</w:t>
      </w:r>
    </w:p>
    <w:p w14:paraId="2E90A869">
      <w:pPr>
        <w:rPr>
          <w:rFonts w:hint="eastAsia"/>
          <w:bCs/>
          <w:color w:val="auto"/>
          <w:sz w:val="44"/>
          <w:szCs w:val="44"/>
          <w:highlight w:val="none"/>
        </w:rPr>
      </w:pPr>
    </w:p>
    <w:p w14:paraId="7E99804F">
      <w:pPr>
        <w:jc w:val="center"/>
        <w:rPr>
          <w:rFonts w:hint="default" w:eastAsia="宋体"/>
          <w:b/>
          <w:bCs/>
          <w:color w:val="auto"/>
          <w:sz w:val="28"/>
          <w:szCs w:val="28"/>
          <w:highlight w:val="none"/>
          <w:lang w:val="en-US" w:eastAsia="zh-CN"/>
        </w:rPr>
      </w:pPr>
      <w:r>
        <w:rPr>
          <w:rFonts w:hint="eastAsia"/>
          <w:b/>
          <w:bCs/>
          <w:color w:val="auto"/>
          <w:sz w:val="28"/>
          <w:szCs w:val="28"/>
          <w:highlight w:val="none"/>
        </w:rPr>
        <w:t>采购编号：</w:t>
      </w:r>
      <w:r>
        <w:rPr>
          <w:rFonts w:hint="eastAsia"/>
          <w:b/>
          <w:bCs/>
          <w:color w:val="auto"/>
          <w:sz w:val="28"/>
          <w:szCs w:val="28"/>
          <w:highlight w:val="none"/>
          <w:lang w:eastAsia="zh-CN"/>
        </w:rPr>
        <w:t>XJHCRH-2026-11</w:t>
      </w:r>
      <w:r>
        <w:rPr>
          <w:rFonts w:hint="eastAsia"/>
          <w:b/>
          <w:bCs/>
          <w:color w:val="auto"/>
          <w:sz w:val="28"/>
          <w:szCs w:val="28"/>
          <w:highlight w:val="none"/>
          <w:lang w:val="en-US" w:eastAsia="zh-CN"/>
        </w:rPr>
        <w:t>8-1</w:t>
      </w:r>
    </w:p>
    <w:p w14:paraId="61DC516E">
      <w:pPr>
        <w:rPr>
          <w:rFonts w:hint="eastAsia"/>
          <w:color w:val="auto"/>
          <w:highlight w:val="none"/>
        </w:rPr>
      </w:pPr>
    </w:p>
    <w:p w14:paraId="360F5BB0">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采购人（盖章）：</w:t>
      </w:r>
      <w:r>
        <w:rPr>
          <w:rFonts w:hint="eastAsia" w:cs="宋体"/>
          <w:b/>
          <w:bCs/>
          <w:color w:val="auto"/>
          <w:sz w:val="30"/>
          <w:szCs w:val="30"/>
          <w:highlight w:val="none"/>
          <w:lang w:eastAsia="zh-CN"/>
        </w:rPr>
        <w:t>新疆维吾尔自治区某厅某单位</w:t>
      </w:r>
    </w:p>
    <w:p w14:paraId="6043C12B">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联系人：</w:t>
      </w:r>
      <w:r>
        <w:rPr>
          <w:rFonts w:hint="eastAsia" w:cs="宋体"/>
          <w:b/>
          <w:bCs/>
          <w:color w:val="auto"/>
          <w:sz w:val="30"/>
          <w:szCs w:val="30"/>
          <w:highlight w:val="none"/>
          <w:lang w:val="en-US" w:eastAsia="zh-CN"/>
        </w:rPr>
        <w:t>叶尔多斯</w:t>
      </w:r>
    </w:p>
    <w:p w14:paraId="46A8DD3B">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cs="宋体"/>
          <w:b/>
          <w:bCs/>
          <w:color w:val="auto"/>
          <w:sz w:val="30"/>
          <w:szCs w:val="30"/>
          <w:highlight w:val="none"/>
          <w:lang w:eastAsia="zh-CN"/>
        </w:rPr>
        <w:t>0991-7506631</w:t>
      </w:r>
    </w:p>
    <w:p w14:paraId="649CAF3F">
      <w:pPr>
        <w:keepNext w:val="0"/>
        <w:keepLines w:val="0"/>
        <w:pageBreakBefore w:val="0"/>
        <w:widowControl w:val="0"/>
        <w:kinsoku/>
        <w:wordWrap/>
        <w:overflowPunct/>
        <w:topLinePunct w:val="0"/>
        <w:autoSpaceDE/>
        <w:autoSpaceDN/>
        <w:bidi w:val="0"/>
        <w:adjustRightInd/>
        <w:spacing w:line="480" w:lineRule="auto"/>
        <w:ind w:right="-1053" w:rightChars="-439"/>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地址：</w:t>
      </w:r>
      <w:r>
        <w:rPr>
          <w:rFonts w:hint="eastAsia" w:cs="宋体"/>
          <w:b/>
          <w:bCs/>
          <w:color w:val="auto"/>
          <w:sz w:val="30"/>
          <w:szCs w:val="30"/>
          <w:highlight w:val="none"/>
          <w:lang w:val="en-US" w:eastAsia="zh-CN"/>
        </w:rPr>
        <w:t>新疆乌鲁木齐市新疆维吾尔自治区某厅某单位</w:t>
      </w:r>
    </w:p>
    <w:p w14:paraId="6AF55BA0">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juD0wAAAAUBAAAPAAAAAAAAAAEAIAAAACIAAABkcnMvZG93bnJldi54bWxQSwECFAAUAAAA&#10;CACHTuJAnXKOa/MBAADoAwAADgAAAAAAAAABACAAAAAiAQAAZHJzL2Uyb0RvYy54bWxQSwUGAAAA&#10;AAYABgBZAQAAhwU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z w:val="30"/>
          <w:szCs w:val="30"/>
          <w:highlight w:val="none"/>
        </w:rPr>
        <w:t>招标代理机构（盖章）：</w:t>
      </w:r>
      <w:r>
        <w:rPr>
          <w:rFonts w:hint="eastAsia" w:cs="宋体"/>
          <w:b/>
          <w:bCs/>
          <w:color w:val="auto"/>
          <w:sz w:val="30"/>
          <w:szCs w:val="30"/>
          <w:highlight w:val="none"/>
          <w:lang w:eastAsia="zh-CN"/>
        </w:rPr>
        <w:t>新疆宏成润和工程管理有限公司</w:t>
      </w:r>
    </w:p>
    <w:p w14:paraId="47EBE50B">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法定代表人（盖章）：</w:t>
      </w:r>
    </w:p>
    <w:p w14:paraId="112FC792">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联系人：</w:t>
      </w:r>
      <w:r>
        <w:rPr>
          <w:rFonts w:hint="eastAsia" w:cs="宋体"/>
          <w:b/>
          <w:bCs/>
          <w:color w:val="auto"/>
          <w:sz w:val="30"/>
          <w:szCs w:val="30"/>
          <w:highlight w:val="none"/>
          <w:lang w:val="en-US" w:eastAsia="zh-CN"/>
        </w:rPr>
        <w:t>刘阳阳</w:t>
      </w:r>
    </w:p>
    <w:p w14:paraId="37A7222E">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联系电话：</w:t>
      </w:r>
      <w:bookmarkStart w:id="1545" w:name="_GoBack"/>
      <w:bookmarkEnd w:id="1545"/>
      <w:r>
        <w:rPr>
          <w:rFonts w:hint="eastAsia" w:cs="宋体"/>
          <w:b/>
          <w:bCs/>
          <w:color w:val="auto"/>
          <w:sz w:val="30"/>
          <w:szCs w:val="30"/>
          <w:highlight w:val="none"/>
          <w:lang w:val="en-US" w:eastAsia="zh-CN"/>
        </w:rPr>
        <w:t>15899452715</w:t>
      </w:r>
    </w:p>
    <w:p w14:paraId="2CBC45B7">
      <w:pPr>
        <w:keepNext w:val="0"/>
        <w:keepLines w:val="0"/>
        <w:pageBreakBefore w:val="0"/>
        <w:widowControl w:val="0"/>
        <w:kinsoku/>
        <w:wordWrap/>
        <w:overflowPunct/>
        <w:topLinePunct w:val="0"/>
        <w:autoSpaceDE/>
        <w:autoSpaceDN/>
        <w:bidi w:val="0"/>
        <w:adjustRightInd/>
        <w:spacing w:line="480" w:lineRule="auto"/>
        <w:ind w:right="-432" w:rightChars="-180"/>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联系地址：</w:t>
      </w:r>
      <w:r>
        <w:rPr>
          <w:rFonts w:hint="eastAsia" w:cs="宋体"/>
          <w:b/>
          <w:bCs/>
          <w:color w:val="auto"/>
          <w:sz w:val="30"/>
          <w:szCs w:val="30"/>
          <w:highlight w:val="none"/>
          <w:lang w:eastAsia="zh-CN"/>
        </w:rPr>
        <w:t>新疆乌鲁木齐市水磨沟区西虹东路64号锦城大厦9层</w:t>
      </w:r>
    </w:p>
    <w:p w14:paraId="41BE61CE">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1879B1F">
      <w:pPr>
        <w:pStyle w:val="33"/>
        <w:spacing w:after="120"/>
        <w:rPr>
          <w:rFonts w:hint="eastAsia"/>
          <w:color w:val="auto"/>
          <w:highlight w:val="none"/>
        </w:rPr>
      </w:pPr>
    </w:p>
    <w:sdt>
      <w:sdtPr>
        <w:rPr>
          <w:rFonts w:ascii="宋体" w:hAnsi="宋体" w:eastAsia="宋体" w:cs="宋体"/>
          <w:color w:val="auto"/>
          <w:sz w:val="21"/>
          <w:szCs w:val="24"/>
          <w:highlight w:val="none"/>
          <w:lang w:val="en-US" w:eastAsia="zh-CN" w:bidi="ar-SA"/>
        </w:rPr>
        <w:id w:val="147477088"/>
        <w15:color w:val="DBDBDB"/>
        <w:docPartObj>
          <w:docPartGallery w:val="Table of Contents"/>
          <w:docPartUnique/>
        </w:docPartObj>
      </w:sdtPr>
      <w:sdtEndPr>
        <w:rPr>
          <w:rFonts w:hint="eastAsia" w:ascii="宋体" w:hAnsi="宋体" w:eastAsia="宋体" w:cs="宋体"/>
          <w:color w:val="auto"/>
          <w:sz w:val="24"/>
          <w:szCs w:val="28"/>
          <w:highlight w:val="none"/>
          <w:lang w:val="en-US" w:eastAsia="zh-CN" w:bidi="ar-SA"/>
        </w:rPr>
      </w:sdtEndPr>
      <w:sdtContent>
        <w:p w14:paraId="66F39097">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目</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录</w:t>
          </w:r>
        </w:p>
        <w:p w14:paraId="1BA63E16">
          <w:pPr>
            <w:pStyle w:val="25"/>
            <w:keepNext w:val="0"/>
            <w:keepLines w:val="0"/>
            <w:pageBreakBefore w:val="0"/>
            <w:widowControl/>
            <w:tabs>
              <w:tab w:val="right" w:leader="dot" w:pos="8306"/>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8"/>
              <w:szCs w:val="28"/>
              <w:highlight w:val="none"/>
            </w:rPr>
          </w:pPr>
          <w:r>
            <w:rPr>
              <w:rStyle w:val="40"/>
              <w:rFonts w:hint="eastAsia" w:ascii="宋体" w:hAnsi="宋体" w:eastAsia="宋体" w:cs="宋体"/>
              <w:b w:val="0"/>
              <w:bCs w:val="0"/>
              <w:color w:val="auto"/>
              <w:sz w:val="28"/>
              <w:szCs w:val="28"/>
              <w:highlight w:val="none"/>
            </w:rPr>
            <w:fldChar w:fldCharType="begin"/>
          </w:r>
          <w:r>
            <w:rPr>
              <w:rStyle w:val="40"/>
              <w:rFonts w:hint="eastAsia" w:ascii="宋体" w:hAnsi="宋体" w:eastAsia="宋体" w:cs="宋体"/>
              <w:b w:val="0"/>
              <w:bCs w:val="0"/>
              <w:color w:val="auto"/>
              <w:sz w:val="28"/>
              <w:szCs w:val="28"/>
              <w:highlight w:val="none"/>
            </w:rPr>
            <w:instrText xml:space="preserve">TOC \o "1-3" \h \u </w:instrText>
          </w:r>
          <w:r>
            <w:rPr>
              <w:rStyle w:val="40"/>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_Toc5838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 xml:space="preserve">第一章  </w:t>
          </w:r>
          <w:r>
            <w:rPr>
              <w:rFonts w:hint="eastAsia" w:ascii="宋体" w:hAnsi="宋体" w:eastAsia="宋体" w:cs="宋体"/>
              <w:b w:val="0"/>
              <w:bCs w:val="0"/>
              <w:color w:val="auto"/>
              <w:sz w:val="28"/>
              <w:szCs w:val="28"/>
              <w:highlight w:val="none"/>
            </w:rPr>
            <w:t>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_Toc5838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33B7A90">
          <w:pPr>
            <w:pStyle w:val="25"/>
            <w:keepNext w:val="0"/>
            <w:keepLines w:val="0"/>
            <w:pageBreakBefore w:val="0"/>
            <w:widowControl/>
            <w:tabs>
              <w:tab w:val="right" w:leader="dot" w:pos="8306"/>
              <w:tab w:val="clear" w:pos="9628"/>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_Toc11607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第二章  供应商须知前附表</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_Toc11607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25EADCC">
          <w:pPr>
            <w:pStyle w:val="25"/>
            <w:keepNext w:val="0"/>
            <w:keepLines w:val="0"/>
            <w:pageBreakBefore w:val="0"/>
            <w:widowControl/>
            <w:tabs>
              <w:tab w:val="right" w:leader="dot" w:pos="8306"/>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_Toc4525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评审方法和评审标准</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_Toc4525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ED68FFA">
          <w:pPr>
            <w:pStyle w:val="25"/>
            <w:keepNext w:val="0"/>
            <w:keepLines w:val="0"/>
            <w:pageBreakBefore w:val="0"/>
            <w:widowControl/>
            <w:tabs>
              <w:tab w:val="right" w:leader="dot" w:pos="8306"/>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_Toc11601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第四章  工程量清单及技术标准</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_Toc11601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ED00EC5">
          <w:pPr>
            <w:pStyle w:val="25"/>
            <w:keepNext w:val="0"/>
            <w:keepLines w:val="0"/>
            <w:pageBreakBefore w:val="0"/>
            <w:widowControl/>
            <w:tabs>
              <w:tab w:val="right" w:leader="dot" w:pos="8306"/>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_Toc19527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w:t>
          </w:r>
          <w:r>
            <w:rPr>
              <w:rFonts w:hint="eastAsia" w:ascii="宋体" w:hAnsi="宋体" w:eastAsia="宋体" w:cs="宋体"/>
              <w:b w:val="0"/>
              <w:bCs w:val="0"/>
              <w:color w:val="auto"/>
              <w:sz w:val="28"/>
              <w:szCs w:val="28"/>
              <w:highlight w:val="none"/>
              <w:lang w:val="en-US" w:eastAsia="zh-CN"/>
            </w:rPr>
            <w:t xml:space="preserve">章  </w:t>
          </w:r>
          <w:r>
            <w:rPr>
              <w:rFonts w:hint="eastAsia" w:ascii="宋体" w:hAnsi="宋体" w:eastAsia="宋体" w:cs="宋体"/>
              <w:b w:val="0"/>
              <w:bCs w:val="0"/>
              <w:color w:val="auto"/>
              <w:sz w:val="28"/>
              <w:szCs w:val="28"/>
              <w:highlight w:val="none"/>
            </w:rPr>
            <w:t>合同</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_Toc19527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4454783">
          <w:pPr>
            <w:pStyle w:val="25"/>
            <w:keepNext w:val="0"/>
            <w:keepLines w:val="0"/>
            <w:pageBreakBefore w:val="0"/>
            <w:widowControl/>
            <w:tabs>
              <w:tab w:val="right" w:leader="dot" w:pos="8306"/>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_Toc26537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 xml:space="preserve">第六章  </w:t>
          </w:r>
          <w:r>
            <w:rPr>
              <w:rFonts w:hint="eastAsia" w:ascii="宋体" w:hAnsi="宋体" w:eastAsia="宋体" w:cs="宋体"/>
              <w:b w:val="0"/>
              <w:bCs w:val="0"/>
              <w:color w:val="auto"/>
              <w:sz w:val="28"/>
              <w:szCs w:val="28"/>
              <w:highlight w:val="none"/>
            </w:rPr>
            <w:t>响应文件格式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_Toc26537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143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0DF799E">
          <w:pPr>
            <w:pStyle w:val="28"/>
            <w:keepNext w:val="0"/>
            <w:keepLines w:val="0"/>
            <w:pageBreakBefore w:val="0"/>
            <w:widowControl/>
            <w:tabs>
              <w:tab w:val="right" w:leader="dot" w:pos="8640"/>
              <w:tab w:val="right" w:leader="dot" w:pos="8789"/>
              <w:tab w:val="clear" w:pos="962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77C6DE63">
      <w:pPr>
        <w:rPr>
          <w:rFonts w:hint="eastAsia"/>
          <w:color w:val="auto"/>
          <w:highlight w:val="none"/>
        </w:rPr>
        <w:sectPr>
          <w:footerReference r:id="rId3" w:type="first"/>
          <w:pgSz w:w="11906" w:h="16838"/>
          <w:pgMar w:top="1440" w:right="1800" w:bottom="1440" w:left="1800" w:header="851" w:footer="992" w:gutter="0"/>
          <w:pgNumType w:fmt="decimal" w:start="1"/>
          <w:cols w:space="720" w:num="1"/>
          <w:docGrid w:type="linesAndChars" w:linePitch="312" w:charSpace="0"/>
        </w:sectPr>
      </w:pPr>
    </w:p>
    <w:p w14:paraId="2417C2B2">
      <w:pPr>
        <w:pStyle w:val="2"/>
        <w:numPr>
          <w:ilvl w:val="0"/>
          <w:numId w:val="0"/>
        </w:numPr>
        <w:tabs>
          <w:tab w:val="clear" w:pos="360"/>
        </w:tabs>
        <w:bidi w:val="0"/>
        <w:ind w:left="360" w:leftChars="0" w:hanging="360" w:firstLineChars="0"/>
        <w:jc w:val="center"/>
        <w:rPr>
          <w:rFonts w:hint="eastAsia" w:ascii="宋体" w:hAnsi="宋体" w:eastAsia="宋体" w:cs="宋体"/>
          <w:b/>
          <w:bCs w:val="0"/>
          <w:color w:val="auto"/>
          <w:highlight w:val="none"/>
        </w:rPr>
      </w:pPr>
      <w:bookmarkStart w:id="0" w:name="_Toc5838"/>
      <w:bookmarkStart w:id="1" w:name="_Hlk88495647"/>
      <w:bookmarkStart w:id="2" w:name="_Hlk90983038"/>
      <w:r>
        <w:rPr>
          <w:rFonts w:hint="eastAsia" w:ascii="宋体" w:hAnsi="宋体" w:eastAsia="宋体" w:cs="宋体"/>
          <w:b/>
          <w:bCs w:val="0"/>
          <w:color w:val="auto"/>
          <w:highlight w:val="none"/>
          <w:lang w:val="en-US" w:eastAsia="zh-CN"/>
        </w:rPr>
        <w:t xml:space="preserve">第一章  </w:t>
      </w:r>
      <w:r>
        <w:rPr>
          <w:rFonts w:hint="eastAsia" w:ascii="宋体" w:hAnsi="宋体" w:eastAsia="宋体" w:cs="宋体"/>
          <w:b/>
          <w:bCs w:val="0"/>
          <w:color w:val="auto"/>
          <w:highlight w:val="none"/>
        </w:rPr>
        <w:t>竞争性磋商公告</w:t>
      </w:r>
      <w:bookmarkEnd w:id="0"/>
    </w:p>
    <w:p w14:paraId="11A72065">
      <w:pPr>
        <w:spacing w:before="60" w:after="60" w:line="440" w:lineRule="exact"/>
        <w:jc w:val="center"/>
        <w:rPr>
          <w:rFonts w:hint="default" w:cs="Arial"/>
          <w:b/>
          <w:bCs/>
          <w:color w:val="auto"/>
          <w:highlight w:val="none"/>
          <w:lang w:val="en-US" w:eastAsia="zh-CN"/>
        </w:rPr>
      </w:pPr>
    </w:p>
    <w:p w14:paraId="312FA678">
      <w:pPr>
        <w:keepNext w:val="0"/>
        <w:keepLines w:val="0"/>
        <w:pageBreakBefore w:val="0"/>
        <w:kinsoku/>
        <w:wordWrap/>
        <w:overflowPunct/>
        <w:topLinePunct w:val="0"/>
        <w:autoSpaceDE/>
        <w:autoSpaceDN/>
        <w:bidi w:val="0"/>
        <w:spacing w:before="60" w:after="60" w:line="480" w:lineRule="exact"/>
        <w:jc w:val="center"/>
        <w:textAlignment w:val="auto"/>
        <w:outlineLvl w:val="0"/>
        <w:rPr>
          <w:rFonts w:hint="eastAsia" w:cs="Arial"/>
          <w:b/>
          <w:bCs/>
          <w:color w:val="auto"/>
          <w:highlight w:val="none"/>
          <w:lang w:eastAsia="zh-CN"/>
        </w:rPr>
      </w:pPr>
      <w:r>
        <w:rPr>
          <w:rFonts w:hint="eastAsia" w:cs="Arial"/>
          <w:b/>
          <w:bCs/>
          <w:color w:val="auto"/>
          <w:highlight w:val="none"/>
          <w:lang w:eastAsia="zh-CN"/>
        </w:rPr>
        <w:t>新疆维吾尔自治区某厅某单位路面修缮项目（二次）</w:t>
      </w:r>
    </w:p>
    <w:p w14:paraId="52AF2A2F">
      <w:pPr>
        <w:keepNext w:val="0"/>
        <w:keepLines w:val="0"/>
        <w:pageBreakBefore w:val="0"/>
        <w:kinsoku/>
        <w:wordWrap/>
        <w:overflowPunct/>
        <w:topLinePunct w:val="0"/>
        <w:autoSpaceDE/>
        <w:autoSpaceDN/>
        <w:bidi w:val="0"/>
        <w:spacing w:before="60" w:after="60" w:line="480" w:lineRule="exact"/>
        <w:jc w:val="center"/>
        <w:textAlignment w:val="auto"/>
        <w:rPr>
          <w:rFonts w:hint="eastAsia" w:cs="Arial"/>
          <w:b/>
          <w:bCs/>
          <w:color w:val="auto"/>
          <w:highlight w:val="none"/>
        </w:rPr>
      </w:pPr>
      <w:r>
        <w:rPr>
          <w:rFonts w:hint="eastAsia" w:cs="Arial"/>
          <w:b/>
          <w:bCs/>
          <w:color w:val="auto"/>
          <w:highlight w:val="none"/>
        </w:rPr>
        <w:t>竞争性磋商公告</w:t>
      </w:r>
    </w:p>
    <w:p w14:paraId="24F21F63">
      <w:pPr>
        <w:keepNext w:val="0"/>
        <w:keepLines w:val="0"/>
        <w:pageBreakBefore w:val="0"/>
        <w:kinsoku/>
        <w:wordWrap/>
        <w:overflowPunct/>
        <w:topLinePunct w:val="0"/>
        <w:autoSpaceDE/>
        <w:autoSpaceDN/>
        <w:bidi w:val="0"/>
        <w:spacing w:before="60" w:after="60" w:line="480" w:lineRule="exact"/>
        <w:textAlignment w:val="auto"/>
        <w:rPr>
          <w:rFonts w:hint="eastAsia" w:cs="Arial"/>
          <w:color w:val="auto"/>
          <w:highlight w:val="none"/>
        </w:rPr>
      </w:pPr>
      <w:r>
        <w:rPr>
          <w:rFonts w:cs="Arial"/>
          <w:color w:val="auto"/>
          <w:highlight w:val="none"/>
        </w:rPr>
        <w:t>项目概况</w:t>
      </w:r>
    </w:p>
    <w:p w14:paraId="77AACDB6">
      <w:pPr>
        <w:keepNext w:val="0"/>
        <w:keepLines w:val="0"/>
        <w:pageBreakBefore w:val="0"/>
        <w:kinsoku/>
        <w:wordWrap/>
        <w:overflowPunct/>
        <w:topLinePunct w:val="0"/>
        <w:autoSpaceDE/>
        <w:autoSpaceDN/>
        <w:bidi w:val="0"/>
        <w:spacing w:before="60" w:after="60" w:line="480" w:lineRule="exact"/>
        <w:ind w:firstLine="482" w:firstLineChars="200"/>
        <w:textAlignment w:val="auto"/>
        <w:rPr>
          <w:rFonts w:hint="eastAsia" w:cs="Arial"/>
          <w:color w:val="auto"/>
          <w:highlight w:val="none"/>
        </w:rPr>
      </w:pPr>
      <w:r>
        <w:rPr>
          <w:rFonts w:hint="eastAsia" w:cs="Arial"/>
          <w:b/>
          <w:bCs/>
          <w:color w:val="auto"/>
          <w:highlight w:val="none"/>
          <w:u w:val="none"/>
          <w:lang w:eastAsia="zh-CN"/>
        </w:rPr>
        <w:t>新疆维吾尔自治区某厅某单位路面修缮项目（二次）</w:t>
      </w:r>
      <w:r>
        <w:rPr>
          <w:rFonts w:cs="Arial"/>
          <w:color w:val="auto"/>
          <w:highlight w:val="none"/>
        </w:rPr>
        <w:t>的潜在供应商应在</w:t>
      </w:r>
      <w:r>
        <w:rPr>
          <w:rFonts w:hint="eastAsia" w:cs="Arial"/>
          <w:color w:val="auto"/>
          <w:highlight w:val="none"/>
        </w:rPr>
        <w:t>政采云平台http://www.zcygov.cn</w:t>
      </w:r>
      <w:r>
        <w:rPr>
          <w:rFonts w:cs="Arial"/>
          <w:color w:val="auto"/>
          <w:highlight w:val="none"/>
        </w:rPr>
        <w:t>获取竞争性磋商文件，并于</w:t>
      </w:r>
      <w:r>
        <w:rPr>
          <w:rFonts w:hint="eastAsia" w:cs="Arial"/>
          <w:color w:val="auto"/>
          <w:highlight w:val="none"/>
          <w:lang w:eastAsia="zh-CN"/>
        </w:rPr>
        <w:t>2026年</w:t>
      </w:r>
      <w:r>
        <w:rPr>
          <w:rFonts w:hint="eastAsia" w:cs="Arial"/>
          <w:color w:val="auto"/>
          <w:highlight w:val="none"/>
          <w:lang w:val="en-US" w:eastAsia="zh-CN"/>
        </w:rPr>
        <w:t>6</w:t>
      </w:r>
      <w:r>
        <w:rPr>
          <w:rFonts w:hint="eastAsia" w:cs="Arial"/>
          <w:color w:val="auto"/>
          <w:highlight w:val="none"/>
          <w:lang w:eastAsia="zh-CN"/>
        </w:rPr>
        <w:t>月</w:t>
      </w:r>
      <w:r>
        <w:rPr>
          <w:rFonts w:hint="eastAsia" w:cs="Arial"/>
          <w:color w:val="auto"/>
          <w:highlight w:val="none"/>
          <w:lang w:val="en-US" w:eastAsia="zh-CN"/>
        </w:rPr>
        <w:t>22</w:t>
      </w:r>
      <w:r>
        <w:rPr>
          <w:rFonts w:hint="eastAsia" w:cs="Arial"/>
          <w:color w:val="auto"/>
          <w:highlight w:val="none"/>
          <w:lang w:eastAsia="zh-CN"/>
        </w:rPr>
        <w:t>日</w:t>
      </w:r>
      <w:r>
        <w:rPr>
          <w:rFonts w:cs="Arial"/>
          <w:b/>
          <w:bCs/>
          <w:color w:val="auto"/>
          <w:highlight w:val="none"/>
        </w:rPr>
        <w:t xml:space="preserve"> </w:t>
      </w:r>
      <w:r>
        <w:rPr>
          <w:rFonts w:hint="eastAsia" w:cs="Arial"/>
          <w:b/>
          <w:bCs/>
          <w:color w:val="auto"/>
          <w:highlight w:val="none"/>
          <w:lang w:val="en-US" w:eastAsia="zh-CN"/>
        </w:rPr>
        <w:t>16</w:t>
      </w:r>
      <w:r>
        <w:rPr>
          <w:rFonts w:cs="Arial"/>
          <w:b/>
          <w:bCs/>
          <w:color w:val="auto"/>
          <w:highlight w:val="none"/>
        </w:rPr>
        <w:t>:00（北京时间）</w:t>
      </w:r>
      <w:r>
        <w:rPr>
          <w:rFonts w:cs="Arial"/>
          <w:color w:val="auto"/>
          <w:highlight w:val="none"/>
        </w:rPr>
        <w:t>前递交响应文件。</w:t>
      </w:r>
    </w:p>
    <w:p w14:paraId="6EA2BA86">
      <w:pPr>
        <w:keepNext w:val="0"/>
        <w:keepLines w:val="0"/>
        <w:pageBreakBefore w:val="0"/>
        <w:kinsoku/>
        <w:wordWrap/>
        <w:overflowPunct/>
        <w:topLinePunct w:val="0"/>
        <w:autoSpaceDE/>
        <w:autoSpaceDN/>
        <w:bidi w:val="0"/>
        <w:spacing w:before="204" w:after="204" w:line="480" w:lineRule="exact"/>
        <w:textAlignment w:val="auto"/>
        <w:outlineLvl w:val="0"/>
        <w:rPr>
          <w:rFonts w:hint="eastAsia" w:cs="Arial"/>
          <w:color w:val="auto"/>
          <w:highlight w:val="none"/>
        </w:rPr>
      </w:pPr>
      <w:bookmarkStart w:id="3" w:name="_Toc29292"/>
      <w:bookmarkStart w:id="4" w:name="_Toc17072"/>
      <w:r>
        <w:rPr>
          <w:rFonts w:hint="eastAsia" w:cs="Arial"/>
          <w:b/>
          <w:bCs/>
          <w:color w:val="auto"/>
          <w:highlight w:val="none"/>
        </w:rPr>
        <w:t>一、项目基本情况</w:t>
      </w:r>
      <w:bookmarkEnd w:id="3"/>
      <w:bookmarkEnd w:id="4"/>
    </w:p>
    <w:p w14:paraId="73DA86CF">
      <w:pPr>
        <w:keepNext w:val="0"/>
        <w:keepLines w:val="0"/>
        <w:pageBreakBefore w:val="0"/>
        <w:kinsoku/>
        <w:wordWrap/>
        <w:overflowPunct/>
        <w:topLinePunct w:val="0"/>
        <w:autoSpaceDE/>
        <w:autoSpaceDN/>
        <w:bidi w:val="0"/>
        <w:spacing w:before="60" w:after="60" w:line="480" w:lineRule="exact"/>
        <w:ind w:firstLine="480"/>
        <w:textAlignment w:val="auto"/>
        <w:rPr>
          <w:rFonts w:hint="default" w:eastAsia="宋体" w:cs="Arial"/>
          <w:color w:val="auto"/>
          <w:highlight w:val="none"/>
          <w:lang w:val="en-US" w:eastAsia="zh-CN"/>
        </w:rPr>
      </w:pPr>
      <w:r>
        <w:rPr>
          <w:rFonts w:cs="Arial"/>
          <w:color w:val="auto"/>
          <w:highlight w:val="none"/>
        </w:rPr>
        <w:t>项目编号：</w:t>
      </w:r>
      <w:r>
        <w:rPr>
          <w:rFonts w:hint="eastAsia" w:cs="Arial"/>
          <w:color w:val="auto"/>
          <w:highlight w:val="none"/>
          <w:lang w:eastAsia="zh-CN"/>
        </w:rPr>
        <w:t>XJHCRH-2026-118</w:t>
      </w:r>
      <w:r>
        <w:rPr>
          <w:rFonts w:hint="eastAsia" w:cs="Arial"/>
          <w:color w:val="auto"/>
          <w:highlight w:val="none"/>
          <w:lang w:val="en-US" w:eastAsia="zh-CN"/>
        </w:rPr>
        <w:t>-1</w:t>
      </w:r>
    </w:p>
    <w:p w14:paraId="72513AB2">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b/>
          <w:bCs/>
          <w:color w:val="auto"/>
          <w:highlight w:val="none"/>
          <w:lang w:eastAsia="zh-CN"/>
        </w:rPr>
      </w:pPr>
      <w:r>
        <w:rPr>
          <w:rFonts w:cs="Arial"/>
          <w:color w:val="auto"/>
          <w:highlight w:val="none"/>
        </w:rPr>
        <w:t>项目名称：</w:t>
      </w:r>
      <w:r>
        <w:rPr>
          <w:rFonts w:hint="eastAsia" w:cs="Arial"/>
          <w:b/>
          <w:bCs/>
          <w:color w:val="auto"/>
          <w:highlight w:val="none"/>
          <w:lang w:eastAsia="zh-CN"/>
        </w:rPr>
        <w:t>新疆维吾尔自治区某厅某单位路面修缮项目（二次）</w:t>
      </w:r>
    </w:p>
    <w:p w14:paraId="489E4510">
      <w:pPr>
        <w:keepNext w:val="0"/>
        <w:keepLines w:val="0"/>
        <w:pageBreakBefore w:val="0"/>
        <w:kinsoku/>
        <w:wordWrap/>
        <w:overflowPunct/>
        <w:topLinePunct w:val="0"/>
        <w:autoSpaceDE/>
        <w:autoSpaceDN/>
        <w:bidi w:val="0"/>
        <w:spacing w:before="60" w:after="60" w:line="480" w:lineRule="exact"/>
        <w:ind w:firstLine="480"/>
        <w:textAlignment w:val="auto"/>
        <w:rPr>
          <w:rFonts w:hint="default" w:eastAsia="宋体" w:cs="Arial"/>
          <w:b/>
          <w:bCs/>
          <w:color w:val="auto"/>
          <w:highlight w:val="none"/>
          <w:lang w:val="en-US" w:eastAsia="zh-CN"/>
        </w:rPr>
      </w:pPr>
      <w:r>
        <w:rPr>
          <w:rFonts w:hint="eastAsia" w:cs="Arial"/>
          <w:b/>
          <w:bCs/>
          <w:color w:val="auto"/>
          <w:highlight w:val="none"/>
        </w:rPr>
        <w:t>预算金额（元）：</w:t>
      </w:r>
      <w:r>
        <w:rPr>
          <w:rFonts w:hint="eastAsia" w:cs="Arial"/>
          <w:b/>
          <w:bCs/>
          <w:color w:val="auto"/>
          <w:highlight w:val="none"/>
          <w:lang w:val="en-US" w:eastAsia="zh-CN"/>
        </w:rPr>
        <w:t>300000</w:t>
      </w:r>
      <w:r>
        <w:rPr>
          <w:rFonts w:hint="eastAsia" w:cs="Arial"/>
          <w:b/>
          <w:bCs/>
          <w:color w:val="auto"/>
          <w:highlight w:val="none"/>
        </w:rPr>
        <w:t>.00</w:t>
      </w:r>
    </w:p>
    <w:p w14:paraId="7ACC40FD">
      <w:pPr>
        <w:keepNext w:val="0"/>
        <w:keepLines w:val="0"/>
        <w:pageBreakBefore w:val="0"/>
        <w:kinsoku/>
        <w:wordWrap/>
        <w:overflowPunct/>
        <w:topLinePunct w:val="0"/>
        <w:autoSpaceDE/>
        <w:autoSpaceDN/>
        <w:bidi w:val="0"/>
        <w:spacing w:before="60" w:after="60" w:line="480" w:lineRule="exact"/>
        <w:ind w:firstLine="480"/>
        <w:textAlignment w:val="auto"/>
        <w:rPr>
          <w:rFonts w:hint="eastAsia" w:eastAsia="宋体" w:cs="Arial"/>
          <w:b/>
          <w:bCs/>
          <w:color w:val="auto"/>
          <w:highlight w:val="none"/>
          <w:lang w:val="en-US" w:eastAsia="zh-CN"/>
        </w:rPr>
      </w:pPr>
      <w:r>
        <w:rPr>
          <w:rFonts w:hint="eastAsia" w:cs="Arial"/>
          <w:b/>
          <w:bCs/>
          <w:color w:val="auto"/>
          <w:highlight w:val="none"/>
        </w:rPr>
        <w:t>最高限价（元）：299010.77</w:t>
      </w:r>
    </w:p>
    <w:p w14:paraId="08E6235F">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color w:val="auto"/>
          <w:highlight w:val="none"/>
        </w:rPr>
      </w:pPr>
      <w:r>
        <w:rPr>
          <w:rFonts w:cs="Arial"/>
          <w:color w:val="auto"/>
          <w:highlight w:val="none"/>
        </w:rPr>
        <w:t>采购需求：</w:t>
      </w:r>
      <w:r>
        <w:rPr>
          <w:rFonts w:hint="eastAsia" w:cs="Arial"/>
          <w:color w:val="auto"/>
          <w:highlight w:val="none"/>
        </w:rPr>
        <w:t>详见竞争性磋商文件。</w:t>
      </w:r>
    </w:p>
    <w:p w14:paraId="7FE7B7EB">
      <w:pPr>
        <w:pStyle w:val="143"/>
        <w:keepNext w:val="0"/>
        <w:keepLines w:val="0"/>
        <w:pageBreakBefore w:val="0"/>
        <w:kinsoku/>
        <w:wordWrap/>
        <w:overflowPunct/>
        <w:topLinePunct w:val="0"/>
        <w:autoSpaceDE/>
        <w:autoSpaceDN/>
        <w:bidi w:val="0"/>
        <w:adjustRightInd w:val="0"/>
        <w:snapToGrid w:val="0"/>
        <w:spacing w:line="480" w:lineRule="exact"/>
        <w:ind w:firstLine="480"/>
        <w:textAlignment w:val="auto"/>
        <w:rPr>
          <w:rFonts w:hint="eastAsia" w:ascii="宋体" w:hAnsi="宋体" w:eastAsia="宋体"/>
          <w:color w:val="auto"/>
          <w:sz w:val="24"/>
          <w:highlight w:val="none"/>
        </w:rPr>
      </w:pPr>
      <w:r>
        <w:rPr>
          <w:rFonts w:hint="eastAsia" w:ascii="宋体" w:hAnsi="宋体" w:eastAsia="宋体"/>
          <w:color w:val="auto"/>
          <w:sz w:val="24"/>
          <w:highlight w:val="none"/>
        </w:rPr>
        <w:t>标项一</w:t>
      </w:r>
      <w:r>
        <w:rPr>
          <w:rFonts w:hint="eastAsia" w:ascii="宋体" w:hAnsi="宋体" w:eastAsia="宋体"/>
          <w:color w:val="auto"/>
          <w:sz w:val="24"/>
          <w:highlight w:val="none"/>
          <w:lang w:eastAsia="zh-CN"/>
        </w:rPr>
        <w:t>：</w:t>
      </w:r>
      <w:r>
        <w:rPr>
          <w:rFonts w:hint="eastAsia" w:ascii="宋体" w:hAnsi="宋体" w:eastAsia="宋体"/>
          <w:color w:val="auto"/>
          <w:highlight w:val="none"/>
        </w:rPr>
        <w:t xml:space="preserve"> </w:t>
      </w:r>
    </w:p>
    <w:p w14:paraId="46FCE72F">
      <w:pPr>
        <w:pStyle w:val="143"/>
        <w:keepNext w:val="0"/>
        <w:keepLines w:val="0"/>
        <w:pageBreakBefore w:val="0"/>
        <w:kinsoku/>
        <w:wordWrap/>
        <w:overflowPunct/>
        <w:topLinePunct w:val="0"/>
        <w:autoSpaceDE/>
        <w:autoSpaceDN/>
        <w:bidi w:val="0"/>
        <w:adjustRightInd w:val="0"/>
        <w:snapToGrid w:val="0"/>
        <w:spacing w:line="480" w:lineRule="exact"/>
        <w:ind w:firstLine="0" w:firstLineChars="0"/>
        <w:textAlignment w:val="auto"/>
        <w:rPr>
          <w:rFonts w:hint="eastAsia" w:ascii="宋体" w:hAnsi="宋体" w:eastAsia="宋体"/>
          <w:b/>
          <w:bCs/>
          <w:color w:val="auto"/>
          <w:sz w:val="24"/>
          <w:highlight w:val="none"/>
          <w:lang w:eastAsia="zh-CN"/>
        </w:rPr>
      </w:pPr>
      <w:r>
        <w:rPr>
          <w:rFonts w:hint="eastAsia" w:ascii="宋体" w:hAnsi="宋体" w:eastAsia="宋体"/>
          <w:color w:val="auto"/>
          <w:sz w:val="24"/>
          <w:highlight w:val="none"/>
        </w:rPr>
        <w:t>标项名称</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w:t>
      </w:r>
      <w:r>
        <w:rPr>
          <w:rFonts w:hint="eastAsia" w:ascii="宋体" w:hAnsi="宋体" w:eastAsia="宋体"/>
          <w:b/>
          <w:bCs/>
          <w:color w:val="auto"/>
          <w:sz w:val="24"/>
          <w:highlight w:val="none"/>
          <w:lang w:eastAsia="zh-CN"/>
        </w:rPr>
        <w:t>新疆维吾尔自治区某厅某单位路面修缮项目（二次）</w:t>
      </w:r>
    </w:p>
    <w:p w14:paraId="2AEBEDCF">
      <w:pPr>
        <w:pStyle w:val="143"/>
        <w:keepNext w:val="0"/>
        <w:keepLines w:val="0"/>
        <w:pageBreakBefore w:val="0"/>
        <w:kinsoku/>
        <w:wordWrap/>
        <w:overflowPunct/>
        <w:topLinePunct w:val="0"/>
        <w:autoSpaceDE/>
        <w:autoSpaceDN/>
        <w:bidi w:val="0"/>
        <w:adjustRightInd w:val="0"/>
        <w:snapToGrid w:val="0"/>
        <w:spacing w:line="480" w:lineRule="exact"/>
        <w:ind w:firstLine="0" w:firstLineChars="0"/>
        <w:textAlignment w:val="auto"/>
        <w:rPr>
          <w:rFonts w:hint="eastAsia" w:ascii="宋体" w:hAnsi="宋体" w:eastAsia="宋体"/>
          <w:color w:val="auto"/>
          <w:sz w:val="24"/>
          <w:highlight w:val="none"/>
        </w:rPr>
      </w:pPr>
      <w:r>
        <w:rPr>
          <w:rFonts w:hint="eastAsia" w:ascii="宋体" w:hAnsi="宋体" w:eastAsia="宋体"/>
          <w:color w:val="auto"/>
          <w:sz w:val="24"/>
          <w:highlight w:val="none"/>
        </w:rPr>
        <w:t>数量</w:t>
      </w:r>
      <w:r>
        <w:rPr>
          <w:rFonts w:hint="eastAsia" w:ascii="宋体" w:hAnsi="宋体" w:eastAsia="宋体"/>
          <w:color w:val="auto"/>
          <w:sz w:val="24"/>
          <w:highlight w:val="none"/>
          <w:lang w:eastAsia="zh-CN"/>
        </w:rPr>
        <w:t>：</w:t>
      </w:r>
      <w:r>
        <w:rPr>
          <w:rFonts w:ascii="宋体" w:hAnsi="宋体" w:eastAsia="宋体"/>
          <w:color w:val="auto"/>
          <w:sz w:val="24"/>
          <w:highlight w:val="none"/>
        </w:rPr>
        <w:t>1</w:t>
      </w:r>
    </w:p>
    <w:p w14:paraId="39C13FE2">
      <w:pPr>
        <w:pStyle w:val="143"/>
        <w:keepNext w:val="0"/>
        <w:keepLines w:val="0"/>
        <w:pageBreakBefore w:val="0"/>
        <w:kinsoku/>
        <w:wordWrap/>
        <w:overflowPunct/>
        <w:topLinePunct w:val="0"/>
        <w:autoSpaceDE/>
        <w:autoSpaceDN/>
        <w:bidi w:val="0"/>
        <w:adjustRightInd w:val="0"/>
        <w:snapToGrid w:val="0"/>
        <w:spacing w:line="480" w:lineRule="exact"/>
        <w:ind w:firstLine="0" w:firstLineChars="0"/>
        <w:textAlignment w:val="auto"/>
        <w:rPr>
          <w:rFonts w:hint="eastAsia" w:ascii="宋体" w:hAnsi="宋体" w:eastAsia="宋体" w:cs="Arial"/>
          <w:b/>
          <w:bCs/>
          <w:color w:val="auto"/>
          <w:kern w:val="0"/>
          <w:sz w:val="24"/>
          <w:highlight w:val="none"/>
        </w:rPr>
      </w:pPr>
      <w:r>
        <w:rPr>
          <w:rFonts w:hint="eastAsia" w:ascii="宋体" w:hAnsi="宋体" w:eastAsia="宋体" w:cs="Arial"/>
          <w:b/>
          <w:bCs/>
          <w:color w:val="auto"/>
          <w:kern w:val="0"/>
          <w:sz w:val="24"/>
          <w:highlight w:val="none"/>
        </w:rPr>
        <w:t>预算金额（元）</w:t>
      </w:r>
      <w:r>
        <w:rPr>
          <w:rFonts w:hint="eastAsia" w:ascii="宋体" w:hAnsi="宋体" w:eastAsia="宋体" w:cs="Arial"/>
          <w:b/>
          <w:bCs/>
          <w:color w:val="auto"/>
          <w:kern w:val="0"/>
          <w:sz w:val="24"/>
          <w:highlight w:val="none"/>
          <w:lang w:eastAsia="zh-CN"/>
        </w:rPr>
        <w:t>：</w:t>
      </w:r>
      <w:r>
        <w:rPr>
          <w:rFonts w:hint="eastAsia" w:ascii="宋体" w:hAnsi="宋体" w:eastAsia="宋体" w:cs="Arial"/>
          <w:b/>
          <w:bCs/>
          <w:color w:val="auto"/>
          <w:kern w:val="0"/>
          <w:sz w:val="24"/>
          <w:highlight w:val="none"/>
          <w:lang w:val="en-US" w:eastAsia="zh-CN"/>
        </w:rPr>
        <w:t>300000</w:t>
      </w:r>
      <w:r>
        <w:rPr>
          <w:rFonts w:hint="eastAsia" w:ascii="宋体" w:hAnsi="宋体" w:eastAsia="宋体" w:cs="Arial"/>
          <w:b/>
          <w:bCs/>
          <w:color w:val="auto"/>
          <w:kern w:val="0"/>
          <w:sz w:val="24"/>
          <w:highlight w:val="none"/>
        </w:rPr>
        <w:t>.00</w:t>
      </w:r>
    </w:p>
    <w:p w14:paraId="380EF471">
      <w:pPr>
        <w:pStyle w:val="143"/>
        <w:keepNext w:val="0"/>
        <w:keepLines w:val="0"/>
        <w:pageBreakBefore w:val="0"/>
        <w:kinsoku/>
        <w:wordWrap/>
        <w:overflowPunct/>
        <w:topLinePunct w:val="0"/>
        <w:autoSpaceDE/>
        <w:autoSpaceDN/>
        <w:bidi w:val="0"/>
        <w:adjustRightInd w:val="0"/>
        <w:snapToGrid w:val="0"/>
        <w:spacing w:line="480" w:lineRule="exact"/>
        <w:ind w:firstLine="0" w:firstLineChars="0"/>
        <w:textAlignment w:val="auto"/>
        <w:rPr>
          <w:rFonts w:hint="eastAsia" w:ascii="宋体" w:hAnsi="宋体" w:eastAsia="宋体"/>
          <w:color w:val="auto"/>
          <w:sz w:val="24"/>
          <w:highlight w:val="none"/>
        </w:rPr>
      </w:pPr>
      <w:r>
        <w:rPr>
          <w:rFonts w:hint="eastAsia" w:ascii="宋体" w:hAnsi="宋体" w:eastAsia="宋体"/>
          <w:color w:val="auto"/>
          <w:sz w:val="24"/>
          <w:highlight w:val="none"/>
        </w:rPr>
        <w:t>简要规格描述或项目基本概况介绍、用途</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详见竞争性磋商文件。</w:t>
      </w:r>
    </w:p>
    <w:p w14:paraId="30C46F83">
      <w:pPr>
        <w:keepNext w:val="0"/>
        <w:keepLines w:val="0"/>
        <w:pageBreakBefore w:val="0"/>
        <w:kinsoku/>
        <w:wordWrap/>
        <w:overflowPunct/>
        <w:topLinePunct w:val="0"/>
        <w:autoSpaceDE/>
        <w:autoSpaceDN/>
        <w:bidi w:val="0"/>
        <w:spacing w:before="60" w:after="60" w:line="480" w:lineRule="exact"/>
        <w:ind w:firstLine="480"/>
        <w:textAlignment w:val="auto"/>
        <w:rPr>
          <w:rFonts w:hint="eastAsia" w:eastAsia="宋体" w:cs="Times New Roman"/>
          <w:color w:val="auto"/>
          <w:kern w:val="2"/>
          <w:highlight w:val="none"/>
          <w:lang w:val="en-US" w:eastAsia="zh-CN"/>
        </w:rPr>
      </w:pPr>
      <w:r>
        <w:rPr>
          <w:rFonts w:hint="eastAsia" w:cs="Times New Roman"/>
          <w:b/>
          <w:bCs/>
          <w:color w:val="auto"/>
          <w:kern w:val="2"/>
          <w:highlight w:val="none"/>
        </w:rPr>
        <w:t>合同履约期限：</w:t>
      </w:r>
      <w:r>
        <w:rPr>
          <w:rFonts w:hint="eastAsia" w:cs="Times New Roman"/>
          <w:b/>
          <w:bCs/>
          <w:color w:val="auto"/>
          <w:kern w:val="2"/>
          <w:highlight w:val="none"/>
          <w:lang w:val="en-US" w:eastAsia="zh-CN"/>
        </w:rPr>
        <w:t>自合同签订之日起20个日历日内完成施工。</w:t>
      </w:r>
    </w:p>
    <w:p w14:paraId="6C8FE119">
      <w:pPr>
        <w:keepNext w:val="0"/>
        <w:keepLines w:val="0"/>
        <w:pageBreakBefore w:val="0"/>
        <w:kinsoku/>
        <w:wordWrap/>
        <w:overflowPunct/>
        <w:topLinePunct w:val="0"/>
        <w:autoSpaceDE/>
        <w:autoSpaceDN/>
        <w:bidi w:val="0"/>
        <w:spacing w:before="60" w:after="60" w:line="480" w:lineRule="exact"/>
        <w:ind w:firstLine="480"/>
        <w:textAlignment w:val="auto"/>
        <w:rPr>
          <w:rFonts w:hint="eastAsia" w:eastAsia="宋体" w:cs="Arial"/>
          <w:b/>
          <w:bCs/>
          <w:color w:val="auto"/>
          <w:highlight w:val="none"/>
          <w:lang w:eastAsia="zh-CN"/>
        </w:rPr>
      </w:pPr>
      <w:r>
        <w:rPr>
          <w:rFonts w:hint="eastAsia" w:cs="Arial"/>
          <w:b/>
          <w:bCs/>
          <w:color w:val="auto"/>
          <w:highlight w:val="none"/>
          <w:lang w:val="en-US" w:eastAsia="zh-CN"/>
        </w:rPr>
        <w:t>质量标准</w:t>
      </w:r>
      <w:r>
        <w:rPr>
          <w:rFonts w:hint="eastAsia" w:cs="Arial"/>
          <w:b/>
          <w:bCs/>
          <w:color w:val="auto"/>
          <w:highlight w:val="none"/>
        </w:rPr>
        <w:t>：合格，符合国家现行《建筑工程施工质量验收统一标准》及相关专业工程施工质量验收规范的合格标准</w:t>
      </w:r>
      <w:r>
        <w:rPr>
          <w:rFonts w:hint="eastAsia" w:cs="Arial"/>
          <w:b/>
          <w:bCs/>
          <w:color w:val="auto"/>
          <w:highlight w:val="none"/>
          <w:lang w:eastAsia="zh-CN"/>
        </w:rPr>
        <w:t>。</w:t>
      </w:r>
    </w:p>
    <w:p w14:paraId="6A2EDA0F">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color w:val="auto"/>
          <w:highlight w:val="none"/>
        </w:rPr>
      </w:pPr>
      <w:r>
        <w:rPr>
          <w:rFonts w:cs="Arial"/>
          <w:color w:val="auto"/>
          <w:highlight w:val="none"/>
        </w:rPr>
        <w:t>本项目（否）接受联合体投标。</w:t>
      </w:r>
    </w:p>
    <w:p w14:paraId="22707327">
      <w:pPr>
        <w:keepNext w:val="0"/>
        <w:keepLines w:val="0"/>
        <w:pageBreakBefore w:val="0"/>
        <w:kinsoku/>
        <w:wordWrap/>
        <w:overflowPunct/>
        <w:topLinePunct w:val="0"/>
        <w:autoSpaceDE/>
        <w:autoSpaceDN/>
        <w:bidi w:val="0"/>
        <w:spacing w:before="60" w:after="60" w:line="480" w:lineRule="exact"/>
        <w:textAlignment w:val="auto"/>
        <w:outlineLvl w:val="0"/>
        <w:rPr>
          <w:rFonts w:hint="eastAsia" w:cs="Arial"/>
          <w:color w:val="auto"/>
          <w:highlight w:val="none"/>
        </w:rPr>
      </w:pPr>
      <w:bookmarkStart w:id="5" w:name="_Toc20428"/>
      <w:bookmarkStart w:id="6" w:name="_Toc4970"/>
      <w:r>
        <w:rPr>
          <w:rFonts w:hint="eastAsia" w:cs="Arial"/>
          <w:b/>
          <w:bCs/>
          <w:color w:val="auto"/>
          <w:highlight w:val="none"/>
        </w:rPr>
        <w:t>二、申请人的资格要求：</w:t>
      </w:r>
      <w:bookmarkEnd w:id="5"/>
      <w:bookmarkEnd w:id="6"/>
    </w:p>
    <w:p w14:paraId="4EFE62C1">
      <w:pPr>
        <w:keepNext w:val="0"/>
        <w:keepLines w:val="0"/>
        <w:pageBreakBefore w:val="0"/>
        <w:kinsoku/>
        <w:wordWrap/>
        <w:overflowPunct/>
        <w:topLinePunct w:val="0"/>
        <w:autoSpaceDE/>
        <w:autoSpaceDN/>
        <w:bidi w:val="0"/>
        <w:spacing w:before="60" w:after="60" w:line="480" w:lineRule="exact"/>
        <w:ind w:firstLine="482"/>
        <w:textAlignment w:val="auto"/>
        <w:rPr>
          <w:rFonts w:hint="eastAsia" w:cs="Arial"/>
          <w:color w:val="auto"/>
          <w:highlight w:val="none"/>
        </w:rPr>
      </w:pPr>
      <w:r>
        <w:rPr>
          <w:rFonts w:cs="Arial"/>
          <w:color w:val="auto"/>
          <w:highlight w:val="none"/>
        </w:rPr>
        <w:t>1.满足《中华人民共和国政府采购法》第二十二条规定；</w:t>
      </w:r>
    </w:p>
    <w:p w14:paraId="5F63BDF4">
      <w:pPr>
        <w:keepNext w:val="0"/>
        <w:keepLines w:val="0"/>
        <w:pageBreakBefore w:val="0"/>
        <w:kinsoku/>
        <w:wordWrap/>
        <w:overflowPunct/>
        <w:topLinePunct w:val="0"/>
        <w:autoSpaceDE/>
        <w:autoSpaceDN/>
        <w:bidi w:val="0"/>
        <w:spacing w:before="60" w:after="60" w:line="480" w:lineRule="exact"/>
        <w:ind w:firstLine="482"/>
        <w:textAlignment w:val="auto"/>
        <w:rPr>
          <w:rFonts w:cs="Arial"/>
          <w:color w:val="auto"/>
          <w:highlight w:val="none"/>
        </w:rPr>
      </w:pPr>
      <w:r>
        <w:rPr>
          <w:rFonts w:cs="Arial"/>
          <w:color w:val="auto"/>
          <w:highlight w:val="none"/>
        </w:rPr>
        <w:t>2.落实政府采购政策需满足的资格要求：</w:t>
      </w:r>
    </w:p>
    <w:p w14:paraId="4B59D0CA">
      <w:pPr>
        <w:keepNext w:val="0"/>
        <w:keepLines w:val="0"/>
        <w:pageBreakBefore w:val="0"/>
        <w:kinsoku/>
        <w:wordWrap/>
        <w:overflowPunct/>
        <w:topLinePunct w:val="0"/>
        <w:autoSpaceDE/>
        <w:autoSpaceDN/>
        <w:bidi w:val="0"/>
        <w:spacing w:before="60" w:after="60" w:line="480" w:lineRule="exact"/>
        <w:ind w:firstLine="482"/>
        <w:textAlignment w:val="auto"/>
        <w:rPr>
          <w:rFonts w:hint="eastAsia" w:cs="Arial"/>
          <w:b/>
          <w:bCs/>
          <w:color w:val="auto"/>
          <w:highlight w:val="none"/>
        </w:rPr>
      </w:pPr>
      <w:r>
        <w:rPr>
          <w:rFonts w:hint="eastAsia" w:cs="Arial"/>
          <w:b/>
          <w:bCs/>
          <w:color w:val="auto"/>
          <w:highlight w:val="none"/>
        </w:rPr>
        <w:t>□本项目不专门面向中小企业预留采购份额。</w:t>
      </w:r>
    </w:p>
    <w:p w14:paraId="1B2966C6">
      <w:pPr>
        <w:keepNext w:val="0"/>
        <w:keepLines w:val="0"/>
        <w:pageBreakBefore w:val="0"/>
        <w:kinsoku/>
        <w:wordWrap/>
        <w:overflowPunct/>
        <w:topLinePunct w:val="0"/>
        <w:autoSpaceDE/>
        <w:autoSpaceDN/>
        <w:bidi w:val="0"/>
        <w:spacing w:before="60" w:after="60" w:line="480" w:lineRule="exact"/>
        <w:ind w:firstLine="482"/>
        <w:textAlignment w:val="auto"/>
        <w:rPr>
          <w:rFonts w:hint="eastAsia" w:cs="Arial"/>
          <w:b/>
          <w:bCs/>
          <w:color w:val="auto"/>
          <w:highlight w:val="none"/>
        </w:rPr>
      </w:pPr>
      <w:r>
        <w:rPr>
          <w:rFonts w:hint="eastAsia" w:cs="Arial"/>
          <w:b/>
          <w:bCs/>
          <w:color w:val="auto"/>
          <w:highlight w:val="none"/>
        </w:rPr>
        <w:t>☑本项目专门面向</w:t>
      </w:r>
      <w:r>
        <w:rPr>
          <w:rFonts w:hint="eastAsia" w:cs="Arial"/>
          <w:b/>
          <w:bCs/>
          <w:color w:val="auto"/>
          <w:highlight w:val="none"/>
          <w:lang w:eastAsia="zh-CN"/>
        </w:rPr>
        <w:t>☑</w:t>
      </w:r>
      <w:r>
        <w:rPr>
          <w:rFonts w:hint="eastAsia" w:cs="Arial"/>
          <w:b/>
          <w:bCs/>
          <w:color w:val="auto"/>
          <w:highlight w:val="none"/>
        </w:rPr>
        <w:t>中小</w:t>
      </w:r>
      <w:r>
        <w:rPr>
          <w:rFonts w:hint="eastAsia" w:cs="Arial"/>
          <w:b/>
          <w:bCs/>
          <w:color w:val="auto"/>
          <w:highlight w:val="none"/>
          <w:lang w:eastAsia="zh-CN"/>
        </w:rPr>
        <w:t>□</w:t>
      </w:r>
      <w:r>
        <w:rPr>
          <w:rFonts w:hint="eastAsia" w:cs="Arial"/>
          <w:b/>
          <w:bCs/>
          <w:color w:val="auto"/>
          <w:highlight w:val="none"/>
        </w:rPr>
        <w:t>小微企业采购。即</w:t>
      </w:r>
      <w:r>
        <w:rPr>
          <w:rFonts w:hint="eastAsia" w:cs="Arial"/>
          <w:b/>
          <w:bCs/>
          <w:color w:val="auto"/>
          <w:highlight w:val="none"/>
          <w:lang w:eastAsia="zh-CN"/>
        </w:rPr>
        <w:t>：</w:t>
      </w:r>
      <w:r>
        <w:rPr>
          <w:rFonts w:hint="eastAsia" w:cs="Arial"/>
          <w:b/>
          <w:bCs/>
          <w:color w:val="auto"/>
          <w:highlight w:val="none"/>
        </w:rPr>
        <w:t>提供的服务全部由符合政策要求的</w:t>
      </w:r>
      <w:r>
        <w:rPr>
          <w:rFonts w:hint="eastAsia" w:cs="Arial"/>
          <w:b/>
          <w:bCs/>
          <w:color w:val="auto"/>
          <w:highlight w:val="none"/>
          <w:lang w:eastAsia="zh-CN"/>
        </w:rPr>
        <w:t>☑</w:t>
      </w:r>
      <w:r>
        <w:rPr>
          <w:rFonts w:hint="eastAsia" w:cs="Arial"/>
          <w:b/>
          <w:bCs/>
          <w:color w:val="auto"/>
          <w:highlight w:val="none"/>
        </w:rPr>
        <w:t>中小/</w:t>
      </w:r>
      <w:r>
        <w:rPr>
          <w:rFonts w:hint="eastAsia" w:cs="Arial"/>
          <w:b/>
          <w:bCs/>
          <w:color w:val="auto"/>
          <w:highlight w:val="none"/>
          <w:lang w:eastAsia="zh-CN"/>
        </w:rPr>
        <w:t>□</w:t>
      </w:r>
      <w:r>
        <w:rPr>
          <w:rFonts w:hint="eastAsia" w:cs="Arial"/>
          <w:b/>
          <w:bCs/>
          <w:color w:val="auto"/>
          <w:highlight w:val="none"/>
        </w:rPr>
        <w:t>小微企业承接。</w:t>
      </w:r>
    </w:p>
    <w:p w14:paraId="2C63D248">
      <w:pPr>
        <w:keepNext w:val="0"/>
        <w:keepLines w:val="0"/>
        <w:pageBreakBefore w:val="0"/>
        <w:kinsoku/>
        <w:wordWrap/>
        <w:overflowPunct/>
        <w:topLinePunct w:val="0"/>
        <w:autoSpaceDE/>
        <w:autoSpaceDN/>
        <w:bidi w:val="0"/>
        <w:spacing w:before="60" w:after="60" w:line="480" w:lineRule="exact"/>
        <w:ind w:firstLine="482"/>
        <w:textAlignment w:val="auto"/>
        <w:rPr>
          <w:rFonts w:cs="Arial"/>
          <w:b/>
          <w:bCs/>
          <w:color w:val="auto"/>
          <w:highlight w:val="none"/>
        </w:rPr>
      </w:pPr>
      <w:r>
        <w:rPr>
          <w:rFonts w:hint="eastAsia" w:cs="Arial"/>
          <w:b/>
          <w:bCs/>
          <w:color w:val="auto"/>
          <w:highlight w:val="none"/>
        </w:rPr>
        <w:t>□本项目预留部分采购项目预算专门面向中小企业采购。对于预留份额，提供的货物由符合政策要求的中小企业制造、服务</w:t>
      </w:r>
      <w:r>
        <w:rPr>
          <w:rFonts w:hint="eastAsia" w:cs="Arial"/>
          <w:b/>
          <w:bCs/>
          <w:color w:val="auto"/>
          <w:highlight w:val="none"/>
          <w:lang w:eastAsia="zh-CN"/>
        </w:rPr>
        <w:t>（</w:t>
      </w:r>
      <w:r>
        <w:rPr>
          <w:rFonts w:hint="eastAsia" w:cs="Arial"/>
          <w:b/>
          <w:bCs/>
          <w:color w:val="auto"/>
          <w:highlight w:val="none"/>
        </w:rPr>
        <w:t>或工程</w:t>
      </w:r>
      <w:r>
        <w:rPr>
          <w:rFonts w:hint="eastAsia" w:cs="Arial"/>
          <w:b/>
          <w:bCs/>
          <w:color w:val="auto"/>
          <w:highlight w:val="none"/>
          <w:lang w:eastAsia="zh-CN"/>
        </w:rPr>
        <w:t>）</w:t>
      </w:r>
      <w:r>
        <w:rPr>
          <w:rFonts w:hint="eastAsia" w:cs="Arial"/>
          <w:b/>
          <w:bCs/>
          <w:color w:val="auto"/>
          <w:highlight w:val="none"/>
        </w:rPr>
        <w:t>由符合政策要求的中小企业承接。</w:t>
      </w:r>
    </w:p>
    <w:p w14:paraId="395BD2E2">
      <w:pPr>
        <w:keepNext w:val="0"/>
        <w:keepLines w:val="0"/>
        <w:pageBreakBefore w:val="0"/>
        <w:numPr>
          <w:ilvl w:val="0"/>
          <w:numId w:val="4"/>
        </w:numPr>
        <w:kinsoku/>
        <w:wordWrap/>
        <w:overflowPunct/>
        <w:topLinePunct w:val="0"/>
        <w:autoSpaceDE/>
        <w:autoSpaceDN/>
        <w:bidi w:val="0"/>
        <w:spacing w:before="60" w:after="60" w:line="480" w:lineRule="exact"/>
        <w:ind w:firstLine="482"/>
        <w:textAlignment w:val="auto"/>
        <w:rPr>
          <w:rFonts w:cs="Arial"/>
          <w:color w:val="auto"/>
          <w:highlight w:val="none"/>
        </w:rPr>
      </w:pPr>
      <w:r>
        <w:rPr>
          <w:rFonts w:cs="Arial"/>
          <w:color w:val="auto"/>
          <w:highlight w:val="none"/>
        </w:rPr>
        <w:t>本项目的特定资格要求：</w:t>
      </w:r>
    </w:p>
    <w:p w14:paraId="123D63F7">
      <w:pPr>
        <w:keepNext w:val="0"/>
        <w:keepLines w:val="0"/>
        <w:pageBreakBefore w:val="0"/>
        <w:kinsoku/>
        <w:wordWrap/>
        <w:overflowPunct/>
        <w:topLinePunct w:val="0"/>
        <w:autoSpaceDE/>
        <w:autoSpaceDN/>
        <w:bidi w:val="0"/>
        <w:spacing w:before="60" w:after="60" w:line="480" w:lineRule="exact"/>
        <w:ind w:firstLine="482"/>
        <w:textAlignment w:val="auto"/>
        <w:rPr>
          <w:rFonts w:hint="eastAsia" w:ascii="宋体" w:hAnsi="宋体" w:eastAsia="宋体" w:cs="Arial"/>
          <w:b/>
          <w:bCs/>
          <w:color w:val="auto"/>
          <w:highlight w:val="none"/>
        </w:rPr>
      </w:pPr>
      <w:r>
        <w:rPr>
          <w:rFonts w:hint="eastAsia" w:ascii="宋体" w:hAnsi="宋体" w:eastAsia="宋体" w:cs="Arial"/>
          <w:b/>
          <w:bCs/>
          <w:color w:val="auto"/>
          <w:highlight w:val="none"/>
          <w:lang w:val="en-US" w:eastAsia="zh-CN"/>
        </w:rPr>
        <w:t>（</w:t>
      </w:r>
      <w:r>
        <w:rPr>
          <w:rFonts w:hint="default" w:ascii="宋体" w:hAnsi="宋体" w:eastAsia="宋体" w:cs="Arial"/>
          <w:b/>
          <w:bCs/>
          <w:color w:val="auto"/>
          <w:highlight w:val="none"/>
          <w:lang w:val="en-US" w:eastAsia="zh-CN"/>
        </w:rPr>
        <w:t>1</w:t>
      </w:r>
      <w:r>
        <w:rPr>
          <w:rFonts w:hint="eastAsia" w:ascii="宋体" w:hAnsi="宋体" w:eastAsia="宋体" w:cs="Arial"/>
          <w:b/>
          <w:bCs/>
          <w:color w:val="auto"/>
          <w:highlight w:val="none"/>
          <w:lang w:val="en-US" w:eastAsia="zh-CN"/>
        </w:rPr>
        <w:t>）供应商须具备</w:t>
      </w:r>
      <w:r>
        <w:rPr>
          <w:rFonts w:hint="eastAsia" w:cs="Arial"/>
          <w:b/>
          <w:bCs/>
          <w:color w:val="auto"/>
          <w:highlight w:val="none"/>
          <w:lang w:val="en-US" w:eastAsia="zh-CN"/>
        </w:rPr>
        <w:t>市政公用工程</w:t>
      </w:r>
      <w:r>
        <w:rPr>
          <w:rFonts w:hint="eastAsia" w:ascii="宋体" w:hAnsi="宋体" w:eastAsia="宋体" w:cs="Arial"/>
          <w:b/>
          <w:bCs/>
          <w:color w:val="auto"/>
          <w:highlight w:val="none"/>
          <w:lang w:val="en-US" w:eastAsia="zh-CN"/>
        </w:rPr>
        <w:t xml:space="preserve">施工总承包叁级以上（含叁级）资质，具备有效的安全生产许可证。项目负责人须具备市政工程专业二级以上（含二级）注册建造师执业资格，具备有效的安全生产考核合格证书； </w:t>
      </w:r>
    </w:p>
    <w:p w14:paraId="38F22A83">
      <w:pPr>
        <w:keepNext w:val="0"/>
        <w:keepLines w:val="0"/>
        <w:pageBreakBefore w:val="0"/>
        <w:numPr>
          <w:ilvl w:val="0"/>
          <w:numId w:val="5"/>
        </w:numPr>
        <w:kinsoku/>
        <w:wordWrap/>
        <w:overflowPunct/>
        <w:topLinePunct w:val="0"/>
        <w:autoSpaceDE/>
        <w:autoSpaceDN/>
        <w:bidi w:val="0"/>
        <w:spacing w:before="60" w:after="60" w:line="480" w:lineRule="exact"/>
        <w:ind w:firstLine="482"/>
        <w:textAlignment w:val="auto"/>
        <w:rPr>
          <w:rFonts w:hint="eastAsia" w:ascii="宋体" w:hAnsi="宋体" w:eastAsia="宋体" w:cs="Arial"/>
          <w:b/>
          <w:bCs/>
          <w:color w:val="auto"/>
          <w:highlight w:val="none"/>
          <w:lang w:val="en-US" w:eastAsia="zh-CN"/>
        </w:rPr>
      </w:pPr>
      <w:r>
        <w:rPr>
          <w:rFonts w:hint="eastAsia" w:ascii="宋体" w:hAnsi="宋体" w:eastAsia="宋体" w:cs="Arial"/>
          <w:b/>
          <w:bCs/>
          <w:color w:val="auto"/>
          <w:highlight w:val="none"/>
          <w:lang w:val="en-US" w:eastAsia="zh-CN"/>
        </w:rPr>
        <w:t>供应商不得与采购人、采购代理机构存在隶属关系或者其他利害关系；</w:t>
      </w:r>
    </w:p>
    <w:p w14:paraId="31D752C2">
      <w:pPr>
        <w:keepNext w:val="0"/>
        <w:keepLines w:val="0"/>
        <w:pageBreakBefore w:val="0"/>
        <w:numPr>
          <w:ilvl w:val="0"/>
          <w:numId w:val="5"/>
        </w:numPr>
        <w:kinsoku/>
        <w:wordWrap/>
        <w:overflowPunct/>
        <w:topLinePunct w:val="0"/>
        <w:autoSpaceDE/>
        <w:autoSpaceDN/>
        <w:bidi w:val="0"/>
        <w:spacing w:before="60" w:after="60" w:line="480" w:lineRule="exact"/>
        <w:ind w:firstLine="482"/>
        <w:textAlignment w:val="auto"/>
        <w:rPr>
          <w:rFonts w:hint="eastAsia" w:ascii="宋体" w:hAnsi="宋体" w:eastAsia="宋体" w:cs="Arial"/>
          <w:b/>
          <w:bCs/>
          <w:color w:val="auto"/>
          <w:highlight w:val="none"/>
          <w:lang w:val="en-US" w:eastAsia="zh-CN"/>
        </w:rPr>
      </w:pPr>
      <w:r>
        <w:rPr>
          <w:rFonts w:hint="eastAsia" w:ascii="宋体" w:hAnsi="宋体" w:eastAsia="宋体" w:cs="Arial"/>
          <w:b/>
          <w:bCs/>
          <w:color w:val="auto"/>
          <w:highlight w:val="none"/>
          <w:lang w:val="en-US" w:eastAsia="zh-CN"/>
        </w:rPr>
        <w:t xml:space="preserve">单位负责人为同一人或者存在直接控股、管理关系的不同供应商，不得参加同一合同下的政府采购活动； </w:t>
      </w:r>
    </w:p>
    <w:p w14:paraId="78BF96A1">
      <w:pPr>
        <w:keepNext w:val="0"/>
        <w:keepLines w:val="0"/>
        <w:pageBreakBefore w:val="0"/>
        <w:numPr>
          <w:ilvl w:val="0"/>
          <w:numId w:val="5"/>
        </w:numPr>
        <w:kinsoku/>
        <w:wordWrap/>
        <w:overflowPunct/>
        <w:topLinePunct w:val="0"/>
        <w:autoSpaceDE/>
        <w:autoSpaceDN/>
        <w:bidi w:val="0"/>
        <w:spacing w:before="60" w:after="60" w:line="480" w:lineRule="exact"/>
        <w:ind w:firstLine="482"/>
        <w:textAlignment w:val="auto"/>
        <w:rPr>
          <w:rFonts w:hint="eastAsia" w:ascii="宋体" w:hAnsi="宋体" w:eastAsia="宋体" w:cs="Arial"/>
          <w:b/>
          <w:bCs/>
          <w:color w:val="auto"/>
          <w:highlight w:val="none"/>
        </w:rPr>
      </w:pPr>
      <w:r>
        <w:rPr>
          <w:rFonts w:hint="eastAsia" w:ascii="宋体" w:hAnsi="宋体" w:eastAsia="宋体" w:cs="Arial"/>
          <w:b/>
          <w:bCs/>
          <w:color w:val="auto"/>
          <w:highlight w:val="none"/>
          <w:lang w:val="en-US" w:eastAsia="zh-CN"/>
        </w:rPr>
        <w:t>除单一来源采购项目外，为采购项目提供整体设计、规范编制或者项目管理、监理、检测等服务的供应商，不得再参加该采购项目的其他采购活动。</w:t>
      </w:r>
    </w:p>
    <w:p w14:paraId="61F277CA">
      <w:pPr>
        <w:keepNext w:val="0"/>
        <w:keepLines w:val="0"/>
        <w:pageBreakBefore w:val="0"/>
        <w:numPr>
          <w:ilvl w:val="0"/>
          <w:numId w:val="0"/>
        </w:numPr>
        <w:kinsoku/>
        <w:wordWrap/>
        <w:overflowPunct/>
        <w:topLinePunct w:val="0"/>
        <w:autoSpaceDE/>
        <w:autoSpaceDN/>
        <w:bidi w:val="0"/>
        <w:spacing w:before="60" w:after="60" w:line="480" w:lineRule="exact"/>
        <w:ind w:firstLine="482" w:firstLineChars="200"/>
        <w:textAlignment w:val="auto"/>
        <w:rPr>
          <w:rFonts w:hint="default" w:eastAsia="宋体" w:cs="Arial"/>
          <w:b/>
          <w:bCs/>
          <w:color w:val="auto"/>
          <w:highlight w:val="none"/>
          <w:lang w:val="en-US" w:eastAsia="zh-CN"/>
        </w:rPr>
      </w:pPr>
      <w:r>
        <w:rPr>
          <w:rFonts w:hint="default" w:ascii="宋体" w:hAnsi="宋体" w:eastAsia="宋体" w:cs="Arial"/>
          <w:b/>
          <w:bCs/>
          <w:color w:val="auto"/>
          <w:sz w:val="24"/>
          <w:szCs w:val="24"/>
          <w:highlight w:val="none"/>
          <w:lang w:val="en-US" w:eastAsia="zh-CN" w:bidi="ar-SA"/>
        </w:rPr>
        <w:t>（</w:t>
      </w:r>
      <w:r>
        <w:rPr>
          <w:rFonts w:hint="eastAsia" w:cs="Arial"/>
          <w:b/>
          <w:bCs/>
          <w:color w:val="auto"/>
          <w:sz w:val="24"/>
          <w:szCs w:val="24"/>
          <w:highlight w:val="none"/>
          <w:lang w:val="en-US" w:eastAsia="zh-CN" w:bidi="ar-SA"/>
        </w:rPr>
        <w:t>5</w:t>
      </w:r>
      <w:r>
        <w:rPr>
          <w:rFonts w:hint="default" w:ascii="宋体" w:hAnsi="宋体" w:eastAsia="宋体" w:cs="Arial"/>
          <w:b/>
          <w:bCs/>
          <w:color w:val="auto"/>
          <w:sz w:val="24"/>
          <w:szCs w:val="24"/>
          <w:highlight w:val="none"/>
          <w:lang w:val="en-US" w:eastAsia="zh-CN" w:bidi="ar-SA"/>
        </w:rPr>
        <w:t>）</w:t>
      </w:r>
      <w:r>
        <w:rPr>
          <w:rFonts w:hint="eastAsia" w:cs="Arial"/>
          <w:b/>
          <w:bCs/>
          <w:color w:val="auto"/>
          <w:highlight w:val="none"/>
        </w:rPr>
        <w:t>在中华人民共和国境内注册，未在“信用中国”网站 (www.creditchina.gov.cn) 、“中国政府采购网” (www.ccgp.gov.cn) 等渠道列入失信被执行人、税收违法黑名单、政府采购严重违法失信行为记录名单；</w:t>
      </w:r>
    </w:p>
    <w:p w14:paraId="4FF58B91">
      <w:pPr>
        <w:keepNext w:val="0"/>
        <w:keepLines w:val="0"/>
        <w:pageBreakBefore w:val="0"/>
        <w:kinsoku/>
        <w:wordWrap/>
        <w:overflowPunct/>
        <w:topLinePunct w:val="0"/>
        <w:autoSpaceDE/>
        <w:autoSpaceDN/>
        <w:bidi w:val="0"/>
        <w:spacing w:before="204" w:after="204" w:line="480" w:lineRule="exact"/>
        <w:textAlignment w:val="auto"/>
        <w:outlineLvl w:val="0"/>
        <w:rPr>
          <w:rFonts w:hint="eastAsia" w:cs="Arial"/>
          <w:color w:val="auto"/>
          <w:highlight w:val="none"/>
        </w:rPr>
      </w:pPr>
      <w:bookmarkStart w:id="7" w:name="_Toc23547"/>
      <w:bookmarkStart w:id="8" w:name="_Toc1157"/>
      <w:r>
        <w:rPr>
          <w:rFonts w:hint="eastAsia" w:cs="Arial"/>
          <w:b/>
          <w:bCs/>
          <w:color w:val="auto"/>
          <w:highlight w:val="none"/>
        </w:rPr>
        <w:t>三、获取竞争性磋商文件</w:t>
      </w:r>
      <w:bookmarkEnd w:id="7"/>
      <w:bookmarkEnd w:id="8"/>
    </w:p>
    <w:p w14:paraId="19F81A69">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b/>
          <w:bCs/>
          <w:color w:val="auto"/>
          <w:highlight w:val="none"/>
        </w:rPr>
      </w:pPr>
      <w:r>
        <w:rPr>
          <w:rFonts w:cs="Arial"/>
          <w:b/>
          <w:bCs/>
          <w:color w:val="auto"/>
          <w:highlight w:val="none"/>
        </w:rPr>
        <w:t>时间：</w:t>
      </w:r>
      <w:r>
        <w:rPr>
          <w:rFonts w:hint="eastAsia" w:cs="Arial"/>
          <w:b/>
          <w:bCs/>
          <w:color w:val="auto"/>
          <w:highlight w:val="none"/>
          <w:lang w:eastAsia="zh-CN"/>
        </w:rPr>
        <w:t>2026年</w:t>
      </w:r>
      <w:r>
        <w:rPr>
          <w:rFonts w:hint="eastAsia" w:cs="Arial"/>
          <w:b/>
          <w:bCs/>
          <w:color w:val="auto"/>
          <w:highlight w:val="none"/>
          <w:lang w:val="en-US" w:eastAsia="zh-CN"/>
        </w:rPr>
        <w:t>6</w:t>
      </w:r>
      <w:r>
        <w:rPr>
          <w:rFonts w:hint="eastAsia" w:cs="Arial"/>
          <w:b/>
          <w:bCs/>
          <w:color w:val="auto"/>
          <w:highlight w:val="none"/>
          <w:lang w:eastAsia="zh-CN"/>
        </w:rPr>
        <w:t>月</w:t>
      </w:r>
      <w:r>
        <w:rPr>
          <w:rFonts w:hint="eastAsia" w:cs="Arial"/>
          <w:b/>
          <w:bCs/>
          <w:color w:val="auto"/>
          <w:highlight w:val="none"/>
          <w:lang w:val="en-US" w:eastAsia="zh-CN"/>
        </w:rPr>
        <w:t>11</w:t>
      </w:r>
      <w:r>
        <w:rPr>
          <w:rFonts w:hint="eastAsia" w:cs="Arial"/>
          <w:b/>
          <w:bCs/>
          <w:color w:val="auto"/>
          <w:highlight w:val="none"/>
          <w:lang w:eastAsia="zh-CN"/>
        </w:rPr>
        <w:t>日</w:t>
      </w:r>
      <w:r>
        <w:rPr>
          <w:rFonts w:hint="eastAsia" w:cs="Arial"/>
          <w:b/>
          <w:bCs/>
          <w:color w:val="auto"/>
          <w:highlight w:val="none"/>
        </w:rPr>
        <w:t>至</w:t>
      </w:r>
      <w:r>
        <w:rPr>
          <w:rFonts w:hint="eastAsia" w:cs="Arial"/>
          <w:b/>
          <w:bCs/>
          <w:color w:val="auto"/>
          <w:highlight w:val="none"/>
          <w:lang w:eastAsia="zh-CN"/>
        </w:rPr>
        <w:t>2026年</w:t>
      </w:r>
      <w:r>
        <w:rPr>
          <w:rFonts w:hint="eastAsia" w:cs="Arial"/>
          <w:b/>
          <w:bCs/>
          <w:color w:val="auto"/>
          <w:highlight w:val="none"/>
          <w:lang w:val="en-US" w:eastAsia="zh-CN"/>
        </w:rPr>
        <w:t>6</w:t>
      </w:r>
      <w:r>
        <w:rPr>
          <w:rFonts w:hint="eastAsia" w:cs="Arial"/>
          <w:b/>
          <w:bCs/>
          <w:color w:val="auto"/>
          <w:highlight w:val="none"/>
          <w:lang w:eastAsia="zh-CN"/>
        </w:rPr>
        <w:t>月</w:t>
      </w:r>
      <w:r>
        <w:rPr>
          <w:rFonts w:hint="eastAsia" w:cs="Arial"/>
          <w:b/>
          <w:bCs/>
          <w:color w:val="auto"/>
          <w:highlight w:val="none"/>
          <w:lang w:val="en-US" w:eastAsia="zh-CN"/>
        </w:rPr>
        <w:t>18</w:t>
      </w:r>
      <w:r>
        <w:rPr>
          <w:rFonts w:hint="eastAsia" w:cs="Arial"/>
          <w:b/>
          <w:bCs/>
          <w:color w:val="auto"/>
          <w:highlight w:val="none"/>
          <w:lang w:eastAsia="zh-CN"/>
        </w:rPr>
        <w:t>日</w:t>
      </w:r>
      <w:r>
        <w:rPr>
          <w:rFonts w:cs="Arial"/>
          <w:b/>
          <w:bCs/>
          <w:color w:val="auto"/>
          <w:highlight w:val="none"/>
        </w:rPr>
        <w:t>，每天上午</w:t>
      </w:r>
      <w:r>
        <w:rPr>
          <w:rFonts w:hint="eastAsia" w:cs="Arial"/>
          <w:b/>
          <w:bCs/>
          <w:color w:val="auto"/>
          <w:highlight w:val="none"/>
          <w:lang w:val="en-US" w:eastAsia="zh-CN"/>
        </w:rPr>
        <w:t>00</w:t>
      </w:r>
      <w:r>
        <w:rPr>
          <w:rFonts w:cs="Arial"/>
          <w:b/>
          <w:bCs/>
          <w:color w:val="auto"/>
          <w:highlight w:val="none"/>
        </w:rPr>
        <w:t>:00至1</w:t>
      </w:r>
      <w:r>
        <w:rPr>
          <w:rFonts w:hint="eastAsia" w:cs="Arial"/>
          <w:b/>
          <w:bCs/>
          <w:color w:val="auto"/>
          <w:highlight w:val="none"/>
          <w:lang w:val="en-US" w:eastAsia="zh-CN"/>
        </w:rPr>
        <w:t>4</w:t>
      </w:r>
      <w:r>
        <w:rPr>
          <w:rFonts w:cs="Arial"/>
          <w:b/>
          <w:bCs/>
          <w:color w:val="auto"/>
          <w:highlight w:val="none"/>
        </w:rPr>
        <w:t>:</w:t>
      </w:r>
      <w:r>
        <w:rPr>
          <w:rFonts w:hint="eastAsia" w:cs="Arial"/>
          <w:b/>
          <w:bCs/>
          <w:color w:val="auto"/>
          <w:highlight w:val="none"/>
          <w:lang w:val="en-US" w:eastAsia="zh-CN"/>
        </w:rPr>
        <w:t>0</w:t>
      </w:r>
      <w:r>
        <w:rPr>
          <w:rFonts w:cs="Arial"/>
          <w:b/>
          <w:bCs/>
          <w:color w:val="auto"/>
          <w:highlight w:val="none"/>
        </w:rPr>
        <w:t>0，</w:t>
      </w:r>
      <w:r>
        <w:rPr>
          <w:rFonts w:hint="eastAsia" w:cs="Arial"/>
          <w:b/>
          <w:bCs/>
          <w:color w:val="auto"/>
          <w:highlight w:val="none"/>
          <w:lang w:eastAsia="zh-CN"/>
        </w:rPr>
        <w:t>1</w:t>
      </w:r>
      <w:r>
        <w:rPr>
          <w:rFonts w:hint="eastAsia" w:cs="Arial"/>
          <w:b/>
          <w:bCs/>
          <w:color w:val="auto"/>
          <w:highlight w:val="none"/>
          <w:lang w:val="en-US" w:eastAsia="zh-CN"/>
        </w:rPr>
        <w:t>4</w:t>
      </w:r>
      <w:r>
        <w:rPr>
          <w:rFonts w:hint="eastAsia" w:cs="Arial"/>
          <w:b/>
          <w:bCs/>
          <w:color w:val="auto"/>
          <w:highlight w:val="none"/>
          <w:lang w:eastAsia="zh-CN"/>
        </w:rPr>
        <w:t>:</w:t>
      </w:r>
      <w:r>
        <w:rPr>
          <w:rFonts w:hint="eastAsia" w:cs="Arial"/>
          <w:b/>
          <w:bCs/>
          <w:color w:val="auto"/>
          <w:highlight w:val="none"/>
          <w:lang w:val="en-US" w:eastAsia="zh-CN"/>
        </w:rPr>
        <w:t>0</w:t>
      </w:r>
      <w:r>
        <w:rPr>
          <w:rFonts w:hint="eastAsia" w:cs="Arial"/>
          <w:b/>
          <w:bCs/>
          <w:color w:val="auto"/>
          <w:highlight w:val="none"/>
          <w:lang w:eastAsia="zh-CN"/>
        </w:rPr>
        <w:t>0</w:t>
      </w:r>
      <w:r>
        <w:rPr>
          <w:rFonts w:cs="Arial"/>
          <w:b/>
          <w:bCs/>
          <w:color w:val="auto"/>
          <w:highlight w:val="none"/>
        </w:rPr>
        <w:t>至</w:t>
      </w:r>
      <w:r>
        <w:rPr>
          <w:rFonts w:hint="eastAsia" w:cs="Arial"/>
          <w:b/>
          <w:bCs/>
          <w:color w:val="auto"/>
          <w:highlight w:val="none"/>
        </w:rPr>
        <w:t>23:59</w:t>
      </w:r>
      <w:r>
        <w:rPr>
          <w:rFonts w:cs="Arial"/>
          <w:b/>
          <w:bCs/>
          <w:color w:val="auto"/>
          <w:highlight w:val="none"/>
        </w:rPr>
        <w:t>（北京时间，法定节假日除外）</w:t>
      </w:r>
    </w:p>
    <w:p w14:paraId="5E19F4BA">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b/>
          <w:bCs/>
          <w:color w:val="auto"/>
          <w:highlight w:val="none"/>
        </w:rPr>
      </w:pPr>
      <w:r>
        <w:rPr>
          <w:rFonts w:cs="Arial"/>
          <w:b/>
          <w:bCs/>
          <w:color w:val="auto"/>
          <w:highlight w:val="none"/>
        </w:rPr>
        <w:t>地点：</w:t>
      </w:r>
      <w:r>
        <w:rPr>
          <w:rFonts w:hint="eastAsia" w:cs="Arial"/>
          <w:b/>
          <w:bCs/>
          <w:color w:val="auto"/>
          <w:highlight w:val="none"/>
        </w:rPr>
        <w:t>政采云平台http://www.zcygov.cn</w:t>
      </w:r>
    </w:p>
    <w:p w14:paraId="24CE6175">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color w:val="auto"/>
          <w:highlight w:val="none"/>
        </w:rPr>
      </w:pPr>
      <w:r>
        <w:rPr>
          <w:rFonts w:cs="Arial"/>
          <w:color w:val="auto"/>
          <w:highlight w:val="none"/>
        </w:rPr>
        <w:t>方式：</w:t>
      </w:r>
      <w:r>
        <w:rPr>
          <w:rFonts w:hint="eastAsia"/>
          <w:color w:val="auto"/>
          <w:highlight w:val="none"/>
        </w:rPr>
        <w:t>免费获取，供应商登陆政采云账户（网址：</w:t>
      </w:r>
      <w:r>
        <w:rPr>
          <w:color w:val="auto"/>
          <w:highlight w:val="none"/>
        </w:rPr>
        <w:fldChar w:fldCharType="begin"/>
      </w:r>
      <w:r>
        <w:rPr>
          <w:color w:val="auto"/>
          <w:highlight w:val="none"/>
        </w:rP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rPr>
          <w:color w:val="auto"/>
          <w:highlight w:val="none"/>
        </w:rPr>
        <w:fldChar w:fldCharType="separate"/>
      </w:r>
      <w:r>
        <w:rPr>
          <w:rFonts w:hint="eastAsia"/>
          <w:color w:val="auto"/>
          <w:highlight w:val="none"/>
        </w:rPr>
        <w:t>https://www.zcygov.cn/）,在线申请获取竞争性磋商文件（登录政府采购云平台→采购项目→获取采购文件→申请，审核通过后可下载竞争性磋商文件，如有操作性问题，可与政采云在线客服进行咨询，咨询电话95763</w:t>
      </w:r>
      <w:r>
        <w:rPr>
          <w:rFonts w:hint="eastAsia"/>
          <w:color w:val="auto"/>
          <w:highlight w:val="none"/>
        </w:rPr>
        <w:fldChar w:fldCharType="end"/>
      </w:r>
      <w:r>
        <w:rPr>
          <w:rFonts w:hint="eastAsia"/>
          <w:color w:val="auto"/>
          <w:highlight w:val="none"/>
        </w:rPr>
        <w:t>）</w:t>
      </w:r>
    </w:p>
    <w:p w14:paraId="1C7D8FD6">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color w:val="auto"/>
          <w:highlight w:val="none"/>
        </w:rPr>
      </w:pPr>
      <w:r>
        <w:rPr>
          <w:rFonts w:cs="Arial"/>
          <w:color w:val="auto"/>
          <w:highlight w:val="none"/>
        </w:rPr>
        <w:t>售价（元）：0.00</w:t>
      </w:r>
      <w:r>
        <w:rPr>
          <w:rFonts w:hint="eastAsia" w:cs="Arial"/>
          <w:color w:val="auto"/>
          <w:highlight w:val="none"/>
        </w:rPr>
        <w:t>元</w:t>
      </w:r>
    </w:p>
    <w:p w14:paraId="1803BF6A">
      <w:pPr>
        <w:keepNext w:val="0"/>
        <w:keepLines w:val="0"/>
        <w:pageBreakBefore w:val="0"/>
        <w:kinsoku/>
        <w:wordWrap/>
        <w:overflowPunct/>
        <w:topLinePunct w:val="0"/>
        <w:autoSpaceDE/>
        <w:autoSpaceDN/>
        <w:bidi w:val="0"/>
        <w:spacing w:before="204" w:after="204" w:line="480" w:lineRule="exact"/>
        <w:textAlignment w:val="auto"/>
        <w:outlineLvl w:val="0"/>
        <w:rPr>
          <w:rFonts w:hint="eastAsia" w:cs="Arial"/>
          <w:color w:val="auto"/>
          <w:highlight w:val="none"/>
        </w:rPr>
      </w:pPr>
      <w:bookmarkStart w:id="9" w:name="_Toc5568"/>
      <w:bookmarkStart w:id="10" w:name="_Toc450"/>
      <w:r>
        <w:rPr>
          <w:rFonts w:hint="eastAsia" w:cs="Arial"/>
          <w:b/>
          <w:bCs/>
          <w:color w:val="auto"/>
          <w:highlight w:val="none"/>
        </w:rPr>
        <w:t>四、提交响应文件截止时间、磋商时间和地点</w:t>
      </w:r>
      <w:bookmarkEnd w:id="9"/>
      <w:bookmarkEnd w:id="10"/>
    </w:p>
    <w:p w14:paraId="62D30199">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b/>
          <w:bCs/>
          <w:color w:val="auto"/>
          <w:highlight w:val="none"/>
        </w:rPr>
      </w:pPr>
      <w:r>
        <w:rPr>
          <w:rFonts w:cs="Arial"/>
          <w:b/>
          <w:bCs/>
          <w:color w:val="auto"/>
          <w:highlight w:val="none"/>
        </w:rPr>
        <w:t>提交响应文件截止时间：</w:t>
      </w:r>
      <w:r>
        <w:rPr>
          <w:rFonts w:hint="eastAsia" w:cs="Arial"/>
          <w:b/>
          <w:bCs/>
          <w:color w:val="auto"/>
          <w:highlight w:val="none"/>
          <w:lang w:eastAsia="zh-CN"/>
        </w:rPr>
        <w:t>2026年</w:t>
      </w:r>
      <w:r>
        <w:rPr>
          <w:rFonts w:hint="eastAsia" w:cs="Arial"/>
          <w:b/>
          <w:bCs/>
          <w:color w:val="auto"/>
          <w:highlight w:val="none"/>
          <w:lang w:val="en-US" w:eastAsia="zh-CN"/>
        </w:rPr>
        <w:t>6</w:t>
      </w:r>
      <w:r>
        <w:rPr>
          <w:rFonts w:hint="eastAsia" w:cs="Arial"/>
          <w:b/>
          <w:bCs/>
          <w:color w:val="auto"/>
          <w:highlight w:val="none"/>
          <w:lang w:eastAsia="zh-CN"/>
        </w:rPr>
        <w:t>月</w:t>
      </w:r>
      <w:r>
        <w:rPr>
          <w:rFonts w:hint="eastAsia" w:cs="Arial"/>
          <w:b/>
          <w:bCs/>
          <w:color w:val="auto"/>
          <w:highlight w:val="none"/>
          <w:lang w:val="en-US" w:eastAsia="zh-CN"/>
        </w:rPr>
        <w:t>22</w:t>
      </w:r>
      <w:r>
        <w:rPr>
          <w:rFonts w:hint="eastAsia" w:cs="Arial"/>
          <w:b/>
          <w:bCs/>
          <w:color w:val="auto"/>
          <w:highlight w:val="none"/>
          <w:lang w:eastAsia="zh-CN"/>
        </w:rPr>
        <w:t>日</w:t>
      </w:r>
      <w:r>
        <w:rPr>
          <w:rFonts w:hint="eastAsia" w:cs="Arial"/>
          <w:b/>
          <w:bCs/>
          <w:color w:val="auto"/>
          <w:highlight w:val="none"/>
          <w:lang w:val="en-US" w:eastAsia="zh-CN"/>
        </w:rPr>
        <w:t>16</w:t>
      </w:r>
      <w:r>
        <w:rPr>
          <w:rFonts w:cs="Arial"/>
          <w:b/>
          <w:bCs/>
          <w:color w:val="auto"/>
          <w:highlight w:val="none"/>
        </w:rPr>
        <w:t>:00（北京时间）</w:t>
      </w:r>
    </w:p>
    <w:p w14:paraId="53F13E58">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color w:val="auto"/>
          <w:highlight w:val="none"/>
        </w:rPr>
      </w:pPr>
      <w:r>
        <w:rPr>
          <w:rFonts w:cs="Arial"/>
          <w:color w:val="auto"/>
          <w:highlight w:val="none"/>
        </w:rPr>
        <w:t>投标地点：</w:t>
      </w:r>
      <w:r>
        <w:rPr>
          <w:rFonts w:hint="eastAsia" w:cs="Arial"/>
          <w:color w:val="auto"/>
          <w:highlight w:val="none"/>
        </w:rPr>
        <w:t>将响应文件上传至政采云平台https://www.zcygov.cn/对应位置（逾期未上传的或不符合规定的响应文件将被拒绝接收）</w:t>
      </w:r>
    </w:p>
    <w:p w14:paraId="68F1A828">
      <w:pPr>
        <w:keepNext w:val="0"/>
        <w:keepLines w:val="0"/>
        <w:pageBreakBefore w:val="0"/>
        <w:tabs>
          <w:tab w:val="left" w:pos="8790"/>
        </w:tabs>
        <w:kinsoku/>
        <w:wordWrap/>
        <w:overflowPunct/>
        <w:topLinePunct w:val="0"/>
        <w:autoSpaceDE/>
        <w:autoSpaceDN/>
        <w:bidi w:val="0"/>
        <w:spacing w:before="60" w:after="60" w:line="480" w:lineRule="exact"/>
        <w:ind w:firstLine="480"/>
        <w:textAlignment w:val="auto"/>
        <w:rPr>
          <w:rFonts w:hint="eastAsia" w:cs="Arial"/>
          <w:b/>
          <w:bCs/>
          <w:color w:val="auto"/>
          <w:highlight w:val="none"/>
        </w:rPr>
      </w:pPr>
      <w:r>
        <w:rPr>
          <w:rFonts w:cs="Arial"/>
          <w:b/>
          <w:bCs/>
          <w:color w:val="auto"/>
          <w:highlight w:val="none"/>
        </w:rPr>
        <w:t>磋商时间：</w:t>
      </w:r>
      <w:r>
        <w:rPr>
          <w:rFonts w:hint="eastAsia" w:cs="Arial"/>
          <w:b/>
          <w:bCs/>
          <w:color w:val="auto"/>
          <w:highlight w:val="none"/>
          <w:lang w:eastAsia="zh-CN"/>
        </w:rPr>
        <w:t>2026年</w:t>
      </w:r>
      <w:r>
        <w:rPr>
          <w:rFonts w:hint="eastAsia" w:cs="Arial"/>
          <w:b/>
          <w:bCs/>
          <w:color w:val="auto"/>
          <w:highlight w:val="none"/>
          <w:lang w:val="en-US" w:eastAsia="zh-CN"/>
        </w:rPr>
        <w:t>6</w:t>
      </w:r>
      <w:r>
        <w:rPr>
          <w:rFonts w:hint="eastAsia" w:cs="Arial"/>
          <w:b/>
          <w:bCs/>
          <w:color w:val="auto"/>
          <w:highlight w:val="none"/>
          <w:lang w:eastAsia="zh-CN"/>
        </w:rPr>
        <w:t>月</w:t>
      </w:r>
      <w:r>
        <w:rPr>
          <w:rFonts w:hint="eastAsia" w:cs="Arial"/>
          <w:b/>
          <w:bCs/>
          <w:color w:val="auto"/>
          <w:highlight w:val="none"/>
          <w:lang w:val="en-US" w:eastAsia="zh-CN"/>
        </w:rPr>
        <w:t>22</w:t>
      </w:r>
      <w:r>
        <w:rPr>
          <w:rFonts w:hint="eastAsia" w:cs="Arial"/>
          <w:b/>
          <w:bCs/>
          <w:color w:val="auto"/>
          <w:highlight w:val="none"/>
          <w:lang w:eastAsia="zh-CN"/>
        </w:rPr>
        <w:t>日</w:t>
      </w:r>
      <w:r>
        <w:rPr>
          <w:rFonts w:hint="eastAsia" w:cs="Arial"/>
          <w:b/>
          <w:bCs/>
          <w:color w:val="auto"/>
          <w:highlight w:val="none"/>
          <w:lang w:val="en-US" w:eastAsia="zh-CN"/>
        </w:rPr>
        <w:t>16</w:t>
      </w:r>
      <w:r>
        <w:rPr>
          <w:rFonts w:cs="Arial"/>
          <w:b/>
          <w:bCs/>
          <w:color w:val="auto"/>
          <w:highlight w:val="none"/>
        </w:rPr>
        <w:t>:00（北京时间）</w:t>
      </w:r>
      <w:r>
        <w:rPr>
          <w:rFonts w:cs="Arial"/>
          <w:b/>
          <w:bCs/>
          <w:color w:val="auto"/>
          <w:highlight w:val="none"/>
        </w:rPr>
        <w:tab/>
      </w:r>
    </w:p>
    <w:p w14:paraId="19CCFFD8">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color w:val="auto"/>
          <w:highlight w:val="none"/>
        </w:rPr>
      </w:pPr>
      <w:r>
        <w:rPr>
          <w:rFonts w:cs="Arial"/>
          <w:color w:val="auto"/>
          <w:highlight w:val="none"/>
        </w:rPr>
        <w:t>磋商地点：</w:t>
      </w:r>
      <w:r>
        <w:rPr>
          <w:rFonts w:hint="eastAsia" w:cs="Arial"/>
          <w:color w:val="auto"/>
          <w:szCs w:val="21"/>
          <w:highlight w:val="none"/>
        </w:rPr>
        <w:t>政采云平台https://www.zcygov.cn/不见面开标大厅</w:t>
      </w:r>
    </w:p>
    <w:p w14:paraId="687FB7DD">
      <w:pPr>
        <w:keepNext w:val="0"/>
        <w:keepLines w:val="0"/>
        <w:pageBreakBefore w:val="0"/>
        <w:kinsoku/>
        <w:wordWrap/>
        <w:overflowPunct/>
        <w:topLinePunct w:val="0"/>
        <w:autoSpaceDE/>
        <w:autoSpaceDN/>
        <w:bidi w:val="0"/>
        <w:spacing w:before="204" w:after="204" w:line="480" w:lineRule="exact"/>
        <w:textAlignment w:val="auto"/>
        <w:outlineLvl w:val="0"/>
        <w:rPr>
          <w:rFonts w:hint="eastAsia" w:cs="Arial"/>
          <w:color w:val="auto"/>
          <w:highlight w:val="none"/>
        </w:rPr>
      </w:pPr>
      <w:bookmarkStart w:id="11" w:name="_Toc29185"/>
      <w:bookmarkStart w:id="12" w:name="_Toc8951"/>
      <w:r>
        <w:rPr>
          <w:rFonts w:hint="eastAsia" w:cs="Arial"/>
          <w:b/>
          <w:bCs/>
          <w:color w:val="auto"/>
          <w:highlight w:val="none"/>
        </w:rPr>
        <w:t>五、公告期限</w:t>
      </w:r>
      <w:bookmarkEnd w:id="11"/>
      <w:bookmarkEnd w:id="12"/>
    </w:p>
    <w:p w14:paraId="06BD948C">
      <w:pPr>
        <w:keepNext w:val="0"/>
        <w:keepLines w:val="0"/>
        <w:pageBreakBefore w:val="0"/>
        <w:kinsoku/>
        <w:wordWrap/>
        <w:overflowPunct/>
        <w:topLinePunct w:val="0"/>
        <w:autoSpaceDE/>
        <w:autoSpaceDN/>
        <w:bidi w:val="0"/>
        <w:spacing w:before="60" w:after="60" w:line="480" w:lineRule="exact"/>
        <w:ind w:firstLine="480"/>
        <w:textAlignment w:val="auto"/>
        <w:rPr>
          <w:rFonts w:hint="eastAsia" w:cs="Arial"/>
          <w:color w:val="auto"/>
          <w:highlight w:val="none"/>
        </w:rPr>
      </w:pPr>
      <w:r>
        <w:rPr>
          <w:rFonts w:cs="Arial"/>
          <w:color w:val="auto"/>
          <w:highlight w:val="none"/>
        </w:rPr>
        <w:t>自本公告发布之日起5个工作日。</w:t>
      </w:r>
    </w:p>
    <w:p w14:paraId="31F86A9E">
      <w:pPr>
        <w:keepNext w:val="0"/>
        <w:keepLines w:val="0"/>
        <w:pageBreakBefore w:val="0"/>
        <w:kinsoku/>
        <w:wordWrap/>
        <w:overflowPunct/>
        <w:topLinePunct w:val="0"/>
        <w:autoSpaceDE/>
        <w:autoSpaceDN/>
        <w:bidi w:val="0"/>
        <w:spacing w:before="204" w:after="204" w:line="480" w:lineRule="exact"/>
        <w:textAlignment w:val="auto"/>
        <w:outlineLvl w:val="0"/>
        <w:rPr>
          <w:rFonts w:hint="eastAsia" w:cs="Arial"/>
          <w:b/>
          <w:bCs/>
          <w:color w:val="auto"/>
          <w:highlight w:val="none"/>
        </w:rPr>
      </w:pPr>
      <w:bookmarkStart w:id="13" w:name="_Toc31443"/>
      <w:bookmarkStart w:id="14" w:name="_Toc11501"/>
      <w:r>
        <w:rPr>
          <w:rFonts w:hint="eastAsia" w:cs="Arial"/>
          <w:b/>
          <w:bCs/>
          <w:color w:val="auto"/>
          <w:highlight w:val="none"/>
        </w:rPr>
        <w:t>六、其他补充事宜</w:t>
      </w:r>
      <w:bookmarkEnd w:id="13"/>
      <w:bookmarkEnd w:id="14"/>
    </w:p>
    <w:p w14:paraId="221F0C3D">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hint="eastAsia" w:cs="Arial"/>
          <w:color w:val="auto"/>
          <w:highlight w:val="none"/>
        </w:rPr>
        <w:t xml:space="preserve">1.本项目实行网上投标，采用电子响应文件； </w:t>
      </w:r>
    </w:p>
    <w:p w14:paraId="1C2535A9">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hint="eastAsia" w:cs="Arial"/>
          <w:color w:val="auto"/>
          <w:highlight w:val="none"/>
        </w:rPr>
        <w:t>2.各供应商在磋商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color w:val="auto"/>
          <w:highlight w:val="none"/>
        </w:rPr>
        <w:fldChar w:fldCharType="begin"/>
      </w:r>
      <w:r>
        <w:rPr>
          <w:color w:val="auto"/>
          <w:highlight w:val="none"/>
        </w:rPr>
        <w:instrText xml:space="preserve"> HYPERLINK "https://www.xjca.com.cn/）或下载" </w:instrText>
      </w:r>
      <w:r>
        <w:rPr>
          <w:color w:val="auto"/>
          <w:highlight w:val="none"/>
        </w:rPr>
        <w:fldChar w:fldCharType="separate"/>
      </w:r>
      <w:r>
        <w:rPr>
          <w:rFonts w:hint="eastAsia" w:cs="Arial"/>
          <w:color w:val="auto"/>
          <w:highlight w:val="none"/>
        </w:rPr>
        <w:t>https://www.xjca.com.cn/）或下载“新疆政务通”APP自行申领。如需咨询，请联系新疆CA服务热线0991-2819290</w:t>
      </w:r>
      <w:r>
        <w:rPr>
          <w:rFonts w:hint="eastAsia" w:cs="Arial"/>
          <w:color w:val="auto"/>
          <w:highlight w:val="none"/>
        </w:rPr>
        <w:fldChar w:fldCharType="end"/>
      </w:r>
      <w:r>
        <w:rPr>
          <w:rFonts w:hint="eastAsia" w:cs="Arial"/>
          <w:color w:val="auto"/>
          <w:highlight w:val="none"/>
        </w:rPr>
        <w:t>；</w:t>
      </w:r>
    </w:p>
    <w:p w14:paraId="5A886265">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hint="eastAsia" w:cs="Arial"/>
          <w:color w:val="auto"/>
          <w:highlight w:val="none"/>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D3399E7">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hint="eastAsia" w:cs="Arial"/>
          <w:color w:val="auto"/>
          <w:highlight w:val="none"/>
        </w:rPr>
        <w:t>4.供应商应当在投标截止时间前</w:t>
      </w:r>
      <w:r>
        <w:rPr>
          <w:rFonts w:hint="eastAsia" w:cs="Arial"/>
          <w:color w:val="auto"/>
          <w:highlight w:val="none"/>
          <w:lang w:eastAsia="zh-CN"/>
        </w:rPr>
        <w:t>，</w:t>
      </w:r>
      <w:r>
        <w:rPr>
          <w:rFonts w:hint="eastAsia" w:cs="Arial"/>
          <w:color w:val="auto"/>
          <w:highlight w:val="none"/>
        </w:rPr>
        <w:t>将生成的“电子加密响应文件”上传递交至“政府采购云平台”</w:t>
      </w:r>
      <w:r>
        <w:rPr>
          <w:rFonts w:hint="eastAsia" w:cs="Arial"/>
          <w:color w:val="auto"/>
          <w:highlight w:val="none"/>
          <w:lang w:eastAsia="zh-CN"/>
        </w:rPr>
        <w:t>，</w:t>
      </w:r>
      <w:r>
        <w:rPr>
          <w:rFonts w:hint="eastAsia" w:cs="Arial"/>
          <w:color w:val="auto"/>
          <w:highlight w:val="none"/>
        </w:rPr>
        <w:t>投标截止时间以后上传递交的响应文件将被“政府采购云平台”拒收；</w:t>
      </w:r>
    </w:p>
    <w:p w14:paraId="7FA40B41">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hint="eastAsia" w:cs="Arial"/>
          <w:color w:val="auto"/>
          <w:highlight w:val="none"/>
        </w:rPr>
        <w:t>5.供应商在磋商前须提前配置好电脑浏览器（建议使用360浏览器或谷歌浏览器）</w:t>
      </w:r>
      <w:r>
        <w:rPr>
          <w:rFonts w:hint="eastAsia" w:cs="Arial"/>
          <w:color w:val="auto"/>
          <w:highlight w:val="none"/>
          <w:lang w:eastAsia="zh-CN"/>
        </w:rPr>
        <w:t>，</w:t>
      </w:r>
      <w:r>
        <w:rPr>
          <w:rFonts w:hint="eastAsia" w:cs="Arial"/>
          <w:color w:val="auto"/>
          <w:highlight w:val="none"/>
        </w:rPr>
        <w:t>磋商时登录政采云平台，在“项目采购</w:t>
      </w:r>
      <w:r>
        <w:rPr>
          <w:rFonts w:hint="eastAsia" w:cs="Arial"/>
          <w:color w:val="auto"/>
          <w:highlight w:val="none"/>
          <w:lang w:eastAsia="zh-CN"/>
        </w:rPr>
        <w:t>－</w:t>
      </w:r>
      <w:r>
        <w:rPr>
          <w:rFonts w:hint="eastAsia" w:cs="Arial"/>
          <w:color w:val="auto"/>
          <w:highlight w:val="none"/>
        </w:rPr>
        <w:t>磋商评标”功能中，使用制作加密电子响应文件的CA锁进行解密及报价确认。本项目响应文件的解密时间定为30分钟内</w:t>
      </w:r>
      <w:r>
        <w:rPr>
          <w:rFonts w:hint="eastAsia" w:cs="Arial"/>
          <w:color w:val="auto"/>
          <w:highlight w:val="none"/>
          <w:lang w:eastAsia="zh-CN"/>
        </w:rPr>
        <w:t>，</w:t>
      </w:r>
      <w:r>
        <w:rPr>
          <w:rFonts w:hint="eastAsia" w:cs="Arial"/>
          <w:color w:val="auto"/>
          <w:highlight w:val="none"/>
        </w:rPr>
        <w:t>若供应商在规定时间内因自身原因导致无法正常解密</w:t>
      </w:r>
      <w:r>
        <w:rPr>
          <w:rFonts w:hint="eastAsia" w:cs="Arial"/>
          <w:color w:val="auto"/>
          <w:highlight w:val="none"/>
          <w:lang w:eastAsia="zh-CN"/>
        </w:rPr>
        <w:t>，</w:t>
      </w:r>
      <w:r>
        <w:rPr>
          <w:rFonts w:hint="eastAsia" w:cs="Arial"/>
          <w:color w:val="auto"/>
          <w:highlight w:val="none"/>
        </w:rPr>
        <w:t>后果由供应商自行承担。</w:t>
      </w:r>
    </w:p>
    <w:p w14:paraId="5350C2BC">
      <w:pPr>
        <w:pStyle w:val="135"/>
        <w:keepNext w:val="0"/>
        <w:keepLines w:val="0"/>
        <w:pageBreakBefore w:val="0"/>
        <w:kinsoku/>
        <w:wordWrap/>
        <w:overflowPunct/>
        <w:topLinePunct w:val="0"/>
        <w:autoSpaceDE/>
        <w:autoSpaceDN/>
        <w:bidi w:val="0"/>
        <w:spacing w:line="480" w:lineRule="exact"/>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6.</w:t>
      </w:r>
      <w:r>
        <w:rPr>
          <w:rFonts w:hint="eastAsia" w:ascii="宋体" w:hAnsi="宋体"/>
          <w:color w:val="auto"/>
          <w:sz w:val="24"/>
          <w:szCs w:val="24"/>
          <w:highlight w:val="none"/>
        </w:rPr>
        <w:t>供应商登录政采云平台，在磋商时间后30分钟内用“项目采购</w:t>
      </w:r>
      <w:r>
        <w:rPr>
          <w:rFonts w:hint="eastAsia" w:ascii="宋体" w:hAnsi="宋体"/>
          <w:color w:val="auto"/>
          <w:sz w:val="24"/>
          <w:szCs w:val="24"/>
          <w:highlight w:val="none"/>
          <w:lang w:eastAsia="zh-CN"/>
        </w:rPr>
        <w:t>－</w:t>
      </w:r>
      <w:r>
        <w:rPr>
          <w:rFonts w:hint="eastAsia" w:ascii="宋体" w:hAnsi="宋体"/>
          <w:color w:val="auto"/>
          <w:sz w:val="24"/>
          <w:szCs w:val="24"/>
          <w:highlight w:val="none"/>
        </w:rPr>
        <w:t>磋商评标”功能进行解密响应文件。若供应商在规定时间内未按时解密的，视为无效投标。解密与加密响应文件须使用同一个 CA。</w:t>
      </w:r>
    </w:p>
    <w:p w14:paraId="5C4B8588">
      <w:pPr>
        <w:keepNext w:val="0"/>
        <w:keepLines w:val="0"/>
        <w:pageBreakBefore w:val="0"/>
        <w:kinsoku/>
        <w:wordWrap/>
        <w:overflowPunct/>
        <w:topLinePunct w:val="0"/>
        <w:autoSpaceDE/>
        <w:autoSpaceDN/>
        <w:bidi w:val="0"/>
        <w:spacing w:before="204" w:after="204" w:line="480" w:lineRule="exact"/>
        <w:textAlignment w:val="auto"/>
        <w:outlineLvl w:val="0"/>
        <w:rPr>
          <w:rFonts w:hint="eastAsia" w:cs="Arial"/>
          <w:color w:val="auto"/>
          <w:highlight w:val="none"/>
        </w:rPr>
      </w:pPr>
      <w:bookmarkStart w:id="15" w:name="_Toc24414"/>
      <w:bookmarkStart w:id="16" w:name="_Toc5799"/>
      <w:r>
        <w:rPr>
          <w:rFonts w:hint="eastAsia" w:cs="Arial"/>
          <w:b/>
          <w:bCs/>
          <w:color w:val="auto"/>
          <w:highlight w:val="none"/>
        </w:rPr>
        <w:t>七、对本次采购提出询问，请按以下方式联系</w:t>
      </w:r>
      <w:bookmarkEnd w:id="15"/>
      <w:bookmarkEnd w:id="16"/>
    </w:p>
    <w:p w14:paraId="584E8713">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cs="Arial"/>
          <w:color w:val="auto"/>
          <w:highlight w:val="none"/>
        </w:rPr>
        <w:t>1.采购人信息</w:t>
      </w:r>
    </w:p>
    <w:p w14:paraId="123BFAB7">
      <w:pPr>
        <w:keepNext w:val="0"/>
        <w:keepLines w:val="0"/>
        <w:pageBreakBefore w:val="0"/>
        <w:kinsoku/>
        <w:wordWrap/>
        <w:overflowPunct/>
        <w:topLinePunct w:val="0"/>
        <w:autoSpaceDE/>
        <w:autoSpaceDN/>
        <w:bidi w:val="0"/>
        <w:spacing w:line="480" w:lineRule="exact"/>
        <w:ind w:firstLine="482"/>
        <w:textAlignment w:val="auto"/>
        <w:rPr>
          <w:rFonts w:hint="eastAsia" w:eastAsia="宋体" w:cs="Arial"/>
          <w:color w:val="auto"/>
          <w:highlight w:val="none"/>
          <w:lang w:eastAsia="zh-CN"/>
        </w:rPr>
      </w:pPr>
      <w:r>
        <w:rPr>
          <w:rFonts w:hint="eastAsia" w:cs="Arial"/>
          <w:color w:val="auto"/>
          <w:highlight w:val="none"/>
        </w:rPr>
        <w:t>采购人（盖章）：</w:t>
      </w:r>
      <w:r>
        <w:rPr>
          <w:rFonts w:hint="eastAsia" w:cs="Arial"/>
          <w:color w:val="auto"/>
          <w:highlight w:val="none"/>
          <w:lang w:eastAsia="zh-CN"/>
        </w:rPr>
        <w:t>新疆维吾尔自治区某厅某单位</w:t>
      </w:r>
    </w:p>
    <w:p w14:paraId="6DBFB1C2">
      <w:pPr>
        <w:keepNext w:val="0"/>
        <w:keepLines w:val="0"/>
        <w:pageBreakBefore w:val="0"/>
        <w:kinsoku/>
        <w:wordWrap/>
        <w:overflowPunct/>
        <w:topLinePunct w:val="0"/>
        <w:autoSpaceDE/>
        <w:autoSpaceDN/>
        <w:bidi w:val="0"/>
        <w:spacing w:line="480" w:lineRule="exact"/>
        <w:ind w:firstLine="482"/>
        <w:textAlignment w:val="auto"/>
        <w:rPr>
          <w:rFonts w:hint="default" w:cs="Arial"/>
          <w:color w:val="auto"/>
          <w:highlight w:val="none"/>
          <w:lang w:val="en-US" w:eastAsia="zh-CN"/>
        </w:rPr>
      </w:pPr>
      <w:r>
        <w:rPr>
          <w:rFonts w:hint="eastAsia" w:cs="Arial"/>
          <w:color w:val="auto"/>
          <w:highlight w:val="none"/>
        </w:rPr>
        <w:t>联系人：</w:t>
      </w:r>
      <w:r>
        <w:rPr>
          <w:rFonts w:hint="eastAsia" w:cs="Arial"/>
          <w:color w:val="auto"/>
          <w:highlight w:val="none"/>
          <w:lang w:val="en-US" w:eastAsia="zh-CN"/>
        </w:rPr>
        <w:t>叶尔多斯</w:t>
      </w:r>
    </w:p>
    <w:p w14:paraId="6A7CAE60">
      <w:pPr>
        <w:keepNext w:val="0"/>
        <w:keepLines w:val="0"/>
        <w:pageBreakBefore w:val="0"/>
        <w:kinsoku/>
        <w:wordWrap/>
        <w:overflowPunct/>
        <w:topLinePunct w:val="0"/>
        <w:autoSpaceDE/>
        <w:autoSpaceDN/>
        <w:bidi w:val="0"/>
        <w:spacing w:line="480" w:lineRule="exact"/>
        <w:ind w:firstLine="482"/>
        <w:textAlignment w:val="auto"/>
        <w:rPr>
          <w:rFonts w:hint="eastAsia" w:eastAsia="宋体" w:cs="Arial"/>
          <w:color w:val="auto"/>
          <w:highlight w:val="none"/>
          <w:lang w:eastAsia="zh-CN"/>
        </w:rPr>
      </w:pPr>
      <w:r>
        <w:rPr>
          <w:rFonts w:hint="eastAsia" w:cs="Arial"/>
          <w:color w:val="auto"/>
          <w:highlight w:val="none"/>
        </w:rPr>
        <w:t>联系电话：</w:t>
      </w:r>
      <w:r>
        <w:rPr>
          <w:rFonts w:hint="eastAsia" w:cs="Arial"/>
          <w:color w:val="auto"/>
          <w:highlight w:val="none"/>
          <w:lang w:eastAsia="zh-CN"/>
        </w:rPr>
        <w:t>0991-7506631</w:t>
      </w:r>
    </w:p>
    <w:p w14:paraId="0D4D4DA3">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lang w:val="en-US" w:eastAsia="zh-CN"/>
        </w:rPr>
      </w:pPr>
      <w:r>
        <w:rPr>
          <w:rFonts w:hint="eastAsia" w:cs="Arial"/>
          <w:color w:val="auto"/>
          <w:highlight w:val="none"/>
          <w:lang w:val="en-US" w:eastAsia="zh-CN"/>
        </w:rPr>
        <w:t>地址：新疆乌鲁木齐市新疆维吾尔自治区某厅某单位</w:t>
      </w:r>
    </w:p>
    <w:p w14:paraId="1B5406C9">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cs="Arial"/>
          <w:color w:val="auto"/>
          <w:highlight w:val="none"/>
        </w:rPr>
        <w:t>2.采购代理机构信息</w:t>
      </w:r>
    </w:p>
    <w:p w14:paraId="01951FBF">
      <w:pPr>
        <w:keepNext w:val="0"/>
        <w:keepLines w:val="0"/>
        <w:pageBreakBefore w:val="0"/>
        <w:kinsoku/>
        <w:wordWrap/>
        <w:overflowPunct/>
        <w:topLinePunct w:val="0"/>
        <w:autoSpaceDE/>
        <w:autoSpaceDN/>
        <w:bidi w:val="0"/>
        <w:spacing w:line="480" w:lineRule="exact"/>
        <w:ind w:firstLine="482"/>
        <w:textAlignment w:val="auto"/>
        <w:rPr>
          <w:rFonts w:hint="eastAsia" w:eastAsia="宋体" w:cs="Arial"/>
          <w:color w:val="auto"/>
          <w:highlight w:val="none"/>
          <w:lang w:eastAsia="zh-CN"/>
        </w:rPr>
      </w:pPr>
      <w:r>
        <w:rPr>
          <w:rFonts w:cs="Arial"/>
          <w:color w:val="auto"/>
          <w:highlight w:val="none"/>
        </w:rPr>
        <w:t>名 称：</w:t>
      </w:r>
      <w:r>
        <w:rPr>
          <w:rFonts w:hint="eastAsia" w:cs="Arial"/>
          <w:color w:val="auto"/>
          <w:highlight w:val="none"/>
          <w:lang w:eastAsia="zh-CN"/>
        </w:rPr>
        <w:t>新疆宏成润和工程管理有限公司</w:t>
      </w:r>
    </w:p>
    <w:p w14:paraId="50EF83E1">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cs="Arial"/>
          <w:color w:val="auto"/>
          <w:highlight w:val="none"/>
        </w:rPr>
        <w:t>地 址：</w:t>
      </w:r>
      <w:r>
        <w:rPr>
          <w:rFonts w:hint="eastAsia" w:cs="Arial"/>
          <w:color w:val="auto"/>
          <w:highlight w:val="none"/>
          <w:lang w:val="zh-CN" w:eastAsia="zh-CN"/>
        </w:rPr>
        <w:t>新疆乌鲁木齐市水磨沟区西虹东路64号锦城大厦9层</w:t>
      </w:r>
    </w:p>
    <w:p w14:paraId="0FA33000">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cs="Arial"/>
          <w:color w:val="auto"/>
          <w:highlight w:val="none"/>
        </w:rPr>
        <w:t>联系方式：</w:t>
      </w:r>
      <w:r>
        <w:rPr>
          <w:rFonts w:hint="eastAsia" w:cs="Arial"/>
          <w:color w:val="auto"/>
          <w:highlight w:val="none"/>
          <w:lang w:val="en-US" w:eastAsia="zh-CN"/>
        </w:rPr>
        <w:t>15899452715</w:t>
      </w:r>
    </w:p>
    <w:p w14:paraId="0275261A">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cs="Arial"/>
          <w:color w:val="auto"/>
          <w:highlight w:val="none"/>
        </w:rPr>
        <w:t>3.项目联系方式</w:t>
      </w:r>
    </w:p>
    <w:p w14:paraId="63436C77">
      <w:pPr>
        <w:keepNext w:val="0"/>
        <w:keepLines w:val="0"/>
        <w:pageBreakBefore w:val="0"/>
        <w:kinsoku/>
        <w:wordWrap/>
        <w:overflowPunct/>
        <w:topLinePunct w:val="0"/>
        <w:autoSpaceDE/>
        <w:autoSpaceDN/>
        <w:bidi w:val="0"/>
        <w:spacing w:line="480" w:lineRule="exact"/>
        <w:ind w:firstLine="482"/>
        <w:textAlignment w:val="auto"/>
        <w:rPr>
          <w:rFonts w:hint="eastAsia" w:eastAsia="宋体" w:cs="Arial"/>
          <w:color w:val="auto"/>
          <w:highlight w:val="none"/>
          <w:lang w:eastAsia="zh-CN"/>
        </w:rPr>
      </w:pPr>
      <w:r>
        <w:rPr>
          <w:rFonts w:cs="Arial"/>
          <w:color w:val="auto"/>
          <w:highlight w:val="none"/>
        </w:rPr>
        <w:t>项目联系人：</w:t>
      </w:r>
      <w:r>
        <w:rPr>
          <w:rFonts w:hint="eastAsia" w:cs="Arial"/>
          <w:color w:val="auto"/>
          <w:highlight w:val="none"/>
          <w:lang w:val="en-US" w:eastAsia="zh-CN"/>
        </w:rPr>
        <w:t>刘阳阳</w:t>
      </w:r>
    </w:p>
    <w:p w14:paraId="2CA4F3D7">
      <w:pPr>
        <w:keepNext w:val="0"/>
        <w:keepLines w:val="0"/>
        <w:pageBreakBefore w:val="0"/>
        <w:kinsoku/>
        <w:wordWrap/>
        <w:overflowPunct/>
        <w:topLinePunct w:val="0"/>
        <w:autoSpaceDE/>
        <w:autoSpaceDN/>
        <w:bidi w:val="0"/>
        <w:spacing w:line="480" w:lineRule="exact"/>
        <w:ind w:firstLine="482"/>
        <w:textAlignment w:val="auto"/>
        <w:rPr>
          <w:rFonts w:hint="eastAsia" w:cs="Arial"/>
          <w:color w:val="auto"/>
          <w:highlight w:val="none"/>
        </w:rPr>
      </w:pPr>
      <w:r>
        <w:rPr>
          <w:rFonts w:cs="Arial"/>
          <w:color w:val="auto"/>
          <w:highlight w:val="none"/>
        </w:rPr>
        <w:t>电 话：</w:t>
      </w:r>
      <w:r>
        <w:rPr>
          <w:rFonts w:hint="eastAsia" w:cs="Arial"/>
          <w:color w:val="auto"/>
          <w:highlight w:val="none"/>
          <w:lang w:val="en-US" w:eastAsia="zh-CN"/>
        </w:rPr>
        <w:t>15899452715</w:t>
      </w:r>
    </w:p>
    <w:bookmarkEnd w:id="1"/>
    <w:bookmarkEnd w:id="2"/>
    <w:p w14:paraId="0BE92550">
      <w:pPr>
        <w:pStyle w:val="2"/>
        <w:numPr>
          <w:ilvl w:val="0"/>
          <w:numId w:val="0"/>
        </w:numPr>
        <w:tabs>
          <w:tab w:val="clear" w:pos="360"/>
        </w:tabs>
        <w:bidi w:val="0"/>
        <w:ind w:left="360" w:leftChars="0" w:hanging="360" w:firstLineChars="0"/>
        <w:jc w:val="center"/>
        <w:rPr>
          <w:rFonts w:hint="eastAsia"/>
          <w:color w:val="auto"/>
          <w:highlight w:val="none"/>
        </w:rPr>
      </w:pPr>
      <w:r>
        <w:rPr>
          <w:rFonts w:ascii="宋体" w:hAnsi="宋体"/>
          <w:b/>
          <w:color w:val="auto"/>
          <w:kern w:val="2"/>
          <w:sz w:val="36"/>
          <w:szCs w:val="20"/>
          <w:highlight w:val="none"/>
        </w:rPr>
        <w:br w:type="page"/>
      </w:r>
      <w:bookmarkStart w:id="17" w:name="_Toc80724648"/>
      <w:bookmarkStart w:id="18" w:name="_Toc11607"/>
      <w:r>
        <w:rPr>
          <w:rFonts w:hint="eastAsia" w:ascii="宋体" w:hAnsi="宋体" w:eastAsia="宋体" w:cs="宋体"/>
          <w:b/>
          <w:bCs w:val="0"/>
          <w:color w:val="auto"/>
          <w:highlight w:val="none"/>
          <w:lang w:val="en-US" w:eastAsia="zh-CN"/>
        </w:rPr>
        <w:t>第二章  供应商须知</w:t>
      </w:r>
      <w:bookmarkEnd w:id="17"/>
      <w:r>
        <w:rPr>
          <w:rFonts w:hint="eastAsia" w:ascii="宋体" w:hAnsi="宋体" w:eastAsia="宋体" w:cs="宋体"/>
          <w:b/>
          <w:bCs w:val="0"/>
          <w:color w:val="auto"/>
          <w:highlight w:val="none"/>
          <w:lang w:val="en-US" w:eastAsia="zh-CN"/>
        </w:rPr>
        <w:t>前附表</w:t>
      </w:r>
      <w:bookmarkEnd w:id="18"/>
    </w:p>
    <w:p w14:paraId="1B232AD2">
      <w:pPr>
        <w:pStyle w:val="4"/>
        <w:ind w:firstLine="482" w:firstLineChars="200"/>
        <w:jc w:val="center"/>
        <w:outlineLvl w:val="0"/>
        <w:rPr>
          <w:rFonts w:hint="default" w:ascii="宋体" w:hAnsi="宋体" w:eastAsia="宋体" w:cs="Arial"/>
          <w:b/>
          <w:bCs/>
          <w:color w:val="auto"/>
          <w:sz w:val="24"/>
          <w:szCs w:val="24"/>
          <w:highlight w:val="none"/>
          <w:lang w:val="en-US" w:eastAsia="zh-CN" w:bidi="ar-SA"/>
        </w:rPr>
      </w:pPr>
      <w:bookmarkStart w:id="19" w:name="_Toc1093"/>
      <w:bookmarkStart w:id="20" w:name="_Toc28059"/>
      <w:r>
        <w:rPr>
          <w:rFonts w:hint="eastAsia" w:ascii="宋体" w:hAnsi="宋体" w:eastAsia="宋体" w:cs="Arial"/>
          <w:b/>
          <w:bCs/>
          <w:color w:val="auto"/>
          <w:sz w:val="24"/>
          <w:szCs w:val="24"/>
          <w:highlight w:val="none"/>
          <w:lang w:val="en-US" w:eastAsia="zh-CN" w:bidi="ar-SA"/>
        </w:rPr>
        <w:t>供应商须知前附表</w:t>
      </w:r>
      <w:bookmarkEnd w:id="19"/>
      <w:bookmarkEnd w:id="20"/>
    </w:p>
    <w:tbl>
      <w:tblPr>
        <w:tblStyle w:val="34"/>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946"/>
        <w:gridCol w:w="7426"/>
      </w:tblGrid>
      <w:tr w14:paraId="3085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9" w:type="dxa"/>
            <w:tcBorders>
              <w:tl2br w:val="nil"/>
              <w:tr2bl w:val="nil"/>
            </w:tcBorders>
            <w:vAlign w:val="center"/>
          </w:tcPr>
          <w:p w14:paraId="4AEC4583">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序号</w:t>
            </w:r>
          </w:p>
        </w:tc>
        <w:tc>
          <w:tcPr>
            <w:tcW w:w="1946" w:type="dxa"/>
            <w:tcBorders>
              <w:tl2br w:val="nil"/>
              <w:tr2bl w:val="nil"/>
            </w:tcBorders>
            <w:vAlign w:val="center"/>
          </w:tcPr>
          <w:p w14:paraId="6533871B">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名称</w:t>
            </w:r>
          </w:p>
        </w:tc>
        <w:tc>
          <w:tcPr>
            <w:tcW w:w="7426" w:type="dxa"/>
            <w:tcBorders>
              <w:tl2br w:val="nil"/>
              <w:tr2bl w:val="nil"/>
            </w:tcBorders>
            <w:vAlign w:val="center"/>
          </w:tcPr>
          <w:p w14:paraId="04D312D2">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内容</w:t>
            </w:r>
          </w:p>
        </w:tc>
      </w:tr>
      <w:tr w14:paraId="6A59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264AB5B">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rFonts w:hint="eastAsia"/>
                <w:color w:val="auto"/>
                <w:highlight w:val="none"/>
                <w:lang w:bidi="ar"/>
              </w:rPr>
              <w:t>1</w:t>
            </w:r>
          </w:p>
        </w:tc>
        <w:tc>
          <w:tcPr>
            <w:tcW w:w="1946" w:type="dxa"/>
            <w:tcBorders>
              <w:tl2br w:val="nil"/>
              <w:tr2bl w:val="nil"/>
            </w:tcBorders>
            <w:vAlign w:val="center"/>
          </w:tcPr>
          <w:p w14:paraId="3B0E7B4E">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项目编号</w:t>
            </w:r>
          </w:p>
        </w:tc>
        <w:tc>
          <w:tcPr>
            <w:tcW w:w="7426" w:type="dxa"/>
            <w:tcBorders>
              <w:tl2br w:val="nil"/>
              <w:tr2bl w:val="nil"/>
            </w:tcBorders>
            <w:vAlign w:val="center"/>
          </w:tcPr>
          <w:p w14:paraId="359D307C">
            <w:pPr>
              <w:keepNext w:val="0"/>
              <w:keepLines w:val="0"/>
              <w:pageBreakBefore w:val="0"/>
              <w:kinsoku/>
              <w:wordWrap/>
              <w:topLinePunct w:val="0"/>
              <w:bidi w:val="0"/>
              <w:snapToGrid/>
              <w:spacing w:line="440" w:lineRule="exact"/>
              <w:rPr>
                <w:rFonts w:hint="default" w:eastAsia="宋体"/>
                <w:color w:val="auto"/>
                <w:highlight w:val="none"/>
                <w:lang w:val="en-US" w:eastAsia="zh-CN"/>
              </w:rPr>
            </w:pPr>
            <w:r>
              <w:rPr>
                <w:rFonts w:hint="eastAsia"/>
                <w:color w:val="auto"/>
                <w:highlight w:val="none"/>
                <w:lang w:eastAsia="zh-CN"/>
              </w:rPr>
              <w:t>XJHCRH-2026-118</w:t>
            </w:r>
            <w:r>
              <w:rPr>
                <w:rFonts w:hint="eastAsia"/>
                <w:color w:val="auto"/>
                <w:highlight w:val="none"/>
                <w:lang w:val="en-US" w:eastAsia="zh-CN"/>
              </w:rPr>
              <w:t>-1</w:t>
            </w:r>
          </w:p>
        </w:tc>
      </w:tr>
      <w:tr w14:paraId="7126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327AEE4">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rFonts w:hint="eastAsia"/>
                <w:color w:val="auto"/>
                <w:highlight w:val="none"/>
                <w:lang w:bidi="ar"/>
              </w:rPr>
              <w:t>2</w:t>
            </w:r>
          </w:p>
        </w:tc>
        <w:tc>
          <w:tcPr>
            <w:tcW w:w="1946" w:type="dxa"/>
            <w:tcBorders>
              <w:tl2br w:val="nil"/>
              <w:tr2bl w:val="nil"/>
            </w:tcBorders>
            <w:vAlign w:val="center"/>
          </w:tcPr>
          <w:p w14:paraId="746D29F5">
            <w:pPr>
              <w:keepNext w:val="0"/>
              <w:keepLines w:val="0"/>
              <w:pageBreakBefore w:val="0"/>
              <w:kinsoku/>
              <w:wordWrap/>
              <w:overflowPunct w:val="0"/>
              <w:topLinePunct w:val="0"/>
              <w:bidi w:val="0"/>
              <w:snapToGrid/>
              <w:spacing w:line="440" w:lineRule="exact"/>
              <w:jc w:val="center"/>
              <w:rPr>
                <w:rFonts w:hint="eastAsia"/>
                <w:b w:val="0"/>
                <w:bCs w:val="0"/>
                <w:color w:val="auto"/>
                <w:highlight w:val="none"/>
              </w:rPr>
            </w:pPr>
            <w:r>
              <w:rPr>
                <w:rFonts w:hint="eastAsia"/>
                <w:b w:val="0"/>
                <w:bCs w:val="0"/>
                <w:color w:val="auto"/>
                <w:highlight w:val="none"/>
              </w:rPr>
              <w:t>项目名称</w:t>
            </w:r>
          </w:p>
        </w:tc>
        <w:tc>
          <w:tcPr>
            <w:tcW w:w="7426" w:type="dxa"/>
            <w:tcBorders>
              <w:tl2br w:val="nil"/>
              <w:tr2bl w:val="nil"/>
            </w:tcBorders>
          </w:tcPr>
          <w:p w14:paraId="78FD0A2D">
            <w:pPr>
              <w:keepNext w:val="0"/>
              <w:keepLines w:val="0"/>
              <w:pageBreakBefore w:val="0"/>
              <w:kinsoku/>
              <w:wordWrap/>
              <w:topLinePunct w:val="0"/>
              <w:bidi w:val="0"/>
              <w:snapToGrid/>
              <w:spacing w:line="440" w:lineRule="exact"/>
              <w:rPr>
                <w:rFonts w:hint="default" w:eastAsia="宋体"/>
                <w:b w:val="0"/>
                <w:bCs w:val="0"/>
                <w:color w:val="auto"/>
                <w:highlight w:val="none"/>
                <w:lang w:val="en-US" w:eastAsia="zh-CN"/>
              </w:rPr>
            </w:pPr>
            <w:r>
              <w:rPr>
                <w:rFonts w:hint="eastAsia"/>
                <w:b w:val="0"/>
                <w:bCs w:val="0"/>
                <w:color w:val="auto"/>
                <w:highlight w:val="none"/>
                <w:lang w:val="en-US" w:eastAsia="zh-CN"/>
              </w:rPr>
              <w:t>新疆维吾尔自治区某厅某单位路面修缮项目（二次）</w:t>
            </w:r>
          </w:p>
        </w:tc>
      </w:tr>
      <w:tr w14:paraId="352D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719EFB97">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rFonts w:hint="eastAsia"/>
                <w:color w:val="auto"/>
                <w:highlight w:val="none"/>
                <w:lang w:bidi="ar"/>
              </w:rPr>
              <w:t>3</w:t>
            </w:r>
          </w:p>
        </w:tc>
        <w:tc>
          <w:tcPr>
            <w:tcW w:w="1946" w:type="dxa"/>
            <w:tcBorders>
              <w:tl2br w:val="nil"/>
              <w:tr2bl w:val="nil"/>
            </w:tcBorders>
            <w:vAlign w:val="center"/>
          </w:tcPr>
          <w:p w14:paraId="7B26D00E">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联系方式</w:t>
            </w:r>
          </w:p>
        </w:tc>
        <w:tc>
          <w:tcPr>
            <w:tcW w:w="7426" w:type="dxa"/>
            <w:tcBorders>
              <w:tl2br w:val="nil"/>
              <w:tr2bl w:val="nil"/>
            </w:tcBorders>
            <w:vAlign w:val="center"/>
          </w:tcPr>
          <w:p w14:paraId="15EB7BA1">
            <w:pPr>
              <w:keepNext w:val="0"/>
              <w:keepLines w:val="0"/>
              <w:pageBreakBefore w:val="0"/>
              <w:kinsoku/>
              <w:wordWrap/>
              <w:overflowPunct w:val="0"/>
              <w:topLinePunct w:val="0"/>
              <w:bidi w:val="0"/>
              <w:snapToGrid/>
              <w:spacing w:line="440" w:lineRule="exact"/>
              <w:rPr>
                <w:rFonts w:hint="eastAsia" w:eastAsia="宋体"/>
                <w:color w:val="auto"/>
                <w:highlight w:val="none"/>
                <w:lang w:eastAsia="zh-CN"/>
              </w:rPr>
            </w:pPr>
            <w:r>
              <w:rPr>
                <w:rFonts w:hint="eastAsia"/>
                <w:color w:val="auto"/>
                <w:highlight w:val="none"/>
              </w:rPr>
              <w:t>采购人：</w:t>
            </w:r>
            <w:r>
              <w:rPr>
                <w:rFonts w:hint="eastAsia"/>
                <w:color w:val="auto"/>
                <w:highlight w:val="none"/>
                <w:lang w:eastAsia="zh-CN"/>
              </w:rPr>
              <w:t>新疆维吾尔自治区某厅某单位</w:t>
            </w:r>
          </w:p>
          <w:p w14:paraId="72DE24CD">
            <w:pPr>
              <w:keepNext w:val="0"/>
              <w:keepLines w:val="0"/>
              <w:pageBreakBefore w:val="0"/>
              <w:kinsoku/>
              <w:wordWrap/>
              <w:overflowPunct w:val="0"/>
              <w:topLinePunct w:val="0"/>
              <w:bidi w:val="0"/>
              <w:snapToGrid/>
              <w:spacing w:line="440" w:lineRule="exact"/>
              <w:rPr>
                <w:rFonts w:hint="eastAsia"/>
                <w:color w:val="auto"/>
                <w:highlight w:val="none"/>
                <w:lang w:val="en-US" w:eastAsia="zh-CN"/>
              </w:rPr>
            </w:pPr>
            <w:r>
              <w:rPr>
                <w:rFonts w:hint="eastAsia"/>
                <w:color w:val="auto"/>
                <w:highlight w:val="none"/>
              </w:rPr>
              <w:t>联系人：</w:t>
            </w:r>
            <w:r>
              <w:rPr>
                <w:rFonts w:hint="eastAsia"/>
                <w:color w:val="auto"/>
                <w:highlight w:val="none"/>
                <w:lang w:val="en-US" w:eastAsia="zh-CN"/>
              </w:rPr>
              <w:t>叶尔多斯</w:t>
            </w:r>
          </w:p>
          <w:p w14:paraId="552EC979">
            <w:pPr>
              <w:keepNext w:val="0"/>
              <w:keepLines w:val="0"/>
              <w:pageBreakBefore w:val="0"/>
              <w:kinsoku/>
              <w:wordWrap/>
              <w:overflowPunct w:val="0"/>
              <w:topLinePunct w:val="0"/>
              <w:bidi w:val="0"/>
              <w:snapToGrid/>
              <w:spacing w:line="440" w:lineRule="exact"/>
              <w:rPr>
                <w:rFonts w:hint="eastAsia" w:eastAsia="宋体"/>
                <w:color w:val="auto"/>
                <w:highlight w:val="none"/>
                <w:lang w:eastAsia="zh-CN"/>
              </w:rPr>
            </w:pPr>
            <w:r>
              <w:rPr>
                <w:rFonts w:hint="eastAsia"/>
                <w:color w:val="auto"/>
                <w:highlight w:val="none"/>
              </w:rPr>
              <w:t>联系电话：</w:t>
            </w:r>
            <w:r>
              <w:rPr>
                <w:rFonts w:hint="eastAsia" w:cs="Arial"/>
                <w:color w:val="auto"/>
                <w:highlight w:val="none"/>
                <w:lang w:eastAsia="zh-CN"/>
              </w:rPr>
              <w:t>0991-7506631</w:t>
            </w:r>
          </w:p>
          <w:p w14:paraId="326518B7">
            <w:pPr>
              <w:keepNext w:val="0"/>
              <w:keepLines w:val="0"/>
              <w:pageBreakBefore w:val="0"/>
              <w:kinsoku/>
              <w:wordWrap/>
              <w:overflowPunct w:val="0"/>
              <w:topLinePunct w:val="0"/>
              <w:bidi w:val="0"/>
              <w:snapToGrid/>
              <w:spacing w:line="440" w:lineRule="exact"/>
              <w:rPr>
                <w:rFonts w:hint="eastAsia"/>
                <w:color w:val="auto"/>
                <w:highlight w:val="none"/>
                <w:lang w:val="en-US" w:eastAsia="zh-CN"/>
              </w:rPr>
            </w:pPr>
            <w:r>
              <w:rPr>
                <w:rFonts w:hint="eastAsia"/>
                <w:color w:val="auto"/>
                <w:highlight w:val="none"/>
                <w:lang w:val="en-US" w:eastAsia="zh-CN"/>
              </w:rPr>
              <w:t>地址：新疆乌鲁木齐市新疆维吾尔自治区某厅某单位</w:t>
            </w:r>
          </w:p>
          <w:p w14:paraId="2434BE77">
            <w:pPr>
              <w:keepNext w:val="0"/>
              <w:keepLines w:val="0"/>
              <w:pageBreakBefore w:val="0"/>
              <w:kinsoku/>
              <w:wordWrap/>
              <w:overflowPunct w:val="0"/>
              <w:topLinePunct w:val="0"/>
              <w:bidi w:val="0"/>
              <w:snapToGrid/>
              <w:spacing w:line="440" w:lineRule="exact"/>
              <w:rPr>
                <w:rFonts w:hint="eastAsia" w:eastAsia="宋体"/>
                <w:color w:val="auto"/>
                <w:highlight w:val="none"/>
                <w:lang w:eastAsia="zh-CN"/>
              </w:rPr>
            </w:pPr>
            <w:r>
              <w:rPr>
                <w:rFonts w:hint="eastAsia"/>
                <w:color w:val="auto"/>
                <w:highlight w:val="none"/>
              </w:rPr>
              <w:t>采购代理机构：</w:t>
            </w:r>
            <w:r>
              <w:rPr>
                <w:rFonts w:hint="eastAsia"/>
                <w:color w:val="auto"/>
                <w:highlight w:val="none"/>
                <w:lang w:eastAsia="zh-CN"/>
              </w:rPr>
              <w:t>新疆宏成润和工程管理有限公司</w:t>
            </w:r>
          </w:p>
          <w:p w14:paraId="41504502">
            <w:pPr>
              <w:keepNext w:val="0"/>
              <w:keepLines w:val="0"/>
              <w:pageBreakBefore w:val="0"/>
              <w:kinsoku/>
              <w:wordWrap/>
              <w:overflowPunct w:val="0"/>
              <w:topLinePunct w:val="0"/>
              <w:bidi w:val="0"/>
              <w:snapToGrid/>
              <w:spacing w:line="440" w:lineRule="exact"/>
              <w:rPr>
                <w:rFonts w:hint="eastAsia" w:cs="Arial"/>
                <w:color w:val="auto"/>
                <w:highlight w:val="none"/>
                <w:lang w:val="zh-CN" w:eastAsia="zh-CN"/>
              </w:rPr>
            </w:pPr>
            <w:r>
              <w:rPr>
                <w:rFonts w:hint="eastAsia"/>
                <w:color w:val="auto"/>
                <w:highlight w:val="none"/>
              </w:rPr>
              <w:t>采购公司地址：</w:t>
            </w:r>
            <w:r>
              <w:rPr>
                <w:rFonts w:hint="eastAsia" w:cs="Arial"/>
                <w:color w:val="auto"/>
                <w:highlight w:val="none"/>
                <w:lang w:val="zh-CN" w:eastAsia="zh-CN"/>
              </w:rPr>
              <w:t>新疆乌鲁木齐市水磨沟区西虹东路64号锦城大厦9层</w:t>
            </w:r>
          </w:p>
          <w:p w14:paraId="204EE2B3">
            <w:pPr>
              <w:keepNext w:val="0"/>
              <w:keepLines w:val="0"/>
              <w:pageBreakBefore w:val="0"/>
              <w:kinsoku/>
              <w:wordWrap/>
              <w:overflowPunct w:val="0"/>
              <w:topLinePunct w:val="0"/>
              <w:bidi w:val="0"/>
              <w:snapToGrid/>
              <w:spacing w:line="440" w:lineRule="exact"/>
              <w:rPr>
                <w:rFonts w:hint="default"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刘阳阳</w:t>
            </w:r>
          </w:p>
          <w:p w14:paraId="0D5BB2F0">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联系电话：</w:t>
            </w:r>
            <w:r>
              <w:rPr>
                <w:rFonts w:hint="eastAsia"/>
                <w:color w:val="auto"/>
                <w:highlight w:val="none"/>
                <w:lang w:eastAsia="zh-CN"/>
              </w:rPr>
              <w:t>15899452715</w:t>
            </w:r>
          </w:p>
          <w:p w14:paraId="11EC66B9">
            <w:pPr>
              <w:keepNext w:val="0"/>
              <w:keepLines w:val="0"/>
              <w:pageBreakBefore w:val="0"/>
              <w:kinsoku/>
              <w:wordWrap/>
              <w:overflowPunct w:val="0"/>
              <w:topLinePunct w:val="0"/>
              <w:bidi w:val="0"/>
              <w:snapToGrid/>
              <w:spacing w:line="440" w:lineRule="exact"/>
              <w:rPr>
                <w:rFonts w:hint="eastAsia"/>
                <w:color w:val="auto"/>
                <w:highlight w:val="none"/>
              </w:rPr>
            </w:pPr>
            <w:r>
              <w:rPr>
                <w:rFonts w:hint="eastAsia"/>
                <w:color w:val="auto"/>
                <w:highlight w:val="none"/>
              </w:rPr>
              <w:t>联系邮箱：</w:t>
            </w:r>
            <w:r>
              <w:rPr>
                <w:rFonts w:hint="eastAsia"/>
                <w:color w:val="auto"/>
                <w:highlight w:val="none"/>
                <w:lang w:val="en-US" w:eastAsia="zh-CN"/>
              </w:rPr>
              <w:t>1483649836</w:t>
            </w:r>
            <w:r>
              <w:rPr>
                <w:rFonts w:hint="eastAsia"/>
                <w:color w:val="auto"/>
                <w:highlight w:val="none"/>
              </w:rPr>
              <w:t>@qq.com</w:t>
            </w:r>
          </w:p>
        </w:tc>
      </w:tr>
      <w:tr w14:paraId="6124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9" w:type="dxa"/>
            <w:tcBorders>
              <w:tl2br w:val="nil"/>
              <w:tr2bl w:val="nil"/>
            </w:tcBorders>
            <w:vAlign w:val="center"/>
          </w:tcPr>
          <w:p w14:paraId="30043800">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rFonts w:hint="eastAsia"/>
                <w:color w:val="auto"/>
                <w:highlight w:val="none"/>
                <w:lang w:bidi="ar"/>
              </w:rPr>
              <w:t>4</w:t>
            </w:r>
          </w:p>
        </w:tc>
        <w:tc>
          <w:tcPr>
            <w:tcW w:w="1946" w:type="dxa"/>
            <w:tcBorders>
              <w:tl2br w:val="nil"/>
              <w:tr2bl w:val="nil"/>
            </w:tcBorders>
            <w:vAlign w:val="center"/>
          </w:tcPr>
          <w:p w14:paraId="2CE533CA">
            <w:pPr>
              <w:keepNext w:val="0"/>
              <w:keepLines w:val="0"/>
              <w:pageBreakBefore w:val="0"/>
              <w:kinsoku/>
              <w:wordWrap/>
              <w:overflowPunct w:val="0"/>
              <w:topLinePunct w:val="0"/>
              <w:bidi w:val="0"/>
              <w:snapToGrid/>
              <w:spacing w:line="440" w:lineRule="exact"/>
              <w:jc w:val="center"/>
              <w:rPr>
                <w:rFonts w:hint="eastAsia"/>
                <w:b w:val="0"/>
                <w:bCs w:val="0"/>
                <w:color w:val="auto"/>
                <w:highlight w:val="none"/>
              </w:rPr>
            </w:pPr>
            <w:r>
              <w:rPr>
                <w:rFonts w:hint="eastAsia"/>
                <w:b w:val="0"/>
                <w:bCs w:val="0"/>
                <w:color w:val="auto"/>
                <w:highlight w:val="none"/>
              </w:rPr>
              <w:t>采购范围</w:t>
            </w:r>
          </w:p>
        </w:tc>
        <w:tc>
          <w:tcPr>
            <w:tcW w:w="7426" w:type="dxa"/>
            <w:tcBorders>
              <w:tl2br w:val="nil"/>
              <w:tr2bl w:val="nil"/>
            </w:tcBorders>
            <w:vAlign w:val="center"/>
          </w:tcPr>
          <w:p w14:paraId="4C6E3CAA">
            <w:pPr>
              <w:keepNext w:val="0"/>
              <w:keepLines w:val="0"/>
              <w:pageBreakBefore w:val="0"/>
              <w:kinsoku/>
              <w:wordWrap/>
              <w:topLinePunct w:val="0"/>
              <w:bidi w:val="0"/>
              <w:snapToGrid/>
              <w:spacing w:line="440" w:lineRule="exact"/>
              <w:rPr>
                <w:rFonts w:hint="eastAsia" w:eastAsia="宋体"/>
                <w:b w:val="0"/>
                <w:bCs w:val="0"/>
                <w:color w:val="auto"/>
                <w:highlight w:val="none"/>
                <w:lang w:val="en-US" w:eastAsia="zh-CN"/>
              </w:rPr>
            </w:pPr>
            <w:r>
              <w:rPr>
                <w:rFonts w:hint="eastAsia"/>
                <w:b w:val="0"/>
                <w:bCs w:val="0"/>
                <w:color w:val="auto"/>
                <w:highlight w:val="none"/>
                <w:lang w:val="en-US" w:eastAsia="zh-CN"/>
              </w:rPr>
              <w:t>详见磋商文件“</w:t>
            </w:r>
            <w:r>
              <w:rPr>
                <w:rFonts w:hint="eastAsia" w:eastAsia="宋体"/>
                <w:b w:val="0"/>
                <w:bCs w:val="0"/>
                <w:color w:val="auto"/>
                <w:highlight w:val="none"/>
                <w:lang w:val="en-US" w:eastAsia="zh-CN"/>
              </w:rPr>
              <w:t>第四章采购需求</w:t>
            </w:r>
            <w:r>
              <w:rPr>
                <w:rFonts w:hint="eastAsia"/>
                <w:b w:val="0"/>
                <w:bCs w:val="0"/>
                <w:color w:val="auto"/>
                <w:highlight w:val="none"/>
                <w:lang w:val="en-US" w:eastAsia="zh-CN"/>
              </w:rPr>
              <w:t>”。</w:t>
            </w:r>
          </w:p>
        </w:tc>
      </w:tr>
      <w:tr w14:paraId="43D9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438C5225">
            <w:pPr>
              <w:keepNext w:val="0"/>
              <w:keepLines w:val="0"/>
              <w:pageBreakBefore w:val="0"/>
              <w:kinsoku/>
              <w:wordWrap/>
              <w:topLinePunct w:val="0"/>
              <w:bidi w:val="0"/>
              <w:snapToGrid/>
              <w:spacing w:line="440" w:lineRule="exact"/>
              <w:jc w:val="center"/>
              <w:textAlignment w:val="center"/>
              <w:rPr>
                <w:rFonts w:hint="eastAsia"/>
                <w:color w:val="auto"/>
                <w:highlight w:val="none"/>
              </w:rPr>
            </w:pPr>
            <w:bookmarkStart w:id="21" w:name="_Hlk105083709"/>
            <w:r>
              <w:rPr>
                <w:rFonts w:hint="eastAsia"/>
                <w:color w:val="auto"/>
                <w:highlight w:val="none"/>
                <w:lang w:bidi="ar"/>
              </w:rPr>
              <w:t>5</w:t>
            </w:r>
          </w:p>
        </w:tc>
        <w:tc>
          <w:tcPr>
            <w:tcW w:w="1946" w:type="dxa"/>
            <w:tcBorders>
              <w:tl2br w:val="nil"/>
              <w:tr2bl w:val="nil"/>
            </w:tcBorders>
            <w:vAlign w:val="center"/>
          </w:tcPr>
          <w:p w14:paraId="79383FB0">
            <w:pPr>
              <w:keepNext w:val="0"/>
              <w:keepLines w:val="0"/>
              <w:pageBreakBefore w:val="0"/>
              <w:kinsoku/>
              <w:wordWrap/>
              <w:overflowPunct w:val="0"/>
              <w:topLinePunct w:val="0"/>
              <w:bidi w:val="0"/>
              <w:snapToGrid/>
              <w:spacing w:line="440" w:lineRule="exact"/>
              <w:jc w:val="center"/>
              <w:rPr>
                <w:rFonts w:hint="eastAsia"/>
                <w:b w:val="0"/>
                <w:bCs w:val="0"/>
                <w:color w:val="auto"/>
                <w:highlight w:val="none"/>
              </w:rPr>
            </w:pPr>
            <w:r>
              <w:rPr>
                <w:rFonts w:hint="eastAsia"/>
                <w:b w:val="0"/>
                <w:bCs w:val="0"/>
                <w:color w:val="auto"/>
                <w:highlight w:val="none"/>
              </w:rPr>
              <w:t>最高限价</w:t>
            </w:r>
          </w:p>
        </w:tc>
        <w:tc>
          <w:tcPr>
            <w:tcW w:w="7426" w:type="dxa"/>
            <w:tcBorders>
              <w:tl2br w:val="nil"/>
              <w:tr2bl w:val="nil"/>
            </w:tcBorders>
            <w:vAlign w:val="center"/>
          </w:tcPr>
          <w:p w14:paraId="65E1D14F">
            <w:pPr>
              <w:keepNext w:val="0"/>
              <w:keepLines w:val="0"/>
              <w:pageBreakBefore w:val="0"/>
              <w:kinsoku/>
              <w:wordWrap/>
              <w:topLinePunct w:val="0"/>
              <w:bidi w:val="0"/>
              <w:snapToGrid/>
              <w:spacing w:line="440" w:lineRule="exact"/>
              <w:rPr>
                <w:rFonts w:hint="default" w:eastAsia="宋体" w:cs="Arial"/>
                <w:b w:val="0"/>
                <w:bCs w:val="0"/>
                <w:color w:val="auto"/>
                <w:highlight w:val="none"/>
                <w:lang w:val="en-US" w:eastAsia="zh-CN"/>
              </w:rPr>
            </w:pPr>
            <w:r>
              <w:rPr>
                <w:rFonts w:hint="default" w:eastAsia="宋体" w:cs="Arial"/>
                <w:b w:val="0"/>
                <w:bCs w:val="0"/>
                <w:color w:val="auto"/>
                <w:highlight w:val="none"/>
                <w:lang w:val="en-US" w:eastAsia="zh-CN"/>
              </w:rPr>
              <w:t>最高限价：299010.77</w:t>
            </w:r>
            <w:r>
              <w:rPr>
                <w:rFonts w:hint="eastAsia" w:cs="Arial"/>
                <w:b w:val="0"/>
                <w:bCs w:val="0"/>
                <w:color w:val="auto"/>
                <w:highlight w:val="none"/>
                <w:lang w:val="en-US" w:eastAsia="zh-CN"/>
              </w:rPr>
              <w:t>（元）</w:t>
            </w:r>
          </w:p>
        </w:tc>
      </w:tr>
      <w:tr w14:paraId="443F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7D1F03AB">
            <w:pPr>
              <w:keepNext w:val="0"/>
              <w:keepLines w:val="0"/>
              <w:pageBreakBefore w:val="0"/>
              <w:kinsoku/>
              <w:wordWrap/>
              <w:topLinePunct w:val="0"/>
              <w:bidi w:val="0"/>
              <w:snapToGrid/>
              <w:spacing w:line="440" w:lineRule="exact"/>
              <w:jc w:val="center"/>
              <w:textAlignment w:val="center"/>
              <w:rPr>
                <w:rFonts w:hint="eastAsia" w:eastAsia="宋体"/>
                <w:color w:val="auto"/>
                <w:highlight w:val="none"/>
                <w:lang w:val="en-US" w:eastAsia="zh-CN" w:bidi="ar"/>
              </w:rPr>
            </w:pPr>
            <w:r>
              <w:rPr>
                <w:rFonts w:hint="eastAsia"/>
                <w:color w:val="auto"/>
                <w:highlight w:val="none"/>
                <w:lang w:val="en-US" w:eastAsia="zh-CN" w:bidi="ar"/>
              </w:rPr>
              <w:t>6</w:t>
            </w:r>
          </w:p>
        </w:tc>
        <w:tc>
          <w:tcPr>
            <w:tcW w:w="1946" w:type="dxa"/>
            <w:tcBorders>
              <w:tl2br w:val="nil"/>
              <w:tr2bl w:val="nil"/>
            </w:tcBorders>
            <w:vAlign w:val="center"/>
          </w:tcPr>
          <w:p w14:paraId="080CA1F0">
            <w:pPr>
              <w:keepNext w:val="0"/>
              <w:keepLines w:val="0"/>
              <w:pageBreakBefore w:val="0"/>
              <w:kinsoku/>
              <w:wordWrap/>
              <w:overflowPunct w:val="0"/>
              <w:topLinePunct w:val="0"/>
              <w:bidi w:val="0"/>
              <w:snapToGrid/>
              <w:spacing w:line="440" w:lineRule="exact"/>
              <w:jc w:val="center"/>
              <w:rPr>
                <w:rFonts w:hint="default" w:eastAsia="宋体"/>
                <w:b w:val="0"/>
                <w:bCs w:val="0"/>
                <w:color w:val="auto"/>
                <w:highlight w:val="none"/>
                <w:lang w:val="en-US" w:eastAsia="zh-CN"/>
              </w:rPr>
            </w:pPr>
            <w:r>
              <w:rPr>
                <w:rFonts w:ascii="宋体" w:hAnsi="宋体" w:eastAsia="宋体" w:cs="宋体"/>
                <w:color w:val="auto"/>
                <w:sz w:val="24"/>
                <w:szCs w:val="24"/>
                <w:highlight w:val="none"/>
              </w:rPr>
              <w:t>磋商轮数及最终报价要求</w:t>
            </w:r>
          </w:p>
        </w:tc>
        <w:tc>
          <w:tcPr>
            <w:tcW w:w="7426" w:type="dxa"/>
            <w:tcBorders>
              <w:tl2br w:val="nil"/>
              <w:tr2bl w:val="nil"/>
            </w:tcBorders>
            <w:vAlign w:val="center"/>
          </w:tcPr>
          <w:p w14:paraId="145C9661">
            <w:pPr>
              <w:keepNext w:val="0"/>
              <w:keepLines w:val="0"/>
              <w:pageBreakBefore w:val="0"/>
              <w:numPr>
                <w:ilvl w:val="0"/>
                <w:numId w:val="6"/>
              </w:numPr>
              <w:kinsoku/>
              <w:wordWrap/>
              <w:topLinePunct w:val="0"/>
              <w:bidi w:val="0"/>
              <w:snapToGrid/>
              <w:spacing w:line="440" w:lineRule="exact"/>
              <w:rPr>
                <w:rFonts w:hint="eastAsia" w:cs="Arial"/>
                <w:b w:val="0"/>
                <w:bCs w:val="0"/>
                <w:color w:val="auto"/>
                <w:highlight w:val="none"/>
                <w:lang w:val="en-US" w:eastAsia="zh-CN"/>
              </w:rPr>
            </w:pPr>
            <w:r>
              <w:rPr>
                <w:rFonts w:hint="eastAsia" w:cs="Arial"/>
                <w:b w:val="0"/>
                <w:bCs w:val="0"/>
                <w:color w:val="auto"/>
                <w:highlight w:val="none"/>
                <w:lang w:val="en-US" w:eastAsia="zh-CN"/>
              </w:rPr>
              <w:t>本项目采用竞争性磋商采购方式，报价实行二次报价机制，供应商第二次报价为本项目最终报价。磋商过程中采购文件未作实质性变动、未新增采购需求的，第二次报价不得高于第一次报价，否则其响应文件按无效处理。</w:t>
            </w:r>
          </w:p>
          <w:p w14:paraId="732CC9FC">
            <w:pPr>
              <w:keepNext w:val="0"/>
              <w:keepLines w:val="0"/>
              <w:pageBreakBefore w:val="0"/>
              <w:numPr>
                <w:ilvl w:val="0"/>
                <w:numId w:val="0"/>
              </w:numPr>
              <w:kinsoku/>
              <w:wordWrap/>
              <w:topLinePunct w:val="0"/>
              <w:bidi w:val="0"/>
              <w:snapToGrid/>
              <w:spacing w:line="440" w:lineRule="exact"/>
              <w:rPr>
                <w:rFonts w:hint="eastAsia" w:cs="Arial"/>
                <w:b w:val="0"/>
                <w:bCs w:val="0"/>
                <w:color w:val="auto"/>
                <w:highlight w:val="none"/>
                <w:lang w:val="en-US" w:eastAsia="zh-CN"/>
              </w:rPr>
            </w:pPr>
            <w:r>
              <w:rPr>
                <w:rFonts w:hint="eastAsia" w:cs="Arial"/>
                <w:b w:val="0"/>
                <w:bCs w:val="0"/>
                <w:color w:val="auto"/>
                <w:highlight w:val="none"/>
                <w:lang w:val="en-US" w:eastAsia="zh-CN"/>
              </w:rPr>
              <w:t>2. 各供应商须在政采云平台不见面开标大厅完成最终报价，报价时限为 30 分钟，供应商务必在系统规定时限内完成报价操作；超时未完成的，视为自动放弃本项目磋商资格。注：因供应商自身原因（包括但不限于中途离场、通讯中断、无法联系等）导致超时无法报价的，全部后果由供应商自行承担。3. 投标报价须具备唯一性，且不得超过本项目采购预算。本项目不接受任何可选择、可调整的投标方案及报价，存在此类情形的，视为非响应性投标予以拒绝。政采云平台经供应商确认的投标报价，与响应文件中开标一览表报价不一致的，视为选择性报价，按无效投标处理。</w:t>
            </w:r>
          </w:p>
        </w:tc>
      </w:tr>
      <w:bookmarkEnd w:id="21"/>
      <w:tr w14:paraId="51BD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191A680E">
            <w:pPr>
              <w:keepNext w:val="0"/>
              <w:keepLines w:val="0"/>
              <w:pageBreakBefore w:val="0"/>
              <w:kinsoku/>
              <w:wordWrap/>
              <w:topLinePunct w:val="0"/>
              <w:bidi w:val="0"/>
              <w:snapToGrid/>
              <w:spacing w:line="440" w:lineRule="exact"/>
              <w:jc w:val="center"/>
              <w:textAlignment w:val="center"/>
              <w:rPr>
                <w:rFonts w:hint="eastAsia" w:eastAsia="宋体"/>
                <w:color w:val="auto"/>
                <w:highlight w:val="none"/>
                <w:lang w:eastAsia="zh-CN"/>
              </w:rPr>
            </w:pPr>
            <w:r>
              <w:rPr>
                <w:rFonts w:hint="eastAsia"/>
                <w:color w:val="auto"/>
                <w:highlight w:val="none"/>
                <w:lang w:val="en-US" w:eastAsia="zh-CN" w:bidi="ar"/>
              </w:rPr>
              <w:t>7</w:t>
            </w:r>
          </w:p>
        </w:tc>
        <w:tc>
          <w:tcPr>
            <w:tcW w:w="1946" w:type="dxa"/>
            <w:tcBorders>
              <w:tl2br w:val="nil"/>
              <w:tr2bl w:val="nil"/>
            </w:tcBorders>
            <w:vAlign w:val="center"/>
          </w:tcPr>
          <w:p w14:paraId="2516A845">
            <w:pPr>
              <w:keepNext w:val="0"/>
              <w:keepLines w:val="0"/>
              <w:pageBreakBefore w:val="0"/>
              <w:kinsoku/>
              <w:wordWrap/>
              <w:overflowPunct w:val="0"/>
              <w:topLinePunct w:val="0"/>
              <w:bidi w:val="0"/>
              <w:snapToGrid/>
              <w:spacing w:line="440" w:lineRule="exact"/>
              <w:jc w:val="center"/>
              <w:rPr>
                <w:rFonts w:hint="default" w:eastAsia="宋体"/>
                <w:color w:val="auto"/>
                <w:highlight w:val="none"/>
                <w:lang w:val="en-US" w:eastAsia="zh-CN"/>
              </w:rPr>
            </w:pPr>
            <w:r>
              <w:rPr>
                <w:rFonts w:hint="eastAsia"/>
                <w:color w:val="auto"/>
                <w:highlight w:val="none"/>
                <w:lang w:val="en-US" w:eastAsia="zh-CN"/>
              </w:rPr>
              <w:t>供应商资格要求</w:t>
            </w:r>
          </w:p>
        </w:tc>
        <w:tc>
          <w:tcPr>
            <w:tcW w:w="7426" w:type="dxa"/>
            <w:tcBorders>
              <w:tl2br w:val="nil"/>
              <w:tr2bl w:val="nil"/>
            </w:tcBorders>
            <w:vAlign w:val="center"/>
          </w:tcPr>
          <w:p w14:paraId="146C1E20">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1. 满足《中华人民共和国政府采购法》第二十二条规定；</w:t>
            </w:r>
          </w:p>
          <w:p w14:paraId="39A4EEAD">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2. 落实政府采购政策需满足的资格要求：</w:t>
            </w:r>
          </w:p>
          <w:p w14:paraId="0758890A">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□本项目不专门面向中小企业预留采购份额。</w:t>
            </w:r>
          </w:p>
          <w:p w14:paraId="5A28F8C8">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☑本项目专门面向</w:t>
            </w:r>
            <w:r>
              <w:rPr>
                <w:rFonts w:hint="eastAsia"/>
                <w:color w:val="auto"/>
                <w:highlight w:val="none"/>
                <w:lang w:eastAsia="zh-CN"/>
              </w:rPr>
              <w:t>☑</w:t>
            </w:r>
            <w:r>
              <w:rPr>
                <w:rFonts w:hint="eastAsia"/>
                <w:color w:val="auto"/>
                <w:highlight w:val="none"/>
              </w:rPr>
              <w:t>中小</w:t>
            </w:r>
            <w:r>
              <w:rPr>
                <w:rFonts w:hint="eastAsia"/>
                <w:color w:val="auto"/>
                <w:highlight w:val="none"/>
                <w:lang w:eastAsia="zh-CN"/>
              </w:rPr>
              <w:t>□</w:t>
            </w:r>
            <w:r>
              <w:rPr>
                <w:rFonts w:hint="eastAsia"/>
                <w:color w:val="auto"/>
                <w:highlight w:val="none"/>
              </w:rPr>
              <w:t>小微企业采购。即</w:t>
            </w:r>
            <w:r>
              <w:rPr>
                <w:rFonts w:hint="eastAsia"/>
                <w:color w:val="auto"/>
                <w:highlight w:val="none"/>
                <w:lang w:eastAsia="zh-CN"/>
              </w:rPr>
              <w:t>：</w:t>
            </w:r>
            <w:r>
              <w:rPr>
                <w:rFonts w:hint="eastAsia"/>
                <w:color w:val="auto"/>
                <w:highlight w:val="none"/>
              </w:rPr>
              <w:t>提供的服务全部由符合政策要求的</w:t>
            </w:r>
            <w:r>
              <w:rPr>
                <w:rFonts w:hint="eastAsia"/>
                <w:color w:val="auto"/>
                <w:highlight w:val="none"/>
                <w:lang w:eastAsia="zh-CN"/>
              </w:rPr>
              <w:t>☑</w:t>
            </w:r>
            <w:r>
              <w:rPr>
                <w:rFonts w:hint="eastAsia"/>
                <w:color w:val="auto"/>
                <w:highlight w:val="none"/>
              </w:rPr>
              <w:t>中小/</w:t>
            </w:r>
            <w:r>
              <w:rPr>
                <w:rFonts w:hint="eastAsia"/>
                <w:color w:val="auto"/>
                <w:highlight w:val="none"/>
                <w:lang w:eastAsia="zh-CN"/>
              </w:rPr>
              <w:t>□</w:t>
            </w:r>
            <w:r>
              <w:rPr>
                <w:rFonts w:hint="eastAsia"/>
                <w:color w:val="auto"/>
                <w:highlight w:val="none"/>
              </w:rPr>
              <w:t>小微企业承接。</w:t>
            </w:r>
          </w:p>
          <w:p w14:paraId="7B972430">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□本项目预留部分采购项目预算专门面向中小企业采购。对于预留份额，提供的货物由符合政策要求的中小企业制造、服务</w:t>
            </w:r>
            <w:r>
              <w:rPr>
                <w:rFonts w:hint="eastAsia"/>
                <w:color w:val="auto"/>
                <w:highlight w:val="none"/>
                <w:lang w:eastAsia="zh-CN"/>
              </w:rPr>
              <w:t>（</w:t>
            </w:r>
            <w:r>
              <w:rPr>
                <w:rFonts w:hint="eastAsia"/>
                <w:color w:val="auto"/>
                <w:highlight w:val="none"/>
              </w:rPr>
              <w:t>或工程</w:t>
            </w:r>
            <w:r>
              <w:rPr>
                <w:rFonts w:hint="eastAsia"/>
                <w:color w:val="auto"/>
                <w:highlight w:val="none"/>
                <w:lang w:eastAsia="zh-CN"/>
              </w:rPr>
              <w:t>）</w:t>
            </w:r>
            <w:r>
              <w:rPr>
                <w:rFonts w:hint="eastAsia"/>
                <w:color w:val="auto"/>
                <w:highlight w:val="none"/>
              </w:rPr>
              <w:t>由符合政策要求的中小企业承接。</w:t>
            </w:r>
          </w:p>
          <w:p w14:paraId="67F1E047">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3. 本项目特定资格要求：</w:t>
            </w:r>
          </w:p>
          <w:p w14:paraId="18CC115D">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（1）</w:t>
            </w:r>
            <w:r>
              <w:rPr>
                <w:rFonts w:hint="eastAsia"/>
                <w:color w:val="auto"/>
                <w:highlight w:val="none"/>
                <w:lang w:val="en-US" w:eastAsia="zh-CN"/>
              </w:rPr>
              <w:t xml:space="preserve">供应商须具备市政公用工程施工总承包叁级以上（含叁级）资质，具备有效的安全生产许可证。项目负责人须具备市政公用工程专业二级以上（含二级）注册建造师执业资格，具备有效的安全生产考核合格证书； </w:t>
            </w:r>
          </w:p>
          <w:p w14:paraId="761684B4">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（2）供应商与采购人、采购代理机构不存在隶属关系或其他利害关系；</w:t>
            </w:r>
          </w:p>
          <w:p w14:paraId="27D4B909">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（3）单位负责人为同一人或者存在直接控股、管理关系的不同供应商，不得参加本项目同一合同项下的政府采购活动；</w:t>
            </w:r>
          </w:p>
          <w:p w14:paraId="574E6399">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（4）除单一来源采购项目外，为采购项目提供整体设计、规范编制或者项目管理、监理、检测等服务的供应商，不得再参加本项目的其他采购活动；</w:t>
            </w:r>
          </w:p>
          <w:p w14:paraId="2E964309">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（5）在中华人民共和国境内注册，未在 “信用中国” 网站（www.creditchina.gov.cn）、中国政府采购网（www.ccgp.gov.cn）等渠道被列入失信被执行人、税收违法黑名单、政府采购严重违法失信行为记录名单。</w:t>
            </w:r>
          </w:p>
        </w:tc>
      </w:tr>
      <w:tr w14:paraId="18B3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6C17C7D0">
            <w:pPr>
              <w:keepNext w:val="0"/>
              <w:keepLines w:val="0"/>
              <w:pageBreakBefore w:val="0"/>
              <w:kinsoku/>
              <w:wordWrap/>
              <w:topLinePunct w:val="0"/>
              <w:bidi w:val="0"/>
              <w:snapToGrid/>
              <w:spacing w:line="440" w:lineRule="exact"/>
              <w:jc w:val="center"/>
              <w:textAlignment w:val="center"/>
              <w:rPr>
                <w:rFonts w:hint="eastAsia" w:eastAsia="宋体"/>
                <w:color w:val="auto"/>
                <w:highlight w:val="none"/>
                <w:lang w:eastAsia="zh-CN"/>
              </w:rPr>
            </w:pPr>
            <w:r>
              <w:rPr>
                <w:rFonts w:hint="eastAsia"/>
                <w:color w:val="auto"/>
                <w:highlight w:val="none"/>
                <w:lang w:val="en-US" w:eastAsia="zh-CN" w:bidi="ar"/>
              </w:rPr>
              <w:t>8</w:t>
            </w:r>
          </w:p>
        </w:tc>
        <w:tc>
          <w:tcPr>
            <w:tcW w:w="1946" w:type="dxa"/>
            <w:tcBorders>
              <w:tl2br w:val="nil"/>
              <w:tr2bl w:val="nil"/>
            </w:tcBorders>
            <w:vAlign w:val="center"/>
          </w:tcPr>
          <w:p w14:paraId="67597005">
            <w:pPr>
              <w:pStyle w:val="115"/>
              <w:keepNext w:val="0"/>
              <w:keepLines w:val="0"/>
              <w:pageBreakBefore w:val="0"/>
              <w:kinsoku/>
              <w:wordWrap/>
              <w:topLinePunct w:val="0"/>
              <w:bidi w:val="0"/>
              <w:snapToGrid/>
              <w:spacing w:line="440" w:lineRule="exact"/>
              <w:ind w:left="38"/>
              <w:jc w:val="center"/>
              <w:rPr>
                <w:rFonts w:hint="eastAsia" w:cs="Times New Roman"/>
                <w:color w:val="auto"/>
                <w:kern w:val="2"/>
                <w:highlight w:val="none"/>
              </w:rPr>
            </w:pPr>
            <w:r>
              <w:rPr>
                <w:rFonts w:hint="eastAsia" w:cs="Times New Roman"/>
                <w:color w:val="auto"/>
                <w:kern w:val="2"/>
                <w:highlight w:val="none"/>
              </w:rPr>
              <w:t>信用情况</w:t>
            </w:r>
          </w:p>
        </w:tc>
        <w:tc>
          <w:tcPr>
            <w:tcW w:w="7426" w:type="dxa"/>
            <w:tcBorders>
              <w:tl2br w:val="nil"/>
              <w:tr2bl w:val="nil"/>
            </w:tcBorders>
            <w:vAlign w:val="center"/>
          </w:tcPr>
          <w:p w14:paraId="333F267A">
            <w:pPr>
              <w:keepNext w:val="0"/>
              <w:keepLines w:val="0"/>
              <w:pageBreakBefore w:val="0"/>
              <w:kinsoku/>
              <w:wordWrap/>
              <w:topLinePunct w:val="0"/>
              <w:bidi w:val="0"/>
              <w:snapToGrid/>
              <w:spacing w:line="440" w:lineRule="exact"/>
              <w:rPr>
                <w:rFonts w:hint="eastAsia"/>
                <w:b/>
                <w:color w:val="auto"/>
                <w:highlight w:val="none"/>
              </w:rPr>
            </w:pPr>
            <w:r>
              <w:rPr>
                <w:rStyle w:val="37"/>
                <w:rFonts w:ascii="宋体" w:hAnsi="宋体" w:eastAsia="宋体" w:cs="宋体"/>
                <w:b/>
                <w:bCs/>
                <w:color w:val="auto"/>
                <w:sz w:val="24"/>
                <w:szCs w:val="24"/>
                <w:highlight w:val="none"/>
              </w:rPr>
              <w:t>信用记录审查规则</w:t>
            </w:r>
            <w:r>
              <w:rPr>
                <w:rFonts w:ascii="宋体" w:hAnsi="宋体" w:eastAsia="宋体" w:cs="宋体"/>
                <w:color w:val="auto"/>
                <w:sz w:val="24"/>
                <w:szCs w:val="24"/>
                <w:highlight w:val="none"/>
              </w:rPr>
              <w:t>：根据《财政部关于在政府采购活动中查询及使用信用记录有关问题的通知》（财库〔2016〕125 号）规定，响应文件递交截止时间后，采购人或采购代理机构将通过 “信用中国” 网站（</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"https://www.creditchina.gov.cn" \t "_blank" </w:instrText>
            </w:r>
            <w:r>
              <w:rPr>
                <w:rFonts w:ascii="宋体" w:hAnsi="宋体" w:eastAsia="宋体" w:cs="宋体"/>
                <w:color w:val="auto"/>
                <w:sz w:val="24"/>
                <w:szCs w:val="24"/>
                <w:highlight w:val="none"/>
              </w:rPr>
              <w:fldChar w:fldCharType="separate"/>
            </w:r>
            <w:r>
              <w:rPr>
                <w:rStyle w:val="40"/>
                <w:rFonts w:ascii="宋体" w:hAnsi="宋体" w:eastAsia="宋体" w:cs="宋体"/>
                <w:color w:val="auto"/>
                <w:sz w:val="24"/>
                <w:szCs w:val="24"/>
                <w:highlight w:val="none"/>
              </w:rPr>
              <w:t>www.creditchina.gov.cn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）、中国政府采购网（</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"https://www.ccgp.gov.cn" \t "_blank" </w:instrText>
            </w:r>
            <w:r>
              <w:rPr>
                <w:rFonts w:ascii="宋体" w:hAnsi="宋体" w:eastAsia="宋体" w:cs="宋体"/>
                <w:color w:val="auto"/>
                <w:sz w:val="24"/>
                <w:szCs w:val="24"/>
                <w:highlight w:val="none"/>
              </w:rPr>
              <w:fldChar w:fldCharType="separate"/>
            </w:r>
            <w:r>
              <w:rPr>
                <w:rStyle w:val="40"/>
                <w:rFonts w:ascii="宋体" w:hAnsi="宋体" w:eastAsia="宋体" w:cs="宋体"/>
                <w:color w:val="auto"/>
                <w:sz w:val="24"/>
                <w:szCs w:val="24"/>
                <w:highlight w:val="none"/>
              </w:rPr>
              <w:t>www.ccgp.gov.cn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对供应商截止响应文件递交截止时点的信用记录进行查询审查。对列入失信被执行人、税收违法黑名单、政府采购严重违法失信行为记录名单，以及其他不符合《中华人民共和国政府采购法》第二十二条规定条件的供应商，其响应文件按无效处理。</w:t>
            </w:r>
          </w:p>
        </w:tc>
      </w:tr>
      <w:tr w14:paraId="4D7F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79" w:type="dxa"/>
            <w:tcBorders>
              <w:tl2br w:val="nil"/>
              <w:tr2bl w:val="nil"/>
            </w:tcBorders>
            <w:vAlign w:val="center"/>
          </w:tcPr>
          <w:p w14:paraId="4867B9B5">
            <w:pPr>
              <w:keepNext w:val="0"/>
              <w:keepLines w:val="0"/>
              <w:pageBreakBefore w:val="0"/>
              <w:kinsoku/>
              <w:wordWrap/>
              <w:topLinePunct w:val="0"/>
              <w:bidi w:val="0"/>
              <w:snapToGrid/>
              <w:spacing w:line="440" w:lineRule="exact"/>
              <w:jc w:val="center"/>
              <w:textAlignment w:val="center"/>
              <w:rPr>
                <w:rFonts w:hint="eastAsia" w:eastAsia="宋体"/>
                <w:color w:val="auto"/>
                <w:highlight w:val="none"/>
                <w:lang w:eastAsia="zh-CN"/>
              </w:rPr>
            </w:pPr>
            <w:r>
              <w:rPr>
                <w:rFonts w:hint="eastAsia"/>
                <w:color w:val="auto"/>
                <w:highlight w:val="none"/>
                <w:lang w:val="en-US" w:eastAsia="zh-CN" w:bidi="ar"/>
              </w:rPr>
              <w:t>9</w:t>
            </w:r>
          </w:p>
        </w:tc>
        <w:tc>
          <w:tcPr>
            <w:tcW w:w="1946" w:type="dxa"/>
            <w:tcBorders>
              <w:tl2br w:val="nil"/>
              <w:tr2bl w:val="nil"/>
            </w:tcBorders>
            <w:vAlign w:val="center"/>
          </w:tcPr>
          <w:p w14:paraId="4E4C2A3F">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是否接受联合体投标</w:t>
            </w:r>
          </w:p>
        </w:tc>
        <w:tc>
          <w:tcPr>
            <w:tcW w:w="7426" w:type="dxa"/>
            <w:tcBorders>
              <w:tl2br w:val="nil"/>
              <w:tr2bl w:val="nil"/>
            </w:tcBorders>
            <w:vAlign w:val="center"/>
          </w:tcPr>
          <w:p w14:paraId="5AFD9664">
            <w:pPr>
              <w:keepNext w:val="0"/>
              <w:keepLines w:val="0"/>
              <w:pageBreakBefore w:val="0"/>
              <w:kinsoku/>
              <w:wordWrap/>
              <w:overflowPunct w:val="0"/>
              <w:topLinePunct w:val="0"/>
              <w:bidi w:val="0"/>
              <w:snapToGrid/>
              <w:spacing w:line="440" w:lineRule="exact"/>
              <w:rPr>
                <w:rFonts w:hint="eastAsia"/>
                <w:color w:val="auto"/>
                <w:highlight w:val="none"/>
              </w:rPr>
            </w:pPr>
            <w:r>
              <w:rPr>
                <w:rFonts w:hint="eastAsia"/>
                <w:color w:val="auto"/>
                <w:highlight w:val="none"/>
              </w:rPr>
              <w:t>不接受</w:t>
            </w:r>
          </w:p>
        </w:tc>
      </w:tr>
      <w:tr w14:paraId="0910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2A0EB8CF">
            <w:pPr>
              <w:keepNext w:val="0"/>
              <w:keepLines w:val="0"/>
              <w:pageBreakBefore w:val="0"/>
              <w:kinsoku/>
              <w:wordWrap/>
              <w:topLinePunct w:val="0"/>
              <w:bidi w:val="0"/>
              <w:snapToGrid/>
              <w:spacing w:line="440" w:lineRule="exact"/>
              <w:jc w:val="center"/>
              <w:textAlignment w:val="center"/>
              <w:rPr>
                <w:rFonts w:hint="default" w:eastAsia="宋体"/>
                <w:color w:val="auto"/>
                <w:highlight w:val="none"/>
                <w:lang w:val="en-US" w:eastAsia="zh-CN"/>
              </w:rPr>
            </w:pPr>
            <w:r>
              <w:rPr>
                <w:rFonts w:hint="eastAsia"/>
                <w:color w:val="auto"/>
                <w:highlight w:val="none"/>
                <w:lang w:val="en-US" w:eastAsia="zh-CN" w:bidi="ar"/>
              </w:rPr>
              <w:t>10</w:t>
            </w:r>
          </w:p>
        </w:tc>
        <w:tc>
          <w:tcPr>
            <w:tcW w:w="1946" w:type="dxa"/>
            <w:tcBorders>
              <w:tl2br w:val="nil"/>
              <w:tr2bl w:val="nil"/>
            </w:tcBorders>
            <w:vAlign w:val="center"/>
          </w:tcPr>
          <w:p w14:paraId="11D4B565">
            <w:pPr>
              <w:keepNext w:val="0"/>
              <w:keepLines w:val="0"/>
              <w:pageBreakBefore w:val="0"/>
              <w:kinsoku/>
              <w:wordWrap/>
              <w:overflowPunct w:val="0"/>
              <w:topLinePunct w:val="0"/>
              <w:bidi w:val="0"/>
              <w:snapToGrid/>
              <w:spacing w:line="440" w:lineRule="exact"/>
              <w:jc w:val="center"/>
              <w:rPr>
                <w:rFonts w:hint="eastAsia"/>
                <w:b w:val="0"/>
                <w:bCs w:val="0"/>
                <w:color w:val="auto"/>
                <w:highlight w:val="none"/>
              </w:rPr>
            </w:pPr>
            <w:r>
              <w:rPr>
                <w:rFonts w:hint="eastAsia"/>
                <w:b w:val="0"/>
                <w:bCs w:val="0"/>
                <w:color w:val="auto"/>
                <w:highlight w:val="none"/>
              </w:rPr>
              <w:t>竞争性磋商文件</w:t>
            </w:r>
          </w:p>
          <w:p w14:paraId="283F8F27">
            <w:pPr>
              <w:keepNext w:val="0"/>
              <w:keepLines w:val="0"/>
              <w:pageBreakBefore w:val="0"/>
              <w:kinsoku/>
              <w:wordWrap/>
              <w:overflowPunct w:val="0"/>
              <w:topLinePunct w:val="0"/>
              <w:bidi w:val="0"/>
              <w:snapToGrid/>
              <w:spacing w:line="440" w:lineRule="exact"/>
              <w:jc w:val="center"/>
              <w:rPr>
                <w:rFonts w:hint="eastAsia"/>
                <w:b w:val="0"/>
                <w:bCs w:val="0"/>
                <w:color w:val="auto"/>
                <w:highlight w:val="none"/>
              </w:rPr>
            </w:pPr>
            <w:r>
              <w:rPr>
                <w:rFonts w:hint="eastAsia"/>
                <w:b w:val="0"/>
                <w:bCs w:val="0"/>
                <w:color w:val="auto"/>
                <w:highlight w:val="none"/>
              </w:rPr>
              <w:t>发放日期</w:t>
            </w:r>
          </w:p>
        </w:tc>
        <w:tc>
          <w:tcPr>
            <w:tcW w:w="7426" w:type="dxa"/>
            <w:tcBorders>
              <w:tl2br w:val="nil"/>
              <w:tr2bl w:val="nil"/>
            </w:tcBorders>
            <w:vAlign w:val="center"/>
          </w:tcPr>
          <w:p w14:paraId="29638C22">
            <w:pPr>
              <w:keepNext w:val="0"/>
              <w:keepLines w:val="0"/>
              <w:pageBreakBefore w:val="0"/>
              <w:kinsoku/>
              <w:wordWrap/>
              <w:overflowPunct w:val="0"/>
              <w:topLinePunct w:val="0"/>
              <w:bidi w:val="0"/>
              <w:snapToGrid/>
              <w:spacing w:line="440" w:lineRule="exact"/>
              <w:rPr>
                <w:rFonts w:hint="eastAsia"/>
                <w:b w:val="0"/>
                <w:bCs w:val="0"/>
                <w:color w:val="auto"/>
                <w:highlight w:val="none"/>
              </w:rPr>
            </w:pPr>
            <w:r>
              <w:rPr>
                <w:rFonts w:hint="eastAsia"/>
                <w:b w:val="0"/>
                <w:bCs w:val="0"/>
                <w:color w:val="auto"/>
                <w:highlight w:val="none"/>
              </w:rPr>
              <w:t>时间：</w:t>
            </w:r>
            <w:r>
              <w:rPr>
                <w:rFonts w:hint="eastAsia"/>
                <w:b w:val="0"/>
                <w:bCs w:val="0"/>
                <w:color w:val="auto"/>
                <w:highlight w:val="none"/>
                <w:lang w:eastAsia="zh-CN"/>
              </w:rPr>
              <w:t>2026年</w:t>
            </w:r>
            <w:r>
              <w:rPr>
                <w:rFonts w:hint="eastAsia"/>
                <w:b w:val="0"/>
                <w:bCs w:val="0"/>
                <w:color w:val="auto"/>
                <w:highlight w:val="none"/>
                <w:lang w:val="en-US" w:eastAsia="zh-CN"/>
              </w:rPr>
              <w:t>6</w:t>
            </w:r>
            <w:r>
              <w:rPr>
                <w:rFonts w:hint="eastAsia"/>
                <w:b w:val="0"/>
                <w:bCs w:val="0"/>
                <w:color w:val="auto"/>
                <w:highlight w:val="none"/>
                <w:lang w:eastAsia="zh-CN"/>
              </w:rPr>
              <w:t>月</w:t>
            </w:r>
            <w:r>
              <w:rPr>
                <w:rFonts w:hint="eastAsia"/>
                <w:b w:val="0"/>
                <w:bCs w:val="0"/>
                <w:color w:val="auto"/>
                <w:highlight w:val="none"/>
                <w:lang w:val="en-US" w:eastAsia="zh-CN"/>
              </w:rPr>
              <w:t>11</w:t>
            </w:r>
            <w:r>
              <w:rPr>
                <w:rFonts w:hint="eastAsia"/>
                <w:b w:val="0"/>
                <w:bCs w:val="0"/>
                <w:color w:val="auto"/>
                <w:highlight w:val="none"/>
                <w:lang w:eastAsia="zh-CN"/>
              </w:rPr>
              <w:t>日</w:t>
            </w:r>
            <w:r>
              <w:rPr>
                <w:rFonts w:hint="eastAsia"/>
                <w:b w:val="0"/>
                <w:bCs w:val="0"/>
                <w:color w:val="auto"/>
                <w:highlight w:val="none"/>
              </w:rPr>
              <w:t>至</w:t>
            </w:r>
            <w:r>
              <w:rPr>
                <w:rFonts w:hint="eastAsia"/>
                <w:b w:val="0"/>
                <w:bCs w:val="0"/>
                <w:color w:val="auto"/>
                <w:highlight w:val="none"/>
                <w:lang w:eastAsia="zh-CN"/>
              </w:rPr>
              <w:t>2026年</w:t>
            </w:r>
            <w:r>
              <w:rPr>
                <w:rFonts w:hint="eastAsia"/>
                <w:b w:val="0"/>
                <w:bCs w:val="0"/>
                <w:color w:val="auto"/>
                <w:highlight w:val="none"/>
                <w:lang w:val="en-US" w:eastAsia="zh-CN"/>
              </w:rPr>
              <w:t>6</w:t>
            </w:r>
            <w:r>
              <w:rPr>
                <w:rFonts w:hint="eastAsia"/>
                <w:b w:val="0"/>
                <w:bCs w:val="0"/>
                <w:color w:val="auto"/>
                <w:highlight w:val="none"/>
                <w:lang w:eastAsia="zh-CN"/>
              </w:rPr>
              <w:t>月</w:t>
            </w:r>
            <w:r>
              <w:rPr>
                <w:rFonts w:hint="eastAsia"/>
                <w:b w:val="0"/>
                <w:bCs w:val="0"/>
                <w:color w:val="auto"/>
                <w:highlight w:val="none"/>
                <w:lang w:val="en-US" w:eastAsia="zh-CN"/>
              </w:rPr>
              <w:t>18</w:t>
            </w:r>
            <w:r>
              <w:rPr>
                <w:rFonts w:hint="eastAsia"/>
                <w:b w:val="0"/>
                <w:bCs w:val="0"/>
                <w:color w:val="auto"/>
                <w:highlight w:val="none"/>
                <w:lang w:eastAsia="zh-CN"/>
              </w:rPr>
              <w:t>日</w:t>
            </w:r>
            <w:r>
              <w:rPr>
                <w:rFonts w:hint="eastAsia"/>
                <w:b w:val="0"/>
                <w:bCs w:val="0"/>
                <w:color w:val="auto"/>
                <w:highlight w:val="none"/>
              </w:rPr>
              <w:t>，每天上午</w:t>
            </w:r>
            <w:r>
              <w:rPr>
                <w:rFonts w:hint="eastAsia"/>
                <w:b w:val="0"/>
                <w:bCs w:val="0"/>
                <w:color w:val="auto"/>
                <w:highlight w:val="none"/>
                <w:lang w:val="en-US" w:eastAsia="zh-CN"/>
              </w:rPr>
              <w:t>00</w:t>
            </w:r>
            <w:r>
              <w:rPr>
                <w:rFonts w:hint="eastAsia"/>
                <w:b w:val="0"/>
                <w:bCs w:val="0"/>
                <w:color w:val="auto"/>
                <w:highlight w:val="none"/>
              </w:rPr>
              <w:t>:00至1</w:t>
            </w:r>
            <w:r>
              <w:rPr>
                <w:rFonts w:hint="eastAsia"/>
                <w:b w:val="0"/>
                <w:bCs w:val="0"/>
                <w:color w:val="auto"/>
                <w:highlight w:val="none"/>
                <w:lang w:val="en-US" w:eastAsia="zh-CN"/>
              </w:rPr>
              <w:t>4</w:t>
            </w:r>
            <w:r>
              <w:rPr>
                <w:rFonts w:hint="eastAsia"/>
                <w:b w:val="0"/>
                <w:bCs w:val="0"/>
                <w:color w:val="auto"/>
                <w:highlight w:val="none"/>
              </w:rPr>
              <w:t>:</w:t>
            </w:r>
            <w:r>
              <w:rPr>
                <w:rFonts w:hint="eastAsia"/>
                <w:b w:val="0"/>
                <w:bCs w:val="0"/>
                <w:color w:val="auto"/>
                <w:highlight w:val="none"/>
                <w:lang w:val="en-US" w:eastAsia="zh-CN"/>
              </w:rPr>
              <w:t>0</w:t>
            </w:r>
            <w:r>
              <w:rPr>
                <w:rFonts w:hint="eastAsia"/>
                <w:b w:val="0"/>
                <w:bCs w:val="0"/>
                <w:color w:val="auto"/>
                <w:highlight w:val="none"/>
              </w:rPr>
              <w:t>0，</w:t>
            </w:r>
            <w:r>
              <w:rPr>
                <w:rFonts w:hint="eastAsia"/>
                <w:b w:val="0"/>
                <w:bCs w:val="0"/>
                <w:color w:val="auto"/>
                <w:highlight w:val="none"/>
                <w:lang w:eastAsia="zh-CN"/>
              </w:rPr>
              <w:t>1</w:t>
            </w:r>
            <w:r>
              <w:rPr>
                <w:rFonts w:hint="eastAsia"/>
                <w:b w:val="0"/>
                <w:bCs w:val="0"/>
                <w:color w:val="auto"/>
                <w:highlight w:val="none"/>
                <w:lang w:val="en-US" w:eastAsia="zh-CN"/>
              </w:rPr>
              <w:t>4</w:t>
            </w:r>
            <w:r>
              <w:rPr>
                <w:rFonts w:hint="eastAsia"/>
                <w:b w:val="0"/>
                <w:bCs w:val="0"/>
                <w:color w:val="auto"/>
                <w:highlight w:val="none"/>
                <w:lang w:eastAsia="zh-CN"/>
              </w:rPr>
              <w:t>:</w:t>
            </w:r>
            <w:r>
              <w:rPr>
                <w:rFonts w:hint="eastAsia"/>
                <w:b w:val="0"/>
                <w:bCs w:val="0"/>
                <w:color w:val="auto"/>
                <w:highlight w:val="none"/>
                <w:lang w:val="en-US" w:eastAsia="zh-CN"/>
              </w:rPr>
              <w:t>0</w:t>
            </w:r>
            <w:r>
              <w:rPr>
                <w:rFonts w:hint="eastAsia"/>
                <w:b w:val="0"/>
                <w:bCs w:val="0"/>
                <w:color w:val="auto"/>
                <w:highlight w:val="none"/>
                <w:lang w:eastAsia="zh-CN"/>
              </w:rPr>
              <w:t>0</w:t>
            </w:r>
            <w:r>
              <w:rPr>
                <w:rFonts w:hint="eastAsia"/>
                <w:b w:val="0"/>
                <w:bCs w:val="0"/>
                <w:color w:val="auto"/>
                <w:highlight w:val="none"/>
              </w:rPr>
              <w:t>至23:59（北京时间，法定节假日除外）</w:t>
            </w:r>
          </w:p>
          <w:p w14:paraId="6B03BA55">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b w:val="0"/>
                <w:bCs w:val="0"/>
                <w:color w:val="auto"/>
                <w:highlight w:val="none"/>
              </w:rPr>
              <w:t>地点：政采云平台http://www.zcygov.cn</w:t>
            </w:r>
          </w:p>
        </w:tc>
      </w:tr>
      <w:tr w14:paraId="5861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9" w:type="dxa"/>
            <w:tcBorders>
              <w:tl2br w:val="nil"/>
              <w:tr2bl w:val="nil"/>
            </w:tcBorders>
            <w:vAlign w:val="center"/>
          </w:tcPr>
          <w:p w14:paraId="548D78B5">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11</w:t>
            </w:r>
          </w:p>
        </w:tc>
        <w:tc>
          <w:tcPr>
            <w:tcW w:w="1946" w:type="dxa"/>
            <w:tcBorders>
              <w:tl2br w:val="nil"/>
              <w:tr2bl w:val="nil"/>
            </w:tcBorders>
            <w:vAlign w:val="center"/>
          </w:tcPr>
          <w:p w14:paraId="525CA8F9">
            <w:pPr>
              <w:keepNext w:val="0"/>
              <w:keepLines w:val="0"/>
              <w:pageBreakBefore w:val="0"/>
              <w:kinsoku/>
              <w:wordWrap/>
              <w:overflowPunct w:val="0"/>
              <w:topLinePunct w:val="0"/>
              <w:bidi w:val="0"/>
              <w:snapToGrid/>
              <w:spacing w:line="440" w:lineRule="exact"/>
              <w:ind w:left="240" w:hanging="240" w:hangingChars="100"/>
              <w:jc w:val="center"/>
              <w:rPr>
                <w:rFonts w:hint="eastAsia"/>
                <w:b w:val="0"/>
                <w:bCs w:val="0"/>
                <w:color w:val="auto"/>
                <w:highlight w:val="none"/>
              </w:rPr>
            </w:pPr>
            <w:r>
              <w:rPr>
                <w:rFonts w:hint="eastAsia"/>
                <w:b w:val="0"/>
                <w:bCs w:val="0"/>
                <w:color w:val="auto"/>
                <w:highlight w:val="none"/>
              </w:rPr>
              <w:t>响应文件递交截止时间及磋商时间</w:t>
            </w:r>
          </w:p>
        </w:tc>
        <w:tc>
          <w:tcPr>
            <w:tcW w:w="7426" w:type="dxa"/>
            <w:tcBorders>
              <w:tl2br w:val="nil"/>
              <w:tr2bl w:val="nil"/>
            </w:tcBorders>
            <w:vAlign w:val="center"/>
          </w:tcPr>
          <w:p w14:paraId="47CB2BED">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cs="Arial"/>
                <w:b w:val="0"/>
                <w:bCs w:val="0"/>
                <w:color w:val="auto"/>
                <w:highlight w:val="none"/>
                <w:lang w:eastAsia="zh-CN"/>
              </w:rPr>
              <w:t>2026年</w:t>
            </w:r>
            <w:r>
              <w:rPr>
                <w:rFonts w:hint="eastAsia" w:cs="Arial"/>
                <w:b w:val="0"/>
                <w:bCs w:val="0"/>
                <w:color w:val="auto"/>
                <w:highlight w:val="none"/>
                <w:lang w:val="en-US" w:eastAsia="zh-CN"/>
              </w:rPr>
              <w:t>6</w:t>
            </w:r>
            <w:r>
              <w:rPr>
                <w:rFonts w:hint="eastAsia" w:cs="Arial"/>
                <w:b w:val="0"/>
                <w:bCs w:val="0"/>
                <w:color w:val="auto"/>
                <w:highlight w:val="none"/>
                <w:lang w:eastAsia="zh-CN"/>
              </w:rPr>
              <w:t>月</w:t>
            </w:r>
            <w:r>
              <w:rPr>
                <w:rFonts w:hint="eastAsia" w:cs="Arial"/>
                <w:b w:val="0"/>
                <w:bCs w:val="0"/>
                <w:color w:val="auto"/>
                <w:highlight w:val="none"/>
                <w:lang w:val="en-US" w:eastAsia="zh-CN"/>
              </w:rPr>
              <w:t>22</w:t>
            </w:r>
            <w:r>
              <w:rPr>
                <w:rFonts w:hint="eastAsia" w:cs="Arial"/>
                <w:b w:val="0"/>
                <w:bCs w:val="0"/>
                <w:color w:val="auto"/>
                <w:highlight w:val="none"/>
                <w:lang w:eastAsia="zh-CN"/>
              </w:rPr>
              <w:t>日</w:t>
            </w:r>
            <w:r>
              <w:rPr>
                <w:rFonts w:cs="Arial"/>
                <w:b w:val="0"/>
                <w:bCs w:val="0"/>
                <w:color w:val="auto"/>
                <w:highlight w:val="none"/>
              </w:rPr>
              <w:t xml:space="preserve"> </w:t>
            </w:r>
            <w:r>
              <w:rPr>
                <w:rFonts w:hint="eastAsia" w:cs="Arial"/>
                <w:b w:val="0"/>
                <w:bCs w:val="0"/>
                <w:color w:val="auto"/>
                <w:highlight w:val="none"/>
                <w:lang w:val="en-US" w:eastAsia="zh-CN"/>
              </w:rPr>
              <w:t>16</w:t>
            </w:r>
            <w:r>
              <w:rPr>
                <w:rFonts w:cs="Arial"/>
                <w:b w:val="0"/>
                <w:bCs w:val="0"/>
                <w:color w:val="auto"/>
                <w:highlight w:val="none"/>
              </w:rPr>
              <w:t>:00（北京时间）</w:t>
            </w:r>
          </w:p>
        </w:tc>
      </w:tr>
      <w:tr w14:paraId="57EC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1DD3FDD7">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12</w:t>
            </w:r>
          </w:p>
        </w:tc>
        <w:tc>
          <w:tcPr>
            <w:tcW w:w="1946" w:type="dxa"/>
            <w:tcBorders>
              <w:tl2br w:val="nil"/>
              <w:tr2bl w:val="nil"/>
            </w:tcBorders>
            <w:vAlign w:val="center"/>
          </w:tcPr>
          <w:p w14:paraId="68BDF5D9">
            <w:pPr>
              <w:keepNext w:val="0"/>
              <w:keepLines w:val="0"/>
              <w:pageBreakBefore w:val="0"/>
              <w:kinsoku/>
              <w:wordWrap/>
              <w:topLinePunct w:val="0"/>
              <w:bidi w:val="0"/>
              <w:snapToGrid/>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响应文件递交及</w:t>
            </w:r>
          </w:p>
          <w:p w14:paraId="5A8D7061">
            <w:pPr>
              <w:keepNext w:val="0"/>
              <w:keepLines w:val="0"/>
              <w:pageBreakBefore w:val="0"/>
              <w:kinsoku/>
              <w:wordWrap/>
              <w:topLinePunct w:val="0"/>
              <w:bidi w:val="0"/>
              <w:snapToGrid/>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磋商地点</w:t>
            </w:r>
          </w:p>
        </w:tc>
        <w:tc>
          <w:tcPr>
            <w:tcW w:w="7426" w:type="dxa"/>
            <w:tcBorders>
              <w:tl2br w:val="nil"/>
              <w:tr2bl w:val="nil"/>
            </w:tcBorders>
            <w:vAlign w:val="center"/>
          </w:tcPr>
          <w:p w14:paraId="1537EA60">
            <w:pPr>
              <w:keepNext w:val="0"/>
              <w:keepLines w:val="0"/>
              <w:pageBreakBefore w:val="0"/>
              <w:kinsoku/>
              <w:wordWrap/>
              <w:topLinePunct w:val="0"/>
              <w:bidi w:val="0"/>
              <w:snapToGrid/>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响应文件递交：供应商须在响应文件递交截止时间前，将响应文件上传至政采云平台（https://www.zcygov.cn/）对应位置，逾期未上传</w:t>
            </w:r>
            <w:r>
              <w:rPr>
                <w:rFonts w:hint="eastAsia" w:cs="宋体"/>
                <w:color w:val="auto"/>
                <w:highlight w:val="none"/>
                <w:lang w:eastAsia="zh-CN"/>
              </w:rPr>
              <w:t>或</w:t>
            </w:r>
            <w:r>
              <w:rPr>
                <w:rFonts w:hint="eastAsia" w:ascii="宋体" w:hAnsi="宋体" w:eastAsia="宋体" w:cs="宋体"/>
                <w:color w:val="auto"/>
                <w:highlight w:val="none"/>
              </w:rPr>
              <w:t>上传的响应文件不符合磋商文件规定的，采购人及采购代理机构有权予以拒收。</w:t>
            </w:r>
          </w:p>
          <w:p w14:paraId="1B20E48B">
            <w:pPr>
              <w:keepNext w:val="0"/>
              <w:keepLines w:val="0"/>
              <w:pageBreakBefore w:val="0"/>
              <w:kinsoku/>
              <w:wordWrap/>
              <w:topLinePunct w:val="0"/>
              <w:bidi w:val="0"/>
              <w:snapToGrid/>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磋商地点：政采云平台（https://www.zcygov.cn/）不见面开标大厅</w:t>
            </w:r>
          </w:p>
        </w:tc>
      </w:tr>
      <w:tr w14:paraId="2CB6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9" w:type="dxa"/>
            <w:tcBorders>
              <w:tl2br w:val="nil"/>
              <w:tr2bl w:val="nil"/>
            </w:tcBorders>
            <w:vAlign w:val="center"/>
          </w:tcPr>
          <w:p w14:paraId="20D93968">
            <w:pPr>
              <w:keepNext w:val="0"/>
              <w:keepLines w:val="0"/>
              <w:pageBreakBefore w:val="0"/>
              <w:kinsoku/>
              <w:wordWrap/>
              <w:topLinePunct w:val="0"/>
              <w:bidi w:val="0"/>
              <w:snapToGrid/>
              <w:spacing w:line="440" w:lineRule="exact"/>
              <w:jc w:val="center"/>
              <w:textAlignment w:val="center"/>
              <w:rPr>
                <w:rFonts w:hint="eastAsia"/>
                <w:color w:val="auto"/>
                <w:highlight w:val="none"/>
                <w:lang w:bidi="ar"/>
              </w:rPr>
            </w:pPr>
            <w:r>
              <w:rPr>
                <w:color w:val="auto"/>
                <w:highlight w:val="none"/>
                <w:lang w:bidi="ar"/>
              </w:rPr>
              <w:t>13</w:t>
            </w:r>
          </w:p>
        </w:tc>
        <w:tc>
          <w:tcPr>
            <w:tcW w:w="1946" w:type="dxa"/>
            <w:tcBorders>
              <w:tl2br w:val="nil"/>
              <w:tr2bl w:val="nil"/>
            </w:tcBorders>
            <w:vAlign w:val="center"/>
          </w:tcPr>
          <w:p w14:paraId="487C1F60">
            <w:pPr>
              <w:keepNext w:val="0"/>
              <w:keepLines w:val="0"/>
              <w:pageBreakBefore w:val="0"/>
              <w:kinsoku/>
              <w:wordWrap/>
              <w:overflowPunct w:val="0"/>
              <w:topLinePunct w:val="0"/>
              <w:bidi w:val="0"/>
              <w:snapToGrid/>
              <w:spacing w:line="440" w:lineRule="exact"/>
              <w:jc w:val="center"/>
              <w:rPr>
                <w:rFonts w:hint="eastAsia"/>
                <w:b/>
                <w:bCs/>
                <w:color w:val="auto"/>
                <w:highlight w:val="none"/>
              </w:rPr>
            </w:pPr>
            <w:r>
              <w:rPr>
                <w:rFonts w:hint="eastAsia"/>
                <w:color w:val="auto"/>
                <w:highlight w:val="none"/>
              </w:rPr>
              <w:t>磋商有效期</w:t>
            </w:r>
          </w:p>
        </w:tc>
        <w:tc>
          <w:tcPr>
            <w:tcW w:w="7426" w:type="dxa"/>
            <w:tcBorders>
              <w:tl2br w:val="nil"/>
              <w:tr2bl w:val="nil"/>
            </w:tcBorders>
            <w:vAlign w:val="center"/>
          </w:tcPr>
          <w:p w14:paraId="5CCC827C">
            <w:pPr>
              <w:keepNext w:val="0"/>
              <w:keepLines w:val="0"/>
              <w:pageBreakBefore w:val="0"/>
              <w:kinsoku/>
              <w:wordWrap/>
              <w:topLinePunct w:val="0"/>
              <w:bidi w:val="0"/>
              <w:snapToGrid/>
              <w:spacing w:line="440" w:lineRule="exact"/>
              <w:rPr>
                <w:rFonts w:hint="eastAsia" w:eastAsia="宋体" w:cs="Arial"/>
                <w:b/>
                <w:bCs/>
                <w:color w:val="auto"/>
                <w:highlight w:val="none"/>
                <w:lang w:eastAsia="zh-CN"/>
              </w:rPr>
            </w:pPr>
            <w:r>
              <w:rPr>
                <w:rFonts w:ascii="宋体" w:hAnsi="宋体" w:eastAsia="宋体" w:cs="宋体"/>
                <w:color w:val="auto"/>
                <w:sz w:val="24"/>
                <w:szCs w:val="24"/>
                <w:highlight w:val="none"/>
              </w:rPr>
              <w:t>自响应文件递交截止之日起 90 日历天</w:t>
            </w:r>
          </w:p>
        </w:tc>
      </w:tr>
      <w:tr w14:paraId="30A5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9" w:type="dxa"/>
            <w:tcBorders>
              <w:tl2br w:val="nil"/>
              <w:tr2bl w:val="nil"/>
            </w:tcBorders>
            <w:vAlign w:val="center"/>
          </w:tcPr>
          <w:p w14:paraId="79653C82">
            <w:pPr>
              <w:keepNext w:val="0"/>
              <w:keepLines w:val="0"/>
              <w:pageBreakBefore w:val="0"/>
              <w:kinsoku/>
              <w:wordWrap/>
              <w:overflowPunct w:val="0"/>
              <w:topLinePunct w:val="0"/>
              <w:bidi w:val="0"/>
              <w:snapToGrid/>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946" w:type="dxa"/>
            <w:tcBorders>
              <w:tl2br w:val="nil"/>
              <w:tr2bl w:val="nil"/>
            </w:tcBorders>
            <w:vAlign w:val="center"/>
          </w:tcPr>
          <w:p w14:paraId="3654999F">
            <w:pPr>
              <w:keepNext w:val="0"/>
              <w:keepLines w:val="0"/>
              <w:pageBreakBefore w:val="0"/>
              <w:kinsoku/>
              <w:wordWrap/>
              <w:overflowPunct w:val="0"/>
              <w:topLinePunct w:val="0"/>
              <w:bidi w:val="0"/>
              <w:snapToGrid/>
              <w:spacing w:line="440" w:lineRule="exact"/>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合同履约期限</w:t>
            </w:r>
          </w:p>
        </w:tc>
        <w:tc>
          <w:tcPr>
            <w:tcW w:w="7426" w:type="dxa"/>
            <w:tcBorders>
              <w:tl2br w:val="nil"/>
              <w:tr2bl w:val="nil"/>
            </w:tcBorders>
            <w:vAlign w:val="center"/>
          </w:tcPr>
          <w:p w14:paraId="1A4A54D5">
            <w:pPr>
              <w:keepNext w:val="0"/>
              <w:keepLines w:val="0"/>
              <w:pageBreakBefore w:val="0"/>
              <w:kinsoku/>
              <w:wordWrap/>
              <w:overflowPunct w:val="0"/>
              <w:topLinePunct w:val="0"/>
              <w:bidi w:val="0"/>
              <w:snapToGrid/>
              <w:spacing w:line="440" w:lineRule="exact"/>
              <w:jc w:val="both"/>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自合同签订之日起20个日历日内完成施工。</w:t>
            </w:r>
          </w:p>
        </w:tc>
      </w:tr>
      <w:tr w14:paraId="6615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49E960B9">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15</w:t>
            </w:r>
          </w:p>
        </w:tc>
        <w:tc>
          <w:tcPr>
            <w:tcW w:w="1946" w:type="dxa"/>
            <w:tcBorders>
              <w:tl2br w:val="nil"/>
              <w:tr2bl w:val="nil"/>
            </w:tcBorders>
            <w:vAlign w:val="center"/>
          </w:tcPr>
          <w:p w14:paraId="19306EC7">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lang w:val="en-US" w:eastAsia="zh-CN"/>
              </w:rPr>
              <w:t>工程</w:t>
            </w:r>
            <w:r>
              <w:rPr>
                <w:rFonts w:hint="eastAsia"/>
                <w:color w:val="auto"/>
                <w:highlight w:val="none"/>
              </w:rPr>
              <w:t>地点</w:t>
            </w:r>
          </w:p>
        </w:tc>
        <w:tc>
          <w:tcPr>
            <w:tcW w:w="7426" w:type="dxa"/>
            <w:tcBorders>
              <w:tl2br w:val="nil"/>
              <w:tr2bl w:val="nil"/>
            </w:tcBorders>
            <w:vAlign w:val="center"/>
          </w:tcPr>
          <w:p w14:paraId="72168C66">
            <w:pPr>
              <w:keepNext w:val="0"/>
              <w:keepLines w:val="0"/>
              <w:pageBreakBefore w:val="0"/>
              <w:kinsoku/>
              <w:wordWrap/>
              <w:topLinePunct w:val="0"/>
              <w:bidi w:val="0"/>
              <w:snapToGrid/>
              <w:spacing w:line="440" w:lineRule="exact"/>
              <w:rPr>
                <w:rFonts w:hint="eastAsia" w:eastAsia="宋体"/>
                <w:color w:val="auto"/>
                <w:highlight w:val="none"/>
                <w:lang w:eastAsia="zh-CN"/>
              </w:rPr>
            </w:pPr>
            <w:r>
              <w:rPr>
                <w:rFonts w:ascii="宋体" w:hAnsi="宋体" w:eastAsia="宋体" w:cs="宋体"/>
                <w:color w:val="auto"/>
                <w:sz w:val="24"/>
                <w:szCs w:val="24"/>
                <w:highlight w:val="none"/>
              </w:rPr>
              <w:t>采购人指定地点</w:t>
            </w:r>
          </w:p>
        </w:tc>
      </w:tr>
      <w:tr w14:paraId="6CA5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54E6FF47">
            <w:pPr>
              <w:keepNext w:val="0"/>
              <w:keepLines w:val="0"/>
              <w:pageBreakBefore w:val="0"/>
              <w:kinsoku/>
              <w:wordWrap/>
              <w:topLinePunct w:val="0"/>
              <w:bidi w:val="0"/>
              <w:snapToGrid/>
              <w:spacing w:line="440" w:lineRule="exact"/>
              <w:jc w:val="center"/>
              <w:textAlignment w:val="center"/>
              <w:rPr>
                <w:rFonts w:hint="eastAsia"/>
                <w:color w:val="auto"/>
                <w:highlight w:val="none"/>
                <w:lang w:bidi="ar"/>
              </w:rPr>
            </w:pPr>
            <w:r>
              <w:rPr>
                <w:color w:val="auto"/>
                <w:highlight w:val="none"/>
                <w:lang w:bidi="ar"/>
              </w:rPr>
              <w:t>16</w:t>
            </w:r>
          </w:p>
        </w:tc>
        <w:tc>
          <w:tcPr>
            <w:tcW w:w="1946" w:type="dxa"/>
            <w:tcBorders>
              <w:tl2br w:val="nil"/>
              <w:tr2bl w:val="nil"/>
            </w:tcBorders>
            <w:vAlign w:val="center"/>
          </w:tcPr>
          <w:p w14:paraId="3CDC1B76">
            <w:pPr>
              <w:keepNext w:val="0"/>
              <w:keepLines w:val="0"/>
              <w:pageBreakBefore w:val="0"/>
              <w:kinsoku/>
              <w:wordWrap/>
              <w:overflowPunct w:val="0"/>
              <w:topLinePunct w:val="0"/>
              <w:bidi w:val="0"/>
              <w:snapToGrid/>
              <w:spacing w:line="440" w:lineRule="exact"/>
              <w:jc w:val="center"/>
              <w:rPr>
                <w:rFonts w:hint="default" w:eastAsia="宋体"/>
                <w:color w:val="auto"/>
                <w:highlight w:val="none"/>
                <w:lang w:val="en-US" w:eastAsia="zh-CN"/>
              </w:rPr>
            </w:pPr>
            <w:r>
              <w:rPr>
                <w:rFonts w:hint="eastAsia"/>
                <w:color w:val="auto"/>
                <w:highlight w:val="none"/>
                <w:lang w:val="en-US" w:eastAsia="zh-CN"/>
              </w:rPr>
              <w:t>质量要求</w:t>
            </w:r>
          </w:p>
        </w:tc>
        <w:tc>
          <w:tcPr>
            <w:tcW w:w="7426" w:type="dxa"/>
            <w:tcBorders>
              <w:tl2br w:val="nil"/>
              <w:tr2bl w:val="nil"/>
            </w:tcBorders>
            <w:vAlign w:val="center"/>
          </w:tcPr>
          <w:p w14:paraId="63166172">
            <w:pPr>
              <w:keepNext w:val="0"/>
              <w:keepLines w:val="0"/>
              <w:pageBreakBefore w:val="0"/>
              <w:kinsoku/>
              <w:wordWrap/>
              <w:topLinePunct w:val="0"/>
              <w:bidi w:val="0"/>
              <w:snapToGrid/>
              <w:spacing w:line="440" w:lineRule="exact"/>
              <w:rPr>
                <w:rFonts w:hint="eastAsia" w:eastAsia="宋体"/>
                <w:color w:val="auto"/>
                <w:highlight w:val="none"/>
                <w:lang w:eastAsia="zh-CN"/>
              </w:rPr>
            </w:pPr>
            <w:r>
              <w:rPr>
                <w:rFonts w:hint="eastAsia" w:eastAsia="宋体"/>
                <w:color w:val="auto"/>
                <w:highlight w:val="none"/>
                <w:lang w:eastAsia="zh-CN"/>
              </w:rPr>
              <w:t>合格，符合国家现行《建筑工程施工质量验收统一标准》及相关专业工程施工质量验收规范的合格标准</w:t>
            </w:r>
          </w:p>
        </w:tc>
      </w:tr>
      <w:tr w14:paraId="45AE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9" w:type="dxa"/>
            <w:tcBorders>
              <w:tl2br w:val="nil"/>
              <w:tr2bl w:val="nil"/>
            </w:tcBorders>
            <w:vAlign w:val="center"/>
          </w:tcPr>
          <w:p w14:paraId="19ECD0C7">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17</w:t>
            </w:r>
          </w:p>
        </w:tc>
        <w:tc>
          <w:tcPr>
            <w:tcW w:w="1946" w:type="dxa"/>
            <w:tcBorders>
              <w:tl2br w:val="nil"/>
              <w:tr2bl w:val="nil"/>
            </w:tcBorders>
            <w:vAlign w:val="center"/>
          </w:tcPr>
          <w:p w14:paraId="2D121492">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评标方法</w:t>
            </w:r>
          </w:p>
        </w:tc>
        <w:tc>
          <w:tcPr>
            <w:tcW w:w="7426" w:type="dxa"/>
            <w:tcBorders>
              <w:tl2br w:val="nil"/>
              <w:tr2bl w:val="nil"/>
            </w:tcBorders>
            <w:vAlign w:val="center"/>
          </w:tcPr>
          <w:p w14:paraId="29ABFA4F">
            <w:pPr>
              <w:keepNext w:val="0"/>
              <w:keepLines w:val="0"/>
              <w:pageBreakBefore w:val="0"/>
              <w:kinsoku/>
              <w:wordWrap/>
              <w:overflowPunct w:val="0"/>
              <w:topLinePunct w:val="0"/>
              <w:bidi w:val="0"/>
              <w:snapToGrid/>
              <w:spacing w:line="440" w:lineRule="exact"/>
              <w:rPr>
                <w:rFonts w:hint="eastAsia"/>
                <w:color w:val="auto"/>
                <w:highlight w:val="none"/>
              </w:rPr>
            </w:pPr>
            <w:r>
              <w:rPr>
                <w:rFonts w:hint="eastAsia"/>
                <w:color w:val="auto"/>
                <w:highlight w:val="none"/>
              </w:rPr>
              <w:t>综合评分法</w:t>
            </w:r>
          </w:p>
        </w:tc>
      </w:tr>
      <w:tr w14:paraId="5E54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9" w:type="dxa"/>
            <w:vMerge w:val="restart"/>
            <w:tcBorders>
              <w:tl2br w:val="nil"/>
              <w:tr2bl w:val="nil"/>
            </w:tcBorders>
            <w:vAlign w:val="center"/>
          </w:tcPr>
          <w:p w14:paraId="51238D34">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rPr>
              <w:t>18</w:t>
            </w:r>
          </w:p>
        </w:tc>
        <w:tc>
          <w:tcPr>
            <w:tcW w:w="1946" w:type="dxa"/>
            <w:vMerge w:val="restart"/>
            <w:tcBorders>
              <w:tl2br w:val="nil"/>
              <w:tr2bl w:val="nil"/>
            </w:tcBorders>
            <w:vAlign w:val="center"/>
          </w:tcPr>
          <w:p w14:paraId="5BECE1A0">
            <w:pPr>
              <w:keepNext w:val="0"/>
              <w:keepLines w:val="0"/>
              <w:pageBreakBefore w:val="0"/>
              <w:kinsoku/>
              <w:wordWrap/>
              <w:overflowPunct w:val="0"/>
              <w:topLinePunct w:val="0"/>
              <w:bidi w:val="0"/>
              <w:snapToGrid/>
              <w:spacing w:line="440" w:lineRule="exact"/>
              <w:jc w:val="center"/>
              <w:rPr>
                <w:rFonts w:hint="eastAsia"/>
                <w:b/>
                <w:bCs/>
                <w:color w:val="auto"/>
                <w:highlight w:val="none"/>
              </w:rPr>
            </w:pPr>
            <w:r>
              <w:rPr>
                <w:rFonts w:hint="eastAsia"/>
                <w:b/>
                <w:bCs/>
                <w:color w:val="auto"/>
                <w:highlight w:val="none"/>
                <w:lang w:val="en-US" w:eastAsia="zh-CN"/>
              </w:rPr>
              <w:t>磋商</w:t>
            </w:r>
            <w:r>
              <w:rPr>
                <w:rFonts w:hint="eastAsia"/>
                <w:b/>
                <w:bCs/>
                <w:color w:val="auto"/>
                <w:highlight w:val="none"/>
              </w:rPr>
              <w:t>保证金</w:t>
            </w:r>
          </w:p>
        </w:tc>
        <w:tc>
          <w:tcPr>
            <w:tcW w:w="7426" w:type="dxa"/>
            <w:tcBorders>
              <w:tl2br w:val="nil"/>
              <w:tr2bl w:val="nil"/>
            </w:tcBorders>
            <w:vAlign w:val="center"/>
          </w:tcPr>
          <w:p w14:paraId="299899E2">
            <w:pPr>
              <w:keepNext w:val="0"/>
              <w:keepLines w:val="0"/>
              <w:pageBreakBefore w:val="0"/>
              <w:kinsoku/>
              <w:wordWrap/>
              <w:overflowPunct w:val="0"/>
              <w:topLinePunct w:val="0"/>
              <w:bidi w:val="0"/>
              <w:snapToGrid/>
              <w:spacing w:line="440" w:lineRule="exact"/>
              <w:rPr>
                <w:rFonts w:hint="default" w:eastAsia="宋体"/>
                <w:b/>
                <w:bCs/>
                <w:color w:val="auto"/>
                <w:highlight w:val="none"/>
                <w:lang w:val="en-US" w:eastAsia="zh-CN"/>
              </w:rPr>
            </w:pPr>
            <w:r>
              <w:rPr>
                <w:rFonts w:hint="eastAsia"/>
                <w:b/>
                <w:bCs/>
                <w:color w:val="auto"/>
                <w:highlight w:val="none"/>
                <w:lang w:val="en-US" w:eastAsia="zh-CN"/>
              </w:rPr>
              <w:t>保证金</w:t>
            </w:r>
            <w:r>
              <w:rPr>
                <w:rFonts w:hint="eastAsia"/>
                <w:b/>
                <w:bCs/>
                <w:color w:val="auto"/>
                <w:highlight w:val="none"/>
              </w:rPr>
              <w:t>金额：</w:t>
            </w:r>
            <w:r>
              <w:rPr>
                <w:rFonts w:hint="eastAsia"/>
                <w:b/>
                <w:bCs/>
                <w:color w:val="auto"/>
                <w:highlight w:val="none"/>
                <w:lang w:val="en-US" w:eastAsia="zh-CN"/>
              </w:rPr>
              <w:t>2900.00（贰仟玖佰元整）</w:t>
            </w:r>
          </w:p>
        </w:tc>
      </w:tr>
      <w:tr w14:paraId="5BB9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79" w:type="dxa"/>
            <w:vMerge w:val="continue"/>
            <w:tcBorders>
              <w:tl2br w:val="nil"/>
              <w:tr2bl w:val="nil"/>
            </w:tcBorders>
            <w:vAlign w:val="center"/>
          </w:tcPr>
          <w:p w14:paraId="5FA8F2CB">
            <w:pPr>
              <w:keepNext w:val="0"/>
              <w:keepLines w:val="0"/>
              <w:pageBreakBefore w:val="0"/>
              <w:kinsoku/>
              <w:wordWrap/>
              <w:topLinePunct w:val="0"/>
              <w:bidi w:val="0"/>
              <w:snapToGrid/>
              <w:spacing w:line="440" w:lineRule="exact"/>
              <w:jc w:val="center"/>
              <w:textAlignment w:val="center"/>
              <w:rPr>
                <w:rFonts w:hint="eastAsia"/>
                <w:color w:val="auto"/>
                <w:highlight w:val="none"/>
                <w:lang w:bidi="ar"/>
              </w:rPr>
            </w:pPr>
          </w:p>
        </w:tc>
        <w:tc>
          <w:tcPr>
            <w:tcW w:w="1946" w:type="dxa"/>
            <w:vMerge w:val="continue"/>
            <w:tcBorders>
              <w:tl2br w:val="nil"/>
              <w:tr2bl w:val="nil"/>
            </w:tcBorders>
            <w:vAlign w:val="center"/>
          </w:tcPr>
          <w:p w14:paraId="6F77508D">
            <w:pPr>
              <w:keepNext w:val="0"/>
              <w:keepLines w:val="0"/>
              <w:pageBreakBefore w:val="0"/>
              <w:kinsoku/>
              <w:wordWrap/>
              <w:overflowPunct w:val="0"/>
              <w:topLinePunct w:val="0"/>
              <w:bidi w:val="0"/>
              <w:snapToGrid/>
              <w:spacing w:line="440" w:lineRule="exact"/>
              <w:jc w:val="center"/>
              <w:rPr>
                <w:rFonts w:hint="eastAsia"/>
                <w:b/>
                <w:bCs/>
                <w:color w:val="auto"/>
                <w:highlight w:val="none"/>
              </w:rPr>
            </w:pPr>
          </w:p>
        </w:tc>
        <w:tc>
          <w:tcPr>
            <w:tcW w:w="7426" w:type="dxa"/>
            <w:tcBorders>
              <w:tl2br w:val="nil"/>
              <w:tr2bl w:val="nil"/>
            </w:tcBorders>
            <w:vAlign w:val="center"/>
          </w:tcPr>
          <w:p w14:paraId="4F5A2643">
            <w:pPr>
              <w:keepNext w:val="0"/>
              <w:keepLines w:val="0"/>
              <w:pageBreakBefore w:val="0"/>
              <w:numPr>
                <w:ilvl w:val="0"/>
                <w:numId w:val="7"/>
              </w:numPr>
              <w:kinsoku/>
              <w:wordWrap/>
              <w:overflowPunct w:val="0"/>
              <w:topLinePunct w:val="0"/>
              <w:bidi w:val="0"/>
              <w:snapToGrid/>
              <w:spacing w:line="440" w:lineRule="exact"/>
              <w:rPr>
                <w:rFonts w:hint="eastAsia"/>
                <w:b/>
                <w:bCs/>
                <w:color w:val="auto"/>
                <w:highlight w:val="none"/>
              </w:rPr>
            </w:pPr>
            <w:r>
              <w:rPr>
                <w:rFonts w:hint="eastAsia"/>
                <w:b/>
                <w:bCs/>
                <w:color w:val="auto"/>
                <w:highlight w:val="none"/>
              </w:rPr>
              <w:t>保证金缴纳方式：</w:t>
            </w:r>
          </w:p>
          <w:p w14:paraId="6C60F91A">
            <w:pPr>
              <w:keepNext w:val="0"/>
              <w:keepLines w:val="0"/>
              <w:pageBreakBefore w:val="0"/>
              <w:numPr>
                <w:ilvl w:val="0"/>
                <w:numId w:val="0"/>
              </w:numPr>
              <w:kinsoku/>
              <w:wordWrap/>
              <w:topLinePunct w:val="0"/>
              <w:bidi w:val="0"/>
              <w:snapToGrid/>
              <w:spacing w:line="440" w:lineRule="exact"/>
              <w:jc w:val="both"/>
              <w:rPr>
                <w:rFonts w:hint="eastAsia"/>
                <w:b/>
                <w:bCs/>
                <w:color w:val="auto"/>
                <w:kern w:val="2"/>
                <w:highlight w:val="none"/>
              </w:rPr>
            </w:pPr>
            <w:r>
              <w:rPr>
                <w:rFonts w:hint="eastAsia"/>
                <w:b/>
                <w:bCs/>
                <w:color w:val="auto"/>
                <w:kern w:val="2"/>
                <w:highlight w:val="none"/>
              </w:rPr>
              <w:t>1. 电汇、网银转账等非现金形式</w:t>
            </w:r>
          </w:p>
          <w:p w14:paraId="52FDCC1A">
            <w:pPr>
              <w:keepNext w:val="0"/>
              <w:keepLines w:val="0"/>
              <w:pageBreakBefore w:val="0"/>
              <w:numPr>
                <w:ilvl w:val="0"/>
                <w:numId w:val="0"/>
              </w:numPr>
              <w:kinsoku/>
              <w:wordWrap/>
              <w:topLinePunct w:val="0"/>
              <w:bidi w:val="0"/>
              <w:snapToGrid/>
              <w:spacing w:line="440" w:lineRule="exact"/>
              <w:jc w:val="both"/>
              <w:rPr>
                <w:rFonts w:hint="eastAsia"/>
                <w:b/>
                <w:bCs/>
                <w:color w:val="auto"/>
                <w:kern w:val="2"/>
                <w:highlight w:val="none"/>
              </w:rPr>
            </w:pPr>
            <w:r>
              <w:rPr>
                <w:rFonts w:hint="eastAsia"/>
                <w:b/>
                <w:bCs/>
                <w:color w:val="auto"/>
                <w:kern w:val="2"/>
                <w:highlight w:val="none"/>
              </w:rPr>
              <w:t>缴纳账户信息：</w:t>
            </w:r>
          </w:p>
          <w:p w14:paraId="75D29CA7">
            <w:pPr>
              <w:keepNext w:val="0"/>
              <w:keepLines w:val="0"/>
              <w:pageBreakBefore w:val="0"/>
              <w:numPr>
                <w:ilvl w:val="0"/>
                <w:numId w:val="0"/>
              </w:numPr>
              <w:kinsoku/>
              <w:wordWrap/>
              <w:topLinePunct w:val="0"/>
              <w:bidi w:val="0"/>
              <w:snapToGrid/>
              <w:spacing w:line="440" w:lineRule="exact"/>
              <w:jc w:val="both"/>
              <w:rPr>
                <w:rFonts w:hint="eastAsia" w:eastAsia="宋体"/>
                <w:b/>
                <w:bCs/>
                <w:color w:val="auto"/>
                <w:kern w:val="2"/>
                <w:highlight w:val="none"/>
                <w:lang w:eastAsia="zh-CN"/>
              </w:rPr>
            </w:pPr>
            <w:r>
              <w:rPr>
                <w:rFonts w:hint="eastAsia"/>
                <w:b/>
                <w:bCs/>
                <w:color w:val="auto"/>
                <w:kern w:val="2"/>
                <w:highlight w:val="none"/>
              </w:rPr>
              <w:t>账户名称：</w:t>
            </w:r>
            <w:r>
              <w:rPr>
                <w:rFonts w:hint="eastAsia"/>
                <w:b/>
                <w:bCs/>
                <w:color w:val="auto"/>
                <w:kern w:val="2"/>
                <w:highlight w:val="none"/>
                <w:lang w:eastAsia="zh-CN"/>
              </w:rPr>
              <w:t>新疆宏成润和工程管理有限公司</w:t>
            </w:r>
          </w:p>
          <w:p w14:paraId="1C242D7E">
            <w:pPr>
              <w:keepNext w:val="0"/>
              <w:keepLines w:val="0"/>
              <w:pageBreakBefore w:val="0"/>
              <w:numPr>
                <w:ilvl w:val="0"/>
                <w:numId w:val="0"/>
              </w:numPr>
              <w:kinsoku/>
              <w:wordWrap/>
              <w:topLinePunct w:val="0"/>
              <w:bidi w:val="0"/>
              <w:snapToGrid/>
              <w:spacing w:line="440" w:lineRule="exact"/>
              <w:jc w:val="both"/>
              <w:rPr>
                <w:rFonts w:hint="eastAsia"/>
                <w:b/>
                <w:bCs/>
                <w:color w:val="auto"/>
                <w:kern w:val="2"/>
                <w:highlight w:val="none"/>
              </w:rPr>
            </w:pPr>
            <w:r>
              <w:rPr>
                <w:rFonts w:hint="eastAsia"/>
                <w:b/>
                <w:bCs/>
                <w:color w:val="auto"/>
                <w:kern w:val="2"/>
                <w:highlight w:val="none"/>
              </w:rPr>
              <w:t>开户银行：乌鲁木齐银行股份有限公司乌鲁木齐龙盛街支行</w:t>
            </w:r>
          </w:p>
          <w:p w14:paraId="62C61682">
            <w:pPr>
              <w:keepNext w:val="0"/>
              <w:keepLines w:val="0"/>
              <w:pageBreakBefore w:val="0"/>
              <w:numPr>
                <w:ilvl w:val="0"/>
                <w:numId w:val="0"/>
              </w:numPr>
              <w:kinsoku/>
              <w:wordWrap/>
              <w:topLinePunct w:val="0"/>
              <w:bidi w:val="0"/>
              <w:snapToGrid/>
              <w:spacing w:line="440" w:lineRule="exact"/>
              <w:jc w:val="both"/>
              <w:rPr>
                <w:rFonts w:hint="eastAsia"/>
                <w:b/>
                <w:bCs/>
                <w:color w:val="auto"/>
                <w:kern w:val="2"/>
                <w:highlight w:val="none"/>
              </w:rPr>
            </w:pPr>
            <w:r>
              <w:rPr>
                <w:rFonts w:hint="eastAsia"/>
                <w:b/>
                <w:bCs/>
                <w:color w:val="auto"/>
                <w:kern w:val="2"/>
                <w:highlight w:val="none"/>
              </w:rPr>
              <w:t>银行行号：313881000867</w:t>
            </w:r>
          </w:p>
          <w:p w14:paraId="4CB3B858">
            <w:pPr>
              <w:keepNext w:val="0"/>
              <w:keepLines w:val="0"/>
              <w:pageBreakBefore w:val="0"/>
              <w:numPr>
                <w:ilvl w:val="0"/>
                <w:numId w:val="0"/>
              </w:numPr>
              <w:kinsoku/>
              <w:wordWrap/>
              <w:topLinePunct w:val="0"/>
              <w:bidi w:val="0"/>
              <w:snapToGrid/>
              <w:spacing w:line="440" w:lineRule="exact"/>
              <w:jc w:val="both"/>
              <w:rPr>
                <w:rFonts w:hint="eastAsia"/>
                <w:b/>
                <w:bCs/>
                <w:color w:val="auto"/>
                <w:kern w:val="2"/>
                <w:highlight w:val="none"/>
              </w:rPr>
            </w:pPr>
            <w:r>
              <w:rPr>
                <w:rFonts w:hint="eastAsia"/>
                <w:b/>
                <w:bCs/>
                <w:color w:val="auto"/>
                <w:kern w:val="2"/>
                <w:highlight w:val="none"/>
              </w:rPr>
              <w:t>银行账号：0000020070110050045822</w:t>
            </w:r>
          </w:p>
          <w:p w14:paraId="05159C51">
            <w:pPr>
              <w:keepNext w:val="0"/>
              <w:keepLines w:val="0"/>
              <w:pageBreakBefore w:val="0"/>
              <w:numPr>
                <w:ilvl w:val="0"/>
                <w:numId w:val="0"/>
              </w:numPr>
              <w:kinsoku/>
              <w:wordWrap/>
              <w:topLinePunct w:val="0"/>
              <w:bidi w:val="0"/>
              <w:snapToGrid/>
              <w:spacing w:line="440" w:lineRule="exact"/>
              <w:jc w:val="both"/>
              <w:rPr>
                <w:rFonts w:hint="eastAsia"/>
                <w:b/>
                <w:bCs/>
                <w:color w:val="auto"/>
                <w:kern w:val="2"/>
                <w:highlight w:val="none"/>
              </w:rPr>
            </w:pPr>
            <w:r>
              <w:rPr>
                <w:rFonts w:hint="eastAsia"/>
                <w:b/>
                <w:bCs/>
                <w:color w:val="auto"/>
                <w:kern w:val="2"/>
                <w:highlight w:val="none"/>
              </w:rPr>
              <w:t>注：汇款单备注栏须注明 “</w:t>
            </w:r>
            <w:r>
              <w:rPr>
                <w:rFonts w:hint="eastAsia"/>
                <w:b/>
                <w:bCs/>
                <w:color w:val="auto"/>
                <w:kern w:val="2"/>
                <w:highlight w:val="none"/>
                <w:lang w:eastAsia="zh-CN"/>
              </w:rPr>
              <w:t>XJHCRH-2026-118</w:t>
            </w:r>
            <w:r>
              <w:rPr>
                <w:rFonts w:hint="eastAsia"/>
                <w:b/>
                <w:bCs/>
                <w:color w:val="auto"/>
                <w:kern w:val="2"/>
                <w:highlight w:val="none"/>
                <w:lang w:val="en-US" w:eastAsia="zh-CN"/>
              </w:rPr>
              <w:t>-1</w:t>
            </w:r>
            <w:r>
              <w:rPr>
                <w:rFonts w:hint="eastAsia"/>
                <w:b/>
                <w:bCs/>
                <w:color w:val="auto"/>
                <w:kern w:val="2"/>
                <w:highlight w:val="none"/>
              </w:rPr>
              <w:t>项目 磋商保证金”</w:t>
            </w:r>
          </w:p>
          <w:p w14:paraId="008B2AEB">
            <w:pPr>
              <w:keepNext w:val="0"/>
              <w:keepLines w:val="0"/>
              <w:pageBreakBefore w:val="0"/>
              <w:numPr>
                <w:ilvl w:val="0"/>
                <w:numId w:val="0"/>
              </w:numPr>
              <w:kinsoku/>
              <w:wordWrap/>
              <w:topLinePunct w:val="0"/>
              <w:bidi w:val="0"/>
              <w:snapToGrid/>
              <w:spacing w:line="440" w:lineRule="exact"/>
              <w:jc w:val="both"/>
              <w:rPr>
                <w:rFonts w:hint="eastAsia"/>
                <w:b/>
                <w:bCs/>
                <w:color w:val="auto"/>
                <w:kern w:val="2"/>
                <w:highlight w:val="none"/>
              </w:rPr>
            </w:pPr>
            <w:r>
              <w:rPr>
                <w:rFonts w:hint="eastAsia"/>
                <w:b/>
                <w:bCs/>
                <w:color w:val="auto"/>
                <w:kern w:val="2"/>
                <w:highlight w:val="none"/>
              </w:rPr>
              <w:t>财务对接地址：</w:t>
            </w:r>
            <w:r>
              <w:rPr>
                <w:rFonts w:hint="eastAsia"/>
                <w:b/>
                <w:bCs/>
                <w:color w:val="auto"/>
                <w:kern w:val="2"/>
                <w:highlight w:val="none"/>
                <w:lang w:val="zh-CN" w:eastAsia="zh-CN"/>
              </w:rPr>
              <w:t>新疆乌鲁木齐市水磨沟区西虹东路64号锦城大厦9层</w:t>
            </w:r>
            <w:r>
              <w:rPr>
                <w:rFonts w:hint="eastAsia"/>
                <w:b/>
                <w:bCs/>
                <w:color w:val="auto"/>
                <w:kern w:val="2"/>
                <w:highlight w:val="none"/>
              </w:rPr>
              <w:t>财务室</w:t>
            </w:r>
          </w:p>
          <w:p w14:paraId="4326E199">
            <w:pPr>
              <w:keepNext w:val="0"/>
              <w:keepLines w:val="0"/>
              <w:pageBreakBefore w:val="0"/>
              <w:numPr>
                <w:ilvl w:val="0"/>
                <w:numId w:val="0"/>
              </w:numPr>
              <w:kinsoku/>
              <w:wordWrap/>
              <w:topLinePunct w:val="0"/>
              <w:bidi w:val="0"/>
              <w:snapToGrid/>
              <w:spacing w:line="440" w:lineRule="exact"/>
              <w:jc w:val="both"/>
              <w:rPr>
                <w:rFonts w:hint="eastAsia" w:eastAsia="宋体"/>
                <w:b/>
                <w:bCs/>
                <w:color w:val="auto"/>
                <w:kern w:val="2"/>
                <w:highlight w:val="none"/>
                <w:lang w:val="en-US" w:eastAsia="zh-CN"/>
              </w:rPr>
            </w:pPr>
            <w:r>
              <w:rPr>
                <w:rFonts w:hint="eastAsia"/>
                <w:b/>
                <w:bCs/>
                <w:color w:val="auto"/>
                <w:kern w:val="2"/>
                <w:highlight w:val="none"/>
              </w:rPr>
              <w:t>财务联系电话：</w:t>
            </w:r>
            <w:r>
              <w:rPr>
                <w:rFonts w:hint="eastAsia"/>
                <w:b/>
                <w:bCs/>
                <w:color w:val="auto"/>
                <w:kern w:val="2"/>
                <w:highlight w:val="none"/>
                <w:lang w:eastAsia="zh-CN"/>
              </w:rPr>
              <w:t>15899452715</w:t>
            </w:r>
          </w:p>
          <w:p w14:paraId="460847DC">
            <w:pPr>
              <w:keepNext w:val="0"/>
              <w:keepLines w:val="0"/>
              <w:pageBreakBefore w:val="0"/>
              <w:numPr>
                <w:ilvl w:val="0"/>
                <w:numId w:val="8"/>
              </w:numPr>
              <w:kinsoku/>
              <w:wordWrap/>
              <w:topLinePunct w:val="0"/>
              <w:bidi w:val="0"/>
              <w:snapToGrid/>
              <w:spacing w:line="440" w:lineRule="exact"/>
              <w:jc w:val="both"/>
              <w:rPr>
                <w:rFonts w:hint="eastAsia"/>
                <w:b/>
                <w:bCs/>
                <w:color w:val="auto"/>
                <w:kern w:val="2"/>
                <w:highlight w:val="none"/>
              </w:rPr>
            </w:pPr>
            <w:r>
              <w:rPr>
                <w:rFonts w:hint="eastAsia"/>
                <w:b/>
                <w:bCs/>
                <w:color w:val="auto"/>
                <w:kern w:val="2"/>
                <w:highlight w:val="none"/>
              </w:rPr>
              <w:t>保函形式</w:t>
            </w:r>
          </w:p>
          <w:p w14:paraId="46B9A9F3">
            <w:pPr>
              <w:keepNext w:val="0"/>
              <w:keepLines w:val="0"/>
              <w:pageBreakBefore w:val="0"/>
              <w:kinsoku/>
              <w:wordWrap/>
              <w:topLinePunct w:val="0"/>
              <w:bidi w:val="0"/>
              <w:snapToGrid/>
              <w:spacing w:line="440" w:lineRule="exact"/>
              <w:ind w:firstLine="240" w:firstLineChars="100"/>
              <w:jc w:val="both"/>
              <w:rPr>
                <w:rFonts w:hint="eastAsia"/>
                <w:b/>
                <w:bCs/>
                <w:color w:val="auto"/>
                <w:highlight w:val="none"/>
              </w:rPr>
            </w:pPr>
            <w:r>
              <w:rPr>
                <w:rFonts w:ascii="宋体" w:hAnsi="宋体" w:eastAsia="宋体" w:cs="宋体"/>
                <w:color w:val="auto"/>
                <w:sz w:val="24"/>
                <w:szCs w:val="24"/>
                <w:highlight w:val="none"/>
              </w:rPr>
              <w:t>供应商须将符合要求的保函扫描件编入电子响应文件相应位置</w:t>
            </w:r>
          </w:p>
        </w:tc>
      </w:tr>
      <w:tr w14:paraId="7C29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9" w:type="dxa"/>
            <w:vMerge w:val="continue"/>
            <w:tcBorders>
              <w:tl2br w:val="nil"/>
              <w:tr2bl w:val="nil"/>
            </w:tcBorders>
            <w:vAlign w:val="center"/>
          </w:tcPr>
          <w:p w14:paraId="7B3265BC">
            <w:pPr>
              <w:keepNext w:val="0"/>
              <w:keepLines w:val="0"/>
              <w:pageBreakBefore w:val="0"/>
              <w:kinsoku/>
              <w:wordWrap/>
              <w:topLinePunct w:val="0"/>
              <w:bidi w:val="0"/>
              <w:snapToGrid/>
              <w:spacing w:line="440" w:lineRule="exact"/>
              <w:jc w:val="center"/>
              <w:textAlignment w:val="center"/>
              <w:rPr>
                <w:rFonts w:hint="eastAsia"/>
                <w:color w:val="auto"/>
                <w:highlight w:val="none"/>
                <w:lang w:bidi="ar"/>
              </w:rPr>
            </w:pPr>
          </w:p>
        </w:tc>
        <w:tc>
          <w:tcPr>
            <w:tcW w:w="1946" w:type="dxa"/>
            <w:vMerge w:val="continue"/>
            <w:tcBorders>
              <w:tl2br w:val="nil"/>
              <w:tr2bl w:val="nil"/>
            </w:tcBorders>
            <w:vAlign w:val="center"/>
          </w:tcPr>
          <w:p w14:paraId="5775C718">
            <w:pPr>
              <w:keepNext w:val="0"/>
              <w:keepLines w:val="0"/>
              <w:pageBreakBefore w:val="0"/>
              <w:kinsoku/>
              <w:wordWrap/>
              <w:overflowPunct w:val="0"/>
              <w:topLinePunct w:val="0"/>
              <w:bidi w:val="0"/>
              <w:snapToGrid/>
              <w:spacing w:line="440" w:lineRule="exact"/>
              <w:jc w:val="center"/>
              <w:rPr>
                <w:rFonts w:hint="eastAsia"/>
                <w:b/>
                <w:bCs/>
                <w:color w:val="auto"/>
                <w:highlight w:val="none"/>
              </w:rPr>
            </w:pPr>
          </w:p>
        </w:tc>
        <w:tc>
          <w:tcPr>
            <w:tcW w:w="7426" w:type="dxa"/>
            <w:tcBorders>
              <w:tl2br w:val="nil"/>
              <w:tr2bl w:val="nil"/>
            </w:tcBorders>
            <w:vAlign w:val="center"/>
          </w:tcPr>
          <w:p w14:paraId="5C63CFD7">
            <w:pPr>
              <w:keepNext w:val="0"/>
              <w:keepLines w:val="0"/>
              <w:pageBreakBefore w:val="0"/>
              <w:kinsoku/>
              <w:wordWrap/>
              <w:topLinePunct w:val="0"/>
              <w:bidi w:val="0"/>
              <w:snapToGrid/>
              <w:spacing w:line="440" w:lineRule="exact"/>
              <w:rPr>
                <w:rFonts w:hint="eastAsia"/>
                <w:b/>
                <w:bCs/>
                <w:color w:val="auto"/>
                <w:highlight w:val="none"/>
              </w:rPr>
            </w:pPr>
            <w:r>
              <w:rPr>
                <w:rFonts w:hint="eastAsia"/>
                <w:b/>
                <w:bCs/>
                <w:color w:val="auto"/>
                <w:highlight w:val="none"/>
              </w:rPr>
              <w:t>三、到账截止时间：</w:t>
            </w:r>
            <w:r>
              <w:rPr>
                <w:rFonts w:ascii="宋体" w:hAnsi="宋体" w:eastAsia="宋体" w:cs="宋体"/>
                <w:color w:val="auto"/>
                <w:sz w:val="24"/>
                <w:szCs w:val="24"/>
                <w:highlight w:val="none"/>
              </w:rPr>
              <w:t>同本项目响应文件递交截止时间</w:t>
            </w:r>
          </w:p>
        </w:tc>
      </w:tr>
      <w:tr w14:paraId="59AA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979" w:type="dxa"/>
            <w:tcBorders>
              <w:tl2br w:val="nil"/>
              <w:tr2bl w:val="nil"/>
            </w:tcBorders>
            <w:vAlign w:val="center"/>
          </w:tcPr>
          <w:p w14:paraId="56E4E279">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19</w:t>
            </w:r>
          </w:p>
        </w:tc>
        <w:tc>
          <w:tcPr>
            <w:tcW w:w="1946" w:type="dxa"/>
            <w:tcBorders>
              <w:tl2br w:val="nil"/>
              <w:tr2bl w:val="nil"/>
            </w:tcBorders>
            <w:vAlign w:val="center"/>
          </w:tcPr>
          <w:p w14:paraId="25D118F2">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s="Arial"/>
                <w:color w:val="auto"/>
                <w:highlight w:val="none"/>
              </w:rPr>
              <w:t>电子响应文件须知</w:t>
            </w:r>
          </w:p>
        </w:tc>
        <w:tc>
          <w:tcPr>
            <w:tcW w:w="7426" w:type="dxa"/>
            <w:tcBorders>
              <w:tl2br w:val="nil"/>
              <w:tr2bl w:val="nil"/>
            </w:tcBorders>
            <w:vAlign w:val="center"/>
          </w:tcPr>
          <w:p w14:paraId="6F4CFD5B">
            <w:pPr>
              <w:pStyle w:val="135"/>
              <w:keepNext w:val="0"/>
              <w:keepLines w:val="0"/>
              <w:pageBreakBefore w:val="0"/>
              <w:kinsoku/>
              <w:wordWrap/>
              <w:topLinePunct w:val="0"/>
              <w:bidi w:val="0"/>
              <w:snapToGrid/>
              <w:spacing w:line="440" w:lineRule="exact"/>
              <w:outlineLvl w:val="9"/>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本项目采用全流程不见面磋商模式，相关要求如下：</w:t>
            </w:r>
          </w:p>
          <w:p w14:paraId="661AA1DC">
            <w:pPr>
              <w:pStyle w:val="135"/>
              <w:keepNext w:val="0"/>
              <w:keepLines w:val="0"/>
              <w:pageBreakBefore w:val="0"/>
              <w:kinsoku/>
              <w:wordWrap/>
              <w:topLinePunct w:val="0"/>
              <w:bidi w:val="0"/>
              <w:snapToGrid/>
              <w:spacing w:line="440" w:lineRule="exact"/>
              <w:ind w:firstLine="480" w:firstLineChars="200"/>
              <w:outlineLvl w:val="9"/>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1. 本项目实行网上投标，采用电子响应文件形式；</w:t>
            </w:r>
          </w:p>
          <w:p w14:paraId="5E46F268">
            <w:pPr>
              <w:pStyle w:val="135"/>
              <w:keepNext w:val="0"/>
              <w:keepLines w:val="0"/>
              <w:pageBreakBefore w:val="0"/>
              <w:kinsoku/>
              <w:wordWrap/>
              <w:topLinePunct w:val="0"/>
              <w:bidi w:val="0"/>
              <w:snapToGrid/>
              <w:spacing w:line="440" w:lineRule="exact"/>
              <w:ind w:firstLine="480" w:firstLineChars="200"/>
              <w:outlineLvl w:val="9"/>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2. 供应商参与磋商前，须确保已成为新疆政府采购网正式注册入库供应商，并完成符合国密标准的 CA 数字证书申领。因未完成注册入库、未办理 CA 数字证书等原因导致无法投标、投标失败的，全部后果由供应商自行承担。</w:t>
            </w:r>
          </w:p>
          <w:p w14:paraId="0135C833">
            <w:pPr>
              <w:pStyle w:val="135"/>
              <w:keepNext w:val="0"/>
              <w:keepLines w:val="0"/>
              <w:pageBreakBefore w:val="0"/>
              <w:kinsoku/>
              <w:wordWrap/>
              <w:topLinePunct w:val="0"/>
              <w:bidi w:val="0"/>
              <w:snapToGrid/>
              <w:spacing w:line="440" w:lineRule="exact"/>
              <w:ind w:firstLine="480" w:firstLineChars="200"/>
              <w:outlineLvl w:val="9"/>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有意向参与电子开评标的供应商，可访问新疆数字证书认证中心官方网站（https://www.xjca.com.cn/）或下载 “新疆政务通” APP 自行办理证书申领，相关业务咨询可拨打新疆 CA 服务热线 0991-2819290；</w:t>
            </w:r>
          </w:p>
          <w:p w14:paraId="48C21192">
            <w:pPr>
              <w:pStyle w:val="135"/>
              <w:keepNext w:val="0"/>
              <w:keepLines w:val="0"/>
              <w:pageBreakBefore w:val="0"/>
              <w:kinsoku/>
              <w:wordWrap/>
              <w:topLinePunct w:val="0"/>
              <w:bidi w:val="0"/>
              <w:snapToGrid/>
              <w:spacing w:line="440" w:lineRule="exact"/>
              <w:ind w:firstLine="480" w:firstLineChars="200"/>
              <w:outlineLvl w:val="9"/>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3. 供应商须完成政采云电子交易客户端的下载与安装，通过账号密码或 CA 证书登录客户端完成响应文件制作。使用客户端建议采用 WIN7 及以上操作系统，客户端可至新疆政府采购网（http://www.ccgp-xinjiang.gov.cn/）下载专区获取。操作过程中</w:t>
            </w:r>
            <w:r>
              <w:rPr>
                <w:rFonts w:hint="eastAsia" w:ascii="宋体" w:hAnsi="宋体" w:cs="Times New Roman"/>
                <w:color w:val="auto"/>
                <w:kern w:val="2"/>
                <w:sz w:val="24"/>
                <w:szCs w:val="24"/>
                <w:highlight w:val="none"/>
                <w:lang w:eastAsia="zh-CN"/>
              </w:rPr>
              <w:t>遇到</w:t>
            </w:r>
            <w:r>
              <w:rPr>
                <w:rFonts w:hint="eastAsia" w:ascii="宋体" w:hAnsi="宋体" w:cs="Times New Roman"/>
                <w:color w:val="auto"/>
                <w:kern w:val="2"/>
                <w:sz w:val="24"/>
                <w:szCs w:val="24"/>
                <w:highlight w:val="none"/>
              </w:rPr>
              <w:t>相关问题，可拨打政采云客户服务热线 95763 咨询。</w:t>
            </w:r>
          </w:p>
          <w:p w14:paraId="52EEC51F">
            <w:pPr>
              <w:pStyle w:val="135"/>
              <w:keepNext w:val="0"/>
              <w:keepLines w:val="0"/>
              <w:pageBreakBefore w:val="0"/>
              <w:kinsoku/>
              <w:wordWrap/>
              <w:topLinePunct w:val="0"/>
              <w:bidi w:val="0"/>
              <w:snapToGrid/>
              <w:spacing w:line="440" w:lineRule="exact"/>
              <w:ind w:firstLine="480" w:firstLineChars="200"/>
              <w:outlineLvl w:val="9"/>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因供应商自身原因（包括但不限于浏览器故障、未安装相关驱动、网络异常、加密 CA 与解密 CA 不一致等），导致在规定时间内无法完成响应文件正常解密的，采购代理机构不予做异常处理，视为供应商自动放弃投标资格；</w:t>
            </w:r>
          </w:p>
          <w:p w14:paraId="5829F312">
            <w:pPr>
              <w:pStyle w:val="135"/>
              <w:keepNext w:val="0"/>
              <w:keepLines w:val="0"/>
              <w:pageBreakBefore w:val="0"/>
              <w:kinsoku/>
              <w:wordWrap/>
              <w:topLinePunct w:val="0"/>
              <w:bidi w:val="0"/>
              <w:snapToGrid/>
              <w:spacing w:line="440" w:lineRule="exact"/>
              <w:ind w:firstLine="480" w:firstLineChars="200"/>
              <w:outlineLvl w:val="9"/>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4. 供应商须在响应文件递交截止时间前，将生成的 “电子加密响应文件” 成功上传递交至政府采购云平台；响应文件递交截止时间后上传递交的文件，政府采购云平台将予以拒收；</w:t>
            </w:r>
          </w:p>
          <w:p w14:paraId="0E2FD825">
            <w:pPr>
              <w:pStyle w:val="135"/>
              <w:keepNext w:val="0"/>
              <w:keepLines w:val="0"/>
              <w:pageBreakBefore w:val="0"/>
              <w:kinsoku/>
              <w:wordWrap/>
              <w:topLinePunct w:val="0"/>
              <w:bidi w:val="0"/>
              <w:snapToGrid/>
              <w:spacing w:line="440" w:lineRule="exact"/>
              <w:ind w:firstLine="480" w:firstLineChars="200"/>
              <w:outlineLvl w:val="9"/>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5. 供应商磋商前</w:t>
            </w:r>
            <w:r>
              <w:rPr>
                <w:rFonts w:hint="eastAsia" w:ascii="宋体" w:hAnsi="宋体" w:cs="Times New Roman"/>
                <w:color w:val="auto"/>
                <w:kern w:val="2"/>
                <w:sz w:val="24"/>
                <w:szCs w:val="24"/>
                <w:highlight w:val="none"/>
                <w:lang w:eastAsia="zh-CN"/>
              </w:rPr>
              <w:t>需</w:t>
            </w:r>
            <w:r>
              <w:rPr>
                <w:rFonts w:hint="eastAsia" w:ascii="宋体" w:hAnsi="宋体" w:cs="Times New Roman"/>
                <w:color w:val="auto"/>
                <w:kern w:val="2"/>
                <w:sz w:val="24"/>
                <w:szCs w:val="24"/>
                <w:highlight w:val="none"/>
              </w:rPr>
              <w:t>提前调试配置电脑浏览器（建议使用 360 浏览器或谷歌浏览器），磋商时登录政采云平台，在 “项目采购 - 磋商评标” 功能模块中，使用制作加密电子响应文件的 CA 锁完成文件解密及报价确认。本项目响应文件解密时限为 30 分钟，供应商在规定时限内因自身原因导致无法正常解密的，全部后果由供应商自行承担；</w:t>
            </w:r>
          </w:p>
          <w:p w14:paraId="4AAC93AC">
            <w:pPr>
              <w:pStyle w:val="135"/>
              <w:keepNext w:val="0"/>
              <w:keepLines w:val="0"/>
              <w:pageBreakBefore w:val="0"/>
              <w:kinsoku/>
              <w:wordWrap/>
              <w:topLinePunct w:val="0"/>
              <w:bidi w:val="0"/>
              <w:snapToGrid/>
              <w:spacing w:line="440" w:lineRule="exact"/>
              <w:ind w:firstLine="480" w:firstLineChars="200"/>
              <w:outlineLvl w:val="9"/>
              <w:rPr>
                <w:rFonts w:hint="eastAsia" w:ascii="宋体" w:hAnsi="宋体" w:cs="Times New Roman"/>
                <w:color w:val="auto"/>
                <w:sz w:val="24"/>
                <w:szCs w:val="24"/>
                <w:highlight w:val="none"/>
              </w:rPr>
            </w:pPr>
            <w:r>
              <w:rPr>
                <w:rFonts w:hint="eastAsia" w:ascii="宋体" w:hAnsi="宋体" w:cs="Times New Roman"/>
                <w:color w:val="auto"/>
                <w:kern w:val="2"/>
                <w:sz w:val="24"/>
                <w:szCs w:val="24"/>
                <w:highlight w:val="none"/>
              </w:rPr>
              <w:t>6. 供应商须登录政采云平台，在磋商时间开始后 30 分钟内，通过 “项目采购 - 磋商评标” 功能模块完成响应文件解密操作。供应商未在规定时限内完成解密的，视为无效投标；响应文件解密与加密须使用同一 CA 证书。</w:t>
            </w:r>
          </w:p>
        </w:tc>
      </w:tr>
      <w:tr w14:paraId="38D6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6AE7CCD2">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20</w:t>
            </w:r>
          </w:p>
        </w:tc>
        <w:tc>
          <w:tcPr>
            <w:tcW w:w="1946" w:type="dxa"/>
            <w:tcBorders>
              <w:tl2br w:val="nil"/>
              <w:tr2bl w:val="nil"/>
            </w:tcBorders>
            <w:vAlign w:val="center"/>
          </w:tcPr>
          <w:p w14:paraId="59A9940A">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响应文件的签署规定</w:t>
            </w:r>
          </w:p>
        </w:tc>
        <w:tc>
          <w:tcPr>
            <w:tcW w:w="7426" w:type="dxa"/>
            <w:tcBorders>
              <w:tl2br w:val="nil"/>
              <w:tr2bl w:val="nil"/>
            </w:tcBorders>
            <w:vAlign w:val="center"/>
          </w:tcPr>
          <w:p w14:paraId="0C9036C4">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1. 响应文件须按照竞争性磋商文件要求，在指定签字盖章位置加盖供应商单位公章，并由法定代表人或其授权委托代理人签字或签章；采用电子投标的，须按政采云平台要求完成有效电子签章。</w:t>
            </w:r>
          </w:p>
          <w:p w14:paraId="18F98E55">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2. 响应文件中如需进行行间插字、涂改或增删，须在修改位置加盖供应商单位公章，或由法定代表人 / 其授权委托代理人签字确认；未按要求确认的，评审时该响应文件按无效投标处理。</w:t>
            </w:r>
          </w:p>
        </w:tc>
      </w:tr>
      <w:tr w14:paraId="109C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08CC7F8F">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21</w:t>
            </w:r>
          </w:p>
        </w:tc>
        <w:tc>
          <w:tcPr>
            <w:tcW w:w="1946" w:type="dxa"/>
            <w:tcBorders>
              <w:tl2br w:val="nil"/>
              <w:tr2bl w:val="nil"/>
            </w:tcBorders>
            <w:vAlign w:val="center"/>
          </w:tcPr>
          <w:p w14:paraId="28463B96">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响应文件格式</w:t>
            </w:r>
          </w:p>
        </w:tc>
        <w:tc>
          <w:tcPr>
            <w:tcW w:w="7426" w:type="dxa"/>
            <w:tcBorders>
              <w:tl2br w:val="nil"/>
              <w:tr2bl w:val="nil"/>
            </w:tcBorders>
            <w:vAlign w:val="center"/>
          </w:tcPr>
          <w:p w14:paraId="7E4E9596">
            <w:pPr>
              <w:keepNext w:val="0"/>
              <w:keepLines w:val="0"/>
              <w:pageBreakBefore w:val="0"/>
              <w:numPr>
                <w:ilvl w:val="0"/>
                <w:numId w:val="0"/>
              </w:numPr>
              <w:kinsoku/>
              <w:wordWrap/>
              <w:topLinePunct w:val="0"/>
              <w:bidi w:val="0"/>
              <w:snapToGrid/>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供应商须按照竞争性磋商文件提供的响应文件格式填写相关内容；</w:t>
            </w:r>
          </w:p>
          <w:p w14:paraId="5B0C01C2">
            <w:pPr>
              <w:keepNext w:val="0"/>
              <w:keepLines w:val="0"/>
              <w:pageBreakBefore w:val="0"/>
              <w:numPr>
                <w:ilvl w:val="0"/>
                <w:numId w:val="0"/>
              </w:numPr>
              <w:kinsoku/>
              <w:wordWrap/>
              <w:topLinePunct w:val="0"/>
              <w:bidi w:val="0"/>
              <w:snapToGrid/>
              <w:spacing w:line="440" w:lineRule="exact"/>
              <w:ind w:left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竞争性磋商文件未提供固定格式的内容，供应商可根据项目需求及自身情况自行编制；</w:t>
            </w:r>
          </w:p>
          <w:p w14:paraId="4C465C2D">
            <w:pPr>
              <w:keepNext w:val="0"/>
              <w:keepLines w:val="0"/>
              <w:pageBreakBefore w:val="0"/>
              <w:numPr>
                <w:ilvl w:val="0"/>
                <w:numId w:val="0"/>
              </w:numPr>
              <w:kinsoku/>
              <w:wordWrap/>
              <w:topLinePunct w:val="0"/>
              <w:bidi w:val="0"/>
              <w:snapToGrid/>
              <w:spacing w:line="440" w:lineRule="exact"/>
              <w:ind w:left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供应商须将响应文件按磋商文件规定的顺序编排，编制完整目录、逐页标注连续页码；</w:t>
            </w:r>
          </w:p>
          <w:p w14:paraId="3536C125">
            <w:pPr>
              <w:keepNext w:val="0"/>
              <w:keepLines w:val="0"/>
              <w:pageBreakBefore w:val="0"/>
              <w:numPr>
                <w:ilvl w:val="0"/>
                <w:numId w:val="0"/>
              </w:numPr>
              <w:kinsoku/>
              <w:wordWrap/>
              <w:topLinePunct w:val="0"/>
              <w:bidi w:val="0"/>
              <w:snapToGrid/>
              <w:spacing w:line="440" w:lineRule="exact"/>
              <w:ind w:leftChars="0"/>
              <w:rPr>
                <w:rFonts w:hint="eastAsia"/>
                <w:b/>
                <w:color w:val="auto"/>
                <w:highlight w:val="none"/>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本项目不接受以电报、电话、传真、电子邮件等形式提交的投标。</w:t>
            </w:r>
          </w:p>
        </w:tc>
      </w:tr>
      <w:tr w14:paraId="0AD7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9" w:type="dxa"/>
            <w:tcBorders>
              <w:tl2br w:val="nil"/>
              <w:tr2bl w:val="nil"/>
            </w:tcBorders>
            <w:vAlign w:val="center"/>
          </w:tcPr>
          <w:p w14:paraId="5F58CBAA">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22</w:t>
            </w:r>
          </w:p>
        </w:tc>
        <w:tc>
          <w:tcPr>
            <w:tcW w:w="1946" w:type="dxa"/>
            <w:tcBorders>
              <w:tl2br w:val="nil"/>
              <w:tr2bl w:val="nil"/>
            </w:tcBorders>
            <w:vAlign w:val="center"/>
          </w:tcPr>
          <w:p w14:paraId="6C8A30B7">
            <w:pPr>
              <w:keepNext w:val="0"/>
              <w:keepLines w:val="0"/>
              <w:pageBreakBefore w:val="0"/>
              <w:kinsoku/>
              <w:wordWrap/>
              <w:overflowPunct w:val="0"/>
              <w:topLinePunct w:val="0"/>
              <w:bidi w:val="0"/>
              <w:snapToGrid/>
              <w:spacing w:line="440" w:lineRule="exact"/>
              <w:jc w:val="center"/>
              <w:rPr>
                <w:rFonts w:hint="eastAsia"/>
                <w:b w:val="0"/>
                <w:bCs w:val="0"/>
                <w:color w:val="auto"/>
                <w:highlight w:val="none"/>
              </w:rPr>
            </w:pPr>
            <w:r>
              <w:rPr>
                <w:rFonts w:hint="eastAsia"/>
                <w:b w:val="0"/>
                <w:bCs w:val="0"/>
                <w:color w:val="auto"/>
                <w:highlight w:val="none"/>
              </w:rPr>
              <w:t>付款方式及币种</w:t>
            </w:r>
          </w:p>
        </w:tc>
        <w:tc>
          <w:tcPr>
            <w:tcW w:w="7426" w:type="dxa"/>
            <w:tcBorders>
              <w:tl2br w:val="nil"/>
              <w:tr2bl w:val="nil"/>
            </w:tcBorders>
            <w:vAlign w:val="center"/>
          </w:tcPr>
          <w:p w14:paraId="7289239C">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b w:val="0"/>
                <w:bCs w:val="0"/>
                <w:color w:val="auto"/>
                <w:highlight w:val="none"/>
              </w:rPr>
              <w:t>1. 付款币种：本项目所有资金均以人民币支付；</w:t>
            </w:r>
          </w:p>
          <w:p w14:paraId="7508B83F">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b w:val="0"/>
                <w:bCs w:val="0"/>
                <w:color w:val="auto"/>
                <w:highlight w:val="none"/>
              </w:rPr>
              <w:t>2. 付款进度：</w:t>
            </w:r>
            <w:r>
              <w:rPr>
                <w:rFonts w:hint="eastAsia"/>
                <w:b w:val="0"/>
                <w:bCs w:val="0"/>
                <w:color w:val="auto"/>
                <w:highlight w:val="none"/>
                <w:lang w:val="en-US" w:eastAsia="zh-CN"/>
              </w:rPr>
              <w:t>最终以合同签订为准</w:t>
            </w:r>
            <w:r>
              <w:rPr>
                <w:rFonts w:hint="eastAsia"/>
                <w:b w:val="0"/>
                <w:bCs w:val="0"/>
                <w:color w:val="auto"/>
                <w:highlight w:val="none"/>
              </w:rPr>
              <w:t>；</w:t>
            </w:r>
          </w:p>
          <w:p w14:paraId="6C7D2C28">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b w:val="0"/>
                <w:bCs w:val="0"/>
                <w:color w:val="auto"/>
                <w:highlight w:val="none"/>
              </w:rPr>
              <w:t>3. 结算要求：乙方申请付款时，须向甲方出具合法、有效、完整的完税发票及相关凭证资料，甲方按约定完成支付结算。</w:t>
            </w:r>
          </w:p>
          <w:p w14:paraId="507DF2C8">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b w:val="0"/>
                <w:bCs w:val="0"/>
                <w:color w:val="auto"/>
                <w:highlight w:val="none"/>
              </w:rPr>
              <w:t>注：最终付款方式、付款周期以双方签订的正式施工合同约定为准。</w:t>
            </w:r>
          </w:p>
        </w:tc>
      </w:tr>
      <w:tr w14:paraId="7939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0FE03766">
            <w:pPr>
              <w:keepNext w:val="0"/>
              <w:keepLines w:val="0"/>
              <w:pageBreakBefore w:val="0"/>
              <w:kinsoku/>
              <w:wordWrap/>
              <w:topLinePunct w:val="0"/>
              <w:bidi w:val="0"/>
              <w:snapToGrid/>
              <w:spacing w:line="440" w:lineRule="exact"/>
              <w:jc w:val="center"/>
              <w:textAlignment w:val="center"/>
              <w:rPr>
                <w:rFonts w:hint="eastAsia"/>
                <w:color w:val="auto"/>
                <w:highlight w:val="none"/>
              </w:rPr>
            </w:pPr>
            <w:r>
              <w:rPr>
                <w:color w:val="auto"/>
                <w:highlight w:val="none"/>
                <w:lang w:bidi="ar"/>
              </w:rPr>
              <w:t>23</w:t>
            </w:r>
          </w:p>
        </w:tc>
        <w:tc>
          <w:tcPr>
            <w:tcW w:w="1946" w:type="dxa"/>
            <w:tcBorders>
              <w:tl2br w:val="nil"/>
              <w:tr2bl w:val="nil"/>
            </w:tcBorders>
            <w:vAlign w:val="center"/>
          </w:tcPr>
          <w:p w14:paraId="27BA0E76">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磋商费用</w:t>
            </w:r>
          </w:p>
        </w:tc>
        <w:tc>
          <w:tcPr>
            <w:tcW w:w="7426" w:type="dxa"/>
            <w:tcBorders>
              <w:tl2br w:val="nil"/>
              <w:tr2bl w:val="nil"/>
            </w:tcBorders>
            <w:vAlign w:val="center"/>
          </w:tcPr>
          <w:p w14:paraId="27C98682">
            <w:pPr>
              <w:keepNext w:val="0"/>
              <w:keepLines w:val="0"/>
              <w:pageBreakBefore w:val="0"/>
              <w:kinsoku/>
              <w:wordWrap/>
              <w:topLinePunct w:val="0"/>
              <w:bidi w:val="0"/>
              <w:snapToGrid/>
              <w:spacing w:line="440" w:lineRule="exact"/>
              <w:rPr>
                <w:rFonts w:hint="eastAsia"/>
                <w:color w:val="auto"/>
                <w:highlight w:val="none"/>
              </w:rPr>
            </w:pPr>
            <w:r>
              <w:rPr>
                <w:rFonts w:ascii="宋体" w:hAnsi="宋体" w:eastAsia="宋体" w:cs="宋体"/>
                <w:color w:val="auto"/>
                <w:sz w:val="24"/>
                <w:szCs w:val="24"/>
                <w:highlight w:val="none"/>
              </w:rPr>
              <w:t>无论磋商结果如何，供应商参与本项目磋商活动所产生的全部费用，均由供应商自行承担。</w:t>
            </w:r>
          </w:p>
        </w:tc>
      </w:tr>
      <w:tr w14:paraId="4AE9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3C812F4E">
            <w:pPr>
              <w:keepNext w:val="0"/>
              <w:keepLines w:val="0"/>
              <w:pageBreakBefore w:val="0"/>
              <w:kinsoku/>
              <w:wordWrap/>
              <w:topLinePunct w:val="0"/>
              <w:bidi w:val="0"/>
              <w:snapToGrid/>
              <w:spacing w:line="440" w:lineRule="exact"/>
              <w:jc w:val="center"/>
              <w:textAlignment w:val="center"/>
              <w:rPr>
                <w:rFonts w:hint="eastAsia"/>
                <w:color w:val="auto"/>
                <w:highlight w:val="none"/>
                <w:lang w:bidi="ar"/>
              </w:rPr>
            </w:pPr>
            <w:r>
              <w:rPr>
                <w:rFonts w:hint="eastAsia"/>
                <w:color w:val="auto"/>
                <w:highlight w:val="none"/>
                <w:lang w:bidi="ar"/>
              </w:rPr>
              <w:t>24</w:t>
            </w:r>
          </w:p>
        </w:tc>
        <w:tc>
          <w:tcPr>
            <w:tcW w:w="1946" w:type="dxa"/>
            <w:tcBorders>
              <w:tl2br w:val="nil"/>
              <w:tr2bl w:val="nil"/>
            </w:tcBorders>
            <w:vAlign w:val="center"/>
          </w:tcPr>
          <w:p w14:paraId="43008BCB">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磋商小组</w:t>
            </w:r>
          </w:p>
        </w:tc>
        <w:tc>
          <w:tcPr>
            <w:tcW w:w="7426" w:type="dxa"/>
            <w:tcBorders>
              <w:tl2br w:val="nil"/>
              <w:tr2bl w:val="nil"/>
            </w:tcBorders>
            <w:vAlign w:val="center"/>
          </w:tcPr>
          <w:p w14:paraId="61292EAB">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磋商小组依法组建，成员人数为 3 人及以上单数；</w:t>
            </w:r>
          </w:p>
          <w:p w14:paraId="1B1D3793">
            <w:pPr>
              <w:keepNext w:val="0"/>
              <w:keepLines w:val="0"/>
              <w:pageBreakBefore w:val="0"/>
              <w:kinsoku/>
              <w:wordWrap/>
              <w:topLinePunct w:val="0"/>
              <w:bidi w:val="0"/>
              <w:snapToGrid/>
              <w:spacing w:line="440" w:lineRule="exact"/>
              <w:rPr>
                <w:rFonts w:hint="eastAsia"/>
                <w:color w:val="auto"/>
                <w:highlight w:val="none"/>
              </w:rPr>
            </w:pPr>
            <w:r>
              <w:rPr>
                <w:rFonts w:hint="eastAsia"/>
                <w:color w:val="auto"/>
                <w:highlight w:val="none"/>
              </w:rPr>
              <w:t>评审专家通过政采云平台政府采购评审专家库随机抽取产生。</w:t>
            </w:r>
          </w:p>
        </w:tc>
      </w:tr>
      <w:tr w14:paraId="4EC9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79" w:type="dxa"/>
            <w:tcBorders>
              <w:tl2br w:val="nil"/>
              <w:tr2bl w:val="nil"/>
            </w:tcBorders>
            <w:vAlign w:val="center"/>
          </w:tcPr>
          <w:p w14:paraId="056E8DD5">
            <w:pPr>
              <w:keepNext w:val="0"/>
              <w:keepLines w:val="0"/>
              <w:pageBreakBefore w:val="0"/>
              <w:kinsoku/>
              <w:wordWrap/>
              <w:topLinePunct w:val="0"/>
              <w:bidi w:val="0"/>
              <w:snapToGrid/>
              <w:spacing w:line="440" w:lineRule="exact"/>
              <w:jc w:val="center"/>
              <w:textAlignment w:val="center"/>
              <w:rPr>
                <w:rFonts w:hint="eastAsia"/>
                <w:color w:val="auto"/>
                <w:highlight w:val="none"/>
                <w:lang w:bidi="ar"/>
              </w:rPr>
            </w:pPr>
            <w:r>
              <w:rPr>
                <w:rFonts w:hint="eastAsia"/>
                <w:color w:val="auto"/>
                <w:highlight w:val="none"/>
                <w:lang w:bidi="ar"/>
              </w:rPr>
              <w:t>25</w:t>
            </w:r>
          </w:p>
        </w:tc>
        <w:tc>
          <w:tcPr>
            <w:tcW w:w="1946" w:type="dxa"/>
            <w:tcBorders>
              <w:tl2br w:val="nil"/>
              <w:tr2bl w:val="nil"/>
            </w:tcBorders>
            <w:vAlign w:val="center"/>
          </w:tcPr>
          <w:p w14:paraId="7D43E15E">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ascii="宋体" w:hAnsi="宋体" w:eastAsia="宋体" w:cs="宋体"/>
                <w:color w:val="auto"/>
                <w:sz w:val="24"/>
                <w:szCs w:val="24"/>
                <w:highlight w:val="none"/>
              </w:rPr>
              <w:t>得分并列成交候选人确定规则</w:t>
            </w:r>
          </w:p>
        </w:tc>
        <w:tc>
          <w:tcPr>
            <w:tcW w:w="7426" w:type="dxa"/>
            <w:tcBorders>
              <w:tl2br w:val="nil"/>
              <w:tr2bl w:val="nil"/>
            </w:tcBorders>
            <w:vAlign w:val="center"/>
          </w:tcPr>
          <w:p w14:paraId="650ABDFF">
            <w:pPr>
              <w:keepNext w:val="0"/>
              <w:keepLines w:val="0"/>
              <w:pageBreakBefore w:val="0"/>
              <w:kinsoku/>
              <w:wordWrap/>
              <w:overflowPunct w:val="0"/>
              <w:topLinePunct w:val="0"/>
              <w:bidi w:val="0"/>
              <w:snapToGrid/>
              <w:spacing w:line="440" w:lineRule="exact"/>
              <w:rPr>
                <w:rFonts w:hint="eastAsia"/>
                <w:color w:val="auto"/>
                <w:highlight w:val="none"/>
              </w:rPr>
            </w:pPr>
            <w:r>
              <w:rPr>
                <w:rFonts w:hint="eastAsia"/>
                <w:color w:val="auto"/>
                <w:highlight w:val="none"/>
              </w:rPr>
              <w:t>采用综合评分法评审的，评审得分相同的，按照最终投标报价由低到高排序；评审得分且最终投标报价均相同的，按技术指标优劣顺序排序。</w:t>
            </w:r>
          </w:p>
          <w:p w14:paraId="3029CDCF">
            <w:pPr>
              <w:keepNext w:val="0"/>
              <w:keepLines w:val="0"/>
              <w:pageBreakBefore w:val="0"/>
              <w:kinsoku/>
              <w:wordWrap/>
              <w:overflowPunct w:val="0"/>
              <w:topLinePunct w:val="0"/>
              <w:bidi w:val="0"/>
              <w:snapToGrid/>
              <w:spacing w:line="440" w:lineRule="exact"/>
              <w:rPr>
                <w:rFonts w:hint="eastAsia"/>
                <w:color w:val="auto"/>
                <w:highlight w:val="none"/>
              </w:rPr>
            </w:pPr>
            <w:r>
              <w:rPr>
                <w:rFonts w:hint="eastAsia"/>
                <w:color w:val="auto"/>
                <w:highlight w:val="none"/>
              </w:rPr>
              <w:t>响应文件满足磋商文件全部实质性要求，且按评审因素量化指标评审得分最高的供应商，为排名第一的成交候选人。</w:t>
            </w:r>
          </w:p>
        </w:tc>
      </w:tr>
      <w:tr w14:paraId="73DD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5CA8384">
            <w:pPr>
              <w:keepNext w:val="0"/>
              <w:keepLines w:val="0"/>
              <w:pageBreakBefore w:val="0"/>
              <w:kinsoku/>
              <w:wordWrap/>
              <w:topLinePunct w:val="0"/>
              <w:bidi w:val="0"/>
              <w:snapToGrid/>
              <w:spacing w:line="440" w:lineRule="exact"/>
              <w:jc w:val="center"/>
              <w:textAlignment w:val="center"/>
              <w:rPr>
                <w:rFonts w:hint="eastAsia" w:eastAsia="宋体"/>
                <w:color w:val="auto"/>
                <w:highlight w:val="none"/>
                <w:lang w:eastAsia="zh-CN"/>
              </w:rPr>
            </w:pPr>
            <w:r>
              <w:rPr>
                <w:rFonts w:hint="eastAsia"/>
                <w:color w:val="auto"/>
                <w:highlight w:val="none"/>
                <w:lang w:bidi="ar"/>
              </w:rPr>
              <w:t>2</w:t>
            </w:r>
            <w:r>
              <w:rPr>
                <w:rFonts w:hint="eastAsia"/>
                <w:color w:val="auto"/>
                <w:highlight w:val="none"/>
                <w:lang w:val="en-US" w:eastAsia="zh-CN" w:bidi="ar"/>
              </w:rPr>
              <w:t>6</w:t>
            </w:r>
          </w:p>
        </w:tc>
        <w:tc>
          <w:tcPr>
            <w:tcW w:w="1946" w:type="dxa"/>
            <w:tcBorders>
              <w:tl2br w:val="nil"/>
              <w:tr2bl w:val="nil"/>
            </w:tcBorders>
            <w:shd w:val="clear" w:color="auto" w:fill="auto"/>
            <w:vAlign w:val="center"/>
          </w:tcPr>
          <w:p w14:paraId="232BDFE9">
            <w:pPr>
              <w:keepNext w:val="0"/>
              <w:keepLines w:val="0"/>
              <w:pageBreakBefore w:val="0"/>
              <w:kinsoku/>
              <w:wordWrap/>
              <w:overflowPunct w:val="0"/>
              <w:topLinePunct w:val="0"/>
              <w:bidi w:val="0"/>
              <w:snapToGrid/>
              <w:spacing w:line="440" w:lineRule="exact"/>
              <w:jc w:val="center"/>
              <w:rPr>
                <w:rFonts w:hint="eastAsia"/>
                <w:color w:val="auto"/>
                <w:highlight w:val="none"/>
              </w:rPr>
            </w:pPr>
            <w:r>
              <w:rPr>
                <w:rFonts w:hint="eastAsia"/>
                <w:color w:val="auto"/>
                <w:highlight w:val="none"/>
              </w:rPr>
              <w:t>低于成本价不正当竞争预防措施</w:t>
            </w:r>
          </w:p>
        </w:tc>
        <w:tc>
          <w:tcPr>
            <w:tcW w:w="7426" w:type="dxa"/>
            <w:tcBorders>
              <w:tl2br w:val="nil"/>
              <w:tr2bl w:val="nil"/>
            </w:tcBorders>
            <w:shd w:val="clear" w:color="auto" w:fill="auto"/>
            <w:vAlign w:val="center"/>
          </w:tcPr>
          <w:p w14:paraId="20C472BA">
            <w:pPr>
              <w:keepNext w:val="0"/>
              <w:keepLines w:val="0"/>
              <w:pageBreakBefore w:val="0"/>
              <w:kinsoku/>
              <w:wordWrap/>
              <w:topLinePunct w:val="0"/>
              <w:bidi w:val="0"/>
              <w:snapToGrid/>
              <w:spacing w:line="440" w:lineRule="exact"/>
              <w:ind w:firstLine="480" w:firstLineChars="200"/>
              <w:rPr>
                <w:rFonts w:hint="eastAsia"/>
                <w:color w:val="auto"/>
                <w:highlight w:val="none"/>
              </w:rPr>
            </w:pPr>
            <w:r>
              <w:rPr>
                <w:rFonts w:hint="eastAsia"/>
                <w:color w:val="auto"/>
                <w:highlight w:val="none"/>
              </w:rPr>
              <w:t>根据新疆维吾尔自治区财政厅《关于推动解决政府采购异常低价问题的通知》（2026 年 2 月 1 日生效）相关规定，本项目执行异常低价审查机制：</w:t>
            </w:r>
          </w:p>
          <w:p w14:paraId="6539C23D">
            <w:pPr>
              <w:keepNext w:val="0"/>
              <w:keepLines w:val="0"/>
              <w:pageBreakBefore w:val="0"/>
              <w:kinsoku/>
              <w:wordWrap/>
              <w:topLinePunct w:val="0"/>
              <w:bidi w:val="0"/>
              <w:snapToGrid/>
              <w:spacing w:line="440" w:lineRule="exact"/>
              <w:ind w:firstLine="480" w:firstLineChars="200"/>
              <w:rPr>
                <w:rFonts w:hint="eastAsia"/>
                <w:color w:val="auto"/>
                <w:highlight w:val="none"/>
              </w:rPr>
            </w:pPr>
            <w:r>
              <w:rPr>
                <w:rFonts w:hint="eastAsia"/>
                <w:color w:val="auto"/>
                <w:highlight w:val="none"/>
              </w:rPr>
              <w:t>评审过程中，磋商小组认为供应商的报价明显低于其他通过符合性审查供应商的报价，有可能影响工程质量或无法诚信履约的，有权要求供应商在评审现场指定的合理时限内提供书面说明，必要时须提交相关证明材料；供应商无法在规定时限内证明其报价合理性的，磋商小组应当将其响应文件按无效投标处理。</w:t>
            </w:r>
          </w:p>
        </w:tc>
      </w:tr>
      <w:tr w14:paraId="4F98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979" w:type="dxa"/>
            <w:tcBorders>
              <w:tl2br w:val="nil"/>
              <w:tr2bl w:val="nil"/>
            </w:tcBorders>
            <w:vAlign w:val="center"/>
          </w:tcPr>
          <w:p w14:paraId="12BBC4E4">
            <w:pPr>
              <w:keepNext w:val="0"/>
              <w:keepLines w:val="0"/>
              <w:pageBreakBefore w:val="0"/>
              <w:kinsoku/>
              <w:wordWrap/>
              <w:topLinePunct w:val="0"/>
              <w:bidi w:val="0"/>
              <w:snapToGrid/>
              <w:spacing w:line="440" w:lineRule="exact"/>
              <w:jc w:val="center"/>
              <w:textAlignment w:val="center"/>
              <w:rPr>
                <w:rFonts w:hint="eastAsia" w:eastAsia="宋体"/>
                <w:color w:val="auto"/>
                <w:highlight w:val="none"/>
                <w:lang w:eastAsia="zh-CN"/>
              </w:rPr>
            </w:pPr>
            <w:r>
              <w:rPr>
                <w:rFonts w:hint="eastAsia"/>
                <w:color w:val="auto"/>
                <w:highlight w:val="none"/>
                <w:lang w:bidi="ar"/>
              </w:rPr>
              <w:t>2</w:t>
            </w:r>
            <w:r>
              <w:rPr>
                <w:rFonts w:hint="eastAsia"/>
                <w:color w:val="auto"/>
                <w:highlight w:val="none"/>
                <w:lang w:val="en-US" w:eastAsia="zh-CN" w:bidi="ar"/>
              </w:rPr>
              <w:t>7</w:t>
            </w:r>
          </w:p>
        </w:tc>
        <w:tc>
          <w:tcPr>
            <w:tcW w:w="1946" w:type="dxa"/>
            <w:tcBorders>
              <w:tl2br w:val="nil"/>
              <w:tr2bl w:val="nil"/>
            </w:tcBorders>
            <w:vAlign w:val="center"/>
          </w:tcPr>
          <w:p w14:paraId="0097907C">
            <w:pPr>
              <w:keepNext w:val="0"/>
              <w:keepLines w:val="0"/>
              <w:pageBreakBefore w:val="0"/>
              <w:kinsoku/>
              <w:wordWrap/>
              <w:topLinePunct w:val="0"/>
              <w:bidi w:val="0"/>
              <w:snapToGrid/>
              <w:spacing w:line="440" w:lineRule="exact"/>
              <w:jc w:val="center"/>
              <w:rPr>
                <w:rFonts w:hint="eastAsia"/>
                <w:b w:val="0"/>
                <w:bCs w:val="0"/>
                <w:color w:val="auto"/>
                <w:highlight w:val="none"/>
              </w:rPr>
            </w:pPr>
            <w:r>
              <w:rPr>
                <w:rFonts w:hint="eastAsia"/>
                <w:b w:val="0"/>
                <w:bCs w:val="0"/>
                <w:color w:val="auto"/>
                <w:highlight w:val="none"/>
              </w:rPr>
              <w:t>政府采购</w:t>
            </w:r>
          </w:p>
          <w:p w14:paraId="487D12E7">
            <w:pPr>
              <w:keepNext w:val="0"/>
              <w:keepLines w:val="0"/>
              <w:pageBreakBefore w:val="0"/>
              <w:kinsoku/>
              <w:wordWrap/>
              <w:topLinePunct w:val="0"/>
              <w:bidi w:val="0"/>
              <w:snapToGrid/>
              <w:spacing w:line="440" w:lineRule="exact"/>
              <w:jc w:val="center"/>
              <w:rPr>
                <w:rFonts w:hint="eastAsia"/>
                <w:b w:val="0"/>
                <w:bCs w:val="0"/>
                <w:color w:val="auto"/>
                <w:highlight w:val="none"/>
              </w:rPr>
            </w:pPr>
            <w:r>
              <w:rPr>
                <w:rFonts w:hint="eastAsia"/>
                <w:b w:val="0"/>
                <w:bCs w:val="0"/>
                <w:color w:val="auto"/>
                <w:highlight w:val="none"/>
              </w:rPr>
              <w:t>政策支持</w:t>
            </w:r>
          </w:p>
        </w:tc>
        <w:tc>
          <w:tcPr>
            <w:tcW w:w="7426" w:type="dxa"/>
            <w:tcBorders>
              <w:tl2br w:val="nil"/>
              <w:tr2bl w:val="nil"/>
            </w:tcBorders>
          </w:tcPr>
          <w:p w14:paraId="3F67C885">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b w:val="0"/>
                <w:bCs w:val="0"/>
                <w:color w:val="auto"/>
                <w:highlight w:val="none"/>
              </w:rPr>
              <w:t>本项目严格落实节约能源、保护环境、扶持不发达地区和少数民族地区、促进中小企业发展等政府采购政策。</w:t>
            </w:r>
          </w:p>
          <w:p w14:paraId="0105A32B">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b w:val="0"/>
                <w:bCs w:val="0"/>
                <w:color w:val="auto"/>
                <w:highlight w:val="none"/>
              </w:rPr>
              <w:t>1. 本项目为专门面向</w:t>
            </w:r>
            <w:r>
              <w:rPr>
                <w:rFonts w:hint="eastAsia"/>
                <w:b w:val="0"/>
                <w:bCs w:val="0"/>
                <w:color w:val="auto"/>
                <w:highlight w:val="none"/>
                <w:lang w:val="en-US" w:eastAsia="zh-CN"/>
              </w:rPr>
              <w:t>小微</w:t>
            </w:r>
            <w:r>
              <w:rPr>
                <w:rFonts w:hint="eastAsia"/>
                <w:b w:val="0"/>
                <w:bCs w:val="0"/>
                <w:color w:val="auto"/>
                <w:highlight w:val="none"/>
              </w:rPr>
              <w:t>企业（含小型、微型企业）采购项目，监狱企业、残疾人福利性单位视同小微企业；</w:t>
            </w:r>
          </w:p>
          <w:p w14:paraId="36F0D13E">
            <w:pPr>
              <w:keepNext w:val="0"/>
              <w:keepLines w:val="0"/>
              <w:pageBreakBefore w:val="0"/>
              <w:kinsoku/>
              <w:wordWrap/>
              <w:topLinePunct w:val="0"/>
              <w:bidi w:val="0"/>
              <w:snapToGrid/>
              <w:spacing w:line="440" w:lineRule="exact"/>
              <w:rPr>
                <w:rFonts w:hint="eastAsia"/>
                <w:b w:val="0"/>
                <w:bCs w:val="0"/>
                <w:color w:val="auto"/>
                <w:highlight w:val="none"/>
              </w:rPr>
            </w:pPr>
            <w:r>
              <w:rPr>
                <w:rFonts w:hint="eastAsia"/>
                <w:b w:val="0"/>
                <w:bCs w:val="0"/>
                <w:color w:val="auto"/>
                <w:highlight w:val="none"/>
              </w:rPr>
              <w:t>2. 本项目采购标的对应的中小企业划分标准所属行业为</w:t>
            </w:r>
            <w:r>
              <w:rPr>
                <w:rFonts w:hint="eastAsia"/>
                <w:b/>
                <w:bCs/>
                <w:color w:val="auto"/>
                <w:highlight w:val="none"/>
                <w:u w:val="single"/>
              </w:rPr>
              <w:t>建筑业</w:t>
            </w:r>
            <w:r>
              <w:rPr>
                <w:rFonts w:hint="eastAsia"/>
                <w:b/>
                <w:bCs/>
                <w:color w:val="auto"/>
                <w:highlight w:val="none"/>
              </w:rPr>
              <w:t>。</w:t>
            </w:r>
          </w:p>
        </w:tc>
      </w:tr>
      <w:tr w14:paraId="39A1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69468CC">
            <w:pPr>
              <w:keepNext w:val="0"/>
              <w:keepLines w:val="0"/>
              <w:pageBreakBefore w:val="0"/>
              <w:kinsoku/>
              <w:wordWrap/>
              <w:topLinePunct w:val="0"/>
              <w:bidi w:val="0"/>
              <w:snapToGrid/>
              <w:spacing w:line="440" w:lineRule="exact"/>
              <w:jc w:val="center"/>
              <w:textAlignment w:val="center"/>
              <w:rPr>
                <w:rFonts w:hint="eastAsia" w:eastAsia="宋体"/>
                <w:color w:val="auto"/>
                <w:highlight w:val="none"/>
                <w:lang w:eastAsia="zh-CN"/>
              </w:rPr>
            </w:pPr>
            <w:r>
              <w:rPr>
                <w:rFonts w:hint="eastAsia"/>
                <w:color w:val="auto"/>
                <w:highlight w:val="none"/>
                <w:lang w:bidi="ar"/>
              </w:rPr>
              <w:t>2</w:t>
            </w:r>
            <w:r>
              <w:rPr>
                <w:rFonts w:hint="eastAsia"/>
                <w:color w:val="auto"/>
                <w:highlight w:val="none"/>
                <w:lang w:val="en-US" w:eastAsia="zh-CN" w:bidi="ar"/>
              </w:rPr>
              <w:t>8</w:t>
            </w:r>
          </w:p>
        </w:tc>
        <w:tc>
          <w:tcPr>
            <w:tcW w:w="1946" w:type="dxa"/>
            <w:tcBorders>
              <w:tl2br w:val="nil"/>
              <w:tr2bl w:val="nil"/>
            </w:tcBorders>
            <w:vAlign w:val="center"/>
          </w:tcPr>
          <w:p w14:paraId="568512AE">
            <w:pPr>
              <w:pStyle w:val="115"/>
              <w:keepNext w:val="0"/>
              <w:keepLines w:val="0"/>
              <w:pageBreakBefore w:val="0"/>
              <w:kinsoku/>
              <w:wordWrap/>
              <w:topLinePunct w:val="0"/>
              <w:bidi w:val="0"/>
              <w:snapToGrid/>
              <w:spacing w:line="440" w:lineRule="exact"/>
              <w:jc w:val="center"/>
              <w:rPr>
                <w:rFonts w:hint="eastAsia" w:cs="Times New Roman"/>
                <w:color w:val="auto"/>
                <w:kern w:val="2"/>
                <w:highlight w:val="none"/>
              </w:rPr>
            </w:pPr>
            <w:r>
              <w:rPr>
                <w:rFonts w:hint="eastAsia" w:cs="Times New Roman"/>
                <w:color w:val="auto"/>
                <w:kern w:val="2"/>
                <w:highlight w:val="none"/>
              </w:rPr>
              <w:t>质疑须知</w:t>
            </w:r>
          </w:p>
        </w:tc>
        <w:tc>
          <w:tcPr>
            <w:tcW w:w="7426" w:type="dxa"/>
            <w:tcBorders>
              <w:tl2br w:val="nil"/>
              <w:tr2bl w:val="nil"/>
            </w:tcBorders>
            <w:vAlign w:val="center"/>
          </w:tcPr>
          <w:p w14:paraId="4FEE8B68">
            <w:pPr>
              <w:pStyle w:val="115"/>
              <w:keepNext w:val="0"/>
              <w:keepLines w:val="0"/>
              <w:pageBreakBefore w:val="0"/>
              <w:kinsoku/>
              <w:wordWrap/>
              <w:topLinePunct w:val="0"/>
              <w:bidi w:val="0"/>
              <w:snapToGrid/>
              <w:spacing w:line="440" w:lineRule="exact"/>
              <w:jc w:val="both"/>
              <w:rPr>
                <w:rFonts w:hint="eastAsia" w:cs="Times New Roman"/>
                <w:color w:val="auto"/>
                <w:kern w:val="2"/>
                <w:highlight w:val="none"/>
              </w:rPr>
            </w:pPr>
            <w:r>
              <w:rPr>
                <w:rFonts w:hint="eastAsia" w:cs="Times New Roman"/>
                <w:color w:val="auto"/>
                <w:kern w:val="2"/>
                <w:highlight w:val="none"/>
              </w:rPr>
              <w:t>质疑函接收方式：现场递交纸质版质疑文件 + Word 格式电子版文件</w:t>
            </w:r>
          </w:p>
          <w:p w14:paraId="3A3FE0F0">
            <w:pPr>
              <w:pStyle w:val="115"/>
              <w:keepNext w:val="0"/>
              <w:keepLines w:val="0"/>
              <w:pageBreakBefore w:val="0"/>
              <w:kinsoku/>
              <w:wordWrap/>
              <w:topLinePunct w:val="0"/>
              <w:bidi w:val="0"/>
              <w:snapToGrid/>
              <w:spacing w:line="440" w:lineRule="exact"/>
              <w:jc w:val="both"/>
              <w:rPr>
                <w:rFonts w:hint="eastAsia" w:eastAsia="宋体" w:cs="Times New Roman"/>
                <w:color w:val="auto"/>
                <w:kern w:val="2"/>
                <w:highlight w:val="none"/>
                <w:lang w:eastAsia="zh-CN"/>
              </w:rPr>
            </w:pPr>
            <w:r>
              <w:rPr>
                <w:rFonts w:hint="eastAsia" w:cs="Times New Roman"/>
                <w:color w:val="auto"/>
                <w:kern w:val="2"/>
                <w:highlight w:val="none"/>
              </w:rPr>
              <w:t>质疑接收单位：</w:t>
            </w:r>
            <w:r>
              <w:rPr>
                <w:rFonts w:hint="eastAsia" w:cs="Times New Roman"/>
                <w:color w:val="auto"/>
                <w:kern w:val="2"/>
                <w:highlight w:val="none"/>
                <w:lang w:eastAsia="zh-CN"/>
              </w:rPr>
              <w:t>新疆宏成润和工程管理有限公司</w:t>
            </w:r>
          </w:p>
          <w:p w14:paraId="4CED5250">
            <w:pPr>
              <w:pStyle w:val="115"/>
              <w:keepNext w:val="0"/>
              <w:keepLines w:val="0"/>
              <w:pageBreakBefore w:val="0"/>
              <w:kinsoku/>
              <w:wordWrap/>
              <w:topLinePunct w:val="0"/>
              <w:bidi w:val="0"/>
              <w:snapToGrid/>
              <w:spacing w:line="440" w:lineRule="exact"/>
              <w:jc w:val="both"/>
              <w:rPr>
                <w:rFonts w:hint="eastAsia" w:eastAsia="宋体" w:cs="Times New Roman"/>
                <w:color w:val="auto"/>
                <w:kern w:val="2"/>
                <w:highlight w:val="none"/>
                <w:lang w:val="en-US" w:eastAsia="zh-CN"/>
              </w:rPr>
            </w:pPr>
            <w:r>
              <w:rPr>
                <w:rFonts w:hint="eastAsia" w:cs="Times New Roman"/>
                <w:color w:val="auto"/>
                <w:kern w:val="2"/>
                <w:highlight w:val="none"/>
              </w:rPr>
              <w:t>联系电话：</w:t>
            </w:r>
            <w:r>
              <w:rPr>
                <w:rFonts w:hint="eastAsia" w:cs="Times New Roman"/>
                <w:color w:val="auto"/>
                <w:kern w:val="2"/>
                <w:highlight w:val="none"/>
                <w:lang w:eastAsia="zh-CN"/>
              </w:rPr>
              <w:t>15899452715</w:t>
            </w:r>
          </w:p>
          <w:p w14:paraId="1BE4F541">
            <w:pPr>
              <w:pStyle w:val="115"/>
              <w:keepNext w:val="0"/>
              <w:keepLines w:val="0"/>
              <w:pageBreakBefore w:val="0"/>
              <w:kinsoku/>
              <w:wordWrap/>
              <w:topLinePunct w:val="0"/>
              <w:bidi w:val="0"/>
              <w:snapToGrid/>
              <w:spacing w:line="440" w:lineRule="exact"/>
              <w:jc w:val="both"/>
              <w:rPr>
                <w:rFonts w:hint="eastAsia" w:cs="Times New Roman"/>
                <w:color w:val="auto"/>
                <w:kern w:val="2"/>
                <w:highlight w:val="none"/>
              </w:rPr>
            </w:pPr>
            <w:r>
              <w:rPr>
                <w:rFonts w:hint="eastAsia" w:cs="Times New Roman"/>
                <w:color w:val="auto"/>
                <w:kern w:val="2"/>
                <w:highlight w:val="none"/>
              </w:rPr>
              <w:t>地址：</w:t>
            </w:r>
            <w:r>
              <w:rPr>
                <w:rFonts w:hint="eastAsia" w:cs="Times New Roman"/>
                <w:color w:val="auto"/>
                <w:kern w:val="2"/>
                <w:highlight w:val="none"/>
                <w:lang w:val="zh-CN" w:eastAsia="zh-CN"/>
              </w:rPr>
              <w:t>新疆乌鲁木齐市水磨沟区西虹东路64号锦城大厦9层</w:t>
            </w:r>
          </w:p>
        </w:tc>
      </w:tr>
      <w:tr w14:paraId="1F7B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024C4667">
            <w:pPr>
              <w:keepNext w:val="0"/>
              <w:keepLines w:val="0"/>
              <w:pageBreakBefore w:val="0"/>
              <w:kinsoku/>
              <w:wordWrap/>
              <w:topLinePunct w:val="0"/>
              <w:bidi w:val="0"/>
              <w:snapToGrid/>
              <w:spacing w:line="440" w:lineRule="exact"/>
              <w:jc w:val="center"/>
              <w:textAlignment w:val="center"/>
              <w:rPr>
                <w:rFonts w:hint="default" w:eastAsia="宋体"/>
                <w:color w:val="auto"/>
                <w:highlight w:val="none"/>
                <w:lang w:val="en-US" w:eastAsia="zh-CN"/>
              </w:rPr>
            </w:pPr>
            <w:r>
              <w:rPr>
                <w:rFonts w:hint="eastAsia"/>
                <w:color w:val="auto"/>
                <w:highlight w:val="none"/>
                <w:lang w:val="en-US" w:eastAsia="zh-CN"/>
              </w:rPr>
              <w:t>29</w:t>
            </w:r>
          </w:p>
        </w:tc>
        <w:tc>
          <w:tcPr>
            <w:tcW w:w="1946" w:type="dxa"/>
            <w:tcBorders>
              <w:tl2br w:val="nil"/>
              <w:tr2bl w:val="nil"/>
            </w:tcBorders>
            <w:vAlign w:val="center"/>
          </w:tcPr>
          <w:p w14:paraId="4335837B">
            <w:pPr>
              <w:pStyle w:val="115"/>
              <w:keepNext w:val="0"/>
              <w:keepLines w:val="0"/>
              <w:pageBreakBefore w:val="0"/>
              <w:kinsoku/>
              <w:wordWrap/>
              <w:topLinePunct w:val="0"/>
              <w:bidi w:val="0"/>
              <w:snapToGrid/>
              <w:spacing w:line="440" w:lineRule="exact"/>
              <w:jc w:val="center"/>
              <w:rPr>
                <w:rFonts w:hint="eastAsia" w:cs="Times New Roman"/>
                <w:color w:val="auto"/>
                <w:kern w:val="2"/>
                <w:highlight w:val="none"/>
              </w:rPr>
            </w:pPr>
            <w:r>
              <w:rPr>
                <w:rFonts w:hint="eastAsia" w:cs="Times New Roman"/>
                <w:color w:val="auto"/>
                <w:kern w:val="2"/>
                <w:highlight w:val="none"/>
              </w:rPr>
              <w:t>公告发布媒体</w:t>
            </w:r>
          </w:p>
        </w:tc>
        <w:tc>
          <w:tcPr>
            <w:tcW w:w="7426" w:type="dxa"/>
            <w:tcBorders>
              <w:tl2br w:val="nil"/>
              <w:tr2bl w:val="nil"/>
            </w:tcBorders>
            <w:vAlign w:val="center"/>
          </w:tcPr>
          <w:p w14:paraId="7701EA03">
            <w:pPr>
              <w:keepNext w:val="0"/>
              <w:keepLines w:val="0"/>
              <w:pageBreakBefore w:val="0"/>
              <w:kinsoku/>
              <w:wordWrap/>
              <w:topLinePunct w:val="0"/>
              <w:bidi w:val="0"/>
              <w:snapToGrid/>
              <w:spacing w:line="440" w:lineRule="exact"/>
              <w:rPr>
                <w:rFonts w:hint="eastAsia"/>
                <w:color w:val="auto"/>
                <w:highlight w:val="none"/>
              </w:rPr>
            </w:pPr>
            <w:r>
              <w:rPr>
                <w:color w:val="auto"/>
                <w:highlight w:val="none"/>
              </w:rPr>
              <w:t>新疆政府采购网</w:t>
            </w:r>
            <w:r>
              <w:rPr>
                <w:color w:val="auto"/>
                <w:highlight w:val="none"/>
              </w:rPr>
              <w:drawing>
                <wp:inline distT="0" distB="0" distL="114300" distR="114300">
                  <wp:extent cx="189230" cy="142875"/>
                  <wp:effectExtent l="0" t="0" r="1270" b="9525"/>
                  <wp:docPr id="5"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W@GJ$ACOF(TYDYECOKVDYB"/>
                          <pic:cNvPicPr>
                            <a:picLocks noChangeAspect="1"/>
                          </pic:cNvPicPr>
                        </pic:nvPicPr>
                        <pic:blipFill>
                          <a:blip r:embed="rId11"/>
                          <a:stretch>
                            <a:fillRect/>
                          </a:stretch>
                        </pic:blipFill>
                        <pic:spPr>
                          <a:xfrm>
                            <a:off x="0" y="0"/>
                            <a:ext cx="189230" cy="142875"/>
                          </a:xfrm>
                          <a:prstGeom prst="rect">
                            <a:avLst/>
                          </a:prstGeom>
                          <a:noFill/>
                          <a:ln>
                            <a:noFill/>
                          </a:ln>
                        </pic:spPr>
                      </pic:pic>
                    </a:graphicData>
                  </a:graphic>
                </wp:inline>
              </w:drawing>
            </w:r>
            <w:r>
              <w:rPr>
                <w:color w:val="auto"/>
                <w:highlight w:val="none"/>
              </w:rPr>
              <w:t>http://www.ccgp-xinjiang.gov.cn/home.html</w:t>
            </w:r>
          </w:p>
        </w:tc>
      </w:tr>
      <w:tr w14:paraId="08F3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61D8E59A">
            <w:pPr>
              <w:keepNext w:val="0"/>
              <w:keepLines w:val="0"/>
              <w:pageBreakBefore w:val="0"/>
              <w:kinsoku/>
              <w:wordWrap/>
              <w:overflowPunct w:val="0"/>
              <w:topLinePunct w:val="0"/>
              <w:bidi w:val="0"/>
              <w:snapToGrid/>
              <w:spacing w:line="440" w:lineRule="exact"/>
              <w:jc w:val="center"/>
              <w:rPr>
                <w:rFonts w:hint="eastAsia"/>
                <w:b/>
                <w:color w:val="auto"/>
                <w:highlight w:val="none"/>
              </w:rPr>
            </w:pPr>
            <w:r>
              <w:rPr>
                <w:rFonts w:hint="eastAsia"/>
                <w:b/>
                <w:color w:val="auto"/>
                <w:highlight w:val="none"/>
              </w:rPr>
              <w:t>备注</w:t>
            </w:r>
          </w:p>
        </w:tc>
        <w:tc>
          <w:tcPr>
            <w:tcW w:w="9372" w:type="dxa"/>
            <w:gridSpan w:val="2"/>
            <w:tcBorders>
              <w:tl2br w:val="nil"/>
              <w:tr2bl w:val="nil"/>
            </w:tcBorders>
            <w:vAlign w:val="center"/>
          </w:tcPr>
          <w:p w14:paraId="3ADD7B42">
            <w:pPr>
              <w:keepNext w:val="0"/>
              <w:keepLines w:val="0"/>
              <w:pageBreakBefore w:val="0"/>
              <w:kinsoku/>
              <w:wordWrap/>
              <w:topLinePunct w:val="0"/>
              <w:bidi w:val="0"/>
              <w:snapToGrid/>
              <w:spacing w:line="440" w:lineRule="exact"/>
              <w:ind w:firstLine="472" w:firstLineChars="196"/>
              <w:rPr>
                <w:rFonts w:hint="eastAsia"/>
                <w:b/>
                <w:color w:val="auto"/>
                <w:highlight w:val="none"/>
              </w:rPr>
            </w:pPr>
            <w:r>
              <w:rPr>
                <w:rFonts w:hint="eastAsia"/>
                <w:b/>
                <w:color w:val="auto"/>
                <w:highlight w:val="none"/>
                <w:lang w:val="en-US" w:eastAsia="zh-CN"/>
              </w:rPr>
              <w:t>1.</w:t>
            </w:r>
            <w:r>
              <w:rPr>
                <w:rFonts w:hint="eastAsia"/>
                <w:b/>
                <w:color w:val="auto"/>
                <w:highlight w:val="none"/>
              </w:rPr>
              <w:t>本竞争性磋商文件中，标注 “*”“★”、加粗、加下划线，以及标注 “废标”“无效标”“投标被拒绝” 的条款，均为采购实质性要求和条件。请各供应商重点关注，完整阅读并严格遵守磋商文件全部条款及要求，因误读、漏读磋商文件造成的全部后果，由供应商自行承担。</w:t>
            </w:r>
          </w:p>
          <w:p w14:paraId="25AFA35D">
            <w:pPr>
              <w:keepNext w:val="0"/>
              <w:keepLines w:val="0"/>
              <w:pageBreakBefore w:val="0"/>
              <w:kinsoku/>
              <w:wordWrap/>
              <w:topLinePunct w:val="0"/>
              <w:bidi w:val="0"/>
              <w:snapToGrid/>
              <w:spacing w:line="440" w:lineRule="exact"/>
              <w:ind w:firstLine="472" w:firstLineChars="196"/>
              <w:rPr>
                <w:rFonts w:hint="eastAsia"/>
                <w:b/>
                <w:color w:val="auto"/>
                <w:highlight w:val="none"/>
              </w:rPr>
            </w:pPr>
            <w:r>
              <w:rPr>
                <w:rFonts w:hint="eastAsia"/>
                <w:b/>
                <w:color w:val="auto"/>
                <w:highlight w:val="none"/>
                <w:lang w:val="en-US" w:eastAsia="zh-CN"/>
              </w:rPr>
              <w:t>2.</w:t>
            </w:r>
            <w:r>
              <w:rPr>
                <w:rFonts w:hint="eastAsia"/>
                <w:b/>
                <w:color w:val="auto"/>
                <w:highlight w:val="none"/>
              </w:rPr>
              <w:t>响应文件中存在弄虚作假内容的（包括但不限于伪造证书、虚假业绩、隐瞒不良行为记录、夸大荣誉资质、使用非本单位在职人员相关证件、响应内容不符合磋商文件实质性条款等），其响应文件直接按无效处理；在合同签订前，采购人发现供应商响应文件存在弄虚作假情形的，有权拒绝与其签订合同，并将其失信行为上报政府采购监管部门，列入政府采购不良行为记录名单。</w:t>
            </w:r>
          </w:p>
          <w:p w14:paraId="1C1912D0">
            <w:pPr>
              <w:keepNext w:val="0"/>
              <w:keepLines w:val="0"/>
              <w:pageBreakBefore w:val="0"/>
              <w:kinsoku/>
              <w:wordWrap/>
              <w:topLinePunct w:val="0"/>
              <w:bidi w:val="0"/>
              <w:snapToGrid/>
              <w:spacing w:line="440" w:lineRule="exact"/>
              <w:ind w:firstLine="472" w:firstLineChars="196"/>
              <w:rPr>
                <w:rFonts w:hint="eastAsia"/>
                <w:b/>
                <w:color w:val="auto"/>
                <w:highlight w:val="none"/>
              </w:rPr>
            </w:pPr>
            <w:r>
              <w:rPr>
                <w:rFonts w:hint="eastAsia"/>
                <w:b/>
                <w:color w:val="auto"/>
                <w:highlight w:val="none"/>
                <w:lang w:val="en-US" w:eastAsia="zh-CN"/>
              </w:rPr>
              <w:t>3.</w:t>
            </w:r>
            <w:r>
              <w:rPr>
                <w:rFonts w:hint="eastAsia"/>
                <w:b/>
                <w:color w:val="auto"/>
                <w:highlight w:val="none"/>
              </w:rPr>
              <w:t>供应商须保证，本项目所使用的全部产品及服务（含部分使用），不会因第三方提出侵犯其专利权、商标权或其他知识产权而引发法律及经济纠纷；若因此产生相关法律和经济纠纷，全部责任由供应商承担，且不得影响本项目正常施工进度。</w:t>
            </w:r>
          </w:p>
        </w:tc>
      </w:tr>
    </w:tbl>
    <w:p w14:paraId="0A3DD1D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b/>
          <w:bCs/>
          <w:color w:val="auto"/>
          <w:sz w:val="24"/>
          <w:szCs w:val="24"/>
          <w:highlight w:val="none"/>
        </w:rPr>
      </w:pPr>
      <w:bookmarkStart w:id="22" w:name="_Toc80724649"/>
      <w:r>
        <w:rPr>
          <w:rFonts w:hint="eastAsia" w:ascii="宋体" w:hAnsi="宋体" w:eastAsia="宋体" w:cs="宋体"/>
          <w:b/>
          <w:color w:val="auto"/>
          <w:sz w:val="36"/>
          <w:szCs w:val="24"/>
          <w:highlight w:val="none"/>
          <w:lang w:val="en-US" w:eastAsia="zh-CN" w:bidi="ar-SA"/>
        </w:rPr>
        <w:br w:type="page"/>
      </w:r>
      <w:bookmarkEnd w:id="22"/>
      <w:bookmarkStart w:id="23" w:name="_Toc24584"/>
      <w:bookmarkStart w:id="24" w:name="_Toc80724662"/>
      <w:r>
        <w:rPr>
          <w:rFonts w:hint="eastAsia"/>
          <w:b/>
          <w:bCs/>
          <w:color w:val="auto"/>
          <w:sz w:val="24"/>
          <w:szCs w:val="24"/>
          <w:highlight w:val="none"/>
        </w:rPr>
        <w:t>供应商须知</w:t>
      </w:r>
      <w:bookmarkEnd w:id="23"/>
    </w:p>
    <w:p w14:paraId="03B6735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b/>
          <w:bCs/>
          <w:color w:val="auto"/>
          <w:sz w:val="24"/>
          <w:szCs w:val="24"/>
          <w:highlight w:val="none"/>
        </w:rPr>
      </w:pPr>
      <w:bookmarkStart w:id="25" w:name="_Toc28293"/>
      <w:r>
        <w:rPr>
          <w:rFonts w:hint="eastAsia"/>
          <w:b/>
          <w:bCs/>
          <w:color w:val="auto"/>
          <w:sz w:val="24"/>
          <w:szCs w:val="24"/>
          <w:highlight w:val="none"/>
        </w:rPr>
        <w:t>一、总 则</w:t>
      </w:r>
      <w:bookmarkEnd w:id="25"/>
    </w:p>
    <w:p w14:paraId="77FF02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 主体定义</w:t>
      </w:r>
    </w:p>
    <w:p w14:paraId="78AABA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 采购人及采购代理机构</w:t>
      </w:r>
    </w:p>
    <w:p w14:paraId="13FCE3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指依法开展政府采购活动的国家机关、事业单位、团体组织，以及其委托的具备相应资质的采购代理机构。本项目对应的采购人、采购代理机构具体信息，详见第一章《竞争性磋商公告》。</w:t>
      </w:r>
    </w:p>
    <w:p w14:paraId="5E8B63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1.2 供应商（亦称申请人）</w:t>
      </w:r>
    </w:p>
    <w:p w14:paraId="0B64E8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指符合政府采购相关法律法规规定，具备相应资格条件，向采购人提供货物、工程或者服务的法人、其他组织或者自然人。</w:t>
      </w:r>
    </w:p>
    <w:p w14:paraId="1A5237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1.3 联合体</w:t>
      </w:r>
    </w:p>
    <w:p w14:paraId="1A2DD7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指两个以上自然人、法人或者其他组织依法组成联合体，以单一供应商身份共同参与本项目政府采购活动的合作主体。</w:t>
      </w:r>
    </w:p>
    <w:p w14:paraId="5227BA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 资金来源</w:t>
      </w:r>
    </w:p>
    <w:p w14:paraId="0BB8F0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本项目采购资金来源为财政性资金，资金已落实到位，专项用于本项目采购标的的支付。</w:t>
      </w:r>
    </w:p>
    <w:p w14:paraId="00A979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3. 现场考察与磋商前答疑会</w:t>
      </w:r>
    </w:p>
    <w:p w14:paraId="25A6AA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3.1 若《供应商须知前附表》明确约定组织现场考察、召开磋商前答疑会，供应商须严格按照文件规定的时间、地点及要求准时参加，逾期未到场视为自动放弃相关权利。</w:t>
      </w:r>
    </w:p>
    <w:p w14:paraId="55BCEB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3.2 供应商因自身原因未参加现场考察或磋商前答疑会，导致对项目现场实际情况、采购需求、技术要求等内容了解不全面，进而影响响应文件编制质量、报价准确性、综合响应完整性的，由此产生的评审不利后果及相关损失，均由供应商自行承担，采购人及采购代理机构不承担任何责任。</w:t>
      </w:r>
    </w:p>
    <w:p w14:paraId="479814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 政府采购政策要求</w:t>
      </w:r>
    </w:p>
    <w:p w14:paraId="019492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本项目严格执行国家各项政府采购政策，具体包括但不限于以下内容，供应商须全面响应并遵守相关规定：</w:t>
      </w:r>
    </w:p>
    <w:p w14:paraId="4A5B19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4.1 采购本国货物、工程和服务</w:t>
      </w:r>
    </w:p>
    <w:p w14:paraId="26D9BD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4.1.1 依据《中华人民共和国政府采购法》相关规定，本项目政府采购优先采购本国货物、工程和服务，法律规定的特殊情形除外。</w:t>
      </w:r>
    </w:p>
    <w:p w14:paraId="2CC7E6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4.1.2 若本项目允许非本国货物、工程、服务参与响应，具体限定要求、资格条件及相关说明，详见第四章《采购需求》。</w:t>
      </w:r>
    </w:p>
    <w:p w14:paraId="7C6051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4.1.3 本文件所称进口产品，指通过中国海关报关验放进入中国境内，且产自关境外的产品（含已进入中国境内的进口产品）。进口产品相关管理规定，严格按照《政府采购进口产品管理办法》（财库〔2007〕119 号）、《关于政府采购进口产品管理有关问题的通知》（财办库〔2008〕248号）执行。</w:t>
      </w:r>
    </w:p>
    <w:p w14:paraId="4AE6B7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 中小企业、监狱企业及残疾人福利性单位扶持政策</w:t>
      </w:r>
    </w:p>
    <w:p w14:paraId="0C2035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4.2.1 中小企业定义及扶持要求</w:t>
      </w:r>
    </w:p>
    <w:p w14:paraId="5C9434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4.2.1.1 中小企业指在中华人民共和国境内依法设立，依据国务院批准的中小企业划分标准认定的中型、小型、微型企业；企业负责人与大企业一致，或与大企业存在直接控股、管理关系的，不纳入中小企业范畴。符合中小企业划分标准的个体工商户，参与政府采购活动时视同中小企业。相关认定标准及扶持政策，依据《中华人民共和国中小企业促进法</w:t>
      </w:r>
      <w:r>
        <w:rPr>
          <w:rFonts w:hint="eastAsia"/>
          <w:color w:val="auto"/>
          <w:sz w:val="24"/>
          <w:szCs w:val="24"/>
          <w:highlight w:val="none"/>
          <w:lang w:eastAsia="zh-CN"/>
        </w:rPr>
        <w:t>》《</w:t>
      </w:r>
      <w:r>
        <w:rPr>
          <w:rFonts w:hint="eastAsia"/>
          <w:color w:val="auto"/>
          <w:sz w:val="24"/>
          <w:szCs w:val="24"/>
          <w:highlight w:val="none"/>
        </w:rPr>
        <w:t>关于进一步加大政府采购支持中小企业力度的通知》（财库〔2022〕 19 号）、《政府采购促进中小企业发展管理办法》（财库〔2020〕46 号）、《关于印发中小企业划型标准规定的通知》 （工信部联企业〔2011〕300号）执行。</w:t>
      </w:r>
    </w:p>
    <w:p w14:paraId="06EAFD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4.2.1.2 供应商提供的货物、工程或服务符合以下情形的，可享受中小企业扶持政策：</w:t>
      </w:r>
    </w:p>
    <w:p w14:paraId="0EDBEF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货物采购项目：响应货物由中小企业制造，即货物由中小企业生产，且使用该中小企业商号或注册商标；</w:t>
      </w:r>
    </w:p>
    <w:p w14:paraId="73DA0A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工程采购项目：对应工程由中小企业承建，即工程施工单位为中小企业；</w:t>
      </w:r>
    </w:p>
    <w:p w14:paraId="1DBBFC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服务采购项目：对应服务由中小企业承接，即提供服务的人员为中小企业依照《中华人民共和国劳动合同法》签订劳动合同的正式从业人员。</w:t>
      </w:r>
    </w:p>
    <w:p w14:paraId="286314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4.2.1.3 货物采购项目中，供应商同时提供中小企业制造和大型企业制造货物的，不享受中小企业扶持政策。</w:t>
      </w:r>
    </w:p>
    <w:p w14:paraId="72F677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4.2.1.4 联合体参与政府采购活动，联合体各方均为中小企业的，联合体视同中小企业；联合体各方均为小微企业的，联合体视同小微企业。</w:t>
      </w:r>
    </w:p>
    <w:p w14:paraId="51D99A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4.2.2 监狱企业扶持政策</w:t>
      </w:r>
    </w:p>
    <w:p w14:paraId="398561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政府采购活动中，监狱企业视同小型、微型企业，享受预留采购份额、评审价格扣除等中小企业专项扶持政策。监狱企业指由司法部认定，为罪犯、戒毒人员提供生产项目和劳动对象，且全部产权隶属于司法部监狱管理局、戒毒管理局、直属煤矿管理局，各省、自治区、直辖市监狱管理局、戒毒管理局，各地（设区的市）监狱、强制隔离戒毒所、戒毒康复所，以及新疆生产建设兵团监狱管理局、戒毒管理局的企业。</w:t>
      </w:r>
    </w:p>
    <w:p w14:paraId="3C627A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4.2.3 残疾人福利性单位扶持政策</w:t>
      </w:r>
    </w:p>
    <w:p w14:paraId="5420C3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政府采购活动中，残疾人福利性单位视同小型、微型企业，享受预留采购份额、评审价格扣除等中小企业专项扶持政策。享受该政策的残疾人福利性单位，须同时满足以下条件：</w:t>
      </w:r>
    </w:p>
    <w:p w14:paraId="173CDF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安置的残疾人占本单位在职职工人数比例不低于25%（含25%），且安置残疾人人数不少于10人（含10人）；</w:t>
      </w:r>
    </w:p>
    <w:p w14:paraId="0FFFF7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依法与安置的每位残疾人签订一年以上（含一年）劳动合同或服务协议；</w:t>
      </w:r>
    </w:p>
    <w:p w14:paraId="111E14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为安置的每位残疾人按月足额缴纳基本养老保险、基本医疗保险、失业保险、工伤保险和生育保险等法定社会保险；</w:t>
      </w:r>
    </w:p>
    <w:p w14:paraId="205743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通过银行等正规金融机构，向安置的每位残疾人按月支付不低于单位所在区县省级人民政府批准的月最低工资标准的劳动报酬；</w:t>
      </w:r>
    </w:p>
    <w:p w14:paraId="392BC0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提供本单位制造的货物、承担的工程或服务，或提供其他残疾人福利性单位制造的货物（不含使用非残疾人福利性单位注册商标的货物）；</w:t>
      </w:r>
    </w:p>
    <w:p w14:paraId="7FF024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前款所称残疾人，指法定劳动年龄内，持有《中华人民共和国残疾人证》或《中华人民共和国残疾军人证（1至8级）》的自然人，含具备劳动条件和劳动意愿的精神残疾人；在职职工人数指与单位建立劳动关系并签订劳动合同或服务协议的雇员人数。</w:t>
      </w:r>
    </w:p>
    <w:p w14:paraId="5D2AFE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4.2.4 本项目是否专门面向中小企业预留采购份额，详见第一章《竞争性磋商公告》。</w:t>
      </w:r>
    </w:p>
    <w:p w14:paraId="5BA3F1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4.2.5 本项目采购标的对应的中小企业划分标准所属行业，详见《供应商须知前附表》。</w:t>
      </w:r>
    </w:p>
    <w:p w14:paraId="582D1C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4.2.6 小微企业价格评审优惠具体调整规则，详见第三章《评审方法和评审标准》。</w:t>
      </w:r>
    </w:p>
    <w:p w14:paraId="207D18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4.3 节能产品、环境标志产品采购政策</w:t>
      </w:r>
    </w:p>
    <w:p w14:paraId="10FC94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4.3.1 政府采购节能产品、环境标志产品实行品目清单管理，财政部、发展改革委、生态环境部等部门根据产品节能环保性能、技术水平及市场成熟度，确定优先采购、强制采购产品类别及对应标准，以品目清单形式发布并适时动态调整，采购活动依据品目清单及有效认证证书开展。</w:t>
      </w:r>
    </w:p>
    <w:p w14:paraId="14D9E8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4.3.2 本项目采购产品属于品目清单范围的，采购人及采购代理机构将依据国家认证机构出具的有效节能产品、环境标志产品认证证书，对符合条件产品实施优先采购或强制采购，相关规定依据《关于调整优化节能产品、环境标志产品政府采购执行机制的通知》（财库 〔2019〕9 号）执行。</w:t>
      </w:r>
    </w:p>
    <w:p w14:paraId="4981D6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4.3.3 若本项目采购产品属于政府强制采购品目清单内的节能产品，供应商响应产品必须取得国家认证机构出具的有效节能产品认证证书，未取得证书的，响应文件按无效处理。</w:t>
      </w:r>
    </w:p>
    <w:p w14:paraId="78E4D7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4.3.4 非强制采购的节能产品、环境标志产品，依据品目清单及有效认证证书实施优先采购，具体优先采购规则详见第三章《评审方法和评审标准》（如涉及）。</w:t>
      </w:r>
    </w:p>
    <w:p w14:paraId="0F41ED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5. 响应费用</w:t>
      </w:r>
    </w:p>
    <w:p w14:paraId="723210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供应商须自行承担编制、递交响应文件，以及参与本项目竞争性磋商全过程产生的所有费用，无论最终磋商结果如何，采购人及采购代理机构均无义务、无责任承担上述任何费用，相关成本由供应商自行核算承担。</w:t>
      </w:r>
    </w:p>
    <w:p w14:paraId="6776C3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p>
    <w:p w14:paraId="61E63B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0"/>
        <w:rPr>
          <w:rFonts w:hint="eastAsia"/>
          <w:b/>
          <w:bCs/>
          <w:color w:val="auto"/>
          <w:sz w:val="24"/>
          <w:szCs w:val="24"/>
          <w:highlight w:val="none"/>
        </w:rPr>
      </w:pPr>
      <w:bookmarkStart w:id="26" w:name="_Toc21362"/>
      <w:r>
        <w:rPr>
          <w:rFonts w:hint="eastAsia"/>
          <w:b/>
          <w:bCs/>
          <w:color w:val="auto"/>
          <w:sz w:val="24"/>
          <w:szCs w:val="24"/>
          <w:highlight w:val="none"/>
          <w:lang w:val="en-US" w:eastAsia="zh-CN"/>
        </w:rPr>
        <w:t>二、</w:t>
      </w:r>
      <w:r>
        <w:rPr>
          <w:rFonts w:hint="eastAsia"/>
          <w:b/>
          <w:bCs/>
          <w:color w:val="auto"/>
          <w:sz w:val="24"/>
          <w:szCs w:val="24"/>
          <w:highlight w:val="none"/>
        </w:rPr>
        <w:t>竞争性磋商文件</w:t>
      </w:r>
      <w:bookmarkEnd w:id="26"/>
    </w:p>
    <w:p w14:paraId="013C71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p>
    <w:p w14:paraId="5E1735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6. 磋商文件构成</w:t>
      </w:r>
    </w:p>
    <w:p w14:paraId="200CA4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6.1 本项目竞争性磋商文件由以下六部分组成，各部分内容互为补充，共同构成完整采购文件体系：</w:t>
      </w:r>
    </w:p>
    <w:p w14:paraId="2E7611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第一章 竞争性磋商公告</w:t>
      </w:r>
    </w:p>
    <w:p w14:paraId="60BA02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color w:val="auto"/>
          <w:sz w:val="24"/>
          <w:szCs w:val="24"/>
          <w:highlight w:val="none"/>
        </w:rPr>
      </w:pPr>
      <w:bookmarkStart w:id="27" w:name="_Toc28277"/>
      <w:r>
        <w:rPr>
          <w:rFonts w:hint="eastAsia"/>
          <w:color w:val="auto"/>
          <w:sz w:val="24"/>
          <w:szCs w:val="24"/>
          <w:highlight w:val="none"/>
        </w:rPr>
        <w:t>第二章 供应商须知</w:t>
      </w:r>
      <w:bookmarkEnd w:id="27"/>
    </w:p>
    <w:p w14:paraId="1C2D6F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第三章 评审方法和评审标准</w:t>
      </w:r>
    </w:p>
    <w:p w14:paraId="26BBC4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第四章 采购需求（工程量清单及技术标准）</w:t>
      </w:r>
    </w:p>
    <w:p w14:paraId="6D49A1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第五章 合同主要条款</w:t>
      </w:r>
    </w:p>
    <w:p w14:paraId="76330D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第六章 响应文件格式</w:t>
      </w:r>
    </w:p>
    <w:p w14:paraId="6EAE8B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6.2 供应商须认真阅读磋商文件全部内容，严格按照文件要求编制响应文件，保证所提交全部资料的真实性、合法性、有效性，对磋商文件做出实质性响应；未实质性响应磋商文件要求的，响应文件按无效处理。</w:t>
      </w:r>
    </w:p>
    <w:p w14:paraId="5E70C5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7. 磋商文件的澄清与修改</w:t>
      </w:r>
    </w:p>
    <w:p w14:paraId="596248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7.1 采购人、采购代理机构或磋商小组可对已发出的磋商文件进行必要澄清或修改，相关内容将以书面形式通知所有已获取磋商文件的潜在供应商；采用公告方式邀请供应商参与的，同步在原公告发布媒体发布更正公告。</w:t>
      </w:r>
    </w:p>
    <w:p w14:paraId="1DA747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7.2 上述书面通知将按照供应商获取磋商文件时预留的联系方式送达，因供应商自身提供信息错误、联系方式变更未及时告知，导致通知延迟送达或无法送达的，采购人及采购代理机构不承担任何责任。</w:t>
      </w:r>
    </w:p>
    <w:p w14:paraId="4F5790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7.3 磋商文件的澄清、修改内容属于磋商文件的组成部分，对所有已获取磋商文件的潜在供应商具有同等法律约束力。若澄清或修改内容影响响应文件编制，将在首次响应文件提交截止之日3个工作日前书面通知所有供应商；不足3个工作日的，相应顺延首次响应文件提交截止时间。</w:t>
      </w:r>
    </w:p>
    <w:p w14:paraId="4B0375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p>
    <w:p w14:paraId="4196B4B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b/>
          <w:bCs/>
          <w:color w:val="auto"/>
          <w:sz w:val="24"/>
          <w:szCs w:val="24"/>
          <w:highlight w:val="none"/>
        </w:rPr>
      </w:pPr>
      <w:bookmarkStart w:id="28" w:name="_Toc3901"/>
      <w:r>
        <w:rPr>
          <w:rFonts w:hint="eastAsia"/>
          <w:b/>
          <w:bCs/>
          <w:color w:val="auto"/>
          <w:sz w:val="24"/>
          <w:szCs w:val="24"/>
          <w:highlight w:val="none"/>
        </w:rPr>
        <w:t>三、响应文件的编制</w:t>
      </w:r>
      <w:bookmarkEnd w:id="28"/>
    </w:p>
    <w:p w14:paraId="4C0EC3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p>
    <w:p w14:paraId="1CE6D1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8. 响应范围、计量单位及磋商语言</w:t>
      </w:r>
    </w:p>
    <w:p w14:paraId="75742B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8.1 本项目若划分多个采购包，供应商可选择其中一个或多个采购包进行响应，须对所参与采购包对应第四章《采购需求》的全部内容进行整体响应，严禁拆分单个采购包内容分项响应，否则该采购包响应按无效处理。</w:t>
      </w:r>
    </w:p>
    <w:p w14:paraId="27883D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8.2 除磋商文件另有特殊要求外，本项目磋商全过程使用中华人民共和国法定计量单位，供应商须严格遵循。</w:t>
      </w:r>
    </w:p>
    <w:p w14:paraId="52BDB7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8.3 除专业专用术语外，响应文件及双方往来函电均须使用中文书写，必要时专用术语需附加中文注释；供应商提交的外文支持资料、印制文献，须同步附规范中文翻译本，评审及文件解释时以中文翻译本为准；未附中文翻译本或翻译内容与外文原文存在明显偏差的，由此产生的不利后果由供应商自行承担。</w:t>
      </w:r>
    </w:p>
    <w:p w14:paraId="736ECC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9. 响应文件构成</w:t>
      </w:r>
    </w:p>
    <w:p w14:paraId="32E2CD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9.1 供应商须按照磋商文件要求规范编制响应文件，对文件内容的真实性、合法性承担全部法律责任，响应文件具体格式要求详见第六章《响应文件格式》。</w:t>
      </w:r>
    </w:p>
    <w:p w14:paraId="116911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9.2 磋商文件</w:t>
      </w:r>
      <w:r>
        <w:rPr>
          <w:rFonts w:hint="eastAsia"/>
          <w:color w:val="auto"/>
          <w:sz w:val="24"/>
          <w:szCs w:val="24"/>
          <w:highlight w:val="none"/>
          <w:lang w:eastAsia="zh-CN"/>
        </w:rPr>
        <w:t>成交</w:t>
      </w:r>
      <w:r>
        <w:rPr>
          <w:rFonts w:hint="eastAsia"/>
          <w:color w:val="auto"/>
          <w:sz w:val="24"/>
          <w:szCs w:val="24"/>
          <w:highlight w:val="none"/>
        </w:rPr>
        <w:t>注“实质性格式”的文件，供应商不得擅自更改格式既定文字含义，不得删减格式中实质性内容，不得自行添加与格式内容相矛盾的条款，不得空白填写关键内容或未做实质性响应，违反上述要求的，响应文件按无效处理；未标注“实质性格式”的文件及文件未约定格式的内容，供应商可自行合理编制。</w:t>
      </w:r>
    </w:p>
    <w:p w14:paraId="207E0E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9.3 第三章《评审方法和评审标准》中明确要求提交的各类资质、业绩、荣誉等证明文件，须按要求完整提供，缺一不可。</w:t>
      </w:r>
    </w:p>
    <w:p w14:paraId="4E39D3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9.4 对照第四章《采购需求》，详细说明所提供货物、工程或服务对采购需求的响应情况，明确申明响应偏差及例外情形；采购需求中要求提供对应证明文件的，须按要求一并提交。</w:t>
      </w:r>
    </w:p>
    <w:p w14:paraId="122924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9.5 供应商认为需要补充提交的其他佐证材料、优势说明等相关资料，可自行附入响应文件。</w:t>
      </w:r>
    </w:p>
    <w:p w14:paraId="4AA1BA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10. 报价要求</w:t>
      </w:r>
    </w:p>
    <w:p w14:paraId="32E327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10.1 本项目所有响应报价均以人民币为计价货币，不接受外币报价。</w:t>
      </w:r>
    </w:p>
    <w:p w14:paraId="010E98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10.2 供应商报价为完成本项目采购需求的全费用包干价，包含所有成本、税费及相关费用，采购人不再支付报价以外的任何额外费用；报价范围包括但不限于：响应货物及标准附件、备品备件、专用工具的出厂价（含进口货物完税后交货价）、运输费、保险费、安装调试费、检验检测费、技术服务费、培训费、质量保修费、售后服务费、各项税费及完成项目所需的全部相关费用，《供应商须知前附表》有特殊规定的，从其规定。</w:t>
      </w:r>
    </w:p>
    <w:p w14:paraId="019E94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10.3 采购人严禁向供应商索要或接受赠品、回扣及与本项目采购无关的其他商品、服务，供应商不得提供上述违规利益，否则按违法违规处理，取消响应或成交资格。</w:t>
      </w:r>
    </w:p>
    <w:p w14:paraId="0AC530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10.4 供应商不得提交选择性、可调整式最终报价（磋商文件另有规定的除外），否则响应文件按无效处理。</w:t>
      </w:r>
    </w:p>
    <w:p w14:paraId="4A957B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 磋商保证金</w:t>
      </w:r>
    </w:p>
    <w:p w14:paraId="597840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11.1 供应商须按照《供应商须知前附表》约定的金额、形式及时限，足额交纳磋商保证金，未按要求交纳的，响应文件按无效处理。</w:t>
      </w:r>
    </w:p>
    <w:p w14:paraId="104E55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11.2 磋商保证金可采用政府采购法律法规认可的非现金形式交纳，包括支票、汇票、本票、网上银行支付，以及金融机构、担保机构出具的有效保函等。</w:t>
      </w:r>
    </w:p>
    <w:p w14:paraId="1DFDA3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11.3 磋商保证金到账（保函原件提交）截止时间，与首次响应文件提交截止时间一致；以支票、汇票、本票、网上银行支付形式提交的，须在截止时间前足额到账；以保函形式提交的，须在截止时间前将保函原件递交至采购代理机构；因到账超时、票据错误、印鉴不清等原因导致保证金无效的，响应文件按无效处理。</w:t>
      </w:r>
    </w:p>
    <w:p w14:paraId="7C88FA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11.4 磋商保证金有效期与响应有效期一致。</w:t>
      </w:r>
    </w:p>
    <w:p w14:paraId="3554D7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11.5 联合体参与响应的，可由联合体一方或多方共同交纳磋商保证金，交纳的保证金对联合体所有成员均具有法律约束力。</w:t>
      </w:r>
    </w:p>
    <w:p w14:paraId="0D27C1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11.6 采购人、采购代理机构将按规定及时退还磋商保证金，以银行保函、担保函形式提交的，经供应商同意可不予退还原件；因供应商自身原因导致保证金无法及时退还的，采购人及采购代理机构不承担责任。具体退还规则：</w:t>
      </w:r>
    </w:p>
    <w:p w14:paraId="0A55C7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rPr>
        <w:t>已提交响应文件的供应商，在提交最后报价前退出磋商的，保证金予以退还；</w:t>
      </w:r>
    </w:p>
    <w:p w14:paraId="6EE179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rPr>
        <w:t>成交供应商的保证金，在政府采购合同签订后5个工作日内退还；</w:t>
      </w:r>
    </w:p>
    <w:p w14:paraId="7E745D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rPr>
        <w:t>未成交供应商的保证金，在成交通知书发出后5个工作日内退还。</w:t>
      </w:r>
    </w:p>
    <w:p w14:paraId="0DFEB7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11.7 出现以下情形之一的，磋商保证金不予退还：</w:t>
      </w:r>
    </w:p>
    <w:p w14:paraId="424CD1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rPr>
        <w:t>供应商在响应文件提交截止时间后，擅自撤回响应文件的；</w:t>
      </w:r>
    </w:p>
    <w:p w14:paraId="3B214A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rPr>
        <w:t>供应商在响应文件中提供虚假材料、虚假证明文件的；</w:t>
      </w:r>
    </w:p>
    <w:p w14:paraId="11EDDA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rPr>
        <w:t>除不可抗力或磋商文件认可的特殊情形外，成交供应商拒绝与采购人签订政府采购合同的；</w:t>
      </w:r>
    </w:p>
    <w:p w14:paraId="79784D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rPr>
        <w:t>供应商与采购人、其他供应商或采购代理机构恶意串通，扰乱采购秩序的；</w:t>
      </w:r>
    </w:p>
    <w:p w14:paraId="61AC7C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rPr>
        <w:t>《供应商须知前附表》约定的其他不予退还情形。</w:t>
      </w:r>
    </w:p>
    <w:p w14:paraId="2C9B24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12. 响应有效期</w:t>
      </w:r>
    </w:p>
    <w:p w14:paraId="501937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响应文件须在《供应商须知前附表》规定的响应有效期内保持有效，响应有效期短于文件规定期限的，响应文件按无效处理。</w:t>
      </w:r>
    </w:p>
    <w:p w14:paraId="3A1770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13. 响应文件签署与盖章</w:t>
      </w:r>
    </w:p>
    <w:p w14:paraId="075B85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13.1 磋商文件要求签字的内容（如法定代表人授权委托书等），可使用合法有效电子签章，或提交原件扫描件、照片等电子件；要求第三方出具的盖章原件（如联合体协议、分包意向协议、制造商授权书等），响应文件中须提交原件电子件。</w:t>
      </w:r>
    </w:p>
    <w:p w14:paraId="1FDB54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13.2 磋商文件要求盖章的内容，原则上通过响应文件编制工具加盖合法有效电子签章，确保签章真实、可核验。</w:t>
      </w:r>
    </w:p>
    <w:p w14:paraId="199113C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b/>
          <w:bCs/>
          <w:color w:val="auto"/>
          <w:sz w:val="24"/>
          <w:szCs w:val="24"/>
          <w:highlight w:val="none"/>
        </w:rPr>
      </w:pPr>
      <w:bookmarkStart w:id="29" w:name="_Toc10719"/>
      <w:r>
        <w:rPr>
          <w:rFonts w:hint="eastAsia"/>
          <w:b/>
          <w:bCs/>
          <w:color w:val="auto"/>
          <w:sz w:val="24"/>
          <w:szCs w:val="24"/>
          <w:highlight w:val="none"/>
        </w:rPr>
        <w:t>四、响应文件的提交</w:t>
      </w:r>
      <w:bookmarkEnd w:id="29"/>
    </w:p>
    <w:p w14:paraId="244EF7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p>
    <w:p w14:paraId="063D3A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14. 响应文件提交方式</w:t>
      </w:r>
    </w:p>
    <w:p w14:paraId="37C2EF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14.1 本项目通过新疆政府采购电子交易平台开展全流程电子化采购，供应商须按照磋商文件及电子交易平台供应商操作手册要求，完成响应文件的编制、生成、加密及线上提交。</w:t>
      </w:r>
    </w:p>
    <w:p w14:paraId="32C443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14.2 采购人及采购代理机构拒绝接受电子交易平台以外任何形式提交的响应文件（磋商保证金除外），逾期线下提交的响应文件不予接收、不予评审。</w:t>
      </w:r>
    </w:p>
    <w:p w14:paraId="5DAD4C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15. 响应文件提交截止时间</w:t>
      </w:r>
    </w:p>
    <w:p w14:paraId="604499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供应商须严格在磋商文件规定的响应文件提交截止时间前，完成电子响应文件在新疆政府采购电子交易平台的成功提交，逾期平台将自动关闭提交通道，不予受理逾期响应文件。</w:t>
      </w:r>
    </w:p>
    <w:p w14:paraId="1943C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16. 响应文件的修改与撤回</w:t>
      </w:r>
    </w:p>
    <w:p w14:paraId="24FA78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16.1 响应文件提交截止时间前，供应商可通过新疆政府采购电子交易平台，对已提交的响应文件进行补充、修改或撤回；磋商保证金的补充、修改或撤回无需通过平台操作，但须提前书面通知采购人或采购代理机构。</w:t>
      </w:r>
    </w:p>
    <w:p w14:paraId="55997C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16.2 供应商对响应文件的补充、修改内容，须按磋商文件要求完成签字、盖章，作为响应文件的有效组成部分；补充、修改内容与原响应文件内容不一致的，以补充、修改后的内容为准。</w:t>
      </w:r>
    </w:p>
    <w:p w14:paraId="6720EE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rPr>
      </w:pPr>
    </w:p>
    <w:p w14:paraId="5023422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b/>
          <w:bCs/>
          <w:color w:val="auto"/>
          <w:sz w:val="24"/>
          <w:szCs w:val="24"/>
          <w:highlight w:val="none"/>
        </w:rPr>
      </w:pPr>
      <w:bookmarkStart w:id="30" w:name="_Toc11194"/>
      <w:r>
        <w:rPr>
          <w:rFonts w:hint="eastAsia"/>
          <w:b/>
          <w:bCs/>
          <w:color w:val="auto"/>
          <w:sz w:val="24"/>
          <w:szCs w:val="24"/>
          <w:highlight w:val="none"/>
        </w:rPr>
        <w:t>五、评 审</w:t>
      </w:r>
      <w:bookmarkEnd w:id="30"/>
    </w:p>
    <w:p w14:paraId="56B024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p>
    <w:p w14:paraId="2C9BE0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17. 响应文件解密与开启</w:t>
      </w:r>
    </w:p>
    <w:p w14:paraId="64E97A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17.1 采购人或采购代理机构将严格按照磋商文件约定，在响应文件提交截止时间的同一时间、预先确定的地点，开启响应文件并组织评审。</w:t>
      </w:r>
    </w:p>
    <w:p w14:paraId="2F9676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17.2 本项目响应文件解密通过新疆政府采购电子交易平台完成，供应商须在规定时限内完成线上解密，因供应商自身操作失误、设备故障等非系统原因导致解密失败的，响应文件按无效处理。</w:t>
      </w:r>
    </w:p>
    <w:p w14:paraId="18CFA8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17.3 供应商认为采购人员、评审专家及相关工作人员与其他供应商存在利害关系，可能影响评审公正性的，可向采购人或采购代理机构书面提出回避申请，并说明具体理由；采购人或采购代理机构将及时核查，被申请回避人员确有利害关系的，予以回避。</w:t>
      </w:r>
    </w:p>
    <w:p w14:paraId="64EE81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17.4 参与响应的合格供应商不足3家的，响应文件不予解密，本次采购活动按相关规定处理。</w:t>
      </w:r>
    </w:p>
    <w:p w14:paraId="32EE82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17.5 本项目评审过程不公开供应商报价，严格遵循保密评审原则。</w:t>
      </w:r>
    </w:p>
    <w:p w14:paraId="113577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18. 磋商小组</w:t>
      </w:r>
    </w:p>
    <w:p w14:paraId="6295F7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18.1 磋商小组依据政府采购相关法律法规及本项目特点依法组建，全权负责本次项目的评审、磋商等相关工作，独立履行评审职责，不受任何单位和个人非法干预。</w:t>
      </w:r>
    </w:p>
    <w:p w14:paraId="3314D5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18.2 磋商小组评审专家须符合《财政部关于在政府采购活动中查询及使用信用记录有关问题的通知》（财库〔2016〕125 号）相关规定；采购人和采购代理机构将依法核查专家信用记录，对存在行贿、受贿、欺诈等不良信用记录的人员，拒绝其参与本项目政府采购活动。</w:t>
      </w:r>
    </w:p>
    <w:p w14:paraId="1E9A566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19. 评审方法和评审标准</w:t>
      </w:r>
    </w:p>
    <w:p w14:paraId="1F253F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本项目具体评审方法、评审细则、评分标准及无效响应认定情形，详见第三章《评审方法和评审标准》，磋商小组严格按照该章节开展评审工作。</w:t>
      </w:r>
    </w:p>
    <w:p w14:paraId="192A31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p>
    <w:p w14:paraId="05B8895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b/>
          <w:bCs/>
          <w:color w:val="auto"/>
          <w:sz w:val="24"/>
          <w:szCs w:val="24"/>
          <w:highlight w:val="none"/>
        </w:rPr>
      </w:pPr>
      <w:bookmarkStart w:id="31" w:name="_Toc5845"/>
      <w:r>
        <w:rPr>
          <w:rFonts w:hint="eastAsia"/>
          <w:b/>
          <w:bCs/>
          <w:color w:val="auto"/>
          <w:sz w:val="24"/>
          <w:szCs w:val="24"/>
          <w:highlight w:val="none"/>
        </w:rPr>
        <w:t>六、确定成交及后续事项</w:t>
      </w:r>
      <w:bookmarkEnd w:id="31"/>
    </w:p>
    <w:p w14:paraId="6A2E67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p>
    <w:p w14:paraId="7C8603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20. 成交供应商确定</w:t>
      </w:r>
    </w:p>
    <w:p w14:paraId="59ECE6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20.1 采购人收到磋商小组提交的评审报告后，从评审报告推荐的成交候选供应商中，按照排序由高到低的原则确定成交供应商；采购人是否授权磋商小组直接确定成交供应商，详见《供应商须知前附表》。成交候选人排名并列的，按照《供应商须知前附表》约定规则确定最终成交供应商。</w:t>
      </w:r>
    </w:p>
    <w:p w14:paraId="7B0FD5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21. 成交公告与成交通知书</w:t>
      </w:r>
    </w:p>
    <w:p w14:paraId="6BC08E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21.1 成交供应商确定后2个工作日内，采购人或采购代理机构将在新疆政府采购网发布成交结果公告，公告期限为1个工作日，同时向成交供应商发出成交通知书。</w:t>
      </w:r>
    </w:p>
    <w:p w14:paraId="7EE83B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21.2 成交通知书对采购人和成交供应商均具有法律效力，成交通知书发出后，采购人擅自改变成交结果，或成交供应商无故放弃成交项目的，须依法承担相应法律责任。</w:t>
      </w:r>
    </w:p>
    <w:p w14:paraId="0E737D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22. 采购活动终止</w:t>
      </w:r>
    </w:p>
    <w:p w14:paraId="7AE8D6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出现以下情形之一的，采购人或采购代理机构将依法终止本项目竞争性磋商采购活动，发布项目终止公告并说明原因，后续根据实际情况重新开展采购活动：</w:t>
      </w:r>
    </w:p>
    <w:p w14:paraId="43F8325F">
      <w:pPr>
        <w:keepNext w:val="0"/>
        <w:keepLines w:val="0"/>
        <w:pageBreakBefore w:val="0"/>
        <w:widowControl w:val="0"/>
        <w:kinsoku/>
        <w:wordWrap/>
        <w:overflowPunct/>
        <w:topLinePunct w:val="0"/>
        <w:autoSpaceDE/>
        <w:autoSpaceDN/>
        <w:bidi w:val="0"/>
        <w:adjustRightInd/>
        <w:snapToGrid/>
        <w:spacing w:line="480" w:lineRule="exact"/>
        <w:ind w:left="480" w:leftChars="200" w:firstLine="0" w:firstLineChars="0"/>
        <w:textAlignment w:val="auto"/>
        <w:rPr>
          <w:rFonts w:hint="eastAsia"/>
          <w:color w:val="auto"/>
          <w:sz w:val="24"/>
          <w:szCs w:val="24"/>
          <w:highlight w:val="none"/>
        </w:rPr>
      </w:pPr>
      <w:r>
        <w:rPr>
          <w:rFonts w:hint="eastAsia"/>
          <w:color w:val="auto"/>
          <w:sz w:val="24"/>
          <w:szCs w:val="24"/>
          <w:highlight w:val="none"/>
        </w:rPr>
        <w:br w:type="textWrapping"/>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rPr>
        <w:t>因项目情况发生重大变化，不再符合竞争性磋商采购方式适用法定情形的；</w:t>
      </w:r>
    </w:p>
    <w:p w14:paraId="3BB2B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rPr>
        <w:t xml:space="preserve"> 采购过程中出现影响采购公正的违法、违规行为的；</w:t>
      </w:r>
    </w:p>
    <w:p w14:paraId="29C46D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rPr>
        <w:t>除市场竞争不充分的科研项目、需扶持的科技成果转化项目（提交最后报价供应商可为2家），以及政府购买服务项目（含PPP项目，符合要求供应商为2家可继续开展）外，采购过程中符合要求的供应商或报价未超采购预算的供应商不足3家的。</w:t>
      </w:r>
    </w:p>
    <w:p w14:paraId="37376F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23. 合同签订</w:t>
      </w:r>
    </w:p>
    <w:p w14:paraId="6DBE58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23.1 采购人与成交供应商须在成交通知书发出之日起30日内，严格按照磋商文件确定的合同文本、采购标的、规格型号、采购金额、采购数量、技术及服务要求等核心内容，签订正式政府采购合同，不得擅自变更、中止或终止合同。</w:t>
      </w:r>
    </w:p>
    <w:p w14:paraId="268229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23.2 成交供应商无故拒绝签订政府采购合同的，采购人可按评审报告推荐的成交候选人排序，确定下一候选人为成交供应商，或重新开展采购活动；拒绝签订合同的成交供应商，不得参与本项目重新开展的采购活动。</w:t>
      </w:r>
    </w:p>
    <w:p w14:paraId="486F10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23.3 联合体成交的，联合体所有成员须共同与采购人签订合同，就合同约定事项向采购人承担连带责任。</w:t>
      </w:r>
    </w:p>
    <w:p w14:paraId="335E1D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23.4 本项目政府采购合同严禁整体转包，成交供应商不得擅自转包合同标的。</w:t>
      </w:r>
    </w:p>
    <w:p w14:paraId="705ACF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23.5 采购人允许分包履行合同的，成交供应商可依法分包，本项目是否允许分包详见《供应商须知前附表》；合同分包履行的，须在响应文件中明确载明分包承担主体，分包主体须具备相应资质且不得再次分包，否则响应文件按无效处理。成交供应商就项目整体及分包部分向采购人负责，分包供应商就分包项目承担相应责任。</w:t>
      </w:r>
    </w:p>
    <w:p w14:paraId="030BCA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 询问与质疑</w:t>
      </w:r>
    </w:p>
    <w:p w14:paraId="07F44E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24.1 询问</w:t>
      </w:r>
    </w:p>
    <w:p w14:paraId="1FD606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24.1.1 供应商对本项目政府采购活动相关事项有疑问的，可依法提出询问，询问材料按《供应商须知前附表》载明的形式送达采购人或采购代理机构。</w:t>
      </w:r>
    </w:p>
    <w:p w14:paraId="0CE0A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24.1.2 采购人或采购代理机构收到供应商合法询问后，将在3个工作日内作出书面答复，答复内容不涉及任何商业秘密。</w:t>
      </w:r>
    </w:p>
    <w:p w14:paraId="0F12DC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24.2 质疑</w:t>
      </w:r>
    </w:p>
    <w:p w14:paraId="6FB31B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24.2.1 供应商认为磋商文件、采购过程、成交结果损害自身合法权益的，可在知道或应知权益受损之日起7个工作日内，以书面形式向采购人、采购代理机构提出质疑；采购人或采购代理机构收到有效质疑函后，将在7个工作日内作出书面答复。</w:t>
      </w:r>
    </w:p>
    <w:p w14:paraId="6C9ADA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24.2.2 质疑函须使用财政部统一制定的规范范本，供应商为自然人的，质疑函由本人签字；供应商为法人或其他组织的，质疑函由法定代表人、主要负责人或其授权代表签字盖章，并加盖单位公章。</w:t>
      </w:r>
    </w:p>
    <w:p w14:paraId="1CC423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24.2.3 供应商委托代理人提出质疑的，须同步提交签署完整的授权委托书，载明代理人姓名、代理事项、具体权限、代理期限等内容；自然人委托的由本人签字，法人或其他组织委托的由法定代表人、主要负责人签字盖章，并加盖单位公章。</w:t>
      </w:r>
    </w:p>
    <w:p w14:paraId="0825D1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24.2.4 供应商须在法定质疑期内，一次性提出针对同一采购程序环节的所有质疑</w:t>
      </w:r>
      <w:r>
        <w:rPr>
          <w:rFonts w:hint="eastAsia"/>
          <w:color w:val="auto"/>
          <w:sz w:val="24"/>
          <w:szCs w:val="24"/>
          <w:highlight w:val="none"/>
          <w:lang w:eastAsia="zh-CN"/>
        </w:rPr>
        <w:t>，在</w:t>
      </w:r>
      <w:r>
        <w:rPr>
          <w:rFonts w:hint="eastAsia"/>
          <w:color w:val="auto"/>
          <w:sz w:val="24"/>
          <w:szCs w:val="24"/>
          <w:highlight w:val="none"/>
        </w:rPr>
        <w:t>法定质疑期内重复提出同一环节质疑的，采购人及采购代理机构有权不予答复。</w:t>
      </w:r>
    </w:p>
    <w:p w14:paraId="5E83D0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 xml:space="preserve">24.3 </w:t>
      </w:r>
      <w:r>
        <w:rPr>
          <w:rFonts w:hint="eastAsia"/>
          <w:color w:val="auto"/>
          <w:sz w:val="24"/>
          <w:szCs w:val="24"/>
          <w:highlight w:val="none"/>
          <w:lang w:eastAsia="zh-CN"/>
        </w:rPr>
        <w:t>接受</w:t>
      </w:r>
      <w:r>
        <w:rPr>
          <w:rFonts w:hint="eastAsia"/>
          <w:color w:val="auto"/>
          <w:sz w:val="24"/>
          <w:szCs w:val="24"/>
          <w:highlight w:val="none"/>
        </w:rPr>
        <w:t>询问、质疑的联系部门、联系电话及通讯地址，详见《供应商须知前附表》。</w:t>
      </w:r>
    </w:p>
    <w:p w14:paraId="7F9B62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25. 采购代理费</w:t>
      </w:r>
    </w:p>
    <w:p w14:paraId="07F841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rPr>
        <w:t>本项目采购代理费的收费对象、收费标准及缴纳时限，详见《供应商须知前附表》；若约定由成交供应商支付，成交供应商须在规定时限内一次性向采购代理机构足额缴纳，响应报价须包含该笔代理费用，采购人不再另行支付。</w:t>
      </w:r>
    </w:p>
    <w:p w14:paraId="28B5F7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highlight w:val="none"/>
        </w:rPr>
      </w:pPr>
    </w:p>
    <w:p w14:paraId="64E13F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B15FCF7">
      <w:pPr>
        <w:pStyle w:val="2"/>
        <w:pageBreakBefore w:val="0"/>
        <w:widowControl/>
        <w:numPr>
          <w:ilvl w:val="0"/>
          <w:numId w:val="0"/>
        </w:numPr>
        <w:tabs>
          <w:tab w:val="clear" w:pos="360"/>
        </w:tabs>
        <w:kinsoku w:val="0"/>
        <w:wordWrap/>
        <w:overflowPunct/>
        <w:topLinePunct w:val="0"/>
        <w:autoSpaceDE w:val="0"/>
        <w:autoSpaceDN w:val="0"/>
        <w:bidi w:val="0"/>
        <w:adjustRightInd w:val="0"/>
        <w:snapToGrid w:val="0"/>
        <w:spacing w:line="480" w:lineRule="exact"/>
        <w:ind w:left="360" w:leftChars="0" w:hanging="360" w:firstLineChars="0"/>
        <w:jc w:val="center"/>
        <w:textAlignment w:val="baseline"/>
        <w:rPr>
          <w:rFonts w:hint="eastAsia" w:ascii="宋体" w:hAnsi="宋体" w:eastAsia="宋体" w:cs="宋体"/>
          <w:color w:val="auto"/>
          <w:highlight w:val="none"/>
        </w:rPr>
      </w:pPr>
      <w:bookmarkStart w:id="32" w:name="_Toc4525"/>
      <w:r>
        <w:rPr>
          <w:rFonts w:hint="eastAsia" w:ascii="宋体" w:hAnsi="宋体" w:eastAsia="宋体" w:cs="宋体"/>
          <w:color w:val="auto"/>
          <w:highlight w:val="none"/>
        </w:rPr>
        <w:t>第三章   评审方法和评审标准</w:t>
      </w:r>
      <w:bookmarkEnd w:id="32"/>
    </w:p>
    <w:p w14:paraId="5E407829">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auto"/>
          <w:sz w:val="24"/>
          <w:szCs w:val="24"/>
          <w:highlight w:val="none"/>
        </w:rPr>
      </w:pPr>
    </w:p>
    <w:p w14:paraId="2987FFD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0"/>
        <w:rPr>
          <w:rFonts w:hint="eastAsia" w:ascii="宋体" w:hAnsi="宋体" w:eastAsia="宋体" w:cs="宋体"/>
          <w:b/>
          <w:bCs/>
          <w:color w:val="auto"/>
          <w:sz w:val="28"/>
          <w:szCs w:val="28"/>
          <w:highlight w:val="none"/>
        </w:rPr>
      </w:pPr>
      <w:bookmarkStart w:id="33" w:name="_Toc545"/>
      <w:bookmarkStart w:id="34" w:name="_Toc10847"/>
      <w:r>
        <w:rPr>
          <w:rFonts w:hint="eastAsia" w:ascii="宋体" w:hAnsi="宋体" w:eastAsia="宋体" w:cs="宋体"/>
          <w:b/>
          <w:bCs/>
          <w:color w:val="auto"/>
          <w:sz w:val="28"/>
          <w:szCs w:val="28"/>
          <w:highlight w:val="none"/>
        </w:rPr>
        <w:t>一、资格审查程序</w:t>
      </w:r>
      <w:bookmarkEnd w:id="33"/>
      <w:bookmarkEnd w:id="34"/>
    </w:p>
    <w:p w14:paraId="57BCD05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outlineLvl w:val="1"/>
        <w:rPr>
          <w:rFonts w:hint="eastAsia" w:ascii="宋体" w:hAnsi="宋体" w:eastAsia="宋体" w:cs="宋体"/>
          <w:color w:val="auto"/>
          <w:sz w:val="24"/>
          <w:szCs w:val="24"/>
          <w:highlight w:val="none"/>
        </w:rPr>
      </w:pPr>
      <w:bookmarkStart w:id="35" w:name="_Toc3455"/>
      <w:bookmarkStart w:id="36" w:name="_Toc1840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响应文件的资格审查和符合性审查</w:t>
      </w:r>
      <w:bookmarkEnd w:id="35"/>
      <w:bookmarkEnd w:id="36"/>
    </w:p>
    <w:p w14:paraId="4E5448C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3383835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《资格审查要求》中对格式有要求的，除竞争性磋商文件另有规定外，均为“实质性格式”文件。</w:t>
      </w:r>
    </w:p>
    <w:p w14:paraId="39820E9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《资格审查要求》见下表：</w:t>
      </w:r>
    </w:p>
    <w:p w14:paraId="54ECB41C">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w:t>
      </w:r>
    </w:p>
    <w:tbl>
      <w:tblPr>
        <w:tblStyle w:val="3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57"/>
        <w:gridCol w:w="5130"/>
        <w:gridCol w:w="2111"/>
      </w:tblGrid>
      <w:tr w14:paraId="4FCF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02" w:type="dxa"/>
            <w:gridSpan w:val="2"/>
            <w:tcBorders>
              <w:tl2br w:val="nil"/>
              <w:tr2bl w:val="nil"/>
            </w:tcBorders>
            <w:vAlign w:val="center"/>
          </w:tcPr>
          <w:p w14:paraId="53BBFC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spacing w:val="-2"/>
                <w:highlight w:val="none"/>
              </w:rPr>
              <w:t>审查内容</w:t>
            </w:r>
          </w:p>
        </w:tc>
        <w:tc>
          <w:tcPr>
            <w:tcW w:w="5130" w:type="dxa"/>
            <w:tcBorders>
              <w:tl2br w:val="nil"/>
              <w:tr2bl w:val="nil"/>
            </w:tcBorders>
            <w:vAlign w:val="center"/>
          </w:tcPr>
          <w:p w14:paraId="085FCC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spacing w:val="-2"/>
                <w:highlight w:val="none"/>
              </w:rPr>
              <w:t>审查标准</w:t>
            </w:r>
          </w:p>
        </w:tc>
        <w:tc>
          <w:tcPr>
            <w:tcW w:w="2111" w:type="dxa"/>
            <w:tcBorders>
              <w:tl2br w:val="nil"/>
              <w:tr2bl w:val="nil"/>
            </w:tcBorders>
            <w:vAlign w:val="center"/>
          </w:tcPr>
          <w:p w14:paraId="1B33F9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highlight w:val="none"/>
              </w:rPr>
            </w:pPr>
            <w:r>
              <w:rPr>
                <w:color w:val="auto"/>
                <w:highlight w:val="none"/>
              </w:rPr>
              <w:t>格式要求</w:t>
            </w:r>
          </w:p>
        </w:tc>
      </w:tr>
      <w:tr w14:paraId="33B3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5" w:type="dxa"/>
            <w:tcBorders>
              <w:tl2br w:val="nil"/>
              <w:tr2bl w:val="nil"/>
            </w:tcBorders>
            <w:vAlign w:val="center"/>
          </w:tcPr>
          <w:p w14:paraId="61C7D9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kern w:val="2"/>
                <w:highlight w:val="none"/>
              </w:rPr>
              <w:t>1</w:t>
            </w:r>
          </w:p>
        </w:tc>
        <w:tc>
          <w:tcPr>
            <w:tcW w:w="1457" w:type="dxa"/>
            <w:tcBorders>
              <w:tl2br w:val="nil"/>
              <w:tr2bl w:val="nil"/>
            </w:tcBorders>
            <w:vAlign w:val="center"/>
          </w:tcPr>
          <w:p w14:paraId="5A723A33">
            <w:pPr>
              <w:keepNext w:val="0"/>
              <w:keepLines w:val="0"/>
              <w:pageBreakBefore w:val="0"/>
              <w:widowControl w:val="0"/>
              <w:kinsoku/>
              <w:wordWrap/>
              <w:overflowPunct/>
              <w:topLinePunct w:val="0"/>
              <w:autoSpaceDE/>
              <w:autoSpaceDN/>
              <w:bidi w:val="0"/>
              <w:adjustRightInd/>
              <w:snapToGrid/>
              <w:spacing w:line="480" w:lineRule="exact"/>
              <w:jc w:val="both"/>
              <w:textAlignment w:val="auto"/>
              <w:rPr>
                <w:color w:val="auto"/>
                <w:kern w:val="2"/>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5130" w:type="dxa"/>
            <w:tcBorders>
              <w:tl2br w:val="nil"/>
              <w:tr2bl w:val="nil"/>
            </w:tcBorders>
            <w:vAlign w:val="center"/>
          </w:tcPr>
          <w:p w14:paraId="382279BB">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highlight w:val="none"/>
              </w:rPr>
            </w:pPr>
            <w:r>
              <w:rPr>
                <w:rFonts w:hint="eastAsia"/>
                <w:color w:val="auto"/>
                <w:highlight w:val="none"/>
                <w:lang w:eastAsia="zh-CN"/>
              </w:rPr>
              <w:t>供应商</w:t>
            </w:r>
            <w:r>
              <w:rPr>
                <w:rFonts w:hint="eastAsia"/>
                <w:color w:val="auto"/>
                <w:highlight w:val="none"/>
              </w:rPr>
              <w:t>为企业（包括合伙企业）的，应提供有效的“营业执照”；</w:t>
            </w:r>
          </w:p>
          <w:p w14:paraId="00C67C15">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highlight w:val="none"/>
              </w:rPr>
            </w:pPr>
            <w:r>
              <w:rPr>
                <w:rFonts w:hint="eastAsia"/>
                <w:color w:val="auto"/>
                <w:highlight w:val="none"/>
                <w:lang w:eastAsia="zh-CN"/>
              </w:rPr>
              <w:t>供应商</w:t>
            </w:r>
            <w:r>
              <w:rPr>
                <w:rFonts w:hint="eastAsia"/>
                <w:color w:val="auto"/>
                <w:highlight w:val="none"/>
              </w:rPr>
              <w:t>为事业单位的，应提供有效的“事业单位法人证书”；</w:t>
            </w:r>
          </w:p>
          <w:p w14:paraId="1998479D">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highlight w:val="none"/>
              </w:rPr>
            </w:pPr>
            <w:r>
              <w:rPr>
                <w:rFonts w:hint="eastAsia"/>
                <w:color w:val="auto"/>
                <w:highlight w:val="none"/>
                <w:lang w:eastAsia="zh-CN"/>
              </w:rPr>
              <w:t>供应商</w:t>
            </w:r>
            <w:r>
              <w:rPr>
                <w:rFonts w:hint="eastAsia"/>
                <w:color w:val="auto"/>
                <w:highlight w:val="none"/>
              </w:rPr>
              <w:t>是非企业机构的，应提供有效的“执业许可证”、“登记证书”等证明文件；</w:t>
            </w:r>
          </w:p>
          <w:p w14:paraId="74F2D3D5">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highlight w:val="none"/>
              </w:rPr>
            </w:pPr>
            <w:r>
              <w:rPr>
                <w:rFonts w:hint="eastAsia"/>
                <w:color w:val="auto"/>
                <w:highlight w:val="none"/>
                <w:lang w:eastAsia="zh-CN"/>
              </w:rPr>
              <w:t>供应商</w:t>
            </w:r>
            <w:r>
              <w:rPr>
                <w:rFonts w:hint="eastAsia"/>
                <w:color w:val="auto"/>
                <w:highlight w:val="none"/>
              </w:rPr>
              <w:t>是个体工商户的，应提供有效的“个体工商户营业执照”；</w:t>
            </w:r>
          </w:p>
          <w:p w14:paraId="1104C16D">
            <w:pPr>
              <w:keepNext w:val="0"/>
              <w:keepLines w:val="0"/>
              <w:pageBreakBefore w:val="0"/>
              <w:kinsoku/>
              <w:wordWrap/>
              <w:overflowPunct/>
              <w:topLinePunct w:val="0"/>
              <w:autoSpaceDE/>
              <w:autoSpaceDN/>
              <w:bidi w:val="0"/>
              <w:adjustRightInd/>
              <w:snapToGrid/>
              <w:spacing w:line="480" w:lineRule="exact"/>
              <w:textAlignment w:val="auto"/>
              <w:rPr>
                <w:rFonts w:hint="eastAsia"/>
                <w:color w:val="auto"/>
                <w:highlight w:val="none"/>
              </w:rPr>
            </w:pPr>
            <w:r>
              <w:rPr>
                <w:rFonts w:hint="eastAsia"/>
                <w:color w:val="auto"/>
                <w:highlight w:val="none"/>
                <w:lang w:eastAsia="zh-CN"/>
              </w:rPr>
              <w:t>供应商</w:t>
            </w:r>
            <w:r>
              <w:rPr>
                <w:rFonts w:hint="eastAsia"/>
                <w:color w:val="auto"/>
                <w:highlight w:val="none"/>
              </w:rPr>
              <w:t>是自然人的，应提供有效的自然人身份证明。</w:t>
            </w:r>
          </w:p>
          <w:p w14:paraId="1A985E2B">
            <w:pPr>
              <w:keepNext w:val="0"/>
              <w:keepLines w:val="0"/>
              <w:pageBreakBefore w:val="0"/>
              <w:kinsoku/>
              <w:wordWrap/>
              <w:overflowPunct/>
              <w:topLinePunct w:val="0"/>
              <w:autoSpaceDE/>
              <w:autoSpaceDN/>
              <w:bidi w:val="0"/>
              <w:adjustRightInd/>
              <w:snapToGrid/>
              <w:spacing w:line="480" w:lineRule="exact"/>
              <w:textAlignment w:val="auto"/>
              <w:rPr>
                <w:color w:val="auto"/>
                <w:kern w:val="2"/>
                <w:highlight w:val="none"/>
              </w:rPr>
            </w:pPr>
            <w:r>
              <w:rPr>
                <w:rFonts w:hint="eastAsia"/>
                <w:color w:val="auto"/>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2111" w:type="dxa"/>
            <w:tcBorders>
              <w:tl2br w:val="nil"/>
              <w:tr2bl w:val="nil"/>
            </w:tcBorders>
            <w:vAlign w:val="center"/>
          </w:tcPr>
          <w:p w14:paraId="2EE52E54">
            <w:pPr>
              <w:keepNext w:val="0"/>
              <w:keepLines w:val="0"/>
              <w:pageBreakBefore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highlight w:val="none"/>
              </w:rPr>
              <w:t>提供证明文件的电子件或电子证照</w:t>
            </w:r>
          </w:p>
        </w:tc>
      </w:tr>
      <w:tr w14:paraId="537E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45" w:type="dxa"/>
            <w:tcBorders>
              <w:tl2br w:val="nil"/>
              <w:tr2bl w:val="nil"/>
            </w:tcBorders>
            <w:vAlign w:val="center"/>
          </w:tcPr>
          <w:p w14:paraId="17F861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kern w:val="2"/>
                <w:highlight w:val="none"/>
              </w:rPr>
              <w:t>2</w:t>
            </w:r>
          </w:p>
        </w:tc>
        <w:tc>
          <w:tcPr>
            <w:tcW w:w="1457" w:type="dxa"/>
            <w:tcBorders>
              <w:tl2br w:val="nil"/>
              <w:tr2bl w:val="nil"/>
            </w:tcBorders>
            <w:vAlign w:val="center"/>
          </w:tcPr>
          <w:p w14:paraId="5A990DB0">
            <w:pPr>
              <w:keepNext w:val="0"/>
              <w:keepLines w:val="0"/>
              <w:pageBreakBefore w:val="0"/>
              <w:widowControl w:val="0"/>
              <w:kinsoku/>
              <w:wordWrap/>
              <w:overflowPunct/>
              <w:topLinePunct w:val="0"/>
              <w:autoSpaceDE/>
              <w:autoSpaceDN/>
              <w:bidi w:val="0"/>
              <w:adjustRightInd/>
              <w:snapToGrid/>
              <w:spacing w:line="480" w:lineRule="exact"/>
              <w:jc w:val="both"/>
              <w:textAlignment w:val="auto"/>
              <w:rPr>
                <w:color w:val="auto"/>
                <w:spacing w:val="-2"/>
                <w:highlight w:val="none"/>
              </w:rPr>
            </w:pPr>
            <w:r>
              <w:rPr>
                <w:rFonts w:hint="eastAsia"/>
                <w:color w:val="auto"/>
                <w:spacing w:val="-2"/>
                <w:highlight w:val="none"/>
                <w:lang w:eastAsia="zh-CN"/>
              </w:rPr>
              <w:t>供应商</w:t>
            </w:r>
            <w:r>
              <w:rPr>
                <w:rFonts w:hint="eastAsia"/>
                <w:color w:val="auto"/>
                <w:spacing w:val="-2"/>
                <w:highlight w:val="none"/>
              </w:rPr>
              <w:t>代表身份证明</w:t>
            </w:r>
          </w:p>
        </w:tc>
        <w:tc>
          <w:tcPr>
            <w:tcW w:w="5130" w:type="dxa"/>
            <w:tcBorders>
              <w:tl2br w:val="nil"/>
              <w:tr2bl w:val="nil"/>
            </w:tcBorders>
            <w:vAlign w:val="center"/>
          </w:tcPr>
          <w:p w14:paraId="7ED26985">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kern w:val="2"/>
                <w:highlight w:val="none"/>
              </w:rPr>
              <w:t>提供有效的《法定代表人资格证明书》或《法定代表人授权委托书》；</w:t>
            </w:r>
          </w:p>
        </w:tc>
        <w:tc>
          <w:tcPr>
            <w:tcW w:w="2111" w:type="dxa"/>
            <w:tcBorders>
              <w:tl2br w:val="nil"/>
              <w:tr2bl w:val="nil"/>
            </w:tcBorders>
            <w:vAlign w:val="center"/>
          </w:tcPr>
          <w:p w14:paraId="1A2A12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ascii="宋体" w:hAnsi="宋体" w:eastAsia="宋体" w:cs="宋体"/>
                <w:color w:val="auto"/>
                <w:spacing w:val="-6"/>
                <w:sz w:val="24"/>
                <w:szCs w:val="24"/>
                <w:highlight w:val="none"/>
              </w:rPr>
              <w:t>格式见《</w:t>
            </w:r>
            <w:r>
              <w:rPr>
                <w:rFonts w:hint="eastAsia" w:ascii="宋体" w:hAnsi="宋体" w:eastAsia="宋体" w:cs="宋体"/>
                <w:color w:val="auto"/>
                <w:spacing w:val="-6"/>
                <w:sz w:val="24"/>
                <w:szCs w:val="24"/>
                <w:highlight w:val="none"/>
                <w:lang w:eastAsia="zh-CN"/>
              </w:rPr>
              <w:t>响应文件</w:t>
            </w:r>
            <w:r>
              <w:rPr>
                <w:rFonts w:ascii="宋体" w:hAnsi="宋体" w:eastAsia="宋体" w:cs="宋体"/>
                <w:color w:val="auto"/>
                <w:spacing w:val="-4"/>
                <w:sz w:val="24"/>
                <w:szCs w:val="24"/>
                <w:highlight w:val="none"/>
              </w:rPr>
              <w:t>格式》</w:t>
            </w:r>
          </w:p>
        </w:tc>
      </w:tr>
      <w:tr w14:paraId="3148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845" w:type="dxa"/>
            <w:tcBorders>
              <w:tl2br w:val="nil"/>
              <w:tr2bl w:val="nil"/>
            </w:tcBorders>
            <w:vAlign w:val="center"/>
          </w:tcPr>
          <w:p w14:paraId="6B1832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kern w:val="2"/>
                <w:highlight w:val="none"/>
              </w:rPr>
              <w:t>3</w:t>
            </w:r>
          </w:p>
        </w:tc>
        <w:tc>
          <w:tcPr>
            <w:tcW w:w="1457" w:type="dxa"/>
            <w:tcBorders>
              <w:tl2br w:val="nil"/>
              <w:tr2bl w:val="nil"/>
            </w:tcBorders>
            <w:vAlign w:val="center"/>
          </w:tcPr>
          <w:p w14:paraId="13B9F939">
            <w:pPr>
              <w:keepNext w:val="0"/>
              <w:keepLines w:val="0"/>
              <w:pageBreakBefore w:val="0"/>
              <w:widowControl w:val="0"/>
              <w:kinsoku/>
              <w:wordWrap/>
              <w:overflowPunct/>
              <w:topLinePunct w:val="0"/>
              <w:autoSpaceDE/>
              <w:autoSpaceDN/>
              <w:bidi w:val="0"/>
              <w:adjustRightInd/>
              <w:snapToGrid/>
              <w:spacing w:line="480" w:lineRule="exact"/>
              <w:jc w:val="both"/>
              <w:textAlignment w:val="auto"/>
              <w:rPr>
                <w:color w:val="auto"/>
                <w:kern w:val="2"/>
                <w:highlight w:val="none"/>
              </w:rPr>
            </w:pPr>
            <w:r>
              <w:rPr>
                <w:rFonts w:hint="eastAsia"/>
                <w:color w:val="auto"/>
                <w:spacing w:val="-2"/>
                <w:highlight w:val="none"/>
              </w:rPr>
              <w:t>健全的财务会计制度</w:t>
            </w:r>
          </w:p>
        </w:tc>
        <w:tc>
          <w:tcPr>
            <w:tcW w:w="5130" w:type="dxa"/>
            <w:tcBorders>
              <w:tl2br w:val="nil"/>
              <w:tr2bl w:val="nil"/>
            </w:tcBorders>
            <w:vAlign w:val="center"/>
          </w:tcPr>
          <w:p w14:paraId="13041455">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kern w:val="2"/>
                <w:highlight w:val="none"/>
              </w:rPr>
              <w:t>提供上年度财务审计报告或近半年内任意一个月财务报表（财务报表应至少包括资产负债表、损益表、现金流量表或财务状况变动表，当月新成立公司不需提供）；</w:t>
            </w:r>
          </w:p>
        </w:tc>
        <w:tc>
          <w:tcPr>
            <w:tcW w:w="2111" w:type="dxa"/>
            <w:tcBorders>
              <w:tl2br w:val="nil"/>
              <w:tr2bl w:val="nil"/>
            </w:tcBorders>
            <w:vAlign w:val="center"/>
          </w:tcPr>
          <w:p w14:paraId="2F8D22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ascii="宋体" w:hAnsi="宋体" w:eastAsia="宋体" w:cs="宋体"/>
                <w:color w:val="auto"/>
                <w:spacing w:val="-6"/>
                <w:sz w:val="24"/>
                <w:szCs w:val="24"/>
                <w:highlight w:val="none"/>
              </w:rPr>
              <w:t>格式见《</w:t>
            </w:r>
            <w:r>
              <w:rPr>
                <w:rFonts w:hint="eastAsia" w:ascii="宋体" w:hAnsi="宋体" w:eastAsia="宋体" w:cs="宋体"/>
                <w:color w:val="auto"/>
                <w:spacing w:val="-6"/>
                <w:sz w:val="24"/>
                <w:szCs w:val="24"/>
                <w:highlight w:val="none"/>
                <w:lang w:eastAsia="zh-CN"/>
              </w:rPr>
              <w:t>响应文件</w:t>
            </w:r>
            <w:r>
              <w:rPr>
                <w:rFonts w:ascii="宋体" w:hAnsi="宋体" w:eastAsia="宋体" w:cs="宋体"/>
                <w:color w:val="auto"/>
                <w:spacing w:val="-4"/>
                <w:sz w:val="24"/>
                <w:szCs w:val="24"/>
                <w:highlight w:val="none"/>
              </w:rPr>
              <w:t>格式》</w:t>
            </w:r>
          </w:p>
        </w:tc>
      </w:tr>
      <w:tr w14:paraId="5AB1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5" w:type="dxa"/>
            <w:tcBorders>
              <w:tl2br w:val="nil"/>
              <w:tr2bl w:val="nil"/>
            </w:tcBorders>
            <w:vAlign w:val="center"/>
          </w:tcPr>
          <w:p w14:paraId="76D525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kern w:val="2"/>
                <w:highlight w:val="none"/>
              </w:rPr>
              <w:t>4</w:t>
            </w:r>
          </w:p>
        </w:tc>
        <w:tc>
          <w:tcPr>
            <w:tcW w:w="1457" w:type="dxa"/>
            <w:tcBorders>
              <w:tl2br w:val="nil"/>
              <w:tr2bl w:val="nil"/>
            </w:tcBorders>
            <w:vAlign w:val="center"/>
          </w:tcPr>
          <w:p w14:paraId="739CC9A5">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spacing w:val="-2"/>
                <w:kern w:val="2"/>
                <w:highlight w:val="none"/>
              </w:rPr>
              <w:t>缴纳税收</w:t>
            </w:r>
          </w:p>
        </w:tc>
        <w:tc>
          <w:tcPr>
            <w:tcW w:w="5130" w:type="dxa"/>
            <w:tcBorders>
              <w:tl2br w:val="nil"/>
              <w:tr2bl w:val="nil"/>
            </w:tcBorders>
            <w:vAlign w:val="center"/>
          </w:tcPr>
          <w:p w14:paraId="516C9740">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kern w:val="2"/>
                <w:highlight w:val="none"/>
              </w:rPr>
              <w:t>提供的近半年内任意一月依法缴纳税收证明，当月新成立公司不需提供；无需纳税或免税的也需提供</w:t>
            </w:r>
            <w:r>
              <w:rPr>
                <w:rFonts w:hint="eastAsia"/>
                <w:color w:val="auto"/>
                <w:kern w:val="2"/>
                <w:highlight w:val="none"/>
                <w:lang w:eastAsia="zh-CN"/>
              </w:rPr>
              <w:t>相应</w:t>
            </w:r>
            <w:r>
              <w:rPr>
                <w:rFonts w:hint="eastAsia"/>
                <w:color w:val="auto"/>
                <w:kern w:val="2"/>
                <w:highlight w:val="none"/>
              </w:rPr>
              <w:t>证明材料；</w:t>
            </w:r>
          </w:p>
        </w:tc>
        <w:tc>
          <w:tcPr>
            <w:tcW w:w="2111" w:type="dxa"/>
            <w:tcBorders>
              <w:tl2br w:val="nil"/>
              <w:tr2bl w:val="nil"/>
            </w:tcBorders>
            <w:vAlign w:val="center"/>
          </w:tcPr>
          <w:p w14:paraId="53C9FF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ascii="宋体" w:hAnsi="宋体" w:eastAsia="宋体" w:cs="宋体"/>
                <w:color w:val="auto"/>
                <w:spacing w:val="-6"/>
                <w:sz w:val="24"/>
                <w:szCs w:val="24"/>
                <w:highlight w:val="none"/>
              </w:rPr>
              <w:t>格式见《</w:t>
            </w:r>
            <w:r>
              <w:rPr>
                <w:rFonts w:hint="eastAsia" w:ascii="宋体" w:hAnsi="宋体" w:eastAsia="宋体" w:cs="宋体"/>
                <w:color w:val="auto"/>
                <w:spacing w:val="-6"/>
                <w:sz w:val="24"/>
                <w:szCs w:val="24"/>
                <w:highlight w:val="none"/>
                <w:lang w:eastAsia="zh-CN"/>
              </w:rPr>
              <w:t>响应文件</w:t>
            </w:r>
            <w:r>
              <w:rPr>
                <w:rFonts w:ascii="宋体" w:hAnsi="宋体" w:eastAsia="宋体" w:cs="宋体"/>
                <w:color w:val="auto"/>
                <w:spacing w:val="-4"/>
                <w:sz w:val="24"/>
                <w:szCs w:val="24"/>
                <w:highlight w:val="none"/>
              </w:rPr>
              <w:t>格式》</w:t>
            </w:r>
          </w:p>
        </w:tc>
      </w:tr>
      <w:tr w14:paraId="6545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5" w:type="dxa"/>
            <w:tcBorders>
              <w:tl2br w:val="nil"/>
              <w:tr2bl w:val="nil"/>
            </w:tcBorders>
            <w:vAlign w:val="center"/>
          </w:tcPr>
          <w:p w14:paraId="0C7FCE4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kern w:val="2"/>
                <w:highlight w:val="none"/>
              </w:rPr>
              <w:t>5</w:t>
            </w:r>
          </w:p>
        </w:tc>
        <w:tc>
          <w:tcPr>
            <w:tcW w:w="1457" w:type="dxa"/>
            <w:tcBorders>
              <w:tl2br w:val="nil"/>
              <w:tr2bl w:val="nil"/>
            </w:tcBorders>
            <w:vAlign w:val="center"/>
          </w:tcPr>
          <w:p w14:paraId="23B67DA7">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spacing w:val="-2"/>
                <w:kern w:val="2"/>
                <w:highlight w:val="none"/>
              </w:rPr>
              <w:t>缴纳社会保障资金</w:t>
            </w:r>
          </w:p>
        </w:tc>
        <w:tc>
          <w:tcPr>
            <w:tcW w:w="5130" w:type="dxa"/>
            <w:tcBorders>
              <w:tl2br w:val="nil"/>
              <w:tr2bl w:val="nil"/>
            </w:tcBorders>
            <w:vAlign w:val="center"/>
          </w:tcPr>
          <w:p w14:paraId="53562597">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kern w:val="2"/>
                <w:highlight w:val="none"/>
              </w:rPr>
              <w:t>提供社保缴纳证明（近半年内任意一月社保缴纳证明，当月新成立公司不需提供）；</w:t>
            </w:r>
          </w:p>
        </w:tc>
        <w:tc>
          <w:tcPr>
            <w:tcW w:w="2111" w:type="dxa"/>
            <w:tcBorders>
              <w:tl2br w:val="nil"/>
              <w:tr2bl w:val="nil"/>
            </w:tcBorders>
            <w:vAlign w:val="center"/>
          </w:tcPr>
          <w:p w14:paraId="7217E4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ascii="宋体" w:hAnsi="宋体" w:eastAsia="宋体" w:cs="宋体"/>
                <w:color w:val="auto"/>
                <w:spacing w:val="-6"/>
                <w:sz w:val="24"/>
                <w:szCs w:val="24"/>
                <w:highlight w:val="none"/>
              </w:rPr>
              <w:t>格式见《</w:t>
            </w:r>
            <w:r>
              <w:rPr>
                <w:rFonts w:hint="eastAsia" w:ascii="宋体" w:hAnsi="宋体" w:eastAsia="宋体" w:cs="宋体"/>
                <w:color w:val="auto"/>
                <w:spacing w:val="-6"/>
                <w:sz w:val="24"/>
                <w:szCs w:val="24"/>
                <w:highlight w:val="none"/>
                <w:lang w:eastAsia="zh-CN"/>
              </w:rPr>
              <w:t>响应文件</w:t>
            </w:r>
            <w:r>
              <w:rPr>
                <w:rFonts w:ascii="宋体" w:hAnsi="宋体" w:eastAsia="宋体" w:cs="宋体"/>
                <w:color w:val="auto"/>
                <w:spacing w:val="-4"/>
                <w:sz w:val="24"/>
                <w:szCs w:val="24"/>
                <w:highlight w:val="none"/>
              </w:rPr>
              <w:t>格式》</w:t>
            </w:r>
          </w:p>
        </w:tc>
      </w:tr>
      <w:tr w14:paraId="7987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5" w:type="dxa"/>
            <w:tcBorders>
              <w:tl2br w:val="nil"/>
              <w:tr2bl w:val="nil"/>
            </w:tcBorders>
            <w:vAlign w:val="center"/>
          </w:tcPr>
          <w:p w14:paraId="64D70F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kern w:val="2"/>
                <w:highlight w:val="none"/>
              </w:rPr>
              <w:t>6</w:t>
            </w:r>
          </w:p>
        </w:tc>
        <w:tc>
          <w:tcPr>
            <w:tcW w:w="1457" w:type="dxa"/>
            <w:tcBorders>
              <w:tl2br w:val="nil"/>
              <w:tr2bl w:val="nil"/>
            </w:tcBorders>
            <w:vAlign w:val="center"/>
          </w:tcPr>
          <w:p w14:paraId="1A604A02">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spacing w:val="-2"/>
                <w:kern w:val="2"/>
                <w:highlight w:val="none"/>
              </w:rPr>
              <w:t>履行合同所必需的设备和能力</w:t>
            </w:r>
          </w:p>
        </w:tc>
        <w:tc>
          <w:tcPr>
            <w:tcW w:w="5130" w:type="dxa"/>
            <w:tcBorders>
              <w:tl2br w:val="nil"/>
              <w:tr2bl w:val="nil"/>
            </w:tcBorders>
            <w:vAlign w:val="center"/>
          </w:tcPr>
          <w:p w14:paraId="42FA90E4">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spacing w:val="-2"/>
                <w:kern w:val="2"/>
                <w:highlight w:val="none"/>
              </w:rPr>
              <w:t>提供具有履行合同所必需的设备和专业技术能力相关证明材料或声明；</w:t>
            </w:r>
          </w:p>
        </w:tc>
        <w:tc>
          <w:tcPr>
            <w:tcW w:w="2111" w:type="dxa"/>
            <w:tcBorders>
              <w:tl2br w:val="nil"/>
              <w:tr2bl w:val="nil"/>
            </w:tcBorders>
            <w:vAlign w:val="center"/>
          </w:tcPr>
          <w:p w14:paraId="129379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ascii="宋体" w:hAnsi="宋体" w:eastAsia="宋体" w:cs="宋体"/>
                <w:color w:val="auto"/>
                <w:spacing w:val="-6"/>
                <w:sz w:val="24"/>
                <w:szCs w:val="24"/>
                <w:highlight w:val="none"/>
              </w:rPr>
              <w:t>格式见《</w:t>
            </w:r>
            <w:r>
              <w:rPr>
                <w:rFonts w:hint="eastAsia" w:ascii="宋体" w:hAnsi="宋体" w:eastAsia="宋体" w:cs="宋体"/>
                <w:color w:val="auto"/>
                <w:spacing w:val="-6"/>
                <w:sz w:val="24"/>
                <w:szCs w:val="24"/>
                <w:highlight w:val="none"/>
                <w:lang w:eastAsia="zh-CN"/>
              </w:rPr>
              <w:t>响应文件</w:t>
            </w:r>
            <w:r>
              <w:rPr>
                <w:rFonts w:ascii="宋体" w:hAnsi="宋体" w:eastAsia="宋体" w:cs="宋体"/>
                <w:color w:val="auto"/>
                <w:spacing w:val="-4"/>
                <w:sz w:val="24"/>
                <w:szCs w:val="24"/>
                <w:highlight w:val="none"/>
              </w:rPr>
              <w:t>格式》</w:t>
            </w:r>
          </w:p>
        </w:tc>
      </w:tr>
      <w:tr w14:paraId="4E48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5" w:type="dxa"/>
            <w:tcBorders>
              <w:tl2br w:val="nil"/>
              <w:tr2bl w:val="nil"/>
            </w:tcBorders>
            <w:vAlign w:val="center"/>
          </w:tcPr>
          <w:p w14:paraId="3ACC79C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kern w:val="2"/>
                <w:highlight w:val="none"/>
              </w:rPr>
              <w:t>7</w:t>
            </w:r>
          </w:p>
        </w:tc>
        <w:tc>
          <w:tcPr>
            <w:tcW w:w="1457" w:type="dxa"/>
            <w:tcBorders>
              <w:tl2br w:val="nil"/>
              <w:tr2bl w:val="nil"/>
            </w:tcBorders>
            <w:vAlign w:val="center"/>
          </w:tcPr>
          <w:p w14:paraId="7E453767">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spacing w:val="-2"/>
                <w:kern w:val="2"/>
                <w:highlight w:val="none"/>
              </w:rPr>
              <w:t>提供无重大违法记录声明书</w:t>
            </w:r>
          </w:p>
        </w:tc>
        <w:tc>
          <w:tcPr>
            <w:tcW w:w="5130" w:type="dxa"/>
            <w:tcBorders>
              <w:tl2br w:val="nil"/>
              <w:tr2bl w:val="nil"/>
            </w:tcBorders>
            <w:vAlign w:val="center"/>
          </w:tcPr>
          <w:p w14:paraId="1E1AF4E3">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color w:val="auto"/>
                <w:kern w:val="2"/>
                <w:highlight w:val="none"/>
              </w:rPr>
            </w:pPr>
            <w:r>
              <w:rPr>
                <w:rFonts w:hint="eastAsia"/>
                <w:color w:val="auto"/>
                <w:spacing w:val="-2"/>
                <w:kern w:val="2"/>
                <w:highlight w:val="none"/>
              </w:rPr>
              <w:t>提供无重大违法记录声明书；</w:t>
            </w:r>
          </w:p>
        </w:tc>
        <w:tc>
          <w:tcPr>
            <w:tcW w:w="2111" w:type="dxa"/>
            <w:tcBorders>
              <w:tl2br w:val="nil"/>
              <w:tr2bl w:val="nil"/>
            </w:tcBorders>
            <w:vAlign w:val="center"/>
          </w:tcPr>
          <w:p w14:paraId="31CF6F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ascii="宋体" w:hAnsi="宋体" w:eastAsia="宋体" w:cs="宋体"/>
                <w:color w:val="auto"/>
                <w:spacing w:val="-6"/>
                <w:sz w:val="24"/>
                <w:szCs w:val="24"/>
                <w:highlight w:val="none"/>
              </w:rPr>
              <w:t>格式见《</w:t>
            </w:r>
            <w:r>
              <w:rPr>
                <w:rFonts w:hint="eastAsia" w:ascii="宋体" w:hAnsi="宋体" w:eastAsia="宋体" w:cs="宋体"/>
                <w:color w:val="auto"/>
                <w:spacing w:val="-6"/>
                <w:sz w:val="24"/>
                <w:szCs w:val="24"/>
                <w:highlight w:val="none"/>
                <w:lang w:eastAsia="zh-CN"/>
              </w:rPr>
              <w:t>响应文件</w:t>
            </w:r>
            <w:r>
              <w:rPr>
                <w:rFonts w:ascii="宋体" w:hAnsi="宋体" w:eastAsia="宋体" w:cs="宋体"/>
                <w:color w:val="auto"/>
                <w:spacing w:val="-4"/>
                <w:sz w:val="24"/>
                <w:szCs w:val="24"/>
                <w:highlight w:val="none"/>
              </w:rPr>
              <w:t>格式》</w:t>
            </w:r>
          </w:p>
        </w:tc>
      </w:tr>
      <w:tr w14:paraId="49F2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tcBorders>
              <w:tl2br w:val="nil"/>
              <w:tr2bl w:val="nil"/>
            </w:tcBorders>
            <w:vAlign w:val="center"/>
          </w:tcPr>
          <w:p w14:paraId="173DF1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kern w:val="2"/>
                <w:highlight w:val="none"/>
              </w:rPr>
            </w:pPr>
            <w:r>
              <w:rPr>
                <w:rFonts w:hint="eastAsia"/>
                <w:color w:val="auto"/>
                <w:kern w:val="2"/>
                <w:highlight w:val="none"/>
              </w:rPr>
              <w:t>8</w:t>
            </w:r>
          </w:p>
        </w:tc>
        <w:tc>
          <w:tcPr>
            <w:tcW w:w="1457" w:type="dxa"/>
            <w:tcBorders>
              <w:tl2br w:val="nil"/>
              <w:tr2bl w:val="nil"/>
            </w:tcBorders>
            <w:vAlign w:val="center"/>
          </w:tcPr>
          <w:p w14:paraId="70ED58F6">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default" w:eastAsia="宋体"/>
                <w:b/>
                <w:bCs/>
                <w:color w:val="auto"/>
                <w:kern w:val="2"/>
                <w:highlight w:val="none"/>
                <w:lang w:val="en-US" w:eastAsia="zh-CN"/>
              </w:rPr>
            </w:pPr>
            <w:r>
              <w:rPr>
                <w:rFonts w:hint="eastAsia"/>
                <w:b w:val="0"/>
                <w:bCs w:val="0"/>
                <w:color w:val="auto"/>
                <w:kern w:val="2"/>
                <w:highlight w:val="none"/>
                <w:lang w:val="en-US" w:eastAsia="zh-CN"/>
              </w:rPr>
              <w:t>特定资质</w:t>
            </w:r>
          </w:p>
        </w:tc>
        <w:tc>
          <w:tcPr>
            <w:tcW w:w="5130" w:type="dxa"/>
            <w:tcBorders>
              <w:tl2br w:val="nil"/>
              <w:tr2bl w:val="nil"/>
            </w:tcBorders>
            <w:vAlign w:val="center"/>
          </w:tcPr>
          <w:p w14:paraId="3234E572">
            <w:pPr>
              <w:keepNext w:val="0"/>
              <w:keepLines w:val="0"/>
              <w:pageBreakBefore w:val="0"/>
              <w:numPr>
                <w:ilvl w:val="0"/>
                <w:numId w:val="9"/>
              </w:numPr>
              <w:kinsoku/>
              <w:wordWrap/>
              <w:overflowPunct/>
              <w:topLinePunct w:val="0"/>
              <w:autoSpaceDE/>
              <w:autoSpaceDN/>
              <w:bidi w:val="0"/>
              <w:adjustRightInd/>
              <w:snapToGrid/>
              <w:spacing w:line="480" w:lineRule="exact"/>
              <w:textAlignment w:val="auto"/>
              <w:rPr>
                <w:rFonts w:hint="eastAsia"/>
                <w:b w:val="0"/>
                <w:bCs w:val="0"/>
                <w:color w:val="auto"/>
                <w:spacing w:val="-2"/>
                <w:kern w:val="2"/>
                <w:highlight w:val="none"/>
                <w:lang w:val="en-US" w:eastAsia="zh-CN"/>
              </w:rPr>
            </w:pPr>
            <w:r>
              <w:rPr>
                <w:rFonts w:hint="eastAsia"/>
                <w:b w:val="0"/>
                <w:bCs w:val="0"/>
                <w:color w:val="auto"/>
                <w:spacing w:val="-2"/>
                <w:kern w:val="2"/>
                <w:highlight w:val="none"/>
                <w:lang w:val="en-US" w:eastAsia="zh-CN"/>
              </w:rPr>
              <w:t xml:space="preserve">供应商须具备市政公用工程施工总承包叁级以上（含叁级）资质，具备有效的安全生产许可证。项目负责人须具备市政工程专业二级以上（含二级）注册建造师执业资格，具备有效的安全生产考核合格证书； </w:t>
            </w:r>
          </w:p>
          <w:p w14:paraId="6234527E">
            <w:pPr>
              <w:keepNext w:val="0"/>
              <w:keepLines w:val="0"/>
              <w:pageBreakBefore w:val="0"/>
              <w:numPr>
                <w:ilvl w:val="0"/>
                <w:numId w:val="9"/>
              </w:numPr>
              <w:kinsoku/>
              <w:wordWrap/>
              <w:overflowPunct/>
              <w:topLinePunct w:val="0"/>
              <w:autoSpaceDE/>
              <w:autoSpaceDN/>
              <w:bidi w:val="0"/>
              <w:adjustRightInd/>
              <w:snapToGrid/>
              <w:spacing w:line="480" w:lineRule="exact"/>
              <w:textAlignment w:val="auto"/>
              <w:rPr>
                <w:rFonts w:hint="eastAsia"/>
                <w:b w:val="0"/>
                <w:bCs w:val="0"/>
                <w:color w:val="auto"/>
                <w:spacing w:val="-2"/>
                <w:kern w:val="2"/>
                <w:highlight w:val="none"/>
              </w:rPr>
            </w:pPr>
            <w:r>
              <w:rPr>
                <w:rFonts w:hint="eastAsia"/>
                <w:b w:val="0"/>
                <w:bCs w:val="0"/>
                <w:color w:val="auto"/>
                <w:spacing w:val="-2"/>
                <w:kern w:val="2"/>
                <w:highlight w:val="none"/>
              </w:rPr>
              <w:t>供应商不得与采购人、采购代理机构存在隶属关系或者其他利害关系；</w:t>
            </w:r>
          </w:p>
          <w:p w14:paraId="3C5E378B">
            <w:pPr>
              <w:keepNext w:val="0"/>
              <w:keepLines w:val="0"/>
              <w:pageBreakBefore w:val="0"/>
              <w:kinsoku/>
              <w:wordWrap/>
              <w:overflowPunct/>
              <w:topLinePunct w:val="0"/>
              <w:autoSpaceDE/>
              <w:autoSpaceDN/>
              <w:bidi w:val="0"/>
              <w:adjustRightInd/>
              <w:snapToGrid/>
              <w:spacing w:line="480" w:lineRule="exact"/>
              <w:textAlignment w:val="auto"/>
              <w:rPr>
                <w:rFonts w:hint="eastAsia"/>
                <w:b w:val="0"/>
                <w:bCs w:val="0"/>
                <w:color w:val="auto"/>
                <w:spacing w:val="-2"/>
                <w:kern w:val="2"/>
                <w:highlight w:val="none"/>
              </w:rPr>
            </w:pPr>
            <w:r>
              <w:rPr>
                <w:rFonts w:hint="eastAsia"/>
                <w:b w:val="0"/>
                <w:bCs w:val="0"/>
                <w:color w:val="auto"/>
                <w:spacing w:val="-2"/>
                <w:kern w:val="2"/>
                <w:highlight w:val="none"/>
              </w:rPr>
              <w:t xml:space="preserve">（3）单位负责人为同一人或者存在直接控股、管理关系的不同供应商，不得参加同一合同下的政府采购活动； </w:t>
            </w:r>
          </w:p>
          <w:p w14:paraId="4BF88310">
            <w:pPr>
              <w:keepNext w:val="0"/>
              <w:keepLines w:val="0"/>
              <w:pageBreakBefore w:val="0"/>
              <w:kinsoku/>
              <w:wordWrap/>
              <w:overflowPunct/>
              <w:topLinePunct w:val="0"/>
              <w:autoSpaceDE/>
              <w:autoSpaceDN/>
              <w:bidi w:val="0"/>
              <w:adjustRightInd/>
              <w:snapToGrid/>
              <w:spacing w:line="480" w:lineRule="exact"/>
              <w:textAlignment w:val="auto"/>
              <w:rPr>
                <w:rFonts w:hint="eastAsia"/>
                <w:b w:val="0"/>
                <w:bCs w:val="0"/>
                <w:color w:val="auto"/>
                <w:spacing w:val="-2"/>
                <w:kern w:val="2"/>
                <w:highlight w:val="none"/>
              </w:rPr>
            </w:pPr>
            <w:r>
              <w:rPr>
                <w:rFonts w:hint="eastAsia"/>
                <w:b w:val="0"/>
                <w:bCs w:val="0"/>
                <w:color w:val="auto"/>
                <w:spacing w:val="-2"/>
                <w:kern w:val="2"/>
                <w:highlight w:val="none"/>
              </w:rPr>
              <w:t>（4）除单一来源采购项目外，为采购项目提供整体设计、规范编制或者项目管理、监理、检测等服务的供应商，不得再参加该采购项目的其他采购活动。</w:t>
            </w:r>
          </w:p>
          <w:p w14:paraId="7F687001">
            <w:pPr>
              <w:keepNext w:val="0"/>
              <w:keepLines w:val="0"/>
              <w:pageBreakBefore w:val="0"/>
              <w:kinsoku/>
              <w:wordWrap/>
              <w:overflowPunct/>
              <w:topLinePunct w:val="0"/>
              <w:autoSpaceDE/>
              <w:autoSpaceDN/>
              <w:bidi w:val="0"/>
              <w:adjustRightInd/>
              <w:snapToGrid/>
              <w:spacing w:line="480" w:lineRule="exact"/>
              <w:textAlignment w:val="auto"/>
              <w:rPr>
                <w:b w:val="0"/>
                <w:bCs w:val="0"/>
                <w:color w:val="auto"/>
                <w:spacing w:val="-2"/>
                <w:kern w:val="2"/>
                <w:highlight w:val="none"/>
              </w:rPr>
            </w:pPr>
            <w:r>
              <w:rPr>
                <w:rFonts w:hint="eastAsia"/>
                <w:b w:val="0"/>
                <w:bCs w:val="0"/>
                <w:color w:val="auto"/>
                <w:spacing w:val="-2"/>
                <w:kern w:val="2"/>
                <w:highlight w:val="none"/>
              </w:rPr>
              <w:t>（5）在中华人民共和国境内注册，未在“信用中国”网站 (www.creditchina.gov.cn) 、“中国政府采购网” (www.ccgp.gov.cn) 等渠道列入失信被执行人、税收违法黑名单、政府采购严重违法失信行为记录名单；</w:t>
            </w:r>
          </w:p>
        </w:tc>
        <w:tc>
          <w:tcPr>
            <w:tcW w:w="2111" w:type="dxa"/>
            <w:tcBorders>
              <w:tl2br w:val="nil"/>
              <w:tr2bl w:val="nil"/>
            </w:tcBorders>
            <w:vAlign w:val="center"/>
          </w:tcPr>
          <w:p w14:paraId="0D9476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val="0"/>
                <w:bCs w:val="0"/>
                <w:color w:val="auto"/>
                <w:kern w:val="2"/>
                <w:highlight w:val="none"/>
              </w:rPr>
            </w:pPr>
            <w:r>
              <w:rPr>
                <w:rFonts w:ascii="宋体" w:hAnsi="宋体" w:eastAsia="宋体" w:cs="宋体"/>
                <w:b w:val="0"/>
                <w:bCs w:val="0"/>
                <w:color w:val="auto"/>
                <w:spacing w:val="-6"/>
                <w:sz w:val="24"/>
                <w:szCs w:val="24"/>
                <w:highlight w:val="none"/>
              </w:rPr>
              <w:t>格式见《</w:t>
            </w:r>
            <w:r>
              <w:rPr>
                <w:rFonts w:hint="eastAsia" w:ascii="宋体" w:hAnsi="宋体" w:eastAsia="宋体" w:cs="宋体"/>
                <w:b w:val="0"/>
                <w:bCs w:val="0"/>
                <w:color w:val="auto"/>
                <w:spacing w:val="-6"/>
                <w:sz w:val="24"/>
                <w:szCs w:val="24"/>
                <w:highlight w:val="none"/>
                <w:lang w:eastAsia="zh-CN"/>
              </w:rPr>
              <w:t>响应文件</w:t>
            </w:r>
            <w:r>
              <w:rPr>
                <w:rFonts w:ascii="宋体" w:hAnsi="宋体" w:eastAsia="宋体" w:cs="宋体"/>
                <w:b w:val="0"/>
                <w:bCs w:val="0"/>
                <w:color w:val="auto"/>
                <w:spacing w:val="-4"/>
                <w:sz w:val="24"/>
                <w:szCs w:val="24"/>
                <w:highlight w:val="none"/>
              </w:rPr>
              <w:t>格式》</w:t>
            </w:r>
          </w:p>
        </w:tc>
      </w:tr>
      <w:tr w14:paraId="25F8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45" w:type="dxa"/>
            <w:tcBorders>
              <w:tl2br w:val="nil"/>
              <w:tr2bl w:val="nil"/>
            </w:tcBorders>
            <w:vAlign w:val="center"/>
          </w:tcPr>
          <w:p w14:paraId="171326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color w:val="auto"/>
                <w:kern w:val="2"/>
                <w:highlight w:val="none"/>
                <w:lang w:eastAsia="zh-CN"/>
              </w:rPr>
            </w:pPr>
            <w:r>
              <w:rPr>
                <w:rFonts w:hint="eastAsia"/>
                <w:color w:val="auto"/>
                <w:kern w:val="2"/>
                <w:highlight w:val="none"/>
                <w:lang w:val="en-US" w:eastAsia="zh-CN"/>
              </w:rPr>
              <w:t>9</w:t>
            </w:r>
          </w:p>
        </w:tc>
        <w:tc>
          <w:tcPr>
            <w:tcW w:w="1457" w:type="dxa"/>
            <w:tcBorders>
              <w:tl2br w:val="nil"/>
              <w:tr2bl w:val="nil"/>
            </w:tcBorders>
            <w:vAlign w:val="center"/>
          </w:tcPr>
          <w:p w14:paraId="44F36494">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kern w:val="2"/>
                <w:highlight w:val="none"/>
              </w:rPr>
            </w:pPr>
            <w:r>
              <w:rPr>
                <w:rFonts w:hint="eastAsia"/>
                <w:color w:val="auto"/>
                <w:kern w:val="2"/>
                <w:highlight w:val="none"/>
              </w:rPr>
              <w:t>不参与围标串标承诺书</w:t>
            </w:r>
          </w:p>
        </w:tc>
        <w:tc>
          <w:tcPr>
            <w:tcW w:w="5130" w:type="dxa"/>
            <w:tcBorders>
              <w:tl2br w:val="nil"/>
              <w:tr2bl w:val="nil"/>
            </w:tcBorders>
            <w:vAlign w:val="center"/>
          </w:tcPr>
          <w:p w14:paraId="2C004DBF">
            <w:pPr>
              <w:keepNext w:val="0"/>
              <w:keepLines w:val="0"/>
              <w:pageBreakBefore w:val="0"/>
              <w:widowControl w:val="0"/>
              <w:kinsoku/>
              <w:wordWrap/>
              <w:overflowPunct/>
              <w:topLinePunct w:val="0"/>
              <w:autoSpaceDE/>
              <w:autoSpaceDN/>
              <w:bidi w:val="0"/>
              <w:adjustRightInd/>
              <w:snapToGrid/>
              <w:spacing w:line="480" w:lineRule="exact"/>
              <w:textAlignment w:val="auto"/>
              <w:rPr>
                <w:b w:val="0"/>
                <w:bCs w:val="0"/>
                <w:color w:val="auto"/>
                <w:kern w:val="2"/>
                <w:highlight w:val="none"/>
              </w:rPr>
            </w:pPr>
            <w:r>
              <w:rPr>
                <w:rFonts w:hint="eastAsia"/>
                <w:b w:val="0"/>
                <w:bCs w:val="0"/>
                <w:color w:val="auto"/>
                <w:kern w:val="2"/>
                <w:highlight w:val="none"/>
              </w:rPr>
              <w:t>提供不参与围标串标承诺书；</w:t>
            </w:r>
          </w:p>
        </w:tc>
        <w:tc>
          <w:tcPr>
            <w:tcW w:w="2111" w:type="dxa"/>
            <w:tcBorders>
              <w:tl2br w:val="nil"/>
              <w:tr2bl w:val="nil"/>
            </w:tcBorders>
            <w:vAlign w:val="center"/>
          </w:tcPr>
          <w:p w14:paraId="772698B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val="0"/>
                <w:bCs w:val="0"/>
                <w:color w:val="auto"/>
                <w:kern w:val="2"/>
                <w:highlight w:val="none"/>
              </w:rPr>
            </w:pPr>
            <w:r>
              <w:rPr>
                <w:rFonts w:ascii="宋体" w:hAnsi="宋体" w:eastAsia="宋体" w:cs="宋体"/>
                <w:b w:val="0"/>
                <w:bCs w:val="0"/>
                <w:color w:val="auto"/>
                <w:spacing w:val="-6"/>
                <w:sz w:val="24"/>
                <w:szCs w:val="24"/>
                <w:highlight w:val="none"/>
              </w:rPr>
              <w:t>格式见《</w:t>
            </w:r>
            <w:r>
              <w:rPr>
                <w:rFonts w:hint="eastAsia" w:ascii="宋体" w:hAnsi="宋体" w:eastAsia="宋体" w:cs="宋体"/>
                <w:b w:val="0"/>
                <w:bCs w:val="0"/>
                <w:color w:val="auto"/>
                <w:spacing w:val="-6"/>
                <w:sz w:val="24"/>
                <w:szCs w:val="24"/>
                <w:highlight w:val="none"/>
                <w:lang w:eastAsia="zh-CN"/>
              </w:rPr>
              <w:t>响应文件</w:t>
            </w:r>
            <w:r>
              <w:rPr>
                <w:rFonts w:ascii="宋体" w:hAnsi="宋体" w:eastAsia="宋体" w:cs="宋体"/>
                <w:b w:val="0"/>
                <w:bCs w:val="0"/>
                <w:color w:val="auto"/>
                <w:spacing w:val="-4"/>
                <w:sz w:val="24"/>
                <w:szCs w:val="24"/>
                <w:highlight w:val="none"/>
              </w:rPr>
              <w:t>格式》</w:t>
            </w:r>
          </w:p>
        </w:tc>
      </w:tr>
      <w:tr w14:paraId="1774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tcBorders>
              <w:tl2br w:val="nil"/>
              <w:tr2bl w:val="nil"/>
            </w:tcBorders>
            <w:vAlign w:val="center"/>
          </w:tcPr>
          <w:p w14:paraId="73A1C6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color w:val="auto"/>
                <w:kern w:val="2"/>
                <w:highlight w:val="none"/>
                <w:lang w:val="en-US" w:eastAsia="zh-CN"/>
              </w:rPr>
            </w:pPr>
            <w:r>
              <w:rPr>
                <w:rFonts w:hint="eastAsia"/>
                <w:color w:val="auto"/>
                <w:kern w:val="2"/>
                <w:highlight w:val="none"/>
                <w:lang w:val="en-US" w:eastAsia="zh-CN"/>
              </w:rPr>
              <w:t>10</w:t>
            </w:r>
          </w:p>
        </w:tc>
        <w:tc>
          <w:tcPr>
            <w:tcW w:w="1457" w:type="dxa"/>
            <w:tcBorders>
              <w:tl2br w:val="nil"/>
              <w:tr2bl w:val="nil"/>
            </w:tcBorders>
            <w:vAlign w:val="center"/>
          </w:tcPr>
          <w:p w14:paraId="64BCDCEB">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default"/>
                <w:b/>
                <w:bCs/>
                <w:color w:val="auto"/>
                <w:kern w:val="2"/>
                <w:highlight w:val="none"/>
                <w:lang w:val="en-US" w:eastAsia="zh-CN"/>
              </w:rPr>
            </w:pPr>
            <w:r>
              <w:rPr>
                <w:rFonts w:hint="eastAsia"/>
                <w:b w:val="0"/>
                <w:bCs w:val="0"/>
                <w:color w:val="auto"/>
                <w:kern w:val="2"/>
                <w:highlight w:val="none"/>
                <w:lang w:val="en-US" w:eastAsia="zh-CN"/>
              </w:rPr>
              <w:t>采购政策</w:t>
            </w:r>
          </w:p>
        </w:tc>
        <w:tc>
          <w:tcPr>
            <w:tcW w:w="5130" w:type="dxa"/>
            <w:tcBorders>
              <w:tl2br w:val="nil"/>
              <w:tr2bl w:val="nil"/>
            </w:tcBorders>
            <w:vAlign w:val="center"/>
          </w:tcPr>
          <w:p w14:paraId="641F639E">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eastAsia="宋体"/>
                <w:b w:val="0"/>
                <w:bCs w:val="0"/>
                <w:color w:val="auto"/>
                <w:kern w:val="2"/>
                <w:highlight w:val="none"/>
                <w:lang w:eastAsia="zh-CN"/>
              </w:rPr>
            </w:pPr>
            <w:r>
              <w:rPr>
                <w:rFonts w:hint="eastAsia"/>
                <w:b w:val="0"/>
                <w:bCs w:val="0"/>
                <w:color w:val="auto"/>
                <w:kern w:val="2"/>
                <w:highlight w:val="none"/>
                <w:lang w:val="en-US" w:eastAsia="zh-CN"/>
              </w:rPr>
              <w:t>本项目专门面向中小</w:t>
            </w:r>
            <w:r>
              <w:rPr>
                <w:rFonts w:hint="eastAsia"/>
                <w:b w:val="0"/>
                <w:bCs w:val="0"/>
                <w:color w:val="auto"/>
                <w:kern w:val="2"/>
                <w:highlight w:val="none"/>
              </w:rPr>
              <w:t>企业</w:t>
            </w:r>
            <w:r>
              <w:rPr>
                <w:rFonts w:hint="eastAsia"/>
                <w:b w:val="0"/>
                <w:bCs w:val="0"/>
                <w:color w:val="auto"/>
                <w:kern w:val="2"/>
                <w:highlight w:val="none"/>
                <w:lang w:eastAsia="zh-CN"/>
              </w:rPr>
              <w:t>。</w:t>
            </w:r>
          </w:p>
        </w:tc>
        <w:tc>
          <w:tcPr>
            <w:tcW w:w="2111" w:type="dxa"/>
            <w:tcBorders>
              <w:tl2br w:val="nil"/>
              <w:tr2bl w:val="nil"/>
            </w:tcBorders>
            <w:vAlign w:val="center"/>
          </w:tcPr>
          <w:p w14:paraId="243C9F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rPr>
              <w:t>请根据要求单独上传《中小企业声明函》。格式以采购文件要求为准。</w:t>
            </w:r>
          </w:p>
        </w:tc>
      </w:tr>
      <w:tr w14:paraId="140C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32" w:type="dxa"/>
            <w:gridSpan w:val="3"/>
            <w:tcBorders>
              <w:tl2br w:val="nil"/>
              <w:tr2bl w:val="nil"/>
            </w:tcBorders>
            <w:vAlign w:val="center"/>
          </w:tcPr>
          <w:p w14:paraId="0481950F">
            <w:pPr>
              <w:keepNext w:val="0"/>
              <w:keepLines w:val="0"/>
              <w:pageBreakBefore w:val="0"/>
              <w:widowControl w:val="0"/>
              <w:kinsoku/>
              <w:wordWrap/>
              <w:overflowPunct/>
              <w:topLinePunct w:val="0"/>
              <w:autoSpaceDE/>
              <w:autoSpaceDN/>
              <w:bidi w:val="0"/>
              <w:adjustRightInd/>
              <w:snapToGrid/>
              <w:spacing w:after="100" w:afterAutospacing="1" w:line="480" w:lineRule="exact"/>
              <w:ind w:firstLine="1440" w:firstLineChars="600"/>
              <w:jc w:val="both"/>
              <w:textAlignment w:val="auto"/>
              <w:rPr>
                <w:color w:val="auto"/>
                <w:kern w:val="2"/>
                <w:highlight w:val="none"/>
              </w:rPr>
            </w:pPr>
            <w:r>
              <w:rPr>
                <w:rFonts w:hint="eastAsia"/>
                <w:color w:val="auto"/>
                <w:kern w:val="2"/>
                <w:highlight w:val="none"/>
              </w:rPr>
              <w:t>资格审查结果</w:t>
            </w:r>
          </w:p>
        </w:tc>
        <w:tc>
          <w:tcPr>
            <w:tcW w:w="2111" w:type="dxa"/>
            <w:tcBorders>
              <w:tl2br w:val="nil"/>
              <w:tr2bl w:val="nil"/>
            </w:tcBorders>
            <w:vAlign w:val="center"/>
          </w:tcPr>
          <w:p w14:paraId="4F1B82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color w:val="auto"/>
                <w:kern w:val="2"/>
                <w:highlight w:val="none"/>
              </w:rPr>
            </w:pPr>
          </w:p>
        </w:tc>
      </w:tr>
      <w:tr w14:paraId="04C5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32" w:type="dxa"/>
            <w:gridSpan w:val="3"/>
            <w:tcBorders>
              <w:tl2br w:val="nil"/>
              <w:tr2bl w:val="nil"/>
            </w:tcBorders>
            <w:vAlign w:val="center"/>
          </w:tcPr>
          <w:p w14:paraId="46892ABF">
            <w:pPr>
              <w:keepNext w:val="0"/>
              <w:keepLines w:val="0"/>
              <w:pageBreakBefore w:val="0"/>
              <w:widowControl w:val="0"/>
              <w:kinsoku/>
              <w:wordWrap/>
              <w:overflowPunct/>
              <w:topLinePunct w:val="0"/>
              <w:autoSpaceDE/>
              <w:autoSpaceDN/>
              <w:bidi w:val="0"/>
              <w:adjustRightInd/>
              <w:snapToGrid/>
              <w:spacing w:after="100" w:afterAutospacing="1" w:line="480" w:lineRule="exact"/>
              <w:ind w:firstLine="1440" w:firstLineChars="600"/>
              <w:jc w:val="both"/>
              <w:textAlignment w:val="auto"/>
              <w:rPr>
                <w:color w:val="auto"/>
                <w:kern w:val="2"/>
                <w:highlight w:val="none"/>
              </w:rPr>
            </w:pPr>
            <w:r>
              <w:rPr>
                <w:rFonts w:hint="eastAsia"/>
                <w:color w:val="auto"/>
                <w:kern w:val="2"/>
                <w:highlight w:val="none"/>
              </w:rPr>
              <w:t>不通过理由说明</w:t>
            </w:r>
          </w:p>
        </w:tc>
        <w:tc>
          <w:tcPr>
            <w:tcW w:w="2111" w:type="dxa"/>
            <w:tcBorders>
              <w:tl2br w:val="nil"/>
              <w:tr2bl w:val="nil"/>
            </w:tcBorders>
            <w:vAlign w:val="center"/>
          </w:tcPr>
          <w:p w14:paraId="0D7E3618">
            <w:pPr>
              <w:keepNext w:val="0"/>
              <w:keepLines w:val="0"/>
              <w:pageBreakBefore w:val="0"/>
              <w:widowControl w:val="0"/>
              <w:kinsoku/>
              <w:wordWrap/>
              <w:overflowPunct/>
              <w:topLinePunct w:val="0"/>
              <w:autoSpaceDE/>
              <w:autoSpaceDN/>
              <w:bidi w:val="0"/>
              <w:adjustRightInd/>
              <w:snapToGrid/>
              <w:spacing w:line="480" w:lineRule="exact"/>
              <w:jc w:val="both"/>
              <w:textAlignment w:val="auto"/>
              <w:rPr>
                <w:color w:val="auto"/>
                <w:kern w:val="2"/>
                <w:highlight w:val="none"/>
              </w:rPr>
            </w:pPr>
          </w:p>
        </w:tc>
      </w:tr>
    </w:tbl>
    <w:p w14:paraId="0C93F61C">
      <w:pPr>
        <w:pStyle w:val="33"/>
        <w:rPr>
          <w:rFonts w:hint="eastAsia"/>
          <w:color w:val="auto"/>
          <w:highlight w:val="none"/>
        </w:rPr>
      </w:pPr>
    </w:p>
    <w:p w14:paraId="145C17C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E4E94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《符合性审查要求》见下表：</w:t>
      </w:r>
    </w:p>
    <w:p w14:paraId="50BC212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符合性审查要求</w:t>
      </w:r>
    </w:p>
    <w:tbl>
      <w:tblPr>
        <w:tblStyle w:val="34"/>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997"/>
        <w:gridCol w:w="841"/>
        <w:gridCol w:w="833"/>
      </w:tblGrid>
      <w:tr w14:paraId="186C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606" w:type="dxa"/>
            <w:gridSpan w:val="2"/>
            <w:vMerge w:val="restart"/>
            <w:tcBorders>
              <w:tl2br w:val="nil"/>
              <w:tr2bl w:val="nil"/>
            </w:tcBorders>
            <w:vAlign w:val="center"/>
          </w:tcPr>
          <w:p w14:paraId="3A10A8E2">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评审内容</w:t>
            </w:r>
          </w:p>
        </w:tc>
        <w:tc>
          <w:tcPr>
            <w:tcW w:w="1674" w:type="dxa"/>
            <w:gridSpan w:val="2"/>
            <w:tcBorders>
              <w:tl2br w:val="nil"/>
              <w:tr2bl w:val="nil"/>
            </w:tcBorders>
            <w:vAlign w:val="center"/>
          </w:tcPr>
          <w:p w14:paraId="27C946A4">
            <w:pPr>
              <w:keepNext w:val="0"/>
              <w:keepLines w:val="0"/>
              <w:pageBreakBefore w:val="0"/>
              <w:widowControl/>
              <w:kinsoku/>
              <w:wordWrap/>
              <w:overflowPunct/>
              <w:topLinePunct w:val="0"/>
              <w:autoSpaceDE/>
              <w:autoSpaceDN/>
              <w:bidi w:val="0"/>
              <w:adjustRightInd/>
              <w:snapToGrid w:val="0"/>
              <w:spacing w:line="480" w:lineRule="exact"/>
              <w:jc w:val="center"/>
              <w:rPr>
                <w:rFonts w:hint="default" w:ascii="宋体" w:hAnsi="宋体" w:eastAsia="宋体" w:cs="宋体"/>
                <w:b/>
                <w:color w:val="auto"/>
                <w:highlight w:val="none"/>
                <w:lang w:val="en-US" w:eastAsia="zh-CN"/>
              </w:rPr>
            </w:pPr>
            <w:r>
              <w:rPr>
                <w:rFonts w:hint="eastAsia" w:cs="宋体"/>
                <w:b/>
                <w:color w:val="auto"/>
                <w:highlight w:val="none"/>
                <w:lang w:val="en-US" w:eastAsia="zh-CN"/>
              </w:rPr>
              <w:t>是否通过</w:t>
            </w:r>
          </w:p>
        </w:tc>
      </w:tr>
      <w:tr w14:paraId="7E08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8606" w:type="dxa"/>
            <w:gridSpan w:val="2"/>
            <w:vMerge w:val="continue"/>
            <w:tcBorders>
              <w:tl2br w:val="nil"/>
              <w:tr2bl w:val="nil"/>
            </w:tcBorders>
            <w:vAlign w:val="center"/>
          </w:tcPr>
          <w:p w14:paraId="56C55365">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41" w:type="dxa"/>
            <w:tcBorders>
              <w:tl2br w:val="nil"/>
              <w:tr2bl w:val="nil"/>
            </w:tcBorders>
            <w:vAlign w:val="center"/>
          </w:tcPr>
          <w:p w14:paraId="63DDBEF1">
            <w:pPr>
              <w:keepNext w:val="0"/>
              <w:keepLines w:val="0"/>
              <w:pageBreakBefore w:val="0"/>
              <w:widowControl/>
              <w:kinsoku/>
              <w:wordWrap/>
              <w:overflowPunct/>
              <w:topLinePunct w:val="0"/>
              <w:autoSpaceDE/>
              <w:autoSpaceDN/>
              <w:bidi w:val="0"/>
              <w:adjustRightInd/>
              <w:snapToGrid w:val="0"/>
              <w:spacing w:line="480" w:lineRule="exact"/>
              <w:jc w:val="center"/>
              <w:rPr>
                <w:rFonts w:hint="eastAsia" w:ascii="宋体" w:hAnsi="宋体" w:eastAsia="宋体" w:cs="宋体"/>
                <w:b/>
                <w:color w:val="auto"/>
                <w:highlight w:val="none"/>
                <w:lang w:val="en-US" w:eastAsia="zh-CN"/>
              </w:rPr>
            </w:pPr>
            <w:r>
              <w:rPr>
                <w:rFonts w:hint="eastAsia" w:cs="宋体"/>
                <w:b/>
                <w:color w:val="auto"/>
                <w:highlight w:val="none"/>
                <w:lang w:val="en-US" w:eastAsia="zh-CN"/>
              </w:rPr>
              <w:t>是</w:t>
            </w:r>
          </w:p>
        </w:tc>
        <w:tc>
          <w:tcPr>
            <w:tcW w:w="833" w:type="dxa"/>
            <w:tcBorders>
              <w:tl2br w:val="nil"/>
              <w:tr2bl w:val="nil"/>
            </w:tcBorders>
            <w:vAlign w:val="center"/>
          </w:tcPr>
          <w:p w14:paraId="542145C0">
            <w:pPr>
              <w:keepNext w:val="0"/>
              <w:keepLines w:val="0"/>
              <w:pageBreakBefore w:val="0"/>
              <w:widowControl/>
              <w:kinsoku/>
              <w:wordWrap/>
              <w:overflowPunct/>
              <w:topLinePunct w:val="0"/>
              <w:autoSpaceDE/>
              <w:autoSpaceDN/>
              <w:bidi w:val="0"/>
              <w:adjustRightInd/>
              <w:snapToGrid w:val="0"/>
              <w:spacing w:line="480" w:lineRule="exact"/>
              <w:jc w:val="center"/>
              <w:rPr>
                <w:rFonts w:hint="eastAsia" w:ascii="宋体" w:hAnsi="宋体" w:eastAsia="宋体" w:cs="宋体"/>
                <w:b/>
                <w:color w:val="auto"/>
                <w:highlight w:val="none"/>
                <w:lang w:val="en-US" w:eastAsia="zh-CN"/>
              </w:rPr>
            </w:pPr>
            <w:r>
              <w:rPr>
                <w:rFonts w:hint="eastAsia" w:cs="宋体"/>
                <w:b/>
                <w:color w:val="auto"/>
                <w:highlight w:val="none"/>
                <w:lang w:val="en-US" w:eastAsia="zh-CN"/>
              </w:rPr>
              <w:t>否</w:t>
            </w:r>
          </w:p>
        </w:tc>
      </w:tr>
      <w:tr w14:paraId="5E67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09" w:type="dxa"/>
            <w:tcBorders>
              <w:tl2br w:val="nil"/>
              <w:tr2bl w:val="nil"/>
            </w:tcBorders>
            <w:vAlign w:val="center"/>
          </w:tcPr>
          <w:p w14:paraId="31C248D6">
            <w:pPr>
              <w:keepNext w:val="0"/>
              <w:keepLines w:val="0"/>
              <w:pageBreakBefore w:val="0"/>
              <w:widowControl/>
              <w:kinsoku/>
              <w:wordWrap/>
              <w:overflowPunct/>
              <w:topLinePunct w:val="0"/>
              <w:autoSpaceDE/>
              <w:autoSpaceDN/>
              <w:bidi w:val="0"/>
              <w:adjustRightInd/>
              <w:snapToGrid w:val="0"/>
              <w:spacing w:line="48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1</w:t>
            </w:r>
          </w:p>
        </w:tc>
        <w:tc>
          <w:tcPr>
            <w:tcW w:w="7997" w:type="dxa"/>
            <w:tcBorders>
              <w:tl2br w:val="nil"/>
              <w:tr2bl w:val="nil"/>
            </w:tcBorders>
            <w:vAlign w:val="center"/>
          </w:tcPr>
          <w:p w14:paraId="3C2800DE">
            <w:pPr>
              <w:keepNext w:val="0"/>
              <w:keepLines w:val="0"/>
              <w:pageBreakBefore w:val="0"/>
              <w:widowControl/>
              <w:kinsoku/>
              <w:wordWrap/>
              <w:overflowPunct/>
              <w:topLinePunct w:val="0"/>
              <w:autoSpaceDE/>
              <w:autoSpaceDN/>
              <w:bidi w:val="0"/>
              <w:adjustRightInd/>
              <w:snapToGrid w:val="0"/>
              <w:spacing w:line="480" w:lineRule="exact"/>
              <w:rPr>
                <w:rFonts w:ascii="宋体" w:hAnsi="宋体" w:eastAsia="宋体" w:cs="宋体"/>
                <w:color w:val="auto"/>
                <w:highlight w:val="none"/>
              </w:rPr>
            </w:pPr>
            <w:r>
              <w:rPr>
                <w:rFonts w:hint="eastAsia" w:ascii="宋体" w:hAnsi="宋体" w:eastAsia="宋体" w:cs="宋体"/>
                <w:color w:val="auto"/>
                <w:highlight w:val="none"/>
              </w:rPr>
              <w:t>供应商资格声明书有单位盖章及法定代表人或法定代表人授权的代理人签字或盖章的；</w:t>
            </w:r>
          </w:p>
        </w:tc>
        <w:tc>
          <w:tcPr>
            <w:tcW w:w="841" w:type="dxa"/>
            <w:tcBorders>
              <w:tl2br w:val="nil"/>
              <w:tr2bl w:val="nil"/>
            </w:tcBorders>
            <w:vAlign w:val="center"/>
          </w:tcPr>
          <w:p w14:paraId="6F25F3BD">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73233484">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r w14:paraId="2FC6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4D506665">
            <w:pPr>
              <w:keepNext w:val="0"/>
              <w:keepLines w:val="0"/>
              <w:pageBreakBefore w:val="0"/>
              <w:widowControl/>
              <w:kinsoku/>
              <w:wordWrap/>
              <w:overflowPunct/>
              <w:topLinePunct w:val="0"/>
              <w:autoSpaceDE/>
              <w:autoSpaceDN/>
              <w:bidi w:val="0"/>
              <w:adjustRightInd/>
              <w:snapToGrid w:val="0"/>
              <w:spacing w:line="48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2</w:t>
            </w:r>
          </w:p>
        </w:tc>
        <w:tc>
          <w:tcPr>
            <w:tcW w:w="7997" w:type="dxa"/>
            <w:tcBorders>
              <w:tl2br w:val="nil"/>
              <w:tr2bl w:val="nil"/>
            </w:tcBorders>
            <w:vAlign w:val="center"/>
          </w:tcPr>
          <w:p w14:paraId="1C387245">
            <w:pPr>
              <w:keepNext w:val="0"/>
              <w:keepLines w:val="0"/>
              <w:pageBreakBefore w:val="0"/>
              <w:widowControl/>
              <w:kinsoku/>
              <w:wordWrap/>
              <w:overflowPunct/>
              <w:topLinePunct w:val="0"/>
              <w:autoSpaceDE/>
              <w:autoSpaceDN/>
              <w:bidi w:val="0"/>
              <w:adjustRightInd/>
              <w:snapToGrid w:val="0"/>
              <w:spacing w:line="480" w:lineRule="exact"/>
              <w:rPr>
                <w:rFonts w:ascii="宋体" w:hAnsi="宋体" w:eastAsia="宋体" w:cs="宋体"/>
                <w:color w:val="auto"/>
                <w:highlight w:val="none"/>
              </w:rPr>
            </w:pPr>
            <w:r>
              <w:rPr>
                <w:rFonts w:hint="eastAsia" w:cs="宋体"/>
                <w:color w:val="auto"/>
                <w:highlight w:val="none"/>
                <w:lang w:val="en-US" w:eastAsia="zh-CN"/>
              </w:rPr>
              <w:t>磋商</w:t>
            </w:r>
            <w:r>
              <w:rPr>
                <w:rFonts w:hint="eastAsia" w:ascii="宋体" w:hAnsi="宋体" w:eastAsia="宋体" w:cs="宋体"/>
                <w:color w:val="auto"/>
                <w:highlight w:val="none"/>
              </w:rPr>
              <w:t>有效期是否满足</w:t>
            </w:r>
            <w:r>
              <w:rPr>
                <w:rFonts w:hint="eastAsia" w:cs="宋体"/>
                <w:color w:val="auto"/>
                <w:highlight w:val="none"/>
                <w:lang w:val="en-US" w:eastAsia="zh-CN"/>
              </w:rPr>
              <w:t>磋商</w:t>
            </w:r>
            <w:r>
              <w:rPr>
                <w:rFonts w:hint="eastAsia" w:ascii="宋体" w:hAnsi="宋体" w:eastAsia="宋体" w:cs="宋体"/>
                <w:color w:val="auto"/>
                <w:highlight w:val="none"/>
              </w:rPr>
              <w:t>文件要求的；</w:t>
            </w:r>
          </w:p>
        </w:tc>
        <w:tc>
          <w:tcPr>
            <w:tcW w:w="841" w:type="dxa"/>
            <w:tcBorders>
              <w:tl2br w:val="nil"/>
              <w:tr2bl w:val="nil"/>
            </w:tcBorders>
            <w:vAlign w:val="center"/>
          </w:tcPr>
          <w:p w14:paraId="63184BFF">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073BC456">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r w14:paraId="2F65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40134A9E">
            <w:pPr>
              <w:keepNext w:val="0"/>
              <w:keepLines w:val="0"/>
              <w:pageBreakBefore w:val="0"/>
              <w:widowControl/>
              <w:kinsoku/>
              <w:wordWrap/>
              <w:overflowPunct/>
              <w:topLinePunct w:val="0"/>
              <w:autoSpaceDE/>
              <w:autoSpaceDN/>
              <w:bidi w:val="0"/>
              <w:adjustRightInd/>
              <w:snapToGrid w:val="0"/>
              <w:spacing w:line="48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3</w:t>
            </w:r>
          </w:p>
        </w:tc>
        <w:tc>
          <w:tcPr>
            <w:tcW w:w="7997" w:type="dxa"/>
            <w:tcBorders>
              <w:tl2br w:val="nil"/>
              <w:tr2bl w:val="nil"/>
            </w:tcBorders>
            <w:vAlign w:val="center"/>
          </w:tcPr>
          <w:p w14:paraId="1FFEDD8C">
            <w:pPr>
              <w:keepNext w:val="0"/>
              <w:keepLines w:val="0"/>
              <w:pageBreakBefore w:val="0"/>
              <w:widowControl/>
              <w:kinsoku/>
              <w:wordWrap/>
              <w:overflowPunct/>
              <w:topLinePunct w:val="0"/>
              <w:autoSpaceDE/>
              <w:autoSpaceDN/>
              <w:bidi w:val="0"/>
              <w:adjustRightInd/>
              <w:snapToGrid w:val="0"/>
              <w:spacing w:line="480" w:lineRule="exact"/>
              <w:rPr>
                <w:rFonts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载明的</w:t>
            </w:r>
            <w:r>
              <w:rPr>
                <w:rFonts w:hint="eastAsia" w:cs="宋体"/>
                <w:color w:val="auto"/>
                <w:highlight w:val="none"/>
                <w:lang w:val="en-US" w:eastAsia="zh-CN"/>
              </w:rPr>
              <w:t>磋商</w:t>
            </w:r>
            <w:r>
              <w:rPr>
                <w:rFonts w:hint="eastAsia" w:ascii="宋体" w:hAnsi="宋体" w:eastAsia="宋体" w:cs="宋体"/>
                <w:color w:val="auto"/>
                <w:highlight w:val="none"/>
              </w:rPr>
              <w:t>项目</w:t>
            </w:r>
            <w:r>
              <w:rPr>
                <w:rFonts w:hint="eastAsia" w:cs="宋体"/>
                <w:color w:val="auto"/>
                <w:highlight w:val="none"/>
                <w:lang w:val="en-US" w:eastAsia="zh-CN"/>
              </w:rPr>
              <w:t>服务期限</w:t>
            </w:r>
            <w:r>
              <w:rPr>
                <w:rFonts w:hint="eastAsia" w:ascii="宋体" w:hAnsi="宋体" w:eastAsia="宋体" w:cs="宋体"/>
                <w:color w:val="auto"/>
                <w:highlight w:val="none"/>
              </w:rPr>
              <w:t>未超过</w:t>
            </w:r>
            <w:r>
              <w:rPr>
                <w:rFonts w:hint="eastAsia" w:cs="宋体"/>
                <w:color w:val="auto"/>
                <w:highlight w:val="none"/>
                <w:lang w:eastAsia="zh-CN"/>
              </w:rPr>
              <w:t>磋商文件</w:t>
            </w:r>
            <w:r>
              <w:rPr>
                <w:rFonts w:hint="eastAsia" w:ascii="宋体" w:hAnsi="宋体" w:eastAsia="宋体" w:cs="宋体"/>
                <w:color w:val="auto"/>
                <w:highlight w:val="none"/>
              </w:rPr>
              <w:t>规定的期限；</w:t>
            </w:r>
          </w:p>
        </w:tc>
        <w:tc>
          <w:tcPr>
            <w:tcW w:w="841" w:type="dxa"/>
            <w:tcBorders>
              <w:tl2br w:val="nil"/>
              <w:tr2bl w:val="nil"/>
            </w:tcBorders>
            <w:vAlign w:val="center"/>
          </w:tcPr>
          <w:p w14:paraId="1ADC9CF2">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06E538B5">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r w14:paraId="541F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09" w:type="dxa"/>
            <w:tcBorders>
              <w:tl2br w:val="nil"/>
              <w:tr2bl w:val="nil"/>
            </w:tcBorders>
            <w:vAlign w:val="center"/>
          </w:tcPr>
          <w:p w14:paraId="29232FFB">
            <w:pPr>
              <w:keepNext w:val="0"/>
              <w:keepLines w:val="0"/>
              <w:pageBreakBefore w:val="0"/>
              <w:widowControl/>
              <w:kinsoku/>
              <w:wordWrap/>
              <w:overflowPunct/>
              <w:topLinePunct w:val="0"/>
              <w:autoSpaceDE/>
              <w:autoSpaceDN/>
              <w:bidi w:val="0"/>
              <w:adjustRightInd/>
              <w:snapToGrid w:val="0"/>
              <w:spacing w:line="480" w:lineRule="exact"/>
              <w:jc w:val="center"/>
              <w:textAlignment w:val="center"/>
              <w:rPr>
                <w:rFonts w:hint="eastAsia" w:ascii="宋体" w:hAnsi="宋体" w:eastAsia="宋体" w:cs="宋体"/>
                <w:color w:val="auto"/>
                <w:highlight w:val="none"/>
                <w:lang w:eastAsia="zh-CN"/>
              </w:rPr>
            </w:pPr>
            <w:r>
              <w:rPr>
                <w:rFonts w:hint="eastAsia" w:cs="宋体"/>
                <w:color w:val="auto"/>
                <w:highlight w:val="none"/>
                <w:lang w:val="en-US" w:eastAsia="zh-CN"/>
              </w:rPr>
              <w:t>4</w:t>
            </w:r>
          </w:p>
        </w:tc>
        <w:tc>
          <w:tcPr>
            <w:tcW w:w="7997" w:type="dxa"/>
            <w:tcBorders>
              <w:tl2br w:val="nil"/>
              <w:tr2bl w:val="nil"/>
            </w:tcBorders>
            <w:vAlign w:val="center"/>
          </w:tcPr>
          <w:p w14:paraId="056672E8">
            <w:pPr>
              <w:keepNext w:val="0"/>
              <w:keepLines w:val="0"/>
              <w:pageBreakBefore w:val="0"/>
              <w:widowControl/>
              <w:kinsoku/>
              <w:wordWrap/>
              <w:overflowPunct/>
              <w:topLinePunct w:val="0"/>
              <w:autoSpaceDE/>
              <w:autoSpaceDN/>
              <w:bidi w:val="0"/>
              <w:adjustRightInd/>
              <w:snapToGrid w:val="0"/>
              <w:spacing w:line="480" w:lineRule="exact"/>
              <w:textAlignment w:val="center"/>
              <w:rPr>
                <w:rFonts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是否按照要求签署、盖章；</w:t>
            </w:r>
          </w:p>
        </w:tc>
        <w:tc>
          <w:tcPr>
            <w:tcW w:w="841" w:type="dxa"/>
            <w:tcBorders>
              <w:tl2br w:val="nil"/>
              <w:tr2bl w:val="nil"/>
            </w:tcBorders>
            <w:vAlign w:val="center"/>
          </w:tcPr>
          <w:p w14:paraId="7BDBBB01">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69838816">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r w14:paraId="378A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00B9191B">
            <w:pPr>
              <w:keepNext w:val="0"/>
              <w:keepLines w:val="0"/>
              <w:pageBreakBefore w:val="0"/>
              <w:widowControl/>
              <w:kinsoku/>
              <w:wordWrap/>
              <w:overflowPunct/>
              <w:topLinePunct w:val="0"/>
              <w:autoSpaceDE/>
              <w:autoSpaceDN/>
              <w:bidi w:val="0"/>
              <w:adjustRightInd/>
              <w:snapToGrid w:val="0"/>
              <w:spacing w:line="480" w:lineRule="exact"/>
              <w:jc w:val="center"/>
              <w:textAlignment w:val="center"/>
              <w:rPr>
                <w:rFonts w:hint="eastAsia" w:ascii="宋体" w:hAnsi="宋体" w:eastAsia="宋体" w:cs="宋体"/>
                <w:color w:val="auto"/>
                <w:highlight w:val="none"/>
                <w:lang w:eastAsia="zh-CN"/>
              </w:rPr>
            </w:pPr>
            <w:r>
              <w:rPr>
                <w:rFonts w:hint="eastAsia" w:cs="宋体"/>
                <w:color w:val="auto"/>
                <w:highlight w:val="none"/>
                <w:lang w:val="en-US" w:eastAsia="zh-CN"/>
              </w:rPr>
              <w:t>5</w:t>
            </w:r>
          </w:p>
        </w:tc>
        <w:tc>
          <w:tcPr>
            <w:tcW w:w="7997" w:type="dxa"/>
            <w:tcBorders>
              <w:tl2br w:val="nil"/>
              <w:tr2bl w:val="nil"/>
            </w:tcBorders>
            <w:vAlign w:val="center"/>
          </w:tcPr>
          <w:p w14:paraId="3F605243">
            <w:pPr>
              <w:keepNext w:val="0"/>
              <w:keepLines w:val="0"/>
              <w:pageBreakBefore w:val="0"/>
              <w:widowControl/>
              <w:kinsoku/>
              <w:wordWrap/>
              <w:overflowPunct/>
              <w:topLinePunct w:val="0"/>
              <w:autoSpaceDE/>
              <w:autoSpaceDN/>
              <w:bidi w:val="0"/>
              <w:adjustRightInd/>
              <w:snapToGrid w:val="0"/>
              <w:spacing w:line="480" w:lineRule="exact"/>
              <w:rPr>
                <w:rFonts w:ascii="宋体" w:hAnsi="宋体" w:eastAsia="宋体" w:cs="宋体"/>
                <w:color w:val="auto"/>
                <w:highlight w:val="none"/>
              </w:rPr>
            </w:pPr>
            <w:r>
              <w:rPr>
                <w:rFonts w:hint="eastAsia" w:cs="宋体"/>
                <w:color w:val="auto"/>
                <w:highlight w:val="none"/>
                <w:lang w:val="en-US" w:eastAsia="zh-CN"/>
              </w:rPr>
              <w:t>磋商</w:t>
            </w:r>
            <w:r>
              <w:rPr>
                <w:rFonts w:hint="eastAsia" w:ascii="宋体" w:hAnsi="宋体" w:eastAsia="宋体" w:cs="宋体"/>
                <w:color w:val="auto"/>
                <w:highlight w:val="none"/>
              </w:rPr>
              <w:t>报价是否在采购预算或最高限价以内；</w:t>
            </w:r>
            <w:r>
              <w:rPr>
                <w:rFonts w:hint="eastAsia" w:ascii="宋体" w:hAnsi="宋体" w:eastAsia="宋体" w:cs="宋体"/>
                <w:color w:val="auto"/>
                <w:highlight w:val="none"/>
                <w:lang w:val="en-US" w:eastAsia="zh-CN"/>
              </w:rPr>
              <w:t>是否只有一个有效报价且未超过政府采购预算金额，本项目不接受选择性报价，对于出现的政采云平台经供应商确认的投标报价与响应文件中开标一览表的报价不一致的现象，视作选择性报价，将被作为无效投标处理。</w:t>
            </w:r>
          </w:p>
        </w:tc>
        <w:tc>
          <w:tcPr>
            <w:tcW w:w="841" w:type="dxa"/>
            <w:tcBorders>
              <w:tl2br w:val="nil"/>
              <w:tr2bl w:val="nil"/>
            </w:tcBorders>
            <w:vAlign w:val="center"/>
          </w:tcPr>
          <w:p w14:paraId="0B942506">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56B26354">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r w14:paraId="5870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70388962">
            <w:pPr>
              <w:keepNext w:val="0"/>
              <w:keepLines w:val="0"/>
              <w:pageBreakBefore w:val="0"/>
              <w:widowControl/>
              <w:kinsoku/>
              <w:wordWrap/>
              <w:overflowPunct/>
              <w:topLinePunct w:val="0"/>
              <w:autoSpaceDE/>
              <w:autoSpaceDN/>
              <w:bidi w:val="0"/>
              <w:adjustRightInd/>
              <w:snapToGrid w:val="0"/>
              <w:spacing w:line="480" w:lineRule="exact"/>
              <w:jc w:val="center"/>
              <w:textAlignment w:val="center"/>
              <w:rPr>
                <w:rFonts w:hint="eastAsia" w:ascii="宋体" w:hAnsi="宋体" w:eastAsia="宋体" w:cs="宋体"/>
                <w:color w:val="auto"/>
                <w:highlight w:val="none"/>
                <w:lang w:eastAsia="zh-CN"/>
              </w:rPr>
            </w:pPr>
            <w:r>
              <w:rPr>
                <w:rFonts w:hint="eastAsia" w:cs="宋体"/>
                <w:color w:val="auto"/>
                <w:highlight w:val="none"/>
                <w:lang w:val="en-US" w:eastAsia="zh-CN"/>
              </w:rPr>
              <w:t>6</w:t>
            </w:r>
          </w:p>
        </w:tc>
        <w:tc>
          <w:tcPr>
            <w:tcW w:w="7997" w:type="dxa"/>
            <w:tcBorders>
              <w:tl2br w:val="nil"/>
              <w:tr2bl w:val="nil"/>
            </w:tcBorders>
            <w:vAlign w:val="center"/>
          </w:tcPr>
          <w:p w14:paraId="22331501">
            <w:pPr>
              <w:keepNext w:val="0"/>
              <w:keepLines w:val="0"/>
              <w:pageBreakBefore w:val="0"/>
              <w:widowControl/>
              <w:kinsoku/>
              <w:wordWrap/>
              <w:overflowPunct/>
              <w:topLinePunct w:val="0"/>
              <w:autoSpaceDE/>
              <w:autoSpaceDN/>
              <w:bidi w:val="0"/>
              <w:adjustRightInd/>
              <w:snapToGrid w:val="0"/>
              <w:spacing w:line="480" w:lineRule="exact"/>
              <w:rPr>
                <w:rFonts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含有采购人不能接受的附加条件；</w:t>
            </w:r>
          </w:p>
        </w:tc>
        <w:tc>
          <w:tcPr>
            <w:tcW w:w="841" w:type="dxa"/>
            <w:tcBorders>
              <w:tl2br w:val="nil"/>
              <w:tr2bl w:val="nil"/>
            </w:tcBorders>
            <w:vAlign w:val="center"/>
          </w:tcPr>
          <w:p w14:paraId="1A240150">
            <w:pPr>
              <w:keepNext w:val="0"/>
              <w:keepLines w:val="0"/>
              <w:pageBreakBefore w:val="0"/>
              <w:widowControl/>
              <w:shd w:val="clear" w:color="auto" w:fill="FAFAFA"/>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7329F0DB">
            <w:pPr>
              <w:keepNext w:val="0"/>
              <w:keepLines w:val="0"/>
              <w:pageBreakBefore w:val="0"/>
              <w:widowControl/>
              <w:shd w:val="clear" w:color="auto" w:fill="FAFAFA"/>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r w14:paraId="2C70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9" w:type="dxa"/>
            <w:tcBorders>
              <w:tl2br w:val="nil"/>
              <w:tr2bl w:val="nil"/>
            </w:tcBorders>
            <w:vAlign w:val="center"/>
          </w:tcPr>
          <w:p w14:paraId="5B14623F">
            <w:pPr>
              <w:keepNext w:val="0"/>
              <w:keepLines w:val="0"/>
              <w:pageBreakBefore w:val="0"/>
              <w:widowControl/>
              <w:kinsoku/>
              <w:wordWrap/>
              <w:overflowPunct/>
              <w:topLinePunct w:val="0"/>
              <w:autoSpaceDE/>
              <w:autoSpaceDN/>
              <w:bidi w:val="0"/>
              <w:adjustRightInd/>
              <w:snapToGrid w:val="0"/>
              <w:spacing w:line="480" w:lineRule="exact"/>
              <w:jc w:val="center"/>
              <w:textAlignment w:val="center"/>
              <w:rPr>
                <w:rFonts w:hint="eastAsia" w:ascii="宋体" w:hAnsi="宋体" w:eastAsia="宋体" w:cs="宋体"/>
                <w:color w:val="auto"/>
                <w:highlight w:val="none"/>
                <w:lang w:eastAsia="zh-CN"/>
              </w:rPr>
            </w:pPr>
            <w:r>
              <w:rPr>
                <w:rFonts w:hint="eastAsia" w:cs="宋体"/>
                <w:color w:val="auto"/>
                <w:highlight w:val="none"/>
                <w:lang w:val="en-US" w:eastAsia="zh-CN"/>
              </w:rPr>
              <w:t>7</w:t>
            </w:r>
          </w:p>
        </w:tc>
        <w:tc>
          <w:tcPr>
            <w:tcW w:w="7997" w:type="dxa"/>
            <w:tcBorders>
              <w:tl2br w:val="nil"/>
              <w:tr2bl w:val="nil"/>
            </w:tcBorders>
            <w:vAlign w:val="center"/>
          </w:tcPr>
          <w:p w14:paraId="094D9EE0">
            <w:pPr>
              <w:keepNext w:val="0"/>
              <w:keepLines w:val="0"/>
              <w:pageBreakBefore w:val="0"/>
              <w:widowControl/>
              <w:kinsoku/>
              <w:wordWrap/>
              <w:overflowPunct/>
              <w:topLinePunct w:val="0"/>
              <w:autoSpaceDE/>
              <w:autoSpaceDN/>
              <w:bidi w:val="0"/>
              <w:adjustRightInd/>
              <w:snapToGrid w:val="0"/>
              <w:spacing w:line="480" w:lineRule="exact"/>
              <w:rPr>
                <w:rFonts w:ascii="宋体" w:hAnsi="宋体" w:eastAsia="宋体" w:cs="宋体"/>
                <w:color w:val="auto"/>
                <w:highlight w:val="none"/>
              </w:rPr>
            </w:pPr>
            <w:r>
              <w:rPr>
                <w:rFonts w:hint="eastAsia" w:ascii="宋体" w:hAnsi="宋体" w:eastAsia="宋体" w:cs="宋体"/>
                <w:color w:val="auto"/>
                <w:highlight w:val="none"/>
              </w:rPr>
              <w:t>不符合</w:t>
            </w:r>
            <w:r>
              <w:rPr>
                <w:rFonts w:hint="eastAsia" w:cs="宋体"/>
                <w:color w:val="auto"/>
                <w:highlight w:val="none"/>
                <w:lang w:eastAsia="zh-CN"/>
              </w:rPr>
              <w:t>法律法规</w:t>
            </w:r>
            <w:r>
              <w:rPr>
                <w:rFonts w:hint="eastAsia" w:ascii="宋体" w:hAnsi="宋体" w:eastAsia="宋体" w:cs="宋体"/>
                <w:color w:val="auto"/>
                <w:highlight w:val="none"/>
              </w:rPr>
              <w:t>和</w:t>
            </w:r>
            <w:r>
              <w:rPr>
                <w:rFonts w:hint="eastAsia" w:cs="宋体"/>
                <w:color w:val="auto"/>
                <w:highlight w:val="none"/>
                <w:lang w:val="en-US" w:eastAsia="zh-CN"/>
              </w:rPr>
              <w:t>磋商</w:t>
            </w:r>
            <w:r>
              <w:rPr>
                <w:rFonts w:hint="eastAsia" w:ascii="宋体" w:hAnsi="宋体" w:eastAsia="宋体" w:cs="宋体"/>
                <w:color w:val="auto"/>
                <w:highlight w:val="none"/>
              </w:rPr>
              <w:t>文件中规定的其他实质性要求。</w:t>
            </w:r>
          </w:p>
        </w:tc>
        <w:tc>
          <w:tcPr>
            <w:tcW w:w="841" w:type="dxa"/>
            <w:tcBorders>
              <w:tl2br w:val="nil"/>
              <w:tr2bl w:val="nil"/>
            </w:tcBorders>
            <w:vAlign w:val="center"/>
          </w:tcPr>
          <w:p w14:paraId="5A0EE59A">
            <w:pPr>
              <w:keepNext w:val="0"/>
              <w:keepLines w:val="0"/>
              <w:pageBreakBefore w:val="0"/>
              <w:widowControl/>
              <w:shd w:val="clear" w:color="auto" w:fill="FAFAFA"/>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2E572737">
            <w:pPr>
              <w:keepNext w:val="0"/>
              <w:keepLines w:val="0"/>
              <w:pageBreakBefore w:val="0"/>
              <w:widowControl/>
              <w:shd w:val="clear" w:color="auto" w:fill="FAFAFA"/>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r w14:paraId="033E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06" w:type="dxa"/>
            <w:gridSpan w:val="2"/>
            <w:tcBorders>
              <w:tl2br w:val="nil"/>
              <w:tr2bl w:val="nil"/>
            </w:tcBorders>
            <w:vAlign w:val="center"/>
          </w:tcPr>
          <w:p w14:paraId="3B5CDE82">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审查结果</w:t>
            </w:r>
          </w:p>
        </w:tc>
        <w:tc>
          <w:tcPr>
            <w:tcW w:w="841" w:type="dxa"/>
            <w:tcBorders>
              <w:tl2br w:val="nil"/>
              <w:tr2bl w:val="nil"/>
            </w:tcBorders>
            <w:vAlign w:val="center"/>
          </w:tcPr>
          <w:p w14:paraId="038825FF">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371EB38A">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r w14:paraId="7FC5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06" w:type="dxa"/>
            <w:gridSpan w:val="2"/>
            <w:tcBorders>
              <w:tl2br w:val="nil"/>
              <w:tr2bl w:val="nil"/>
            </w:tcBorders>
            <w:vAlign w:val="center"/>
          </w:tcPr>
          <w:p w14:paraId="3F79311E">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不通过理由说明</w:t>
            </w:r>
          </w:p>
        </w:tc>
        <w:tc>
          <w:tcPr>
            <w:tcW w:w="841" w:type="dxa"/>
            <w:tcBorders>
              <w:tl2br w:val="nil"/>
              <w:tr2bl w:val="nil"/>
            </w:tcBorders>
            <w:vAlign w:val="center"/>
          </w:tcPr>
          <w:p w14:paraId="7FF2CCB5">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c>
          <w:tcPr>
            <w:tcW w:w="833" w:type="dxa"/>
            <w:tcBorders>
              <w:tl2br w:val="nil"/>
              <w:tr2bl w:val="nil"/>
            </w:tcBorders>
            <w:vAlign w:val="center"/>
          </w:tcPr>
          <w:p w14:paraId="39538A19">
            <w:pPr>
              <w:keepNext w:val="0"/>
              <w:keepLines w:val="0"/>
              <w:pageBreakBefore w:val="0"/>
              <w:widowControl/>
              <w:kinsoku/>
              <w:wordWrap/>
              <w:overflowPunct/>
              <w:topLinePunct w:val="0"/>
              <w:autoSpaceDE/>
              <w:autoSpaceDN/>
              <w:bidi w:val="0"/>
              <w:adjustRightInd/>
              <w:snapToGrid w:val="0"/>
              <w:spacing w:line="480" w:lineRule="exact"/>
              <w:jc w:val="center"/>
              <w:rPr>
                <w:rFonts w:ascii="宋体" w:hAnsi="宋体" w:eastAsia="宋体" w:cs="宋体"/>
                <w:color w:val="auto"/>
                <w:highlight w:val="none"/>
              </w:rPr>
            </w:pPr>
          </w:p>
        </w:tc>
      </w:tr>
    </w:tbl>
    <w:p w14:paraId="3F1B3371">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hint="eastAsia" w:ascii="宋体" w:hAnsi="宋体" w:eastAsia="宋体" w:cs="宋体"/>
          <w:b/>
          <w:bCs/>
          <w:color w:val="auto"/>
          <w:sz w:val="28"/>
          <w:szCs w:val="28"/>
          <w:highlight w:val="none"/>
          <w:lang w:val="en-US" w:eastAsia="zh-CN"/>
        </w:rPr>
      </w:pPr>
    </w:p>
    <w:p w14:paraId="040BF96B">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7F381B77">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480" w:lineRule="exact"/>
        <w:jc w:val="center"/>
        <w:textAlignment w:val="baseline"/>
        <w:outlineLvl w:val="0"/>
        <w:rPr>
          <w:rFonts w:hint="eastAsia" w:ascii="宋体" w:hAnsi="宋体" w:eastAsia="宋体" w:cs="宋体"/>
          <w:b/>
          <w:bCs/>
          <w:color w:val="auto"/>
          <w:sz w:val="28"/>
          <w:szCs w:val="28"/>
          <w:highlight w:val="none"/>
          <w:lang w:val="en-US" w:eastAsia="zh-CN"/>
        </w:rPr>
      </w:pPr>
      <w:bookmarkStart w:id="37" w:name="_Toc5668"/>
      <w:r>
        <w:rPr>
          <w:rFonts w:hint="eastAsia" w:ascii="宋体" w:hAnsi="宋体" w:eastAsia="宋体" w:cs="宋体"/>
          <w:b/>
          <w:bCs/>
          <w:color w:val="auto"/>
          <w:sz w:val="28"/>
          <w:szCs w:val="28"/>
          <w:highlight w:val="none"/>
          <w:lang w:val="en-US" w:eastAsia="zh-CN"/>
        </w:rPr>
        <w:t>评审标准</w:t>
      </w:r>
      <w:bookmarkEnd w:id="37"/>
    </w:p>
    <w:tbl>
      <w:tblPr>
        <w:tblStyle w:val="34"/>
        <w:tblW w:w="10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23"/>
        <w:gridCol w:w="7409"/>
        <w:gridCol w:w="764"/>
      </w:tblGrid>
      <w:tr w14:paraId="5C10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69" w:type="dxa"/>
            <w:tcBorders>
              <w:tl2br w:val="nil"/>
              <w:tr2bl w:val="nil"/>
            </w:tcBorders>
            <w:noWrap w:val="0"/>
            <w:vAlign w:val="center"/>
          </w:tcPr>
          <w:p w14:paraId="3AD52730">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1823" w:type="dxa"/>
            <w:tcBorders>
              <w:tl2br w:val="nil"/>
              <w:tr2bl w:val="nil"/>
            </w:tcBorders>
            <w:noWrap w:val="0"/>
            <w:vAlign w:val="center"/>
          </w:tcPr>
          <w:p w14:paraId="4EE0BCC7">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评审项目</w:t>
            </w:r>
          </w:p>
        </w:tc>
        <w:tc>
          <w:tcPr>
            <w:tcW w:w="7409" w:type="dxa"/>
            <w:tcBorders>
              <w:tl2br w:val="nil"/>
              <w:tr2bl w:val="nil"/>
            </w:tcBorders>
            <w:noWrap w:val="0"/>
            <w:vAlign w:val="center"/>
          </w:tcPr>
          <w:p w14:paraId="14377AC3">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评分细则</w:t>
            </w:r>
          </w:p>
        </w:tc>
        <w:tc>
          <w:tcPr>
            <w:tcW w:w="764" w:type="dxa"/>
            <w:tcBorders>
              <w:tl2br w:val="nil"/>
              <w:tr2bl w:val="nil"/>
            </w:tcBorders>
            <w:noWrap w:val="0"/>
            <w:vAlign w:val="center"/>
          </w:tcPr>
          <w:p w14:paraId="2D55284B">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分值</w:t>
            </w:r>
          </w:p>
        </w:tc>
      </w:tr>
      <w:tr w14:paraId="60DB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765" w:type="dxa"/>
            <w:gridSpan w:val="4"/>
            <w:tcBorders>
              <w:tl2br w:val="nil"/>
              <w:tr2bl w:val="nil"/>
            </w:tcBorders>
            <w:noWrap w:val="0"/>
            <w:vAlign w:val="center"/>
          </w:tcPr>
          <w:p w14:paraId="2B232F26">
            <w:pPr>
              <w:keepNext w:val="0"/>
              <w:keepLines w:val="0"/>
              <w:pageBreakBefore w:val="0"/>
              <w:kinsoku/>
              <w:wordWrap/>
              <w:overflowPunct/>
              <w:topLinePunct w:val="0"/>
              <w:autoSpaceDE/>
              <w:autoSpaceDN/>
              <w:bidi w:val="0"/>
              <w:spacing w:line="440" w:lineRule="exact"/>
              <w:ind w:firstLine="482"/>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一、经济部分（</w:t>
            </w:r>
            <w:r>
              <w:rPr>
                <w:rFonts w:hint="eastAsia" w:cs="宋体"/>
                <w:color w:val="auto"/>
                <w:kern w:val="0"/>
                <w:sz w:val="24"/>
                <w:szCs w:val="24"/>
                <w:highlight w:val="non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751C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769" w:type="dxa"/>
            <w:tcBorders>
              <w:tl2br w:val="nil"/>
              <w:tr2bl w:val="nil"/>
            </w:tcBorders>
            <w:noWrap w:val="0"/>
            <w:vAlign w:val="center"/>
          </w:tcPr>
          <w:p w14:paraId="3D2B202D">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p>
        </w:tc>
        <w:tc>
          <w:tcPr>
            <w:tcW w:w="1823" w:type="dxa"/>
            <w:tcBorders>
              <w:tl2br w:val="nil"/>
              <w:tr2bl w:val="nil"/>
            </w:tcBorders>
            <w:noWrap w:val="0"/>
            <w:vAlign w:val="center"/>
          </w:tcPr>
          <w:p w14:paraId="2BEBE5EB">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磋商报价</w:t>
            </w:r>
          </w:p>
        </w:tc>
        <w:tc>
          <w:tcPr>
            <w:tcW w:w="7409" w:type="dxa"/>
            <w:tcBorders>
              <w:tl2br w:val="nil"/>
              <w:tr2bl w:val="nil"/>
            </w:tcBorders>
            <w:noWrap w:val="0"/>
            <w:vAlign w:val="center"/>
          </w:tcPr>
          <w:p w14:paraId="476EC705">
            <w:pPr>
              <w:pStyle w:val="9"/>
              <w:keepNext w:val="0"/>
              <w:keepLines w:val="0"/>
              <w:pageBreakBefore w:val="0"/>
              <w:kinsoku/>
              <w:wordWrap/>
              <w:overflowPunct/>
              <w:topLinePunct w:val="0"/>
              <w:autoSpaceDE/>
              <w:autoSpaceDN/>
              <w:bidi w:val="0"/>
              <w:adjustRightInd w:val="0"/>
              <w:snapToGrid w:val="0"/>
              <w:spacing w:line="440" w:lineRule="exact"/>
              <w:ind w:left="0" w:leftChars="0" w:firstLine="0" w:firstLineChars="0"/>
              <w:jc w:val="both"/>
              <w:textAlignment w:val="auto"/>
              <w:rPr>
                <w:rFonts w:hint="default" w:ascii="宋体" w:hAnsi="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价格分采用低价优先法计算，满足本磋商文件全部实质性要求，且最终最后报价最低的有效供应商报价，作为本项目磋商基准价，该供应商价格分得满分；其他有效供应商的磋商报价得分计算公式为：磋商报价得分=（磋商基准价/供应商最后磋商报价）×价格分分值（计算结果精确至小数点后两位）。供应商报价超过本项目采购预算或最高限价的，其响应按无效响应处理，不参与价格分及后续评审。</w:t>
            </w:r>
          </w:p>
        </w:tc>
        <w:tc>
          <w:tcPr>
            <w:tcW w:w="764" w:type="dxa"/>
            <w:tcBorders>
              <w:tl2br w:val="nil"/>
              <w:tr2bl w:val="nil"/>
            </w:tcBorders>
            <w:noWrap w:val="0"/>
            <w:vAlign w:val="center"/>
          </w:tcPr>
          <w:p w14:paraId="5E89B2A1">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30分</w:t>
            </w:r>
          </w:p>
        </w:tc>
      </w:tr>
      <w:tr w14:paraId="2B4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765" w:type="dxa"/>
            <w:gridSpan w:val="4"/>
            <w:tcBorders>
              <w:tl2br w:val="nil"/>
              <w:tr2bl w:val="nil"/>
            </w:tcBorders>
            <w:noWrap w:val="0"/>
            <w:vAlign w:val="center"/>
          </w:tcPr>
          <w:p w14:paraId="3C4AEEED">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w:t>
            </w:r>
            <w:r>
              <w:rPr>
                <w:rFonts w:hint="eastAsia" w:ascii="宋体" w:hAnsi="宋体" w:cs="宋体"/>
                <w:color w:val="auto"/>
                <w:kern w:val="0"/>
                <w:sz w:val="24"/>
                <w:szCs w:val="24"/>
                <w:highlight w:val="none"/>
                <w:lang w:val="en-US" w:eastAsia="zh-CN" w:bidi="ar-SA"/>
              </w:rPr>
              <w:t>商务</w:t>
            </w:r>
            <w:r>
              <w:rPr>
                <w:rFonts w:hint="eastAsia" w:ascii="宋体" w:hAnsi="宋体" w:eastAsia="宋体" w:cs="宋体"/>
                <w:color w:val="auto"/>
                <w:kern w:val="0"/>
                <w:sz w:val="24"/>
                <w:szCs w:val="24"/>
                <w:highlight w:val="none"/>
                <w:lang w:val="en-US" w:eastAsia="zh-CN" w:bidi="ar-SA"/>
              </w:rPr>
              <w:t>部分</w:t>
            </w:r>
            <w:r>
              <w:rPr>
                <w:rFonts w:hint="eastAsia" w:ascii="宋体" w:hAnsi="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w:t>
            </w:r>
          </w:p>
        </w:tc>
      </w:tr>
      <w:tr w14:paraId="508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69" w:type="dxa"/>
            <w:tcBorders>
              <w:tl2br w:val="nil"/>
              <w:tr2bl w:val="nil"/>
            </w:tcBorders>
            <w:noWrap w:val="0"/>
            <w:vAlign w:val="center"/>
          </w:tcPr>
          <w:p w14:paraId="47EAE473">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p>
        </w:tc>
        <w:tc>
          <w:tcPr>
            <w:tcW w:w="1823" w:type="dxa"/>
            <w:tcBorders>
              <w:tl2br w:val="nil"/>
              <w:tr2bl w:val="nil"/>
            </w:tcBorders>
            <w:shd w:val="clear" w:color="auto" w:fill="auto"/>
            <w:noWrap w:val="0"/>
            <w:vAlign w:val="center"/>
          </w:tcPr>
          <w:p w14:paraId="52EE36C1">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bidi="ar-SA"/>
              </w:rPr>
              <w:t>类似业绩</w:t>
            </w:r>
          </w:p>
        </w:tc>
        <w:tc>
          <w:tcPr>
            <w:tcW w:w="7409" w:type="dxa"/>
            <w:tcBorders>
              <w:tl2br w:val="nil"/>
              <w:tr2bl w:val="nil"/>
            </w:tcBorders>
            <w:shd w:val="clear" w:color="auto" w:fill="auto"/>
            <w:noWrap w:val="0"/>
            <w:vAlign w:val="center"/>
          </w:tcPr>
          <w:p w14:paraId="35588E49">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供应商近三年（202</w:t>
            </w:r>
            <w:r>
              <w:rPr>
                <w:rFonts w:hint="eastAsia" w:ascii="宋体" w:hAnsi="宋体" w:cs="宋体"/>
                <w:color w:val="auto"/>
                <w:kern w:val="0"/>
                <w:sz w:val="24"/>
                <w:szCs w:val="24"/>
                <w:highlight w:val="none"/>
                <w:lang w:eastAsia="zh-CN"/>
              </w:rPr>
              <w:t>3</w:t>
            </w:r>
            <w:r>
              <w:rPr>
                <w:rFonts w:hint="eastAsia" w:ascii="宋体" w:hAnsi="宋体" w:cs="宋体"/>
                <w:color w:val="auto"/>
                <w:kern w:val="0"/>
                <w:sz w:val="24"/>
                <w:szCs w:val="24"/>
                <w:highlight w:val="none"/>
              </w:rPr>
              <w:t>年1月1日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至今）已完成的类似项目业绩每提供1项，得</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分，满分</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p w14:paraId="7BAE561E">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须提供合同关键页（首页、内容信息页、金额页、双方签字盖章页）复印件加盖公章，未提供相关证明材料或提供证明材料不全者不得分。</w:t>
            </w:r>
          </w:p>
        </w:tc>
        <w:tc>
          <w:tcPr>
            <w:tcW w:w="764" w:type="dxa"/>
            <w:tcBorders>
              <w:tl2br w:val="nil"/>
              <w:tr2bl w:val="nil"/>
            </w:tcBorders>
            <w:noWrap w:val="0"/>
            <w:vAlign w:val="center"/>
          </w:tcPr>
          <w:p w14:paraId="3F26E2F7">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6分</w:t>
            </w:r>
          </w:p>
        </w:tc>
      </w:tr>
      <w:tr w14:paraId="1194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69" w:type="dxa"/>
            <w:tcBorders>
              <w:tl2br w:val="nil"/>
              <w:tr2bl w:val="nil"/>
            </w:tcBorders>
            <w:noWrap w:val="0"/>
            <w:vAlign w:val="center"/>
          </w:tcPr>
          <w:p w14:paraId="71DF78C3">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p>
        </w:tc>
        <w:tc>
          <w:tcPr>
            <w:tcW w:w="1823" w:type="dxa"/>
            <w:tcBorders>
              <w:tl2br w:val="nil"/>
              <w:tr2bl w:val="nil"/>
            </w:tcBorders>
            <w:noWrap w:val="0"/>
            <w:vAlign w:val="center"/>
          </w:tcPr>
          <w:p w14:paraId="1B236184">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售后服务方案</w:t>
            </w:r>
          </w:p>
        </w:tc>
        <w:tc>
          <w:tcPr>
            <w:tcW w:w="7409" w:type="dxa"/>
            <w:tcBorders>
              <w:tl2br w:val="nil"/>
              <w:tr2bl w:val="nil"/>
            </w:tcBorders>
            <w:noWrap w:val="0"/>
            <w:vAlign w:val="center"/>
          </w:tcPr>
          <w:p w14:paraId="47D7D435">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供应商编制的售后服务方案综合评分，方案需完整涵盖售后服务具体内容、专属服务保障措施、故障响应时限、应急问题处理机制、售后人员配置、质保期内外服务承诺等核心内容。服务体系完善健全、内容针对性强、完全贴合本项目实际需求、无内容缺失的，得5分；方案每缺少一项核心内容</w:t>
            </w:r>
            <w:r>
              <w:rPr>
                <w:rFonts w:hint="eastAsia" w:ascii="宋体" w:hAnsi="宋体" w:cs="宋体"/>
                <w:color w:val="auto"/>
                <w:kern w:val="0"/>
                <w:sz w:val="24"/>
                <w:szCs w:val="24"/>
                <w:highlight w:val="none"/>
                <w:lang w:val="en-US" w:eastAsia="zh-CN" w:bidi="ar-SA"/>
              </w:rPr>
              <w:t>或</w:t>
            </w:r>
            <w:r>
              <w:rPr>
                <w:rFonts w:hint="eastAsia" w:ascii="宋体" w:hAnsi="宋体" w:eastAsia="宋体" w:cs="宋体"/>
                <w:color w:val="auto"/>
                <w:kern w:val="0"/>
                <w:sz w:val="24"/>
                <w:szCs w:val="24"/>
                <w:highlight w:val="none"/>
                <w:lang w:val="en-US" w:eastAsia="zh-CN" w:bidi="ar-SA"/>
              </w:rPr>
              <w:t>表述不够详尽完善</w:t>
            </w:r>
            <w:r>
              <w:rPr>
                <w:rFonts w:hint="eastAsia" w:ascii="宋体" w:hAnsi="宋体" w:cs="宋体"/>
                <w:color w:val="auto"/>
                <w:kern w:val="0"/>
                <w:sz w:val="24"/>
                <w:szCs w:val="24"/>
                <w:highlight w:val="none"/>
                <w:lang w:val="en-US" w:eastAsia="zh-CN" w:bidi="ar-SA"/>
              </w:rPr>
              <w:t>或</w:t>
            </w:r>
            <w:r>
              <w:rPr>
                <w:rFonts w:hint="eastAsia" w:ascii="宋体" w:hAnsi="宋体" w:eastAsia="宋体" w:cs="宋体"/>
                <w:color w:val="auto"/>
                <w:kern w:val="0"/>
                <w:sz w:val="24"/>
                <w:szCs w:val="24"/>
                <w:highlight w:val="none"/>
                <w:lang w:val="en-US" w:eastAsia="zh-CN" w:bidi="ar-SA"/>
              </w:rPr>
              <w:t>针对性不足的，每处扣1分，扣完本项分值为止；未编制并提供售后服务方案的，本项不得分。</w:t>
            </w:r>
          </w:p>
        </w:tc>
        <w:tc>
          <w:tcPr>
            <w:tcW w:w="764" w:type="dxa"/>
            <w:tcBorders>
              <w:tl2br w:val="nil"/>
              <w:tr2bl w:val="nil"/>
            </w:tcBorders>
            <w:noWrap w:val="0"/>
            <w:vAlign w:val="center"/>
          </w:tcPr>
          <w:p w14:paraId="73FE9869">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5分</w:t>
            </w:r>
          </w:p>
        </w:tc>
      </w:tr>
      <w:tr w14:paraId="6416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765" w:type="dxa"/>
            <w:gridSpan w:val="4"/>
            <w:tcBorders>
              <w:tl2br w:val="nil"/>
              <w:tr2bl w:val="nil"/>
            </w:tcBorders>
            <w:noWrap w:val="0"/>
            <w:vAlign w:val="center"/>
          </w:tcPr>
          <w:p w14:paraId="08F0F4C2">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w:t>
            </w:r>
            <w:r>
              <w:rPr>
                <w:rFonts w:hint="eastAsia" w:ascii="宋体" w:hAnsi="宋体" w:cs="宋体"/>
                <w:color w:val="auto"/>
                <w:kern w:val="0"/>
                <w:sz w:val="24"/>
                <w:szCs w:val="24"/>
                <w:highlight w:val="none"/>
                <w:lang w:val="en-US" w:eastAsia="zh-CN" w:bidi="ar-SA"/>
              </w:rPr>
              <w:t>技术</w:t>
            </w:r>
            <w:r>
              <w:rPr>
                <w:rFonts w:hint="eastAsia" w:ascii="宋体" w:hAnsi="宋体" w:eastAsia="宋体" w:cs="宋体"/>
                <w:color w:val="auto"/>
                <w:kern w:val="0"/>
                <w:sz w:val="24"/>
                <w:szCs w:val="24"/>
                <w:highlight w:val="none"/>
                <w:lang w:val="en-US" w:eastAsia="zh-CN" w:bidi="ar-SA"/>
              </w:rPr>
              <w:t>部分</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合计</w:t>
            </w:r>
            <w:r>
              <w:rPr>
                <w:rFonts w:hint="eastAsia" w:ascii="宋体" w:hAnsi="宋体" w:cs="宋体"/>
                <w:color w:val="auto"/>
                <w:kern w:val="0"/>
                <w:sz w:val="24"/>
                <w:szCs w:val="24"/>
                <w:highlight w:val="none"/>
                <w:lang w:val="en-US" w:eastAsia="zh-CN" w:bidi="ar-SA"/>
              </w:rPr>
              <w:t>59</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w:t>
            </w:r>
          </w:p>
        </w:tc>
      </w:tr>
      <w:tr w14:paraId="44F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9" w:type="dxa"/>
            <w:tcBorders>
              <w:tl2br w:val="nil"/>
              <w:tr2bl w:val="nil"/>
            </w:tcBorders>
            <w:noWrap w:val="0"/>
            <w:vAlign w:val="center"/>
          </w:tcPr>
          <w:p w14:paraId="54603D1A">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p>
        </w:tc>
        <w:tc>
          <w:tcPr>
            <w:tcW w:w="1823" w:type="dxa"/>
            <w:tcBorders>
              <w:tl2br w:val="nil"/>
              <w:tr2bl w:val="nil"/>
            </w:tcBorders>
            <w:noWrap w:val="0"/>
            <w:vAlign w:val="center"/>
          </w:tcPr>
          <w:p w14:paraId="0EADBE05">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施工技术方案</w:t>
            </w:r>
          </w:p>
        </w:tc>
        <w:tc>
          <w:tcPr>
            <w:tcW w:w="7409" w:type="dxa"/>
            <w:tcBorders>
              <w:tl2br w:val="nil"/>
              <w:tr2bl w:val="nil"/>
            </w:tcBorders>
            <w:noWrap w:val="0"/>
            <w:vAlign w:val="center"/>
          </w:tcPr>
          <w:p w14:paraId="15FE387C">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施工方法先进得3分。</w:t>
            </w:r>
          </w:p>
          <w:p w14:paraId="2F5B21A9">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施工设备、劳动力安排合理得5分。</w:t>
            </w:r>
          </w:p>
          <w:p w14:paraId="74E0D2C6">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施工技术方案符合工程实际情况、工艺先进、方法科学合理得5分。</w:t>
            </w:r>
          </w:p>
          <w:p w14:paraId="763CD4C8">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default" w:ascii="宋体" w:hAnsi="宋体" w:eastAsia="宋体" w:cs="宋体"/>
                <w:color w:val="auto"/>
                <w:kern w:val="0"/>
                <w:sz w:val="24"/>
                <w:szCs w:val="24"/>
                <w:highlight w:val="none"/>
                <w:lang w:val="en-US" w:eastAsia="zh-CN" w:bidi="ar-SA"/>
              </w:rPr>
              <w:t>施工部署全面、针对性强，对工程施工具有较强的指导性得</w:t>
            </w:r>
            <w:r>
              <w:rPr>
                <w:rFonts w:hint="eastAsia" w:ascii="宋体" w:hAnsi="宋体" w:cs="宋体"/>
                <w:color w:val="auto"/>
                <w:kern w:val="0"/>
                <w:sz w:val="24"/>
                <w:szCs w:val="24"/>
                <w:highlight w:val="none"/>
                <w:lang w:val="en-US" w:eastAsia="zh-CN" w:bidi="ar-SA"/>
              </w:rPr>
              <w:t>5</w:t>
            </w:r>
            <w:r>
              <w:rPr>
                <w:rFonts w:hint="default" w:ascii="宋体" w:hAnsi="宋体" w:eastAsia="宋体" w:cs="宋体"/>
                <w:color w:val="auto"/>
                <w:kern w:val="0"/>
                <w:sz w:val="24"/>
                <w:szCs w:val="24"/>
                <w:highlight w:val="none"/>
                <w:lang w:val="en-US" w:eastAsia="zh-CN" w:bidi="ar-SA"/>
              </w:rPr>
              <w:t>分。</w:t>
            </w:r>
          </w:p>
          <w:p w14:paraId="6242BB69">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default" w:ascii="宋体" w:hAnsi="宋体" w:eastAsia="宋体" w:cs="宋体"/>
                <w:color w:val="auto"/>
                <w:kern w:val="0"/>
                <w:sz w:val="24"/>
                <w:szCs w:val="24"/>
                <w:highlight w:val="none"/>
                <w:lang w:val="en-US" w:eastAsia="zh-CN" w:bidi="ar-SA"/>
              </w:rPr>
              <w:t>各项交叉作业与项目实际相结合的得4分。</w:t>
            </w:r>
          </w:p>
          <w:p w14:paraId="258DD0AE">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r>
              <w:rPr>
                <w:rFonts w:hint="default" w:ascii="宋体" w:hAnsi="宋体" w:eastAsia="宋体" w:cs="宋体"/>
                <w:color w:val="auto"/>
                <w:kern w:val="0"/>
                <w:sz w:val="24"/>
                <w:szCs w:val="24"/>
                <w:highlight w:val="none"/>
                <w:lang w:val="en-US" w:eastAsia="zh-CN" w:bidi="ar-SA"/>
              </w:rPr>
              <w:t>施工现场平面布置合理得3分（附图）。</w:t>
            </w:r>
          </w:p>
          <w:p w14:paraId="53E6CCB2">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以上6项内容均能满足项目实际需求得26分，每有一项内容不够详尽或不完整的扣2分，不提供不得分。</w:t>
            </w:r>
          </w:p>
        </w:tc>
        <w:tc>
          <w:tcPr>
            <w:tcW w:w="764" w:type="dxa"/>
            <w:tcBorders>
              <w:tl2br w:val="nil"/>
              <w:tr2bl w:val="nil"/>
            </w:tcBorders>
            <w:noWrap w:val="0"/>
            <w:vAlign w:val="center"/>
          </w:tcPr>
          <w:p w14:paraId="60A4DA48">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25分</w:t>
            </w:r>
          </w:p>
        </w:tc>
      </w:tr>
      <w:tr w14:paraId="5806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769" w:type="dxa"/>
            <w:tcBorders>
              <w:tl2br w:val="nil"/>
              <w:tr2bl w:val="nil"/>
            </w:tcBorders>
            <w:noWrap w:val="0"/>
            <w:vAlign w:val="center"/>
          </w:tcPr>
          <w:p w14:paraId="5141FA02">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c>
          <w:tcPr>
            <w:tcW w:w="1823" w:type="dxa"/>
            <w:tcBorders>
              <w:tl2br w:val="nil"/>
              <w:tr2bl w:val="nil"/>
            </w:tcBorders>
            <w:noWrap w:val="0"/>
            <w:vAlign w:val="center"/>
          </w:tcPr>
          <w:p w14:paraId="4B2DF0AA">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施工进度计划与措施</w:t>
            </w:r>
          </w:p>
        </w:tc>
        <w:tc>
          <w:tcPr>
            <w:tcW w:w="7409" w:type="dxa"/>
            <w:tcBorders>
              <w:tl2br w:val="nil"/>
              <w:tr2bl w:val="nil"/>
            </w:tcBorders>
            <w:noWrap w:val="0"/>
            <w:vAlign w:val="center"/>
          </w:tcPr>
          <w:p w14:paraId="0E2E60E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施工总进度计划合理且留有余地得5分。</w:t>
            </w:r>
          </w:p>
          <w:p w14:paraId="4F85187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对施工进度安排有切实可行的保证措施得5分。</w:t>
            </w:r>
          </w:p>
          <w:p w14:paraId="0FCC6F6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在确保工程质量前提下，有降低成本、缩短工期、减轻劳动强度提高进度提案者得2分。</w:t>
            </w:r>
          </w:p>
          <w:p w14:paraId="6A1506C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color w:val="auto"/>
                <w:highlight w:val="none"/>
                <w:lang w:val="en-US" w:eastAsia="zh-CN"/>
              </w:rPr>
            </w:pPr>
            <w:r>
              <w:rPr>
                <w:rFonts w:hint="eastAsia" w:ascii="宋体" w:hAnsi="宋体" w:eastAsia="宋体" w:cs="宋体"/>
                <w:color w:val="auto"/>
                <w:kern w:val="0"/>
                <w:sz w:val="24"/>
                <w:szCs w:val="24"/>
                <w:highlight w:val="none"/>
                <w:lang w:val="en-US" w:eastAsia="zh-CN" w:bidi="ar-SA"/>
              </w:rPr>
              <w:t>以上3项内容均能满足项目实际需求得12分，每有一项内容不够详尽或不完整的扣1分，不提供不得分。</w:t>
            </w:r>
          </w:p>
        </w:tc>
        <w:tc>
          <w:tcPr>
            <w:tcW w:w="764" w:type="dxa"/>
            <w:tcBorders>
              <w:tl2br w:val="nil"/>
              <w:tr2bl w:val="nil"/>
            </w:tcBorders>
            <w:noWrap w:val="0"/>
            <w:vAlign w:val="center"/>
          </w:tcPr>
          <w:p w14:paraId="3201DA29">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12分</w:t>
            </w:r>
          </w:p>
        </w:tc>
      </w:tr>
      <w:tr w14:paraId="3710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9" w:type="dxa"/>
            <w:tcBorders>
              <w:tl2br w:val="nil"/>
              <w:tr2bl w:val="nil"/>
            </w:tcBorders>
            <w:noWrap w:val="0"/>
            <w:vAlign w:val="center"/>
          </w:tcPr>
          <w:p w14:paraId="2F426C61">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p>
        </w:tc>
        <w:tc>
          <w:tcPr>
            <w:tcW w:w="1823" w:type="dxa"/>
            <w:tcBorders>
              <w:tl2br w:val="nil"/>
              <w:tr2bl w:val="nil"/>
            </w:tcBorders>
            <w:noWrap w:val="0"/>
            <w:vAlign w:val="center"/>
          </w:tcPr>
          <w:p w14:paraId="60E774E8">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安全生产保证措施</w:t>
            </w:r>
          </w:p>
        </w:tc>
        <w:tc>
          <w:tcPr>
            <w:tcW w:w="7409" w:type="dxa"/>
            <w:tcBorders>
              <w:tl2br w:val="nil"/>
              <w:tr2bl w:val="nil"/>
            </w:tcBorders>
            <w:noWrap w:val="0"/>
            <w:vAlign w:val="center"/>
          </w:tcPr>
          <w:p w14:paraId="5437D884">
            <w:pPr>
              <w:pStyle w:val="9"/>
              <w:keepNext w:val="0"/>
              <w:keepLines w:val="0"/>
              <w:pageBreakBefore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安全生产保证措施符合国家强制性条文规定，且科学合理，切实可行，可操作性强得3分。</w:t>
            </w:r>
          </w:p>
          <w:p w14:paraId="13D846C1">
            <w:pPr>
              <w:pStyle w:val="9"/>
              <w:keepNext w:val="0"/>
              <w:keepLines w:val="0"/>
              <w:pageBreakBefore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安保体系健全，在施工人员安全培训、现场安全生产管理等方面满足本项目需求得3分。</w:t>
            </w:r>
          </w:p>
          <w:p w14:paraId="4E5990D3">
            <w:pPr>
              <w:pStyle w:val="9"/>
              <w:keepNext w:val="0"/>
              <w:keepLines w:val="0"/>
              <w:pageBreakBefore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以上2项内容均能满足项目实际需求得6分，每有一项内容不够详尽或不完整的扣1分，不提供不得分。</w:t>
            </w:r>
          </w:p>
        </w:tc>
        <w:tc>
          <w:tcPr>
            <w:tcW w:w="764" w:type="dxa"/>
            <w:tcBorders>
              <w:tl2br w:val="nil"/>
              <w:tr2bl w:val="nil"/>
            </w:tcBorders>
            <w:noWrap w:val="0"/>
            <w:vAlign w:val="center"/>
          </w:tcPr>
          <w:p w14:paraId="6E6ECB53">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6分</w:t>
            </w:r>
          </w:p>
        </w:tc>
      </w:tr>
      <w:tr w14:paraId="04C0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69" w:type="dxa"/>
            <w:tcBorders>
              <w:tl2br w:val="nil"/>
              <w:tr2bl w:val="nil"/>
            </w:tcBorders>
            <w:noWrap w:val="0"/>
            <w:vAlign w:val="center"/>
          </w:tcPr>
          <w:p w14:paraId="452CBAB5">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p>
        </w:tc>
        <w:tc>
          <w:tcPr>
            <w:tcW w:w="1823" w:type="dxa"/>
            <w:tcBorders>
              <w:tl2br w:val="nil"/>
              <w:tr2bl w:val="nil"/>
            </w:tcBorders>
            <w:noWrap w:val="0"/>
            <w:vAlign w:val="center"/>
          </w:tcPr>
          <w:p w14:paraId="69F02615">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工程质量目标及质量保证措施</w:t>
            </w:r>
          </w:p>
        </w:tc>
        <w:tc>
          <w:tcPr>
            <w:tcW w:w="7409" w:type="dxa"/>
            <w:tcBorders>
              <w:tl2br w:val="nil"/>
              <w:tr2bl w:val="nil"/>
            </w:tcBorders>
            <w:noWrap w:val="0"/>
            <w:vAlign w:val="center"/>
          </w:tcPr>
          <w:p w14:paraId="239464A9">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质量保证体系健全，工程质量、工期、安全措施得力得3分。</w:t>
            </w:r>
          </w:p>
          <w:p w14:paraId="262E0874">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承诺达到优质质量标准，并有切实可行的质量保证措施得3分。</w:t>
            </w:r>
          </w:p>
          <w:p w14:paraId="46CBF0FA">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质量通病的防治措施可行得2分。</w:t>
            </w:r>
          </w:p>
          <w:p w14:paraId="6042B261">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以上3项内容均能满足项目实际需求得8分，每有一项内容不够详尽或不完整的扣1分，不提供不得分。</w:t>
            </w:r>
          </w:p>
        </w:tc>
        <w:tc>
          <w:tcPr>
            <w:tcW w:w="764" w:type="dxa"/>
            <w:tcBorders>
              <w:tl2br w:val="nil"/>
              <w:tr2bl w:val="nil"/>
            </w:tcBorders>
            <w:noWrap w:val="0"/>
            <w:vAlign w:val="center"/>
          </w:tcPr>
          <w:p w14:paraId="6BA2B323">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宋体" w:hAnsi="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8分</w:t>
            </w:r>
          </w:p>
        </w:tc>
      </w:tr>
      <w:tr w14:paraId="5968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69" w:type="dxa"/>
            <w:tcBorders>
              <w:tl2br w:val="nil"/>
              <w:tr2bl w:val="nil"/>
            </w:tcBorders>
            <w:noWrap w:val="0"/>
            <w:vAlign w:val="center"/>
          </w:tcPr>
          <w:p w14:paraId="18DC3C2A">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p>
        </w:tc>
        <w:tc>
          <w:tcPr>
            <w:tcW w:w="1823" w:type="dxa"/>
            <w:tcBorders>
              <w:tl2br w:val="nil"/>
              <w:tr2bl w:val="nil"/>
            </w:tcBorders>
            <w:noWrap w:val="0"/>
            <w:vAlign w:val="center"/>
          </w:tcPr>
          <w:p w14:paraId="0E108DB3">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安全文明施工保证措施</w:t>
            </w:r>
          </w:p>
        </w:tc>
        <w:tc>
          <w:tcPr>
            <w:tcW w:w="7409" w:type="dxa"/>
            <w:tcBorders>
              <w:tl2br w:val="nil"/>
              <w:tr2bl w:val="nil"/>
            </w:tcBorders>
            <w:noWrap w:val="0"/>
            <w:vAlign w:val="center"/>
          </w:tcPr>
          <w:p w14:paraId="29C1B3BD">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安全文明施工保证措施具体可行，有具体的违约责任得3分。</w:t>
            </w:r>
          </w:p>
          <w:p w14:paraId="74F57566">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管理制度健全得3分。</w:t>
            </w:r>
          </w:p>
          <w:p w14:paraId="21FD16FA">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以上2项内容均能满足项目实际需求得6分，每有一项内容不够详尽或不完整的扣1分，不提供不得分。</w:t>
            </w:r>
          </w:p>
        </w:tc>
        <w:tc>
          <w:tcPr>
            <w:tcW w:w="764" w:type="dxa"/>
            <w:tcBorders>
              <w:tl2br w:val="nil"/>
              <w:tr2bl w:val="nil"/>
            </w:tcBorders>
            <w:noWrap w:val="0"/>
            <w:vAlign w:val="center"/>
          </w:tcPr>
          <w:p w14:paraId="5696FAA5">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6分</w:t>
            </w:r>
          </w:p>
        </w:tc>
      </w:tr>
      <w:tr w14:paraId="1CDB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69" w:type="dxa"/>
            <w:tcBorders>
              <w:tl2br w:val="nil"/>
              <w:tr2bl w:val="nil"/>
            </w:tcBorders>
            <w:noWrap w:val="0"/>
            <w:vAlign w:val="center"/>
          </w:tcPr>
          <w:p w14:paraId="5D6D3398">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9</w:t>
            </w:r>
          </w:p>
        </w:tc>
        <w:tc>
          <w:tcPr>
            <w:tcW w:w="1823" w:type="dxa"/>
            <w:tcBorders>
              <w:tl2br w:val="nil"/>
              <w:tr2bl w:val="nil"/>
            </w:tcBorders>
            <w:noWrap w:val="0"/>
            <w:vAlign w:val="center"/>
          </w:tcPr>
          <w:p w14:paraId="15A0C53B">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技术难点及相应解决方案</w:t>
            </w:r>
          </w:p>
        </w:tc>
        <w:tc>
          <w:tcPr>
            <w:tcW w:w="7409" w:type="dxa"/>
            <w:tcBorders>
              <w:tl2br w:val="nil"/>
              <w:tr2bl w:val="nil"/>
            </w:tcBorders>
            <w:noWrap w:val="0"/>
            <w:vAlign w:val="center"/>
          </w:tcPr>
          <w:p w14:paraId="7F809B3F">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施工重点难点解决方案切实可行，符合工程实际情况得1分。</w:t>
            </w:r>
          </w:p>
          <w:p w14:paraId="4FC6A751">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技术难点及相应解决方案科学合理得1分。</w:t>
            </w:r>
          </w:p>
          <w:p w14:paraId="28E1F934">
            <w:pPr>
              <w:pStyle w:val="9"/>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以上2项内容均能满足项目实际需求得2分，每有一项内容不够详尽或不完整的扣1分，不提供不得分。</w:t>
            </w:r>
          </w:p>
        </w:tc>
        <w:tc>
          <w:tcPr>
            <w:tcW w:w="764" w:type="dxa"/>
            <w:tcBorders>
              <w:tl2br w:val="nil"/>
              <w:tr2bl w:val="nil"/>
            </w:tcBorders>
            <w:noWrap w:val="0"/>
            <w:vAlign w:val="center"/>
          </w:tcPr>
          <w:p w14:paraId="5F6BBDAE">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2分</w:t>
            </w:r>
          </w:p>
        </w:tc>
      </w:tr>
      <w:tr w14:paraId="71BE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765" w:type="dxa"/>
            <w:gridSpan w:val="4"/>
            <w:tcBorders>
              <w:tl2br w:val="nil"/>
              <w:tr2bl w:val="nil"/>
            </w:tcBorders>
            <w:noWrap w:val="0"/>
            <w:vAlign w:val="center"/>
          </w:tcPr>
          <w:p w14:paraId="76C608A6">
            <w:pPr>
              <w:pStyle w:val="9"/>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合计100分</w:t>
            </w:r>
          </w:p>
        </w:tc>
      </w:tr>
    </w:tbl>
    <w:p w14:paraId="6F8D6C5F">
      <w:pPr>
        <w:pStyle w:val="43"/>
        <w:rPr>
          <w:rFonts w:hint="eastAsia"/>
          <w:color w:val="auto"/>
          <w:highlight w:val="none"/>
          <w:lang w:val="en-US" w:eastAsia="zh-CN"/>
        </w:rPr>
      </w:pPr>
    </w:p>
    <w:p w14:paraId="15C2C1B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1"/>
        <w:rPr>
          <w:rFonts w:hint="eastAsia" w:ascii="宋体" w:hAnsi="宋体" w:eastAsia="宋体" w:cs="宋体"/>
          <w:b/>
          <w:bCs/>
          <w:color w:val="auto"/>
          <w:sz w:val="24"/>
          <w:szCs w:val="24"/>
          <w:highlight w:val="none"/>
        </w:rPr>
      </w:pPr>
      <w:bookmarkStart w:id="38" w:name="_Toc31021"/>
      <w:bookmarkStart w:id="39" w:name="_Toc1854"/>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磋商、响应文件有关事项的澄清、说明或者更正和最后报价</w:t>
      </w:r>
      <w:bookmarkEnd w:id="38"/>
      <w:bookmarkEnd w:id="39"/>
    </w:p>
    <w:p w14:paraId="4996E23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磋商小组所有成员将集中与单一供应商分别进行磋商，并给予所有参加磋商的供应商平等的磋商机会。</w:t>
      </w:r>
    </w:p>
    <w:p w14:paraId="7FAFECA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041CA53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对磋商文件作出的实质性变动是磋商文件的有效组成部分，磋商小组应当及时以书面形式同时通知所有参加磋商的供应商。</w:t>
      </w:r>
    </w:p>
    <w:p w14:paraId="0FFCA81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2AF977D">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响应文件的澄清、说明或者更正：</w:t>
      </w:r>
    </w:p>
    <w:p w14:paraId="0DF174F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磋商小组在对响应文件的有效性、完整性和响应程度进行审查时， 可以要求供应商对响应文件中含义不明确、同类问题表述不一致或者有明显文字和计算错误的内容等作出必要的澄清、说明或者更正。</w:t>
      </w:r>
    </w:p>
    <w:p w14:paraId="5E05D28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磋商小组对响应文件进行审查，如发现供应商提交的响应文件存在不满足《符合性审查要求》的内容， 如属于表中“不允许”澄清、说明或者更正的内容，则供应商响应文件按无效处理；如属于表中的“ 允许”澄清、说明或更正的内容， 磋商小组将要求供应商在规定的时间内对响应文件进行澄清、说明或者更正。如供应商在磋商小组规定的时间内未作出必要的澄清、说明或者更正， 或澄清、说明或者更正后仍不能满足采购文件要求的，则供应商的响应文件按无效处理。</w:t>
      </w:r>
    </w:p>
    <w:p w14:paraId="13F11EA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 应当附授权委托书。供应商为自然人的， 应当由本人签字并附身份证明。澄清、说明或者更正文件将作为响应文件内容的一部分。</w:t>
      </w:r>
    </w:p>
    <w:p w14:paraId="305739C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磋商结束后，磋商小组将要求所有实质性响应的供应商在规定时间内提交最后报价。最后报价时间为磋商小组指定的时间，具体时间根据磋商进度另行通知。</w:t>
      </w:r>
    </w:p>
    <w:p w14:paraId="5BBDB9D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14:paraId="65D898D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最后报价是供应商响应文件的有效组成部分。</w:t>
      </w:r>
    </w:p>
    <w:p w14:paraId="73B5529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已提交响应文件的供应商，在提交最后报价之前，可以根据磋商情况退出磋商。</w:t>
      </w:r>
    </w:p>
    <w:p w14:paraId="463D48B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outlineLvl w:val="1"/>
        <w:rPr>
          <w:rFonts w:hint="eastAsia" w:ascii="宋体" w:hAnsi="宋体" w:eastAsia="宋体" w:cs="宋体"/>
          <w:color w:val="auto"/>
          <w:sz w:val="24"/>
          <w:szCs w:val="24"/>
          <w:highlight w:val="none"/>
        </w:rPr>
      </w:pPr>
      <w:bookmarkStart w:id="40" w:name="_Toc6046"/>
      <w:bookmarkStart w:id="41" w:name="_Toc860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最后报价的算术修正及政策调整</w:t>
      </w:r>
      <w:bookmarkEnd w:id="40"/>
      <w:bookmarkEnd w:id="41"/>
    </w:p>
    <w:p w14:paraId="034687E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767E0BB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最后报价出现前后不一致的，按照下列规定修正：</w:t>
      </w:r>
    </w:p>
    <w:p w14:paraId="3B983D1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竞争性磋商文件对于报价修正是否另有规定：</w:t>
      </w:r>
    </w:p>
    <w:p w14:paraId="444BC92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□有，具体规定为：__________</w:t>
      </w:r>
    </w:p>
    <w:p w14:paraId="42DF764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无，按下述 3.2.2-3.2.5 项规定修正。</w:t>
      </w:r>
    </w:p>
    <w:p w14:paraId="0384B77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大写金额和小写金额不一致的，以大写金额为准；</w:t>
      </w:r>
    </w:p>
    <w:p w14:paraId="5CD724C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单价金额小数点或者百分比有明显错位的，以总价为准，并修改单价；</w:t>
      </w:r>
    </w:p>
    <w:p w14:paraId="248B5CE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总价金额与按单价汇总金额不一致的，以单价金额计算结果为准。</w:t>
      </w:r>
    </w:p>
    <w:p w14:paraId="5C4F0E7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同时出现两种以上不一致的，按照前款规定的顺序修正。修正后的报价经供应商书面确认后产生约束力，供应商不确认的，其响应无效。</w:t>
      </w:r>
    </w:p>
    <w:p w14:paraId="5675008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落实政府采购政策的价格调整：只有符合第二章《供应商须知</w:t>
      </w:r>
      <w:r>
        <w:rPr>
          <w:rFonts w:hint="eastAsia" w:cs="宋体"/>
          <w:color w:val="auto"/>
          <w:sz w:val="24"/>
          <w:szCs w:val="24"/>
          <w:highlight w:val="none"/>
          <w:lang w:eastAsia="zh-CN"/>
        </w:rPr>
        <w:t>》第</w:t>
      </w:r>
      <w:r>
        <w:rPr>
          <w:rFonts w:hint="eastAsia" w:ascii="宋体" w:hAnsi="宋体" w:eastAsia="宋体" w:cs="宋体"/>
          <w:color w:val="auto"/>
          <w:sz w:val="24"/>
          <w:szCs w:val="24"/>
          <w:highlight w:val="none"/>
        </w:rPr>
        <w:t>4.2 条规定情形的，可以享受中小企业扶持政策，用扣除后的价格参加评审；否则，评审时价格不予扣除。</w:t>
      </w:r>
    </w:p>
    <w:p w14:paraId="1DF2C15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对于未预留份额专门面向中小企业采购的采购项目，以及预留份额项目中的非预留部分采购包，对小微企业报价给予_</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_%的扣除，用扣除后的价格参加评审。</w:t>
      </w:r>
    </w:p>
    <w:p w14:paraId="7DBE664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_%的扣除，用扣除后的价格参加评审。</w:t>
      </w:r>
    </w:p>
    <w:p w14:paraId="770FA66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组成联合体或者接受分包的小微企业与联合体内其他企业、分包企业之间存在直接控股、管理关系的，不享受价格扣除优惠政策。</w:t>
      </w:r>
    </w:p>
    <w:p w14:paraId="2BBEF8D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价格扣除比例对小型企业和微型企业同等对待，不作区分。</w:t>
      </w:r>
    </w:p>
    <w:p w14:paraId="7D96A0C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中小企业参加政府采购活动，应当按照竞争性磋商文件给定的格式出具《中小企业声明函》，否则不得享受相关中小企业扶持政策。</w:t>
      </w:r>
    </w:p>
    <w:p w14:paraId="64E4A59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监狱企业提供了由省级以上监狱管理局、戒毒管理局（含新疆生产建设兵团）出具的属于监狱企业的证明文件的，视同小微企业。</w:t>
      </w:r>
    </w:p>
    <w:p w14:paraId="4F9E77D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残疾人福利性单位按竞争性磋商文件要求提供了《残疾人福利性单位声明函》的，视同小微企业。</w:t>
      </w:r>
    </w:p>
    <w:p w14:paraId="7246E06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若供应商同时属于小型或微型企业、监狱企业、残疾人福利性单位中的两种及以上，将不重复享受小微企业价格扣减的优惠政策。</w:t>
      </w:r>
    </w:p>
    <w:p w14:paraId="03704C6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其他为落实政府采购政策实施的优先采购：</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38EE0BC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outlineLvl w:val="1"/>
        <w:rPr>
          <w:rFonts w:hint="eastAsia" w:ascii="宋体" w:hAnsi="宋体" w:eastAsia="宋体" w:cs="宋体"/>
          <w:color w:val="auto"/>
          <w:sz w:val="24"/>
          <w:szCs w:val="24"/>
          <w:highlight w:val="none"/>
        </w:rPr>
      </w:pPr>
      <w:bookmarkStart w:id="42" w:name="_Toc30924"/>
      <w:bookmarkStart w:id="43" w:name="_Toc6754"/>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磋商环节及提交最后报价后如出现以下情况的，供应商的响应文件无效：</w:t>
      </w:r>
      <w:bookmarkEnd w:id="42"/>
      <w:bookmarkEnd w:id="43"/>
    </w:p>
    <w:p w14:paraId="744EBD6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供应商对实质性变动不予确认的；</w:t>
      </w:r>
    </w:p>
    <w:p w14:paraId="30E793B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不满足磋商文件★号条款或磋商文件技术指标超出磋商文件《采购需求》中主要技术参数允许偏差的最大范围的（如有）；</w:t>
      </w:r>
    </w:p>
    <w:p w14:paraId="77E5BC6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未按照磋商小组规定的时间、逾期提交最后报价的；</w:t>
      </w:r>
    </w:p>
    <w:p w14:paraId="50AD28F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如供应商的最后报价超过竞争性磋商文件中规定的项目/采购包预算金额或者项目/采购包最高限价的；</w:t>
      </w:r>
    </w:p>
    <w:p w14:paraId="0DAA1EB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响应文件中出现可选择性或可调整的报价的（竞争性磋商文件另有规定的除外）；</w:t>
      </w:r>
    </w:p>
    <w:p w14:paraId="053D482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最后报价出现前后不一致，供应商对修正后的报价不予确认的；</w:t>
      </w:r>
    </w:p>
    <w:p w14:paraId="7EBDCC6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10E177D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outlineLvl w:val="1"/>
        <w:rPr>
          <w:rFonts w:hint="eastAsia" w:ascii="宋体" w:hAnsi="宋体" w:eastAsia="宋体" w:cs="宋体"/>
          <w:color w:val="auto"/>
          <w:sz w:val="24"/>
          <w:szCs w:val="24"/>
          <w:highlight w:val="none"/>
        </w:rPr>
      </w:pPr>
      <w:bookmarkStart w:id="44" w:name="_Toc26055"/>
      <w:bookmarkStart w:id="45" w:name="_Toc26119"/>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评审方法和评审标准</w:t>
      </w:r>
      <w:bookmarkEnd w:id="44"/>
      <w:bookmarkEnd w:id="45"/>
    </w:p>
    <w:p w14:paraId="59B9754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225E223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竞争性磋商文件中没有规定的评审标准不得作为评审依据。</w:t>
      </w:r>
    </w:p>
    <w:p w14:paraId="778F138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非政府强制采购的节能产品或环境标志产品，依据品目清单和认证证书实施政府优先采购。</w:t>
      </w:r>
    </w:p>
    <w:p w14:paraId="67F865C6">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color w:val="auto"/>
          <w:sz w:val="24"/>
          <w:szCs w:val="24"/>
          <w:highlight w:val="none"/>
        </w:rPr>
      </w:pPr>
      <w:bookmarkStart w:id="46" w:name="_Toc32411"/>
      <w:bookmarkStart w:id="47" w:name="_Toc21749"/>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确定成交候选人名单</w:t>
      </w:r>
      <w:bookmarkEnd w:id="46"/>
      <w:bookmarkEnd w:id="47"/>
    </w:p>
    <w:p w14:paraId="5A582864">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D8E22A7">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磋商小组根据上述供应商排序，依次推荐排序前</w:t>
      </w:r>
      <w:r>
        <w:rPr>
          <w:rFonts w:hint="eastAsia" w:ascii="宋体" w:hAnsi="宋体" w:eastAsia="宋体" w:cs="宋体"/>
          <w:b/>
          <w:bCs/>
          <w:color w:val="auto"/>
          <w:sz w:val="24"/>
          <w:szCs w:val="24"/>
          <w:highlight w:val="none"/>
          <w:u w:val="single"/>
          <w:lang w:val="en-US" w:eastAsia="zh-CN"/>
        </w:rPr>
        <w:t xml:space="preserve"> 3 </w:t>
      </w:r>
      <w:r>
        <w:rPr>
          <w:rFonts w:hint="eastAsia" w:ascii="宋体" w:hAnsi="宋体" w:eastAsia="宋体" w:cs="宋体"/>
          <w:b/>
          <w:bCs/>
          <w:color w:val="auto"/>
          <w:sz w:val="24"/>
          <w:szCs w:val="24"/>
          <w:highlight w:val="none"/>
        </w:rPr>
        <w:t>名的供应商为成交候选供应商，并编写评审报告。</w:t>
      </w:r>
    </w:p>
    <w:p w14:paraId="0DFE072F">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符合《政府采购竞争性磋商采购方式管理暂行办法》（财库</w:t>
      </w:r>
      <w:r>
        <w:rPr>
          <w:rFonts w:hint="eastAsia" w:cs="宋体"/>
          <w:b/>
          <w:bCs/>
          <w:color w:val="auto"/>
          <w:sz w:val="24"/>
          <w:szCs w:val="24"/>
          <w:highlight w:val="none"/>
          <w:lang w:eastAsia="zh-CN"/>
        </w:rPr>
        <w:t>〔2014〕214号</w:t>
      </w:r>
      <w:r>
        <w:rPr>
          <w:rFonts w:hint="eastAsia" w:ascii="宋体" w:hAnsi="宋体" w:eastAsia="宋体" w:cs="宋体"/>
          <w:b/>
          <w:bCs/>
          <w:color w:val="auto"/>
          <w:sz w:val="24"/>
          <w:szCs w:val="24"/>
          <w:highlight w:val="none"/>
        </w:rPr>
        <w:t>）中第二十一条第三款情形的，可以推荐2家成交候选供应商。评审得分相同的，按照最后报价由低到高的顺序推荐。评审得分且最后报价相同的，按照技术指标优劣顺序推荐。</w:t>
      </w:r>
    </w:p>
    <w:p w14:paraId="417AFE23">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磋商小组要对评分汇总情况进行复核，特别是对排名第一的、报价最低的、响应文件被认定为无效的情形进行重点复核。</w:t>
      </w:r>
    </w:p>
    <w:p w14:paraId="36D3072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outlineLvl w:val="1"/>
        <w:rPr>
          <w:rFonts w:hint="eastAsia" w:ascii="宋体" w:hAnsi="宋体" w:eastAsia="宋体" w:cs="宋体"/>
          <w:color w:val="auto"/>
          <w:sz w:val="24"/>
          <w:szCs w:val="24"/>
          <w:highlight w:val="none"/>
        </w:rPr>
      </w:pPr>
      <w:bookmarkStart w:id="48" w:name="_Toc11907"/>
      <w:bookmarkStart w:id="49" w:name="_Toc27004"/>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报告违法行为</w:t>
      </w:r>
      <w:bookmarkEnd w:id="48"/>
      <w:bookmarkEnd w:id="49"/>
    </w:p>
    <w:p w14:paraId="574218D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磋商小组在评审过程中发现供应商有行贿、提供虚假材料或者串通等违法行为时，有向采购人、采购代理机构或者有关部门报告的职责。</w:t>
      </w:r>
    </w:p>
    <w:p w14:paraId="10948ECF">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14:paraId="05321617">
      <w:pPr>
        <w:pStyle w:val="2"/>
        <w:numPr>
          <w:ilvl w:val="0"/>
          <w:numId w:val="11"/>
        </w:numPr>
        <w:tabs>
          <w:tab w:val="clear" w:pos="360"/>
        </w:tabs>
        <w:bidi w:val="0"/>
        <w:ind w:left="360" w:leftChars="0" w:hanging="360" w:firstLineChars="0"/>
        <w:jc w:val="center"/>
        <w:rPr>
          <w:rFonts w:hint="eastAsia"/>
          <w:highlight w:val="none"/>
          <w:lang w:val="en-US" w:eastAsia="zh-CN"/>
        </w:rPr>
      </w:pPr>
      <w:bookmarkStart w:id="50" w:name="_Toc11601"/>
      <w:r>
        <w:rPr>
          <w:rFonts w:hint="eastAsia" w:ascii="Times New Roman" w:hAnsi="Times New Roman" w:eastAsia="宋体" w:cs="Times New Roman"/>
          <w:b w:val="0"/>
          <w:bCs/>
          <w:color w:val="auto"/>
          <w:highlight w:val="none"/>
          <w:lang w:val="en-US" w:eastAsia="zh-CN"/>
        </w:rPr>
        <w:t xml:space="preserve"> 工程量清单及技术标准</w:t>
      </w:r>
      <w:bookmarkEnd w:id="50"/>
    </w:p>
    <w:p w14:paraId="13B24821">
      <w:pPr>
        <w:rPr>
          <w:rFonts w:hint="default"/>
          <w:b/>
          <w:bCs/>
          <w:color w:val="auto"/>
          <w:highlight w:val="none"/>
          <w:lang w:val="en-US" w:eastAsia="zh-CN"/>
        </w:rPr>
      </w:pPr>
      <w:r>
        <w:rPr>
          <w:rFonts w:hint="eastAsia"/>
          <w:color w:val="auto"/>
          <w:highlight w:val="none"/>
          <w:lang w:val="en-US" w:eastAsia="zh-CN"/>
        </w:rPr>
        <w:t>一、</w:t>
      </w:r>
      <w:r>
        <w:rPr>
          <w:rFonts w:hint="eastAsia"/>
          <w:b/>
          <w:bCs/>
          <w:color w:val="auto"/>
          <w:highlight w:val="none"/>
          <w:lang w:val="en-US" w:eastAsia="zh-CN"/>
        </w:rPr>
        <w:t>工程量清单（详见附件）</w:t>
      </w:r>
    </w:p>
    <w:p w14:paraId="2DFBB098">
      <w:pPr>
        <w:rPr>
          <w:rFonts w:hint="default" w:eastAsia="宋体"/>
          <w:color w:val="auto"/>
          <w:highlight w:val="none"/>
          <w:lang w:val="en-US" w:eastAsia="zh-CN"/>
        </w:rPr>
      </w:pPr>
    </w:p>
    <w:p w14:paraId="02129F92">
      <w:pPr>
        <w:rPr>
          <w:rFonts w:hint="eastAsia"/>
          <w:color w:val="auto"/>
          <w:highlight w:val="none"/>
        </w:rPr>
      </w:pPr>
      <w:bookmarkStart w:id="51" w:name="_Toc19527"/>
      <w:r>
        <w:rPr>
          <w:rFonts w:hint="eastAsia"/>
          <w:color w:val="auto"/>
          <w:highlight w:val="none"/>
        </w:rPr>
        <w:br w:type="page"/>
      </w:r>
    </w:p>
    <w:p w14:paraId="1645F5E6">
      <w:pPr>
        <w:pStyle w:val="2"/>
        <w:numPr>
          <w:ilvl w:val="0"/>
          <w:numId w:val="0"/>
        </w:numPr>
        <w:tabs>
          <w:tab w:val="clear" w:pos="360"/>
        </w:tabs>
        <w:bidi w:val="0"/>
        <w:ind w:left="360" w:leftChars="0" w:hanging="360" w:firstLineChars="0"/>
        <w:jc w:val="center"/>
        <w:rPr>
          <w:rFonts w:hint="eastAsia"/>
          <w:color w:val="auto"/>
          <w:highlight w:val="none"/>
        </w:rPr>
      </w:pPr>
      <w:r>
        <w:rPr>
          <w:rFonts w:hint="eastAsia"/>
          <w:color w:val="auto"/>
          <w:highlight w:val="none"/>
        </w:rPr>
        <w:t>第五</w:t>
      </w:r>
      <w:r>
        <w:rPr>
          <w:rFonts w:hint="eastAsia"/>
          <w:color w:val="auto"/>
          <w:highlight w:val="none"/>
          <w:lang w:val="en-US" w:eastAsia="zh-CN"/>
        </w:rPr>
        <w:t xml:space="preserve">章  </w:t>
      </w:r>
      <w:r>
        <w:rPr>
          <w:rFonts w:hint="eastAsia"/>
          <w:color w:val="auto"/>
          <w:highlight w:val="none"/>
        </w:rPr>
        <w:t>合同</w:t>
      </w:r>
      <w:bookmarkEnd w:id="24"/>
      <w:bookmarkEnd w:id="51"/>
    </w:p>
    <w:p w14:paraId="01DCD010">
      <w:pPr>
        <w:jc w:val="left"/>
        <w:rPr>
          <w:rFonts w:hint="eastAsia" w:asciiTheme="minorEastAsia" w:hAnsiTheme="minorEastAsia" w:eastAsiaTheme="minorEastAsia" w:cstheme="minorEastAsia"/>
          <w:bCs/>
          <w:color w:val="auto"/>
          <w:sz w:val="32"/>
          <w:szCs w:val="32"/>
          <w:highlight w:val="none"/>
        </w:rPr>
      </w:pPr>
      <w:bookmarkStart w:id="52" w:name="_Toc80724672"/>
      <w:r>
        <w:rPr>
          <w:rFonts w:hint="eastAsia" w:asciiTheme="minorEastAsia" w:hAnsiTheme="minorEastAsia" w:eastAsiaTheme="minorEastAsia" w:cstheme="minorEastAsia"/>
          <w:bCs/>
          <w:color w:val="auto"/>
          <w:sz w:val="32"/>
          <w:szCs w:val="32"/>
          <w:highlight w:val="none"/>
          <w:lang w:eastAsia="zh-CN"/>
        </w:rPr>
        <w:t>(</w:t>
      </w:r>
      <w:r>
        <w:rPr>
          <w:rFonts w:hint="eastAsia" w:asciiTheme="minorEastAsia" w:hAnsiTheme="minorEastAsia" w:eastAsiaTheme="minorEastAsia" w:cstheme="minorEastAsia"/>
          <w:bCs/>
          <w:color w:val="auto"/>
          <w:sz w:val="32"/>
          <w:szCs w:val="32"/>
          <w:highlight w:val="none"/>
        </w:rPr>
        <w:t>GF—201</w:t>
      </w:r>
      <w:r>
        <w:rPr>
          <w:rFonts w:hint="eastAsia" w:asciiTheme="minorEastAsia" w:hAnsiTheme="minorEastAsia" w:eastAsiaTheme="minorEastAsia" w:cstheme="minorEastAsia"/>
          <w:bCs/>
          <w:color w:val="auto"/>
          <w:sz w:val="32"/>
          <w:szCs w:val="32"/>
          <w:highlight w:val="none"/>
          <w:lang w:val="en-US" w:eastAsia="zh-CN"/>
        </w:rPr>
        <w:t>7</w:t>
      </w:r>
      <w:r>
        <w:rPr>
          <w:rFonts w:hint="eastAsia" w:asciiTheme="minorEastAsia" w:hAnsiTheme="minorEastAsia" w:eastAsiaTheme="minorEastAsia" w:cstheme="minorEastAsia"/>
          <w:bCs/>
          <w:color w:val="auto"/>
          <w:sz w:val="32"/>
          <w:szCs w:val="32"/>
          <w:highlight w:val="none"/>
        </w:rPr>
        <w:t>—</w:t>
      </w:r>
      <w:r>
        <w:rPr>
          <w:rFonts w:hint="eastAsia" w:asciiTheme="minorEastAsia" w:hAnsiTheme="minorEastAsia" w:eastAsiaTheme="minorEastAsia" w:cstheme="minorEastAsia"/>
          <w:bCs/>
          <w:color w:val="auto"/>
          <w:sz w:val="32"/>
          <w:szCs w:val="32"/>
          <w:highlight w:val="none"/>
          <w:lang w:val="en-US" w:eastAsia="zh-CN"/>
        </w:rPr>
        <w:t>0201)</w:t>
      </w:r>
    </w:p>
    <w:p w14:paraId="37D9A79D">
      <w:pPr>
        <w:jc w:val="center"/>
        <w:rPr>
          <w:rFonts w:hint="eastAsia" w:asciiTheme="minorEastAsia" w:hAnsiTheme="minorEastAsia" w:eastAsiaTheme="minorEastAsia" w:cstheme="minorEastAsia"/>
          <w:b/>
          <w:color w:val="auto"/>
          <w:sz w:val="32"/>
          <w:szCs w:val="32"/>
          <w:highlight w:val="none"/>
        </w:rPr>
      </w:pPr>
    </w:p>
    <w:p w14:paraId="02D60BBC">
      <w:pPr>
        <w:jc w:val="center"/>
        <w:rPr>
          <w:rFonts w:hint="eastAsia" w:asciiTheme="minorEastAsia" w:hAnsiTheme="minorEastAsia" w:eastAsiaTheme="minorEastAsia" w:cstheme="minorEastAsia"/>
          <w:b/>
          <w:color w:val="auto"/>
          <w:sz w:val="32"/>
          <w:szCs w:val="32"/>
          <w:highlight w:val="none"/>
        </w:rPr>
      </w:pPr>
    </w:p>
    <w:p w14:paraId="79955CED">
      <w:pPr>
        <w:jc w:val="center"/>
        <w:rPr>
          <w:rFonts w:hint="eastAsia" w:asciiTheme="minorEastAsia" w:hAnsiTheme="minorEastAsia" w:eastAsiaTheme="minorEastAsia" w:cstheme="minorEastAsia"/>
          <w:b/>
          <w:color w:val="auto"/>
          <w:sz w:val="32"/>
          <w:szCs w:val="32"/>
          <w:highlight w:val="none"/>
        </w:rPr>
      </w:pPr>
    </w:p>
    <w:p w14:paraId="0321AA91">
      <w:pPr>
        <w:jc w:val="center"/>
        <w:rPr>
          <w:rFonts w:hint="eastAsia" w:asciiTheme="minorEastAsia" w:hAnsiTheme="minorEastAsia" w:eastAsiaTheme="minorEastAsia" w:cstheme="minorEastAsia"/>
          <w:b/>
          <w:color w:val="auto"/>
          <w:sz w:val="32"/>
          <w:szCs w:val="32"/>
          <w:highlight w:val="none"/>
        </w:rPr>
      </w:pPr>
    </w:p>
    <w:p w14:paraId="0F6A2F04">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建设工程施工合同</w:t>
      </w:r>
      <w:r>
        <w:rPr>
          <w:rFonts w:hint="eastAsia" w:asciiTheme="minorEastAsia" w:hAnsiTheme="minorEastAsia" w:eastAsiaTheme="minorEastAsia" w:cstheme="minorEastAsia"/>
          <w:b/>
          <w:color w:val="auto"/>
          <w:sz w:val="32"/>
          <w:szCs w:val="32"/>
          <w:highlight w:val="none"/>
        </w:rPr>
        <w:br w:type="textWrapping"/>
      </w:r>
      <w:r>
        <w:rPr>
          <w:rFonts w:hint="eastAsia" w:asciiTheme="minorEastAsia" w:hAnsiTheme="minorEastAsia" w:eastAsiaTheme="minorEastAsia" w:cstheme="minorEastAsia"/>
          <w:b/>
          <w:color w:val="auto"/>
          <w:sz w:val="32"/>
          <w:szCs w:val="32"/>
          <w:highlight w:val="none"/>
        </w:rPr>
        <w:t>（示范文本）</w:t>
      </w:r>
    </w:p>
    <w:p w14:paraId="0C59F8B2">
      <w:pPr>
        <w:jc w:val="center"/>
        <w:rPr>
          <w:rFonts w:hint="eastAsia" w:asciiTheme="minorEastAsia" w:hAnsiTheme="minorEastAsia" w:eastAsiaTheme="minorEastAsia" w:cstheme="minorEastAsia"/>
          <w:b/>
          <w:color w:val="auto"/>
          <w:sz w:val="32"/>
          <w:szCs w:val="32"/>
          <w:highlight w:val="none"/>
        </w:rPr>
      </w:pPr>
    </w:p>
    <w:p w14:paraId="2A950CD9">
      <w:pPr>
        <w:jc w:val="center"/>
        <w:rPr>
          <w:rFonts w:hint="eastAsia" w:asciiTheme="minorEastAsia" w:hAnsiTheme="minorEastAsia" w:eastAsiaTheme="minorEastAsia" w:cstheme="minorEastAsia"/>
          <w:b/>
          <w:color w:val="auto"/>
          <w:sz w:val="32"/>
          <w:szCs w:val="32"/>
          <w:highlight w:val="none"/>
        </w:rPr>
      </w:pPr>
    </w:p>
    <w:p w14:paraId="7A6E7C93">
      <w:pPr>
        <w:jc w:val="center"/>
        <w:rPr>
          <w:rFonts w:hint="eastAsia" w:asciiTheme="minorEastAsia" w:hAnsiTheme="minorEastAsia" w:eastAsiaTheme="minorEastAsia" w:cstheme="minorEastAsia"/>
          <w:b/>
          <w:color w:val="auto"/>
          <w:sz w:val="32"/>
          <w:szCs w:val="32"/>
          <w:highlight w:val="none"/>
        </w:rPr>
      </w:pPr>
    </w:p>
    <w:p w14:paraId="1B0DFC9E">
      <w:pPr>
        <w:jc w:val="center"/>
        <w:rPr>
          <w:rFonts w:hint="eastAsia" w:asciiTheme="minorEastAsia" w:hAnsiTheme="minorEastAsia" w:eastAsiaTheme="minorEastAsia" w:cstheme="minorEastAsia"/>
          <w:b/>
          <w:color w:val="auto"/>
          <w:sz w:val="32"/>
          <w:szCs w:val="32"/>
          <w:highlight w:val="none"/>
        </w:rPr>
      </w:pPr>
    </w:p>
    <w:p w14:paraId="0B67B6E8">
      <w:pPr>
        <w:rPr>
          <w:rFonts w:hint="eastAsia" w:asciiTheme="minorEastAsia" w:hAnsiTheme="minorEastAsia" w:eastAsiaTheme="minorEastAsia" w:cstheme="minorEastAsia"/>
          <w:b/>
          <w:color w:val="auto"/>
          <w:sz w:val="32"/>
          <w:szCs w:val="32"/>
          <w:highlight w:val="none"/>
        </w:rPr>
      </w:pPr>
    </w:p>
    <w:p w14:paraId="54A5047F">
      <w:pPr>
        <w:rPr>
          <w:rFonts w:hint="eastAsia" w:asciiTheme="minorEastAsia" w:hAnsiTheme="minorEastAsia" w:eastAsiaTheme="minorEastAsia" w:cstheme="minorEastAsia"/>
          <w:b/>
          <w:color w:val="auto"/>
          <w:sz w:val="32"/>
          <w:szCs w:val="32"/>
          <w:highlight w:val="none"/>
        </w:rPr>
      </w:pPr>
    </w:p>
    <w:p w14:paraId="51479FE0">
      <w:pPr>
        <w:rPr>
          <w:rFonts w:hint="eastAsia" w:asciiTheme="minorEastAsia" w:hAnsiTheme="minorEastAsia" w:eastAsiaTheme="minorEastAsia" w:cstheme="minorEastAsia"/>
          <w:b/>
          <w:color w:val="auto"/>
          <w:sz w:val="32"/>
          <w:szCs w:val="32"/>
          <w:highlight w:val="none"/>
        </w:rPr>
      </w:pPr>
    </w:p>
    <w:p w14:paraId="0095DE65">
      <w:pPr>
        <w:jc w:val="center"/>
        <w:rPr>
          <w:rFonts w:hint="eastAsia" w:asciiTheme="minorEastAsia" w:hAnsiTheme="minorEastAsia" w:eastAsiaTheme="minorEastAsia" w:cstheme="minorEastAsia"/>
          <w:b/>
          <w:color w:val="auto"/>
          <w:sz w:val="32"/>
          <w:szCs w:val="32"/>
          <w:highlight w:val="none"/>
        </w:rPr>
      </w:pPr>
    </w:p>
    <w:p w14:paraId="683251EC">
      <w:pPr>
        <w:ind w:right="3108" w:rightChars="1295"/>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6E1FBBC">
                            <w:pPr>
                              <w:rPr>
                                <w:rFonts w:hint="eastAsia"/>
                                <w:b/>
                                <w:bCs/>
                                <w:sz w:val="32"/>
                              </w:rPr>
                            </w:pPr>
                            <w:r>
                              <w:rPr>
                                <w:rFonts w:hint="eastAsia"/>
                                <w:b/>
                                <w:bCs/>
                                <w:sz w:val="32"/>
                              </w:rPr>
                              <w:t>制定</w:t>
                            </w:r>
                          </w:p>
                        </w:txbxContent>
                      </wps:txbx>
                      <wps:bodyPr wrap="square" upright="1"/>
                    </wps:wsp>
                  </a:graphicData>
                </a:graphic>
              </wp:anchor>
            </w:drawing>
          </mc:Choice>
          <mc:Fallback>
            <w:pict>
              <v:shape id="文本框 2"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c0tcdgAAAAJAQAADwAAAAAAAAABACAA&#10;AAAiAAAAZHJzL2Rvd25yZXYueG1sUEsBAhQAFAAAAAgAh07iQP1ei7YNAgAAGgQAAA4AAAAAAAAA&#10;AQAgAAAAJwEAAGRycy9lMm9Eb2MueG1sUEsFBgAAAAAGAAYAWQEAAKYFAAAAAA==&#10;">
                <v:fill on="f" focussize="0,0"/>
                <v:stroke color="#FFFFFF" joinstyle="miter"/>
                <v:imagedata o:title=""/>
                <o:lock v:ext="edit" aspectratio="f"/>
                <v:textbox>
                  <w:txbxContent>
                    <w:p w14:paraId="26E1FBBC">
                      <w:pPr>
                        <w:rPr>
                          <w:rFonts w:hint="eastAsia"/>
                          <w:b/>
                          <w:bCs/>
                          <w:sz w:val="32"/>
                        </w:rPr>
                      </w:pPr>
                      <w:r>
                        <w:rPr>
                          <w:rFonts w:hint="eastAsia"/>
                          <w:b/>
                          <w:bCs/>
                          <w:sz w:val="32"/>
                        </w:rPr>
                        <w:t>制定</w:t>
                      </w:r>
                    </w:p>
                  </w:txbxContent>
                </v:textbox>
              </v:shape>
            </w:pict>
          </mc:Fallback>
        </mc:AlternateContent>
      </w:r>
      <w:r>
        <w:rPr>
          <w:rFonts w:hint="eastAsia" w:asciiTheme="minorEastAsia" w:hAnsiTheme="minorEastAsia" w:eastAsiaTheme="minorEastAsia" w:cstheme="minorEastAsia"/>
          <w:color w:val="auto"/>
          <w:sz w:val="32"/>
          <w:szCs w:val="32"/>
          <w:highlight w:val="none"/>
          <w:lang w:eastAsia="zh-CN"/>
        </w:rPr>
        <w:t>住房和城乡建设部</w:t>
      </w:r>
    </w:p>
    <w:p w14:paraId="7B69573A">
      <w:pPr>
        <w:ind w:right="3108" w:rightChars="1295"/>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国家工商行政管理总局</w:t>
      </w:r>
    </w:p>
    <w:p w14:paraId="68052345">
      <w:pPr>
        <w:rPr>
          <w:rFonts w:hint="eastAsia" w:asciiTheme="minorEastAsia" w:hAnsiTheme="minorEastAsia" w:eastAsiaTheme="minorEastAsia" w:cstheme="minorEastAsia"/>
          <w:color w:val="auto"/>
          <w:sz w:val="32"/>
          <w:szCs w:val="32"/>
          <w:highlight w:val="none"/>
          <w:lang w:val="zh-CN"/>
        </w:rPr>
      </w:pPr>
      <w:bookmarkStart w:id="53" w:name="_Toc296503025"/>
      <w:bookmarkStart w:id="54" w:name="_Toc296890982"/>
      <w:r>
        <w:rPr>
          <w:rFonts w:hint="eastAsia" w:asciiTheme="minorEastAsia" w:hAnsiTheme="minorEastAsia" w:eastAsiaTheme="minorEastAsia" w:cstheme="minorEastAsia"/>
          <w:color w:val="auto"/>
          <w:sz w:val="32"/>
          <w:szCs w:val="32"/>
          <w:highlight w:val="none"/>
          <w:lang w:val="zh-CN"/>
        </w:rPr>
        <w:br w:type="page"/>
      </w:r>
    </w:p>
    <w:p w14:paraId="521589CC">
      <w:pPr>
        <w:pStyle w:val="160"/>
        <w:numPr>
          <w:ilvl w:val="0"/>
          <w:numId w:val="0"/>
        </w:numPr>
        <w:spacing w:before="0" w:beforeLines="0" w:after="0" w:afterLines="0" w:line="240" w:lineRule="auto"/>
        <w:ind w:leftChars="0"/>
        <w:jc w:val="center"/>
        <w:outlineLvl w:val="0"/>
        <w:rPr>
          <w:rFonts w:hint="eastAsia" w:asciiTheme="minorEastAsia" w:hAnsiTheme="minorEastAsia" w:eastAsiaTheme="minorEastAsia" w:cstheme="minorEastAsia"/>
          <w:color w:val="auto"/>
          <w:sz w:val="24"/>
          <w:szCs w:val="24"/>
          <w:highlight w:val="none"/>
          <w:lang w:val="zh-CN"/>
        </w:rPr>
      </w:pPr>
      <w:bookmarkStart w:id="55" w:name="_Toc2163"/>
      <w:r>
        <w:rPr>
          <w:rFonts w:hint="eastAsia" w:asciiTheme="minorEastAsia" w:hAnsiTheme="minorEastAsia" w:eastAsiaTheme="minorEastAsia" w:cstheme="minorEastAsia"/>
          <w:color w:val="auto"/>
          <w:sz w:val="24"/>
          <w:szCs w:val="24"/>
          <w:highlight w:val="none"/>
          <w:lang w:val="zh-CN"/>
        </w:rPr>
        <w:t>说  明</w:t>
      </w:r>
      <w:bookmarkEnd w:id="55"/>
    </w:p>
    <w:p w14:paraId="6F4EC887">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为了指导建设工程施工合同当事人的签约行为，维护合同当事人的合法权益，依据《中华人民共和国合同法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中华人民共和国建筑法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中华人民共和国招标投标法》以及相关法律法规，住</w:t>
      </w:r>
      <w:r>
        <w:rPr>
          <w:rFonts w:hint="eastAsia" w:asciiTheme="minorEastAsia" w:hAnsiTheme="minorEastAsia" w:eastAsiaTheme="minorEastAsia" w:cstheme="minorEastAsia"/>
          <w:color w:val="auto"/>
          <w:sz w:val="24"/>
          <w:szCs w:val="24"/>
          <w:highlight w:val="none"/>
          <w:lang w:eastAsia="zh-CN"/>
        </w:rPr>
        <w:t>房和</w:t>
      </w:r>
      <w:r>
        <w:rPr>
          <w:rFonts w:hint="eastAsia" w:asciiTheme="minorEastAsia" w:hAnsiTheme="minorEastAsia" w:eastAsiaTheme="minorEastAsia" w:cstheme="minorEastAsia"/>
          <w:color w:val="auto"/>
          <w:sz w:val="24"/>
          <w:szCs w:val="24"/>
          <w:highlight w:val="none"/>
        </w:rPr>
        <w:t>城乡建设部、国家工商行政管理总局对《建设工程施工合同（示范文本）》（GF-</w:t>
      </w:r>
      <w:r>
        <w:rPr>
          <w:rFonts w:hint="eastAsia" w:asciiTheme="minorEastAsia" w:hAnsiTheme="minorEastAsia" w:eastAsiaTheme="minorEastAsia" w:cstheme="minorEastAsia"/>
          <w:color w:val="auto"/>
          <w:sz w:val="24"/>
          <w:szCs w:val="24"/>
          <w:highlight w:val="none"/>
          <w:lang w:val="en-US" w:eastAsia="zh-CN"/>
        </w:rPr>
        <w:t>2013</w:t>
      </w:r>
      <w:r>
        <w:rPr>
          <w:rFonts w:hint="eastAsia" w:asciiTheme="minorEastAsia" w:hAnsiTheme="minorEastAsia" w:eastAsiaTheme="minorEastAsia" w:cstheme="minorEastAsia"/>
          <w:color w:val="auto"/>
          <w:sz w:val="24"/>
          <w:szCs w:val="24"/>
          <w:highlight w:val="none"/>
        </w:rPr>
        <w:t>-0201）进行了修订，制定了《建设工程施工合同（示范文本）》（GF-201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-0201）（以下简称《示范文本》）。为了便于合同当事人使用《示范文本》，现就有关问题说明如下：</w:t>
      </w:r>
    </w:p>
    <w:p w14:paraId="147692CC">
      <w:pPr>
        <w:ind w:firstLine="480" w:firstLineChars="200"/>
        <w:outlineLvl w:val="1"/>
        <w:rPr>
          <w:rFonts w:hint="eastAsia" w:asciiTheme="minorEastAsia" w:hAnsiTheme="minorEastAsia" w:eastAsiaTheme="minorEastAsia" w:cstheme="minorEastAsia"/>
          <w:bCs/>
          <w:color w:val="auto"/>
          <w:sz w:val="24"/>
          <w:szCs w:val="24"/>
          <w:highlight w:val="none"/>
        </w:rPr>
      </w:pPr>
      <w:bookmarkStart w:id="56" w:name="_Toc1849"/>
      <w:r>
        <w:rPr>
          <w:rFonts w:hint="eastAsia" w:asciiTheme="minorEastAsia" w:hAnsiTheme="minorEastAsia" w:eastAsiaTheme="minorEastAsia" w:cstheme="minorEastAsia"/>
          <w:bCs/>
          <w:color w:val="auto"/>
          <w:sz w:val="24"/>
          <w:szCs w:val="24"/>
          <w:highlight w:val="none"/>
        </w:rPr>
        <w:t>一、《示范文本》的组成</w:t>
      </w:r>
      <w:bookmarkEnd w:id="56"/>
    </w:p>
    <w:p w14:paraId="652E67A6">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《示范文本》由合同协议书、通用合同条款和专用合同条款三部分组成。</w:t>
      </w:r>
    </w:p>
    <w:p w14:paraId="2FF46CCC">
      <w:pPr>
        <w:ind w:firstLine="480" w:firstLineChars="200"/>
        <w:outlineLvl w:val="2"/>
        <w:rPr>
          <w:rFonts w:hint="eastAsia" w:asciiTheme="minorEastAsia" w:hAnsiTheme="minorEastAsia" w:eastAsiaTheme="minorEastAsia" w:cstheme="minorEastAsia"/>
          <w:color w:val="auto"/>
          <w:sz w:val="24"/>
          <w:szCs w:val="24"/>
          <w:highlight w:val="none"/>
        </w:rPr>
      </w:pPr>
      <w:bookmarkStart w:id="57" w:name="_Toc13753"/>
      <w:r>
        <w:rPr>
          <w:rFonts w:hint="eastAsia" w:asciiTheme="minorEastAsia" w:hAnsiTheme="minorEastAsia" w:eastAsiaTheme="minorEastAsia" w:cstheme="minorEastAsia"/>
          <w:color w:val="auto"/>
          <w:sz w:val="24"/>
          <w:szCs w:val="24"/>
          <w:highlight w:val="none"/>
        </w:rPr>
        <w:t>（一）合同协议书</w:t>
      </w:r>
      <w:bookmarkEnd w:id="57"/>
    </w:p>
    <w:p w14:paraId="6050E188">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38AE0865">
      <w:pPr>
        <w:ind w:firstLine="480" w:firstLineChars="200"/>
        <w:outlineLvl w:val="2"/>
        <w:rPr>
          <w:rFonts w:hint="eastAsia" w:asciiTheme="minorEastAsia" w:hAnsiTheme="minorEastAsia" w:eastAsiaTheme="minorEastAsia" w:cstheme="minorEastAsia"/>
          <w:color w:val="auto"/>
          <w:sz w:val="24"/>
          <w:szCs w:val="24"/>
          <w:highlight w:val="none"/>
        </w:rPr>
      </w:pPr>
      <w:bookmarkStart w:id="58" w:name="_Toc7087"/>
      <w:r>
        <w:rPr>
          <w:rFonts w:hint="eastAsia" w:asciiTheme="minorEastAsia" w:hAnsiTheme="minorEastAsia" w:eastAsiaTheme="minorEastAsia" w:cstheme="minorEastAsia"/>
          <w:color w:val="auto"/>
          <w:sz w:val="24"/>
          <w:szCs w:val="24"/>
          <w:highlight w:val="none"/>
        </w:rPr>
        <w:t>（二）通用合同条款</w:t>
      </w:r>
      <w:bookmarkEnd w:id="58"/>
    </w:p>
    <w:p w14:paraId="7BEB5FF5">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通用合同条款是合同当事人根据《中华人民共和国建筑法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中华人民共和国合同法》等法律法规的规定，就工程建设的实施及相关事项，对合同当事人的权利义务作出的原则性约定。</w:t>
      </w:r>
    </w:p>
    <w:p w14:paraId="34B3837D">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326DB5A3">
      <w:pPr>
        <w:ind w:firstLine="480" w:firstLineChars="200"/>
        <w:outlineLvl w:val="2"/>
        <w:rPr>
          <w:rFonts w:hint="eastAsia" w:asciiTheme="minorEastAsia" w:hAnsiTheme="minorEastAsia" w:eastAsiaTheme="minorEastAsia" w:cstheme="minorEastAsia"/>
          <w:color w:val="auto"/>
          <w:sz w:val="24"/>
          <w:szCs w:val="24"/>
          <w:highlight w:val="none"/>
        </w:rPr>
      </w:pPr>
      <w:bookmarkStart w:id="59" w:name="_Toc32669"/>
      <w:r>
        <w:rPr>
          <w:rFonts w:hint="eastAsia" w:asciiTheme="minorEastAsia" w:hAnsiTheme="minorEastAsia" w:eastAsiaTheme="minorEastAsia" w:cstheme="minorEastAsia"/>
          <w:color w:val="auto"/>
          <w:sz w:val="24"/>
          <w:szCs w:val="24"/>
          <w:highlight w:val="none"/>
        </w:rPr>
        <w:t>（三）专用合同条款</w:t>
      </w:r>
      <w:bookmarkEnd w:id="59"/>
    </w:p>
    <w:p w14:paraId="6EA516C8">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41A4AB4E">
      <w:pPr>
        <w:ind w:right="29" w:rightChars="1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专用合同条款的编号应与相应的通用合同条款的编号一致；</w:t>
      </w:r>
    </w:p>
    <w:p w14:paraId="05AD400C">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合同当事人可以通过对专用合同条款的修改，满足具体建设工程的特殊要求，避免直接修改通用合同条款；</w:t>
      </w:r>
    </w:p>
    <w:p w14:paraId="0453A4FD">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在专用合同条款中有横道线的地方，合同当事人可针对相应的通用合同条款进行细化、完善、补充、修改或另行约定；如无细化、完善、补充、修改或另行约定，则填写“无”或划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736D2999">
      <w:pPr>
        <w:ind w:firstLine="480" w:firstLineChars="200"/>
        <w:outlineLvl w:val="1"/>
        <w:rPr>
          <w:rFonts w:hint="eastAsia" w:asciiTheme="minorEastAsia" w:hAnsiTheme="minorEastAsia" w:eastAsiaTheme="minorEastAsia" w:cstheme="minorEastAsia"/>
          <w:b/>
          <w:color w:val="auto"/>
          <w:sz w:val="24"/>
          <w:szCs w:val="24"/>
          <w:highlight w:val="none"/>
        </w:rPr>
      </w:pPr>
      <w:bookmarkStart w:id="60" w:name="_Toc5071"/>
      <w:r>
        <w:rPr>
          <w:rFonts w:hint="eastAsia" w:asciiTheme="minorEastAsia" w:hAnsiTheme="minorEastAsia" w:eastAsiaTheme="minorEastAsia" w:cstheme="minorEastAsia"/>
          <w:bCs/>
          <w:color w:val="auto"/>
          <w:sz w:val="24"/>
          <w:szCs w:val="24"/>
          <w:highlight w:val="none"/>
        </w:rPr>
        <w:t>二、《示范文本》的性质和适用范围</w:t>
      </w:r>
      <w:bookmarkEnd w:id="60"/>
    </w:p>
    <w:p w14:paraId="2C2BB0C5">
      <w:pPr>
        <w:ind w:firstLine="480" w:firstLineChars="200"/>
        <w:rPr>
          <w:rFonts w:hint="eastAsia" w:asciiTheme="minorEastAsia" w:hAnsiTheme="minorEastAsia" w:eastAsiaTheme="minorEastAsia" w:cstheme="minorEastAsia"/>
          <w:color w:val="auto"/>
          <w:sz w:val="24"/>
          <w:szCs w:val="24"/>
          <w:highlight w:val="none"/>
        </w:rPr>
        <w:sectPr>
          <w:footerReference r:id="rId5" w:type="first"/>
          <w:footerReference r:id="rId4" w:type="default"/>
          <w:pgSz w:w="11906" w:h="16838"/>
          <w:pgMar w:top="1418" w:right="1555" w:bottom="1418" w:left="1531"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 w:val="24"/>
          <w:szCs w:val="24"/>
          <w:highlight w:val="none"/>
        </w:rPr>
        <w:t>《示范文本》为非强制性使用文本。《示范文本》适用于房屋建筑工程、土木工程、线路管道和设备安装工程、装修工程等建设工程的施工承发包活动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合同当事人可结合建设工程具体情况，根据《示范文本》订立合同，并按照法律法规规定和合同约定承担相应的法律责任及合同权利义务。</w:t>
      </w:r>
    </w:p>
    <w:p w14:paraId="2D0D916B">
      <w:pPr>
        <w:pStyle w:val="5"/>
        <w:jc w:val="center"/>
        <w:outlineLvl w:val="0"/>
        <w:rPr>
          <w:rFonts w:hint="eastAsia" w:asciiTheme="minorEastAsia" w:hAnsiTheme="minorEastAsia" w:eastAsiaTheme="minorEastAsia" w:cstheme="minorEastAsia"/>
          <w:b w:val="0"/>
          <w:color w:val="auto"/>
          <w:sz w:val="24"/>
          <w:szCs w:val="24"/>
          <w:highlight w:val="none"/>
        </w:rPr>
      </w:pPr>
      <w:bookmarkStart w:id="61" w:name="_Toc351203480"/>
      <w:bookmarkStart w:id="62" w:name="_Toc21238"/>
      <w:r>
        <w:rPr>
          <w:rFonts w:hint="eastAsia" w:asciiTheme="minorEastAsia" w:hAnsiTheme="minorEastAsia" w:eastAsiaTheme="minorEastAsia" w:cstheme="minorEastAsia"/>
          <w:color w:val="auto"/>
          <w:sz w:val="24"/>
          <w:szCs w:val="24"/>
          <w:highlight w:val="none"/>
        </w:rPr>
        <w:t>第一部分 合同协议书</w:t>
      </w:r>
      <w:bookmarkEnd w:id="53"/>
      <w:bookmarkEnd w:id="54"/>
      <w:bookmarkEnd w:id="61"/>
      <w:bookmarkEnd w:id="62"/>
    </w:p>
    <w:p w14:paraId="3F58FB84">
      <w:pPr>
        <w:spacing w:line="360" w:lineRule="auto"/>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发包人（全称）：</w:t>
      </w:r>
      <w:r>
        <w:rPr>
          <w:rFonts w:hint="eastAsia" w:asciiTheme="minorEastAsia" w:hAnsiTheme="minorEastAsia" w:eastAsiaTheme="minorEastAsia" w:cstheme="minorEastAsia"/>
          <w:b/>
          <w:color w:val="auto"/>
          <w:sz w:val="24"/>
          <w:szCs w:val="24"/>
          <w:highlight w:val="none"/>
          <w:u w:val="single"/>
        </w:rPr>
        <w:t>                       </w:t>
      </w:r>
    </w:p>
    <w:p w14:paraId="3D2CD75E">
      <w:pPr>
        <w:spacing w:line="360" w:lineRule="auto"/>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承包人（全称）：</w:t>
      </w:r>
      <w:r>
        <w:rPr>
          <w:rFonts w:hint="eastAsia" w:asciiTheme="minorEastAsia" w:hAnsiTheme="minorEastAsia" w:eastAsiaTheme="minorEastAsia" w:cstheme="minorEastAsia"/>
          <w:b/>
          <w:color w:val="auto"/>
          <w:sz w:val="24"/>
          <w:szCs w:val="24"/>
          <w:highlight w:val="none"/>
          <w:u w:val="single"/>
        </w:rPr>
        <w:t>                      </w:t>
      </w:r>
    </w:p>
    <w:p w14:paraId="0D5548D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根据《中华人民共和国合同法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中华人民共和国建筑法》及有关法律规定，遵循平等、自愿、公平和诚实信用的原则，双方就</w:t>
      </w:r>
    </w:p>
    <w:p w14:paraId="66B1CB7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工程施工及有关事项协商一致，共同达成如下协议：</w:t>
      </w:r>
    </w:p>
    <w:p w14:paraId="1B196345">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w:t>
      </w:r>
      <w:bookmarkStart w:id="63" w:name="_Toc12086"/>
      <w:bookmarkStart w:id="64" w:name="_Toc351203481"/>
      <w:r>
        <w:rPr>
          <w:rFonts w:hint="eastAsia" w:asciiTheme="minorEastAsia" w:hAnsiTheme="minorEastAsia" w:eastAsiaTheme="minorEastAsia" w:cstheme="minorEastAsia"/>
          <w:b w:val="0"/>
          <w:color w:val="auto"/>
          <w:sz w:val="24"/>
          <w:szCs w:val="24"/>
          <w:highlight w:val="none"/>
        </w:rPr>
        <w:t>一、工程概况</w:t>
      </w:r>
      <w:bookmarkEnd w:id="63"/>
      <w:bookmarkEnd w:id="64"/>
    </w:p>
    <w:p w14:paraId="128F8DB4">
      <w:pPr>
        <w:spacing w:line="360" w:lineRule="auto"/>
        <w:ind w:firstLine="470" w:firstLineChars="196"/>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1.工程名称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613DA56E">
      <w:pPr>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2.工程地点：</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0A4B0712">
      <w:pPr>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3.工程立项批准文号：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w:t>
      </w:r>
    </w:p>
    <w:p w14:paraId="20885FEF">
      <w:pPr>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4.资金来源：</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w:t>
      </w:r>
    </w:p>
    <w:p w14:paraId="429A5770">
      <w:pPr>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5.工程内容：</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w:t>
      </w:r>
    </w:p>
    <w:p w14:paraId="7A528429">
      <w:pPr>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群体工程应附《承包人承揽工程项目一览表》（附件1）。</w:t>
      </w:r>
    </w:p>
    <w:p w14:paraId="7CA475D5">
      <w:pPr>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6.工程承包范围：</w:t>
      </w:r>
    </w:p>
    <w:p w14:paraId="705A9440">
      <w:pPr>
        <w:spacing w:line="360" w:lineRule="auto"/>
        <w:ind w:firstLine="463" w:firstLineChars="19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w:t>
      </w:r>
    </w:p>
    <w:p w14:paraId="35DB593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41C1B339">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   </w:t>
      </w:r>
      <w:bookmarkStart w:id="65" w:name="_Toc26249"/>
      <w:bookmarkStart w:id="66" w:name="_Toc351203482"/>
      <w:r>
        <w:rPr>
          <w:rFonts w:hint="eastAsia" w:asciiTheme="minorEastAsia" w:hAnsiTheme="minorEastAsia" w:eastAsiaTheme="minorEastAsia" w:cstheme="minorEastAsia"/>
          <w:b w:val="0"/>
          <w:color w:val="auto"/>
          <w:sz w:val="24"/>
          <w:szCs w:val="24"/>
          <w:highlight w:val="none"/>
        </w:rPr>
        <w:t>二、合同工期</w:t>
      </w:r>
      <w:bookmarkEnd w:id="65"/>
      <w:bookmarkEnd w:id="66"/>
    </w:p>
    <w:p w14:paraId="445B9DAF">
      <w:pPr>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计划开工日期：</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01C3D7A8">
      <w:pPr>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计划竣工日期：</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09602940">
      <w:pPr>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工期总日历天数：</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天。工期总日历天数与根据前述计划开竣工日期计算的工期天数不一致的，以工期总日历天数为准。</w:t>
      </w:r>
    </w:p>
    <w:p w14:paraId="6C818379">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bookmarkStart w:id="67" w:name="_Toc351203483"/>
      <w:bookmarkStart w:id="68" w:name="_Toc20681"/>
      <w:r>
        <w:rPr>
          <w:rFonts w:hint="eastAsia" w:asciiTheme="minorEastAsia" w:hAnsiTheme="minorEastAsia" w:eastAsiaTheme="minorEastAsia" w:cstheme="minorEastAsia"/>
          <w:b w:val="0"/>
          <w:color w:val="auto"/>
          <w:sz w:val="24"/>
          <w:szCs w:val="24"/>
          <w:highlight w:val="none"/>
        </w:rPr>
        <w:t>三、质量标准</w:t>
      </w:r>
      <w:bookmarkEnd w:id="67"/>
      <w:bookmarkEnd w:id="68"/>
    </w:p>
    <w:p w14:paraId="494F5132">
      <w:pPr>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工程质量符合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标准。</w:t>
      </w:r>
    </w:p>
    <w:p w14:paraId="6E4A0276">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w:t>
      </w:r>
      <w:bookmarkStart w:id="69" w:name="_Toc17423"/>
      <w:bookmarkStart w:id="70" w:name="_Toc351203484"/>
      <w:r>
        <w:rPr>
          <w:rFonts w:hint="eastAsia" w:asciiTheme="minorEastAsia" w:hAnsiTheme="minorEastAsia" w:eastAsiaTheme="minorEastAsia" w:cstheme="minorEastAsia"/>
          <w:b w:val="0"/>
          <w:color w:val="auto"/>
          <w:sz w:val="24"/>
          <w:szCs w:val="24"/>
          <w:highlight w:val="none"/>
        </w:rPr>
        <w:t>四、签约合同价与合同价格形式</w:t>
      </w:r>
      <w:bookmarkEnd w:id="69"/>
      <w:bookmarkEnd w:id="70"/>
      <w:r>
        <w:rPr>
          <w:rFonts w:hint="eastAsia" w:asciiTheme="minorEastAsia" w:hAnsiTheme="minorEastAsia" w:eastAsiaTheme="minorEastAsia" w:cstheme="minorEastAsia"/>
          <w:b w:val="0"/>
          <w:color w:val="auto"/>
          <w:sz w:val="24"/>
          <w:szCs w:val="24"/>
          <w:highlight w:val="none"/>
        </w:rPr>
        <w:tab/>
      </w:r>
    </w:p>
    <w:p w14:paraId="4DA357E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1.签约合同价为：</w:t>
      </w:r>
    </w:p>
    <w:p w14:paraId="378FF194">
      <w:pP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2BB5F20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w:t>
      </w:r>
    </w:p>
    <w:p w14:paraId="0E26B3B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（1）安全文明施工费：</w:t>
      </w:r>
    </w:p>
    <w:p w14:paraId="6B8D1DF1">
      <w:pPr>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73345F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（2）材料和工程设备暂估价金额：</w:t>
      </w:r>
    </w:p>
    <w:p w14:paraId="5F83F773">
      <w:pPr>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3302FB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（3）专业工程暂估价金额：</w:t>
      </w:r>
    </w:p>
    <w:p w14:paraId="54E4B209">
      <w:pPr>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4F34287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（4）暂列金额：</w:t>
      </w:r>
    </w:p>
    <w:p w14:paraId="0CC495D5">
      <w:pPr>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3677C35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2.合同价格形式：</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3D28800">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w:t>
      </w:r>
      <w:bookmarkStart w:id="71" w:name="_Toc351203485"/>
      <w:bookmarkStart w:id="72" w:name="_Toc27678"/>
      <w:r>
        <w:rPr>
          <w:rFonts w:hint="eastAsia" w:asciiTheme="minorEastAsia" w:hAnsiTheme="minorEastAsia" w:eastAsiaTheme="minorEastAsia" w:cstheme="minorEastAsia"/>
          <w:b w:val="0"/>
          <w:color w:val="auto"/>
          <w:sz w:val="24"/>
          <w:szCs w:val="24"/>
          <w:highlight w:val="none"/>
        </w:rPr>
        <w:t>五、</w:t>
      </w:r>
      <w:bookmarkEnd w:id="71"/>
      <w:r>
        <w:rPr>
          <w:rFonts w:hint="eastAsia" w:asciiTheme="minorEastAsia" w:hAnsiTheme="minorEastAsia" w:eastAsiaTheme="minorEastAsia" w:cstheme="minorEastAsia"/>
          <w:b w:val="0"/>
          <w:color w:val="auto"/>
          <w:sz w:val="24"/>
          <w:szCs w:val="24"/>
          <w:highlight w:val="none"/>
        </w:rPr>
        <w:t>项目经理</w:t>
      </w:r>
      <w:bookmarkEnd w:id="72"/>
    </w:p>
    <w:p w14:paraId="0908381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承包人项目经理：</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32EFE07">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w:t>
      </w:r>
      <w:bookmarkStart w:id="73" w:name="_Toc351203486"/>
      <w:bookmarkStart w:id="74" w:name="_Toc26238"/>
      <w:r>
        <w:rPr>
          <w:rFonts w:hint="eastAsia" w:asciiTheme="minorEastAsia" w:hAnsiTheme="minorEastAsia" w:eastAsiaTheme="minorEastAsia" w:cstheme="minorEastAsia"/>
          <w:b w:val="0"/>
          <w:color w:val="auto"/>
          <w:sz w:val="24"/>
          <w:szCs w:val="24"/>
          <w:highlight w:val="none"/>
        </w:rPr>
        <w:t>六、合同文件构成</w:t>
      </w:r>
      <w:bookmarkEnd w:id="73"/>
      <w:bookmarkEnd w:id="74"/>
    </w:p>
    <w:p w14:paraId="517E5E2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本协议书与下列文件一起构成合同文件：</w:t>
      </w:r>
    </w:p>
    <w:p w14:paraId="5A150C3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通知书（如果有）；</w:t>
      </w:r>
    </w:p>
    <w:p w14:paraId="7D0BAAB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（2）投标函及其附录（如果有）； </w:t>
      </w:r>
    </w:p>
    <w:p w14:paraId="7638F22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（3）专用合同条款及其附件；</w:t>
      </w:r>
    </w:p>
    <w:p w14:paraId="02E520C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（4）通用合同条款；</w:t>
      </w:r>
    </w:p>
    <w:p w14:paraId="301EB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（5）技术标准和要求；</w:t>
      </w:r>
    </w:p>
    <w:p w14:paraId="4509EA1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（6）图纸；</w:t>
      </w:r>
    </w:p>
    <w:p w14:paraId="5FC8962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（7）已标价工程量清单或预算书；</w:t>
      </w:r>
    </w:p>
    <w:p w14:paraId="188AF49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（8）其他合同文件。</w:t>
      </w:r>
    </w:p>
    <w:p w14:paraId="319C9E7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在合同订立及履行过程中形成的与合同有关的文件均构成合同文件组成部分。</w:t>
      </w:r>
    </w:p>
    <w:p w14:paraId="28234A6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A61426A">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w:t>
      </w:r>
      <w:bookmarkStart w:id="75" w:name="_Toc30497"/>
      <w:bookmarkStart w:id="76" w:name="_Toc351203487"/>
      <w:r>
        <w:rPr>
          <w:rFonts w:hint="eastAsia" w:asciiTheme="minorEastAsia" w:hAnsiTheme="minorEastAsia" w:eastAsiaTheme="minorEastAsia" w:cstheme="minorEastAsia"/>
          <w:b w:val="0"/>
          <w:color w:val="auto"/>
          <w:sz w:val="24"/>
          <w:szCs w:val="24"/>
          <w:highlight w:val="none"/>
        </w:rPr>
        <w:t>七、承诺</w:t>
      </w:r>
      <w:bookmarkEnd w:id="75"/>
      <w:bookmarkEnd w:id="76"/>
    </w:p>
    <w:p w14:paraId="29A5EFB5">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1.发包人承诺按照法律规定履行项目审批手续、筹集工程建设资金并按照合同约定的期限和方式支付合同价款。</w:t>
      </w:r>
    </w:p>
    <w:p w14:paraId="45C150A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F20C28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3.发包人和承包人通过招投标形式签订合同的，双方理解并承诺不再就同一工程另行签订与合同实质性内容相背离的协议。</w:t>
      </w:r>
    </w:p>
    <w:p w14:paraId="79AF1E10">
      <w:pPr>
        <w:spacing w:line="360" w:lineRule="auto"/>
        <w:outlineLvl w:val="0"/>
        <w:rPr>
          <w:rFonts w:hint="eastAsia" w:asciiTheme="minorEastAsia" w:hAnsiTheme="minorEastAsia" w:eastAsiaTheme="minorEastAsia" w:cstheme="minorEastAsia"/>
          <w:bCs/>
          <w:color w:val="auto"/>
          <w:sz w:val="24"/>
          <w:szCs w:val="24"/>
          <w:highlight w:val="none"/>
        </w:rPr>
      </w:pPr>
      <w:bookmarkStart w:id="77" w:name="_Toc351203488"/>
      <w:r>
        <w:rPr>
          <w:rFonts w:hint="eastAsia" w:asciiTheme="minorEastAsia" w:hAnsiTheme="minorEastAsia" w:eastAsiaTheme="minorEastAsia" w:cstheme="minorEastAsia"/>
          <w:b/>
          <w:color w:val="auto"/>
          <w:sz w:val="24"/>
          <w:szCs w:val="24"/>
          <w:highlight w:val="none"/>
        </w:rPr>
        <w:t xml:space="preserve">    </w:t>
      </w:r>
      <w:bookmarkStart w:id="78" w:name="_Toc32672"/>
      <w:r>
        <w:rPr>
          <w:rFonts w:hint="eastAsia" w:asciiTheme="minorEastAsia" w:hAnsiTheme="minorEastAsia" w:eastAsiaTheme="minorEastAsia" w:cstheme="minorEastAsia"/>
          <w:b/>
          <w:color w:val="auto"/>
          <w:sz w:val="24"/>
          <w:szCs w:val="24"/>
          <w:highlight w:val="none"/>
        </w:rPr>
        <w:t>八、词语含义</w:t>
      </w:r>
      <w:bookmarkEnd w:id="77"/>
      <w:bookmarkEnd w:id="78"/>
    </w:p>
    <w:p w14:paraId="3F20B770">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本协议书中词语含义与第二部分通用合同条款中赋予的含义相同。</w:t>
      </w:r>
    </w:p>
    <w:p w14:paraId="799910F9">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w:t>
      </w:r>
      <w:bookmarkStart w:id="79" w:name="_Toc18908"/>
      <w:bookmarkStart w:id="80" w:name="_Toc351203489"/>
      <w:r>
        <w:rPr>
          <w:rFonts w:hint="eastAsia" w:asciiTheme="minorEastAsia" w:hAnsiTheme="minorEastAsia" w:eastAsiaTheme="minorEastAsia" w:cstheme="minorEastAsia"/>
          <w:b w:val="0"/>
          <w:color w:val="auto"/>
          <w:sz w:val="24"/>
          <w:szCs w:val="24"/>
          <w:highlight w:val="none"/>
        </w:rPr>
        <w:t>九、签订时间</w:t>
      </w:r>
      <w:bookmarkEnd w:id="79"/>
      <w:bookmarkEnd w:id="80"/>
    </w:p>
    <w:p w14:paraId="0F21CBA4">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本合同于</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日签订。</w:t>
      </w:r>
    </w:p>
    <w:p w14:paraId="00713EF9">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bookmarkStart w:id="81" w:name="_Toc18223"/>
      <w:bookmarkStart w:id="82" w:name="_Toc351203490"/>
      <w:r>
        <w:rPr>
          <w:rFonts w:hint="eastAsia" w:asciiTheme="minorEastAsia" w:hAnsiTheme="minorEastAsia" w:eastAsiaTheme="minorEastAsia" w:cstheme="minorEastAsia"/>
          <w:b w:val="0"/>
          <w:color w:val="auto"/>
          <w:sz w:val="24"/>
          <w:szCs w:val="24"/>
          <w:highlight w:val="none"/>
        </w:rPr>
        <w:t>十、签订地点</w:t>
      </w:r>
      <w:bookmarkEnd w:id="81"/>
      <w:bookmarkEnd w:id="82"/>
    </w:p>
    <w:p w14:paraId="26D20F32">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本合同在</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签订。</w:t>
      </w:r>
    </w:p>
    <w:p w14:paraId="1132FF10">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bookmarkStart w:id="83" w:name="_Toc25999"/>
      <w:bookmarkStart w:id="84" w:name="_Toc351203491"/>
      <w:r>
        <w:rPr>
          <w:rFonts w:hint="eastAsia" w:asciiTheme="minorEastAsia" w:hAnsiTheme="minorEastAsia" w:eastAsiaTheme="minorEastAsia" w:cstheme="minorEastAsia"/>
          <w:b w:val="0"/>
          <w:color w:val="auto"/>
          <w:sz w:val="24"/>
          <w:szCs w:val="24"/>
          <w:highlight w:val="none"/>
        </w:rPr>
        <w:t>十一、补充协议</w:t>
      </w:r>
      <w:bookmarkEnd w:id="83"/>
      <w:bookmarkEnd w:id="84"/>
    </w:p>
    <w:p w14:paraId="283D7399">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合同未尽事宜，合同当事人另行签订补充协议，补充协议是合同的组成部分。</w:t>
      </w:r>
    </w:p>
    <w:p w14:paraId="771702B5">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bookmarkStart w:id="85" w:name="_Toc351203492"/>
      <w:bookmarkStart w:id="86" w:name="_Toc2071"/>
      <w:r>
        <w:rPr>
          <w:rFonts w:hint="eastAsia" w:asciiTheme="minorEastAsia" w:hAnsiTheme="minorEastAsia" w:eastAsiaTheme="minorEastAsia" w:cstheme="minorEastAsia"/>
          <w:b w:val="0"/>
          <w:color w:val="auto"/>
          <w:sz w:val="24"/>
          <w:szCs w:val="24"/>
          <w:highlight w:val="none"/>
        </w:rPr>
        <w:t>十二、合同生效</w:t>
      </w:r>
      <w:bookmarkEnd w:id="85"/>
      <w:bookmarkEnd w:id="86"/>
    </w:p>
    <w:p w14:paraId="711012E7">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本合同自</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生效。</w:t>
      </w:r>
    </w:p>
    <w:p w14:paraId="29E92E5A">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 xml:space="preserve">    </w:t>
      </w:r>
      <w:bookmarkStart w:id="87" w:name="_Toc9593"/>
      <w:bookmarkStart w:id="88" w:name="_Toc351203493"/>
      <w:r>
        <w:rPr>
          <w:rFonts w:hint="eastAsia" w:asciiTheme="minorEastAsia" w:hAnsiTheme="minorEastAsia" w:eastAsiaTheme="minorEastAsia" w:cstheme="minorEastAsia"/>
          <w:b w:val="0"/>
          <w:color w:val="auto"/>
          <w:sz w:val="24"/>
          <w:szCs w:val="24"/>
          <w:highlight w:val="none"/>
        </w:rPr>
        <w:t>十三、合同份数</w:t>
      </w:r>
      <w:bookmarkEnd w:id="87"/>
      <w:bookmarkEnd w:id="88"/>
    </w:p>
    <w:p w14:paraId="7A6398F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本合同一式</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份，均具有同等法律效力，发包人执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份，承包人执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w:t>
      </w:r>
    </w:p>
    <w:p w14:paraId="4085B489">
      <w:pPr>
        <w:spacing w:line="360" w:lineRule="auto"/>
        <w:rPr>
          <w:rFonts w:hint="eastAsia" w:asciiTheme="minorEastAsia" w:hAnsiTheme="minorEastAsia" w:eastAsiaTheme="minorEastAsia" w:cstheme="minorEastAsia"/>
          <w:bCs/>
          <w:color w:val="auto"/>
          <w:sz w:val="24"/>
          <w:szCs w:val="24"/>
          <w:highlight w:val="none"/>
        </w:rPr>
      </w:pPr>
    </w:p>
    <w:p w14:paraId="0BF87A86">
      <w:pPr>
        <w:spacing w:line="360" w:lineRule="auto"/>
        <w:rPr>
          <w:rFonts w:hint="eastAsia" w:asciiTheme="minorEastAsia" w:hAnsiTheme="minorEastAsia" w:eastAsiaTheme="minorEastAsia" w:cstheme="minorEastAsia"/>
          <w:bCs/>
          <w:color w:val="auto"/>
          <w:sz w:val="24"/>
          <w:szCs w:val="24"/>
          <w:highlight w:val="none"/>
        </w:rPr>
      </w:pPr>
    </w:p>
    <w:p w14:paraId="2529E8C4">
      <w:pPr>
        <w:spacing w:line="360" w:lineRule="auto"/>
        <w:rPr>
          <w:rFonts w:hint="eastAsia" w:asciiTheme="minorEastAsia" w:hAnsiTheme="minorEastAsia" w:eastAsiaTheme="minorEastAsia" w:cstheme="minorEastAsia"/>
          <w:bCs/>
          <w:color w:val="auto"/>
          <w:sz w:val="24"/>
          <w:szCs w:val="24"/>
          <w:highlight w:val="none"/>
        </w:rPr>
      </w:pPr>
    </w:p>
    <w:p w14:paraId="21591280">
      <w:pPr>
        <w:spacing w:line="360" w:lineRule="auto"/>
        <w:rPr>
          <w:rFonts w:hint="eastAsia" w:asciiTheme="minorEastAsia" w:hAnsiTheme="minorEastAsia" w:eastAsiaTheme="minorEastAsia" w:cstheme="minorEastAsia"/>
          <w:bCs/>
          <w:color w:val="auto"/>
          <w:sz w:val="24"/>
          <w:szCs w:val="24"/>
          <w:highlight w:val="none"/>
        </w:rPr>
      </w:pPr>
    </w:p>
    <w:p w14:paraId="1115420D">
      <w:pPr>
        <w:spacing w:line="360" w:lineRule="auto"/>
        <w:rPr>
          <w:rFonts w:hint="eastAsia" w:asciiTheme="minorEastAsia" w:hAnsiTheme="minorEastAsia" w:eastAsiaTheme="minorEastAsia" w:cstheme="minorEastAsia"/>
          <w:bCs/>
          <w:color w:val="auto"/>
          <w:sz w:val="24"/>
          <w:szCs w:val="24"/>
          <w:highlight w:val="none"/>
        </w:rPr>
      </w:pPr>
    </w:p>
    <w:p w14:paraId="1229E4F7">
      <w:pPr>
        <w:spacing w:line="360" w:lineRule="auto"/>
        <w:rPr>
          <w:rFonts w:hint="eastAsia" w:asciiTheme="minorEastAsia" w:hAnsiTheme="minorEastAsia" w:eastAsiaTheme="minorEastAsia" w:cstheme="minorEastAsia"/>
          <w:bCs/>
          <w:color w:val="auto"/>
          <w:sz w:val="24"/>
          <w:szCs w:val="24"/>
          <w:highlight w:val="none"/>
        </w:rPr>
      </w:pPr>
    </w:p>
    <w:p w14:paraId="3D4B8E59">
      <w:pPr>
        <w:spacing w:line="360" w:lineRule="auto"/>
        <w:rPr>
          <w:rFonts w:hint="eastAsia" w:asciiTheme="minorEastAsia" w:hAnsiTheme="minorEastAsia" w:eastAsiaTheme="minorEastAsia" w:cstheme="minorEastAsia"/>
          <w:bCs/>
          <w:color w:val="auto"/>
          <w:sz w:val="24"/>
          <w:szCs w:val="24"/>
          <w:highlight w:val="none"/>
        </w:rPr>
      </w:pPr>
    </w:p>
    <w:p w14:paraId="7E12FC04">
      <w:pPr>
        <w:spacing w:line="360" w:lineRule="auto"/>
        <w:rPr>
          <w:rFonts w:hint="eastAsia" w:asciiTheme="minorEastAsia" w:hAnsiTheme="minorEastAsia" w:eastAsiaTheme="minorEastAsia" w:cstheme="minorEastAsia"/>
          <w:color w:val="auto"/>
          <w:sz w:val="24"/>
          <w:szCs w:val="24"/>
          <w:highlight w:val="none"/>
        </w:rPr>
      </w:pPr>
    </w:p>
    <w:p w14:paraId="42565BF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发包人：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承包人：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p>
    <w:p w14:paraId="65A8083F">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p>
    <w:p w14:paraId="0C7FCDD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  法定代表人或其委托代理人：</w:t>
      </w:r>
    </w:p>
    <w:p w14:paraId="7F906DA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                    （签字）</w:t>
      </w:r>
    </w:p>
    <w:p w14:paraId="1881DA47">
      <w:pPr>
        <w:spacing w:line="360" w:lineRule="auto"/>
        <w:rPr>
          <w:rFonts w:hint="eastAsia" w:asciiTheme="minorEastAsia" w:hAnsiTheme="minorEastAsia" w:eastAsiaTheme="minorEastAsia" w:cstheme="minorEastAsia"/>
          <w:color w:val="auto"/>
          <w:sz w:val="24"/>
          <w:szCs w:val="24"/>
          <w:highlight w:val="none"/>
          <w:u w:val="single"/>
        </w:rPr>
      </w:pPr>
    </w:p>
    <w:p w14:paraId="3232885F">
      <w:pPr>
        <w:tabs>
          <w:tab w:val="left" w:pos="441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组织机构代码：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组织机构代码：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14:paraId="145401F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       </w:t>
      </w:r>
    </w:p>
    <w:p w14:paraId="63E2275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 xml:space="preserve">   </w:t>
      </w:r>
    </w:p>
    <w:p w14:paraId="345EBCB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法定代表人：</w:t>
      </w:r>
      <w:r>
        <w:rPr>
          <w:rFonts w:hint="eastAsia" w:asciiTheme="minorEastAsia" w:hAnsiTheme="minorEastAsia" w:eastAsiaTheme="minorEastAsia" w:cstheme="minorEastAsia"/>
          <w:color w:val="auto"/>
          <w:sz w:val="24"/>
          <w:szCs w:val="24"/>
          <w:highlight w:val="none"/>
          <w:u w:val="single"/>
        </w:rPr>
        <w:t xml:space="preserve">             </w:t>
      </w:r>
    </w:p>
    <w:p w14:paraId="63E9C4F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委托代理人：</w:t>
      </w:r>
      <w:r>
        <w:rPr>
          <w:rFonts w:hint="eastAsia" w:asciiTheme="minorEastAsia" w:hAnsiTheme="minorEastAsia" w:eastAsiaTheme="minorEastAsia" w:cstheme="minorEastAsia"/>
          <w:color w:val="auto"/>
          <w:sz w:val="24"/>
          <w:szCs w:val="24"/>
          <w:highlight w:val="none"/>
          <w:u w:val="single"/>
        </w:rPr>
        <w:t xml:space="preserve">             </w:t>
      </w:r>
    </w:p>
    <w:p w14:paraId="3A49C8B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p>
    <w:p w14:paraId="15A25EE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   </w:t>
      </w:r>
    </w:p>
    <w:p w14:paraId="3B38917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电子信箱：</w:t>
      </w:r>
      <w:r>
        <w:rPr>
          <w:rFonts w:hint="eastAsia" w:asciiTheme="minorEastAsia" w:hAnsiTheme="minorEastAsia" w:eastAsiaTheme="minorEastAsia" w:cstheme="minorEastAsia"/>
          <w:color w:val="auto"/>
          <w:sz w:val="24"/>
          <w:szCs w:val="24"/>
          <w:highlight w:val="none"/>
          <w:u w:val="single"/>
        </w:rPr>
        <w:t xml:space="preserve">   </w:t>
      </w:r>
    </w:p>
    <w:p w14:paraId="170C023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 xml:space="preserve">   </w:t>
      </w:r>
    </w:p>
    <w:p w14:paraId="5CE2D89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w:t>
      </w:r>
    </w:p>
    <w:p w14:paraId="036B96C4">
      <w:pPr>
        <w:pStyle w:val="5"/>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89" w:name="_Toc351203494"/>
      <w:bookmarkStart w:id="90" w:name="_Toc1168"/>
      <w:r>
        <w:rPr>
          <w:rFonts w:hint="eastAsia" w:asciiTheme="minorEastAsia" w:hAnsiTheme="minorEastAsia" w:eastAsiaTheme="minorEastAsia" w:cstheme="minorEastAsia"/>
          <w:color w:val="auto"/>
          <w:sz w:val="24"/>
          <w:szCs w:val="24"/>
          <w:highlight w:val="none"/>
        </w:rPr>
        <w:t>第二部分 通用合同条款</w:t>
      </w:r>
      <w:bookmarkEnd w:id="89"/>
      <w:bookmarkEnd w:id="90"/>
      <w:bookmarkStart w:id="91" w:name="_Toc337558727"/>
    </w:p>
    <w:p w14:paraId="195F75F1">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92" w:name="_Toc12039"/>
      <w:bookmarkStart w:id="93" w:name="_Toc351203495"/>
      <w:r>
        <w:rPr>
          <w:rFonts w:hint="eastAsia" w:asciiTheme="minorEastAsia" w:hAnsiTheme="minorEastAsia" w:eastAsiaTheme="minorEastAsia" w:cstheme="minorEastAsia"/>
          <w:b w:val="0"/>
          <w:color w:val="auto"/>
          <w:sz w:val="24"/>
          <w:szCs w:val="24"/>
          <w:highlight w:val="none"/>
        </w:rPr>
        <w:t>1.</w:t>
      </w:r>
      <w:bookmarkStart w:id="94" w:name="_Toc303538974"/>
      <w:bookmarkEnd w:id="94"/>
      <w:bookmarkStart w:id="95" w:name="_Toc303538976"/>
      <w:bookmarkEnd w:id="95"/>
      <w:bookmarkStart w:id="96" w:name="_Toc303538975"/>
      <w:bookmarkEnd w:id="96"/>
      <w:bookmarkStart w:id="97" w:name="_Toc303538972"/>
      <w:bookmarkEnd w:id="97"/>
      <w:bookmarkStart w:id="98" w:name="_Toc303538973"/>
      <w:bookmarkEnd w:id="98"/>
      <w:bookmarkStart w:id="99" w:name="_Toc296346528"/>
      <w:bookmarkStart w:id="100" w:name="_Toc296503027"/>
      <w:r>
        <w:rPr>
          <w:rFonts w:hint="eastAsia" w:asciiTheme="minorEastAsia" w:hAnsiTheme="minorEastAsia" w:eastAsiaTheme="minorEastAsia" w:cstheme="minorEastAsia"/>
          <w:b w:val="0"/>
          <w:color w:val="auto"/>
          <w:sz w:val="24"/>
          <w:szCs w:val="24"/>
          <w:highlight w:val="none"/>
        </w:rPr>
        <w:t xml:space="preserve"> 一般约定</w:t>
      </w:r>
      <w:bookmarkEnd w:id="91"/>
      <w:bookmarkEnd w:id="92"/>
      <w:bookmarkEnd w:id="93"/>
      <w:bookmarkEnd w:id="99"/>
      <w:bookmarkEnd w:id="100"/>
    </w:p>
    <w:p w14:paraId="4F5E56C6">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01" w:name="_Toc337558728"/>
      <w:bookmarkStart w:id="102" w:name="_Toc296346529"/>
      <w:bookmarkStart w:id="103" w:name="_Toc296503028"/>
      <w:bookmarkStart w:id="104" w:name="_Toc351203496"/>
      <w:bookmarkStart w:id="105" w:name="_Toc20515"/>
      <w:r>
        <w:rPr>
          <w:rFonts w:hint="eastAsia" w:asciiTheme="minorEastAsia" w:hAnsiTheme="minorEastAsia" w:eastAsiaTheme="minorEastAsia" w:cstheme="minorEastAsia"/>
          <w:b w:val="0"/>
          <w:color w:val="auto"/>
          <w:sz w:val="24"/>
          <w:szCs w:val="24"/>
          <w:highlight w:val="none"/>
        </w:rPr>
        <w:t>1.1词语定义</w:t>
      </w:r>
      <w:bookmarkEnd w:id="101"/>
      <w:bookmarkEnd w:id="102"/>
      <w:bookmarkEnd w:id="103"/>
      <w:r>
        <w:rPr>
          <w:rFonts w:hint="eastAsia" w:asciiTheme="minorEastAsia" w:hAnsiTheme="minorEastAsia" w:eastAsiaTheme="minorEastAsia" w:cstheme="minorEastAsia"/>
          <w:b w:val="0"/>
          <w:color w:val="auto"/>
          <w:sz w:val="24"/>
          <w:szCs w:val="24"/>
          <w:highlight w:val="none"/>
        </w:rPr>
        <w:t>与解释</w:t>
      </w:r>
      <w:bookmarkEnd w:id="104"/>
      <w:bookmarkEnd w:id="105"/>
    </w:p>
    <w:p w14:paraId="41EDE57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合同协议书、通用合同条款、专用合同条款中的下列词语具有本款所赋予的含义：</w:t>
      </w:r>
    </w:p>
    <w:p w14:paraId="074D685D">
      <w:pPr>
        <w:autoSpaceDE w:val="0"/>
        <w:autoSpaceDN w:val="0"/>
        <w:adjustRightInd w:val="0"/>
        <w:spacing w:line="360" w:lineRule="auto"/>
        <w:jc w:val="left"/>
        <w:outlineLvl w:val="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bookmarkStart w:id="106" w:name="_Toc25656"/>
      <w:r>
        <w:rPr>
          <w:rFonts w:hint="eastAsia" w:asciiTheme="minorEastAsia" w:hAnsiTheme="minorEastAsia" w:eastAsiaTheme="minorEastAsia" w:cstheme="minorEastAsia"/>
          <w:color w:val="auto"/>
          <w:kern w:val="0"/>
          <w:sz w:val="24"/>
          <w:szCs w:val="24"/>
          <w:highlight w:val="none"/>
        </w:rPr>
        <w:t>1.1.1 合同</w:t>
      </w:r>
      <w:bookmarkEnd w:id="106"/>
    </w:p>
    <w:p w14:paraId="160EA8A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1.1.1.1 合同：是指根据法律规定和合同当事人约定具有约束力的文件，构成合同的文件包括合同协议书、</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通知书（如果有）、投标函及其附录（如果有）、专用合同条款</w:t>
      </w:r>
      <w:r>
        <w:rPr>
          <w:rFonts w:hint="eastAsia" w:asciiTheme="minorEastAsia" w:hAnsiTheme="minorEastAsia" w:eastAsiaTheme="minorEastAsia" w:cstheme="minorEastAsia"/>
          <w:color w:val="auto"/>
          <w:sz w:val="24"/>
          <w:szCs w:val="24"/>
          <w:highlight w:val="none"/>
        </w:rPr>
        <w:t>及其附件</w:t>
      </w:r>
      <w:r>
        <w:rPr>
          <w:rFonts w:hint="eastAsia" w:asciiTheme="minorEastAsia" w:hAnsiTheme="minorEastAsia" w:eastAsiaTheme="minorEastAsia" w:cstheme="minorEastAsia"/>
          <w:color w:val="auto"/>
          <w:kern w:val="0"/>
          <w:sz w:val="24"/>
          <w:szCs w:val="24"/>
          <w:highlight w:val="none"/>
        </w:rPr>
        <w:t>、通用合同条款、技术标准和要求、图纸、已标价工程量清单或预算书以及其他合同文件。</w:t>
      </w:r>
    </w:p>
    <w:p w14:paraId="08258D4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1.1.1.2 合同协议书：是指构成合同的由发包人和承包人共同签署的称为“合同协议书”的书面文件。</w:t>
      </w:r>
    </w:p>
    <w:p w14:paraId="2087732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1.1.1.3 </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通知书：是指构成合同的由发包人通知承包人</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的书面文件。</w:t>
      </w:r>
    </w:p>
    <w:p w14:paraId="6E51C72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1.1.1.4 投标函：是指构成合同的由承包人填写并签署的用于投标的称为“投标函”的文件。</w:t>
      </w:r>
    </w:p>
    <w:p w14:paraId="258189E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1.1.1.5 投标函附录：是指构成合同的附在投标函后的称为“投标函附录”的文件。</w:t>
      </w:r>
    </w:p>
    <w:p w14:paraId="77DB51E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1.1.1.6 技术标准和要求：是指构成合同的施工应当遵守的或指导施工的国家、行业或地方的技术标准和要求，以及合同约定的技术标准和要求。</w:t>
      </w:r>
    </w:p>
    <w:p w14:paraId="577F904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313D536D">
      <w:pPr>
        <w:autoSpaceDE w:val="0"/>
        <w:autoSpaceDN w:val="0"/>
        <w:adjustRightInd w:val="0"/>
        <w:spacing w:line="360" w:lineRule="auto"/>
        <w:ind w:firstLine="468" w:firstLineChars="19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1.1.1.8 已标价工程量清单：是指构成合同的由承包人按照规定的格式和要求填写并标明价格的工程量清单，包括说明和表格。</w:t>
      </w:r>
    </w:p>
    <w:p w14:paraId="63BDF4B7">
      <w:pPr>
        <w:autoSpaceDE w:val="0"/>
        <w:autoSpaceDN w:val="0"/>
        <w:adjustRightInd w:val="0"/>
        <w:spacing w:line="360" w:lineRule="auto"/>
        <w:ind w:firstLine="468" w:firstLineChars="19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1.1.1.9 预算书：是指构成合同的由承包人按照发包人规定的格式和要求编制的工程预算文件。</w:t>
      </w:r>
    </w:p>
    <w:p w14:paraId="21B4DD7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1.1.1.10 其他合同文件：是指经合同当事人约定的与工程施工有关的具有合同约束力的文件或书面协议。合同当事人可以在专用合同条款中进行约定。</w:t>
      </w:r>
    </w:p>
    <w:p w14:paraId="48597682">
      <w:pPr>
        <w:autoSpaceDE w:val="0"/>
        <w:autoSpaceDN w:val="0"/>
        <w:adjustRightInd w:val="0"/>
        <w:spacing w:line="360" w:lineRule="auto"/>
        <w:jc w:val="left"/>
        <w:outlineLvl w:val="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bookmarkStart w:id="107" w:name="_Toc30439"/>
      <w:r>
        <w:rPr>
          <w:rFonts w:hint="eastAsia" w:asciiTheme="minorEastAsia" w:hAnsiTheme="minorEastAsia" w:eastAsiaTheme="minorEastAsia" w:cstheme="minorEastAsia"/>
          <w:color w:val="auto"/>
          <w:kern w:val="0"/>
          <w:sz w:val="24"/>
          <w:szCs w:val="24"/>
          <w:highlight w:val="none"/>
        </w:rPr>
        <w:t>1.1.2 合同当事人及其他相关方</w:t>
      </w:r>
      <w:bookmarkEnd w:id="107"/>
    </w:p>
    <w:p w14:paraId="4DEEE91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1.1.2.1 合同当事人：是指发包人和（或）承包人。</w:t>
      </w:r>
    </w:p>
    <w:p w14:paraId="0C928CF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1.1.2.2 发包人：是指与承包人签订合同协议书的当事人及取得该当事人资格的合法继承人。</w:t>
      </w:r>
    </w:p>
    <w:p w14:paraId="53B4733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1.1.2.3 承包人：是指与发包人签订合同协议书的，具有相应工程施工承包资质的当事人及取得该当事人资格的合法继承人。</w:t>
      </w:r>
    </w:p>
    <w:p w14:paraId="4D159B3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1.1.2.4 监理人：是指在专用合同条款中指明的，受发包人委托按照法律规定进行工程监督管理的法人或其他组织。</w:t>
      </w:r>
    </w:p>
    <w:p w14:paraId="4E745FC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1.1.2.5 设计人：是指在专用合同条款中指明的，受发包人委托负责工程设计并具备相应工程设计资质的法人或其他组织。</w:t>
      </w:r>
    </w:p>
    <w:p w14:paraId="0F878641">
      <w:pPr>
        <w:spacing w:line="360" w:lineRule="auto"/>
        <w:ind w:firstLine="468" w:firstLineChars="19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1.1.2.6 分包人：</w:t>
      </w:r>
      <w:bookmarkStart w:id="108" w:name="#go5"/>
      <w:bookmarkEnd w:id="108"/>
      <w:r>
        <w:rPr>
          <w:rFonts w:hint="eastAsia" w:asciiTheme="minorEastAsia" w:hAnsiTheme="minorEastAsia" w:eastAsiaTheme="minorEastAsia" w:cstheme="minorEastAsia"/>
          <w:color w:val="auto"/>
          <w:kern w:val="0"/>
          <w:sz w:val="24"/>
          <w:szCs w:val="24"/>
          <w:highlight w:val="none"/>
        </w:rPr>
        <w:t>是指按照法律规定和合同约定，分包部分工程或工作，并与承包人签订分包合同的具有相应资质的法人。</w:t>
      </w:r>
    </w:p>
    <w:p w14:paraId="45CC9A9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1.1.2.7 发包人代表：是指由发包人任命并派驻施工现场在发包人授权范围内行使发包人权利的人。</w:t>
      </w:r>
    </w:p>
    <w:p w14:paraId="2C5422E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1.1.2.8 项目经理：是指由承包人任命并派驻施工现场，在承包人授权范围内负责合同履行，且按照法律规定具有相应资格的项目负责人。</w:t>
      </w:r>
    </w:p>
    <w:p w14:paraId="4D28058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1.1.2.9 总监理工程师：是指由监理人任命并派驻施工现场进行工程监理的总负责人。</w:t>
      </w:r>
    </w:p>
    <w:p w14:paraId="134BA868">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09" w:name="_Toc29314"/>
      <w:r>
        <w:rPr>
          <w:rFonts w:hint="eastAsia" w:asciiTheme="minorEastAsia" w:hAnsiTheme="minorEastAsia" w:eastAsiaTheme="minorEastAsia" w:cstheme="minorEastAsia"/>
          <w:color w:val="auto"/>
          <w:kern w:val="0"/>
          <w:sz w:val="24"/>
          <w:szCs w:val="24"/>
          <w:highlight w:val="none"/>
        </w:rPr>
        <w:t>1.1.3 工程和设备</w:t>
      </w:r>
      <w:bookmarkEnd w:id="109"/>
    </w:p>
    <w:p w14:paraId="44C512A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1.1.3.1 工程：是指与合同协议书中工程承包范围对应的永久工程和（或）临时工程。</w:t>
      </w:r>
    </w:p>
    <w:p w14:paraId="3241E30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1.1.3.2 永久工程：是指按合同约定建造并移交给发包人的工程，包括工程设备。</w:t>
      </w:r>
    </w:p>
    <w:p w14:paraId="77AA967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1.1.3.3 临时工程：是指为完成合同约定的永久工程所修建的各类临时性工程，不包括施工设备。</w:t>
      </w:r>
    </w:p>
    <w:p w14:paraId="2C2F915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1.1.3.4 单位工程：是指在合同协议书中指明的，具备独立施工条件并能形成独立使用功能的永久工程。</w:t>
      </w:r>
    </w:p>
    <w:p w14:paraId="066D03B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1.1.3.5 工程设备：是指构成永久工程的机电设备、金属结构设备、仪器及其他类似的设备和装置。</w:t>
      </w:r>
    </w:p>
    <w:p w14:paraId="2B26855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1.1.3.6 施工设备：是指为完成合同约定的各项工作所需的设备、器具和其他物品，但不包括工程设备、临时工程和材料。</w:t>
      </w:r>
    </w:p>
    <w:p w14:paraId="7E50756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1.1.3.7 施工现场：是指用于工程施工的场所，以及在专用合同条款中指明作为施工场所组成部分的其他场所，包括永久占地和临时占地。</w:t>
      </w:r>
    </w:p>
    <w:p w14:paraId="1F243F1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1.1.3.8临时设施：是指为完成合同约定的各项工作所服务的临时性生产和生活设施。</w:t>
      </w:r>
    </w:p>
    <w:p w14:paraId="42183F9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1.1.3.9 永久占地：是指专用合同条款中指明为实施工程需永久占用的土地。</w:t>
      </w:r>
    </w:p>
    <w:p w14:paraId="27EBA00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1.1.3.10 临时占地：是指专用合同条款中指明为实施工程需要临时占用的土地。</w:t>
      </w:r>
    </w:p>
    <w:p w14:paraId="3B87C34B">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10" w:name="_Toc17258"/>
      <w:r>
        <w:rPr>
          <w:rFonts w:hint="eastAsia" w:asciiTheme="minorEastAsia" w:hAnsiTheme="minorEastAsia" w:eastAsiaTheme="minorEastAsia" w:cstheme="minorEastAsia"/>
          <w:color w:val="auto"/>
          <w:kern w:val="0"/>
          <w:sz w:val="24"/>
          <w:szCs w:val="24"/>
          <w:highlight w:val="none"/>
        </w:rPr>
        <w:t>1.1.4 日期和期限</w:t>
      </w:r>
      <w:bookmarkEnd w:id="110"/>
    </w:p>
    <w:p w14:paraId="04B5EBF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EAE5AC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1.1.4.2 竣工日期：包括计划竣工日期和实际竣工日期。计划竣工日期是指合同协议书约定的竣工日期；实际竣工日期按照第13.2.3项〔竣工日期〕的约定确定。 </w:t>
      </w:r>
    </w:p>
    <w:p w14:paraId="6ABB665E">
      <w:pPr>
        <w:spacing w:line="360" w:lineRule="auto"/>
        <w:ind w:firstLine="487" w:firstLineChars="20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1.1.4.3 工期：是指在合同协议书约定的承包人完成工程所需的期限，包括按照合同约定所作的期限变更。</w:t>
      </w:r>
    </w:p>
    <w:p w14:paraId="23ACBF6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1.1.4.4 缺陷责任期：是指承包人按照合同约定承担缺陷修复义务，且发包人预留质量保证金</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已缴纳履约保证金的除外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的期限，自工程实际竣工日期起计算。</w:t>
      </w:r>
    </w:p>
    <w:p w14:paraId="69B9B3D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1.1.4.5 保修期：是指承包人按照合同约定对工程承担保修责任的期限，从工程竣工验收合格之日起计算。</w:t>
      </w:r>
    </w:p>
    <w:p w14:paraId="652B519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1.1.4.6 基准日期：招标发包的工程以投标截止日前28天的日期为基准日期，直接发包的工程以合同签订日前28天的日期为基准日期。</w:t>
      </w:r>
    </w:p>
    <w:p w14:paraId="6A138D7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1.1.4.7 天：除特别指明外，均指日历天。合同中按天计算时间的，开始当天不计入，从次日开始计算，期限最后一天的截止时间为当天24:00时。</w:t>
      </w:r>
    </w:p>
    <w:p w14:paraId="0258D64F">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11" w:name="_Toc10617"/>
      <w:r>
        <w:rPr>
          <w:rFonts w:hint="eastAsia" w:asciiTheme="minorEastAsia" w:hAnsiTheme="minorEastAsia" w:eastAsiaTheme="minorEastAsia" w:cstheme="minorEastAsia"/>
          <w:color w:val="auto"/>
          <w:kern w:val="0"/>
          <w:sz w:val="24"/>
          <w:szCs w:val="24"/>
          <w:highlight w:val="none"/>
        </w:rPr>
        <w:t>1.1.5 合同价格和费用</w:t>
      </w:r>
      <w:bookmarkEnd w:id="111"/>
    </w:p>
    <w:p w14:paraId="4BCA13AA">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1.1.5.1 签约合同价：是指</w:t>
      </w:r>
      <w:r>
        <w:rPr>
          <w:rFonts w:hint="eastAsia" w:asciiTheme="minorEastAsia" w:hAnsiTheme="minorEastAsia" w:eastAsiaTheme="minorEastAsia" w:cstheme="minorEastAsia"/>
          <w:color w:val="auto"/>
          <w:sz w:val="24"/>
          <w:szCs w:val="24"/>
          <w:highlight w:val="none"/>
        </w:rPr>
        <w:t>发包人和承包人在合同协议书中确定的总金额，包括安全文明施工费、暂估价及暂列金额等。</w:t>
      </w:r>
    </w:p>
    <w:p w14:paraId="17621C0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1.1.5.2 合同价格：是指发包人用于支付承包人按照合同约定完成承包范围内全部工作的金额，包括合同履行过程中按合同约定发生的价格变化。</w:t>
      </w:r>
    </w:p>
    <w:p w14:paraId="7F6616D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1.1.5.3 费用：是指为履行合同所发生的或将要发生的所有必需的开支，包括管理费和应分摊的其他费用，但不包括利润。</w:t>
      </w:r>
    </w:p>
    <w:p w14:paraId="56314B1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1.1.5.4 暂估价：是指发包人在工程量清单或预算书中提供的用于支付必然发生但暂时不能确定价格的材料、工程设备的单价、专业工程以及服务工作的金额。</w:t>
      </w:r>
    </w:p>
    <w:p w14:paraId="530F4E9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w:t>
      </w:r>
      <w:r>
        <w:rPr>
          <w:rFonts w:hint="eastAsia" w:asciiTheme="minorEastAsia" w:hAnsiTheme="minorEastAsia" w:eastAsiaTheme="minorEastAsia" w:cstheme="minorEastAsia"/>
          <w:color w:val="auto"/>
          <w:kern w:val="0"/>
          <w:sz w:val="24"/>
          <w:szCs w:val="24"/>
          <w:highlight w:val="none"/>
          <w:lang w:eastAsia="zh-CN"/>
        </w:rPr>
        <w:t>等</w:t>
      </w:r>
      <w:r>
        <w:rPr>
          <w:rFonts w:hint="eastAsia" w:asciiTheme="minorEastAsia" w:hAnsiTheme="minorEastAsia" w:eastAsiaTheme="minorEastAsia" w:cstheme="minorEastAsia"/>
          <w:color w:val="auto"/>
          <w:kern w:val="0"/>
          <w:sz w:val="24"/>
          <w:szCs w:val="24"/>
          <w:highlight w:val="none"/>
        </w:rPr>
        <w:t>费用。</w:t>
      </w:r>
    </w:p>
    <w:p w14:paraId="5492B4D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1.1.5.6 计日工：是指合同履行过程中，承包人完成发包人提出的零星工作或需要采用计日工计价的变更工作时，按合同中约定的单价计价的一种方式。</w:t>
      </w:r>
    </w:p>
    <w:p w14:paraId="7873234B">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1.1.5.7 质量保证金</w:t>
      </w:r>
      <w:bookmarkStart w:id="112" w:name="#go2"/>
      <w:bookmarkEnd w:id="112"/>
      <w:r>
        <w:rPr>
          <w:rFonts w:hint="eastAsia" w:asciiTheme="minorEastAsia" w:hAnsiTheme="minorEastAsia" w:eastAsiaTheme="minorEastAsia" w:cstheme="minorEastAsia"/>
          <w:color w:val="auto"/>
          <w:kern w:val="0"/>
          <w:sz w:val="24"/>
          <w:szCs w:val="24"/>
          <w:highlight w:val="none"/>
        </w:rPr>
        <w:t>：是指按照第15.3款〔质量保证金〕约定承包人用于保证其在缺陷责任期内履行缺陷修补义务的担保</w:t>
      </w:r>
      <w:r>
        <w:rPr>
          <w:rFonts w:hint="eastAsia" w:asciiTheme="minorEastAsia" w:hAnsiTheme="minorEastAsia" w:eastAsiaTheme="minorEastAsia" w:cstheme="minorEastAsia"/>
          <w:color w:val="auto"/>
          <w:sz w:val="24"/>
          <w:szCs w:val="24"/>
          <w:highlight w:val="none"/>
        </w:rPr>
        <w:t>。</w:t>
      </w:r>
    </w:p>
    <w:p w14:paraId="0469F85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1.1.5.8 总价项目：是指在现行国家、行业以及地方的计量规则中无工程量计算规则，在已标价工程量清单或预算书中以总价或以费率形式计算的项目。</w:t>
      </w:r>
    </w:p>
    <w:p w14:paraId="71CD9E3E">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13" w:name="_Toc16678"/>
      <w:r>
        <w:rPr>
          <w:rFonts w:hint="eastAsia" w:asciiTheme="minorEastAsia" w:hAnsiTheme="minorEastAsia" w:eastAsiaTheme="minorEastAsia" w:cstheme="minorEastAsia"/>
          <w:color w:val="auto"/>
          <w:sz w:val="24"/>
          <w:szCs w:val="24"/>
          <w:highlight w:val="none"/>
        </w:rPr>
        <w:t>1.1.6 其他</w:t>
      </w:r>
      <w:bookmarkEnd w:id="113"/>
    </w:p>
    <w:p w14:paraId="3D06980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1.1.6.1 书面形式：是指合同文件、信函、电报、传真等可以有形地表现所载内容的形式。</w:t>
      </w:r>
    </w:p>
    <w:p w14:paraId="2DDB8EBE">
      <w:pPr>
        <w:pStyle w:val="7"/>
        <w:spacing w:before="120" w:beforeLines="0" w:after="120" w:afterLines="0" w:line="360" w:lineRule="auto"/>
        <w:outlineLvl w:val="1"/>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    </w:t>
      </w:r>
      <w:bookmarkStart w:id="114" w:name="_Toc351203497"/>
      <w:bookmarkStart w:id="115" w:name="_Toc296503029"/>
      <w:bookmarkStart w:id="116" w:name="_Toc296346530"/>
      <w:bookmarkStart w:id="117" w:name="_Toc337558729"/>
      <w:bookmarkStart w:id="118" w:name="_Toc24577"/>
      <w:r>
        <w:rPr>
          <w:rFonts w:hint="eastAsia" w:asciiTheme="minorEastAsia" w:hAnsiTheme="minorEastAsia" w:eastAsiaTheme="minorEastAsia" w:cstheme="minorEastAsia"/>
          <w:b w:val="0"/>
          <w:color w:val="auto"/>
          <w:sz w:val="24"/>
          <w:szCs w:val="24"/>
          <w:highlight w:val="none"/>
        </w:rPr>
        <w:t>1.2语言文字</w:t>
      </w:r>
      <w:bookmarkEnd w:id="114"/>
      <w:bookmarkEnd w:id="115"/>
      <w:bookmarkEnd w:id="116"/>
      <w:bookmarkEnd w:id="117"/>
      <w:bookmarkEnd w:id="118"/>
    </w:p>
    <w:p w14:paraId="086CD71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合同以中国的汉语简体文字编写、解释和说明。合同当事人在专用合同条款中约定使用两种以上语言时，汉语为优先解释和说明合同的语言。</w:t>
      </w:r>
    </w:p>
    <w:p w14:paraId="3D2C9D25">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19" w:name="_Toc337558730"/>
      <w:bookmarkStart w:id="120" w:name="_Toc296346531"/>
      <w:bookmarkStart w:id="121" w:name="_Toc296503030"/>
      <w:bookmarkStart w:id="122" w:name="_Toc351203498"/>
      <w:bookmarkStart w:id="123" w:name="_Toc18299"/>
      <w:r>
        <w:rPr>
          <w:rFonts w:hint="eastAsia" w:asciiTheme="minorEastAsia" w:hAnsiTheme="minorEastAsia" w:eastAsiaTheme="minorEastAsia" w:cstheme="minorEastAsia"/>
          <w:b w:val="0"/>
          <w:color w:val="auto"/>
          <w:sz w:val="24"/>
          <w:szCs w:val="24"/>
          <w:highlight w:val="none"/>
        </w:rPr>
        <w:t>1.3法律</w:t>
      </w:r>
      <w:bookmarkEnd w:id="119"/>
      <w:bookmarkEnd w:id="120"/>
      <w:bookmarkEnd w:id="121"/>
      <w:bookmarkEnd w:id="122"/>
      <w:bookmarkEnd w:id="123"/>
    </w:p>
    <w:p w14:paraId="3E680F0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合同所称法律是指中华人民共和国法律、行政法规、部门规章，以及工程所在地的地方性法规、自治条例、单行条例和地方政府规章等。</w:t>
      </w:r>
    </w:p>
    <w:p w14:paraId="6FF607B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合同当事人可以在专用合同条款中约定合同适用的其他规范性文件。</w:t>
      </w:r>
    </w:p>
    <w:p w14:paraId="7557C15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24" w:name="_Toc351203499"/>
      <w:bookmarkStart w:id="125" w:name="_Toc9181"/>
      <w:r>
        <w:rPr>
          <w:rFonts w:hint="eastAsia" w:asciiTheme="minorEastAsia" w:hAnsiTheme="minorEastAsia" w:eastAsiaTheme="minorEastAsia" w:cstheme="minorEastAsia"/>
          <w:b w:val="0"/>
          <w:color w:val="auto"/>
          <w:sz w:val="24"/>
          <w:szCs w:val="24"/>
          <w:highlight w:val="none"/>
        </w:rPr>
        <w:t>1.4 标准和规范</w:t>
      </w:r>
      <w:bookmarkEnd w:id="124"/>
      <w:bookmarkEnd w:id="125"/>
    </w:p>
    <w:p w14:paraId="6E5E7570">
      <w:pPr>
        <w:autoSpaceDE w:val="0"/>
        <w:autoSpaceDN w:val="0"/>
        <w:adjustRightInd w:val="0"/>
        <w:spacing w:line="360" w:lineRule="auto"/>
        <w:ind w:firstLine="64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1.4.1 适用于工程的国家标准、行业标准、工程所在地的地方性标准，以及相应的规范、规程等，合同当事人有特别要求的，应在专用合同条款中约定。</w:t>
      </w:r>
    </w:p>
    <w:p w14:paraId="6A9B0D89">
      <w:pPr>
        <w:autoSpaceDE w:val="0"/>
        <w:autoSpaceDN w:val="0"/>
        <w:adjustRightInd w:val="0"/>
        <w:spacing w:line="360" w:lineRule="auto"/>
        <w:ind w:firstLine="64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1.4.2 发包人要求使用国外标准、规范的，发包人负责提供原文版本和中文译本，并在专用合同条款中约定提供标准规范的名称、份数和时间。</w:t>
      </w:r>
    </w:p>
    <w:p w14:paraId="7D863DDA">
      <w:pPr>
        <w:autoSpaceDE w:val="0"/>
        <w:autoSpaceDN w:val="0"/>
        <w:adjustRightInd w:val="0"/>
        <w:spacing w:line="360" w:lineRule="auto"/>
        <w:ind w:firstLine="64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35CF45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26" w:name="_Toc31096"/>
      <w:bookmarkStart w:id="127" w:name="_Toc351203500"/>
      <w:r>
        <w:rPr>
          <w:rFonts w:hint="eastAsia" w:asciiTheme="minorEastAsia" w:hAnsiTheme="minorEastAsia" w:eastAsiaTheme="minorEastAsia" w:cstheme="minorEastAsia"/>
          <w:b w:val="0"/>
          <w:color w:val="auto"/>
          <w:sz w:val="24"/>
          <w:szCs w:val="24"/>
          <w:highlight w:val="none"/>
        </w:rPr>
        <w:t>1</w:t>
      </w:r>
      <w:bookmarkStart w:id="128" w:name="_Toc296503031"/>
      <w:bookmarkStart w:id="129" w:name="_Toc296346532"/>
      <w:bookmarkStart w:id="130" w:name="_Toc337558731"/>
      <w:r>
        <w:rPr>
          <w:rFonts w:hint="eastAsia" w:asciiTheme="minorEastAsia" w:hAnsiTheme="minorEastAsia" w:eastAsiaTheme="minorEastAsia" w:cstheme="minorEastAsia"/>
          <w:b w:val="0"/>
          <w:color w:val="auto"/>
          <w:sz w:val="24"/>
          <w:szCs w:val="24"/>
          <w:highlight w:val="none"/>
        </w:rPr>
        <w:t>.5 合同文件的优先顺序</w:t>
      </w:r>
      <w:bookmarkEnd w:id="126"/>
      <w:bookmarkEnd w:id="127"/>
    </w:p>
    <w:bookmarkEnd w:id="128"/>
    <w:bookmarkEnd w:id="129"/>
    <w:bookmarkEnd w:id="130"/>
    <w:p w14:paraId="0CFC96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组成合同的各项文件应互相解释，互为说明。除专用合同条款另有约定外，解释合同文件的优先顺序如下：</w:t>
      </w:r>
    </w:p>
    <w:p w14:paraId="3257991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（1）合同协议书；</w:t>
      </w:r>
    </w:p>
    <w:p w14:paraId="7D5B4BD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通知书（如果有）；</w:t>
      </w:r>
    </w:p>
    <w:p w14:paraId="34B7A02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（3）投标函及其附录（如果有）；</w:t>
      </w:r>
    </w:p>
    <w:p w14:paraId="70D6D5D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（4）专用合同条款</w:t>
      </w:r>
      <w:r>
        <w:rPr>
          <w:rFonts w:hint="eastAsia" w:asciiTheme="minorEastAsia" w:hAnsiTheme="minorEastAsia" w:eastAsiaTheme="minorEastAsia" w:cstheme="minorEastAsia"/>
          <w:color w:val="auto"/>
          <w:sz w:val="24"/>
          <w:szCs w:val="24"/>
          <w:highlight w:val="none"/>
        </w:rPr>
        <w:t>及其附件</w:t>
      </w:r>
      <w:r>
        <w:rPr>
          <w:rFonts w:hint="eastAsia" w:asciiTheme="minorEastAsia" w:hAnsiTheme="minorEastAsia" w:eastAsiaTheme="minorEastAsia" w:cstheme="minorEastAsia"/>
          <w:color w:val="auto"/>
          <w:kern w:val="0"/>
          <w:sz w:val="24"/>
          <w:szCs w:val="24"/>
          <w:highlight w:val="none"/>
        </w:rPr>
        <w:t>；</w:t>
      </w:r>
    </w:p>
    <w:p w14:paraId="63BD053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（5）通用合同条款；</w:t>
      </w:r>
    </w:p>
    <w:p w14:paraId="3F0B405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（6）技术标准和要求；</w:t>
      </w:r>
    </w:p>
    <w:p w14:paraId="1EF32EB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（7）图纸；</w:t>
      </w:r>
    </w:p>
    <w:p w14:paraId="4A21046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（8）已标价工程量清单或预算书；</w:t>
      </w:r>
    </w:p>
    <w:p w14:paraId="7452FAE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（9）其他合同文件。</w:t>
      </w:r>
    </w:p>
    <w:p w14:paraId="70B078B6">
      <w:pPr>
        <w:spacing w:line="360" w:lineRule="auto"/>
        <w:ind w:firstLine="511" w:firstLineChars="2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上述各项合同文件包括合同当事人就该项合同文件所作出的补充和修改，属于同一类内容的文件，应以最新签署的为准。</w:t>
      </w:r>
    </w:p>
    <w:p w14:paraId="2AFAF664">
      <w:pPr>
        <w:spacing w:line="360" w:lineRule="auto"/>
        <w:ind w:firstLine="511" w:firstLineChars="2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在合同订立及履行过程中形成的与合同有关的文件均构成合同文件组成部分，并根据其性质确定优先解释顺序。</w:t>
      </w:r>
    </w:p>
    <w:p w14:paraId="61F6E01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31" w:name="_Toc351203501"/>
      <w:bookmarkStart w:id="132" w:name="_Toc3791"/>
      <w:r>
        <w:rPr>
          <w:rFonts w:hint="eastAsia" w:asciiTheme="minorEastAsia" w:hAnsiTheme="minorEastAsia" w:eastAsiaTheme="minorEastAsia" w:cstheme="minorEastAsia"/>
          <w:b w:val="0"/>
          <w:color w:val="auto"/>
          <w:sz w:val="24"/>
          <w:szCs w:val="24"/>
          <w:highlight w:val="none"/>
        </w:rPr>
        <w:t>1</w:t>
      </w:r>
      <w:bookmarkStart w:id="133" w:name="_Toc296503032"/>
      <w:bookmarkStart w:id="134" w:name="_Toc337558732"/>
      <w:bookmarkStart w:id="135" w:name="_Toc296346533"/>
      <w:r>
        <w:rPr>
          <w:rFonts w:hint="eastAsia" w:asciiTheme="minorEastAsia" w:hAnsiTheme="minorEastAsia" w:eastAsiaTheme="minorEastAsia" w:cstheme="minorEastAsia"/>
          <w:b w:val="0"/>
          <w:color w:val="auto"/>
          <w:sz w:val="24"/>
          <w:szCs w:val="24"/>
          <w:highlight w:val="none"/>
        </w:rPr>
        <w:t>.6图纸和承包人文件</w:t>
      </w:r>
      <w:bookmarkEnd w:id="131"/>
      <w:bookmarkEnd w:id="132"/>
    </w:p>
    <w:bookmarkEnd w:id="133"/>
    <w:bookmarkEnd w:id="134"/>
    <w:bookmarkEnd w:id="135"/>
    <w:p w14:paraId="72E2EDCD">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36" w:name="_Toc18691"/>
      <w:r>
        <w:rPr>
          <w:rFonts w:hint="eastAsia" w:asciiTheme="minorEastAsia" w:hAnsiTheme="minorEastAsia" w:eastAsiaTheme="minorEastAsia" w:cstheme="minorEastAsia"/>
          <w:color w:val="auto"/>
          <w:kern w:val="0"/>
          <w:sz w:val="24"/>
          <w:szCs w:val="24"/>
          <w:highlight w:val="none"/>
        </w:rPr>
        <w:t>1.6.1 图纸的提供和交底</w:t>
      </w:r>
      <w:bookmarkEnd w:id="136"/>
    </w:p>
    <w:p w14:paraId="7D40033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88EC85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因发包人未按合同约定提供图纸导致承包人费用增加和（或）工期延误的，按照第7.5.1项〔因发包人原因导致工期延误〕约定办理。</w:t>
      </w:r>
    </w:p>
    <w:p w14:paraId="60F0FF21">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37" w:name="_Toc13739"/>
      <w:r>
        <w:rPr>
          <w:rFonts w:hint="eastAsia" w:asciiTheme="minorEastAsia" w:hAnsiTheme="minorEastAsia" w:eastAsiaTheme="minorEastAsia" w:cstheme="minorEastAsia"/>
          <w:color w:val="auto"/>
          <w:kern w:val="0"/>
          <w:sz w:val="24"/>
          <w:szCs w:val="24"/>
          <w:highlight w:val="none"/>
        </w:rPr>
        <w:t>1.6.2 图纸的错误</w:t>
      </w:r>
      <w:bookmarkEnd w:id="137"/>
    </w:p>
    <w:p w14:paraId="2D6FEA7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7D7545B">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38" w:name="_Toc16410"/>
      <w:r>
        <w:rPr>
          <w:rFonts w:hint="eastAsia" w:asciiTheme="minorEastAsia" w:hAnsiTheme="minorEastAsia" w:eastAsiaTheme="minorEastAsia" w:cstheme="minorEastAsia"/>
          <w:color w:val="auto"/>
          <w:kern w:val="0"/>
          <w:sz w:val="24"/>
          <w:szCs w:val="24"/>
          <w:highlight w:val="none"/>
        </w:rPr>
        <w:t>1.6.3 图纸的修改和补充</w:t>
      </w:r>
      <w:bookmarkEnd w:id="138"/>
    </w:p>
    <w:p w14:paraId="4FE2D09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1F061E1">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39" w:name="_Toc2311"/>
      <w:r>
        <w:rPr>
          <w:rFonts w:hint="eastAsia" w:asciiTheme="minorEastAsia" w:hAnsiTheme="minorEastAsia" w:eastAsiaTheme="minorEastAsia" w:cstheme="minorEastAsia"/>
          <w:color w:val="auto"/>
          <w:kern w:val="0"/>
          <w:sz w:val="24"/>
          <w:szCs w:val="24"/>
          <w:highlight w:val="none"/>
        </w:rPr>
        <w:t>1.6.4 承包人文件</w:t>
      </w:r>
      <w:bookmarkEnd w:id="139"/>
    </w:p>
    <w:p w14:paraId="7649C5B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3791CD9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E75E9B7">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40" w:name="_Toc10563"/>
      <w:r>
        <w:rPr>
          <w:rFonts w:hint="eastAsia" w:asciiTheme="minorEastAsia" w:hAnsiTheme="minorEastAsia" w:eastAsiaTheme="minorEastAsia" w:cstheme="minorEastAsia"/>
          <w:color w:val="auto"/>
          <w:kern w:val="0"/>
          <w:sz w:val="24"/>
          <w:szCs w:val="24"/>
          <w:highlight w:val="none"/>
        </w:rPr>
        <w:t>1.6.5 图纸和承包人文件的保管</w:t>
      </w:r>
      <w:bookmarkEnd w:id="140"/>
    </w:p>
    <w:p w14:paraId="2216152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除专用合同条款另有约定外，承包人应在施工现场另外保存一套完整的图纸和承包人文件，供发包人、监理人及有关人员进行工程检查时使用。</w:t>
      </w:r>
    </w:p>
    <w:p w14:paraId="2E0F1DF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41" w:name="_Toc31859"/>
      <w:bookmarkStart w:id="142" w:name="_Toc351203502"/>
      <w:r>
        <w:rPr>
          <w:rFonts w:hint="eastAsia" w:asciiTheme="minorEastAsia" w:hAnsiTheme="minorEastAsia" w:eastAsiaTheme="minorEastAsia" w:cstheme="minorEastAsia"/>
          <w:b w:val="0"/>
          <w:color w:val="auto"/>
          <w:sz w:val="24"/>
          <w:szCs w:val="24"/>
          <w:highlight w:val="none"/>
        </w:rPr>
        <w:t>1</w:t>
      </w:r>
      <w:bookmarkStart w:id="143" w:name="_Toc337558733"/>
      <w:bookmarkStart w:id="144" w:name="_Toc296346534"/>
      <w:bookmarkStart w:id="145" w:name="_Toc296503033"/>
      <w:r>
        <w:rPr>
          <w:rFonts w:hint="eastAsia" w:asciiTheme="minorEastAsia" w:hAnsiTheme="minorEastAsia" w:eastAsiaTheme="minorEastAsia" w:cstheme="minorEastAsia"/>
          <w:b w:val="0"/>
          <w:color w:val="auto"/>
          <w:sz w:val="24"/>
          <w:szCs w:val="24"/>
          <w:highlight w:val="none"/>
        </w:rPr>
        <w:t>.7联络</w:t>
      </w:r>
      <w:bookmarkEnd w:id="141"/>
      <w:bookmarkEnd w:id="142"/>
    </w:p>
    <w:bookmarkEnd w:id="143"/>
    <w:bookmarkEnd w:id="144"/>
    <w:bookmarkEnd w:id="145"/>
    <w:p w14:paraId="46CC440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 与合同有关的通知、批准、证明、证书、指示、指令、要求、请求、同意、意见、确定和决定等，均应采用书面形式，并应在合同约定的期限内送达接收人和送达地点。</w:t>
      </w:r>
    </w:p>
    <w:p w14:paraId="06A83B9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793FEC5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1.7.3 发包人和承包人应当及时签收另一方</w:t>
      </w:r>
      <w:r>
        <w:rPr>
          <w:rFonts w:hint="eastAsia" w:asciiTheme="minorEastAsia" w:hAnsiTheme="minorEastAsia" w:eastAsiaTheme="minorEastAsia" w:cstheme="minorEastAsia"/>
          <w:color w:val="auto"/>
          <w:kern w:val="0"/>
          <w:sz w:val="24"/>
          <w:szCs w:val="24"/>
          <w:highlight w:val="none"/>
          <w:lang w:eastAsia="zh-CN"/>
        </w:rPr>
        <w:t>送达</w:t>
      </w:r>
      <w:r>
        <w:rPr>
          <w:rFonts w:hint="eastAsia" w:asciiTheme="minorEastAsia" w:hAnsiTheme="minorEastAsia" w:eastAsiaTheme="minorEastAsia" w:cstheme="minorEastAsia"/>
          <w:color w:val="auto"/>
          <w:kern w:val="0"/>
          <w:sz w:val="24"/>
          <w:szCs w:val="24"/>
          <w:highlight w:val="none"/>
        </w:rPr>
        <w:t>送达地点和指定接收人的来往信函。拒不签收的，由此增加的费用和（或）延误的工期由拒绝接收一方承担。</w:t>
      </w:r>
    </w:p>
    <w:p w14:paraId="49BB5D2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46" w:name="_Toc351203503"/>
      <w:bookmarkStart w:id="147" w:name="_Toc14444"/>
      <w:r>
        <w:rPr>
          <w:rFonts w:hint="eastAsia" w:asciiTheme="minorEastAsia" w:hAnsiTheme="minorEastAsia" w:eastAsiaTheme="minorEastAsia" w:cstheme="minorEastAsia"/>
          <w:b w:val="0"/>
          <w:color w:val="auto"/>
          <w:sz w:val="24"/>
          <w:szCs w:val="24"/>
          <w:highlight w:val="none"/>
        </w:rPr>
        <w:t>1</w:t>
      </w:r>
      <w:bookmarkStart w:id="148" w:name="_Toc296346536"/>
      <w:bookmarkStart w:id="149" w:name="_Toc337558734"/>
      <w:bookmarkStart w:id="150" w:name="_Toc296503035"/>
      <w:r>
        <w:rPr>
          <w:rFonts w:hint="eastAsia" w:asciiTheme="minorEastAsia" w:hAnsiTheme="minorEastAsia" w:eastAsiaTheme="minorEastAsia" w:cstheme="minorEastAsia"/>
          <w:b w:val="0"/>
          <w:color w:val="auto"/>
          <w:sz w:val="24"/>
          <w:szCs w:val="24"/>
          <w:highlight w:val="none"/>
        </w:rPr>
        <w:t>.8严禁贿赂</w:t>
      </w:r>
      <w:bookmarkEnd w:id="146"/>
      <w:bookmarkEnd w:id="147"/>
    </w:p>
    <w:bookmarkEnd w:id="148"/>
    <w:bookmarkEnd w:id="149"/>
    <w:bookmarkEnd w:id="150"/>
    <w:p w14:paraId="2DC97A8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14:paraId="15F419D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5956F844">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51" w:name="_Toc12375"/>
      <w:bookmarkStart w:id="152" w:name="_Toc351203504"/>
      <w:r>
        <w:rPr>
          <w:rFonts w:hint="eastAsia" w:asciiTheme="minorEastAsia" w:hAnsiTheme="minorEastAsia" w:eastAsiaTheme="minorEastAsia" w:cstheme="minorEastAsia"/>
          <w:b w:val="0"/>
          <w:color w:val="auto"/>
          <w:sz w:val="24"/>
          <w:szCs w:val="24"/>
          <w:highlight w:val="none"/>
        </w:rPr>
        <w:t>1</w:t>
      </w:r>
      <w:bookmarkStart w:id="153" w:name="_Toc296503036"/>
      <w:bookmarkStart w:id="154" w:name="_Toc296346537"/>
      <w:bookmarkStart w:id="155" w:name="_Toc337558735"/>
      <w:r>
        <w:rPr>
          <w:rFonts w:hint="eastAsia" w:asciiTheme="minorEastAsia" w:hAnsiTheme="minorEastAsia" w:eastAsiaTheme="minorEastAsia" w:cstheme="minorEastAsia"/>
          <w:b w:val="0"/>
          <w:color w:val="auto"/>
          <w:sz w:val="24"/>
          <w:szCs w:val="24"/>
          <w:highlight w:val="none"/>
        </w:rPr>
        <w:t>.9化石、文物</w:t>
      </w:r>
      <w:bookmarkEnd w:id="151"/>
      <w:bookmarkEnd w:id="152"/>
    </w:p>
    <w:bookmarkEnd w:id="153"/>
    <w:bookmarkEnd w:id="154"/>
    <w:bookmarkEnd w:id="155"/>
    <w:p w14:paraId="322FDD2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521A01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发包人、监理人和承包人应按有关政府行政管理部门要求采取妥善的保护措施，由此增加的费用和（或）延误的工期由发包人承担。</w:t>
      </w:r>
    </w:p>
    <w:p w14:paraId="5C07904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承包人发现文物后不及时报告或隐瞒不报，致使文物丢失或损坏的，应赔偿损失，并承担相应的法律责任。</w:t>
      </w:r>
    </w:p>
    <w:p w14:paraId="2BFEC737">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56" w:name="_Toc351203505"/>
      <w:bookmarkStart w:id="157" w:name="_Toc8129"/>
      <w:r>
        <w:rPr>
          <w:rFonts w:hint="eastAsia" w:asciiTheme="minorEastAsia" w:hAnsiTheme="minorEastAsia" w:eastAsiaTheme="minorEastAsia" w:cstheme="minorEastAsia"/>
          <w:b w:val="0"/>
          <w:color w:val="auto"/>
          <w:sz w:val="24"/>
          <w:szCs w:val="24"/>
          <w:highlight w:val="none"/>
        </w:rPr>
        <w:t>1</w:t>
      </w:r>
      <w:bookmarkStart w:id="158" w:name="_Toc337558736"/>
      <w:r>
        <w:rPr>
          <w:rFonts w:hint="eastAsia" w:asciiTheme="minorEastAsia" w:hAnsiTheme="minorEastAsia" w:eastAsiaTheme="minorEastAsia" w:cstheme="minorEastAsia"/>
          <w:b w:val="0"/>
          <w:color w:val="auto"/>
          <w:sz w:val="24"/>
          <w:szCs w:val="24"/>
          <w:highlight w:val="none"/>
        </w:rPr>
        <w:t>.10交通运输</w:t>
      </w:r>
      <w:bookmarkEnd w:id="156"/>
      <w:bookmarkEnd w:id="157"/>
    </w:p>
    <w:bookmarkEnd w:id="158"/>
    <w:p w14:paraId="479FB198">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59" w:name="_Toc31729"/>
      <w:r>
        <w:rPr>
          <w:rFonts w:hint="eastAsia" w:asciiTheme="minorEastAsia" w:hAnsiTheme="minorEastAsia" w:eastAsiaTheme="minorEastAsia" w:cstheme="minorEastAsia"/>
          <w:color w:val="auto"/>
          <w:kern w:val="0"/>
          <w:sz w:val="24"/>
          <w:szCs w:val="24"/>
          <w:highlight w:val="none"/>
        </w:rPr>
        <w:t>1.10.1 出入现场的权利</w:t>
      </w:r>
      <w:bookmarkEnd w:id="159"/>
    </w:p>
    <w:p w14:paraId="77D6A4A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FF1756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A532B28">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60" w:name="_Toc6216"/>
      <w:r>
        <w:rPr>
          <w:rFonts w:hint="eastAsia" w:asciiTheme="minorEastAsia" w:hAnsiTheme="minorEastAsia" w:eastAsiaTheme="minorEastAsia" w:cstheme="minorEastAsia"/>
          <w:color w:val="auto"/>
          <w:kern w:val="0"/>
          <w:sz w:val="24"/>
          <w:szCs w:val="24"/>
          <w:highlight w:val="none"/>
        </w:rPr>
        <w:t>1.10.2 场外交通</w:t>
      </w:r>
      <w:bookmarkEnd w:id="160"/>
    </w:p>
    <w:p w14:paraId="5A81BFC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1CB7E44">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61" w:name="_Toc24579"/>
      <w:r>
        <w:rPr>
          <w:rFonts w:hint="eastAsia" w:asciiTheme="minorEastAsia" w:hAnsiTheme="minorEastAsia" w:eastAsiaTheme="minorEastAsia" w:cstheme="minorEastAsia"/>
          <w:color w:val="auto"/>
          <w:kern w:val="0"/>
          <w:sz w:val="24"/>
          <w:szCs w:val="24"/>
          <w:highlight w:val="none"/>
        </w:rPr>
        <w:t>1.10.3场内交通</w:t>
      </w:r>
      <w:bookmarkEnd w:id="161"/>
    </w:p>
    <w:p w14:paraId="3272538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AD2B82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21234A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场外交通和场内交通的边界由合同当事人在专用合同条款中约定。</w:t>
      </w:r>
    </w:p>
    <w:p w14:paraId="287D2759">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62" w:name="_Toc25662"/>
      <w:r>
        <w:rPr>
          <w:rFonts w:hint="eastAsia" w:asciiTheme="minorEastAsia" w:hAnsiTheme="minorEastAsia" w:eastAsiaTheme="minorEastAsia" w:cstheme="minorEastAsia"/>
          <w:color w:val="auto"/>
          <w:kern w:val="0"/>
          <w:sz w:val="24"/>
          <w:szCs w:val="24"/>
          <w:highlight w:val="none"/>
        </w:rPr>
        <w:t>1.10.4 超大件和超重件的运输</w:t>
      </w:r>
      <w:bookmarkEnd w:id="162"/>
    </w:p>
    <w:p w14:paraId="14DBE2E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C220631">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63" w:name="_Toc28723"/>
      <w:r>
        <w:rPr>
          <w:rFonts w:hint="eastAsia" w:asciiTheme="minorEastAsia" w:hAnsiTheme="minorEastAsia" w:eastAsiaTheme="minorEastAsia" w:cstheme="minorEastAsia"/>
          <w:color w:val="auto"/>
          <w:kern w:val="0"/>
          <w:sz w:val="24"/>
          <w:szCs w:val="24"/>
          <w:highlight w:val="none"/>
        </w:rPr>
        <w:t>1.10.5 道路和桥梁的损坏责任</w:t>
      </w:r>
      <w:bookmarkEnd w:id="163"/>
    </w:p>
    <w:p w14:paraId="7FA79D5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因承包人运输造成施工场地内外公共道路和桥梁损坏的，由承包人承担修复损坏的全部费用和可能引起的赔偿。</w:t>
      </w:r>
    </w:p>
    <w:p w14:paraId="0128356B">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64" w:name="_Toc16786"/>
      <w:r>
        <w:rPr>
          <w:rFonts w:hint="eastAsia" w:asciiTheme="minorEastAsia" w:hAnsiTheme="minorEastAsia" w:eastAsiaTheme="minorEastAsia" w:cstheme="minorEastAsia"/>
          <w:color w:val="auto"/>
          <w:kern w:val="0"/>
          <w:sz w:val="24"/>
          <w:szCs w:val="24"/>
          <w:highlight w:val="none"/>
        </w:rPr>
        <w:t>1.10.6 水路和航空运输</w:t>
      </w:r>
      <w:bookmarkEnd w:id="164"/>
    </w:p>
    <w:p w14:paraId="7962678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本款前述各项的内容适用于水路运输和航空运输，其中“道路”一词的</w:t>
      </w:r>
      <w:r>
        <w:rPr>
          <w:rFonts w:hint="eastAsia" w:asciiTheme="minorEastAsia" w:hAnsiTheme="minorEastAsia" w:eastAsiaTheme="minorEastAsia" w:cstheme="minorEastAsia"/>
          <w:color w:val="auto"/>
          <w:kern w:val="0"/>
          <w:sz w:val="24"/>
          <w:szCs w:val="24"/>
          <w:highlight w:val="none"/>
          <w:lang w:eastAsia="zh-CN"/>
        </w:rPr>
        <w:t>含义</w:t>
      </w:r>
      <w:r>
        <w:rPr>
          <w:rFonts w:hint="eastAsia" w:asciiTheme="minorEastAsia" w:hAnsiTheme="minorEastAsia" w:eastAsiaTheme="minorEastAsia" w:cstheme="minorEastAsia"/>
          <w:color w:val="auto"/>
          <w:kern w:val="0"/>
          <w:sz w:val="24"/>
          <w:szCs w:val="24"/>
          <w:highlight w:val="none"/>
        </w:rPr>
        <w:t>包括河道、航线、船闸、机场、码头、堤防以及水路或航空运输中其他相似结构物；“车辆”一词的</w:t>
      </w:r>
      <w:r>
        <w:rPr>
          <w:rFonts w:hint="eastAsia" w:asciiTheme="minorEastAsia" w:hAnsiTheme="minorEastAsia" w:eastAsiaTheme="minorEastAsia" w:cstheme="minorEastAsia"/>
          <w:color w:val="auto"/>
          <w:kern w:val="0"/>
          <w:sz w:val="24"/>
          <w:szCs w:val="24"/>
          <w:highlight w:val="none"/>
          <w:lang w:eastAsia="zh-CN"/>
        </w:rPr>
        <w:t>含义</w:t>
      </w:r>
      <w:r>
        <w:rPr>
          <w:rFonts w:hint="eastAsia" w:asciiTheme="minorEastAsia" w:hAnsiTheme="minorEastAsia" w:eastAsiaTheme="minorEastAsia" w:cstheme="minorEastAsia"/>
          <w:color w:val="auto"/>
          <w:kern w:val="0"/>
          <w:sz w:val="24"/>
          <w:szCs w:val="24"/>
          <w:highlight w:val="none"/>
        </w:rPr>
        <w:t>包括船舶和飞机等。</w:t>
      </w:r>
    </w:p>
    <w:p w14:paraId="1BCAD50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65" w:name="_Toc351203506"/>
      <w:bookmarkStart w:id="166" w:name="_Toc28717"/>
      <w:r>
        <w:rPr>
          <w:rFonts w:hint="eastAsia" w:asciiTheme="minorEastAsia" w:hAnsiTheme="minorEastAsia" w:eastAsiaTheme="minorEastAsia" w:cstheme="minorEastAsia"/>
          <w:b w:val="0"/>
          <w:color w:val="auto"/>
          <w:sz w:val="24"/>
          <w:szCs w:val="24"/>
          <w:highlight w:val="none"/>
        </w:rPr>
        <w:t>1</w:t>
      </w:r>
      <w:bookmarkStart w:id="167" w:name="_Toc337558737"/>
      <w:bookmarkStart w:id="168" w:name="_Toc296346538"/>
      <w:bookmarkStart w:id="169" w:name="_Toc296503037"/>
      <w:r>
        <w:rPr>
          <w:rFonts w:hint="eastAsia" w:asciiTheme="minorEastAsia" w:hAnsiTheme="minorEastAsia" w:eastAsiaTheme="minorEastAsia" w:cstheme="minorEastAsia"/>
          <w:b w:val="0"/>
          <w:color w:val="auto"/>
          <w:sz w:val="24"/>
          <w:szCs w:val="24"/>
          <w:highlight w:val="none"/>
        </w:rPr>
        <w:t>.11知识产权</w:t>
      </w:r>
      <w:bookmarkEnd w:id="165"/>
      <w:bookmarkEnd w:id="166"/>
      <w:r>
        <w:rPr>
          <w:rFonts w:hint="eastAsia" w:asciiTheme="minorEastAsia" w:hAnsiTheme="minorEastAsia" w:eastAsiaTheme="minorEastAsia" w:cstheme="minorEastAsia"/>
          <w:b w:val="0"/>
          <w:color w:val="auto"/>
          <w:sz w:val="24"/>
          <w:szCs w:val="24"/>
          <w:highlight w:val="none"/>
        </w:rPr>
        <w:t xml:space="preserve"> </w:t>
      </w:r>
      <w:bookmarkEnd w:id="167"/>
    </w:p>
    <w:bookmarkEnd w:id="168"/>
    <w:bookmarkEnd w:id="169"/>
    <w:p w14:paraId="092ABE6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64F30D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178846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FF71FE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1.11.4 除专用合同条款另有约定外，承包人在合同签订前和签订时已确定采用的专利、专有技术、技术秘密的使用费已包含在签约合同价中。</w:t>
      </w:r>
    </w:p>
    <w:p w14:paraId="10A5DB54">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70" w:name="_Toc351203507"/>
      <w:bookmarkStart w:id="171" w:name="_Toc13545"/>
      <w:r>
        <w:rPr>
          <w:rFonts w:hint="eastAsia" w:asciiTheme="minorEastAsia" w:hAnsiTheme="minorEastAsia" w:eastAsiaTheme="minorEastAsia" w:cstheme="minorEastAsia"/>
          <w:b w:val="0"/>
          <w:color w:val="auto"/>
          <w:sz w:val="24"/>
          <w:szCs w:val="24"/>
          <w:highlight w:val="none"/>
        </w:rPr>
        <w:t>1</w:t>
      </w:r>
      <w:bookmarkStart w:id="172" w:name="_Toc337558738"/>
      <w:r>
        <w:rPr>
          <w:rFonts w:hint="eastAsia" w:asciiTheme="minorEastAsia" w:hAnsiTheme="minorEastAsia" w:eastAsiaTheme="minorEastAsia" w:cstheme="minorEastAsia"/>
          <w:b w:val="0"/>
          <w:color w:val="auto"/>
          <w:sz w:val="24"/>
          <w:szCs w:val="24"/>
          <w:highlight w:val="none"/>
        </w:rPr>
        <w:t>.12保密</w:t>
      </w:r>
      <w:bookmarkEnd w:id="170"/>
      <w:bookmarkEnd w:id="171"/>
    </w:p>
    <w:bookmarkEnd w:id="172"/>
    <w:p w14:paraId="1F69EA8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除法律规定或合同另有约定外，未经发包人同意，承包人不得将发包人提供的图纸、文件以及声明需要保密的资料信息等商业秘密泄露给第三方。</w:t>
      </w:r>
    </w:p>
    <w:p w14:paraId="0599810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除法律规定或合同另有约定外，未经承包人同意，发包人不得将承包人提供的技术秘密及声明需要保密的资料信息等商业秘密泄露给第三方。</w:t>
      </w:r>
    </w:p>
    <w:p w14:paraId="71DFA91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73" w:name="_Toc2814"/>
      <w:bookmarkStart w:id="174" w:name="_Toc351203508"/>
      <w:r>
        <w:rPr>
          <w:rFonts w:hint="eastAsia" w:asciiTheme="minorEastAsia" w:hAnsiTheme="minorEastAsia" w:eastAsiaTheme="minorEastAsia" w:cstheme="minorEastAsia"/>
          <w:b w:val="0"/>
          <w:color w:val="auto"/>
          <w:sz w:val="24"/>
          <w:szCs w:val="24"/>
          <w:highlight w:val="none"/>
        </w:rPr>
        <w:t>1.13工程量清单错误的修正</w:t>
      </w:r>
      <w:bookmarkEnd w:id="173"/>
      <w:bookmarkEnd w:id="174"/>
    </w:p>
    <w:p w14:paraId="218ACB7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除专用合同条款另有约定外，发包人提供的工程量清单，应被认为是准确的和完整的。出现下列情形之一时，发包人应予以修正，并相应调整合同价格：</w:t>
      </w:r>
    </w:p>
    <w:p w14:paraId="011DD50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（1）工程量清单存在缺项、漏项的；</w:t>
      </w:r>
    </w:p>
    <w:p w14:paraId="2DF766C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（2）工程量清单偏差超出专用合同条款约定的工程量偏差范围的；</w:t>
      </w:r>
    </w:p>
    <w:p w14:paraId="019D63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（3）未按照国家现行计量规范强制性规定计量的。</w:t>
      </w:r>
    </w:p>
    <w:p w14:paraId="54729A95">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75" w:name="_Toc351203509"/>
      <w:bookmarkStart w:id="176" w:name="_Toc6672"/>
      <w:r>
        <w:rPr>
          <w:rFonts w:hint="eastAsia" w:asciiTheme="minorEastAsia" w:hAnsiTheme="minorEastAsia" w:eastAsiaTheme="minorEastAsia" w:cstheme="minorEastAsia"/>
          <w:b w:val="0"/>
          <w:color w:val="auto"/>
          <w:sz w:val="24"/>
          <w:szCs w:val="24"/>
          <w:highlight w:val="none"/>
        </w:rPr>
        <w:t>2</w:t>
      </w:r>
      <w:bookmarkStart w:id="177" w:name="_Toc296503038"/>
      <w:bookmarkStart w:id="178" w:name="_Toc337558739"/>
      <w:bookmarkStart w:id="179" w:name="_Toc296346539"/>
      <w:bookmarkStart w:id="180" w:name="OLE_LINK2"/>
      <w:bookmarkStart w:id="181" w:name="OLE_LINK1"/>
      <w:r>
        <w:rPr>
          <w:rFonts w:hint="eastAsia" w:asciiTheme="minorEastAsia" w:hAnsiTheme="minorEastAsia" w:eastAsiaTheme="minorEastAsia" w:cstheme="minorEastAsia"/>
          <w:b w:val="0"/>
          <w:color w:val="auto"/>
          <w:sz w:val="24"/>
          <w:szCs w:val="24"/>
          <w:highlight w:val="none"/>
        </w:rPr>
        <w:t>. 发包人</w:t>
      </w:r>
      <w:bookmarkEnd w:id="175"/>
      <w:bookmarkEnd w:id="176"/>
    </w:p>
    <w:bookmarkEnd w:id="177"/>
    <w:bookmarkEnd w:id="178"/>
    <w:bookmarkEnd w:id="179"/>
    <w:p w14:paraId="0D696AC7">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82" w:name="_Toc351203510"/>
      <w:bookmarkStart w:id="183" w:name="_Toc32339"/>
      <w:r>
        <w:rPr>
          <w:rFonts w:hint="eastAsia" w:asciiTheme="minorEastAsia" w:hAnsiTheme="minorEastAsia" w:eastAsiaTheme="minorEastAsia" w:cstheme="minorEastAsia"/>
          <w:b w:val="0"/>
          <w:color w:val="auto"/>
          <w:sz w:val="24"/>
          <w:szCs w:val="24"/>
          <w:highlight w:val="none"/>
        </w:rPr>
        <w:t>2</w:t>
      </w:r>
      <w:bookmarkStart w:id="184" w:name="_Toc337558740"/>
      <w:bookmarkStart w:id="185" w:name="_Toc296346540"/>
      <w:bookmarkStart w:id="186" w:name="_Toc296503039"/>
      <w:r>
        <w:rPr>
          <w:rFonts w:hint="eastAsia" w:asciiTheme="minorEastAsia" w:hAnsiTheme="minorEastAsia" w:eastAsiaTheme="minorEastAsia" w:cstheme="minorEastAsia"/>
          <w:b w:val="0"/>
          <w:color w:val="auto"/>
          <w:sz w:val="24"/>
          <w:szCs w:val="24"/>
          <w:highlight w:val="none"/>
        </w:rPr>
        <w:t>.1 许可或批准</w:t>
      </w:r>
      <w:bookmarkEnd w:id="182"/>
      <w:bookmarkEnd w:id="183"/>
    </w:p>
    <w:p w14:paraId="5FE8288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FE8C08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因发包人原因未能及时办理完毕前述许可、批准或备案，由发包人承担由此增加的费用和（或）延误的工期，并支付承包人合理的利润。</w:t>
      </w:r>
    </w:p>
    <w:p w14:paraId="564090A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87" w:name="_Toc351203511"/>
      <w:bookmarkStart w:id="188" w:name="_Toc3282"/>
      <w:r>
        <w:rPr>
          <w:rFonts w:hint="eastAsia" w:asciiTheme="minorEastAsia" w:hAnsiTheme="minorEastAsia" w:eastAsiaTheme="minorEastAsia" w:cstheme="minorEastAsia"/>
          <w:b w:val="0"/>
          <w:color w:val="auto"/>
          <w:sz w:val="24"/>
          <w:szCs w:val="24"/>
          <w:highlight w:val="none"/>
        </w:rPr>
        <w:t>2.2 发包人代表</w:t>
      </w:r>
      <w:bookmarkEnd w:id="187"/>
      <w:bookmarkEnd w:id="188"/>
    </w:p>
    <w:p w14:paraId="1419C92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6ED063C">
      <w:pPr>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发包人代表不能按照合同约定履行其职责及义务，并导致合同无法继续正常履行的，承包人可以要求发包人撤换发包人代表。</w:t>
      </w:r>
    </w:p>
    <w:p w14:paraId="048B2839">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不属于法定必须监理的工程，监理人的职权可以由发包人代表或发包人指定的其他人员行使。</w:t>
      </w:r>
    </w:p>
    <w:p w14:paraId="6CD9C257">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89" w:name="_Toc8303"/>
      <w:bookmarkStart w:id="190" w:name="_Toc351203512"/>
      <w:r>
        <w:rPr>
          <w:rFonts w:hint="eastAsia" w:asciiTheme="minorEastAsia" w:hAnsiTheme="minorEastAsia" w:eastAsiaTheme="minorEastAsia" w:cstheme="minorEastAsia"/>
          <w:b w:val="0"/>
          <w:color w:val="auto"/>
          <w:sz w:val="24"/>
          <w:szCs w:val="24"/>
          <w:highlight w:val="none"/>
        </w:rPr>
        <w:t>2.3 发包人人员</w:t>
      </w:r>
      <w:bookmarkEnd w:id="189"/>
      <w:bookmarkEnd w:id="190"/>
    </w:p>
    <w:p w14:paraId="0EB5060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14C1C865">
      <w:pPr>
        <w:spacing w:line="360" w:lineRule="auto"/>
        <w:ind w:firstLine="64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发包人人员包括发包人代表及其他由发包人派驻施工现场的人员。</w:t>
      </w:r>
      <w:bookmarkEnd w:id="184"/>
      <w:bookmarkEnd w:id="185"/>
      <w:bookmarkEnd w:id="186"/>
    </w:p>
    <w:p w14:paraId="620000B6">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191" w:name="_Toc351203513"/>
      <w:bookmarkStart w:id="192" w:name="_Toc5500"/>
      <w:r>
        <w:rPr>
          <w:rFonts w:hint="eastAsia" w:asciiTheme="minorEastAsia" w:hAnsiTheme="minorEastAsia" w:eastAsiaTheme="minorEastAsia" w:cstheme="minorEastAsia"/>
          <w:b w:val="0"/>
          <w:color w:val="auto"/>
          <w:sz w:val="24"/>
          <w:szCs w:val="24"/>
          <w:highlight w:val="none"/>
        </w:rPr>
        <w:t>2</w:t>
      </w:r>
      <w:bookmarkStart w:id="193" w:name="_Toc337558741"/>
      <w:bookmarkStart w:id="194" w:name="_Toc296346541"/>
      <w:bookmarkStart w:id="195" w:name="_Toc296503040"/>
      <w:r>
        <w:rPr>
          <w:rFonts w:hint="eastAsia" w:asciiTheme="minorEastAsia" w:hAnsiTheme="minorEastAsia" w:eastAsiaTheme="minorEastAsia" w:cstheme="minorEastAsia"/>
          <w:b w:val="0"/>
          <w:color w:val="auto"/>
          <w:sz w:val="24"/>
          <w:szCs w:val="24"/>
          <w:highlight w:val="none"/>
        </w:rPr>
        <w:t>.4 施工现场、施工条件和基础资料的提供</w:t>
      </w:r>
      <w:bookmarkEnd w:id="191"/>
      <w:bookmarkEnd w:id="192"/>
      <w:r>
        <w:rPr>
          <w:rFonts w:hint="eastAsia" w:asciiTheme="minorEastAsia" w:hAnsiTheme="minorEastAsia" w:eastAsiaTheme="minorEastAsia" w:cstheme="minorEastAsia"/>
          <w:b w:val="0"/>
          <w:color w:val="auto"/>
          <w:sz w:val="24"/>
          <w:szCs w:val="24"/>
          <w:highlight w:val="none"/>
        </w:rPr>
        <w:t xml:space="preserve"> </w:t>
      </w:r>
      <w:bookmarkEnd w:id="193"/>
      <w:bookmarkEnd w:id="194"/>
      <w:bookmarkEnd w:id="195"/>
      <w:r>
        <w:rPr>
          <w:rFonts w:hint="eastAsia" w:asciiTheme="minorEastAsia" w:hAnsiTheme="minorEastAsia" w:eastAsiaTheme="minorEastAsia" w:cstheme="minorEastAsia"/>
          <w:b w:val="0"/>
          <w:color w:val="auto"/>
          <w:sz w:val="24"/>
          <w:szCs w:val="24"/>
          <w:highlight w:val="none"/>
        </w:rPr>
        <w:t xml:space="preserve"> </w:t>
      </w:r>
    </w:p>
    <w:p w14:paraId="482AC82A">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96" w:name="_Toc7961"/>
      <w:r>
        <w:rPr>
          <w:rFonts w:hint="eastAsia" w:asciiTheme="minorEastAsia" w:hAnsiTheme="minorEastAsia" w:eastAsiaTheme="minorEastAsia" w:cstheme="minorEastAsia"/>
          <w:color w:val="auto"/>
          <w:kern w:val="0"/>
          <w:sz w:val="24"/>
          <w:szCs w:val="24"/>
          <w:highlight w:val="none"/>
        </w:rPr>
        <w:t>2.4.1 提供施工现场</w:t>
      </w:r>
      <w:bookmarkEnd w:id="196"/>
    </w:p>
    <w:p w14:paraId="355E35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w:t>
      </w:r>
      <w:bookmarkEnd w:id="180"/>
      <w:bookmarkEnd w:id="181"/>
      <w:r>
        <w:rPr>
          <w:rFonts w:hint="eastAsia" w:asciiTheme="minorEastAsia" w:hAnsiTheme="minorEastAsia" w:eastAsiaTheme="minorEastAsia" w:cstheme="minorEastAsia"/>
          <w:color w:val="auto"/>
          <w:kern w:val="0"/>
          <w:sz w:val="24"/>
          <w:szCs w:val="24"/>
          <w:highlight w:val="none"/>
        </w:rPr>
        <w:t>专用合同条款另有约定外，发包人应最迟于开工日期7天前向承包人移交施工现场。</w:t>
      </w:r>
    </w:p>
    <w:p w14:paraId="2B05B19B">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97" w:name="_Toc7841"/>
      <w:r>
        <w:rPr>
          <w:rFonts w:hint="eastAsia" w:asciiTheme="minorEastAsia" w:hAnsiTheme="minorEastAsia" w:eastAsiaTheme="minorEastAsia" w:cstheme="minorEastAsia"/>
          <w:color w:val="auto"/>
          <w:kern w:val="0"/>
          <w:sz w:val="24"/>
          <w:szCs w:val="24"/>
          <w:highlight w:val="none"/>
        </w:rPr>
        <w:t>2.4.2 提供施工条件</w:t>
      </w:r>
      <w:bookmarkEnd w:id="197"/>
    </w:p>
    <w:p w14:paraId="7C95612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除专用合同条款另有约定外，发包人应负责提供施工所需要的条件，包括：</w:t>
      </w:r>
    </w:p>
    <w:p w14:paraId="694321C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（1）将施工用水、电力、通讯线路等施工所必需的条件接至施工现场内；</w:t>
      </w:r>
    </w:p>
    <w:p w14:paraId="1E26F2C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（2）保证向承包人提供正常施工所需要的进入施工现场的交通条件；</w:t>
      </w:r>
    </w:p>
    <w:p w14:paraId="2978AC3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（3）协调处理施工现场周围地下管线和邻近建筑物、构筑物、</w:t>
      </w:r>
      <w:r>
        <w:rPr>
          <w:rFonts w:hint="eastAsia" w:asciiTheme="minorEastAsia" w:hAnsiTheme="minorEastAsia" w:eastAsiaTheme="minorEastAsia" w:cstheme="minorEastAsia"/>
          <w:color w:val="auto"/>
          <w:kern w:val="0"/>
          <w:sz w:val="24"/>
          <w:szCs w:val="24"/>
          <w:highlight w:val="none"/>
          <w:lang w:eastAsia="zh-CN"/>
        </w:rPr>
        <w:t>古树名木保护</w:t>
      </w:r>
      <w:r>
        <w:rPr>
          <w:rFonts w:hint="eastAsia" w:asciiTheme="minorEastAsia" w:hAnsiTheme="minorEastAsia" w:eastAsiaTheme="minorEastAsia" w:cstheme="minorEastAsia"/>
          <w:color w:val="auto"/>
          <w:kern w:val="0"/>
          <w:sz w:val="24"/>
          <w:szCs w:val="24"/>
          <w:highlight w:val="none"/>
        </w:rPr>
        <w:t>工作，并承担相关费用；</w:t>
      </w:r>
    </w:p>
    <w:p w14:paraId="6C1E938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（4）按照专用合同条款约定应提供的其他设施和条件。</w:t>
      </w:r>
    </w:p>
    <w:p w14:paraId="36536503">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98" w:name="_Toc1758"/>
      <w:r>
        <w:rPr>
          <w:rFonts w:hint="eastAsia" w:asciiTheme="minorEastAsia" w:hAnsiTheme="minorEastAsia" w:eastAsiaTheme="minorEastAsia" w:cstheme="minorEastAsia"/>
          <w:color w:val="auto"/>
          <w:kern w:val="0"/>
          <w:sz w:val="24"/>
          <w:szCs w:val="24"/>
          <w:highlight w:val="none"/>
        </w:rPr>
        <w:t>2.4.3 提供基础资料</w:t>
      </w:r>
      <w:bookmarkEnd w:id="198"/>
    </w:p>
    <w:p w14:paraId="0A69687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EE2C4A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2472C518">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99" w:name="_Toc9688"/>
      <w:r>
        <w:rPr>
          <w:rFonts w:hint="eastAsia" w:asciiTheme="minorEastAsia" w:hAnsiTheme="minorEastAsia" w:eastAsiaTheme="minorEastAsia" w:cstheme="minorEastAsia"/>
          <w:color w:val="auto"/>
          <w:kern w:val="0"/>
          <w:sz w:val="24"/>
          <w:szCs w:val="24"/>
          <w:highlight w:val="none"/>
        </w:rPr>
        <w:t>2.4.4 逾期提供的责任</w:t>
      </w:r>
      <w:bookmarkEnd w:id="199"/>
    </w:p>
    <w:p w14:paraId="1388167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因发包人原因未能按合同约定及时向承包人提供施工现场、施工条件、基础资料的，由发包人承担由此增加的费用和（或）延误的工期。</w:t>
      </w:r>
    </w:p>
    <w:p w14:paraId="52764F53">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00" w:name="_Toc351203514"/>
      <w:bookmarkStart w:id="201" w:name="_Toc23881"/>
      <w:r>
        <w:rPr>
          <w:rFonts w:hint="eastAsia" w:asciiTheme="minorEastAsia" w:hAnsiTheme="minorEastAsia" w:eastAsiaTheme="minorEastAsia" w:cstheme="minorEastAsia"/>
          <w:b w:val="0"/>
          <w:color w:val="auto"/>
          <w:sz w:val="24"/>
          <w:szCs w:val="24"/>
          <w:highlight w:val="none"/>
        </w:rPr>
        <w:t>2</w:t>
      </w:r>
      <w:bookmarkStart w:id="202" w:name="_Toc296346543"/>
      <w:bookmarkStart w:id="203" w:name="_Toc337558745"/>
      <w:bookmarkStart w:id="204" w:name="_Toc296503042"/>
      <w:r>
        <w:rPr>
          <w:rFonts w:hint="eastAsia" w:asciiTheme="minorEastAsia" w:hAnsiTheme="minorEastAsia" w:eastAsiaTheme="minorEastAsia" w:cstheme="minorEastAsia"/>
          <w:b w:val="0"/>
          <w:color w:val="auto"/>
          <w:sz w:val="24"/>
          <w:szCs w:val="24"/>
          <w:highlight w:val="none"/>
        </w:rPr>
        <w:t>.5 资</w:t>
      </w:r>
      <w:bookmarkEnd w:id="202"/>
      <w:bookmarkEnd w:id="203"/>
      <w:bookmarkEnd w:id="204"/>
      <w:r>
        <w:rPr>
          <w:rFonts w:hint="eastAsia" w:asciiTheme="minorEastAsia" w:hAnsiTheme="minorEastAsia" w:eastAsiaTheme="minorEastAsia" w:cstheme="minorEastAsia"/>
          <w:b w:val="0"/>
          <w:color w:val="auto"/>
          <w:sz w:val="24"/>
          <w:szCs w:val="24"/>
          <w:highlight w:val="none"/>
        </w:rPr>
        <w:t>金来源证明及支付担保</w:t>
      </w:r>
      <w:bookmarkEnd w:id="200"/>
      <w:bookmarkEnd w:id="201"/>
    </w:p>
    <w:p w14:paraId="4D098FE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73B8C90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DDFF95C">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05" w:name="_Toc26504"/>
      <w:bookmarkStart w:id="206" w:name="_Toc351203515"/>
      <w:r>
        <w:rPr>
          <w:rFonts w:hint="eastAsia" w:asciiTheme="minorEastAsia" w:hAnsiTheme="minorEastAsia" w:eastAsiaTheme="minorEastAsia" w:cstheme="minorEastAsia"/>
          <w:b w:val="0"/>
          <w:color w:val="auto"/>
          <w:sz w:val="24"/>
          <w:szCs w:val="24"/>
          <w:highlight w:val="none"/>
        </w:rPr>
        <w:t>2.6 支付合同价款</w:t>
      </w:r>
      <w:bookmarkEnd w:id="205"/>
      <w:bookmarkEnd w:id="206"/>
    </w:p>
    <w:p w14:paraId="2E5D321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发包人应按合同约定向承包人及时支付合同价款。</w:t>
      </w:r>
    </w:p>
    <w:p w14:paraId="0E478AAA">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07" w:name="_Toc11783"/>
      <w:bookmarkStart w:id="208" w:name="_Toc351203516"/>
      <w:r>
        <w:rPr>
          <w:rFonts w:hint="eastAsia" w:asciiTheme="minorEastAsia" w:hAnsiTheme="minorEastAsia" w:eastAsiaTheme="minorEastAsia" w:cstheme="minorEastAsia"/>
          <w:b w:val="0"/>
          <w:color w:val="auto"/>
          <w:sz w:val="24"/>
          <w:szCs w:val="24"/>
          <w:highlight w:val="none"/>
        </w:rPr>
        <w:t>2.7 组织竣工验收</w:t>
      </w:r>
      <w:bookmarkEnd w:id="207"/>
      <w:bookmarkEnd w:id="208"/>
    </w:p>
    <w:p w14:paraId="0E25BFF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发包人应按合同约定及时组织竣工验收。</w:t>
      </w:r>
    </w:p>
    <w:p w14:paraId="7D8986B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09" w:name="_Toc1538"/>
      <w:bookmarkStart w:id="210" w:name="_Toc351203517"/>
      <w:r>
        <w:rPr>
          <w:rFonts w:hint="eastAsia" w:asciiTheme="minorEastAsia" w:hAnsiTheme="minorEastAsia" w:eastAsiaTheme="minorEastAsia" w:cstheme="minorEastAsia"/>
          <w:b w:val="0"/>
          <w:color w:val="auto"/>
          <w:sz w:val="24"/>
          <w:szCs w:val="24"/>
          <w:highlight w:val="none"/>
        </w:rPr>
        <w:t>2.8 现场统一管理协议</w:t>
      </w:r>
      <w:bookmarkEnd w:id="209"/>
      <w:bookmarkEnd w:id="210"/>
    </w:p>
    <w:p w14:paraId="5E5B454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3B3CAF16">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211" w:name="_Toc10776"/>
      <w:bookmarkStart w:id="212" w:name="_Toc351203518"/>
      <w:r>
        <w:rPr>
          <w:rFonts w:hint="eastAsia" w:asciiTheme="minorEastAsia" w:hAnsiTheme="minorEastAsia" w:eastAsiaTheme="minorEastAsia" w:cstheme="minorEastAsia"/>
          <w:b w:val="0"/>
          <w:color w:val="auto"/>
          <w:sz w:val="24"/>
          <w:szCs w:val="24"/>
          <w:highlight w:val="none"/>
        </w:rPr>
        <w:t>3</w:t>
      </w:r>
      <w:bookmarkStart w:id="213" w:name="_Toc296503045"/>
      <w:bookmarkStart w:id="214" w:name="_Toc296346546"/>
      <w:bookmarkStart w:id="215" w:name="_Toc337558746"/>
      <w:r>
        <w:rPr>
          <w:rFonts w:hint="eastAsia" w:asciiTheme="minorEastAsia" w:hAnsiTheme="minorEastAsia" w:eastAsiaTheme="minorEastAsia" w:cstheme="minorEastAsia"/>
          <w:b w:val="0"/>
          <w:color w:val="auto"/>
          <w:sz w:val="24"/>
          <w:szCs w:val="24"/>
          <w:highlight w:val="none"/>
        </w:rPr>
        <w:t>. 承包人</w:t>
      </w:r>
      <w:bookmarkEnd w:id="211"/>
      <w:bookmarkEnd w:id="212"/>
    </w:p>
    <w:bookmarkEnd w:id="213"/>
    <w:bookmarkEnd w:id="214"/>
    <w:bookmarkEnd w:id="215"/>
    <w:p w14:paraId="43A21BE2">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16" w:name="_Toc28278"/>
      <w:bookmarkStart w:id="217" w:name="_Toc351203519"/>
      <w:r>
        <w:rPr>
          <w:rFonts w:hint="eastAsia" w:asciiTheme="minorEastAsia" w:hAnsiTheme="minorEastAsia" w:eastAsiaTheme="minorEastAsia" w:cstheme="minorEastAsia"/>
          <w:b w:val="0"/>
          <w:color w:val="auto"/>
          <w:sz w:val="24"/>
          <w:szCs w:val="24"/>
          <w:highlight w:val="none"/>
        </w:rPr>
        <w:t>3</w:t>
      </w:r>
      <w:bookmarkStart w:id="218" w:name="_Toc296503046"/>
      <w:bookmarkStart w:id="219" w:name="_Toc296346547"/>
      <w:bookmarkStart w:id="220" w:name="_Toc337558747"/>
      <w:r>
        <w:rPr>
          <w:rFonts w:hint="eastAsia" w:asciiTheme="minorEastAsia" w:hAnsiTheme="minorEastAsia" w:eastAsiaTheme="minorEastAsia" w:cstheme="minorEastAsia"/>
          <w:b w:val="0"/>
          <w:color w:val="auto"/>
          <w:sz w:val="24"/>
          <w:szCs w:val="24"/>
          <w:highlight w:val="none"/>
        </w:rPr>
        <w:t>.1 承包人的一般义务</w:t>
      </w:r>
      <w:bookmarkEnd w:id="216"/>
      <w:bookmarkEnd w:id="217"/>
    </w:p>
    <w:bookmarkEnd w:id="218"/>
    <w:bookmarkEnd w:id="219"/>
    <w:bookmarkEnd w:id="220"/>
    <w:p w14:paraId="056784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承包人在履行合同过程中应遵守法律和工程建设标准规范，并履行以下义务：</w:t>
      </w:r>
    </w:p>
    <w:p w14:paraId="1F1CA8C6">
      <w:pPr>
        <w:numPr>
          <w:ilvl w:val="0"/>
          <w:numId w:val="12"/>
        </w:num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办理法律规定应由承包人办理的许可和批准，并将办理结果书面报送发包人留存；</w:t>
      </w:r>
    </w:p>
    <w:p w14:paraId="03C823B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（2）按法律规定和合同约定完成工程，并在保修期内承担保修义务；</w:t>
      </w:r>
    </w:p>
    <w:p w14:paraId="3A7ED46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（3）按法律规定和合同约定采取施工安全和环境保护措施，办理工伤保险，确保工程及人员、材料、设备和设施的安全；</w:t>
      </w:r>
    </w:p>
    <w:p w14:paraId="1069927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（4）按合同约定的工作内容和施工进度要求，编制施工组织设计和施工措施计划，并对所有施工作业和施工方法的完备性和安全可靠性负责；</w:t>
      </w:r>
    </w:p>
    <w:p w14:paraId="0784AE8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A75AED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（6）按照第6.3款〔环境保护〕约定负责施工场地及其周边环境与生态的保护工作；</w:t>
      </w:r>
    </w:p>
    <w:p w14:paraId="2412842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（7）按第6.1款〔安全文明施工〕约定采取施工安全措施，确保工程及其人员、材料、设备和设施的安全，防止因工程施工造成的人身伤害和财产损失；</w:t>
      </w:r>
    </w:p>
    <w:p w14:paraId="143CBCD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（8）将发包人按合同约定支付的各项价款专用于合同工程，且应及时支付其雇用人员工资，并及时向分包人支付合同价款；</w:t>
      </w:r>
    </w:p>
    <w:p w14:paraId="7EB3012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（9）按照法律规定和合同约定编制竣工资料，完成竣工资料立卷及归档，并按专用合同条款约定的竣工资料的套数、内容、时间等要求移交发包人；</w:t>
      </w:r>
    </w:p>
    <w:p w14:paraId="420650D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（10）应履行的其他义务。</w:t>
      </w:r>
    </w:p>
    <w:p w14:paraId="35F3338A">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21" w:name="_Toc351203520"/>
      <w:bookmarkStart w:id="222" w:name="_Toc12652"/>
      <w:r>
        <w:rPr>
          <w:rFonts w:hint="eastAsia" w:asciiTheme="minorEastAsia" w:hAnsiTheme="minorEastAsia" w:eastAsiaTheme="minorEastAsia" w:cstheme="minorEastAsia"/>
          <w:b w:val="0"/>
          <w:color w:val="auto"/>
          <w:sz w:val="24"/>
          <w:szCs w:val="24"/>
          <w:highlight w:val="none"/>
        </w:rPr>
        <w:t>3</w:t>
      </w:r>
      <w:bookmarkStart w:id="223" w:name="_Toc337558748"/>
      <w:bookmarkStart w:id="224" w:name="_Toc296346548"/>
      <w:bookmarkStart w:id="225" w:name="_Toc296503047"/>
      <w:r>
        <w:rPr>
          <w:rFonts w:hint="eastAsia" w:asciiTheme="minorEastAsia" w:hAnsiTheme="minorEastAsia" w:eastAsiaTheme="minorEastAsia" w:cstheme="minorEastAsia"/>
          <w:b w:val="0"/>
          <w:color w:val="auto"/>
          <w:sz w:val="24"/>
          <w:szCs w:val="24"/>
          <w:highlight w:val="none"/>
        </w:rPr>
        <w:t xml:space="preserve">.2 </w:t>
      </w:r>
      <w:bookmarkEnd w:id="221"/>
      <w:r>
        <w:rPr>
          <w:rFonts w:hint="eastAsia" w:asciiTheme="minorEastAsia" w:hAnsiTheme="minorEastAsia" w:eastAsiaTheme="minorEastAsia" w:cstheme="minorEastAsia"/>
          <w:b w:val="0"/>
          <w:color w:val="auto"/>
          <w:sz w:val="24"/>
          <w:szCs w:val="24"/>
          <w:highlight w:val="none"/>
        </w:rPr>
        <w:t>项目经理</w:t>
      </w:r>
      <w:bookmarkEnd w:id="222"/>
    </w:p>
    <w:bookmarkEnd w:id="223"/>
    <w:bookmarkEnd w:id="224"/>
    <w:bookmarkEnd w:id="225"/>
    <w:p w14:paraId="475201F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ABD0E2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0D66B0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承包人违反上述约定的，应按照专用合同条款的约定，承担违约责任。</w:t>
      </w:r>
    </w:p>
    <w:p w14:paraId="4C04070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896E00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11D7B1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5AE116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14344837">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26" w:name="_Toc351203521"/>
      <w:bookmarkStart w:id="227" w:name="_Toc4744"/>
      <w:r>
        <w:rPr>
          <w:rFonts w:hint="eastAsia" w:asciiTheme="minorEastAsia" w:hAnsiTheme="minorEastAsia" w:eastAsiaTheme="minorEastAsia" w:cstheme="minorEastAsia"/>
          <w:b w:val="0"/>
          <w:color w:val="auto"/>
          <w:sz w:val="24"/>
          <w:szCs w:val="24"/>
          <w:highlight w:val="none"/>
        </w:rPr>
        <w:t>3</w:t>
      </w:r>
      <w:bookmarkStart w:id="228" w:name="_Toc296503048"/>
      <w:bookmarkStart w:id="229" w:name="_Toc296346549"/>
      <w:bookmarkStart w:id="230" w:name="_Toc337558749"/>
      <w:r>
        <w:rPr>
          <w:rFonts w:hint="eastAsia" w:asciiTheme="minorEastAsia" w:hAnsiTheme="minorEastAsia" w:eastAsiaTheme="minorEastAsia" w:cstheme="minorEastAsia"/>
          <w:b w:val="0"/>
          <w:color w:val="auto"/>
          <w:sz w:val="24"/>
          <w:szCs w:val="24"/>
          <w:highlight w:val="none"/>
        </w:rPr>
        <w:t xml:space="preserve">.3 </w:t>
      </w:r>
      <w:bookmarkEnd w:id="228"/>
      <w:bookmarkEnd w:id="229"/>
      <w:r>
        <w:rPr>
          <w:rFonts w:hint="eastAsia" w:asciiTheme="minorEastAsia" w:hAnsiTheme="minorEastAsia" w:eastAsiaTheme="minorEastAsia" w:cstheme="minorEastAsia"/>
          <w:b w:val="0"/>
          <w:color w:val="auto"/>
          <w:sz w:val="24"/>
          <w:szCs w:val="24"/>
          <w:highlight w:val="none"/>
        </w:rPr>
        <w:t>承包人人员</w:t>
      </w:r>
      <w:bookmarkEnd w:id="226"/>
      <w:bookmarkEnd w:id="227"/>
    </w:p>
    <w:bookmarkEnd w:id="230"/>
    <w:p w14:paraId="6507951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4D777A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416111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特殊工种作业人员均应持有相应的资格证明，监理人可以随时检查。</w:t>
      </w:r>
    </w:p>
    <w:p w14:paraId="5076009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E29E74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E4EFEC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3.3.5 承包人擅自更换主要施工管理人员，或前述人员未经监理人或发包人同意擅自离开施工现场的，应按照专用合同条款约定承担违约责任。</w:t>
      </w:r>
    </w:p>
    <w:p w14:paraId="7B4DDE93">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31" w:name="_Toc8875"/>
      <w:bookmarkStart w:id="232" w:name="_Toc351203522"/>
      <w:r>
        <w:rPr>
          <w:rFonts w:hint="eastAsia" w:asciiTheme="minorEastAsia" w:hAnsiTheme="minorEastAsia" w:eastAsiaTheme="minorEastAsia" w:cstheme="minorEastAsia"/>
          <w:b w:val="0"/>
          <w:color w:val="auto"/>
          <w:sz w:val="24"/>
          <w:szCs w:val="24"/>
          <w:highlight w:val="none"/>
        </w:rPr>
        <w:t>3</w:t>
      </w:r>
      <w:bookmarkStart w:id="233" w:name="_Toc296346551"/>
      <w:bookmarkStart w:id="234" w:name="_Toc296503050"/>
      <w:bookmarkStart w:id="235" w:name="_Toc337558750"/>
      <w:r>
        <w:rPr>
          <w:rFonts w:hint="eastAsia" w:asciiTheme="minorEastAsia" w:hAnsiTheme="minorEastAsia" w:eastAsiaTheme="minorEastAsia" w:cstheme="minorEastAsia"/>
          <w:b w:val="0"/>
          <w:color w:val="auto"/>
          <w:sz w:val="24"/>
          <w:szCs w:val="24"/>
          <w:highlight w:val="none"/>
        </w:rPr>
        <w:t>.4 承包人现场查勘</w:t>
      </w:r>
      <w:bookmarkEnd w:id="231"/>
      <w:bookmarkEnd w:id="232"/>
    </w:p>
    <w:bookmarkEnd w:id="233"/>
    <w:bookmarkEnd w:id="234"/>
    <w:bookmarkEnd w:id="235"/>
    <w:p w14:paraId="3BED57F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661BF5B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39CD98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36" w:name="_Toc351203523"/>
      <w:bookmarkStart w:id="237" w:name="_Toc910"/>
      <w:r>
        <w:rPr>
          <w:rFonts w:hint="eastAsia" w:asciiTheme="minorEastAsia" w:hAnsiTheme="minorEastAsia" w:eastAsiaTheme="minorEastAsia" w:cstheme="minorEastAsia"/>
          <w:b w:val="0"/>
          <w:color w:val="auto"/>
          <w:sz w:val="24"/>
          <w:szCs w:val="24"/>
          <w:highlight w:val="none"/>
        </w:rPr>
        <w:t>3</w:t>
      </w:r>
      <w:bookmarkStart w:id="238" w:name="_Toc296346552"/>
      <w:bookmarkStart w:id="239" w:name="_Toc337558751"/>
      <w:bookmarkStart w:id="240" w:name="_Toc296503051"/>
      <w:r>
        <w:rPr>
          <w:rFonts w:hint="eastAsia" w:asciiTheme="minorEastAsia" w:hAnsiTheme="minorEastAsia" w:eastAsiaTheme="minorEastAsia" w:cstheme="minorEastAsia"/>
          <w:b w:val="0"/>
          <w:color w:val="auto"/>
          <w:sz w:val="24"/>
          <w:szCs w:val="24"/>
          <w:highlight w:val="none"/>
        </w:rPr>
        <w:t>.5 分包</w:t>
      </w:r>
      <w:bookmarkEnd w:id="236"/>
      <w:bookmarkEnd w:id="237"/>
    </w:p>
    <w:bookmarkEnd w:id="238"/>
    <w:bookmarkEnd w:id="239"/>
    <w:bookmarkEnd w:id="240"/>
    <w:p w14:paraId="0D2793F5">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41" w:name="_Toc27125"/>
      <w:r>
        <w:rPr>
          <w:rFonts w:hint="eastAsia" w:asciiTheme="minorEastAsia" w:hAnsiTheme="minorEastAsia" w:eastAsiaTheme="minorEastAsia" w:cstheme="minorEastAsia"/>
          <w:color w:val="auto"/>
          <w:kern w:val="0"/>
          <w:sz w:val="24"/>
          <w:szCs w:val="24"/>
          <w:highlight w:val="none"/>
        </w:rPr>
        <w:t>3.5.1 分包的一般约定</w:t>
      </w:r>
      <w:bookmarkEnd w:id="241"/>
    </w:p>
    <w:p w14:paraId="78D4AE9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10DB5B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承包人不得以劳务分包的名义转包或违法分包工程。</w:t>
      </w:r>
    </w:p>
    <w:p w14:paraId="5B05A0C6">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42" w:name="_Toc9405"/>
      <w:r>
        <w:rPr>
          <w:rFonts w:hint="eastAsia" w:asciiTheme="minorEastAsia" w:hAnsiTheme="minorEastAsia" w:eastAsiaTheme="minorEastAsia" w:cstheme="minorEastAsia"/>
          <w:color w:val="auto"/>
          <w:kern w:val="0"/>
          <w:sz w:val="24"/>
          <w:szCs w:val="24"/>
          <w:highlight w:val="none"/>
        </w:rPr>
        <w:t>3.5.2 分包的确定</w:t>
      </w:r>
      <w:bookmarkEnd w:id="242"/>
    </w:p>
    <w:p w14:paraId="49E3DAA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1BCB49A">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43" w:name="_Toc20185"/>
      <w:r>
        <w:rPr>
          <w:rFonts w:hint="eastAsia" w:asciiTheme="minorEastAsia" w:hAnsiTheme="minorEastAsia" w:eastAsiaTheme="minorEastAsia" w:cstheme="minorEastAsia"/>
          <w:color w:val="auto"/>
          <w:kern w:val="0"/>
          <w:sz w:val="24"/>
          <w:szCs w:val="24"/>
          <w:highlight w:val="none"/>
        </w:rPr>
        <w:t>3.5.3 分包管理</w:t>
      </w:r>
      <w:bookmarkEnd w:id="243"/>
    </w:p>
    <w:p w14:paraId="7523C5F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承包人应向监理人提交分包人的主要施工管理人员表，并对分包人的施工人员进行实名制管理，包括但不限于进出场管理、登记造册以及各种证照的办理。</w:t>
      </w:r>
    </w:p>
    <w:p w14:paraId="7D73A970">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44" w:name="_Toc5079"/>
      <w:r>
        <w:rPr>
          <w:rFonts w:hint="eastAsia" w:asciiTheme="minorEastAsia" w:hAnsiTheme="minorEastAsia" w:eastAsiaTheme="minorEastAsia" w:cstheme="minorEastAsia"/>
          <w:color w:val="auto"/>
          <w:kern w:val="0"/>
          <w:sz w:val="24"/>
          <w:szCs w:val="24"/>
          <w:highlight w:val="none"/>
        </w:rPr>
        <w:t>3.5.4 分包合同价款</w:t>
      </w:r>
      <w:bookmarkEnd w:id="244"/>
    </w:p>
    <w:p w14:paraId="2345BCF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（1）除本项第（2）目约定的情况或专用合同条款另有约定外，分包合同价款由承包人与分包人结算，未经承包人同意，发包人不得向分包人支付分包工程价款；</w:t>
      </w:r>
    </w:p>
    <w:p w14:paraId="62053AE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（2）生效法律文书要求发包人向分包人支付分包合同价款的，发包人有权从应付承包人工程款中扣除该部分款项。</w:t>
      </w:r>
    </w:p>
    <w:p w14:paraId="10C8B18A">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45" w:name="_Toc17114"/>
      <w:r>
        <w:rPr>
          <w:rFonts w:hint="eastAsia" w:asciiTheme="minorEastAsia" w:hAnsiTheme="minorEastAsia" w:eastAsiaTheme="minorEastAsia" w:cstheme="minorEastAsia"/>
          <w:color w:val="auto"/>
          <w:kern w:val="0"/>
          <w:sz w:val="24"/>
          <w:szCs w:val="24"/>
          <w:highlight w:val="none"/>
        </w:rPr>
        <w:t>3.5.5 分包合同权益的转让</w:t>
      </w:r>
      <w:bookmarkEnd w:id="245"/>
    </w:p>
    <w:p w14:paraId="2290721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6" w:name="_Toc351203524"/>
    </w:p>
    <w:p w14:paraId="1FEBE98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47" w:name="_Toc9229"/>
      <w:r>
        <w:rPr>
          <w:rFonts w:hint="eastAsia" w:asciiTheme="minorEastAsia" w:hAnsiTheme="minorEastAsia" w:eastAsiaTheme="minorEastAsia" w:cstheme="minorEastAsia"/>
          <w:b w:val="0"/>
          <w:color w:val="auto"/>
          <w:sz w:val="24"/>
          <w:szCs w:val="24"/>
          <w:highlight w:val="none"/>
        </w:rPr>
        <w:t>3.6 工程照管与成品、半成品保护</w:t>
      </w:r>
      <w:bookmarkEnd w:id="246"/>
      <w:bookmarkEnd w:id="247"/>
    </w:p>
    <w:p w14:paraId="15B0DE0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（1）除专用合同条款另有约定外，自发包人向承包人移交施工现场之日起，承包人应负责照管工程及工程相关的材料、工程设备，直到颁发工程接收证书之日止。</w:t>
      </w:r>
    </w:p>
    <w:p w14:paraId="4DB34EB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（2）在承包人负责照管期间，因承包人原因造成工程、材料、工程设备损坏的，由承包人负责修复或更换，并承担由此增加的费用和（或）延误的工期。</w:t>
      </w:r>
    </w:p>
    <w:p w14:paraId="3C232BF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12CEC05">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48" w:name="_Toc351203525"/>
      <w:bookmarkStart w:id="249" w:name="_Toc15667"/>
      <w:r>
        <w:rPr>
          <w:rFonts w:hint="eastAsia" w:asciiTheme="minorEastAsia" w:hAnsiTheme="minorEastAsia" w:eastAsiaTheme="minorEastAsia" w:cstheme="minorEastAsia"/>
          <w:b w:val="0"/>
          <w:color w:val="auto"/>
          <w:sz w:val="24"/>
          <w:szCs w:val="24"/>
          <w:highlight w:val="none"/>
        </w:rPr>
        <w:t>3</w:t>
      </w:r>
      <w:bookmarkStart w:id="250" w:name="_Toc296503052"/>
      <w:bookmarkStart w:id="251" w:name="_Toc296346553"/>
      <w:bookmarkStart w:id="252" w:name="_Toc337558752"/>
      <w:r>
        <w:rPr>
          <w:rFonts w:hint="eastAsia" w:asciiTheme="minorEastAsia" w:hAnsiTheme="minorEastAsia" w:eastAsiaTheme="minorEastAsia" w:cstheme="minorEastAsia"/>
          <w:b w:val="0"/>
          <w:color w:val="auto"/>
          <w:sz w:val="24"/>
          <w:szCs w:val="24"/>
          <w:highlight w:val="none"/>
        </w:rPr>
        <w:t>.7 履约担保</w:t>
      </w:r>
      <w:bookmarkEnd w:id="248"/>
      <w:bookmarkEnd w:id="249"/>
    </w:p>
    <w:bookmarkEnd w:id="250"/>
    <w:bookmarkEnd w:id="251"/>
    <w:bookmarkEnd w:id="252"/>
    <w:p w14:paraId="3559F5D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EF2FC2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440BEBE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53" w:name="_Toc25909"/>
      <w:bookmarkStart w:id="254" w:name="_Toc351203526"/>
      <w:r>
        <w:rPr>
          <w:rFonts w:hint="eastAsia" w:asciiTheme="minorEastAsia" w:hAnsiTheme="minorEastAsia" w:eastAsiaTheme="minorEastAsia" w:cstheme="minorEastAsia"/>
          <w:b w:val="0"/>
          <w:color w:val="auto"/>
          <w:sz w:val="24"/>
          <w:szCs w:val="24"/>
          <w:highlight w:val="none"/>
        </w:rPr>
        <w:t>3.8 联合体</w:t>
      </w:r>
      <w:bookmarkEnd w:id="253"/>
      <w:bookmarkEnd w:id="254"/>
    </w:p>
    <w:p w14:paraId="2FE695A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3.8.1 联合体各方应共同与发包人签订合同协议书。联合体各方应为履行合同向发包人承担连带责任。</w:t>
      </w:r>
    </w:p>
    <w:p w14:paraId="7EB346A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3.8.2 联合体协议经发包人确认后作为合同附件。在履行合同过程中，未经发包人同意，不得修改联合体协议。</w:t>
      </w:r>
    </w:p>
    <w:p w14:paraId="33CC27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3.8.3 联合体牵头人负责与发包人和监理人联系，并接受指示，负责组织联合体各成员全面履行合同。</w:t>
      </w:r>
    </w:p>
    <w:p w14:paraId="3585B9C6">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255" w:name="_Toc21954"/>
      <w:bookmarkStart w:id="256" w:name="_Toc351203527"/>
      <w:r>
        <w:rPr>
          <w:rFonts w:hint="eastAsia" w:asciiTheme="minorEastAsia" w:hAnsiTheme="minorEastAsia" w:eastAsiaTheme="minorEastAsia" w:cstheme="minorEastAsia"/>
          <w:b w:val="0"/>
          <w:color w:val="auto"/>
          <w:sz w:val="24"/>
          <w:szCs w:val="24"/>
          <w:highlight w:val="none"/>
        </w:rPr>
        <w:t>4</w:t>
      </w:r>
      <w:bookmarkStart w:id="257" w:name="_Toc296503053"/>
      <w:bookmarkStart w:id="258" w:name="_Toc296346554"/>
      <w:bookmarkStart w:id="259" w:name="_Toc337558753"/>
      <w:r>
        <w:rPr>
          <w:rFonts w:hint="eastAsia" w:asciiTheme="minorEastAsia" w:hAnsiTheme="minorEastAsia" w:eastAsiaTheme="minorEastAsia" w:cstheme="minorEastAsia"/>
          <w:b w:val="0"/>
          <w:color w:val="auto"/>
          <w:sz w:val="24"/>
          <w:szCs w:val="24"/>
          <w:highlight w:val="none"/>
        </w:rPr>
        <w:t>. 监</w:t>
      </w:r>
      <w:bookmarkEnd w:id="257"/>
      <w:bookmarkEnd w:id="258"/>
      <w:r>
        <w:rPr>
          <w:rFonts w:hint="eastAsia" w:asciiTheme="minorEastAsia" w:hAnsiTheme="minorEastAsia" w:eastAsiaTheme="minorEastAsia" w:cstheme="minorEastAsia"/>
          <w:b w:val="0"/>
          <w:color w:val="auto"/>
          <w:sz w:val="24"/>
          <w:szCs w:val="24"/>
          <w:highlight w:val="none"/>
        </w:rPr>
        <w:t>理人</w:t>
      </w:r>
      <w:bookmarkEnd w:id="255"/>
      <w:bookmarkEnd w:id="256"/>
    </w:p>
    <w:bookmarkEnd w:id="259"/>
    <w:p w14:paraId="3237E992">
      <w:pPr>
        <w:pStyle w:val="7"/>
        <w:spacing w:before="120" w:beforeLines="0" w:after="120" w:afterLines="0" w:line="360" w:lineRule="auto"/>
        <w:ind w:firstLine="480" w:firstLineChars="200"/>
        <w:outlineLvl w:val="9"/>
        <w:rPr>
          <w:rFonts w:hint="eastAsia" w:asciiTheme="minorEastAsia" w:hAnsiTheme="minorEastAsia" w:eastAsiaTheme="minorEastAsia" w:cstheme="minorEastAsia"/>
          <w:b w:val="0"/>
          <w:color w:val="auto"/>
          <w:sz w:val="24"/>
          <w:szCs w:val="24"/>
          <w:highlight w:val="none"/>
        </w:rPr>
      </w:pPr>
      <w:bookmarkStart w:id="260" w:name="_Toc351203528"/>
      <w:r>
        <w:rPr>
          <w:rFonts w:hint="eastAsia" w:asciiTheme="minorEastAsia" w:hAnsiTheme="minorEastAsia" w:eastAsiaTheme="minorEastAsia" w:cstheme="minorEastAsia"/>
          <w:b w:val="0"/>
          <w:color w:val="auto"/>
          <w:sz w:val="24"/>
          <w:szCs w:val="24"/>
          <w:highlight w:val="none"/>
        </w:rPr>
        <w:t>4</w:t>
      </w:r>
      <w:bookmarkStart w:id="261" w:name="_Toc296503054"/>
      <w:bookmarkStart w:id="262" w:name="_Toc337558754"/>
      <w:bookmarkStart w:id="263" w:name="_Toc296346555"/>
      <w:r>
        <w:rPr>
          <w:rFonts w:hint="eastAsia" w:asciiTheme="minorEastAsia" w:hAnsiTheme="minorEastAsia" w:eastAsiaTheme="minorEastAsia" w:cstheme="minorEastAsia"/>
          <w:b w:val="0"/>
          <w:color w:val="auto"/>
          <w:sz w:val="24"/>
          <w:szCs w:val="24"/>
          <w:highlight w:val="none"/>
        </w:rPr>
        <w:t>.1监理人的一般规定</w:t>
      </w:r>
      <w:bookmarkEnd w:id="260"/>
    </w:p>
    <w:bookmarkEnd w:id="261"/>
    <w:bookmarkEnd w:id="262"/>
    <w:bookmarkEnd w:id="263"/>
    <w:p w14:paraId="3B384DA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18BA3C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除专用合同条款另有约定外，监理人在施工现场的办公场所、生活场所由承包人提供，所发生的费用由发包人承担。</w:t>
      </w:r>
    </w:p>
    <w:p w14:paraId="1899A64A">
      <w:pPr>
        <w:pStyle w:val="7"/>
        <w:spacing w:before="120" w:beforeLines="0" w:after="120" w:afterLines="0" w:line="360" w:lineRule="auto"/>
        <w:ind w:firstLine="480" w:firstLineChars="200"/>
        <w:outlineLvl w:val="9"/>
        <w:rPr>
          <w:rFonts w:hint="eastAsia" w:asciiTheme="minorEastAsia" w:hAnsiTheme="minorEastAsia" w:eastAsiaTheme="minorEastAsia" w:cstheme="minorEastAsia"/>
          <w:b w:val="0"/>
          <w:color w:val="auto"/>
          <w:sz w:val="24"/>
          <w:szCs w:val="24"/>
          <w:highlight w:val="none"/>
        </w:rPr>
      </w:pPr>
      <w:bookmarkStart w:id="264" w:name="_Toc351203529"/>
      <w:r>
        <w:rPr>
          <w:rFonts w:hint="eastAsia" w:asciiTheme="minorEastAsia" w:hAnsiTheme="minorEastAsia" w:eastAsiaTheme="minorEastAsia" w:cstheme="minorEastAsia"/>
          <w:b w:val="0"/>
          <w:color w:val="auto"/>
          <w:sz w:val="24"/>
          <w:szCs w:val="24"/>
          <w:highlight w:val="none"/>
        </w:rPr>
        <w:t>4</w:t>
      </w:r>
      <w:bookmarkStart w:id="265" w:name="_Toc337558755"/>
      <w:r>
        <w:rPr>
          <w:rFonts w:hint="eastAsia" w:asciiTheme="minorEastAsia" w:hAnsiTheme="minorEastAsia" w:eastAsiaTheme="minorEastAsia" w:cstheme="minorEastAsia"/>
          <w:b w:val="0"/>
          <w:color w:val="auto"/>
          <w:sz w:val="24"/>
          <w:szCs w:val="24"/>
          <w:highlight w:val="none"/>
        </w:rPr>
        <w:t>.2监理人员</w:t>
      </w:r>
      <w:bookmarkEnd w:id="264"/>
    </w:p>
    <w:bookmarkEnd w:id="265"/>
    <w:p w14:paraId="2E485E8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6ECB75D">
      <w:pPr>
        <w:pStyle w:val="7"/>
        <w:spacing w:before="120" w:beforeLines="0" w:after="120" w:afterLines="0" w:line="360" w:lineRule="auto"/>
        <w:ind w:firstLine="480" w:firstLineChars="200"/>
        <w:outlineLvl w:val="9"/>
        <w:rPr>
          <w:rFonts w:hint="eastAsia" w:asciiTheme="minorEastAsia" w:hAnsiTheme="minorEastAsia" w:eastAsiaTheme="minorEastAsia" w:cstheme="minorEastAsia"/>
          <w:b w:val="0"/>
          <w:color w:val="auto"/>
          <w:sz w:val="24"/>
          <w:szCs w:val="24"/>
          <w:highlight w:val="none"/>
        </w:rPr>
      </w:pPr>
      <w:bookmarkStart w:id="266" w:name="_Toc351203530"/>
      <w:r>
        <w:rPr>
          <w:rFonts w:hint="eastAsia" w:asciiTheme="minorEastAsia" w:hAnsiTheme="minorEastAsia" w:eastAsiaTheme="minorEastAsia" w:cstheme="minorEastAsia"/>
          <w:b w:val="0"/>
          <w:color w:val="auto"/>
          <w:sz w:val="24"/>
          <w:szCs w:val="24"/>
          <w:highlight w:val="none"/>
        </w:rPr>
        <w:t>4</w:t>
      </w:r>
      <w:bookmarkStart w:id="267" w:name="_Toc296346556"/>
      <w:bookmarkStart w:id="268" w:name="_Toc296503055"/>
      <w:bookmarkStart w:id="269" w:name="_Toc337558756"/>
      <w:r>
        <w:rPr>
          <w:rFonts w:hint="eastAsia" w:asciiTheme="minorEastAsia" w:hAnsiTheme="minorEastAsia" w:eastAsiaTheme="minorEastAsia" w:cstheme="minorEastAsia"/>
          <w:b w:val="0"/>
          <w:color w:val="auto"/>
          <w:sz w:val="24"/>
          <w:szCs w:val="24"/>
          <w:highlight w:val="none"/>
        </w:rPr>
        <w:t>.3</w:t>
      </w:r>
      <w:bookmarkEnd w:id="267"/>
      <w:bookmarkEnd w:id="268"/>
      <w:r>
        <w:rPr>
          <w:rFonts w:hint="eastAsia" w:asciiTheme="minorEastAsia" w:hAnsiTheme="minorEastAsia" w:eastAsiaTheme="minorEastAsia" w:cstheme="minorEastAsia"/>
          <w:b w:val="0"/>
          <w:color w:val="auto"/>
          <w:sz w:val="24"/>
          <w:szCs w:val="24"/>
          <w:highlight w:val="none"/>
        </w:rPr>
        <w:t>监理人的指</w:t>
      </w:r>
      <w:bookmarkEnd w:id="269"/>
      <w:r>
        <w:rPr>
          <w:rFonts w:hint="eastAsia" w:asciiTheme="minorEastAsia" w:hAnsiTheme="minorEastAsia" w:eastAsiaTheme="minorEastAsia" w:cstheme="minorEastAsia"/>
          <w:b w:val="0"/>
          <w:color w:val="auto"/>
          <w:sz w:val="24"/>
          <w:szCs w:val="24"/>
          <w:highlight w:val="none"/>
        </w:rPr>
        <w:t>示</w:t>
      </w:r>
      <w:bookmarkEnd w:id="266"/>
    </w:p>
    <w:p w14:paraId="726A843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C95FA4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657318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1499962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4EDD57AB">
      <w:pPr>
        <w:pStyle w:val="6"/>
        <w:spacing w:before="120" w:beforeLines="0" w:after="120" w:afterLines="0" w:line="360" w:lineRule="auto"/>
        <w:ind w:left="0" w:leftChars="0" w:firstLine="480" w:firstLineChars="200"/>
        <w:outlineLvl w:val="9"/>
        <w:rPr>
          <w:rFonts w:hint="eastAsia" w:asciiTheme="minorEastAsia" w:hAnsiTheme="minorEastAsia" w:eastAsiaTheme="minorEastAsia" w:cstheme="minorEastAsia"/>
          <w:b w:val="0"/>
          <w:color w:val="auto"/>
          <w:sz w:val="24"/>
          <w:szCs w:val="24"/>
          <w:highlight w:val="none"/>
        </w:rPr>
      </w:pPr>
      <w:bookmarkStart w:id="270" w:name="_Toc351203531"/>
      <w:r>
        <w:rPr>
          <w:rFonts w:hint="eastAsia" w:asciiTheme="minorEastAsia" w:hAnsiTheme="minorEastAsia" w:eastAsiaTheme="minorEastAsia" w:cstheme="minorEastAsia"/>
          <w:b w:val="0"/>
          <w:color w:val="auto"/>
          <w:sz w:val="24"/>
          <w:szCs w:val="24"/>
          <w:highlight w:val="none"/>
        </w:rPr>
        <w:t>4</w:t>
      </w:r>
      <w:bookmarkStart w:id="271" w:name="_Toc296346558"/>
      <w:bookmarkStart w:id="272" w:name="_Toc337558757"/>
      <w:bookmarkStart w:id="273" w:name="_Toc296503057"/>
      <w:r>
        <w:rPr>
          <w:rFonts w:hint="eastAsia" w:asciiTheme="minorEastAsia" w:hAnsiTheme="minorEastAsia" w:eastAsiaTheme="minorEastAsia" w:cstheme="minorEastAsia"/>
          <w:b w:val="0"/>
          <w:color w:val="auto"/>
          <w:sz w:val="24"/>
          <w:szCs w:val="24"/>
          <w:highlight w:val="none"/>
        </w:rPr>
        <w:t>.4 商定或确定</w:t>
      </w:r>
      <w:bookmarkEnd w:id="270"/>
    </w:p>
    <w:bookmarkEnd w:id="271"/>
    <w:bookmarkEnd w:id="272"/>
    <w:bookmarkEnd w:id="273"/>
    <w:p w14:paraId="7FE19D9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合同当事人进行商定或确定时，总监理工程师应当会同合同当事人尽量通过协商达成一致，不能达成一致的，由总监理工程师按照合同约定审慎</w:t>
      </w:r>
      <w:r>
        <w:rPr>
          <w:rFonts w:hint="eastAsia" w:asciiTheme="minorEastAsia" w:hAnsiTheme="minorEastAsia" w:eastAsiaTheme="minorEastAsia" w:cstheme="minorEastAsia"/>
          <w:color w:val="auto"/>
          <w:kern w:val="0"/>
          <w:sz w:val="24"/>
          <w:szCs w:val="24"/>
          <w:highlight w:val="none"/>
          <w:lang w:eastAsia="zh-CN"/>
        </w:rPr>
        <w:t>作出</w:t>
      </w:r>
      <w:r>
        <w:rPr>
          <w:rFonts w:hint="eastAsia" w:asciiTheme="minorEastAsia" w:hAnsiTheme="minorEastAsia" w:eastAsiaTheme="minorEastAsia" w:cstheme="minorEastAsia"/>
          <w:color w:val="auto"/>
          <w:kern w:val="0"/>
          <w:sz w:val="24"/>
          <w:szCs w:val="24"/>
          <w:highlight w:val="none"/>
        </w:rPr>
        <w:t>公正的确定。</w:t>
      </w:r>
    </w:p>
    <w:p w14:paraId="14DD7F5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895BEF0">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274" w:name="_Toc16781"/>
      <w:bookmarkStart w:id="275" w:name="_Toc351203532"/>
      <w:r>
        <w:rPr>
          <w:rFonts w:hint="eastAsia" w:asciiTheme="minorEastAsia" w:hAnsiTheme="minorEastAsia" w:eastAsiaTheme="minorEastAsia" w:cstheme="minorEastAsia"/>
          <w:b w:val="0"/>
          <w:color w:val="auto"/>
          <w:sz w:val="24"/>
          <w:szCs w:val="24"/>
          <w:highlight w:val="none"/>
        </w:rPr>
        <w:t>5</w:t>
      </w:r>
      <w:bookmarkStart w:id="276" w:name="_Toc337558758"/>
      <w:r>
        <w:rPr>
          <w:rFonts w:hint="eastAsia" w:asciiTheme="minorEastAsia" w:hAnsiTheme="minorEastAsia" w:eastAsiaTheme="minorEastAsia" w:cstheme="minorEastAsia"/>
          <w:b w:val="0"/>
          <w:color w:val="auto"/>
          <w:sz w:val="24"/>
          <w:szCs w:val="24"/>
          <w:highlight w:val="none"/>
        </w:rPr>
        <w:t>. 工程质量</w:t>
      </w:r>
      <w:bookmarkEnd w:id="274"/>
      <w:bookmarkEnd w:id="275"/>
    </w:p>
    <w:bookmarkEnd w:id="276"/>
    <w:p w14:paraId="4E04174F">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77" w:name="_Toc351203533"/>
      <w:bookmarkStart w:id="278" w:name="_Toc8257"/>
      <w:r>
        <w:rPr>
          <w:rFonts w:hint="eastAsia" w:asciiTheme="minorEastAsia" w:hAnsiTheme="minorEastAsia" w:eastAsiaTheme="minorEastAsia" w:cstheme="minorEastAsia"/>
          <w:b w:val="0"/>
          <w:color w:val="auto"/>
          <w:sz w:val="24"/>
          <w:szCs w:val="24"/>
          <w:highlight w:val="none"/>
        </w:rPr>
        <w:t>5</w:t>
      </w:r>
      <w:bookmarkStart w:id="279" w:name="_Toc337558759"/>
      <w:r>
        <w:rPr>
          <w:rFonts w:hint="eastAsia" w:asciiTheme="minorEastAsia" w:hAnsiTheme="minorEastAsia" w:eastAsiaTheme="minorEastAsia" w:cstheme="minorEastAsia"/>
          <w:b w:val="0"/>
          <w:color w:val="auto"/>
          <w:sz w:val="24"/>
          <w:szCs w:val="24"/>
          <w:highlight w:val="none"/>
        </w:rPr>
        <w:t>.1质量要求</w:t>
      </w:r>
      <w:bookmarkEnd w:id="277"/>
      <w:bookmarkEnd w:id="278"/>
    </w:p>
    <w:bookmarkEnd w:id="279"/>
    <w:p w14:paraId="5E213E4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5.1.1 工程质量标准必须符合现行国家有关工程施工质量验收规范和标准的要求。有关工程质量的特殊标准或要求由合同当事人在专用合同条款中约定。</w:t>
      </w:r>
    </w:p>
    <w:p w14:paraId="6F58F81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5.1.2 因发包人原因造成工程质量未达到合同约定标准的，由发包人承担由此增加的费用和（或）延误的工期，并支付承包人合理的利润。</w:t>
      </w:r>
    </w:p>
    <w:p w14:paraId="1E2CCEC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25683474">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80" w:name="_Toc20120"/>
      <w:bookmarkStart w:id="281" w:name="_Toc351203534"/>
      <w:r>
        <w:rPr>
          <w:rFonts w:hint="eastAsia" w:asciiTheme="minorEastAsia" w:hAnsiTheme="minorEastAsia" w:eastAsiaTheme="minorEastAsia" w:cstheme="minorEastAsia"/>
          <w:b w:val="0"/>
          <w:color w:val="auto"/>
          <w:sz w:val="24"/>
          <w:szCs w:val="24"/>
          <w:highlight w:val="none"/>
        </w:rPr>
        <w:t>5</w:t>
      </w:r>
      <w:bookmarkStart w:id="282" w:name="_Toc337558760"/>
      <w:r>
        <w:rPr>
          <w:rFonts w:hint="eastAsia" w:asciiTheme="minorEastAsia" w:hAnsiTheme="minorEastAsia" w:eastAsiaTheme="minorEastAsia" w:cstheme="minorEastAsia"/>
          <w:b w:val="0"/>
          <w:color w:val="auto"/>
          <w:sz w:val="24"/>
          <w:szCs w:val="24"/>
          <w:highlight w:val="none"/>
        </w:rPr>
        <w:t>.2质量保证措施</w:t>
      </w:r>
      <w:bookmarkEnd w:id="280"/>
      <w:bookmarkEnd w:id="281"/>
    </w:p>
    <w:bookmarkEnd w:id="282"/>
    <w:p w14:paraId="07C760CE">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83" w:name="_Toc4653"/>
      <w:r>
        <w:rPr>
          <w:rFonts w:hint="eastAsia" w:asciiTheme="minorEastAsia" w:hAnsiTheme="minorEastAsia" w:eastAsiaTheme="minorEastAsia" w:cstheme="minorEastAsia"/>
          <w:color w:val="auto"/>
          <w:kern w:val="0"/>
          <w:sz w:val="24"/>
          <w:szCs w:val="24"/>
          <w:highlight w:val="none"/>
        </w:rPr>
        <w:t>5.2.1 发包人的质量管理</w:t>
      </w:r>
      <w:bookmarkEnd w:id="283"/>
    </w:p>
    <w:p w14:paraId="33AB71E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发包人应按照法律规定及合同约定完成与工程质量有关的各项工作。</w:t>
      </w:r>
    </w:p>
    <w:p w14:paraId="6E7E8026">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84" w:name="_Toc4566"/>
      <w:r>
        <w:rPr>
          <w:rFonts w:hint="eastAsia" w:asciiTheme="minorEastAsia" w:hAnsiTheme="minorEastAsia" w:eastAsiaTheme="minorEastAsia" w:cstheme="minorEastAsia"/>
          <w:color w:val="auto"/>
          <w:kern w:val="0"/>
          <w:sz w:val="24"/>
          <w:szCs w:val="24"/>
          <w:highlight w:val="none"/>
        </w:rPr>
        <w:t>5.2.2 承包人的质量管理</w:t>
      </w:r>
      <w:bookmarkEnd w:id="284"/>
    </w:p>
    <w:p w14:paraId="74C4F72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F1F9D6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承包人应对施工人员进行质量教育和技术培训，定期考核施工人员的劳动技能，严格执行施工规范和操作规程。</w:t>
      </w:r>
    </w:p>
    <w:p w14:paraId="5EB4672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承包人应按照法律规定和发包人的要求，对材料、工程设备以及工程的所有部位及其施工工艺进行全过程的质量检查和检验，并</w:t>
      </w:r>
      <w:r>
        <w:rPr>
          <w:rFonts w:hint="eastAsia" w:asciiTheme="minorEastAsia" w:hAnsiTheme="minorEastAsia" w:eastAsiaTheme="minorEastAsia" w:cstheme="minorEastAsia"/>
          <w:color w:val="auto"/>
          <w:kern w:val="0"/>
          <w:sz w:val="24"/>
          <w:szCs w:val="24"/>
          <w:highlight w:val="none"/>
          <w:lang w:eastAsia="zh-CN"/>
        </w:rPr>
        <w:t>做</w:t>
      </w:r>
      <w:r>
        <w:rPr>
          <w:rFonts w:hint="eastAsia" w:asciiTheme="minorEastAsia" w:hAnsiTheme="minorEastAsia" w:eastAsiaTheme="minorEastAsia" w:cstheme="minorEastAsia"/>
          <w:color w:val="auto"/>
          <w:kern w:val="0"/>
          <w:sz w:val="24"/>
          <w:szCs w:val="24"/>
          <w:highlight w:val="none"/>
        </w:rPr>
        <w:t>详细记录，编制工程质量报表，报送监理人审查。此外，承包人还应按照法律规定和发包人的要求，进行施工现场取样试验、工程复核测量和设备性能检测，提供试验样品、提交试验报告和测量成果以及其他工作。</w:t>
      </w:r>
    </w:p>
    <w:p w14:paraId="3BF64D17">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85" w:name="_Toc20751"/>
      <w:r>
        <w:rPr>
          <w:rFonts w:hint="eastAsia" w:asciiTheme="minorEastAsia" w:hAnsiTheme="minorEastAsia" w:eastAsiaTheme="minorEastAsia" w:cstheme="minorEastAsia"/>
          <w:color w:val="auto"/>
          <w:kern w:val="0"/>
          <w:sz w:val="24"/>
          <w:szCs w:val="24"/>
          <w:highlight w:val="none"/>
        </w:rPr>
        <w:t>5.2.3 监理人的质量检查和检验</w:t>
      </w:r>
      <w:bookmarkEnd w:id="285"/>
    </w:p>
    <w:p w14:paraId="04627DC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eastAsia" w:asciiTheme="minorEastAsia" w:hAnsiTheme="minorEastAsia" w:eastAsiaTheme="minorEastAsia" w:cstheme="minorEastAsia"/>
          <w:color w:val="auto"/>
          <w:kern w:val="0"/>
          <w:sz w:val="24"/>
          <w:szCs w:val="24"/>
          <w:highlight w:val="none"/>
          <w:lang w:eastAsia="zh-CN"/>
        </w:rPr>
        <w:t>查看</w:t>
      </w:r>
      <w:r>
        <w:rPr>
          <w:rFonts w:hint="eastAsia" w:asciiTheme="minorEastAsia" w:hAnsiTheme="minorEastAsia" w:eastAsiaTheme="minorEastAsia" w:cstheme="minorEastAsia"/>
          <w:color w:val="auto"/>
          <w:kern w:val="0"/>
          <w:sz w:val="24"/>
          <w:szCs w:val="24"/>
          <w:highlight w:val="none"/>
        </w:rPr>
        <w:t>和查阅施工原始记录。监理人为此进行的检查和检验，不免除或减轻承包人按照合同约定应当承担的责任。</w:t>
      </w:r>
    </w:p>
    <w:p w14:paraId="67F0B6E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F32109C">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86" w:name="_Toc351203535"/>
      <w:bookmarkStart w:id="287" w:name="_Toc16499"/>
      <w:r>
        <w:rPr>
          <w:rFonts w:hint="eastAsia" w:asciiTheme="minorEastAsia" w:hAnsiTheme="minorEastAsia" w:eastAsiaTheme="minorEastAsia" w:cstheme="minorEastAsia"/>
          <w:b w:val="0"/>
          <w:color w:val="auto"/>
          <w:sz w:val="24"/>
          <w:szCs w:val="24"/>
          <w:highlight w:val="none"/>
        </w:rPr>
        <w:t>5</w:t>
      </w:r>
      <w:bookmarkStart w:id="288" w:name="_Toc337558761"/>
      <w:r>
        <w:rPr>
          <w:rFonts w:hint="eastAsia" w:asciiTheme="minorEastAsia" w:hAnsiTheme="minorEastAsia" w:eastAsiaTheme="minorEastAsia" w:cstheme="minorEastAsia"/>
          <w:b w:val="0"/>
          <w:color w:val="auto"/>
          <w:sz w:val="24"/>
          <w:szCs w:val="24"/>
          <w:highlight w:val="none"/>
        </w:rPr>
        <w:t>.3 隐蔽工程检查</w:t>
      </w:r>
      <w:bookmarkEnd w:id="286"/>
      <w:bookmarkEnd w:id="287"/>
    </w:p>
    <w:bookmarkEnd w:id="288"/>
    <w:p w14:paraId="1083C924">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89" w:name="_Toc29711"/>
      <w:r>
        <w:rPr>
          <w:rFonts w:hint="eastAsia" w:asciiTheme="minorEastAsia" w:hAnsiTheme="minorEastAsia" w:eastAsiaTheme="minorEastAsia" w:cstheme="minorEastAsia"/>
          <w:color w:val="auto"/>
          <w:kern w:val="0"/>
          <w:sz w:val="24"/>
          <w:szCs w:val="24"/>
          <w:highlight w:val="none"/>
        </w:rPr>
        <w:t>5.3.1承包人自检</w:t>
      </w:r>
      <w:bookmarkEnd w:id="289"/>
    </w:p>
    <w:p w14:paraId="73D95F3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承包人应当对工程隐蔽部位进行自检，并经自检确认是否具备覆盖条件。</w:t>
      </w:r>
    </w:p>
    <w:p w14:paraId="670EE5E5">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90" w:name="_Toc30996"/>
      <w:r>
        <w:rPr>
          <w:rFonts w:hint="eastAsia" w:asciiTheme="minorEastAsia" w:hAnsiTheme="minorEastAsia" w:eastAsiaTheme="minorEastAsia" w:cstheme="minorEastAsia"/>
          <w:color w:val="auto"/>
          <w:kern w:val="0"/>
          <w:sz w:val="24"/>
          <w:szCs w:val="24"/>
          <w:highlight w:val="none"/>
        </w:rPr>
        <w:t>5.3.2检查程序</w:t>
      </w:r>
      <w:bookmarkEnd w:id="290"/>
    </w:p>
    <w:p w14:paraId="0B2E504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3F6A32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238AEB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w:t>
      </w:r>
      <w:r>
        <w:rPr>
          <w:rFonts w:hint="eastAsia" w:asciiTheme="minorEastAsia" w:hAnsiTheme="minorEastAsia" w:eastAsiaTheme="minorEastAsia" w:cstheme="minorEastAsia"/>
          <w:color w:val="auto"/>
          <w:kern w:val="0"/>
          <w:sz w:val="24"/>
          <w:szCs w:val="24"/>
          <w:highlight w:val="none"/>
          <w:lang w:eastAsia="zh-CN"/>
        </w:rPr>
        <w:t>做</w:t>
      </w:r>
      <w:r>
        <w:rPr>
          <w:rFonts w:hint="eastAsia" w:asciiTheme="minorEastAsia" w:hAnsiTheme="minorEastAsia" w:eastAsiaTheme="minorEastAsia" w:cstheme="minorEastAsia"/>
          <w:color w:val="auto"/>
          <w:kern w:val="0"/>
          <w:sz w:val="24"/>
          <w:szCs w:val="24"/>
          <w:highlight w:val="none"/>
        </w:rPr>
        <w:t>相应记录报送监理人，监理人应签字确认。监理人事后对检查记录有疑问的，可按第5.3.3项〔重新检查〕的约定重新检查。</w:t>
      </w:r>
    </w:p>
    <w:p w14:paraId="4D6D7BC2">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91" w:name="_Toc23272"/>
      <w:r>
        <w:rPr>
          <w:rFonts w:hint="eastAsia" w:asciiTheme="minorEastAsia" w:hAnsiTheme="minorEastAsia" w:eastAsiaTheme="minorEastAsia" w:cstheme="minorEastAsia"/>
          <w:color w:val="auto"/>
          <w:kern w:val="0"/>
          <w:sz w:val="24"/>
          <w:szCs w:val="24"/>
          <w:highlight w:val="none"/>
        </w:rPr>
        <w:t>5.3.3 重新检查</w:t>
      </w:r>
      <w:bookmarkEnd w:id="291"/>
    </w:p>
    <w:p w14:paraId="7A100C2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9601240">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292" w:name="_Toc12656"/>
      <w:r>
        <w:rPr>
          <w:rFonts w:hint="eastAsia" w:asciiTheme="minorEastAsia" w:hAnsiTheme="minorEastAsia" w:eastAsiaTheme="minorEastAsia" w:cstheme="minorEastAsia"/>
          <w:color w:val="auto"/>
          <w:kern w:val="0"/>
          <w:sz w:val="24"/>
          <w:szCs w:val="24"/>
          <w:highlight w:val="none"/>
        </w:rPr>
        <w:t>5.3.4 承包人私自覆盖</w:t>
      </w:r>
      <w:bookmarkEnd w:id="292"/>
    </w:p>
    <w:p w14:paraId="762ED02F">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2DCFCF3">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93" w:name="_Toc3517"/>
      <w:bookmarkStart w:id="294" w:name="_Toc351203536"/>
      <w:r>
        <w:rPr>
          <w:rFonts w:hint="eastAsia" w:asciiTheme="minorEastAsia" w:hAnsiTheme="minorEastAsia" w:eastAsiaTheme="minorEastAsia" w:cstheme="minorEastAsia"/>
          <w:b w:val="0"/>
          <w:color w:val="auto"/>
          <w:sz w:val="24"/>
          <w:szCs w:val="24"/>
          <w:highlight w:val="none"/>
        </w:rPr>
        <w:t>5</w:t>
      </w:r>
      <w:bookmarkStart w:id="295" w:name="_Toc337558762"/>
      <w:r>
        <w:rPr>
          <w:rFonts w:hint="eastAsia" w:asciiTheme="minorEastAsia" w:hAnsiTheme="minorEastAsia" w:eastAsiaTheme="minorEastAsia" w:cstheme="minorEastAsia"/>
          <w:b w:val="0"/>
          <w:color w:val="auto"/>
          <w:sz w:val="24"/>
          <w:szCs w:val="24"/>
          <w:highlight w:val="none"/>
        </w:rPr>
        <w:t>.4不合格工程的处理</w:t>
      </w:r>
      <w:bookmarkEnd w:id="293"/>
      <w:bookmarkEnd w:id="294"/>
    </w:p>
    <w:bookmarkEnd w:id="295"/>
    <w:p w14:paraId="789EAC7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A9AD0B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5.4.2 因发包人原因造成工程不合格的，由此增加的费用和（或）延误的工期由发包人承担，并支付承包人合理的利润。</w:t>
      </w:r>
    </w:p>
    <w:p w14:paraId="7FCCC0A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296" w:name="_Toc351203537"/>
      <w:bookmarkStart w:id="297" w:name="_Toc7514"/>
      <w:r>
        <w:rPr>
          <w:rFonts w:hint="eastAsia" w:asciiTheme="minorEastAsia" w:hAnsiTheme="minorEastAsia" w:eastAsiaTheme="minorEastAsia" w:cstheme="minorEastAsia"/>
          <w:b w:val="0"/>
          <w:color w:val="auto"/>
          <w:sz w:val="24"/>
          <w:szCs w:val="24"/>
          <w:highlight w:val="none"/>
        </w:rPr>
        <w:t>5.5 质量争议检测</w:t>
      </w:r>
      <w:bookmarkEnd w:id="296"/>
      <w:bookmarkEnd w:id="297"/>
    </w:p>
    <w:p w14:paraId="017EA93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合同当事人对工程质量有争议的，由双方协商确定的工程质量检测机构鉴定，由此产生的费用及因此造成的损失，由责任方承担。</w:t>
      </w:r>
    </w:p>
    <w:p w14:paraId="603B1B6D">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合同当事人均有责任的，由双方根据其责任分别承担。合同当事人无法达成一致的，按照第4.4款〔商定或确定〕执行。</w:t>
      </w:r>
    </w:p>
    <w:p w14:paraId="31F14412">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298" w:name="_Toc351203538"/>
      <w:bookmarkStart w:id="299" w:name="_Toc29794"/>
      <w:r>
        <w:rPr>
          <w:rFonts w:hint="eastAsia" w:asciiTheme="minorEastAsia" w:hAnsiTheme="minorEastAsia" w:eastAsiaTheme="minorEastAsia" w:cstheme="minorEastAsia"/>
          <w:b w:val="0"/>
          <w:color w:val="auto"/>
          <w:sz w:val="24"/>
          <w:szCs w:val="24"/>
          <w:highlight w:val="none"/>
        </w:rPr>
        <w:t>6</w:t>
      </w:r>
      <w:bookmarkStart w:id="300" w:name="_Toc337558763"/>
      <w:r>
        <w:rPr>
          <w:rFonts w:hint="eastAsia" w:asciiTheme="minorEastAsia" w:hAnsiTheme="minorEastAsia" w:eastAsiaTheme="minorEastAsia" w:cstheme="minorEastAsia"/>
          <w:b w:val="0"/>
          <w:color w:val="auto"/>
          <w:sz w:val="24"/>
          <w:szCs w:val="24"/>
          <w:highlight w:val="none"/>
        </w:rPr>
        <w:t>. 安全文明施工与环境保护</w:t>
      </w:r>
      <w:bookmarkEnd w:id="298"/>
      <w:bookmarkEnd w:id="299"/>
    </w:p>
    <w:bookmarkEnd w:id="300"/>
    <w:p w14:paraId="3B0CFDB4">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01" w:name="_Toc351203539"/>
      <w:bookmarkStart w:id="302" w:name="_Toc17250"/>
      <w:r>
        <w:rPr>
          <w:rFonts w:hint="eastAsia" w:asciiTheme="minorEastAsia" w:hAnsiTheme="minorEastAsia" w:eastAsiaTheme="minorEastAsia" w:cstheme="minorEastAsia"/>
          <w:b w:val="0"/>
          <w:color w:val="auto"/>
          <w:sz w:val="24"/>
          <w:szCs w:val="24"/>
          <w:highlight w:val="none"/>
        </w:rPr>
        <w:t>6</w:t>
      </w:r>
      <w:bookmarkStart w:id="303" w:name="_Toc337558764"/>
      <w:r>
        <w:rPr>
          <w:rFonts w:hint="eastAsia" w:asciiTheme="minorEastAsia" w:hAnsiTheme="minorEastAsia" w:eastAsiaTheme="minorEastAsia" w:cstheme="minorEastAsia"/>
          <w:b w:val="0"/>
          <w:color w:val="auto"/>
          <w:sz w:val="24"/>
          <w:szCs w:val="24"/>
          <w:highlight w:val="none"/>
        </w:rPr>
        <w:t>.1安全文明施工</w:t>
      </w:r>
      <w:bookmarkEnd w:id="301"/>
      <w:bookmarkEnd w:id="302"/>
    </w:p>
    <w:bookmarkEnd w:id="303"/>
    <w:p w14:paraId="44C44FB0">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304" w:name="_Toc26893"/>
      <w:r>
        <w:rPr>
          <w:rFonts w:hint="eastAsia" w:asciiTheme="minorEastAsia" w:hAnsiTheme="minorEastAsia" w:eastAsiaTheme="minorEastAsia" w:cstheme="minorEastAsia"/>
          <w:color w:val="auto"/>
          <w:sz w:val="24"/>
          <w:szCs w:val="24"/>
          <w:highlight w:val="none"/>
        </w:rPr>
        <w:t>6.1.1安全生产要求</w:t>
      </w:r>
      <w:bookmarkEnd w:id="304"/>
    </w:p>
    <w:p w14:paraId="198A65E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A03675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Theme="minorEastAsia" w:hAnsiTheme="minorEastAsia" w:eastAsiaTheme="minorEastAsia" w:cstheme="minorEastAsia"/>
          <w:color w:val="auto"/>
          <w:kern w:val="0"/>
          <w:sz w:val="24"/>
          <w:szCs w:val="24"/>
          <w:highlight w:val="none"/>
        </w:rPr>
        <w:t>政府有关行政管理部门</w:t>
      </w:r>
      <w:r>
        <w:rPr>
          <w:rFonts w:hint="eastAsia" w:asciiTheme="minorEastAsia" w:hAnsiTheme="minorEastAsia" w:eastAsiaTheme="minorEastAsia" w:cstheme="minorEastAsia"/>
          <w:color w:val="auto"/>
          <w:sz w:val="24"/>
          <w:szCs w:val="24"/>
          <w:highlight w:val="none"/>
        </w:rPr>
        <w:t>采取应急措施。</w:t>
      </w:r>
    </w:p>
    <w:p w14:paraId="0DB7B1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因安全生产需要暂停施工的，按照第7.8款〔暂停施工〕的约定执行。</w:t>
      </w:r>
    </w:p>
    <w:p w14:paraId="2B27553D">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305" w:name="_Toc21305"/>
      <w:r>
        <w:rPr>
          <w:rFonts w:hint="eastAsia" w:asciiTheme="minorEastAsia" w:hAnsiTheme="minorEastAsia" w:eastAsiaTheme="minorEastAsia" w:cstheme="minorEastAsia"/>
          <w:color w:val="auto"/>
          <w:sz w:val="24"/>
          <w:szCs w:val="24"/>
          <w:highlight w:val="none"/>
        </w:rPr>
        <w:t>6.1.2 安全生产保证措施</w:t>
      </w:r>
      <w:bookmarkEnd w:id="305"/>
    </w:p>
    <w:p w14:paraId="5A2FC09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承包人应当按照有关</w:t>
      </w:r>
      <w:r>
        <w:rPr>
          <w:rFonts w:hint="eastAsia" w:asciiTheme="minorEastAsia" w:hAnsiTheme="minorEastAsia" w:eastAsiaTheme="minorEastAsia" w:cstheme="minorEastAsia"/>
          <w:color w:val="auto"/>
          <w:kern w:val="0"/>
          <w:sz w:val="24"/>
          <w:szCs w:val="24"/>
          <w:highlight w:val="none"/>
        </w:rPr>
        <w:t>规定编制安全技术措施或者专项施工方案，</w:t>
      </w:r>
      <w:r>
        <w:rPr>
          <w:rFonts w:hint="eastAsia" w:asciiTheme="minorEastAsia" w:hAnsiTheme="minorEastAsia" w:eastAsiaTheme="minorEastAsia" w:cstheme="minorEastAsia"/>
          <w:color w:val="auto"/>
          <w:sz w:val="24"/>
          <w:szCs w:val="24"/>
          <w:highlight w:val="none"/>
        </w:rPr>
        <w:t>建立安全生产责任制度、治安保卫制度及安全生产教育培训制度，并</w:t>
      </w:r>
      <w:r>
        <w:rPr>
          <w:rFonts w:hint="eastAsia" w:asciiTheme="minorEastAsia" w:hAnsiTheme="minorEastAsia" w:eastAsiaTheme="minorEastAsia" w:cstheme="minorEastAsia"/>
          <w:color w:val="auto"/>
          <w:kern w:val="0"/>
          <w:sz w:val="24"/>
          <w:szCs w:val="24"/>
          <w:highlight w:val="none"/>
        </w:rPr>
        <w:t>按安全生产法律规定及合同约定履行安全职责，如实</w:t>
      </w:r>
      <w:r>
        <w:rPr>
          <w:rFonts w:hint="eastAsia" w:asciiTheme="minorEastAsia" w:hAnsiTheme="minorEastAsia" w:eastAsiaTheme="minorEastAsia" w:cstheme="minorEastAsia"/>
          <w:color w:val="auto"/>
          <w:sz w:val="24"/>
          <w:szCs w:val="24"/>
          <w:highlight w:val="none"/>
        </w:rPr>
        <w:t>编制工程安全生产的有关记录，</w:t>
      </w:r>
      <w:r>
        <w:rPr>
          <w:rFonts w:hint="eastAsia" w:asciiTheme="minorEastAsia" w:hAnsiTheme="minorEastAsia" w:eastAsiaTheme="minorEastAsia" w:cstheme="minorEastAsia"/>
          <w:color w:val="auto"/>
          <w:kern w:val="0"/>
          <w:sz w:val="24"/>
          <w:szCs w:val="24"/>
          <w:highlight w:val="none"/>
        </w:rPr>
        <w:t>接受发包人、监理人及政府安全监督部门的检查与监督。</w:t>
      </w:r>
    </w:p>
    <w:p w14:paraId="35BAAACE">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306" w:name="_Toc2459"/>
      <w:r>
        <w:rPr>
          <w:rFonts w:hint="eastAsia" w:asciiTheme="minorEastAsia" w:hAnsiTheme="minorEastAsia" w:eastAsiaTheme="minorEastAsia" w:cstheme="minorEastAsia"/>
          <w:color w:val="auto"/>
          <w:sz w:val="24"/>
          <w:szCs w:val="24"/>
          <w:highlight w:val="none"/>
        </w:rPr>
        <w:t>6.1.3特别安全生产事项</w:t>
      </w:r>
      <w:bookmarkEnd w:id="306"/>
    </w:p>
    <w:p w14:paraId="11D8659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承包人应按照法律规定进行施工，开工前做好安全技术交底工作</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color w:val="auto"/>
          <w:sz w:val="24"/>
          <w:szCs w:val="24"/>
          <w:highlight w:val="none"/>
        </w:rPr>
        <w:t>施工过程中做好各项安全防护措施。承包人为实施合同而雇用的特殊工种的人员应受过专门的培训并已取得政府有关管理机构颁发的上岗证书。</w:t>
      </w:r>
    </w:p>
    <w:p w14:paraId="46FC97F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2C571AB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8293AE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需单独编制危险性较大分部分项专项工程施工方案的</w:t>
      </w:r>
      <w:r>
        <w:rPr>
          <w:rFonts w:hint="eastAsia" w:asciiTheme="minorEastAsia" w:hAnsiTheme="minorEastAsia" w:eastAsiaTheme="minorEastAsia" w:cstheme="minorEastAsia"/>
          <w:color w:val="auto"/>
          <w:sz w:val="24"/>
          <w:szCs w:val="24"/>
          <w:highlight w:val="none"/>
          <w:lang w:eastAsia="zh-CN"/>
        </w:rPr>
        <w:t>，以</w:t>
      </w:r>
      <w:r>
        <w:rPr>
          <w:rFonts w:hint="eastAsia" w:asciiTheme="minorEastAsia" w:hAnsiTheme="minorEastAsia" w:eastAsiaTheme="minorEastAsia" w:cstheme="minorEastAsia"/>
          <w:color w:val="auto"/>
          <w:sz w:val="24"/>
          <w:szCs w:val="24"/>
          <w:highlight w:val="none"/>
        </w:rPr>
        <w:t>及要求进行专家论证的超过一定规模的危险性较大的分部分项工程，承包人应及时编制和组织论证。</w:t>
      </w:r>
    </w:p>
    <w:p w14:paraId="26C8EFC9">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307" w:name="_Toc13434"/>
      <w:r>
        <w:rPr>
          <w:rFonts w:hint="eastAsia" w:asciiTheme="minorEastAsia" w:hAnsiTheme="minorEastAsia" w:eastAsiaTheme="minorEastAsia" w:cstheme="minorEastAsia"/>
          <w:color w:val="auto"/>
          <w:sz w:val="24"/>
          <w:szCs w:val="24"/>
          <w:highlight w:val="none"/>
        </w:rPr>
        <w:t>6.1.4 治安保卫</w:t>
      </w:r>
      <w:bookmarkEnd w:id="307"/>
    </w:p>
    <w:p w14:paraId="2A59BC6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316CEB4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发包人和承包人除应协助现场治安管理机构或联防组织维护施工场地的社会治安外，还应做好包括生活区在内的各自管辖区的治安保卫工作。</w:t>
      </w:r>
    </w:p>
    <w:p w14:paraId="3AF3537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846FE28">
      <w:pPr>
        <w:spacing w:line="360" w:lineRule="auto"/>
        <w:ind w:firstLine="480" w:firstLineChars="200"/>
        <w:outlineLvl w:val="2"/>
        <w:rPr>
          <w:rFonts w:hint="eastAsia" w:asciiTheme="minorEastAsia" w:hAnsiTheme="minorEastAsia" w:eastAsiaTheme="minorEastAsia" w:cstheme="minorEastAsia"/>
          <w:color w:val="auto"/>
          <w:kern w:val="0"/>
          <w:sz w:val="24"/>
          <w:szCs w:val="24"/>
          <w:highlight w:val="none"/>
        </w:rPr>
      </w:pPr>
      <w:bookmarkStart w:id="308" w:name="_Toc953"/>
      <w:r>
        <w:rPr>
          <w:rFonts w:hint="eastAsia" w:asciiTheme="minorEastAsia" w:hAnsiTheme="minorEastAsia" w:eastAsiaTheme="minorEastAsia" w:cstheme="minorEastAsia"/>
          <w:color w:val="auto"/>
          <w:sz w:val="24"/>
          <w:szCs w:val="24"/>
          <w:highlight w:val="none"/>
        </w:rPr>
        <w:t>6.1.5 文明施工</w:t>
      </w:r>
      <w:bookmarkEnd w:id="308"/>
    </w:p>
    <w:p w14:paraId="36C0011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B13188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7C862C6">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309" w:name="_Toc14480"/>
      <w:r>
        <w:rPr>
          <w:rFonts w:hint="eastAsia" w:asciiTheme="minorEastAsia" w:hAnsiTheme="minorEastAsia" w:eastAsiaTheme="minorEastAsia" w:cstheme="minorEastAsia"/>
          <w:color w:val="auto"/>
          <w:sz w:val="24"/>
          <w:szCs w:val="24"/>
          <w:highlight w:val="none"/>
        </w:rPr>
        <w:t>6.1.6 安全文明施工费</w:t>
      </w:r>
      <w:bookmarkEnd w:id="309"/>
    </w:p>
    <w:p w14:paraId="4FB918B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68CE949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9FEFDE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531337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78AA292">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10" w:name="_Toc15297"/>
      <w:r>
        <w:rPr>
          <w:rFonts w:hint="eastAsia" w:asciiTheme="minorEastAsia" w:hAnsiTheme="minorEastAsia" w:eastAsiaTheme="minorEastAsia" w:cstheme="minorEastAsia"/>
          <w:color w:val="auto"/>
          <w:kern w:val="0"/>
          <w:sz w:val="24"/>
          <w:szCs w:val="24"/>
          <w:highlight w:val="none"/>
        </w:rPr>
        <w:t>6.1.7 紧急情况处理</w:t>
      </w:r>
      <w:bookmarkEnd w:id="310"/>
    </w:p>
    <w:p w14:paraId="7AE1B36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CA6493D">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11" w:name="_Toc28863"/>
      <w:r>
        <w:rPr>
          <w:rFonts w:hint="eastAsia" w:asciiTheme="minorEastAsia" w:hAnsiTheme="minorEastAsia" w:eastAsiaTheme="minorEastAsia" w:cstheme="minorEastAsia"/>
          <w:color w:val="auto"/>
          <w:kern w:val="0"/>
          <w:sz w:val="24"/>
          <w:szCs w:val="24"/>
          <w:highlight w:val="none"/>
        </w:rPr>
        <w:t>6.1.8 事故处理</w:t>
      </w:r>
      <w:bookmarkEnd w:id="311"/>
    </w:p>
    <w:p w14:paraId="5B54293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955AC57">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12" w:name="_Toc27397"/>
      <w:r>
        <w:rPr>
          <w:rFonts w:hint="eastAsia" w:asciiTheme="minorEastAsia" w:hAnsiTheme="minorEastAsia" w:eastAsiaTheme="minorEastAsia" w:cstheme="minorEastAsia"/>
          <w:color w:val="auto"/>
          <w:kern w:val="0"/>
          <w:sz w:val="24"/>
          <w:szCs w:val="24"/>
          <w:highlight w:val="none"/>
        </w:rPr>
        <w:t>6.1.9 安全生产责任</w:t>
      </w:r>
      <w:bookmarkEnd w:id="312"/>
    </w:p>
    <w:p w14:paraId="1F5F6320">
      <w:pPr>
        <w:autoSpaceDE w:val="0"/>
        <w:autoSpaceDN w:val="0"/>
        <w:adjustRightInd w:val="0"/>
        <w:spacing w:line="360" w:lineRule="auto"/>
        <w:ind w:firstLine="480" w:firstLineChars="200"/>
        <w:jc w:val="left"/>
        <w:outlineLvl w:val="3"/>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6.1.9.1 发包人的安全责任</w:t>
      </w:r>
    </w:p>
    <w:p w14:paraId="7FC2150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发包人应负责赔偿以下各种情况造成的损失：</w:t>
      </w:r>
    </w:p>
    <w:p w14:paraId="42801F4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（1）工程或工程的任何部分对土地的占用所造成的第三者财产损失；</w:t>
      </w:r>
    </w:p>
    <w:p w14:paraId="4073213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（2）由于发包人原因在施工场地及其毗邻地带造成的第三者人身伤亡和财产损失；</w:t>
      </w:r>
    </w:p>
    <w:p w14:paraId="43456F7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（3）由于发包人原因对承包人、监理人造成的人员人身伤亡和财产损失；</w:t>
      </w:r>
    </w:p>
    <w:p w14:paraId="1BA340E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（4）由于发包人原因造成的发包人自身人员的人身伤害以及财产损失。</w:t>
      </w:r>
    </w:p>
    <w:p w14:paraId="7BF75CDA">
      <w:pPr>
        <w:autoSpaceDE w:val="0"/>
        <w:autoSpaceDN w:val="0"/>
        <w:adjustRightInd w:val="0"/>
        <w:spacing w:line="360" w:lineRule="auto"/>
        <w:ind w:firstLine="480" w:firstLineChars="200"/>
        <w:jc w:val="left"/>
        <w:outlineLvl w:val="3"/>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6.1.9.2 承包人的安全责任</w:t>
      </w:r>
    </w:p>
    <w:p w14:paraId="1CDF09A1">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由于承包人原因在施工场地内及其毗邻地带造成的发包人、监理人以及第三者人员伤亡和财产损失，由承包人负责赔偿。</w:t>
      </w:r>
    </w:p>
    <w:p w14:paraId="03F47B1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13" w:name="_Toc29093"/>
      <w:bookmarkStart w:id="314" w:name="_Toc351203540"/>
      <w:r>
        <w:rPr>
          <w:rFonts w:hint="eastAsia" w:asciiTheme="minorEastAsia" w:hAnsiTheme="minorEastAsia" w:eastAsiaTheme="minorEastAsia" w:cstheme="minorEastAsia"/>
          <w:b w:val="0"/>
          <w:color w:val="auto"/>
          <w:sz w:val="24"/>
          <w:szCs w:val="24"/>
          <w:highlight w:val="none"/>
        </w:rPr>
        <w:t>6</w:t>
      </w:r>
      <w:bookmarkStart w:id="315" w:name="_Toc337558765"/>
      <w:r>
        <w:rPr>
          <w:rFonts w:hint="eastAsia" w:asciiTheme="minorEastAsia" w:hAnsiTheme="minorEastAsia" w:eastAsiaTheme="minorEastAsia" w:cstheme="minorEastAsia"/>
          <w:b w:val="0"/>
          <w:color w:val="auto"/>
          <w:sz w:val="24"/>
          <w:szCs w:val="24"/>
          <w:highlight w:val="none"/>
        </w:rPr>
        <w:t>.2 职业健康</w:t>
      </w:r>
      <w:bookmarkEnd w:id="313"/>
      <w:bookmarkEnd w:id="314"/>
    </w:p>
    <w:bookmarkEnd w:id="315"/>
    <w:p w14:paraId="60C0FF7D">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16" w:name="_Toc31192"/>
      <w:r>
        <w:rPr>
          <w:rFonts w:hint="eastAsia" w:asciiTheme="minorEastAsia" w:hAnsiTheme="minorEastAsia" w:eastAsiaTheme="minorEastAsia" w:cstheme="minorEastAsia"/>
          <w:color w:val="auto"/>
          <w:kern w:val="0"/>
          <w:sz w:val="24"/>
          <w:szCs w:val="24"/>
          <w:highlight w:val="none"/>
        </w:rPr>
        <w:t>6.2.1 劳动保护</w:t>
      </w:r>
      <w:bookmarkEnd w:id="316"/>
    </w:p>
    <w:p w14:paraId="54E1B77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C6B948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承包人应按照法律规定保障现场施工人员的劳动安全，并提供劳动保护</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1CF692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2400A684">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17" w:name="_Toc22456"/>
      <w:r>
        <w:rPr>
          <w:rFonts w:hint="eastAsia" w:asciiTheme="minorEastAsia" w:hAnsiTheme="minorEastAsia" w:eastAsiaTheme="minorEastAsia" w:cstheme="minorEastAsia"/>
          <w:color w:val="auto"/>
          <w:kern w:val="0"/>
          <w:sz w:val="24"/>
          <w:szCs w:val="24"/>
          <w:highlight w:val="none"/>
        </w:rPr>
        <w:t>6.2.2 生活条件</w:t>
      </w:r>
      <w:bookmarkEnd w:id="317"/>
    </w:p>
    <w:p w14:paraId="419ABDD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 在远离城镇的施工场地，还应配备必要的伤病防治和急救的医务人员与医疗设施。</w:t>
      </w:r>
    </w:p>
    <w:p w14:paraId="0A7593C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18" w:name="_Toc15010"/>
      <w:bookmarkStart w:id="319" w:name="_Toc351203541"/>
      <w:r>
        <w:rPr>
          <w:rFonts w:hint="eastAsia" w:asciiTheme="minorEastAsia" w:hAnsiTheme="minorEastAsia" w:eastAsiaTheme="minorEastAsia" w:cstheme="minorEastAsia"/>
          <w:b w:val="0"/>
          <w:color w:val="auto"/>
          <w:sz w:val="24"/>
          <w:szCs w:val="24"/>
          <w:highlight w:val="none"/>
        </w:rPr>
        <w:t>6</w:t>
      </w:r>
      <w:bookmarkStart w:id="320" w:name="_Toc337558766"/>
      <w:r>
        <w:rPr>
          <w:rFonts w:hint="eastAsia" w:asciiTheme="minorEastAsia" w:hAnsiTheme="minorEastAsia" w:eastAsiaTheme="minorEastAsia" w:cstheme="minorEastAsia"/>
          <w:b w:val="0"/>
          <w:color w:val="auto"/>
          <w:sz w:val="24"/>
          <w:szCs w:val="24"/>
          <w:highlight w:val="none"/>
        </w:rPr>
        <w:t>.3 环境保护</w:t>
      </w:r>
      <w:bookmarkEnd w:id="318"/>
      <w:bookmarkEnd w:id="319"/>
    </w:p>
    <w:bookmarkEnd w:id="320"/>
    <w:p w14:paraId="4180675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承包人应在施工组织设计中列明环境保护的具体措施。在合同履行期间，承包人应采取合理措施保护施工现场环境。对施工作业过程中可能引起的大气、水、</w:t>
      </w:r>
      <w:r>
        <w:rPr>
          <w:rFonts w:hint="eastAsia" w:asciiTheme="minorEastAsia" w:hAnsiTheme="minorEastAsia" w:eastAsiaTheme="minorEastAsia" w:cstheme="minorEastAsia"/>
          <w:color w:val="auto"/>
          <w:kern w:val="0"/>
          <w:sz w:val="24"/>
          <w:szCs w:val="24"/>
          <w:highlight w:val="none"/>
          <w:lang w:eastAsia="zh-CN"/>
        </w:rPr>
        <w:t>噪声</w:t>
      </w:r>
      <w:r>
        <w:rPr>
          <w:rFonts w:hint="eastAsia" w:asciiTheme="minorEastAsia" w:hAnsiTheme="minorEastAsia" w:eastAsiaTheme="minorEastAsia" w:cstheme="minorEastAsia"/>
          <w:color w:val="auto"/>
          <w:kern w:val="0"/>
          <w:sz w:val="24"/>
          <w:szCs w:val="24"/>
          <w:highlight w:val="none"/>
        </w:rPr>
        <w:t>以及固体废物污染采取具体可行的防范措施。</w:t>
      </w:r>
    </w:p>
    <w:p w14:paraId="0B095F5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5346D4C8">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321" w:name="_Toc351203542"/>
      <w:bookmarkStart w:id="322" w:name="_Toc15477"/>
      <w:r>
        <w:rPr>
          <w:rFonts w:hint="eastAsia" w:asciiTheme="minorEastAsia" w:hAnsiTheme="minorEastAsia" w:eastAsiaTheme="minorEastAsia" w:cstheme="minorEastAsia"/>
          <w:b w:val="0"/>
          <w:color w:val="auto"/>
          <w:sz w:val="24"/>
          <w:szCs w:val="24"/>
          <w:highlight w:val="none"/>
        </w:rPr>
        <w:t>7</w:t>
      </w:r>
      <w:bookmarkStart w:id="323" w:name="_Toc337558767"/>
      <w:r>
        <w:rPr>
          <w:rFonts w:hint="eastAsia" w:asciiTheme="minorEastAsia" w:hAnsiTheme="minorEastAsia" w:eastAsiaTheme="minorEastAsia" w:cstheme="minorEastAsia"/>
          <w:b w:val="0"/>
          <w:color w:val="auto"/>
          <w:sz w:val="24"/>
          <w:szCs w:val="24"/>
          <w:highlight w:val="none"/>
        </w:rPr>
        <w:t>. 工期和进度</w:t>
      </w:r>
      <w:bookmarkEnd w:id="321"/>
      <w:bookmarkEnd w:id="322"/>
    </w:p>
    <w:bookmarkEnd w:id="323"/>
    <w:p w14:paraId="5ED53A90">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24" w:name="_Toc5815"/>
      <w:bookmarkStart w:id="325" w:name="_Toc351203543"/>
      <w:r>
        <w:rPr>
          <w:rFonts w:hint="eastAsia" w:asciiTheme="minorEastAsia" w:hAnsiTheme="minorEastAsia" w:eastAsiaTheme="minorEastAsia" w:cstheme="minorEastAsia"/>
          <w:b w:val="0"/>
          <w:color w:val="auto"/>
          <w:sz w:val="24"/>
          <w:szCs w:val="24"/>
          <w:highlight w:val="none"/>
        </w:rPr>
        <w:t>7</w:t>
      </w:r>
      <w:bookmarkStart w:id="326" w:name="_Toc337558768"/>
      <w:bookmarkStart w:id="327" w:name="_Toc296503066"/>
      <w:bookmarkStart w:id="328" w:name="_Toc296346567"/>
      <w:r>
        <w:rPr>
          <w:rFonts w:hint="eastAsia" w:asciiTheme="minorEastAsia" w:hAnsiTheme="minorEastAsia" w:eastAsiaTheme="minorEastAsia" w:cstheme="minorEastAsia"/>
          <w:b w:val="0"/>
          <w:color w:val="auto"/>
          <w:sz w:val="24"/>
          <w:szCs w:val="24"/>
          <w:highlight w:val="none"/>
        </w:rPr>
        <w:t>.1施工组织设计</w:t>
      </w:r>
      <w:bookmarkEnd w:id="324"/>
      <w:bookmarkEnd w:id="325"/>
    </w:p>
    <w:bookmarkEnd w:id="326"/>
    <w:p w14:paraId="7C16D578">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29" w:name="_Toc2667"/>
      <w:r>
        <w:rPr>
          <w:rFonts w:hint="eastAsia" w:asciiTheme="minorEastAsia" w:hAnsiTheme="minorEastAsia" w:eastAsiaTheme="minorEastAsia" w:cstheme="minorEastAsia"/>
          <w:color w:val="auto"/>
          <w:sz w:val="24"/>
          <w:szCs w:val="24"/>
          <w:highlight w:val="none"/>
        </w:rPr>
        <w:t xml:space="preserve">7.1.1 </w:t>
      </w:r>
      <w:r>
        <w:rPr>
          <w:rFonts w:hint="eastAsia" w:asciiTheme="minorEastAsia" w:hAnsiTheme="minorEastAsia" w:eastAsiaTheme="minorEastAsia" w:cstheme="minorEastAsia"/>
          <w:color w:val="auto"/>
          <w:kern w:val="0"/>
          <w:sz w:val="24"/>
          <w:szCs w:val="24"/>
          <w:highlight w:val="none"/>
        </w:rPr>
        <w:t>施工组织设计的内容</w:t>
      </w:r>
      <w:bookmarkEnd w:id="329"/>
    </w:p>
    <w:p w14:paraId="5C8F79E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施工组织设计应包含以下内容：</w:t>
      </w:r>
    </w:p>
    <w:p w14:paraId="1A84A8F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（1）施工方案； </w:t>
      </w:r>
    </w:p>
    <w:p w14:paraId="5B5F873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（2）施工现场平面布置图；</w:t>
      </w:r>
    </w:p>
    <w:p w14:paraId="72ABE83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（3）施工进度计划和保证措施； </w:t>
      </w:r>
    </w:p>
    <w:p w14:paraId="7324D4C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（4）劳动力及材料供应计划；</w:t>
      </w:r>
    </w:p>
    <w:p w14:paraId="4906388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（5）施工机械设备的选用；</w:t>
      </w:r>
    </w:p>
    <w:p w14:paraId="53E0C5E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（6）质量保证体系及措施；</w:t>
      </w:r>
    </w:p>
    <w:p w14:paraId="582F500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（7）安全生产、文明施工措施；</w:t>
      </w:r>
    </w:p>
    <w:p w14:paraId="11EF556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（8）环境保护、成本控制措施；</w:t>
      </w:r>
    </w:p>
    <w:p w14:paraId="52F1F0A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（9）合同当事人约定的其他内容。</w:t>
      </w:r>
    </w:p>
    <w:p w14:paraId="74A3898F">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30" w:name="_Toc721"/>
      <w:r>
        <w:rPr>
          <w:rFonts w:hint="eastAsia" w:asciiTheme="minorEastAsia" w:hAnsiTheme="minorEastAsia" w:eastAsiaTheme="minorEastAsia" w:cstheme="minorEastAsia"/>
          <w:color w:val="auto"/>
          <w:sz w:val="24"/>
          <w:szCs w:val="24"/>
          <w:highlight w:val="none"/>
        </w:rPr>
        <w:t xml:space="preserve">7.1.2 </w:t>
      </w:r>
      <w:r>
        <w:rPr>
          <w:rFonts w:hint="eastAsia" w:asciiTheme="minorEastAsia" w:hAnsiTheme="minorEastAsia" w:eastAsiaTheme="minorEastAsia" w:cstheme="minorEastAsia"/>
          <w:color w:val="auto"/>
          <w:kern w:val="0"/>
          <w:sz w:val="24"/>
          <w:szCs w:val="24"/>
          <w:highlight w:val="none"/>
        </w:rPr>
        <w:t>施工组织设计的提交和修改</w:t>
      </w:r>
      <w:bookmarkEnd w:id="330"/>
    </w:p>
    <w:p w14:paraId="6A40ACC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4012F5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施工进度计划的编制和修改按照第7.2款〔施工进度计划〕执行。</w:t>
      </w:r>
    </w:p>
    <w:p w14:paraId="4100B57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31" w:name="_Toc351203544"/>
      <w:bookmarkStart w:id="332" w:name="_Toc20041"/>
      <w:r>
        <w:rPr>
          <w:rFonts w:hint="eastAsia" w:asciiTheme="minorEastAsia" w:hAnsiTheme="minorEastAsia" w:eastAsiaTheme="minorEastAsia" w:cstheme="minorEastAsia"/>
          <w:b w:val="0"/>
          <w:color w:val="auto"/>
          <w:sz w:val="24"/>
          <w:szCs w:val="24"/>
          <w:highlight w:val="none"/>
        </w:rPr>
        <w:t>7</w:t>
      </w:r>
      <w:bookmarkStart w:id="333" w:name="_Toc337558769"/>
      <w:r>
        <w:rPr>
          <w:rFonts w:hint="eastAsia" w:asciiTheme="minorEastAsia" w:hAnsiTheme="minorEastAsia" w:eastAsiaTheme="minorEastAsia" w:cstheme="minorEastAsia"/>
          <w:b w:val="0"/>
          <w:color w:val="auto"/>
          <w:sz w:val="24"/>
          <w:szCs w:val="24"/>
          <w:highlight w:val="none"/>
        </w:rPr>
        <w:t>.2 施工进度计划</w:t>
      </w:r>
      <w:bookmarkEnd w:id="331"/>
      <w:bookmarkEnd w:id="332"/>
    </w:p>
    <w:bookmarkEnd w:id="333"/>
    <w:p w14:paraId="0A456E4B">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34" w:name="_Toc84"/>
      <w:r>
        <w:rPr>
          <w:rFonts w:hint="eastAsia" w:asciiTheme="minorEastAsia" w:hAnsiTheme="minorEastAsia" w:eastAsiaTheme="minorEastAsia" w:cstheme="minorEastAsia"/>
          <w:color w:val="auto"/>
          <w:kern w:val="0"/>
          <w:sz w:val="24"/>
          <w:szCs w:val="24"/>
          <w:highlight w:val="none"/>
        </w:rPr>
        <w:t>7.2.1 施工进度计划的编制</w:t>
      </w:r>
      <w:bookmarkEnd w:id="334"/>
    </w:p>
    <w:p w14:paraId="52F27B9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D79A259">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35" w:name="_Toc21900"/>
      <w:r>
        <w:rPr>
          <w:rFonts w:hint="eastAsia" w:asciiTheme="minorEastAsia" w:hAnsiTheme="minorEastAsia" w:eastAsiaTheme="minorEastAsia" w:cstheme="minorEastAsia"/>
          <w:color w:val="auto"/>
          <w:sz w:val="24"/>
          <w:szCs w:val="24"/>
          <w:highlight w:val="none"/>
        </w:rPr>
        <w:t>7.2.2 施工进度计划的修订</w:t>
      </w:r>
      <w:bookmarkEnd w:id="335"/>
    </w:p>
    <w:p w14:paraId="07CB115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EA651B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36" w:name="_Toc351203545"/>
      <w:bookmarkStart w:id="337" w:name="_Toc22988"/>
      <w:r>
        <w:rPr>
          <w:rFonts w:hint="eastAsia" w:asciiTheme="minorEastAsia" w:hAnsiTheme="minorEastAsia" w:eastAsiaTheme="minorEastAsia" w:cstheme="minorEastAsia"/>
          <w:b w:val="0"/>
          <w:color w:val="auto"/>
          <w:sz w:val="24"/>
          <w:szCs w:val="24"/>
          <w:highlight w:val="none"/>
        </w:rPr>
        <w:t>7</w:t>
      </w:r>
      <w:bookmarkStart w:id="338" w:name="_Toc337558770"/>
      <w:r>
        <w:rPr>
          <w:rFonts w:hint="eastAsia" w:asciiTheme="minorEastAsia" w:hAnsiTheme="minorEastAsia" w:eastAsiaTheme="minorEastAsia" w:cstheme="minorEastAsia"/>
          <w:b w:val="0"/>
          <w:color w:val="auto"/>
          <w:sz w:val="24"/>
          <w:szCs w:val="24"/>
          <w:highlight w:val="none"/>
        </w:rPr>
        <w:t>.3 开工</w:t>
      </w:r>
      <w:bookmarkEnd w:id="336"/>
      <w:bookmarkEnd w:id="337"/>
    </w:p>
    <w:p w14:paraId="2814B4D0">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339" w:name="_Toc12170"/>
      <w:r>
        <w:rPr>
          <w:rFonts w:hint="eastAsia" w:asciiTheme="minorEastAsia" w:hAnsiTheme="minorEastAsia" w:eastAsiaTheme="minorEastAsia" w:cstheme="minorEastAsia"/>
          <w:color w:val="auto"/>
          <w:kern w:val="0"/>
          <w:sz w:val="24"/>
          <w:szCs w:val="24"/>
          <w:highlight w:val="none"/>
        </w:rPr>
        <w:t>7.3.1 开工准备</w:t>
      </w:r>
      <w:bookmarkEnd w:id="339"/>
    </w:p>
    <w:p w14:paraId="239DA79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1EC5CC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除专用合同条款另有约定外，合同当事人应按约定完成开工准备工作。</w:t>
      </w:r>
    </w:p>
    <w:p w14:paraId="6286B126">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40" w:name="_Toc31810"/>
      <w:r>
        <w:rPr>
          <w:rFonts w:hint="eastAsia" w:asciiTheme="minorEastAsia" w:hAnsiTheme="minorEastAsia" w:eastAsiaTheme="minorEastAsia" w:cstheme="minorEastAsia"/>
          <w:color w:val="auto"/>
          <w:kern w:val="0"/>
          <w:sz w:val="24"/>
          <w:szCs w:val="24"/>
          <w:highlight w:val="none"/>
        </w:rPr>
        <w:t>7.3.2 开工通知</w:t>
      </w:r>
      <w:bookmarkEnd w:id="340"/>
    </w:p>
    <w:bookmarkEnd w:id="338"/>
    <w:p w14:paraId="7739E1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4C36E1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3340A22">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41" w:name="_Toc351203546"/>
      <w:bookmarkStart w:id="342" w:name="_Toc3054"/>
      <w:r>
        <w:rPr>
          <w:rFonts w:hint="eastAsia" w:asciiTheme="minorEastAsia" w:hAnsiTheme="minorEastAsia" w:eastAsiaTheme="minorEastAsia" w:cstheme="minorEastAsia"/>
          <w:b w:val="0"/>
          <w:color w:val="auto"/>
          <w:sz w:val="24"/>
          <w:szCs w:val="24"/>
          <w:highlight w:val="none"/>
        </w:rPr>
        <w:t>7.4测量放线</w:t>
      </w:r>
      <w:bookmarkEnd w:id="341"/>
      <w:bookmarkEnd w:id="342"/>
    </w:p>
    <w:p w14:paraId="1382D11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36FD35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C52248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0D3D59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施工过程中对施工现场内水准点等测量标志物的保护工作由承包人负责。</w:t>
      </w:r>
      <w:bookmarkStart w:id="343" w:name="_Toc351203547"/>
    </w:p>
    <w:p w14:paraId="7434360F">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44" w:name="_Toc7265"/>
      <w:r>
        <w:rPr>
          <w:rFonts w:hint="eastAsia" w:asciiTheme="minorEastAsia" w:hAnsiTheme="minorEastAsia" w:eastAsiaTheme="minorEastAsia" w:cstheme="minorEastAsia"/>
          <w:b w:val="0"/>
          <w:color w:val="auto"/>
          <w:sz w:val="24"/>
          <w:szCs w:val="24"/>
          <w:highlight w:val="none"/>
        </w:rPr>
        <w:t>7</w:t>
      </w:r>
      <w:bookmarkEnd w:id="327"/>
      <w:bookmarkEnd w:id="328"/>
      <w:bookmarkStart w:id="345" w:name="_Toc296346574"/>
      <w:bookmarkStart w:id="346" w:name="_Toc296503073"/>
      <w:bookmarkStart w:id="347" w:name="_Toc337558772"/>
      <w:r>
        <w:rPr>
          <w:rFonts w:hint="eastAsia" w:asciiTheme="minorEastAsia" w:hAnsiTheme="minorEastAsia" w:eastAsiaTheme="minorEastAsia" w:cstheme="minorEastAsia"/>
          <w:b w:val="0"/>
          <w:color w:val="auto"/>
          <w:sz w:val="24"/>
          <w:szCs w:val="24"/>
          <w:highlight w:val="none"/>
        </w:rPr>
        <w:t>.5 工期延误</w:t>
      </w:r>
      <w:bookmarkEnd w:id="343"/>
      <w:bookmarkEnd w:id="344"/>
    </w:p>
    <w:bookmarkEnd w:id="345"/>
    <w:bookmarkEnd w:id="346"/>
    <w:bookmarkEnd w:id="347"/>
    <w:p w14:paraId="5F364E01">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48" w:name="_Toc2518"/>
      <w:r>
        <w:rPr>
          <w:rFonts w:hint="eastAsia" w:asciiTheme="minorEastAsia" w:hAnsiTheme="minorEastAsia" w:eastAsiaTheme="minorEastAsia" w:cstheme="minorEastAsia"/>
          <w:color w:val="auto"/>
          <w:kern w:val="0"/>
          <w:sz w:val="24"/>
          <w:szCs w:val="24"/>
          <w:highlight w:val="none"/>
        </w:rPr>
        <w:t>7.5.1 因发包人原因导致工期延误</w:t>
      </w:r>
      <w:bookmarkEnd w:id="348"/>
    </w:p>
    <w:p w14:paraId="5C247AB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在合同履行过程中，因下列情况导致工期延误和（或）费用增加的，由发包人承担由此延误的工期和（或）增加的费用，且发包人应支付承包人合理的利润： </w:t>
      </w:r>
    </w:p>
    <w:p w14:paraId="2743734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（1）发包人未能按合同约定提供图纸或所提供图纸不符合合同约定的；</w:t>
      </w:r>
    </w:p>
    <w:p w14:paraId="5ACC383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（2）发包人未能按合同约定提供施工现场、施工条件、基础资料、许可、批准等开工条件的；</w:t>
      </w:r>
    </w:p>
    <w:p w14:paraId="0C1E3BE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（3）发包人提供的测量基准点、基准线和水准点及其书面资料存在错误或疏漏的；</w:t>
      </w:r>
    </w:p>
    <w:p w14:paraId="33CF742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（4）发包人未能在计划开工日期之日起7天内同意下达开工通知的；</w:t>
      </w:r>
    </w:p>
    <w:p w14:paraId="7403B71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（5）发包人未能按合同约定日期支付工程预付款、进度款或竣工结算款的；</w:t>
      </w:r>
    </w:p>
    <w:p w14:paraId="7239B7B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（6）监理人未按合同约定发出指示、批准等文件的；</w:t>
      </w:r>
    </w:p>
    <w:p w14:paraId="70A3573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（7）专用合同条款中约定的其他情形。</w:t>
      </w:r>
    </w:p>
    <w:p w14:paraId="5F1EE10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165CE0F">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349" w:name="_Toc3448"/>
      <w:r>
        <w:rPr>
          <w:rFonts w:hint="eastAsia" w:asciiTheme="minorEastAsia" w:hAnsiTheme="minorEastAsia" w:eastAsiaTheme="minorEastAsia" w:cstheme="minorEastAsia"/>
          <w:color w:val="auto"/>
          <w:kern w:val="0"/>
          <w:sz w:val="24"/>
          <w:szCs w:val="24"/>
          <w:highlight w:val="none"/>
        </w:rPr>
        <w:t>7.5.2 因承包人原因导致工期延误</w:t>
      </w:r>
      <w:bookmarkEnd w:id="349"/>
    </w:p>
    <w:p w14:paraId="443C166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bookmarkStart w:id="350" w:name="_Toc296346577"/>
      <w:bookmarkStart w:id="351" w:name="_Toc296503076"/>
      <w:r>
        <w:rPr>
          <w:rFonts w:hint="eastAsia" w:asciiTheme="minorEastAsia" w:hAnsiTheme="minorEastAsia" w:eastAsiaTheme="minorEastAsia" w:cstheme="minorEastAsia"/>
          <w:color w:val="auto"/>
          <w:kern w:val="0"/>
          <w:sz w:val="24"/>
          <w:szCs w:val="24"/>
          <w:highlight w:val="none"/>
        </w:rPr>
        <w:t>因</w:t>
      </w:r>
      <w:bookmarkEnd w:id="350"/>
      <w:bookmarkEnd w:id="351"/>
      <w:r>
        <w:rPr>
          <w:rFonts w:hint="eastAsia" w:asciiTheme="minorEastAsia" w:hAnsiTheme="minorEastAsia" w:eastAsiaTheme="minorEastAsia" w:cstheme="minorEastAsia"/>
          <w:color w:val="auto"/>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ECAD42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52" w:name="_Toc25917"/>
      <w:bookmarkStart w:id="353" w:name="_Toc351203548"/>
      <w:r>
        <w:rPr>
          <w:rFonts w:hint="eastAsia" w:asciiTheme="minorEastAsia" w:hAnsiTheme="minorEastAsia" w:eastAsiaTheme="minorEastAsia" w:cstheme="minorEastAsia"/>
          <w:b w:val="0"/>
          <w:color w:val="auto"/>
          <w:sz w:val="24"/>
          <w:szCs w:val="24"/>
          <w:highlight w:val="none"/>
        </w:rPr>
        <w:t>7</w:t>
      </w:r>
      <w:bookmarkStart w:id="354" w:name="_Toc296346575"/>
      <w:bookmarkStart w:id="355" w:name="_Toc296503074"/>
      <w:bookmarkStart w:id="356" w:name="_Toc337558773"/>
      <w:bookmarkStart w:id="357" w:name="_Toc296503077"/>
      <w:bookmarkStart w:id="358" w:name="_Toc296346578"/>
      <w:r>
        <w:rPr>
          <w:rFonts w:hint="eastAsia" w:asciiTheme="minorEastAsia" w:hAnsiTheme="minorEastAsia" w:eastAsiaTheme="minorEastAsia" w:cstheme="minorEastAsia"/>
          <w:b w:val="0"/>
          <w:color w:val="auto"/>
          <w:sz w:val="24"/>
          <w:szCs w:val="24"/>
          <w:highlight w:val="none"/>
        </w:rPr>
        <w:t>.6 不利物质条件</w:t>
      </w:r>
      <w:bookmarkEnd w:id="352"/>
      <w:bookmarkEnd w:id="353"/>
    </w:p>
    <w:bookmarkEnd w:id="354"/>
    <w:bookmarkEnd w:id="355"/>
    <w:bookmarkEnd w:id="356"/>
    <w:p w14:paraId="6309502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77B389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EF53956">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59" w:name="_Toc351203549"/>
      <w:bookmarkStart w:id="360" w:name="_Toc8672"/>
      <w:r>
        <w:rPr>
          <w:rFonts w:hint="eastAsia" w:asciiTheme="minorEastAsia" w:hAnsiTheme="minorEastAsia" w:eastAsiaTheme="minorEastAsia" w:cstheme="minorEastAsia"/>
          <w:b w:val="0"/>
          <w:color w:val="auto"/>
          <w:sz w:val="24"/>
          <w:szCs w:val="24"/>
          <w:highlight w:val="none"/>
        </w:rPr>
        <w:t>7</w:t>
      </w:r>
      <w:bookmarkStart w:id="361" w:name="_Toc296503075"/>
      <w:bookmarkStart w:id="362" w:name="_Toc296346576"/>
      <w:bookmarkStart w:id="363" w:name="_Toc337558774"/>
      <w:r>
        <w:rPr>
          <w:rFonts w:hint="eastAsia" w:asciiTheme="minorEastAsia" w:hAnsiTheme="minorEastAsia" w:eastAsiaTheme="minorEastAsia" w:cstheme="minorEastAsia"/>
          <w:b w:val="0"/>
          <w:color w:val="auto"/>
          <w:sz w:val="24"/>
          <w:szCs w:val="24"/>
          <w:highlight w:val="none"/>
        </w:rPr>
        <w:t>.7 异常恶劣的气候条件</w:t>
      </w:r>
      <w:bookmarkEnd w:id="359"/>
      <w:bookmarkEnd w:id="360"/>
    </w:p>
    <w:bookmarkEnd w:id="361"/>
    <w:bookmarkEnd w:id="362"/>
    <w:bookmarkEnd w:id="363"/>
    <w:p w14:paraId="5CA8339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6A0D41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64" w:name="_Toc351203550"/>
    </w:p>
    <w:p w14:paraId="02FDEB19">
      <w:pPr>
        <w:autoSpaceDE w:val="0"/>
        <w:autoSpaceDN w:val="0"/>
        <w:adjustRightInd w:val="0"/>
        <w:spacing w:line="360" w:lineRule="auto"/>
        <w:ind w:firstLine="480" w:firstLineChars="200"/>
        <w:jc w:val="left"/>
        <w:outlineLvl w:val="1"/>
        <w:rPr>
          <w:rFonts w:hint="eastAsia" w:asciiTheme="minorEastAsia" w:hAnsiTheme="minorEastAsia" w:eastAsiaTheme="minorEastAsia" w:cstheme="minorEastAsia"/>
          <w:bCs/>
          <w:color w:val="auto"/>
          <w:sz w:val="24"/>
          <w:szCs w:val="24"/>
          <w:highlight w:val="none"/>
        </w:rPr>
      </w:pPr>
      <w:bookmarkStart w:id="365" w:name="_Toc7251"/>
      <w:r>
        <w:rPr>
          <w:rFonts w:hint="eastAsia" w:asciiTheme="minorEastAsia" w:hAnsiTheme="minorEastAsia" w:eastAsiaTheme="minorEastAsia" w:cstheme="minorEastAsia"/>
          <w:bCs/>
          <w:color w:val="auto"/>
          <w:sz w:val="24"/>
          <w:szCs w:val="24"/>
          <w:highlight w:val="none"/>
        </w:rPr>
        <w:t>7</w:t>
      </w:r>
      <w:bookmarkStart w:id="366" w:name="_Toc337558775"/>
      <w:r>
        <w:rPr>
          <w:rFonts w:hint="eastAsia" w:asciiTheme="minorEastAsia" w:hAnsiTheme="minorEastAsia" w:eastAsiaTheme="minorEastAsia" w:cstheme="minorEastAsia"/>
          <w:bCs/>
          <w:color w:val="auto"/>
          <w:sz w:val="24"/>
          <w:szCs w:val="24"/>
          <w:highlight w:val="none"/>
        </w:rPr>
        <w:t>.8 暂停施工</w:t>
      </w:r>
      <w:bookmarkEnd w:id="364"/>
      <w:bookmarkEnd w:id="365"/>
    </w:p>
    <w:bookmarkEnd w:id="357"/>
    <w:bookmarkEnd w:id="358"/>
    <w:bookmarkEnd w:id="366"/>
    <w:p w14:paraId="4691092F">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67" w:name="_Toc26452"/>
      <w:r>
        <w:rPr>
          <w:rFonts w:hint="eastAsia" w:asciiTheme="minorEastAsia" w:hAnsiTheme="minorEastAsia" w:eastAsiaTheme="minorEastAsia" w:cstheme="minorEastAsia"/>
          <w:color w:val="auto"/>
          <w:kern w:val="0"/>
          <w:sz w:val="24"/>
          <w:szCs w:val="24"/>
          <w:highlight w:val="none"/>
        </w:rPr>
        <w:t>7.8.1发包人原因引起的暂停施工</w:t>
      </w:r>
      <w:bookmarkEnd w:id="367"/>
    </w:p>
    <w:p w14:paraId="49FD04E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38C7BCC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因发包人原因引起的暂停施工，发包人应承担由此增加的费用和（或）延误的工期，并支付承包人合理的利润。</w:t>
      </w:r>
    </w:p>
    <w:p w14:paraId="1B37E32D">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68" w:name="_Toc13551"/>
      <w:r>
        <w:rPr>
          <w:rFonts w:hint="eastAsia" w:asciiTheme="minorEastAsia" w:hAnsiTheme="minorEastAsia" w:eastAsiaTheme="minorEastAsia" w:cstheme="minorEastAsia"/>
          <w:color w:val="auto"/>
          <w:kern w:val="0"/>
          <w:sz w:val="24"/>
          <w:szCs w:val="24"/>
          <w:highlight w:val="none"/>
        </w:rPr>
        <w:t>7.8.2 承包人原因引起的暂停施工</w:t>
      </w:r>
      <w:bookmarkEnd w:id="368"/>
    </w:p>
    <w:p w14:paraId="744A109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4960B5A">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69" w:name="_Toc26423"/>
      <w:r>
        <w:rPr>
          <w:rFonts w:hint="eastAsia" w:asciiTheme="minorEastAsia" w:hAnsiTheme="minorEastAsia" w:eastAsiaTheme="minorEastAsia" w:cstheme="minorEastAsia"/>
          <w:color w:val="auto"/>
          <w:kern w:val="0"/>
          <w:sz w:val="24"/>
          <w:szCs w:val="24"/>
          <w:highlight w:val="none"/>
        </w:rPr>
        <w:t>7.8.3 指示暂停施工</w:t>
      </w:r>
      <w:bookmarkEnd w:id="369"/>
    </w:p>
    <w:p w14:paraId="1875D9A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监理人认为有必要时，并经发包人批准后，可向承包人作出暂停施工的指示，承包人应按监理人指示暂停施工。</w:t>
      </w:r>
    </w:p>
    <w:p w14:paraId="6459BC81">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70" w:name="_Toc19012"/>
      <w:r>
        <w:rPr>
          <w:rFonts w:hint="eastAsia" w:asciiTheme="minorEastAsia" w:hAnsiTheme="minorEastAsia" w:eastAsiaTheme="minorEastAsia" w:cstheme="minorEastAsia"/>
          <w:color w:val="auto"/>
          <w:kern w:val="0"/>
          <w:sz w:val="24"/>
          <w:szCs w:val="24"/>
          <w:highlight w:val="none"/>
        </w:rPr>
        <w:t>7.8.4 紧急情况下的暂停施工</w:t>
      </w:r>
      <w:bookmarkEnd w:id="370"/>
    </w:p>
    <w:p w14:paraId="060E3A9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E311663">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71" w:name="_Toc4576"/>
      <w:r>
        <w:rPr>
          <w:rFonts w:hint="eastAsia" w:asciiTheme="minorEastAsia" w:hAnsiTheme="minorEastAsia" w:eastAsiaTheme="minorEastAsia" w:cstheme="minorEastAsia"/>
          <w:color w:val="auto"/>
          <w:kern w:val="0"/>
          <w:sz w:val="24"/>
          <w:szCs w:val="24"/>
          <w:highlight w:val="none"/>
        </w:rPr>
        <w:t>7.8.5 暂停施工后的复工</w:t>
      </w:r>
      <w:bookmarkEnd w:id="371"/>
    </w:p>
    <w:p w14:paraId="6B36BF8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A89459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0D0BC703">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72" w:name="_Toc30044"/>
      <w:r>
        <w:rPr>
          <w:rFonts w:hint="eastAsia" w:asciiTheme="minorEastAsia" w:hAnsiTheme="minorEastAsia" w:eastAsiaTheme="minorEastAsia" w:cstheme="minorEastAsia"/>
          <w:color w:val="auto"/>
          <w:kern w:val="0"/>
          <w:sz w:val="24"/>
          <w:szCs w:val="24"/>
          <w:highlight w:val="none"/>
        </w:rPr>
        <w:t>7.8.6 暂停施工持续56天以上</w:t>
      </w:r>
      <w:bookmarkEnd w:id="372"/>
    </w:p>
    <w:p w14:paraId="5FDD5336">
      <w:pPr>
        <w:spacing w:line="360" w:lineRule="auto"/>
        <w:ind w:firstLine="468" w:firstLineChars="19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00793CD3">
      <w:pPr>
        <w:spacing w:line="360" w:lineRule="auto"/>
        <w:ind w:firstLine="468" w:firstLineChars="19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F4304E9">
      <w:pPr>
        <w:spacing w:line="360" w:lineRule="auto"/>
        <w:ind w:left="16" w:leftChars="0" w:firstLine="468" w:firstLineChars="195"/>
        <w:jc w:val="left"/>
        <w:outlineLvl w:val="2"/>
        <w:rPr>
          <w:rFonts w:hint="eastAsia" w:asciiTheme="minorEastAsia" w:hAnsiTheme="minorEastAsia" w:eastAsiaTheme="minorEastAsia" w:cstheme="minorEastAsia"/>
          <w:color w:val="auto"/>
          <w:kern w:val="0"/>
          <w:sz w:val="24"/>
          <w:szCs w:val="24"/>
          <w:highlight w:val="none"/>
        </w:rPr>
      </w:pPr>
      <w:bookmarkStart w:id="373" w:name="_Toc30682"/>
      <w:r>
        <w:rPr>
          <w:rFonts w:hint="eastAsia" w:asciiTheme="minorEastAsia" w:hAnsiTheme="minorEastAsia" w:eastAsiaTheme="minorEastAsia" w:cstheme="minorEastAsia"/>
          <w:color w:val="auto"/>
          <w:kern w:val="0"/>
          <w:sz w:val="24"/>
          <w:szCs w:val="24"/>
          <w:highlight w:val="none"/>
        </w:rPr>
        <w:t>7.8.7 暂停施工期间的工程照管</w:t>
      </w:r>
      <w:bookmarkEnd w:id="373"/>
    </w:p>
    <w:p w14:paraId="68D3582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暂停施工期间，承包人应负责妥善照管工程并提供安全保障，由此增加的费用由责任方承担。</w:t>
      </w:r>
    </w:p>
    <w:p w14:paraId="25EE3FBD">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374" w:name="_Toc9043"/>
      <w:r>
        <w:rPr>
          <w:rFonts w:hint="eastAsia" w:asciiTheme="minorEastAsia" w:hAnsiTheme="minorEastAsia" w:eastAsiaTheme="minorEastAsia" w:cstheme="minorEastAsia"/>
          <w:color w:val="auto"/>
          <w:kern w:val="0"/>
          <w:sz w:val="24"/>
          <w:szCs w:val="24"/>
          <w:highlight w:val="none"/>
        </w:rPr>
        <w:t>7.8.8 暂停施工的措施</w:t>
      </w:r>
      <w:bookmarkEnd w:id="374"/>
    </w:p>
    <w:p w14:paraId="78D15F4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暂停施工期间，发包人和承包人均应采取必要的措施确保工程质量及安全，防止因暂停施工扩大损失。</w:t>
      </w:r>
    </w:p>
    <w:p w14:paraId="67267F8C">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75" w:name="_Toc9149"/>
      <w:bookmarkStart w:id="376" w:name="_Toc351203551"/>
      <w:r>
        <w:rPr>
          <w:rFonts w:hint="eastAsia" w:asciiTheme="minorEastAsia" w:hAnsiTheme="minorEastAsia" w:eastAsiaTheme="minorEastAsia" w:cstheme="minorEastAsia"/>
          <w:b w:val="0"/>
          <w:color w:val="auto"/>
          <w:sz w:val="24"/>
          <w:szCs w:val="24"/>
          <w:highlight w:val="none"/>
        </w:rPr>
        <w:t>7.9提前竣工</w:t>
      </w:r>
      <w:bookmarkEnd w:id="375"/>
      <w:bookmarkEnd w:id="376"/>
    </w:p>
    <w:p w14:paraId="788FBF8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0FD01A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7.9.2 发包人要求承包人提前竣工，或承包人提出提前竣工的建议能够给发包人带来效益的，合同当事人可以在专用合同条款中约定提前竣工的奖励。</w:t>
      </w:r>
    </w:p>
    <w:p w14:paraId="38C3E806">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377" w:name="_Toc1771"/>
      <w:bookmarkStart w:id="378" w:name="_Toc351203552"/>
      <w:r>
        <w:rPr>
          <w:rFonts w:hint="eastAsia" w:asciiTheme="minorEastAsia" w:hAnsiTheme="minorEastAsia" w:eastAsiaTheme="minorEastAsia" w:cstheme="minorEastAsia"/>
          <w:b w:val="0"/>
          <w:color w:val="auto"/>
          <w:sz w:val="24"/>
          <w:szCs w:val="24"/>
          <w:highlight w:val="none"/>
        </w:rPr>
        <w:t>8</w:t>
      </w:r>
      <w:bookmarkStart w:id="379" w:name="_Toc337558776"/>
      <w:bookmarkStart w:id="380" w:name="_Toc296346559"/>
      <w:bookmarkStart w:id="381" w:name="_Toc296503058"/>
      <w:r>
        <w:rPr>
          <w:rFonts w:hint="eastAsia" w:asciiTheme="minorEastAsia" w:hAnsiTheme="minorEastAsia" w:eastAsiaTheme="minorEastAsia" w:cstheme="minorEastAsia"/>
          <w:b w:val="0"/>
          <w:color w:val="auto"/>
          <w:sz w:val="24"/>
          <w:szCs w:val="24"/>
          <w:highlight w:val="none"/>
        </w:rPr>
        <w:t>. 材料与设备</w:t>
      </w:r>
      <w:bookmarkEnd w:id="377"/>
      <w:bookmarkEnd w:id="378"/>
    </w:p>
    <w:bookmarkEnd w:id="379"/>
    <w:bookmarkEnd w:id="380"/>
    <w:bookmarkEnd w:id="381"/>
    <w:p w14:paraId="55DF1C2A">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82" w:name="_Toc10572"/>
      <w:bookmarkStart w:id="383" w:name="_Toc351203553"/>
      <w:r>
        <w:rPr>
          <w:rFonts w:hint="eastAsia" w:asciiTheme="minorEastAsia" w:hAnsiTheme="minorEastAsia" w:eastAsiaTheme="minorEastAsia" w:cstheme="minorEastAsia"/>
          <w:b w:val="0"/>
          <w:color w:val="auto"/>
          <w:sz w:val="24"/>
          <w:szCs w:val="24"/>
          <w:highlight w:val="none"/>
        </w:rPr>
        <w:t>8</w:t>
      </w:r>
      <w:bookmarkStart w:id="384" w:name="_Toc296503059"/>
      <w:bookmarkStart w:id="385" w:name="_Toc337558777"/>
      <w:bookmarkStart w:id="386" w:name="_Toc296346560"/>
      <w:bookmarkStart w:id="387" w:name="_Toc468936960"/>
      <w:r>
        <w:rPr>
          <w:rFonts w:hint="eastAsia" w:asciiTheme="minorEastAsia" w:hAnsiTheme="minorEastAsia" w:eastAsiaTheme="minorEastAsia" w:cstheme="minorEastAsia"/>
          <w:b w:val="0"/>
          <w:color w:val="auto"/>
          <w:sz w:val="24"/>
          <w:szCs w:val="24"/>
          <w:highlight w:val="none"/>
        </w:rPr>
        <w:t>.1发包人供应材料与工程设备</w:t>
      </w:r>
      <w:bookmarkEnd w:id="382"/>
      <w:bookmarkEnd w:id="383"/>
    </w:p>
    <w:bookmarkEnd w:id="384"/>
    <w:bookmarkEnd w:id="385"/>
    <w:bookmarkEnd w:id="386"/>
    <w:p w14:paraId="2F0FE44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019AD38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A15EF06">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388" w:name="_Toc13019"/>
      <w:bookmarkStart w:id="389" w:name="_Toc351203554"/>
      <w:r>
        <w:rPr>
          <w:rFonts w:hint="eastAsia" w:asciiTheme="minorEastAsia" w:hAnsiTheme="minorEastAsia" w:eastAsiaTheme="minorEastAsia" w:cstheme="minorEastAsia"/>
          <w:b w:val="0"/>
          <w:color w:val="auto"/>
          <w:sz w:val="24"/>
          <w:szCs w:val="24"/>
          <w:highlight w:val="none"/>
        </w:rPr>
        <w:t>8</w:t>
      </w:r>
      <w:bookmarkStart w:id="390" w:name="_Toc337558778"/>
      <w:bookmarkStart w:id="391" w:name="_Toc296503060"/>
      <w:bookmarkStart w:id="392" w:name="_Toc296346561"/>
      <w:r>
        <w:rPr>
          <w:rFonts w:hint="eastAsia" w:asciiTheme="minorEastAsia" w:hAnsiTheme="minorEastAsia" w:eastAsiaTheme="minorEastAsia" w:cstheme="minorEastAsia"/>
          <w:b w:val="0"/>
          <w:color w:val="auto"/>
          <w:sz w:val="24"/>
          <w:szCs w:val="24"/>
          <w:highlight w:val="none"/>
        </w:rPr>
        <w:t>.2承包人采购材料与工程设备</w:t>
      </w:r>
      <w:bookmarkEnd w:id="388"/>
      <w:bookmarkEnd w:id="389"/>
    </w:p>
    <w:bookmarkEnd w:id="390"/>
    <w:bookmarkEnd w:id="391"/>
    <w:bookmarkEnd w:id="392"/>
    <w:p w14:paraId="6E15EA9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5222C55">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93" w:name="_Toc351203555"/>
      <w:bookmarkStart w:id="394" w:name="_Toc1740"/>
      <w:r>
        <w:rPr>
          <w:rFonts w:hint="eastAsia" w:asciiTheme="minorEastAsia" w:hAnsiTheme="minorEastAsia" w:eastAsiaTheme="minorEastAsia" w:cstheme="minorEastAsia"/>
          <w:b w:val="0"/>
          <w:color w:val="auto"/>
          <w:sz w:val="24"/>
          <w:szCs w:val="24"/>
          <w:highlight w:val="none"/>
        </w:rPr>
        <w:t>8</w:t>
      </w:r>
      <w:bookmarkStart w:id="395" w:name="_Toc296503061"/>
      <w:bookmarkStart w:id="396" w:name="_Toc296346562"/>
      <w:bookmarkStart w:id="397" w:name="_Toc337558779"/>
      <w:r>
        <w:rPr>
          <w:rFonts w:hint="eastAsia" w:asciiTheme="minorEastAsia" w:hAnsiTheme="minorEastAsia" w:eastAsiaTheme="minorEastAsia" w:cstheme="minorEastAsia"/>
          <w:b w:val="0"/>
          <w:color w:val="auto"/>
          <w:sz w:val="24"/>
          <w:szCs w:val="24"/>
          <w:highlight w:val="none"/>
        </w:rPr>
        <w:t>.3材料与工程设备的接收与拒收</w:t>
      </w:r>
      <w:bookmarkEnd w:id="393"/>
      <w:bookmarkEnd w:id="394"/>
    </w:p>
    <w:bookmarkEnd w:id="395"/>
    <w:bookmarkEnd w:id="396"/>
    <w:bookmarkEnd w:id="397"/>
    <w:p w14:paraId="11A3FC5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A5681B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6EF32D6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8.3.2 承包人采购的材料和工程设备，应保证产品质量合格，承包人应在材料和工程设备到货前24小时通知监理人检验。承</w:t>
      </w:r>
      <w:bookmarkStart w:id="398" w:name="_Toc250655469"/>
      <w:r>
        <w:rPr>
          <w:rFonts w:hint="eastAsia" w:asciiTheme="minorEastAsia" w:hAnsiTheme="minorEastAsia" w:eastAsiaTheme="minorEastAsia" w:cstheme="minorEastAsia"/>
          <w:color w:val="auto"/>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398"/>
    <w:p w14:paraId="2026296D">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15CA317">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399" w:name="_Toc12561"/>
      <w:bookmarkStart w:id="400" w:name="_Toc351203556"/>
      <w:r>
        <w:rPr>
          <w:rFonts w:hint="eastAsia" w:asciiTheme="minorEastAsia" w:hAnsiTheme="minorEastAsia" w:eastAsiaTheme="minorEastAsia" w:cstheme="minorEastAsia"/>
          <w:b w:val="0"/>
          <w:color w:val="auto"/>
          <w:sz w:val="24"/>
          <w:szCs w:val="24"/>
          <w:highlight w:val="none"/>
        </w:rPr>
        <w:t>8</w:t>
      </w:r>
      <w:bookmarkStart w:id="401" w:name="_Toc296503062"/>
      <w:bookmarkStart w:id="402" w:name="_Toc296346563"/>
      <w:bookmarkStart w:id="403" w:name="_Toc337558780"/>
      <w:r>
        <w:rPr>
          <w:rFonts w:hint="eastAsia" w:asciiTheme="minorEastAsia" w:hAnsiTheme="minorEastAsia" w:eastAsiaTheme="minorEastAsia" w:cstheme="minorEastAsia"/>
          <w:b w:val="0"/>
          <w:color w:val="auto"/>
          <w:sz w:val="24"/>
          <w:szCs w:val="24"/>
          <w:highlight w:val="none"/>
        </w:rPr>
        <w:t>.4材料与工程设备的保管与使用</w:t>
      </w:r>
      <w:bookmarkEnd w:id="399"/>
      <w:bookmarkEnd w:id="400"/>
    </w:p>
    <w:bookmarkEnd w:id="401"/>
    <w:bookmarkEnd w:id="402"/>
    <w:bookmarkEnd w:id="403"/>
    <w:p w14:paraId="53FBD26C">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04" w:name="_Toc6186"/>
      <w:r>
        <w:rPr>
          <w:rFonts w:hint="eastAsia" w:asciiTheme="minorEastAsia" w:hAnsiTheme="minorEastAsia" w:eastAsiaTheme="minorEastAsia" w:cstheme="minorEastAsia"/>
          <w:color w:val="auto"/>
          <w:kern w:val="0"/>
          <w:sz w:val="24"/>
          <w:szCs w:val="24"/>
          <w:highlight w:val="none"/>
        </w:rPr>
        <w:t>8.4.1 发包人供应</w:t>
      </w:r>
      <w:r>
        <w:rPr>
          <w:rFonts w:hint="eastAsia" w:asciiTheme="minorEastAsia" w:hAnsiTheme="minorEastAsia" w:eastAsiaTheme="minorEastAsia" w:cstheme="minorEastAsia"/>
          <w:color w:val="auto"/>
          <w:sz w:val="24"/>
          <w:szCs w:val="24"/>
          <w:highlight w:val="none"/>
        </w:rPr>
        <w:t>材料与</w:t>
      </w:r>
      <w:r>
        <w:rPr>
          <w:rFonts w:hint="eastAsia" w:asciiTheme="minorEastAsia" w:hAnsiTheme="minorEastAsia" w:eastAsiaTheme="minorEastAsia" w:cstheme="minorEastAsia"/>
          <w:color w:val="auto"/>
          <w:kern w:val="0"/>
          <w:sz w:val="24"/>
          <w:szCs w:val="24"/>
          <w:highlight w:val="none"/>
        </w:rPr>
        <w:t>工程</w:t>
      </w:r>
      <w:r>
        <w:rPr>
          <w:rFonts w:hint="eastAsia" w:asciiTheme="minorEastAsia" w:hAnsiTheme="minorEastAsia" w:eastAsiaTheme="minorEastAsia" w:cstheme="minorEastAsia"/>
          <w:color w:val="auto"/>
          <w:sz w:val="24"/>
          <w:szCs w:val="24"/>
          <w:highlight w:val="none"/>
        </w:rPr>
        <w:t>设备的保管与使用</w:t>
      </w:r>
      <w:bookmarkEnd w:id="404"/>
    </w:p>
    <w:p w14:paraId="31253AA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859395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发包人供应的材料和工程设备使用前，由承包人负责检验，检验费用由发包人承担，不合格的不得使用。</w:t>
      </w:r>
    </w:p>
    <w:p w14:paraId="1EAAB915">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05" w:name="_Toc26777"/>
      <w:r>
        <w:rPr>
          <w:rFonts w:hint="eastAsia" w:asciiTheme="minorEastAsia" w:hAnsiTheme="minorEastAsia" w:eastAsiaTheme="minorEastAsia" w:cstheme="minorEastAsia"/>
          <w:color w:val="auto"/>
          <w:kern w:val="0"/>
          <w:sz w:val="24"/>
          <w:szCs w:val="24"/>
          <w:highlight w:val="none"/>
        </w:rPr>
        <w:t>8.4.2 承包人采购</w:t>
      </w:r>
      <w:r>
        <w:rPr>
          <w:rFonts w:hint="eastAsia" w:asciiTheme="minorEastAsia" w:hAnsiTheme="minorEastAsia" w:eastAsiaTheme="minorEastAsia" w:cstheme="minorEastAsia"/>
          <w:color w:val="auto"/>
          <w:sz w:val="24"/>
          <w:szCs w:val="24"/>
          <w:highlight w:val="none"/>
        </w:rPr>
        <w:t>材料与</w:t>
      </w:r>
      <w:r>
        <w:rPr>
          <w:rFonts w:hint="eastAsia" w:asciiTheme="minorEastAsia" w:hAnsiTheme="minorEastAsia" w:eastAsiaTheme="minorEastAsia" w:cstheme="minorEastAsia"/>
          <w:color w:val="auto"/>
          <w:kern w:val="0"/>
          <w:sz w:val="24"/>
          <w:szCs w:val="24"/>
          <w:highlight w:val="none"/>
        </w:rPr>
        <w:t>工程</w:t>
      </w:r>
      <w:r>
        <w:rPr>
          <w:rFonts w:hint="eastAsia" w:asciiTheme="minorEastAsia" w:hAnsiTheme="minorEastAsia" w:eastAsiaTheme="minorEastAsia" w:cstheme="minorEastAsia"/>
          <w:color w:val="auto"/>
          <w:sz w:val="24"/>
          <w:szCs w:val="24"/>
          <w:highlight w:val="none"/>
        </w:rPr>
        <w:t>设备的保管与使用</w:t>
      </w:r>
      <w:bookmarkEnd w:id="405"/>
    </w:p>
    <w:p w14:paraId="4A96C2C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07D352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1D22A1F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06" w:name="_Toc32714"/>
      <w:bookmarkStart w:id="407" w:name="_Toc351203557"/>
      <w:r>
        <w:rPr>
          <w:rFonts w:hint="eastAsia" w:asciiTheme="minorEastAsia" w:hAnsiTheme="minorEastAsia" w:eastAsiaTheme="minorEastAsia" w:cstheme="minorEastAsia"/>
          <w:b w:val="0"/>
          <w:color w:val="auto"/>
          <w:sz w:val="24"/>
          <w:szCs w:val="24"/>
          <w:highlight w:val="none"/>
        </w:rPr>
        <w:t>8.5禁止使用不合格的材料和工程设备</w:t>
      </w:r>
      <w:bookmarkEnd w:id="406"/>
      <w:bookmarkEnd w:id="407"/>
    </w:p>
    <w:p w14:paraId="24354C2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037EB59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8.5.2 监理人发现承包人使用了不合格的材料和工程设备，承包人应按照监理人的指示立即改正，并禁止在工程中继续使用不合格的材料和工程设备。</w:t>
      </w:r>
    </w:p>
    <w:p w14:paraId="3DED1ED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05EE36FF">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08" w:name="_Toc351203558"/>
      <w:bookmarkStart w:id="409" w:name="_Toc5032"/>
      <w:r>
        <w:rPr>
          <w:rFonts w:hint="eastAsia" w:asciiTheme="minorEastAsia" w:hAnsiTheme="minorEastAsia" w:eastAsiaTheme="minorEastAsia" w:cstheme="minorEastAsia"/>
          <w:b w:val="0"/>
          <w:color w:val="auto"/>
          <w:sz w:val="24"/>
          <w:szCs w:val="24"/>
          <w:highlight w:val="none"/>
        </w:rPr>
        <w:t>8.6 样品</w:t>
      </w:r>
      <w:bookmarkEnd w:id="408"/>
      <w:bookmarkEnd w:id="409"/>
    </w:p>
    <w:p w14:paraId="57615E9F">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10" w:name="_Toc13038"/>
      <w:r>
        <w:rPr>
          <w:rFonts w:hint="eastAsia" w:asciiTheme="minorEastAsia" w:hAnsiTheme="minorEastAsia" w:eastAsiaTheme="minorEastAsia" w:cstheme="minorEastAsia"/>
          <w:color w:val="auto"/>
          <w:kern w:val="0"/>
          <w:sz w:val="24"/>
          <w:szCs w:val="24"/>
          <w:highlight w:val="none"/>
        </w:rPr>
        <w:t>8.6.1</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样品的报送与封存</w:t>
      </w:r>
      <w:bookmarkEnd w:id="410"/>
    </w:p>
    <w:p w14:paraId="796299C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需要承包人报送样品的材料或工程设备，样品的种类、名称、规格、数量等要求均应在专用合同条款中约定。样品的报送程序如下：</w:t>
      </w:r>
    </w:p>
    <w:p w14:paraId="4436007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6D2ACD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w:t>
      </w:r>
      <w:r>
        <w:rPr>
          <w:rFonts w:hint="eastAsia" w:asciiTheme="minorEastAsia" w:hAnsiTheme="minorEastAsia" w:eastAsiaTheme="minorEastAsia" w:cstheme="minorEastAsia"/>
          <w:color w:val="auto"/>
          <w:kern w:val="0"/>
          <w:sz w:val="24"/>
          <w:szCs w:val="24"/>
          <w:highlight w:val="none"/>
          <w:lang w:eastAsia="zh-CN"/>
        </w:rPr>
        <w:t>天内</w:t>
      </w:r>
      <w:r>
        <w:rPr>
          <w:rFonts w:hint="eastAsia" w:asciiTheme="minorEastAsia" w:hAnsiTheme="minorEastAsia" w:eastAsiaTheme="minorEastAsia" w:cstheme="minorEastAsia"/>
          <w:color w:val="auto"/>
          <w:kern w:val="0"/>
          <w:sz w:val="24"/>
          <w:szCs w:val="24"/>
          <w:highlight w:val="none"/>
        </w:rPr>
        <w:t>向承包人回复经发包人签认的样品审批意见。</w:t>
      </w:r>
    </w:p>
    <w:p w14:paraId="2A54548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08608D1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（4）发包人和监理人对样品的审批确认仅为确认相关材料或工程设备的特征或用途，不得被理解为对合同的修改或改变，也并不减轻或免除承包人</w:t>
      </w:r>
      <w:r>
        <w:rPr>
          <w:rFonts w:hint="eastAsia" w:asciiTheme="minorEastAsia" w:hAnsiTheme="minorEastAsia" w:eastAsiaTheme="minorEastAsia" w:cstheme="minorEastAsia"/>
          <w:color w:val="auto"/>
          <w:kern w:val="0"/>
          <w:sz w:val="24"/>
          <w:szCs w:val="24"/>
          <w:highlight w:val="none"/>
          <w:lang w:eastAsia="zh-CN"/>
        </w:rPr>
        <w:t>任何</w:t>
      </w:r>
      <w:r>
        <w:rPr>
          <w:rFonts w:hint="eastAsia" w:asciiTheme="minorEastAsia" w:hAnsiTheme="minorEastAsia" w:eastAsiaTheme="minorEastAsia" w:cstheme="minorEastAsia"/>
          <w:color w:val="auto"/>
          <w:kern w:val="0"/>
          <w:sz w:val="24"/>
          <w:szCs w:val="24"/>
          <w:highlight w:val="none"/>
        </w:rPr>
        <w:t>责任和义务。如果封存的样品修改或改变了合同约定，合同当事人应当以书面协议予以确认。</w:t>
      </w:r>
    </w:p>
    <w:p w14:paraId="3C7ADBA1">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11" w:name="_Toc20205"/>
      <w:r>
        <w:rPr>
          <w:rFonts w:hint="eastAsia" w:asciiTheme="minorEastAsia" w:hAnsiTheme="minorEastAsia" w:eastAsiaTheme="minorEastAsia" w:cstheme="minorEastAsia"/>
          <w:color w:val="auto"/>
          <w:kern w:val="0"/>
          <w:sz w:val="24"/>
          <w:szCs w:val="24"/>
          <w:highlight w:val="none"/>
        </w:rPr>
        <w:t>8.6.2 样品的保管</w:t>
      </w:r>
      <w:bookmarkEnd w:id="411"/>
    </w:p>
    <w:p w14:paraId="014099A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经批准的样品应由监理人负责封存于现场，承包人应在现场为保存样品提供适当和固定的场所并保持适当和良好的存储环境条件。</w:t>
      </w:r>
    </w:p>
    <w:p w14:paraId="4CF1F83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12" w:name="_Toc351203559"/>
      <w:bookmarkStart w:id="413" w:name="_Toc11820"/>
      <w:r>
        <w:rPr>
          <w:rFonts w:hint="eastAsia" w:asciiTheme="minorEastAsia" w:hAnsiTheme="minorEastAsia" w:eastAsiaTheme="minorEastAsia" w:cstheme="minorEastAsia"/>
          <w:b w:val="0"/>
          <w:color w:val="auto"/>
          <w:sz w:val="24"/>
          <w:szCs w:val="24"/>
          <w:highlight w:val="none"/>
        </w:rPr>
        <w:t>8.7材料与工程设备的替代</w:t>
      </w:r>
      <w:bookmarkEnd w:id="412"/>
      <w:bookmarkEnd w:id="413"/>
    </w:p>
    <w:p w14:paraId="0C984B9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8.7.1 出现下列情况需要使用替代材料和工程设备的，承包人应按照第8.7.2项约定的程序执行：</w:t>
      </w:r>
    </w:p>
    <w:p w14:paraId="79DE041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（1）基准日期后生效的法律规定禁止使用的；</w:t>
      </w:r>
    </w:p>
    <w:p w14:paraId="6D4837A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（2）发包人要求使用替代品的；</w:t>
      </w:r>
    </w:p>
    <w:p w14:paraId="74C105F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（3）因其他原因必须使用替代品的。</w:t>
      </w:r>
    </w:p>
    <w:p w14:paraId="1BFF05D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8.7.2 承包人应在使用替代材料和工程设备28天前书面通知监理人，并附下列文件：</w:t>
      </w:r>
    </w:p>
    <w:p w14:paraId="4D2BAE2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（1）被替代的材料和工程设备的名称、数量、规格、型号、品牌、性能、价格及其他相关资料；</w:t>
      </w:r>
    </w:p>
    <w:p w14:paraId="1D69108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（2）替代品的名称、数量、规格、型号、品牌、性能、价格及其他相关资料；</w:t>
      </w:r>
    </w:p>
    <w:p w14:paraId="06DD60F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（3）替代品与被替代产品之间的差异以及使用替代品可能对工程产生的影响；</w:t>
      </w:r>
    </w:p>
    <w:p w14:paraId="266ADD3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（4）替代品与被替代产品的价格差异；</w:t>
      </w:r>
    </w:p>
    <w:p w14:paraId="3198546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（5）使用替代品的理由和原因说明；</w:t>
      </w:r>
    </w:p>
    <w:p w14:paraId="5FFAA73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（6）监理人要求的其他文件。</w:t>
      </w:r>
    </w:p>
    <w:p w14:paraId="04883B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监理人应在收到通知后14天内向承包人发出经发包人签认的书面指示；监理人逾期发出书面指示的，视为发包人和监理人同意使用替代品。</w:t>
      </w:r>
    </w:p>
    <w:p w14:paraId="48EE4BB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7F27B7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14" w:name="_Toc21667"/>
      <w:bookmarkStart w:id="415" w:name="_Toc351203560"/>
      <w:r>
        <w:rPr>
          <w:rFonts w:hint="eastAsia" w:asciiTheme="minorEastAsia" w:hAnsiTheme="minorEastAsia" w:eastAsiaTheme="minorEastAsia" w:cstheme="minorEastAsia"/>
          <w:b w:val="0"/>
          <w:color w:val="auto"/>
          <w:sz w:val="24"/>
          <w:szCs w:val="24"/>
          <w:highlight w:val="none"/>
        </w:rPr>
        <w:t>8.8施工设备和临时设施</w:t>
      </w:r>
      <w:bookmarkEnd w:id="414"/>
      <w:bookmarkEnd w:id="415"/>
    </w:p>
    <w:p w14:paraId="205F9960">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16" w:name="_Toc15060"/>
      <w:r>
        <w:rPr>
          <w:rFonts w:hint="eastAsia" w:asciiTheme="minorEastAsia" w:hAnsiTheme="minorEastAsia" w:eastAsiaTheme="minorEastAsia" w:cstheme="minorEastAsia"/>
          <w:color w:val="auto"/>
          <w:kern w:val="0"/>
          <w:sz w:val="24"/>
          <w:szCs w:val="24"/>
          <w:highlight w:val="none"/>
        </w:rPr>
        <w:t>8.8.1 承包人提供的施工设备和临时设施</w:t>
      </w:r>
      <w:bookmarkEnd w:id="416"/>
    </w:p>
    <w:p w14:paraId="48CA6AC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020C58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除专用合同条款另有约定外，承包人应自行承担修建临时设施的费用，需要临时占地的，应由发包人办理申请手续并承担相应费用。</w:t>
      </w:r>
    </w:p>
    <w:p w14:paraId="16882A77">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17" w:name="_Toc18677"/>
      <w:r>
        <w:rPr>
          <w:rFonts w:hint="eastAsia" w:asciiTheme="minorEastAsia" w:hAnsiTheme="minorEastAsia" w:eastAsiaTheme="minorEastAsia" w:cstheme="minorEastAsia"/>
          <w:color w:val="auto"/>
          <w:kern w:val="0"/>
          <w:sz w:val="24"/>
          <w:szCs w:val="24"/>
          <w:highlight w:val="none"/>
        </w:rPr>
        <w:t>8.8.2发包人提供的施工设备和临时设施</w:t>
      </w:r>
      <w:bookmarkEnd w:id="417"/>
    </w:p>
    <w:p w14:paraId="57A0ED9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发包人提供的施工设备或临时设施在专用合同条款中约定。</w:t>
      </w:r>
    </w:p>
    <w:p w14:paraId="0511C292">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18" w:name="_Toc13355"/>
      <w:r>
        <w:rPr>
          <w:rFonts w:hint="eastAsia" w:asciiTheme="minorEastAsia" w:hAnsiTheme="minorEastAsia" w:eastAsiaTheme="minorEastAsia" w:cstheme="minorEastAsia"/>
          <w:color w:val="auto"/>
          <w:kern w:val="0"/>
          <w:sz w:val="24"/>
          <w:szCs w:val="24"/>
          <w:highlight w:val="none"/>
        </w:rPr>
        <w:t>8.8.3要求承包人增加或更换施工设备</w:t>
      </w:r>
      <w:bookmarkEnd w:id="418"/>
    </w:p>
    <w:p w14:paraId="6E223A8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F30FC4C">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19" w:name="_Toc351203561"/>
      <w:bookmarkStart w:id="420" w:name="_Toc27309"/>
      <w:r>
        <w:rPr>
          <w:rFonts w:hint="eastAsia" w:asciiTheme="minorEastAsia" w:hAnsiTheme="minorEastAsia" w:eastAsiaTheme="minorEastAsia" w:cstheme="minorEastAsia"/>
          <w:b w:val="0"/>
          <w:color w:val="auto"/>
          <w:sz w:val="24"/>
          <w:szCs w:val="24"/>
          <w:highlight w:val="none"/>
        </w:rPr>
        <w:t>8</w:t>
      </w:r>
      <w:bookmarkStart w:id="421" w:name="_Toc296346564"/>
      <w:bookmarkStart w:id="422" w:name="_Toc296503063"/>
      <w:bookmarkStart w:id="423" w:name="_Toc337558781"/>
      <w:r>
        <w:rPr>
          <w:rFonts w:hint="eastAsia" w:asciiTheme="minorEastAsia" w:hAnsiTheme="minorEastAsia" w:eastAsiaTheme="minorEastAsia" w:cstheme="minorEastAsia"/>
          <w:b w:val="0"/>
          <w:color w:val="auto"/>
          <w:sz w:val="24"/>
          <w:szCs w:val="24"/>
          <w:highlight w:val="none"/>
        </w:rPr>
        <w:t>.9材料与设备专用</w:t>
      </w:r>
      <w:bookmarkEnd w:id="419"/>
      <w:r>
        <w:rPr>
          <w:rFonts w:hint="eastAsia" w:asciiTheme="minorEastAsia" w:hAnsiTheme="minorEastAsia" w:eastAsiaTheme="minorEastAsia" w:cstheme="minorEastAsia"/>
          <w:b w:val="0"/>
          <w:color w:val="auto"/>
          <w:sz w:val="24"/>
          <w:szCs w:val="24"/>
          <w:highlight w:val="none"/>
        </w:rPr>
        <w:t>要求</w:t>
      </w:r>
      <w:bookmarkEnd w:id="420"/>
    </w:p>
    <w:bookmarkEnd w:id="421"/>
    <w:bookmarkEnd w:id="422"/>
    <w:bookmarkEnd w:id="423"/>
    <w:p w14:paraId="2D6C64C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w:t>
      </w:r>
      <w:r>
        <w:rPr>
          <w:rFonts w:hint="eastAsia" w:asciiTheme="minorEastAsia" w:hAnsiTheme="minorEastAsia" w:eastAsiaTheme="minorEastAsia" w:cstheme="minorEastAsia"/>
          <w:color w:val="auto"/>
          <w:kern w:val="0"/>
          <w:sz w:val="24"/>
          <w:szCs w:val="24"/>
          <w:highlight w:val="none"/>
          <w:lang w:eastAsia="zh-CN"/>
        </w:rPr>
        <w:t>进入</w:t>
      </w:r>
      <w:r>
        <w:rPr>
          <w:rFonts w:hint="eastAsia" w:asciiTheme="minorEastAsia" w:hAnsiTheme="minorEastAsia" w:eastAsiaTheme="minorEastAsia" w:cstheme="minorEastAsia"/>
          <w:color w:val="auto"/>
          <w:kern w:val="0"/>
          <w:sz w:val="24"/>
          <w:szCs w:val="24"/>
          <w:highlight w:val="none"/>
        </w:rPr>
        <w:t>施工现场的材料、工程设备、施工设备以及在施工场地建设的临时设施，包括备品备件、安装工具与资料，必须专用于工程。未经发包人批准，承包人不得运出施工现场或挪作他用；</w:t>
      </w:r>
      <w:bookmarkEnd w:id="387"/>
      <w:r>
        <w:rPr>
          <w:rFonts w:hint="eastAsia" w:asciiTheme="minorEastAsia" w:hAnsiTheme="minorEastAsia" w:eastAsiaTheme="minorEastAsia" w:cstheme="minorEastAsia"/>
          <w:color w:val="auto"/>
          <w:kern w:val="0"/>
          <w:sz w:val="24"/>
          <w:szCs w:val="24"/>
          <w:highlight w:val="none"/>
        </w:rPr>
        <w:t>经发包人批准，承包人可以根据施工进度计划撤走闲置的施工设备和其他物品。</w:t>
      </w:r>
    </w:p>
    <w:p w14:paraId="63491E97">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424" w:name="_Toc351203562"/>
      <w:bookmarkStart w:id="425" w:name="_Toc29675"/>
      <w:r>
        <w:rPr>
          <w:rFonts w:hint="eastAsia" w:asciiTheme="minorEastAsia" w:hAnsiTheme="minorEastAsia" w:eastAsiaTheme="minorEastAsia" w:cstheme="minorEastAsia"/>
          <w:b w:val="0"/>
          <w:color w:val="auto"/>
          <w:sz w:val="24"/>
          <w:szCs w:val="24"/>
          <w:highlight w:val="none"/>
        </w:rPr>
        <w:t>9</w:t>
      </w:r>
      <w:bookmarkStart w:id="426" w:name="_Toc337558782"/>
      <w:bookmarkStart w:id="427" w:name="_Toc296503083"/>
      <w:bookmarkStart w:id="428" w:name="_Toc296346584"/>
      <w:r>
        <w:rPr>
          <w:rFonts w:hint="eastAsia" w:asciiTheme="minorEastAsia" w:hAnsiTheme="minorEastAsia" w:eastAsiaTheme="minorEastAsia" w:cstheme="minorEastAsia"/>
          <w:b w:val="0"/>
          <w:color w:val="auto"/>
          <w:sz w:val="24"/>
          <w:szCs w:val="24"/>
          <w:highlight w:val="none"/>
        </w:rPr>
        <w:t>. 试验与检验</w:t>
      </w:r>
      <w:bookmarkEnd w:id="424"/>
      <w:bookmarkEnd w:id="425"/>
    </w:p>
    <w:bookmarkEnd w:id="426"/>
    <w:p w14:paraId="1DA1832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29" w:name="_Toc351203563"/>
      <w:bookmarkStart w:id="430" w:name="_Toc21072"/>
      <w:r>
        <w:rPr>
          <w:rFonts w:hint="eastAsia" w:asciiTheme="minorEastAsia" w:hAnsiTheme="minorEastAsia" w:eastAsiaTheme="minorEastAsia" w:cstheme="minorEastAsia"/>
          <w:b w:val="0"/>
          <w:color w:val="auto"/>
          <w:sz w:val="24"/>
          <w:szCs w:val="24"/>
          <w:highlight w:val="none"/>
        </w:rPr>
        <w:t>9</w:t>
      </w:r>
      <w:bookmarkStart w:id="431" w:name="_Toc337558783"/>
      <w:r>
        <w:rPr>
          <w:rFonts w:hint="eastAsia" w:asciiTheme="minorEastAsia" w:hAnsiTheme="minorEastAsia" w:eastAsiaTheme="minorEastAsia" w:cstheme="minorEastAsia"/>
          <w:b w:val="0"/>
          <w:color w:val="auto"/>
          <w:sz w:val="24"/>
          <w:szCs w:val="24"/>
          <w:highlight w:val="none"/>
        </w:rPr>
        <w:t>.1试验设备与试验人员</w:t>
      </w:r>
      <w:bookmarkEnd w:id="429"/>
      <w:bookmarkEnd w:id="430"/>
    </w:p>
    <w:bookmarkEnd w:id="431"/>
    <w:p w14:paraId="085B822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3CE227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9.1.2 承包人应按专用合同条款的约定提供试验设备、取样装置、试验场所和试验条件，并向监理人提交相应进场计划表。</w:t>
      </w:r>
    </w:p>
    <w:p w14:paraId="3BE68A4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承包人配置的试验设备要符合相应试验规程的要求并经过具有资质的检测单位检测，且在正式使用该试验设备前，需要经过监理人与承包人共同校定。</w:t>
      </w:r>
    </w:p>
    <w:p w14:paraId="0CEB00A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1C225C40">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32" w:name="_Toc1905"/>
      <w:bookmarkStart w:id="433" w:name="_Toc351203564"/>
      <w:r>
        <w:rPr>
          <w:rFonts w:hint="eastAsia" w:asciiTheme="minorEastAsia" w:hAnsiTheme="minorEastAsia" w:eastAsiaTheme="minorEastAsia" w:cstheme="minorEastAsia"/>
          <w:b w:val="0"/>
          <w:color w:val="auto"/>
          <w:sz w:val="24"/>
          <w:szCs w:val="24"/>
          <w:highlight w:val="none"/>
        </w:rPr>
        <w:t>9</w:t>
      </w:r>
      <w:bookmarkStart w:id="434" w:name="_Toc337558784"/>
      <w:r>
        <w:rPr>
          <w:rFonts w:hint="eastAsia" w:asciiTheme="minorEastAsia" w:hAnsiTheme="minorEastAsia" w:eastAsiaTheme="minorEastAsia" w:cstheme="minorEastAsia"/>
          <w:b w:val="0"/>
          <w:color w:val="auto"/>
          <w:sz w:val="24"/>
          <w:szCs w:val="24"/>
          <w:highlight w:val="none"/>
        </w:rPr>
        <w:t>.2取样</w:t>
      </w:r>
      <w:bookmarkEnd w:id="432"/>
      <w:bookmarkEnd w:id="433"/>
    </w:p>
    <w:bookmarkEnd w:id="434"/>
    <w:p w14:paraId="6AABD04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试验属于自检性质的，承包人可以单独取样。试验属于监理人抽检性质的，可由监理人取样，也可由承包人的试验人员在监理人的监督下取样。</w:t>
      </w:r>
    </w:p>
    <w:p w14:paraId="6BF8799F">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35" w:name="_Toc351203565"/>
      <w:bookmarkStart w:id="436" w:name="_Toc31501"/>
      <w:r>
        <w:rPr>
          <w:rFonts w:hint="eastAsia" w:asciiTheme="minorEastAsia" w:hAnsiTheme="minorEastAsia" w:eastAsiaTheme="minorEastAsia" w:cstheme="minorEastAsia"/>
          <w:b w:val="0"/>
          <w:color w:val="auto"/>
          <w:sz w:val="24"/>
          <w:szCs w:val="24"/>
          <w:highlight w:val="none"/>
        </w:rPr>
        <w:t>9</w:t>
      </w:r>
      <w:bookmarkStart w:id="437" w:name="_Toc337558785"/>
      <w:r>
        <w:rPr>
          <w:rFonts w:hint="eastAsia" w:asciiTheme="minorEastAsia" w:hAnsiTheme="minorEastAsia" w:eastAsiaTheme="minorEastAsia" w:cstheme="minorEastAsia"/>
          <w:b w:val="0"/>
          <w:color w:val="auto"/>
          <w:sz w:val="24"/>
          <w:szCs w:val="24"/>
          <w:highlight w:val="none"/>
        </w:rPr>
        <w:t>.3材料、工程设备和工程的试验和检验</w:t>
      </w:r>
      <w:bookmarkEnd w:id="435"/>
      <w:bookmarkEnd w:id="436"/>
    </w:p>
    <w:bookmarkEnd w:id="437"/>
    <w:p w14:paraId="0A16172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D3D03C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381041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C5E62A3">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38" w:name="_Toc351203566"/>
      <w:bookmarkStart w:id="439" w:name="_Toc7020"/>
      <w:r>
        <w:rPr>
          <w:rFonts w:hint="eastAsia" w:asciiTheme="minorEastAsia" w:hAnsiTheme="minorEastAsia" w:eastAsiaTheme="minorEastAsia" w:cstheme="minorEastAsia"/>
          <w:b w:val="0"/>
          <w:color w:val="auto"/>
          <w:sz w:val="24"/>
          <w:szCs w:val="24"/>
          <w:highlight w:val="none"/>
        </w:rPr>
        <w:t>9</w:t>
      </w:r>
      <w:bookmarkStart w:id="440" w:name="_Toc337558786"/>
      <w:r>
        <w:rPr>
          <w:rFonts w:hint="eastAsia" w:asciiTheme="minorEastAsia" w:hAnsiTheme="minorEastAsia" w:eastAsiaTheme="minorEastAsia" w:cstheme="minorEastAsia"/>
          <w:b w:val="0"/>
          <w:color w:val="auto"/>
          <w:sz w:val="24"/>
          <w:szCs w:val="24"/>
          <w:highlight w:val="none"/>
        </w:rPr>
        <w:t>.4现场工艺试验</w:t>
      </w:r>
      <w:bookmarkEnd w:id="438"/>
      <w:bookmarkEnd w:id="439"/>
    </w:p>
    <w:bookmarkEnd w:id="440"/>
    <w:p w14:paraId="6C64D63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1001D3C7">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441" w:name="_Toc27688"/>
      <w:bookmarkStart w:id="442" w:name="_Toc351203567"/>
      <w:r>
        <w:rPr>
          <w:rFonts w:hint="eastAsia" w:asciiTheme="minorEastAsia" w:hAnsiTheme="minorEastAsia" w:eastAsiaTheme="minorEastAsia" w:cstheme="minorEastAsia"/>
          <w:b w:val="0"/>
          <w:color w:val="auto"/>
          <w:sz w:val="24"/>
          <w:szCs w:val="24"/>
          <w:highlight w:val="none"/>
        </w:rPr>
        <w:t>1</w:t>
      </w:r>
      <w:bookmarkStart w:id="443" w:name="_Toc337558787"/>
      <w:r>
        <w:rPr>
          <w:rFonts w:hint="eastAsia" w:asciiTheme="minorEastAsia" w:hAnsiTheme="minorEastAsia" w:eastAsiaTheme="minorEastAsia" w:cstheme="minorEastAsia"/>
          <w:b w:val="0"/>
          <w:color w:val="auto"/>
          <w:sz w:val="24"/>
          <w:szCs w:val="24"/>
          <w:highlight w:val="none"/>
        </w:rPr>
        <w:t>0. 变更</w:t>
      </w:r>
      <w:bookmarkEnd w:id="427"/>
      <w:bookmarkEnd w:id="428"/>
      <w:bookmarkEnd w:id="441"/>
      <w:bookmarkEnd w:id="442"/>
    </w:p>
    <w:bookmarkEnd w:id="443"/>
    <w:p w14:paraId="49E3286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44" w:name="_Toc14873"/>
      <w:bookmarkStart w:id="445" w:name="_Toc351203568"/>
      <w:r>
        <w:rPr>
          <w:rFonts w:hint="eastAsia" w:asciiTheme="minorEastAsia" w:hAnsiTheme="minorEastAsia" w:eastAsiaTheme="minorEastAsia" w:cstheme="minorEastAsia"/>
          <w:b w:val="0"/>
          <w:color w:val="auto"/>
          <w:sz w:val="24"/>
          <w:szCs w:val="24"/>
          <w:highlight w:val="none"/>
        </w:rPr>
        <w:t>1</w:t>
      </w:r>
      <w:bookmarkStart w:id="446" w:name="_Toc337558788"/>
      <w:bookmarkStart w:id="447" w:name="_Toc296503084"/>
      <w:bookmarkStart w:id="448" w:name="_Toc296346585"/>
      <w:r>
        <w:rPr>
          <w:rFonts w:hint="eastAsia" w:asciiTheme="minorEastAsia" w:hAnsiTheme="minorEastAsia" w:eastAsiaTheme="minorEastAsia" w:cstheme="minorEastAsia"/>
          <w:b w:val="0"/>
          <w:color w:val="auto"/>
          <w:sz w:val="24"/>
          <w:szCs w:val="24"/>
          <w:highlight w:val="none"/>
        </w:rPr>
        <w:t>0.1变更的范围</w:t>
      </w:r>
      <w:bookmarkEnd w:id="444"/>
      <w:bookmarkEnd w:id="445"/>
    </w:p>
    <w:bookmarkEnd w:id="446"/>
    <w:bookmarkEnd w:id="447"/>
    <w:bookmarkEnd w:id="448"/>
    <w:p w14:paraId="123D10B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除专用合同条款另有约定外，合同履行过程中发生以下情形的，应按照本条约定进行变更：</w:t>
      </w:r>
    </w:p>
    <w:p w14:paraId="2E1F1A1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（1）增加或减少合同中任何工作，或追加额外的工作；</w:t>
      </w:r>
    </w:p>
    <w:p w14:paraId="04164FE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（2）取消合同中任何工作，但转由他人实施的工作除外；</w:t>
      </w:r>
    </w:p>
    <w:p w14:paraId="7B08DA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（3）改变合同中任何工作的质量标准或其他特性；</w:t>
      </w:r>
    </w:p>
    <w:p w14:paraId="4A37A3E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（4）改变工程的基线、标高、位置和尺寸；</w:t>
      </w:r>
    </w:p>
    <w:p w14:paraId="29AFE76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（5）改变工程的时间安排或实施顺序。</w:t>
      </w:r>
    </w:p>
    <w:p w14:paraId="73E6757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49" w:name="_Toc351203569"/>
      <w:bookmarkStart w:id="450" w:name="_Toc20173"/>
      <w:r>
        <w:rPr>
          <w:rFonts w:hint="eastAsia" w:asciiTheme="minorEastAsia" w:hAnsiTheme="minorEastAsia" w:eastAsiaTheme="minorEastAsia" w:cstheme="minorEastAsia"/>
          <w:b w:val="0"/>
          <w:color w:val="auto"/>
          <w:sz w:val="24"/>
          <w:szCs w:val="24"/>
          <w:highlight w:val="none"/>
        </w:rPr>
        <w:t>1</w:t>
      </w:r>
      <w:bookmarkStart w:id="451" w:name="_Toc296346586"/>
      <w:bookmarkStart w:id="452" w:name="_Toc337558789"/>
      <w:bookmarkStart w:id="453" w:name="_Toc296503085"/>
      <w:r>
        <w:rPr>
          <w:rFonts w:hint="eastAsia" w:asciiTheme="minorEastAsia" w:hAnsiTheme="minorEastAsia" w:eastAsiaTheme="minorEastAsia" w:cstheme="minorEastAsia"/>
          <w:b w:val="0"/>
          <w:color w:val="auto"/>
          <w:sz w:val="24"/>
          <w:szCs w:val="24"/>
          <w:highlight w:val="none"/>
        </w:rPr>
        <w:t>0.2变更权</w:t>
      </w:r>
      <w:bookmarkEnd w:id="449"/>
      <w:bookmarkEnd w:id="450"/>
    </w:p>
    <w:bookmarkEnd w:id="451"/>
    <w:bookmarkEnd w:id="452"/>
    <w:bookmarkEnd w:id="453"/>
    <w:p w14:paraId="4B3B8D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BBCEA1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涉及设计变更的，应由设计人提供变更后的图纸和说明。如变更超过原设计标准或批准的建设规模时，发包人应及时办理规划、设计变更等审批手续。</w:t>
      </w:r>
    </w:p>
    <w:p w14:paraId="50772BC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54" w:name="_Toc6219"/>
      <w:bookmarkStart w:id="455" w:name="_Toc351203570"/>
      <w:r>
        <w:rPr>
          <w:rFonts w:hint="eastAsia" w:asciiTheme="minorEastAsia" w:hAnsiTheme="minorEastAsia" w:eastAsiaTheme="minorEastAsia" w:cstheme="minorEastAsia"/>
          <w:b w:val="0"/>
          <w:color w:val="auto"/>
          <w:sz w:val="24"/>
          <w:szCs w:val="24"/>
          <w:highlight w:val="none"/>
        </w:rPr>
        <w:t>1</w:t>
      </w:r>
      <w:bookmarkStart w:id="456" w:name="_Toc296346587"/>
      <w:bookmarkStart w:id="457" w:name="_Toc296503086"/>
      <w:bookmarkStart w:id="458" w:name="_Toc337558790"/>
      <w:r>
        <w:rPr>
          <w:rFonts w:hint="eastAsia" w:asciiTheme="minorEastAsia" w:hAnsiTheme="minorEastAsia" w:eastAsiaTheme="minorEastAsia" w:cstheme="minorEastAsia"/>
          <w:b w:val="0"/>
          <w:color w:val="auto"/>
          <w:sz w:val="24"/>
          <w:szCs w:val="24"/>
          <w:highlight w:val="none"/>
        </w:rPr>
        <w:t>0.3变更程序</w:t>
      </w:r>
      <w:bookmarkEnd w:id="454"/>
      <w:bookmarkEnd w:id="455"/>
    </w:p>
    <w:bookmarkEnd w:id="456"/>
    <w:bookmarkEnd w:id="457"/>
    <w:bookmarkEnd w:id="458"/>
    <w:p w14:paraId="5F3A39E4">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59" w:name="_Toc23407"/>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kern w:val="0"/>
          <w:sz w:val="24"/>
          <w:szCs w:val="24"/>
          <w:highlight w:val="none"/>
        </w:rPr>
        <w:t>.3.1 发包人提出变更</w:t>
      </w:r>
      <w:bookmarkEnd w:id="459"/>
    </w:p>
    <w:p w14:paraId="1EC33A7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发包人提出变更的，应通过监理人向承包人发出变更指示，变更指示应说明计划变更的工程范围和变更的内容。</w:t>
      </w:r>
    </w:p>
    <w:p w14:paraId="065EEE9E">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60" w:name="_Toc20438"/>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kern w:val="0"/>
          <w:sz w:val="24"/>
          <w:szCs w:val="24"/>
          <w:highlight w:val="none"/>
        </w:rPr>
        <w:t>.3.2 监理人提出变更建议</w:t>
      </w:r>
      <w:bookmarkEnd w:id="460"/>
    </w:p>
    <w:p w14:paraId="332C6AA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AE7455F">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461" w:name="_Toc8987"/>
      <w:r>
        <w:rPr>
          <w:rFonts w:hint="eastAsia" w:asciiTheme="minorEastAsia" w:hAnsiTheme="minorEastAsia" w:eastAsiaTheme="minorEastAsia" w:cstheme="minorEastAsia"/>
          <w:color w:val="auto"/>
          <w:sz w:val="24"/>
          <w:szCs w:val="24"/>
          <w:highlight w:val="none"/>
        </w:rPr>
        <w:t>10.3.3 变更执行</w:t>
      </w:r>
      <w:bookmarkEnd w:id="461"/>
    </w:p>
    <w:p w14:paraId="2C2475F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D777587">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62" w:name="_Toc6669"/>
      <w:bookmarkStart w:id="463" w:name="_Toc351203571"/>
      <w:r>
        <w:rPr>
          <w:rFonts w:hint="eastAsia" w:asciiTheme="minorEastAsia" w:hAnsiTheme="minorEastAsia" w:eastAsiaTheme="minorEastAsia" w:cstheme="minorEastAsia"/>
          <w:b w:val="0"/>
          <w:color w:val="auto"/>
          <w:sz w:val="24"/>
          <w:szCs w:val="24"/>
          <w:highlight w:val="none"/>
        </w:rPr>
        <w:t>1</w:t>
      </w:r>
      <w:bookmarkStart w:id="464" w:name="_Toc296503087"/>
      <w:bookmarkStart w:id="465" w:name="_Toc337558791"/>
      <w:bookmarkStart w:id="466" w:name="_Toc296346588"/>
      <w:r>
        <w:rPr>
          <w:rFonts w:hint="eastAsia" w:asciiTheme="minorEastAsia" w:hAnsiTheme="minorEastAsia" w:eastAsiaTheme="minorEastAsia" w:cstheme="minorEastAsia"/>
          <w:b w:val="0"/>
          <w:color w:val="auto"/>
          <w:sz w:val="24"/>
          <w:szCs w:val="24"/>
          <w:highlight w:val="none"/>
        </w:rPr>
        <w:t>0.4变更估价</w:t>
      </w:r>
      <w:bookmarkEnd w:id="462"/>
      <w:bookmarkEnd w:id="463"/>
    </w:p>
    <w:bookmarkEnd w:id="464"/>
    <w:bookmarkEnd w:id="465"/>
    <w:bookmarkEnd w:id="466"/>
    <w:p w14:paraId="1299280F">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67" w:name="_Toc7272"/>
      <w:r>
        <w:rPr>
          <w:rFonts w:hint="eastAsia" w:asciiTheme="minorEastAsia" w:hAnsiTheme="minorEastAsia" w:eastAsiaTheme="minorEastAsia" w:cstheme="minorEastAsia"/>
          <w:color w:val="auto"/>
          <w:kern w:val="0"/>
          <w:sz w:val="24"/>
          <w:szCs w:val="24"/>
          <w:highlight w:val="none"/>
        </w:rPr>
        <w:t>10.4.1 变更估价原则</w:t>
      </w:r>
      <w:bookmarkEnd w:id="467"/>
    </w:p>
    <w:p w14:paraId="2E1B09C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除专用合同条款另有约定外，变更估价按照本款约定处理：</w:t>
      </w:r>
    </w:p>
    <w:p w14:paraId="0552C0C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（1）已标价工程量清单或预算书有相同项目的，按照相同项目单价认定；</w:t>
      </w:r>
    </w:p>
    <w:p w14:paraId="12F68B6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（2）已标价工程量清单或预算书中无相同项目，但有类似项目的，参照类似项目的单价认定；</w:t>
      </w:r>
    </w:p>
    <w:p w14:paraId="126657A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3DD943A">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468" w:name="_Toc29554"/>
      <w:r>
        <w:rPr>
          <w:rFonts w:hint="eastAsia" w:asciiTheme="minorEastAsia" w:hAnsiTheme="minorEastAsia" w:eastAsiaTheme="minorEastAsia" w:cstheme="minorEastAsia"/>
          <w:color w:val="auto"/>
          <w:kern w:val="0"/>
          <w:sz w:val="24"/>
          <w:szCs w:val="24"/>
          <w:highlight w:val="none"/>
        </w:rPr>
        <w:t>10.4.2 变更估价程序</w:t>
      </w:r>
      <w:bookmarkEnd w:id="468"/>
    </w:p>
    <w:p w14:paraId="7BBB2C4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28DAB9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因变更引起的价格调整应计入最近一期的进度款中支付。</w:t>
      </w:r>
    </w:p>
    <w:p w14:paraId="1BD80609">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69" w:name="_Toc22767"/>
      <w:bookmarkStart w:id="470" w:name="_Toc351203572"/>
      <w:r>
        <w:rPr>
          <w:rFonts w:hint="eastAsia" w:asciiTheme="minorEastAsia" w:hAnsiTheme="minorEastAsia" w:eastAsiaTheme="minorEastAsia" w:cstheme="minorEastAsia"/>
          <w:b w:val="0"/>
          <w:color w:val="auto"/>
          <w:sz w:val="24"/>
          <w:szCs w:val="24"/>
          <w:highlight w:val="none"/>
        </w:rPr>
        <w:t>1</w:t>
      </w:r>
      <w:bookmarkStart w:id="471" w:name="_Toc296346595"/>
      <w:bookmarkStart w:id="472" w:name="_Toc296503094"/>
      <w:bookmarkStart w:id="473" w:name="_Toc337558792"/>
      <w:r>
        <w:rPr>
          <w:rFonts w:hint="eastAsia" w:asciiTheme="minorEastAsia" w:hAnsiTheme="minorEastAsia" w:eastAsiaTheme="minorEastAsia" w:cstheme="minorEastAsia"/>
          <w:b w:val="0"/>
          <w:color w:val="auto"/>
          <w:sz w:val="24"/>
          <w:szCs w:val="24"/>
          <w:highlight w:val="none"/>
        </w:rPr>
        <w:t>0.5承包人的合理化建议</w:t>
      </w:r>
      <w:bookmarkEnd w:id="469"/>
      <w:bookmarkEnd w:id="470"/>
    </w:p>
    <w:bookmarkEnd w:id="471"/>
    <w:bookmarkEnd w:id="472"/>
    <w:bookmarkEnd w:id="473"/>
    <w:p w14:paraId="1F4D355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承包人提出合理化建议的，应向监理人提交合理化建议说明，说明建议的内容和理由，以及实施该建议对合同价格和工期的影响。</w:t>
      </w:r>
    </w:p>
    <w:p w14:paraId="726955E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BA22B9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合理化建议降低了合同价格或者提高了工程经济效益的，发包人可对承包人给予奖励，奖励的方法和金额在专用合同条款中约定。</w:t>
      </w:r>
    </w:p>
    <w:p w14:paraId="512741E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474" w:name="_Toc6617"/>
      <w:bookmarkStart w:id="475" w:name="_Toc351203573"/>
      <w:r>
        <w:rPr>
          <w:rFonts w:hint="eastAsia" w:asciiTheme="minorEastAsia" w:hAnsiTheme="minorEastAsia" w:eastAsiaTheme="minorEastAsia" w:cstheme="minorEastAsia"/>
          <w:b w:val="0"/>
          <w:color w:val="auto"/>
          <w:sz w:val="24"/>
          <w:szCs w:val="24"/>
          <w:highlight w:val="none"/>
        </w:rPr>
        <w:t>1</w:t>
      </w:r>
      <w:bookmarkStart w:id="476" w:name="_Toc337558793"/>
      <w:r>
        <w:rPr>
          <w:rFonts w:hint="eastAsia" w:asciiTheme="minorEastAsia" w:hAnsiTheme="minorEastAsia" w:eastAsiaTheme="minorEastAsia" w:cstheme="minorEastAsia"/>
          <w:b w:val="0"/>
          <w:color w:val="auto"/>
          <w:sz w:val="24"/>
          <w:szCs w:val="24"/>
          <w:highlight w:val="none"/>
        </w:rPr>
        <w:t>0.6变更引起的工期调整</w:t>
      </w:r>
      <w:bookmarkEnd w:id="474"/>
      <w:bookmarkEnd w:id="475"/>
      <w:r>
        <w:rPr>
          <w:rFonts w:hint="eastAsia" w:asciiTheme="minorEastAsia" w:hAnsiTheme="minorEastAsia" w:eastAsiaTheme="minorEastAsia" w:cstheme="minorEastAsia"/>
          <w:b w:val="0"/>
          <w:color w:val="auto"/>
          <w:sz w:val="24"/>
          <w:szCs w:val="24"/>
          <w:highlight w:val="none"/>
        </w:rPr>
        <w:t xml:space="preserve"> </w:t>
      </w:r>
      <w:bookmarkEnd w:id="476"/>
      <w:r>
        <w:rPr>
          <w:rFonts w:hint="eastAsia" w:asciiTheme="minorEastAsia" w:hAnsiTheme="minorEastAsia" w:eastAsiaTheme="minorEastAsia" w:cstheme="minorEastAsia"/>
          <w:b w:val="0"/>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29DEB7E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因变更引起工期变化的，合同当事人均可要求调整合同工期，由合同当事人按照第4.4款〔商定或确定〕并参考工程所在地的工期定额标准确定增减工期天数。</w:t>
      </w:r>
    </w:p>
    <w:p w14:paraId="24D8E589">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77" w:name="_Toc12138"/>
      <w:bookmarkStart w:id="478" w:name="_Toc351203574"/>
      <w:r>
        <w:rPr>
          <w:rFonts w:hint="eastAsia" w:asciiTheme="minorEastAsia" w:hAnsiTheme="minorEastAsia" w:eastAsiaTheme="minorEastAsia" w:cstheme="minorEastAsia"/>
          <w:b w:val="0"/>
          <w:color w:val="auto"/>
          <w:sz w:val="24"/>
          <w:szCs w:val="24"/>
          <w:highlight w:val="none"/>
        </w:rPr>
        <w:t>10.7暂估价</w:t>
      </w:r>
      <w:bookmarkEnd w:id="477"/>
      <w:bookmarkEnd w:id="478"/>
    </w:p>
    <w:p w14:paraId="5CDE754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暂估价专业分包工程、服务、材料和工程设备的明细由合同当事人在专用合同条款中约定。</w:t>
      </w:r>
    </w:p>
    <w:p w14:paraId="57DCF7A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10.7.1</w:t>
      </w:r>
      <w:r>
        <w:rPr>
          <w:rFonts w:hint="eastAsia" w:asciiTheme="minorEastAsia" w:hAnsiTheme="minorEastAsia" w:eastAsiaTheme="minorEastAsia" w:cstheme="minorEastAsia"/>
          <w:color w:val="auto"/>
          <w:kern w:val="0"/>
          <w:sz w:val="24"/>
          <w:szCs w:val="24"/>
          <w:highlight w:val="none"/>
        </w:rPr>
        <w:t xml:space="preserve"> 依法必须招标的暂估价项目</w:t>
      </w:r>
    </w:p>
    <w:p w14:paraId="3C5BCC2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对于依法必须招标的暂估价项目，采取以下第1种方式确定。合同当事人也可以在专用合同条款中选择其他招标方式。</w:t>
      </w:r>
    </w:p>
    <w:p w14:paraId="695650E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第1种方式：对于依法必须招标的暂估价项目，由承包人招标，对该暂估价项目的确认和批准按照以下约定执行：</w:t>
      </w:r>
    </w:p>
    <w:p w14:paraId="6D1BF9E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8140E0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2FAF944">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（3）承包人与供应商、分包人在签订暂估价合同前，应当提前7天将确定的</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候选供应商或</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候选分包人的资料报送发包人，发包人应在收到资料后3天内与承包人共同确定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人；承包人应当在签订合同后7天内，将暂估价合同副本报送发包人留存。</w:t>
      </w:r>
    </w:p>
    <w:p w14:paraId="0E4D210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人后，由发包人、承包人与</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人共同签订暂估价合同。</w:t>
      </w:r>
    </w:p>
    <w:p w14:paraId="0F29EDC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10.7.2</w:t>
      </w:r>
      <w:r>
        <w:rPr>
          <w:rFonts w:hint="eastAsia" w:asciiTheme="minorEastAsia" w:hAnsiTheme="minorEastAsia" w:eastAsiaTheme="minorEastAsia" w:cstheme="minorEastAsia"/>
          <w:color w:val="auto"/>
          <w:kern w:val="0"/>
          <w:sz w:val="24"/>
          <w:szCs w:val="24"/>
          <w:highlight w:val="none"/>
        </w:rPr>
        <w:t>不属于依法必须招标的暂估价项目</w:t>
      </w:r>
    </w:p>
    <w:p w14:paraId="66CBF7F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除专用合同条款另有约定外，对于不属于依法必须招标的暂估价项目，采取以下第1种方式确定： </w:t>
      </w:r>
    </w:p>
    <w:p w14:paraId="4AD7431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第1种方式：对于不属于依法必须招标的暂估价项目，按本项约定确认和批准：</w:t>
      </w:r>
    </w:p>
    <w:p w14:paraId="37A9AA0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1CCFFF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（2）发包人认为承包人确定的供应商、分包人无法满足工程质量或合同要求的，发包人可以要求承包人重新确定暂估价项目的供应商、分包人</w:t>
      </w:r>
      <w:r>
        <w:rPr>
          <w:rFonts w:hint="eastAsia" w:asciiTheme="minorEastAsia" w:hAnsiTheme="minorEastAsia" w:eastAsiaTheme="minorEastAsia" w:cstheme="minorEastAsia"/>
          <w:color w:val="auto"/>
          <w:kern w:val="0"/>
          <w:sz w:val="24"/>
          <w:szCs w:val="24"/>
          <w:highlight w:val="none"/>
          <w:lang w:eastAsia="zh-CN"/>
        </w:rPr>
        <w:t>；</w:t>
      </w:r>
    </w:p>
    <w:p w14:paraId="78E932A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（3）承包人应当在签订暂估价合同后7天内，将暂估价合同副本报送发包人留存。</w:t>
      </w:r>
    </w:p>
    <w:p w14:paraId="5441FF3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第2种方式：承包人按照第10.7.1项〔依法必须招标的暂估价项目〕约定的第1种方式确定暂估价项目。</w:t>
      </w:r>
    </w:p>
    <w:p w14:paraId="5934FD3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第3种方式：</w:t>
      </w:r>
      <w:r>
        <w:rPr>
          <w:rFonts w:hint="eastAsia" w:asciiTheme="minorEastAsia" w:hAnsiTheme="minorEastAsia" w:eastAsiaTheme="minorEastAsia" w:cstheme="minorEastAsia"/>
          <w:color w:val="auto"/>
          <w:kern w:val="0"/>
          <w:sz w:val="24"/>
          <w:szCs w:val="24"/>
          <w:highlight w:val="none"/>
        </w:rPr>
        <w:t>承包人直接实施的暂估价项目</w:t>
      </w:r>
    </w:p>
    <w:p w14:paraId="0760C1B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承包人具备实施暂估价项目的资格和条件的，经发包人和承包人协商一致后，可由承包人自行实施暂估价项目，合同当事人可以在专用合同条</w:t>
      </w:r>
      <w:r>
        <w:rPr>
          <w:rFonts w:hint="eastAsia" w:asciiTheme="minorEastAsia" w:hAnsiTheme="minorEastAsia" w:eastAsiaTheme="minorEastAsia" w:cstheme="minorEastAsia"/>
          <w:color w:val="auto"/>
          <w:kern w:val="0"/>
          <w:sz w:val="24"/>
          <w:szCs w:val="24"/>
          <w:highlight w:val="none"/>
          <w:lang w:eastAsia="zh-CN"/>
        </w:rPr>
        <w:t>款中</w:t>
      </w:r>
      <w:r>
        <w:rPr>
          <w:rFonts w:hint="eastAsia" w:asciiTheme="minorEastAsia" w:hAnsiTheme="minorEastAsia" w:eastAsiaTheme="minorEastAsia" w:cstheme="minorEastAsia"/>
          <w:color w:val="auto"/>
          <w:kern w:val="0"/>
          <w:sz w:val="24"/>
          <w:szCs w:val="24"/>
          <w:highlight w:val="none"/>
        </w:rPr>
        <w:t>约定具体事项。</w:t>
      </w:r>
    </w:p>
    <w:p w14:paraId="6A99764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2880C3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79" w:name="_Toc8315"/>
      <w:bookmarkStart w:id="480" w:name="_Toc351203575"/>
      <w:r>
        <w:rPr>
          <w:rFonts w:hint="eastAsia" w:asciiTheme="minorEastAsia" w:hAnsiTheme="minorEastAsia" w:eastAsiaTheme="minorEastAsia" w:cstheme="minorEastAsia"/>
          <w:b w:val="0"/>
          <w:color w:val="auto"/>
          <w:sz w:val="24"/>
          <w:szCs w:val="24"/>
          <w:highlight w:val="none"/>
        </w:rPr>
        <w:t>1</w:t>
      </w:r>
      <w:bookmarkStart w:id="481" w:name="_Toc337558794"/>
      <w:bookmarkStart w:id="482" w:name="_Toc296346591"/>
      <w:bookmarkStart w:id="483" w:name="_Toc322522561"/>
      <w:bookmarkStart w:id="484" w:name="_Toc296503090"/>
      <w:r>
        <w:rPr>
          <w:rFonts w:hint="eastAsia" w:asciiTheme="minorEastAsia" w:hAnsiTheme="minorEastAsia" w:eastAsiaTheme="minorEastAsia" w:cstheme="minorEastAsia"/>
          <w:b w:val="0"/>
          <w:color w:val="auto"/>
          <w:sz w:val="24"/>
          <w:szCs w:val="24"/>
          <w:highlight w:val="none"/>
        </w:rPr>
        <w:t>0.8暂列金额</w:t>
      </w:r>
      <w:bookmarkEnd w:id="479"/>
      <w:bookmarkEnd w:id="480"/>
    </w:p>
    <w:bookmarkEnd w:id="481"/>
    <w:p w14:paraId="24C100F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暂列金额应按照发包人的要求使用，发包人的要求应通过监理人发出。合同当事人可以在专用合同条款中协商确定有关事项。</w:t>
      </w:r>
    </w:p>
    <w:bookmarkEnd w:id="482"/>
    <w:bookmarkEnd w:id="483"/>
    <w:bookmarkEnd w:id="484"/>
    <w:p w14:paraId="25D1FAE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85" w:name="_Toc18414"/>
      <w:bookmarkStart w:id="486" w:name="_Toc351203576"/>
      <w:r>
        <w:rPr>
          <w:rFonts w:hint="eastAsia" w:asciiTheme="minorEastAsia" w:hAnsiTheme="minorEastAsia" w:eastAsiaTheme="minorEastAsia" w:cstheme="minorEastAsia"/>
          <w:b w:val="0"/>
          <w:color w:val="auto"/>
          <w:sz w:val="24"/>
          <w:szCs w:val="24"/>
          <w:highlight w:val="none"/>
        </w:rPr>
        <w:t>1</w:t>
      </w:r>
      <w:bookmarkStart w:id="487" w:name="_Toc337558796"/>
      <w:bookmarkStart w:id="488" w:name="_Toc296346592"/>
      <w:bookmarkStart w:id="489" w:name="_Toc296503091"/>
      <w:r>
        <w:rPr>
          <w:rFonts w:hint="eastAsia" w:asciiTheme="minorEastAsia" w:hAnsiTheme="minorEastAsia" w:eastAsiaTheme="minorEastAsia" w:cstheme="minorEastAsia"/>
          <w:b w:val="0"/>
          <w:color w:val="auto"/>
          <w:sz w:val="24"/>
          <w:szCs w:val="24"/>
          <w:highlight w:val="none"/>
        </w:rPr>
        <w:t>0.9计日工</w:t>
      </w:r>
      <w:bookmarkEnd w:id="485"/>
      <w:bookmarkEnd w:id="486"/>
      <w:r>
        <w:rPr>
          <w:rFonts w:hint="eastAsia" w:asciiTheme="minorEastAsia" w:hAnsiTheme="minorEastAsia" w:eastAsiaTheme="minorEastAsia" w:cstheme="minorEastAsia"/>
          <w:b w:val="0"/>
          <w:color w:val="auto"/>
          <w:sz w:val="24"/>
          <w:szCs w:val="24"/>
          <w:highlight w:val="none"/>
        </w:rPr>
        <w:t xml:space="preserve"> </w:t>
      </w:r>
      <w:bookmarkEnd w:id="487"/>
      <w:bookmarkEnd w:id="488"/>
      <w:bookmarkEnd w:id="489"/>
    </w:p>
    <w:p w14:paraId="6FCF975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41D7F4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采用计日工计价的任何一项工作，承包人应在该项工作实施过程中，每天提交以下报表和有关凭证报送监理人审查：</w:t>
      </w:r>
    </w:p>
    <w:p w14:paraId="3CA8A904">
      <w:pPr>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（1）工作名称、内容和数量；</w:t>
      </w:r>
    </w:p>
    <w:p w14:paraId="7E18C052">
      <w:pPr>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（2）投入该工作的所有人员的姓名、专业、工种、级别和耗用工时；</w:t>
      </w:r>
    </w:p>
    <w:p w14:paraId="609DCF90">
      <w:pPr>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（3）投入该工作的材料类别和数量；</w:t>
      </w:r>
    </w:p>
    <w:p w14:paraId="133E85A0">
      <w:pPr>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（4）投入该工作的施工设备型号、台数和耗用台时；</w:t>
      </w:r>
    </w:p>
    <w:p w14:paraId="7F08A682">
      <w:pPr>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（5）其他有关资料和凭证。</w:t>
      </w:r>
    </w:p>
    <w:p w14:paraId="10011F42">
      <w:pPr>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计日工由承包人汇总后，列入最近一期进度付款申请单，由监理人审查并经发包人批准后列入进度付款。</w:t>
      </w:r>
    </w:p>
    <w:p w14:paraId="3AF2B641">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490" w:name="_Toc351203577"/>
      <w:bookmarkStart w:id="491" w:name="_Toc29137"/>
      <w:r>
        <w:rPr>
          <w:rFonts w:hint="eastAsia" w:asciiTheme="minorEastAsia" w:hAnsiTheme="minorEastAsia" w:eastAsiaTheme="minorEastAsia" w:cstheme="minorEastAsia"/>
          <w:b w:val="0"/>
          <w:color w:val="auto"/>
          <w:sz w:val="24"/>
          <w:szCs w:val="24"/>
          <w:highlight w:val="none"/>
        </w:rPr>
        <w:t>11. 价格调整</w:t>
      </w:r>
      <w:bookmarkEnd w:id="490"/>
      <w:bookmarkEnd w:id="491"/>
    </w:p>
    <w:p w14:paraId="2183B87F">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492" w:name="_Toc8929"/>
      <w:bookmarkStart w:id="493" w:name="_Toc351203578"/>
      <w:bookmarkStart w:id="494" w:name="_Toc337558797"/>
      <w:bookmarkStart w:id="495" w:name="_Toc296346593"/>
      <w:bookmarkStart w:id="496" w:name="_Toc296503092"/>
      <w:r>
        <w:rPr>
          <w:rFonts w:hint="eastAsia" w:asciiTheme="minorEastAsia" w:hAnsiTheme="minorEastAsia" w:eastAsiaTheme="minorEastAsia" w:cstheme="minorEastAsia"/>
          <w:b w:val="0"/>
          <w:color w:val="auto"/>
          <w:sz w:val="24"/>
          <w:szCs w:val="24"/>
          <w:highlight w:val="none"/>
        </w:rPr>
        <w:t>11.1市场价格波动引起的调整</w:t>
      </w:r>
      <w:bookmarkEnd w:id="492"/>
      <w:bookmarkEnd w:id="493"/>
    </w:p>
    <w:bookmarkEnd w:id="494"/>
    <w:bookmarkEnd w:id="495"/>
    <w:bookmarkEnd w:id="496"/>
    <w:p w14:paraId="4EFFA14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72B7B74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第1种方式：采用价格指数进行价格调整。</w:t>
      </w:r>
    </w:p>
    <w:p w14:paraId="332454DB">
      <w:pPr>
        <w:tabs>
          <w:tab w:val="left" w:pos="0"/>
          <w:tab w:val="left" w:pos="360"/>
          <w:tab w:val="left" w:pos="540"/>
        </w:tabs>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497" w:name="_Toc5433"/>
      <w:r>
        <w:rPr>
          <w:rFonts w:hint="eastAsia" w:asciiTheme="minorEastAsia" w:hAnsiTheme="minorEastAsia" w:eastAsiaTheme="minorEastAsia" w:cstheme="minorEastAsia"/>
          <w:color w:val="auto"/>
          <w:sz w:val="24"/>
          <w:szCs w:val="24"/>
          <w:highlight w:val="none"/>
        </w:rPr>
        <w:t>（1）价格调整公式</w:t>
      </w:r>
      <w:bookmarkEnd w:id="497"/>
    </w:p>
    <w:p w14:paraId="0E60400C">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因人工、材料和设备等价格波动影响合同价格时，根据专用合同条款中约定的数据，按以下公式计算差额并调整合同价格：</w:t>
      </w:r>
    </w:p>
    <w:p w14:paraId="52553804">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30"/>
          <w:sz w:val="24"/>
          <w:szCs w:val="24"/>
          <w:highlight w:val="none"/>
        </w:rPr>
        <w:object>
          <v:shape id="_x0000_i1025" o:spt="75" type="#_x0000_t75" style="height:43.9pt;width:359.85pt;" o:ole="t" filled="f" stroked="f" coordsize="21600,21600">
            <v:path/>
            <v:fill on="f" focussize="0,0"/>
            <v:stroke on="f"/>
            <v:imagedata r:id="rId13" o:title=""/>
            <o:lock v:ext="edit" grouping="f" rotation="f" text="f" aspectratio="t"/>
            <w10:wrap type="none"/>
            <w10:anchorlock/>
          </v:shape>
          <o:OLEObject Type="Embed" ProgID="Equation.KSEE3" ShapeID="_x0000_i1025" DrawAspect="Content" ObjectID="_1468075725" r:id="rId12">
            <o:LockedField>false</o:LockedField>
          </o:OLEObject>
        </w:object>
      </w:r>
    </w:p>
    <w:p w14:paraId="76D7CBDF">
      <w:pPr>
        <w:tabs>
          <w:tab w:val="left" w:pos="0"/>
          <w:tab w:val="left" w:pos="360"/>
          <w:tab w:val="left" w:pos="540"/>
        </w:tabs>
        <w:spacing w:line="36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公式中：ΔP——需调整的价格差额；</w:t>
      </w:r>
    </w:p>
    <w:p w14:paraId="3DF7F51A">
      <w:pPr>
        <w:tabs>
          <w:tab w:val="left" w:pos="0"/>
          <w:tab w:val="left" w:pos="360"/>
          <w:tab w:val="left" w:pos="540"/>
        </w:tabs>
        <w:spacing w:line="360" w:lineRule="auto"/>
        <w:ind w:firstLine="1440" w:firstLineChars="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6"/>
          <w:sz w:val="24"/>
          <w:szCs w:val="24"/>
          <w:highlight w:val="none"/>
        </w:rPr>
        <w:object>
          <v:shape id="_x0000_i1026" o:spt="75" type="#_x0000_t75" style="height:17.95pt;width:17.95pt;" o:ole="t" filled="f" stroked="f" coordsize="21600,21600">
            <v:path/>
            <v:fill on="f" focussize="0,0"/>
            <v:stroke on="f"/>
            <v:imagedata r:id="rId15" o:title=""/>
            <o:lock v:ext="edit" grouping="f" rotation="f" text="f" aspectratio="t"/>
            <w10:wrap type="none"/>
            <w10:anchorlock/>
          </v:shape>
          <o:OLEObject Type="Embed" ProgID="Equation.KSEE3" ShapeID="_x0000_i1026" DrawAspect="Content" ObjectID="_1468075726" r:id="rId14">
            <o:LockedField>false</o:LockedField>
          </o:OLEObject>
        </w:object>
      </w:r>
      <w:r>
        <w:rPr>
          <w:rFonts w:hint="eastAsia" w:asciiTheme="minorEastAsia" w:hAnsiTheme="minorEastAsia" w:eastAsiaTheme="minorEastAsia" w:cstheme="minorEastAsia"/>
          <w:color w:val="auto"/>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82EA2A6">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A——定值权重（即不调部分的权重）；</w:t>
      </w:r>
    </w:p>
    <w:p w14:paraId="2313A957">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0"/>
          <w:sz w:val="24"/>
          <w:szCs w:val="24"/>
          <w:highlight w:val="none"/>
        </w:rPr>
        <w:object>
          <v:shape id="_x0000_i1027" o:spt="75" type="#_x0000_t75" style="height:21.05pt;width:101pt;" o:ole="t" filled="f" stroked="f" coordsize="21600,21600">
            <v:path/>
            <v:fill on="f" focussize="0,0"/>
            <v:stroke on="f"/>
            <v:imagedata r:id="rId17" o:title=""/>
            <o:lock v:ext="edit" grouping="f" rotation="f" text="f" aspectratio="t"/>
            <w10:wrap type="none"/>
            <w10:anchorlock/>
          </v:shape>
          <o:OLEObject Type="Embed" ProgID="Equation.KSEE3" ShapeID="_x0000_i1027" DrawAspect="Content" ObjectID="_1468075727" r:id="rId16">
            <o:LockedField>false</o:LockedField>
          </o:OLEObject>
        </w:object>
      </w:r>
      <w:r>
        <w:rPr>
          <w:rFonts w:hint="eastAsia" w:asciiTheme="minorEastAsia" w:hAnsiTheme="minorEastAsia" w:eastAsiaTheme="minorEastAsia" w:cstheme="minorEastAsia"/>
          <w:color w:val="auto"/>
          <w:sz w:val="24"/>
          <w:szCs w:val="24"/>
          <w:highlight w:val="none"/>
        </w:rPr>
        <w:t>——各可调因子的变值权重（即可调部分的权重），为各可调因子在签约合同价中所占的比例；</w:t>
      </w:r>
    </w:p>
    <w:p w14:paraId="17746A48">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0"/>
          <w:sz w:val="24"/>
          <w:szCs w:val="24"/>
          <w:highlight w:val="none"/>
        </w:rPr>
        <w:object>
          <v:shape id="_x0000_i1028" o:spt="75" type="#_x0000_t75" style="height:20.6pt;width:102.05pt;" o:ole="t" filled="f" stroked="f" coordsize="21600,21600">
            <v:path/>
            <v:fill on="f" focussize="0,0"/>
            <v:stroke on="f"/>
            <v:imagedata r:id="rId19" o:title=""/>
            <o:lock v:ext="edit" grouping="f" rotation="f" text="f" aspectratio="t"/>
            <w10:wrap type="none"/>
            <w10:anchorlock/>
          </v:shape>
          <o:OLEObject Type="Embed" ProgID="Equation.KSEE3" ShapeID="_x0000_i1028" DrawAspect="Content" ObjectID="_1468075728" r:id="rId18">
            <o:LockedField>false</o:LockedField>
          </o:OLEObject>
        </w:object>
      </w:r>
      <w:r>
        <w:rPr>
          <w:rFonts w:hint="eastAsia" w:asciiTheme="minorEastAsia" w:hAnsiTheme="minorEastAsia" w:eastAsiaTheme="minorEastAsia" w:cstheme="minorEastAsia"/>
          <w:color w:val="auto"/>
          <w:sz w:val="24"/>
          <w:szCs w:val="24"/>
          <w:highlight w:val="none"/>
        </w:rPr>
        <w:t>——各可调因子的现行价格指数，指约定的付款证书相关周期最后一天的前42天的各可调因子的价格指数；</w:t>
      </w:r>
    </w:p>
    <w:p w14:paraId="1F2E089A">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0"/>
          <w:sz w:val="24"/>
          <w:szCs w:val="24"/>
          <w:highlight w:val="none"/>
        </w:rPr>
        <w:object>
          <v:shape id="_x0000_i1029" o:spt="75" type="#_x0000_t75" style="height:20.2pt;width:108pt;" o:ole="t" filled="f" stroked="f" coordsize="21600,21600">
            <v:path/>
            <v:fill on="f" focussize="0,0"/>
            <v:stroke on="f"/>
            <v:imagedata r:id="rId21" o:title=""/>
            <o:lock v:ext="edit" grouping="f" rotation="f" text="f" aspectratio="t"/>
            <w10:wrap type="none"/>
            <w10:anchorlock/>
          </v:shape>
          <o:OLEObject Type="Embed" ProgID="Equation.KSEE3" ShapeID="_x0000_i1029" DrawAspect="Content" ObjectID="_1468075729" r:id="rId20">
            <o:LockedField>false</o:LockedField>
          </o:OLEObject>
        </w:object>
      </w:r>
      <w:r>
        <w:rPr>
          <w:rFonts w:hint="eastAsia" w:asciiTheme="minorEastAsia" w:hAnsiTheme="minorEastAsia" w:eastAsiaTheme="minorEastAsia" w:cstheme="minorEastAsia"/>
          <w:color w:val="auto"/>
          <w:sz w:val="24"/>
          <w:szCs w:val="24"/>
          <w:highlight w:val="none"/>
        </w:rPr>
        <w:t>——各可调因子的基本价格指数，指基准日期的各可调因子的价格指数。</w:t>
      </w:r>
    </w:p>
    <w:p w14:paraId="381FA21C">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5F3AA74">
      <w:pPr>
        <w:tabs>
          <w:tab w:val="left" w:pos="0"/>
          <w:tab w:val="left" w:pos="360"/>
          <w:tab w:val="left" w:pos="540"/>
        </w:tabs>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498" w:name="_Toc14479"/>
      <w:r>
        <w:rPr>
          <w:rFonts w:hint="eastAsia" w:asciiTheme="minorEastAsia" w:hAnsiTheme="minorEastAsia" w:eastAsiaTheme="minorEastAsia" w:cstheme="minorEastAsia"/>
          <w:color w:val="auto"/>
          <w:sz w:val="24"/>
          <w:szCs w:val="24"/>
          <w:highlight w:val="none"/>
        </w:rPr>
        <w:t>（2）暂时确定调整差额</w:t>
      </w:r>
      <w:bookmarkEnd w:id="498"/>
    </w:p>
    <w:p w14:paraId="22042CBF">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在计算调整差额时无现行价格指数的，合同当事人同意暂用前次价格指数计算。实际价格指数有调整的，合同当事人进行相应调整。</w:t>
      </w:r>
    </w:p>
    <w:p w14:paraId="4104B3FC">
      <w:pPr>
        <w:tabs>
          <w:tab w:val="left" w:pos="0"/>
          <w:tab w:val="left" w:pos="360"/>
          <w:tab w:val="left" w:pos="540"/>
        </w:tabs>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499" w:name="_Toc32419"/>
      <w:r>
        <w:rPr>
          <w:rFonts w:hint="eastAsia" w:asciiTheme="minorEastAsia" w:hAnsiTheme="minorEastAsia" w:eastAsiaTheme="minorEastAsia" w:cstheme="minorEastAsia"/>
          <w:color w:val="auto"/>
          <w:sz w:val="24"/>
          <w:szCs w:val="24"/>
          <w:highlight w:val="none"/>
        </w:rPr>
        <w:t>（3）权重的调整</w:t>
      </w:r>
      <w:bookmarkEnd w:id="499"/>
    </w:p>
    <w:p w14:paraId="34A7102C">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因变更导致合同约定的权重不合理时，按照第4.4款〔商定或确定〕执行。</w:t>
      </w:r>
    </w:p>
    <w:p w14:paraId="7B5E034E">
      <w:pPr>
        <w:tabs>
          <w:tab w:val="left" w:pos="0"/>
          <w:tab w:val="left" w:pos="360"/>
          <w:tab w:val="left" w:pos="540"/>
        </w:tabs>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500" w:name="_Toc32405"/>
      <w:r>
        <w:rPr>
          <w:rFonts w:hint="eastAsia" w:asciiTheme="minorEastAsia" w:hAnsiTheme="minorEastAsia" w:eastAsiaTheme="minorEastAsia" w:cstheme="minorEastAsia"/>
          <w:color w:val="auto"/>
          <w:sz w:val="24"/>
          <w:szCs w:val="24"/>
          <w:highlight w:val="none"/>
        </w:rPr>
        <w:t>（4）因承包人原因工期延误后的价格调整</w:t>
      </w:r>
      <w:bookmarkEnd w:id="500"/>
    </w:p>
    <w:p w14:paraId="5EF1AD44">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D3FD92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第2种方式：采用造价信息进行价格调整。</w:t>
      </w:r>
    </w:p>
    <w:p w14:paraId="7307AB6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9826ED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A638A2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（2）材料、工程设备价格变化的价款调整按照发包人提供的基准价格，按以下风险范围规定执行</w:t>
      </w:r>
      <w:r>
        <w:rPr>
          <w:rFonts w:hint="eastAsia" w:asciiTheme="minorEastAsia" w:hAnsiTheme="minorEastAsia" w:eastAsiaTheme="minorEastAsia" w:cstheme="minorEastAsia"/>
          <w:color w:val="auto"/>
          <w:sz w:val="24"/>
          <w:szCs w:val="24"/>
          <w:highlight w:val="none"/>
          <w:lang w:eastAsia="zh-CN"/>
        </w:rPr>
        <w:t>：</w:t>
      </w:r>
    </w:p>
    <w:p w14:paraId="6860F36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7E2909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6396FF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512CFE0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5E1431B">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501" w:name="OLE_LINK3"/>
      <w:r>
        <w:rPr>
          <w:rFonts w:hint="eastAsia" w:asciiTheme="minorEastAsia" w:hAnsiTheme="minorEastAsia" w:eastAsiaTheme="minorEastAsia" w:cstheme="minorEastAsia"/>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4C83F3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（3）施工机械台班单价或施工机械使用费发生变化超过省级或行业建设主管部门或其授权的工程造价管理机构规定的范围时，按规定调整合同价格。</w:t>
      </w:r>
    </w:p>
    <w:p w14:paraId="6D3195C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第3种方式：专用合同条款约定的其他方式。</w:t>
      </w:r>
    </w:p>
    <w:p w14:paraId="13EED98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02" w:name="_Toc8418"/>
      <w:bookmarkStart w:id="503" w:name="_Toc351203579"/>
      <w:bookmarkStart w:id="504" w:name="_Toc296503093"/>
      <w:bookmarkStart w:id="505" w:name="_Toc337558798"/>
      <w:bookmarkStart w:id="506" w:name="_Toc296346594"/>
      <w:r>
        <w:rPr>
          <w:rFonts w:hint="eastAsia" w:asciiTheme="minorEastAsia" w:hAnsiTheme="minorEastAsia" w:eastAsiaTheme="minorEastAsia" w:cstheme="minorEastAsia"/>
          <w:b w:val="0"/>
          <w:color w:val="auto"/>
          <w:sz w:val="24"/>
          <w:szCs w:val="24"/>
          <w:highlight w:val="none"/>
        </w:rPr>
        <w:t>11.2法律变化引起的调整</w:t>
      </w:r>
      <w:bookmarkEnd w:id="502"/>
      <w:bookmarkEnd w:id="503"/>
    </w:p>
    <w:bookmarkEnd w:id="504"/>
    <w:bookmarkEnd w:id="505"/>
    <w:bookmarkEnd w:id="506"/>
    <w:p w14:paraId="71DDA99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1E6505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因法律变化引起的合同价格和工期调整，合同当事人无法达成一致的，由总监理工程师按第4.4款〔商定或确定〕的约定处理。</w:t>
      </w:r>
    </w:p>
    <w:p w14:paraId="608ED77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因承包人原因造成工期延误，在工期延误期间出现法律变化的，由此增加的费用和（或）延误的工期由承包人承担。</w:t>
      </w:r>
    </w:p>
    <w:p w14:paraId="6DE11256">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507" w:name="_Toc351203580"/>
      <w:bookmarkStart w:id="508" w:name="_Toc18812"/>
      <w:bookmarkStart w:id="509" w:name="_Toc337558799"/>
      <w:bookmarkStart w:id="510" w:name="_Toc296503096"/>
      <w:bookmarkStart w:id="511" w:name="_Toc296346597"/>
      <w:r>
        <w:rPr>
          <w:rFonts w:hint="eastAsia" w:asciiTheme="minorEastAsia" w:hAnsiTheme="minorEastAsia" w:eastAsiaTheme="minorEastAsia" w:cstheme="minorEastAsia"/>
          <w:b w:val="0"/>
          <w:color w:val="auto"/>
          <w:sz w:val="24"/>
          <w:szCs w:val="24"/>
          <w:highlight w:val="none"/>
        </w:rPr>
        <w:t>12. 合同价格、计量与支付</w:t>
      </w:r>
      <w:bookmarkEnd w:id="507"/>
      <w:bookmarkEnd w:id="508"/>
    </w:p>
    <w:bookmarkEnd w:id="509"/>
    <w:p w14:paraId="35A2E58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12" w:name="_Toc351203581"/>
      <w:bookmarkStart w:id="513" w:name="_Toc32602"/>
      <w:bookmarkStart w:id="514" w:name="_Toc337558800"/>
      <w:r>
        <w:rPr>
          <w:rFonts w:hint="eastAsia" w:asciiTheme="minorEastAsia" w:hAnsiTheme="minorEastAsia" w:eastAsiaTheme="minorEastAsia" w:cstheme="minorEastAsia"/>
          <w:b w:val="0"/>
          <w:color w:val="auto"/>
          <w:sz w:val="24"/>
          <w:szCs w:val="24"/>
          <w:highlight w:val="none"/>
        </w:rPr>
        <w:t>12.1 合同价</w:t>
      </w:r>
      <w:bookmarkEnd w:id="510"/>
      <w:bookmarkEnd w:id="511"/>
      <w:r>
        <w:rPr>
          <w:rFonts w:hint="eastAsia" w:asciiTheme="minorEastAsia" w:hAnsiTheme="minorEastAsia" w:eastAsiaTheme="minorEastAsia" w:cstheme="minorEastAsia"/>
          <w:b w:val="0"/>
          <w:color w:val="auto"/>
          <w:sz w:val="24"/>
          <w:szCs w:val="24"/>
          <w:highlight w:val="none"/>
        </w:rPr>
        <w:t>格形式</w:t>
      </w:r>
      <w:bookmarkEnd w:id="512"/>
      <w:bookmarkEnd w:id="513"/>
    </w:p>
    <w:bookmarkEnd w:id="514"/>
    <w:p w14:paraId="714B7B2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发包人和承包人应在合同协议书中选择下列一种合同价格形式： </w:t>
      </w:r>
    </w:p>
    <w:p w14:paraId="3C4047F3">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15" w:name="_Toc29743"/>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单价合同</w:t>
      </w:r>
      <w:bookmarkEnd w:id="515"/>
    </w:p>
    <w:p w14:paraId="18D7B95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单价合同是指合同当事人约定以工程量清单及其综合单价进行合同价格计算、调整和确认的建设工程施工合同，</w:t>
      </w:r>
      <w:r>
        <w:rPr>
          <w:rFonts w:hint="eastAsia" w:asciiTheme="minorEastAsia" w:hAnsiTheme="minorEastAsia" w:eastAsiaTheme="minorEastAsia" w:cstheme="minorEastAsia"/>
          <w:color w:val="auto"/>
          <w:sz w:val="24"/>
          <w:szCs w:val="24"/>
          <w:highlight w:val="none"/>
        </w:rPr>
        <w:t>在约定的范围内合同单价不作调整</w:t>
      </w:r>
      <w:r>
        <w:rPr>
          <w:rFonts w:hint="eastAsia" w:asciiTheme="minorEastAsia" w:hAnsiTheme="minorEastAsia" w:eastAsiaTheme="minorEastAsia" w:cstheme="minorEastAsia"/>
          <w:color w:val="auto"/>
          <w:kern w:val="0"/>
          <w:sz w:val="24"/>
          <w:szCs w:val="24"/>
          <w:highlight w:val="none"/>
        </w:rPr>
        <w:t>。合同当事人应在专用合同条款中约定综合单价包含的风险范围和风险费用的计算方法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并约定风险范围以外的合同价格的调整方法，其中因市场价格波动引起的调整按第11.1款〔市场价格波动引起的调整〕约定执行。</w:t>
      </w:r>
    </w:p>
    <w:p w14:paraId="6302D489">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16" w:name="_Toc8721"/>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总价合同</w:t>
      </w:r>
      <w:bookmarkEnd w:id="516"/>
    </w:p>
    <w:p w14:paraId="78249BB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总价合同是指合同当事人约定以施工图、已标价工程量清单或预算书及有关条件进行合同价格计算、调整和确认的建设工程施工合同，</w:t>
      </w:r>
      <w:r>
        <w:rPr>
          <w:rFonts w:hint="eastAsia" w:asciiTheme="minorEastAsia" w:hAnsiTheme="minorEastAsia" w:eastAsiaTheme="minorEastAsia" w:cstheme="minorEastAsia"/>
          <w:color w:val="auto"/>
          <w:sz w:val="24"/>
          <w:szCs w:val="24"/>
          <w:highlight w:val="none"/>
        </w:rPr>
        <w:t>在约定的范围内合同总价不作调整</w:t>
      </w:r>
      <w:r>
        <w:rPr>
          <w:rFonts w:hint="eastAsia" w:asciiTheme="minorEastAsia" w:hAnsiTheme="minorEastAsia" w:eastAsiaTheme="minorEastAsia" w:cstheme="minorEastAsia"/>
          <w:color w:val="auto"/>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834086E">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17" w:name="_Toc17467"/>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.其他</w:t>
      </w:r>
      <w:r>
        <w:rPr>
          <w:rFonts w:hint="eastAsia" w:asciiTheme="minorEastAsia" w:hAnsiTheme="minorEastAsia" w:eastAsiaTheme="minorEastAsia" w:cstheme="minorEastAsia"/>
          <w:color w:val="auto"/>
          <w:kern w:val="0"/>
          <w:sz w:val="24"/>
          <w:szCs w:val="24"/>
          <w:highlight w:val="none"/>
        </w:rPr>
        <w:t>价格形式</w:t>
      </w:r>
      <w:bookmarkEnd w:id="517"/>
    </w:p>
    <w:p w14:paraId="1C49A6D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合同当事人可在专用合同条款中约定其他合同价格形式。</w:t>
      </w:r>
    </w:p>
    <w:p w14:paraId="2D596FC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18" w:name="_Toc296346598"/>
      <w:bookmarkStart w:id="519" w:name="_Toc296503097"/>
      <w:bookmarkStart w:id="520" w:name="_Toc10107"/>
      <w:bookmarkStart w:id="521" w:name="_Toc351203582"/>
      <w:bookmarkStart w:id="522" w:name="_Toc337558801"/>
      <w:r>
        <w:rPr>
          <w:rFonts w:hint="eastAsia" w:asciiTheme="minorEastAsia" w:hAnsiTheme="minorEastAsia" w:eastAsiaTheme="minorEastAsia" w:cstheme="minorEastAsia"/>
          <w:b w:val="0"/>
          <w:color w:val="auto"/>
          <w:sz w:val="24"/>
          <w:szCs w:val="24"/>
          <w:highlight w:val="none"/>
        </w:rPr>
        <w:t>12.2预</w:t>
      </w:r>
      <w:bookmarkEnd w:id="518"/>
      <w:bookmarkEnd w:id="519"/>
      <w:bookmarkStart w:id="523" w:name="_Toc296346601"/>
      <w:bookmarkStart w:id="524" w:name="_Toc296503100"/>
      <w:r>
        <w:rPr>
          <w:rFonts w:hint="eastAsia" w:asciiTheme="minorEastAsia" w:hAnsiTheme="minorEastAsia" w:eastAsiaTheme="minorEastAsia" w:cstheme="minorEastAsia"/>
          <w:b w:val="0"/>
          <w:color w:val="auto"/>
          <w:sz w:val="24"/>
          <w:szCs w:val="24"/>
          <w:highlight w:val="none"/>
        </w:rPr>
        <w:t>付款</w:t>
      </w:r>
      <w:bookmarkEnd w:id="520"/>
      <w:bookmarkEnd w:id="521"/>
    </w:p>
    <w:bookmarkEnd w:id="522"/>
    <w:bookmarkEnd w:id="523"/>
    <w:bookmarkEnd w:id="524"/>
    <w:p w14:paraId="2A43E626">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25" w:name="_Toc30969"/>
      <w:r>
        <w:rPr>
          <w:rFonts w:hint="eastAsia" w:asciiTheme="minorEastAsia" w:hAnsiTheme="minorEastAsia" w:eastAsiaTheme="minorEastAsia" w:cstheme="minorEastAsia"/>
          <w:color w:val="auto"/>
          <w:sz w:val="24"/>
          <w:szCs w:val="24"/>
          <w:highlight w:val="none"/>
        </w:rPr>
        <w:t>12.2.</w:t>
      </w:r>
      <w:r>
        <w:rPr>
          <w:rFonts w:hint="eastAsia" w:asciiTheme="minorEastAsia" w:hAnsiTheme="minorEastAsia" w:eastAsiaTheme="minorEastAsia" w:cstheme="minorEastAsia"/>
          <w:color w:val="auto"/>
          <w:kern w:val="0"/>
          <w:sz w:val="24"/>
          <w:szCs w:val="24"/>
          <w:highlight w:val="none"/>
        </w:rPr>
        <w:t>1预付款的支付</w:t>
      </w:r>
      <w:bookmarkEnd w:id="525"/>
    </w:p>
    <w:p w14:paraId="02ACA80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67F1CA0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除专用合同条款另有约定外，预付款在进度付款中同比例扣回。</w:t>
      </w:r>
      <w:bookmarkEnd w:id="501"/>
      <w:r>
        <w:rPr>
          <w:rFonts w:hint="eastAsia" w:asciiTheme="minorEastAsia" w:hAnsiTheme="minorEastAsia" w:eastAsiaTheme="minorEastAsia" w:cstheme="minorEastAsia"/>
          <w:color w:val="auto"/>
          <w:kern w:val="0"/>
          <w:sz w:val="24"/>
          <w:szCs w:val="24"/>
          <w:highlight w:val="none"/>
        </w:rPr>
        <w:t>在颁发工程接收证书前，提前解除合同的，尚未扣完的预付款应与合同价款一并结算。</w:t>
      </w:r>
    </w:p>
    <w:p w14:paraId="714A30B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61D72A26">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526" w:name="_Toc18805"/>
      <w:r>
        <w:rPr>
          <w:rFonts w:hint="eastAsia" w:asciiTheme="minorEastAsia" w:hAnsiTheme="minorEastAsia" w:eastAsiaTheme="minorEastAsia" w:cstheme="minorEastAsia"/>
          <w:color w:val="auto"/>
          <w:sz w:val="24"/>
          <w:szCs w:val="24"/>
          <w:highlight w:val="none"/>
        </w:rPr>
        <w:t>12.2.2 预付款担保</w:t>
      </w:r>
      <w:bookmarkEnd w:id="526"/>
    </w:p>
    <w:p w14:paraId="3231AD1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D1DF4B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发包人在工程款中逐期扣回预付款后，预付款担保额度应相应减少，但剩余的预付款担保金额不得低于未被扣回的预付款金额。</w:t>
      </w:r>
    </w:p>
    <w:p w14:paraId="0584159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27" w:name="_Toc351203583"/>
      <w:bookmarkStart w:id="528" w:name="_Toc9485"/>
      <w:bookmarkStart w:id="529" w:name="_Toc337558802"/>
      <w:r>
        <w:rPr>
          <w:rFonts w:hint="eastAsia" w:asciiTheme="minorEastAsia" w:hAnsiTheme="minorEastAsia" w:eastAsiaTheme="minorEastAsia" w:cstheme="minorEastAsia"/>
          <w:b w:val="0"/>
          <w:color w:val="auto"/>
          <w:sz w:val="24"/>
          <w:szCs w:val="24"/>
          <w:highlight w:val="none"/>
        </w:rPr>
        <w:t>12.3计量</w:t>
      </w:r>
      <w:bookmarkEnd w:id="527"/>
      <w:bookmarkEnd w:id="528"/>
    </w:p>
    <w:bookmarkEnd w:id="529"/>
    <w:p w14:paraId="2DE4848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12.3.1 计量原则</w:t>
      </w:r>
    </w:p>
    <w:p w14:paraId="66988F7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33D0DCD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12.3.2 计量周期</w:t>
      </w:r>
    </w:p>
    <w:p w14:paraId="1C62794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除专用合同条款另有约定外，工程量的计量按月进行。</w:t>
      </w:r>
    </w:p>
    <w:p w14:paraId="77CFBF5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12.3.3 单价合同的计量</w:t>
      </w:r>
    </w:p>
    <w:p w14:paraId="23AEC62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除专用合同条款另有约定外，单价合同的计量按照本项约定执行：</w:t>
      </w:r>
    </w:p>
    <w:p w14:paraId="31FA53A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（1）承包人应于每月25日向监理人报送上月20日至当月19日已完成的工程量报告，并附具进度付款申请单、已完成工程量报表和有关资料。</w:t>
      </w:r>
    </w:p>
    <w:p w14:paraId="59B60D9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C32C14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（3）监理人未在收到承包人提交的工程量报表后的7天内完成审核的，承包人报送的工程量报告中的工程量视为承包人实际完成的工程量，据此计算工程价款。</w:t>
      </w:r>
    </w:p>
    <w:p w14:paraId="22CCEEF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12.3.4 总价合同的计量</w:t>
      </w:r>
    </w:p>
    <w:p w14:paraId="77530A5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除专用合同条款另有约定外，按月计量支付的总价合同，按照本项约定执行：</w:t>
      </w:r>
    </w:p>
    <w:p w14:paraId="7BE260C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（1）承包人应于每月25日向监理人报送上月20日至当月19日已完成的工程量报告，并附具进度付款申请单、已完成工程量报表和有关资料。</w:t>
      </w:r>
    </w:p>
    <w:p w14:paraId="050E8C8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E7564F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（3）监理人未在收到承包人提交的工程量报表后的7天内完成复核的，承包人提交的工程量报告中的工程量视为承包人实际完成的工程量。</w:t>
      </w:r>
    </w:p>
    <w:p w14:paraId="62B3959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12.3.5 总价合同采用支付分解表计量支付的，可以按照第12.3.4项〔总价合同的计量〕约定进行计量，但合同价款按照支付分解表进行支付。</w:t>
      </w:r>
    </w:p>
    <w:p w14:paraId="0622CAC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12.3.6 其他价格形式合同的计量</w:t>
      </w:r>
    </w:p>
    <w:p w14:paraId="410A7B8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合同当事人可在专用合同条款中约定其他价格形式合同的计量方式和程序。</w:t>
      </w:r>
    </w:p>
    <w:p w14:paraId="6D5BF39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30" w:name="_Toc296346602"/>
      <w:bookmarkStart w:id="531" w:name="_Toc296503101"/>
      <w:bookmarkStart w:id="532" w:name="_Toc5965"/>
      <w:bookmarkStart w:id="533" w:name="_Toc351203584"/>
      <w:bookmarkStart w:id="534" w:name="_Toc337558803"/>
      <w:r>
        <w:rPr>
          <w:rFonts w:hint="eastAsia" w:asciiTheme="minorEastAsia" w:hAnsiTheme="minorEastAsia" w:eastAsiaTheme="minorEastAsia" w:cstheme="minorEastAsia"/>
          <w:b w:val="0"/>
          <w:color w:val="auto"/>
          <w:sz w:val="24"/>
          <w:szCs w:val="24"/>
          <w:highlight w:val="none"/>
        </w:rPr>
        <w:t>12.4工程进度款支</w:t>
      </w:r>
      <w:bookmarkEnd w:id="530"/>
      <w:bookmarkEnd w:id="531"/>
      <w:r>
        <w:rPr>
          <w:rFonts w:hint="eastAsia" w:asciiTheme="minorEastAsia" w:hAnsiTheme="minorEastAsia" w:eastAsiaTheme="minorEastAsia" w:cstheme="minorEastAsia"/>
          <w:b w:val="0"/>
          <w:color w:val="auto"/>
          <w:sz w:val="24"/>
          <w:szCs w:val="24"/>
          <w:highlight w:val="none"/>
        </w:rPr>
        <w:t>付</w:t>
      </w:r>
      <w:bookmarkEnd w:id="532"/>
      <w:bookmarkEnd w:id="533"/>
    </w:p>
    <w:bookmarkEnd w:id="534"/>
    <w:p w14:paraId="64808BAF">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35" w:name="_Toc11493"/>
      <w:r>
        <w:rPr>
          <w:rFonts w:hint="eastAsia" w:asciiTheme="minorEastAsia" w:hAnsiTheme="minorEastAsia" w:eastAsiaTheme="minorEastAsia" w:cstheme="minorEastAsia"/>
          <w:color w:val="auto"/>
          <w:sz w:val="24"/>
          <w:szCs w:val="24"/>
          <w:highlight w:val="none"/>
        </w:rPr>
        <w:t>12.4</w:t>
      </w:r>
      <w:r>
        <w:rPr>
          <w:rFonts w:hint="eastAsia" w:asciiTheme="minorEastAsia" w:hAnsiTheme="minorEastAsia" w:eastAsiaTheme="minorEastAsia" w:cstheme="minorEastAsia"/>
          <w:color w:val="auto"/>
          <w:kern w:val="0"/>
          <w:sz w:val="24"/>
          <w:szCs w:val="24"/>
          <w:highlight w:val="none"/>
        </w:rPr>
        <w:t>.1 付款周期</w:t>
      </w:r>
      <w:bookmarkEnd w:id="535"/>
    </w:p>
    <w:p w14:paraId="144F29F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除专用合同条款另有约定外，付款周期应按照第12.3.2项〔计量周期〕的约定与计量周期保持一致。</w:t>
      </w:r>
    </w:p>
    <w:p w14:paraId="2608F93F">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36" w:name="_Toc29894"/>
      <w:r>
        <w:rPr>
          <w:rFonts w:hint="eastAsia" w:asciiTheme="minorEastAsia" w:hAnsiTheme="minorEastAsia" w:eastAsiaTheme="minorEastAsia" w:cstheme="minorEastAsia"/>
          <w:color w:val="auto"/>
          <w:sz w:val="24"/>
          <w:szCs w:val="24"/>
          <w:highlight w:val="none"/>
        </w:rPr>
        <w:t>12.4</w:t>
      </w:r>
      <w:r>
        <w:rPr>
          <w:rFonts w:hint="eastAsia" w:asciiTheme="minorEastAsia" w:hAnsiTheme="minorEastAsia" w:eastAsiaTheme="minorEastAsia" w:cstheme="minorEastAsia"/>
          <w:color w:val="auto"/>
          <w:kern w:val="0"/>
          <w:sz w:val="24"/>
          <w:szCs w:val="24"/>
          <w:highlight w:val="none"/>
        </w:rPr>
        <w:t>.2 进度付款申请单的编制</w:t>
      </w:r>
      <w:bookmarkEnd w:id="536"/>
    </w:p>
    <w:p w14:paraId="09789C6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除专用合同条款另有约定外，进度付款申请单应包括下列内容：</w:t>
      </w:r>
    </w:p>
    <w:p w14:paraId="72156EC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（1）截至本次付款周期已完成工作对应的金额；</w:t>
      </w:r>
    </w:p>
    <w:p w14:paraId="49A22C8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（2）根据第10条〔变更〕应增加和扣减的变更金额；</w:t>
      </w:r>
    </w:p>
    <w:p w14:paraId="27E1B9C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（3）根据第12.2款〔预付款〕约定应支付的预付款和扣减的返还预付款；</w:t>
      </w:r>
    </w:p>
    <w:p w14:paraId="324A4A5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（4）根据第15.3款〔质量保证金〕约定应扣减的质量保证金；</w:t>
      </w:r>
    </w:p>
    <w:p w14:paraId="574680D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（5）根据第19条〔索赔〕应增加和扣减的索赔金额；</w:t>
      </w:r>
    </w:p>
    <w:p w14:paraId="7DD0F8C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（6）对已签发的进度款支付证书中出现错误的修正，应在本次进度付款中支付或扣除的金额；</w:t>
      </w:r>
    </w:p>
    <w:p w14:paraId="320AE00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（7）根据合同约定应增加和扣减的其他金额。</w:t>
      </w:r>
    </w:p>
    <w:p w14:paraId="66A842EB">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37" w:name="_Toc23062"/>
      <w:r>
        <w:rPr>
          <w:rFonts w:hint="eastAsia" w:asciiTheme="minorEastAsia" w:hAnsiTheme="minorEastAsia" w:eastAsiaTheme="minorEastAsia" w:cstheme="minorEastAsia"/>
          <w:color w:val="auto"/>
          <w:kern w:val="0"/>
          <w:sz w:val="24"/>
          <w:szCs w:val="24"/>
          <w:highlight w:val="none"/>
        </w:rPr>
        <w:t>12.4.3 进度付款申请单的提交</w:t>
      </w:r>
      <w:bookmarkEnd w:id="537"/>
    </w:p>
    <w:p w14:paraId="29AEC834">
      <w:pPr>
        <w:autoSpaceDE w:val="0"/>
        <w:autoSpaceDN w:val="0"/>
        <w:adjustRightInd w:val="0"/>
        <w:spacing w:line="360" w:lineRule="auto"/>
        <w:ind w:firstLine="480" w:firstLineChars="200"/>
        <w:jc w:val="left"/>
        <w:outlineLvl w:val="3"/>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（1）单价合同进度付款申请单的提交</w:t>
      </w:r>
    </w:p>
    <w:p w14:paraId="74D7980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E365C1E">
      <w:pPr>
        <w:autoSpaceDE w:val="0"/>
        <w:autoSpaceDN w:val="0"/>
        <w:adjustRightInd w:val="0"/>
        <w:spacing w:line="360" w:lineRule="auto"/>
        <w:ind w:firstLine="480" w:firstLineChars="200"/>
        <w:jc w:val="left"/>
        <w:outlineLvl w:val="3"/>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（2）总价合同进度付款申请单的提交</w:t>
      </w:r>
    </w:p>
    <w:p w14:paraId="6D31394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总价合同按月计量支付的，承包人按照第12.3.4项〔总价合同的计量〕约定的时间按月向监理人提交进度付款申请单，并附上已完成工程量报表和有关资料。</w:t>
      </w:r>
    </w:p>
    <w:p w14:paraId="1C40B20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总价合同按支付分解表支付的，承包人应按照第12.4.6项〔支付分解表〕及第12.4.2项〔进度付款申请单的编制〕的约定向监理人提交进度付款申请单。</w:t>
      </w:r>
    </w:p>
    <w:p w14:paraId="40801057">
      <w:pPr>
        <w:autoSpaceDE w:val="0"/>
        <w:autoSpaceDN w:val="0"/>
        <w:adjustRightInd w:val="0"/>
        <w:spacing w:line="360" w:lineRule="auto"/>
        <w:ind w:firstLine="480" w:firstLineChars="200"/>
        <w:jc w:val="left"/>
        <w:outlineLvl w:val="3"/>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（3）其他价格形式合同的进度付款申请单的提交</w:t>
      </w:r>
    </w:p>
    <w:p w14:paraId="7FE6F57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合同当事人可在专用合同条款中约定其他价格形式合同的进度付款申请单的编制和提交程序。</w:t>
      </w:r>
    </w:p>
    <w:p w14:paraId="52E7DD11">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38" w:name="_Toc11896"/>
      <w:r>
        <w:rPr>
          <w:rFonts w:hint="eastAsia" w:asciiTheme="minorEastAsia" w:hAnsiTheme="minorEastAsia" w:eastAsiaTheme="minorEastAsia" w:cstheme="minorEastAsia"/>
          <w:color w:val="auto"/>
          <w:sz w:val="24"/>
          <w:szCs w:val="24"/>
          <w:highlight w:val="none"/>
        </w:rPr>
        <w:t>12.4</w:t>
      </w:r>
      <w:r>
        <w:rPr>
          <w:rFonts w:hint="eastAsia" w:asciiTheme="minorEastAsia" w:hAnsiTheme="minorEastAsia" w:eastAsiaTheme="minorEastAsia" w:cstheme="minorEastAsia"/>
          <w:color w:val="auto"/>
          <w:kern w:val="0"/>
          <w:sz w:val="24"/>
          <w:szCs w:val="24"/>
          <w:highlight w:val="none"/>
        </w:rPr>
        <w:t>.4 进度款审核和支付</w:t>
      </w:r>
      <w:bookmarkEnd w:id="538"/>
    </w:p>
    <w:p w14:paraId="357128F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43FB45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9669E1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29A63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（3）发包人签发进度款支付证书或临时进度款支付证书，不表明发包人已同意、批准或接受了承包人完成的相应部分的工作。</w:t>
      </w:r>
    </w:p>
    <w:p w14:paraId="33108EDA">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39" w:name="_Toc13009"/>
      <w:r>
        <w:rPr>
          <w:rFonts w:hint="eastAsia" w:asciiTheme="minorEastAsia" w:hAnsiTheme="minorEastAsia" w:eastAsiaTheme="minorEastAsia" w:cstheme="minorEastAsia"/>
          <w:color w:val="auto"/>
          <w:kern w:val="0"/>
          <w:sz w:val="24"/>
          <w:szCs w:val="24"/>
          <w:highlight w:val="none"/>
        </w:rPr>
        <w:t>12.4.5 进度付款的修正</w:t>
      </w:r>
      <w:bookmarkEnd w:id="539"/>
    </w:p>
    <w:p w14:paraId="6FDB3B3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0245ACF9">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40" w:name="_Toc13822"/>
      <w:r>
        <w:rPr>
          <w:rFonts w:hint="eastAsia" w:asciiTheme="minorEastAsia" w:hAnsiTheme="minorEastAsia" w:eastAsiaTheme="minorEastAsia" w:cstheme="minorEastAsia"/>
          <w:color w:val="auto"/>
          <w:kern w:val="0"/>
          <w:sz w:val="24"/>
          <w:szCs w:val="24"/>
          <w:highlight w:val="none"/>
        </w:rPr>
        <w:t>12.4.6 支付分解表</w:t>
      </w:r>
      <w:bookmarkEnd w:id="540"/>
    </w:p>
    <w:p w14:paraId="431917B4">
      <w:pPr>
        <w:spacing w:line="360" w:lineRule="auto"/>
        <w:ind w:firstLine="480" w:firstLineChars="200"/>
        <w:jc w:val="left"/>
        <w:outlineLvl w:val="3"/>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支付分解表的编制要求</w:t>
      </w:r>
    </w:p>
    <w:p w14:paraId="62E356C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（1）支付分解表中所列的每期付款金额，应为第12.4.2项〔进度付款申请单的编制〕第（1</w:t>
      </w:r>
      <w:r>
        <w:rPr>
          <w:rFonts w:hint="eastAsia" w:asciiTheme="minorEastAsia" w:hAnsiTheme="minorEastAsia" w:eastAsiaTheme="minorEastAsia" w:cstheme="minorEastAsia"/>
          <w:color w:val="auto"/>
          <w:kern w:val="0"/>
          <w:sz w:val="24"/>
          <w:szCs w:val="24"/>
          <w:highlight w:val="none"/>
          <w:lang w:eastAsia="zh-CN"/>
        </w:rPr>
        <w:t>）项</w:t>
      </w:r>
      <w:r>
        <w:rPr>
          <w:rFonts w:hint="eastAsia" w:asciiTheme="minorEastAsia" w:hAnsiTheme="minorEastAsia" w:eastAsiaTheme="minorEastAsia" w:cstheme="minorEastAsia"/>
          <w:color w:val="auto"/>
          <w:kern w:val="0"/>
          <w:sz w:val="24"/>
          <w:szCs w:val="24"/>
          <w:highlight w:val="none"/>
        </w:rPr>
        <w:t>目的估算金额；</w:t>
      </w:r>
    </w:p>
    <w:p w14:paraId="6DF1D88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（2）实际进度与施工进度计划不一致的，合同当事人可按照第4.4款〔商定或确定〕修改支付分解表；</w:t>
      </w:r>
    </w:p>
    <w:p w14:paraId="67B7729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（3）不采用支付分解表的，承包人应向发包人和监理人提交按季度编制的支付估算分解表，用于支付参考。</w:t>
      </w:r>
    </w:p>
    <w:p w14:paraId="76E3D2FB">
      <w:pPr>
        <w:spacing w:line="360" w:lineRule="auto"/>
        <w:ind w:firstLine="480" w:firstLineChars="200"/>
        <w:jc w:val="left"/>
        <w:outlineLvl w:val="3"/>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总价合同支付分解表的编制与审批</w:t>
      </w:r>
    </w:p>
    <w:p w14:paraId="4AAA129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805C1B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92CF6ED">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（3）发包人逾期未完成支付分解表审批的，也未及时要求承包人进行修正和提供补充资料的，则承包人提交的支付分解表视为已经获得发包人批准。</w:t>
      </w:r>
    </w:p>
    <w:p w14:paraId="76694A2C">
      <w:pPr>
        <w:spacing w:line="360" w:lineRule="auto"/>
        <w:ind w:firstLine="480" w:firstLineChars="200"/>
        <w:jc w:val="left"/>
        <w:outlineLvl w:val="3"/>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单价合同的总价项目支付分解表的编制与审批</w:t>
      </w:r>
    </w:p>
    <w:p w14:paraId="213802A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820973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41" w:name="_Toc351203585"/>
      <w:bookmarkStart w:id="542" w:name="_Toc32191"/>
      <w:r>
        <w:rPr>
          <w:rFonts w:hint="eastAsia" w:asciiTheme="minorEastAsia" w:hAnsiTheme="minorEastAsia" w:eastAsiaTheme="minorEastAsia" w:cstheme="minorEastAsia"/>
          <w:b w:val="0"/>
          <w:color w:val="auto"/>
          <w:sz w:val="24"/>
          <w:szCs w:val="24"/>
          <w:highlight w:val="none"/>
        </w:rPr>
        <w:t>12.5支付账户</w:t>
      </w:r>
      <w:bookmarkEnd w:id="541"/>
      <w:bookmarkEnd w:id="542"/>
    </w:p>
    <w:p w14:paraId="18D617D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发包人应将合同价款支付至合同协议书中约定的承包人账户。</w:t>
      </w:r>
    </w:p>
    <w:p w14:paraId="749D7C54">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543" w:name="_Toc351203586"/>
      <w:bookmarkStart w:id="544" w:name="_Toc27857"/>
      <w:bookmarkStart w:id="545" w:name="_Toc296346607"/>
      <w:bookmarkStart w:id="546" w:name="_Toc337558804"/>
      <w:bookmarkStart w:id="547" w:name="_Toc322522574"/>
      <w:bookmarkStart w:id="548" w:name="_Toc296503106"/>
      <w:r>
        <w:rPr>
          <w:rFonts w:hint="eastAsia" w:asciiTheme="minorEastAsia" w:hAnsiTheme="minorEastAsia" w:eastAsiaTheme="minorEastAsia" w:cstheme="minorEastAsia"/>
          <w:b w:val="0"/>
          <w:color w:val="auto"/>
          <w:sz w:val="24"/>
          <w:szCs w:val="24"/>
          <w:highlight w:val="none"/>
        </w:rPr>
        <w:t>13. 验收和工程试车</w:t>
      </w:r>
      <w:bookmarkEnd w:id="543"/>
      <w:bookmarkEnd w:id="544"/>
    </w:p>
    <w:bookmarkEnd w:id="545"/>
    <w:bookmarkEnd w:id="546"/>
    <w:bookmarkEnd w:id="547"/>
    <w:bookmarkEnd w:id="548"/>
    <w:p w14:paraId="3942986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49" w:name="_Toc351203587"/>
      <w:bookmarkStart w:id="550" w:name="_Toc24073"/>
      <w:bookmarkStart w:id="551" w:name="_Toc337558805"/>
      <w:bookmarkStart w:id="552" w:name="_Toc296346611"/>
      <w:bookmarkStart w:id="553" w:name="_Toc296503110"/>
      <w:r>
        <w:rPr>
          <w:rFonts w:hint="eastAsia" w:asciiTheme="minorEastAsia" w:hAnsiTheme="minorEastAsia" w:eastAsiaTheme="minorEastAsia" w:cstheme="minorEastAsia"/>
          <w:b w:val="0"/>
          <w:color w:val="auto"/>
          <w:sz w:val="24"/>
          <w:szCs w:val="24"/>
          <w:highlight w:val="none"/>
        </w:rPr>
        <w:t>13.1分部分项工程验收</w:t>
      </w:r>
      <w:bookmarkEnd w:id="549"/>
      <w:bookmarkEnd w:id="550"/>
    </w:p>
    <w:bookmarkEnd w:id="551"/>
    <w:p w14:paraId="136FE11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13.1.1 分部分项工程质量应符合国家有关工程施工验收规范、标准及合同约定，承包人应按照施工组织设计的要求完成分部分项工程施工。</w:t>
      </w:r>
    </w:p>
    <w:p w14:paraId="782CB9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13.1.2 除专用合同条款另有约定外，分部分项工程经承包人自检合格并具备验收条件的，承包人应提前48小时通知监理人进行验收。</w:t>
      </w:r>
      <w:r>
        <w:rPr>
          <w:rFonts w:hint="eastAsia" w:asciiTheme="minorEastAsia" w:hAnsiTheme="minorEastAsia" w:eastAsiaTheme="minorEastAsia" w:cstheme="minorEastAsia"/>
          <w:color w:val="auto"/>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Theme="minorEastAsia" w:hAnsiTheme="minorEastAsia" w:eastAsiaTheme="minorEastAsia" w:cstheme="minorEastAsia"/>
          <w:color w:val="auto"/>
          <w:sz w:val="24"/>
          <w:szCs w:val="24"/>
          <w:highlight w:val="none"/>
        </w:rPr>
        <w:t>分部分项工程未经验收的，不得进入下一道工序施工。</w:t>
      </w:r>
    </w:p>
    <w:p w14:paraId="6D01B40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分部分项工程的验收资料应当作为竣工资料的组成部分。</w:t>
      </w:r>
    </w:p>
    <w:p w14:paraId="1DDCDF82">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54" w:name="_Toc23237"/>
      <w:bookmarkStart w:id="555" w:name="_Toc351203588"/>
      <w:bookmarkStart w:id="556" w:name="_Toc337558806"/>
      <w:r>
        <w:rPr>
          <w:rFonts w:hint="eastAsia" w:asciiTheme="minorEastAsia" w:hAnsiTheme="minorEastAsia" w:eastAsiaTheme="minorEastAsia" w:cstheme="minorEastAsia"/>
          <w:b w:val="0"/>
          <w:color w:val="auto"/>
          <w:sz w:val="24"/>
          <w:szCs w:val="24"/>
          <w:highlight w:val="none"/>
        </w:rPr>
        <w:t>13.2竣工验收</w:t>
      </w:r>
      <w:bookmarkEnd w:id="554"/>
      <w:bookmarkEnd w:id="555"/>
    </w:p>
    <w:bookmarkEnd w:id="552"/>
    <w:bookmarkEnd w:id="553"/>
    <w:bookmarkEnd w:id="556"/>
    <w:p w14:paraId="63053D99">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57" w:name="_Toc4185"/>
      <w:r>
        <w:rPr>
          <w:rFonts w:hint="eastAsia" w:asciiTheme="minorEastAsia" w:hAnsiTheme="minorEastAsia" w:eastAsiaTheme="minorEastAsia" w:cstheme="minorEastAsia"/>
          <w:color w:val="auto"/>
          <w:kern w:val="0"/>
          <w:sz w:val="24"/>
          <w:szCs w:val="24"/>
          <w:highlight w:val="none"/>
        </w:rPr>
        <w:t>13.2.1竣工验收条件</w:t>
      </w:r>
      <w:bookmarkEnd w:id="557"/>
    </w:p>
    <w:p w14:paraId="2978146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工程具备以下条件的，承包人可以申请竣工验收：</w:t>
      </w:r>
    </w:p>
    <w:p w14:paraId="1DAC255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（1）除发包人同意的甩项工作和缺陷修补工作外，合同范围内的全部工程以及有关工作，包括合同要求的试验、试运行以及检验均已完成，并符合合同要求；</w:t>
      </w:r>
    </w:p>
    <w:p w14:paraId="04270A5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（2）已按合同约定编制了甩项工作和缺陷修补工作清单以及相应的施工计划；</w:t>
      </w:r>
    </w:p>
    <w:p w14:paraId="1450B7A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（3）已按合同约定的内容和份数备齐竣工资料。</w:t>
      </w:r>
    </w:p>
    <w:p w14:paraId="53976692">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58" w:name="_Toc21877"/>
      <w:r>
        <w:rPr>
          <w:rFonts w:hint="eastAsia" w:asciiTheme="minorEastAsia" w:hAnsiTheme="minorEastAsia" w:eastAsiaTheme="minorEastAsia" w:cstheme="minorEastAsia"/>
          <w:color w:val="auto"/>
          <w:kern w:val="0"/>
          <w:sz w:val="24"/>
          <w:szCs w:val="24"/>
          <w:highlight w:val="none"/>
        </w:rPr>
        <w:t>13.2.2竣工验收程序</w:t>
      </w:r>
      <w:bookmarkEnd w:id="558"/>
    </w:p>
    <w:p w14:paraId="50F8579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除专用合同条款另有约定外，承包人申请竣工验收的，应当按照以下程序进行：</w:t>
      </w:r>
    </w:p>
    <w:p w14:paraId="45A41BB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780347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D8CD0B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0B276CA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9BDC56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9C59C3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BAF8950">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59" w:name="_Toc22797"/>
      <w:r>
        <w:rPr>
          <w:rFonts w:hint="eastAsia" w:asciiTheme="minorEastAsia" w:hAnsiTheme="minorEastAsia" w:eastAsiaTheme="minorEastAsia" w:cstheme="minorEastAsia"/>
          <w:color w:val="auto"/>
          <w:kern w:val="0"/>
          <w:sz w:val="24"/>
          <w:szCs w:val="24"/>
          <w:highlight w:val="none"/>
        </w:rPr>
        <w:t>13.2.3竣工日期</w:t>
      </w:r>
      <w:bookmarkEnd w:id="559"/>
    </w:p>
    <w:p w14:paraId="6016A2F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60" w:name="#go14"/>
      <w:bookmarkEnd w:id="560"/>
      <w:r>
        <w:rPr>
          <w:rFonts w:hint="eastAsia" w:asciiTheme="minorEastAsia" w:hAnsiTheme="minorEastAsia" w:eastAsiaTheme="minorEastAsia" w:cstheme="minorEastAsia"/>
          <w:color w:val="auto"/>
          <w:kern w:val="0"/>
          <w:sz w:val="24"/>
          <w:szCs w:val="24"/>
          <w:highlight w:val="none"/>
        </w:rPr>
        <w:t>收申请报告的日期为实际竣工日期；工程未经竣工验收，发包人擅自使用的，以转移占有工程之日为实际竣工日期。</w:t>
      </w:r>
    </w:p>
    <w:p w14:paraId="6A957257">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61" w:name="_Toc2093"/>
      <w:r>
        <w:rPr>
          <w:rFonts w:hint="eastAsia" w:asciiTheme="minorEastAsia" w:hAnsiTheme="minorEastAsia" w:eastAsiaTheme="minorEastAsia" w:cstheme="minorEastAsia"/>
          <w:color w:val="auto"/>
          <w:kern w:val="0"/>
          <w:sz w:val="24"/>
          <w:szCs w:val="24"/>
          <w:highlight w:val="none"/>
        </w:rPr>
        <w:t>13.2.4 拒绝接收全部或部分工程</w:t>
      </w:r>
      <w:bookmarkEnd w:id="561"/>
    </w:p>
    <w:p w14:paraId="1F9A110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B514739">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62" w:name="_Toc29955"/>
      <w:r>
        <w:rPr>
          <w:rFonts w:hint="eastAsia" w:asciiTheme="minorEastAsia" w:hAnsiTheme="minorEastAsia" w:eastAsiaTheme="minorEastAsia" w:cstheme="minorEastAsia"/>
          <w:color w:val="auto"/>
          <w:kern w:val="0"/>
          <w:sz w:val="24"/>
          <w:szCs w:val="24"/>
          <w:highlight w:val="none"/>
        </w:rPr>
        <w:t>13.2.5 移交、接收全部与部分工程</w:t>
      </w:r>
      <w:bookmarkEnd w:id="562"/>
    </w:p>
    <w:p w14:paraId="2818769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除专用合同条款另有约定外，合同当事人应当在颁发工程接收证书后7天内完成工程的移交。</w:t>
      </w:r>
    </w:p>
    <w:p w14:paraId="6BE7417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2948F3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3C70F45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63" w:name="_Toc2069"/>
      <w:bookmarkStart w:id="564" w:name="_Toc351203589"/>
      <w:bookmarkStart w:id="565" w:name="_Toc296503111"/>
      <w:bookmarkStart w:id="566" w:name="_Toc296346612"/>
      <w:bookmarkStart w:id="567" w:name="_Toc337558807"/>
      <w:r>
        <w:rPr>
          <w:rFonts w:hint="eastAsia" w:asciiTheme="minorEastAsia" w:hAnsiTheme="minorEastAsia" w:eastAsiaTheme="minorEastAsia" w:cstheme="minorEastAsia"/>
          <w:b w:val="0"/>
          <w:color w:val="auto"/>
          <w:sz w:val="24"/>
          <w:szCs w:val="24"/>
          <w:highlight w:val="none"/>
        </w:rPr>
        <w:t>13.3工程试车</w:t>
      </w:r>
      <w:bookmarkEnd w:id="563"/>
      <w:bookmarkEnd w:id="564"/>
    </w:p>
    <w:bookmarkEnd w:id="565"/>
    <w:bookmarkEnd w:id="566"/>
    <w:bookmarkEnd w:id="567"/>
    <w:p w14:paraId="35F781F3">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68" w:name="_Toc10645"/>
      <w:r>
        <w:rPr>
          <w:rFonts w:hint="eastAsia" w:asciiTheme="minorEastAsia" w:hAnsiTheme="minorEastAsia" w:eastAsiaTheme="minorEastAsia" w:cstheme="minorEastAsia"/>
          <w:color w:val="auto"/>
          <w:kern w:val="0"/>
          <w:sz w:val="24"/>
          <w:szCs w:val="24"/>
          <w:highlight w:val="none"/>
        </w:rPr>
        <w:t>13.3.1试车程序</w:t>
      </w:r>
      <w:bookmarkEnd w:id="568"/>
    </w:p>
    <w:p w14:paraId="10484B9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工程需要试车的，除专用合同条款另有约定外，试车内容应与承包人承包范围相一致，试车费用由承包人承担。工程试车应按如下程序进行：</w:t>
      </w:r>
    </w:p>
    <w:p w14:paraId="1F14E49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ACEEAF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28439B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3577FD1">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69" w:name="_Toc16031"/>
      <w:r>
        <w:rPr>
          <w:rFonts w:hint="eastAsia" w:asciiTheme="minorEastAsia" w:hAnsiTheme="minorEastAsia" w:eastAsiaTheme="minorEastAsia" w:cstheme="minorEastAsia"/>
          <w:color w:val="auto"/>
          <w:kern w:val="0"/>
          <w:sz w:val="24"/>
          <w:szCs w:val="24"/>
          <w:highlight w:val="none"/>
        </w:rPr>
        <w:t>13.3.2 试车中的责任</w:t>
      </w:r>
      <w:bookmarkEnd w:id="569"/>
    </w:p>
    <w:p w14:paraId="317CE8A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094A51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9F57B3B">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70" w:name="_Toc13773"/>
      <w:r>
        <w:rPr>
          <w:rFonts w:hint="eastAsia" w:asciiTheme="minorEastAsia" w:hAnsiTheme="minorEastAsia" w:eastAsiaTheme="minorEastAsia" w:cstheme="minorEastAsia"/>
          <w:color w:val="auto"/>
          <w:kern w:val="0"/>
          <w:sz w:val="24"/>
          <w:szCs w:val="24"/>
          <w:highlight w:val="none"/>
        </w:rPr>
        <w:t>13.3.3 投料试车</w:t>
      </w:r>
      <w:bookmarkEnd w:id="570"/>
    </w:p>
    <w:p w14:paraId="2660DE8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7D4E9BB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494179D">
      <w:pPr>
        <w:pStyle w:val="7"/>
        <w:spacing w:before="120" w:beforeLines="0" w:after="120" w:afterLines="0" w:line="360" w:lineRule="auto"/>
        <w:outlineLvl w:val="1"/>
        <w:rPr>
          <w:rFonts w:hint="eastAsia" w:asciiTheme="minorEastAsia" w:hAnsiTheme="minorEastAsia" w:eastAsiaTheme="minorEastAsia" w:cstheme="minorEastAsia"/>
          <w:b w:val="0"/>
          <w:color w:val="auto"/>
          <w:sz w:val="24"/>
          <w:szCs w:val="24"/>
          <w:highlight w:val="none"/>
        </w:rPr>
      </w:pPr>
      <w:bookmarkStart w:id="571" w:name="_Toc337558808"/>
      <w:r>
        <w:rPr>
          <w:rFonts w:hint="eastAsia" w:asciiTheme="minorEastAsia" w:hAnsiTheme="minorEastAsia" w:eastAsiaTheme="minorEastAsia" w:cstheme="minorEastAsia"/>
          <w:b w:val="0"/>
          <w:color w:val="auto"/>
          <w:sz w:val="24"/>
          <w:szCs w:val="24"/>
          <w:highlight w:val="none"/>
        </w:rPr>
        <w:t xml:space="preserve">    </w:t>
      </w:r>
      <w:bookmarkStart w:id="572" w:name="_Toc351203590"/>
      <w:bookmarkStart w:id="573" w:name="_Toc13779"/>
      <w:r>
        <w:rPr>
          <w:rFonts w:hint="eastAsia" w:asciiTheme="minorEastAsia" w:hAnsiTheme="minorEastAsia" w:eastAsiaTheme="minorEastAsia" w:cstheme="minorEastAsia"/>
          <w:b w:val="0"/>
          <w:color w:val="auto"/>
          <w:sz w:val="24"/>
          <w:szCs w:val="24"/>
          <w:highlight w:val="none"/>
        </w:rPr>
        <w:t>13.4提前交付单位工程的验收</w:t>
      </w:r>
      <w:bookmarkEnd w:id="572"/>
      <w:bookmarkEnd w:id="573"/>
    </w:p>
    <w:bookmarkEnd w:id="571"/>
    <w:p w14:paraId="5D78568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7B04FB7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829ABC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501261E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74" w:name="_Toc21277"/>
      <w:bookmarkStart w:id="575" w:name="_Toc351203591"/>
      <w:r>
        <w:rPr>
          <w:rFonts w:hint="eastAsia" w:asciiTheme="minorEastAsia" w:hAnsiTheme="minorEastAsia" w:eastAsiaTheme="minorEastAsia" w:cstheme="minorEastAsia"/>
          <w:b w:val="0"/>
          <w:color w:val="auto"/>
          <w:sz w:val="24"/>
          <w:szCs w:val="24"/>
          <w:highlight w:val="none"/>
        </w:rPr>
        <w:t>13.5 施工期运行</w:t>
      </w:r>
      <w:bookmarkEnd w:id="574"/>
      <w:bookmarkEnd w:id="575"/>
    </w:p>
    <w:p w14:paraId="0DA61B7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00C635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13.5.2 在施工期运行中发现工程或工程设备损坏或存在缺陷的，由承包人按第15.2款〔缺陷责任期〕约定进行修复。</w:t>
      </w:r>
    </w:p>
    <w:p w14:paraId="0676FF4A">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76" w:name="_Toc296346613"/>
      <w:bookmarkStart w:id="577" w:name="_Toc296503112"/>
      <w:bookmarkStart w:id="578" w:name="_Toc19655"/>
      <w:bookmarkStart w:id="579" w:name="_Toc351203592"/>
      <w:bookmarkStart w:id="580" w:name="_Toc337558809"/>
      <w:r>
        <w:rPr>
          <w:rFonts w:hint="eastAsia" w:asciiTheme="minorEastAsia" w:hAnsiTheme="minorEastAsia" w:eastAsiaTheme="minorEastAsia" w:cstheme="minorEastAsia"/>
          <w:b w:val="0"/>
          <w:color w:val="auto"/>
          <w:sz w:val="24"/>
          <w:szCs w:val="24"/>
          <w:highlight w:val="none"/>
        </w:rPr>
        <w:t>13.6 竣工退</w:t>
      </w:r>
      <w:bookmarkEnd w:id="576"/>
      <w:bookmarkEnd w:id="577"/>
      <w:r>
        <w:rPr>
          <w:rFonts w:hint="eastAsia" w:asciiTheme="minorEastAsia" w:hAnsiTheme="minorEastAsia" w:eastAsiaTheme="minorEastAsia" w:cstheme="minorEastAsia"/>
          <w:b w:val="0"/>
          <w:color w:val="auto"/>
          <w:sz w:val="24"/>
          <w:szCs w:val="24"/>
          <w:highlight w:val="none"/>
        </w:rPr>
        <w:t>场</w:t>
      </w:r>
      <w:bookmarkEnd w:id="578"/>
      <w:bookmarkEnd w:id="579"/>
    </w:p>
    <w:bookmarkEnd w:id="580"/>
    <w:p w14:paraId="07BE5CA8">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81" w:name="_Toc12024"/>
      <w:r>
        <w:rPr>
          <w:rFonts w:hint="eastAsia" w:asciiTheme="minorEastAsia" w:hAnsiTheme="minorEastAsia" w:eastAsiaTheme="minorEastAsia" w:cstheme="minorEastAsia"/>
          <w:color w:val="auto"/>
          <w:kern w:val="0"/>
          <w:sz w:val="24"/>
          <w:szCs w:val="24"/>
          <w:highlight w:val="none"/>
        </w:rPr>
        <w:t>13.6.1 竣工退场</w:t>
      </w:r>
      <w:bookmarkEnd w:id="581"/>
    </w:p>
    <w:p w14:paraId="389C060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颁发工程接收证书后，承包人应按以下要求对施工现场进行清理：</w:t>
      </w:r>
    </w:p>
    <w:p w14:paraId="6ADF903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（1）施工现场内残留的垃圾已全部清除出场；</w:t>
      </w:r>
    </w:p>
    <w:p w14:paraId="2C3A0E8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（2）临时工程已拆除，场地已进行清理、平整或复原；</w:t>
      </w:r>
    </w:p>
    <w:p w14:paraId="1E56C63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（3）按合同约定应撤离的人员、承包人施工设备和剩余的材料，包括废弃的施工设备和材料，已按计划撤离施工现场；</w:t>
      </w:r>
    </w:p>
    <w:p w14:paraId="51E2F0D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（4）施工现场周边及其附近道路、河道的施工堆积物，已全部清理；</w:t>
      </w:r>
    </w:p>
    <w:p w14:paraId="4AE64DC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（5）施工现场其他场地清理工作已全部完成。</w:t>
      </w:r>
    </w:p>
    <w:p w14:paraId="4435C10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02CA23B">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582" w:name="_Toc25226"/>
      <w:r>
        <w:rPr>
          <w:rFonts w:hint="eastAsia" w:asciiTheme="minorEastAsia" w:hAnsiTheme="minorEastAsia" w:eastAsiaTheme="minorEastAsia" w:cstheme="minorEastAsia"/>
          <w:color w:val="auto"/>
          <w:kern w:val="0"/>
          <w:sz w:val="24"/>
          <w:szCs w:val="24"/>
          <w:highlight w:val="none"/>
        </w:rPr>
        <w:t>13.6.2 地表还原</w:t>
      </w:r>
      <w:bookmarkEnd w:id="582"/>
    </w:p>
    <w:p w14:paraId="00984FA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A833268">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583" w:name="_Toc8786"/>
      <w:bookmarkStart w:id="584" w:name="_Toc351203593"/>
      <w:bookmarkStart w:id="585" w:name="_Toc337558810"/>
      <w:bookmarkStart w:id="586" w:name="_Toc296346614"/>
      <w:bookmarkStart w:id="587" w:name="_Toc296503113"/>
      <w:r>
        <w:rPr>
          <w:rFonts w:hint="eastAsia" w:asciiTheme="minorEastAsia" w:hAnsiTheme="minorEastAsia" w:eastAsiaTheme="minorEastAsia" w:cstheme="minorEastAsia"/>
          <w:b w:val="0"/>
          <w:color w:val="auto"/>
          <w:sz w:val="24"/>
          <w:szCs w:val="24"/>
          <w:highlight w:val="none"/>
        </w:rPr>
        <w:t>14. 竣工结算</w:t>
      </w:r>
      <w:bookmarkEnd w:id="583"/>
      <w:bookmarkEnd w:id="584"/>
    </w:p>
    <w:bookmarkEnd w:id="585"/>
    <w:p w14:paraId="69A60F5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88" w:name="_Toc22701"/>
      <w:bookmarkStart w:id="589" w:name="_Toc351203594"/>
      <w:bookmarkStart w:id="590" w:name="_Toc337558811"/>
      <w:r>
        <w:rPr>
          <w:rFonts w:hint="eastAsia" w:asciiTheme="minorEastAsia" w:hAnsiTheme="minorEastAsia" w:eastAsiaTheme="minorEastAsia" w:cstheme="minorEastAsia"/>
          <w:b w:val="0"/>
          <w:color w:val="auto"/>
          <w:sz w:val="24"/>
          <w:szCs w:val="24"/>
          <w:highlight w:val="none"/>
        </w:rPr>
        <w:t>14.1 竣工结算申请</w:t>
      </w:r>
      <w:bookmarkEnd w:id="588"/>
      <w:bookmarkEnd w:id="589"/>
    </w:p>
    <w:bookmarkEnd w:id="590"/>
    <w:p w14:paraId="76060A9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w:t>
      </w:r>
      <w:r>
        <w:rPr>
          <w:rFonts w:hint="eastAsia" w:asciiTheme="minorEastAsia" w:hAnsiTheme="minorEastAsia" w:eastAsiaTheme="minorEastAsia" w:cstheme="minorEastAsia"/>
          <w:color w:val="auto"/>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0985D70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除专用合同条款另有约定外，竣工结算申请单应包括以下内容：</w:t>
      </w:r>
    </w:p>
    <w:p w14:paraId="3850D87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（1）竣工结算合同价格；</w:t>
      </w:r>
    </w:p>
    <w:p w14:paraId="69D6828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（2）发包人已支付承包人的款项；</w:t>
      </w:r>
    </w:p>
    <w:p w14:paraId="4D3CADA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（3）应扣留的质量保证金。已缴纳履约保证金的或提供其他工程质量担保方式的除外； </w:t>
      </w:r>
    </w:p>
    <w:p w14:paraId="69152F4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（4）发包人应支付承包人的合同价款。</w:t>
      </w:r>
    </w:p>
    <w:p w14:paraId="2F70BAB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91" w:name="_Toc351203595"/>
      <w:bookmarkStart w:id="592" w:name="_Toc1273"/>
      <w:bookmarkStart w:id="593" w:name="_Toc337558812"/>
      <w:r>
        <w:rPr>
          <w:rFonts w:hint="eastAsia" w:asciiTheme="minorEastAsia" w:hAnsiTheme="minorEastAsia" w:eastAsiaTheme="minorEastAsia" w:cstheme="minorEastAsia"/>
          <w:b w:val="0"/>
          <w:color w:val="auto"/>
          <w:sz w:val="24"/>
          <w:szCs w:val="24"/>
          <w:highlight w:val="none"/>
        </w:rPr>
        <w:t>14.2 竣工结算审核</w:t>
      </w:r>
      <w:bookmarkEnd w:id="591"/>
      <w:bookmarkEnd w:id="592"/>
    </w:p>
    <w:bookmarkEnd w:id="593"/>
    <w:p w14:paraId="3CC1683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Theme="minorEastAsia" w:hAnsiTheme="minorEastAsia" w:eastAsiaTheme="minorEastAsia" w:cstheme="minorEastAsia"/>
          <w:color w:val="auto"/>
          <w:sz w:val="24"/>
          <w:szCs w:val="24"/>
          <w:highlight w:val="none"/>
        </w:rPr>
        <w:t>发包人对竣工</w:t>
      </w:r>
      <w:r>
        <w:rPr>
          <w:rFonts w:hint="eastAsia" w:asciiTheme="minorEastAsia" w:hAnsiTheme="minorEastAsia" w:eastAsiaTheme="minorEastAsia" w:cstheme="minorEastAsia"/>
          <w:color w:val="auto"/>
          <w:kern w:val="0"/>
          <w:sz w:val="24"/>
          <w:szCs w:val="24"/>
          <w:highlight w:val="none"/>
        </w:rPr>
        <w:t>结算</w:t>
      </w:r>
      <w:r>
        <w:rPr>
          <w:rFonts w:hint="eastAsia" w:asciiTheme="minorEastAsia" w:hAnsiTheme="minorEastAsia" w:eastAsiaTheme="minorEastAsia" w:cstheme="minorEastAsia"/>
          <w:color w:val="auto"/>
          <w:sz w:val="24"/>
          <w:szCs w:val="24"/>
          <w:highlight w:val="none"/>
        </w:rPr>
        <w:t>申请单有异议的，有权要求承包人进行修正和提供补充资料，承包人应提交修正后的竣工</w:t>
      </w:r>
      <w:r>
        <w:rPr>
          <w:rFonts w:hint="eastAsia" w:asciiTheme="minorEastAsia" w:hAnsiTheme="minorEastAsia" w:eastAsiaTheme="minorEastAsia" w:cstheme="minorEastAsia"/>
          <w:color w:val="auto"/>
          <w:kern w:val="0"/>
          <w:sz w:val="24"/>
          <w:szCs w:val="24"/>
          <w:highlight w:val="none"/>
        </w:rPr>
        <w:t>结算</w:t>
      </w:r>
      <w:r>
        <w:rPr>
          <w:rFonts w:hint="eastAsia" w:asciiTheme="minorEastAsia" w:hAnsiTheme="minorEastAsia" w:eastAsiaTheme="minorEastAsia" w:cstheme="minorEastAsia"/>
          <w:color w:val="auto"/>
          <w:sz w:val="24"/>
          <w:szCs w:val="24"/>
          <w:highlight w:val="none"/>
        </w:rPr>
        <w:t>申请单。</w:t>
      </w:r>
    </w:p>
    <w:p w14:paraId="171E6CA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8B0BC3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7A19777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DE955DC">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94" w:name="_Toc16560"/>
      <w:bookmarkStart w:id="595" w:name="_Toc351203596"/>
      <w:bookmarkStart w:id="596" w:name="_Toc337558813"/>
      <w:r>
        <w:rPr>
          <w:rFonts w:hint="eastAsia" w:asciiTheme="minorEastAsia" w:hAnsiTheme="minorEastAsia" w:eastAsiaTheme="minorEastAsia" w:cstheme="minorEastAsia"/>
          <w:b w:val="0"/>
          <w:color w:val="auto"/>
          <w:sz w:val="24"/>
          <w:szCs w:val="24"/>
          <w:highlight w:val="none"/>
        </w:rPr>
        <w:t>14.3 甩项竣工协议</w:t>
      </w:r>
      <w:bookmarkEnd w:id="594"/>
      <w:bookmarkEnd w:id="595"/>
    </w:p>
    <w:bookmarkEnd w:id="596"/>
    <w:p w14:paraId="5E9A95D3">
      <w:pPr>
        <w:autoSpaceDE w:val="0"/>
        <w:autoSpaceDN w:val="0"/>
        <w:adjustRightInd w:val="0"/>
        <w:spacing w:line="360" w:lineRule="auto"/>
        <w:ind w:firstLine="470" w:firstLineChars="1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268C529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597" w:name="_Toc351203597"/>
      <w:bookmarkStart w:id="598" w:name="_Toc32680"/>
      <w:bookmarkStart w:id="599" w:name="_Toc337558814"/>
      <w:r>
        <w:rPr>
          <w:rFonts w:hint="eastAsia" w:asciiTheme="minorEastAsia" w:hAnsiTheme="minorEastAsia" w:eastAsiaTheme="minorEastAsia" w:cstheme="minorEastAsia"/>
          <w:b w:val="0"/>
          <w:color w:val="auto"/>
          <w:sz w:val="24"/>
          <w:szCs w:val="24"/>
          <w:highlight w:val="none"/>
        </w:rPr>
        <w:t>14.4 最终结清</w:t>
      </w:r>
      <w:bookmarkEnd w:id="597"/>
      <w:bookmarkEnd w:id="598"/>
    </w:p>
    <w:bookmarkEnd w:id="599"/>
    <w:p w14:paraId="7EEBCE44">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00" w:name="_Toc4253"/>
      <w:r>
        <w:rPr>
          <w:rFonts w:hint="eastAsia" w:asciiTheme="minorEastAsia" w:hAnsiTheme="minorEastAsia" w:eastAsiaTheme="minorEastAsia" w:cstheme="minorEastAsia"/>
          <w:color w:val="auto"/>
          <w:kern w:val="0"/>
          <w:sz w:val="24"/>
          <w:szCs w:val="24"/>
          <w:highlight w:val="none"/>
        </w:rPr>
        <w:t>14.4.1 最终结清申请单</w:t>
      </w:r>
      <w:bookmarkEnd w:id="600"/>
    </w:p>
    <w:p w14:paraId="4189F3B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4C42125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w:t>
      </w:r>
      <w:r>
        <w:rPr>
          <w:rFonts w:hint="eastAsia" w:asciiTheme="minorEastAsia" w:hAnsiTheme="minorEastAsia" w:eastAsiaTheme="minorEastAsia" w:cstheme="minorEastAsia"/>
          <w:color w:val="auto"/>
          <w:kern w:val="0"/>
          <w:sz w:val="24"/>
          <w:szCs w:val="24"/>
          <w:highlight w:val="none"/>
        </w:rPr>
        <w:t>最终结清申请单</w:t>
      </w:r>
      <w:r>
        <w:rPr>
          <w:rFonts w:hint="eastAsia" w:asciiTheme="minorEastAsia" w:hAnsiTheme="minorEastAsia" w:eastAsiaTheme="minorEastAsia" w:cstheme="minorEastAsia"/>
          <w:color w:val="auto"/>
          <w:sz w:val="24"/>
          <w:szCs w:val="24"/>
          <w:highlight w:val="none"/>
        </w:rPr>
        <w:t>应列明质量保证金、应扣除的质量保证金、缺陷责任期内发生的增减费用。</w:t>
      </w:r>
    </w:p>
    <w:p w14:paraId="6F2A296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（2）发包人对最终结清申请单内容有异议的，有权要求承包人进行修正和提供补充资料，承包人应向发包人提交修正后的最终结清申请单。</w:t>
      </w:r>
    </w:p>
    <w:p w14:paraId="7A639DEB">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01" w:name="_Toc18323"/>
      <w:r>
        <w:rPr>
          <w:rFonts w:hint="eastAsia" w:asciiTheme="minorEastAsia" w:hAnsiTheme="minorEastAsia" w:eastAsiaTheme="minorEastAsia" w:cstheme="minorEastAsia"/>
          <w:color w:val="auto"/>
          <w:kern w:val="0"/>
          <w:sz w:val="24"/>
          <w:szCs w:val="24"/>
          <w:highlight w:val="none"/>
        </w:rPr>
        <w:t>14.4.2 最终结清证书和支付</w:t>
      </w:r>
      <w:bookmarkEnd w:id="601"/>
    </w:p>
    <w:p w14:paraId="25348D3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5A7423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E2D2C8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（3）承包人对发包人颁发的最终结清证书有异议的，按第20条〔争议解决〕的约定办理。</w:t>
      </w:r>
    </w:p>
    <w:p w14:paraId="7A58ABA9">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602" w:name="_Toc10976"/>
      <w:bookmarkStart w:id="603" w:name="_Toc351203598"/>
      <w:bookmarkStart w:id="604" w:name="_Toc337558815"/>
      <w:r>
        <w:rPr>
          <w:rFonts w:hint="eastAsia" w:asciiTheme="minorEastAsia" w:hAnsiTheme="minorEastAsia" w:eastAsiaTheme="minorEastAsia" w:cstheme="minorEastAsia"/>
          <w:b w:val="0"/>
          <w:color w:val="auto"/>
          <w:sz w:val="24"/>
          <w:szCs w:val="24"/>
          <w:highlight w:val="none"/>
        </w:rPr>
        <w:t>15. 缺陷责任与保修</w:t>
      </w:r>
      <w:bookmarkEnd w:id="602"/>
      <w:bookmarkEnd w:id="603"/>
    </w:p>
    <w:bookmarkEnd w:id="586"/>
    <w:bookmarkEnd w:id="587"/>
    <w:bookmarkEnd w:id="604"/>
    <w:p w14:paraId="257DBC9C">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05" w:name="_Toc22363"/>
      <w:bookmarkStart w:id="606" w:name="_Toc351203599"/>
      <w:bookmarkStart w:id="607" w:name="_Toc337558816"/>
      <w:bookmarkStart w:id="608" w:name="_Toc296503114"/>
      <w:bookmarkStart w:id="609" w:name="_Toc296346615"/>
      <w:r>
        <w:rPr>
          <w:rFonts w:hint="eastAsia" w:asciiTheme="minorEastAsia" w:hAnsiTheme="minorEastAsia" w:eastAsiaTheme="minorEastAsia" w:cstheme="minorEastAsia"/>
          <w:b w:val="0"/>
          <w:color w:val="auto"/>
          <w:sz w:val="24"/>
          <w:szCs w:val="24"/>
          <w:highlight w:val="none"/>
        </w:rPr>
        <w:t>15.1 工程保修的原则</w:t>
      </w:r>
      <w:bookmarkEnd w:id="605"/>
      <w:bookmarkEnd w:id="606"/>
    </w:p>
    <w:bookmarkEnd w:id="607"/>
    <w:p w14:paraId="464091E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260E125F">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10" w:name="_Toc16881"/>
      <w:bookmarkStart w:id="611" w:name="_Toc351203600"/>
      <w:bookmarkStart w:id="612" w:name="_Toc337558817"/>
      <w:r>
        <w:rPr>
          <w:rFonts w:hint="eastAsia" w:asciiTheme="minorEastAsia" w:hAnsiTheme="minorEastAsia" w:eastAsiaTheme="minorEastAsia" w:cstheme="minorEastAsia"/>
          <w:b w:val="0"/>
          <w:color w:val="auto"/>
          <w:sz w:val="24"/>
          <w:szCs w:val="24"/>
          <w:highlight w:val="none"/>
        </w:rPr>
        <w:t>15.2 缺陷责任期</w:t>
      </w:r>
      <w:bookmarkEnd w:id="608"/>
      <w:bookmarkEnd w:id="609"/>
      <w:bookmarkEnd w:id="610"/>
      <w:bookmarkEnd w:id="611"/>
    </w:p>
    <w:bookmarkEnd w:id="612"/>
    <w:p w14:paraId="21BFEFC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15.2.1 缺陷责任期从工程通过竣工验收之日起计算，合同当事人应在专用合同条</w:t>
      </w:r>
      <w:r>
        <w:rPr>
          <w:rFonts w:hint="eastAsia" w:asciiTheme="minorEastAsia" w:hAnsiTheme="minorEastAsia" w:eastAsiaTheme="minorEastAsia" w:cstheme="minorEastAsia"/>
          <w:color w:val="auto"/>
          <w:kern w:val="0"/>
          <w:sz w:val="24"/>
          <w:szCs w:val="24"/>
          <w:highlight w:val="none"/>
          <w:lang w:eastAsia="zh-CN"/>
        </w:rPr>
        <w:t>款中</w:t>
      </w:r>
      <w:r>
        <w:rPr>
          <w:rFonts w:hint="eastAsia" w:asciiTheme="minorEastAsia" w:hAnsiTheme="minorEastAsia" w:eastAsiaTheme="minorEastAsia" w:cstheme="minorEastAsia"/>
          <w:color w:val="auto"/>
          <w:kern w:val="0"/>
          <w:sz w:val="24"/>
          <w:szCs w:val="24"/>
          <w:highlight w:val="none"/>
        </w:rPr>
        <w:t>约定缺陷责任期的具体期限，但该期限最长不超过24个月。</w:t>
      </w:r>
    </w:p>
    <w:p w14:paraId="36E8430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8969C1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Theme="minorEastAsia" w:hAnsiTheme="minorEastAsia" w:eastAsiaTheme="minorEastAsia" w:cstheme="minorEastAsia"/>
          <w:bCs/>
          <w:color w:val="auto"/>
          <w:sz w:val="24"/>
          <w:szCs w:val="24"/>
          <w:highlight w:val="none"/>
        </w:rPr>
        <w:t>包人延长缺陷责任期，</w:t>
      </w:r>
      <w:r>
        <w:rPr>
          <w:rFonts w:hint="eastAsia" w:asciiTheme="minorEastAsia" w:hAnsiTheme="minorEastAsia" w:eastAsiaTheme="minorEastAsia" w:cstheme="minorEastAsia"/>
          <w:color w:val="auto"/>
          <w:kern w:val="0"/>
          <w:sz w:val="24"/>
          <w:szCs w:val="24"/>
          <w:highlight w:val="none"/>
        </w:rPr>
        <w:t>并应在原缺陷责任期届满前发出延长通知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但缺陷责任期</w:t>
      </w:r>
      <w:r>
        <w:rPr>
          <w:rFonts w:hint="eastAsia" w:asciiTheme="minorEastAsia" w:hAnsiTheme="minorEastAsia" w:eastAsiaTheme="minorEastAsia" w:cstheme="minorEastAsia"/>
          <w:bCs/>
          <w:color w:val="auto"/>
          <w:sz w:val="24"/>
          <w:szCs w:val="24"/>
          <w:highlight w:val="none"/>
          <w:lang w:eastAsia="zh-CN"/>
        </w:rPr>
        <w:t>（含延长部分）</w:t>
      </w:r>
      <w:r>
        <w:rPr>
          <w:rFonts w:hint="eastAsia" w:asciiTheme="minorEastAsia" w:hAnsiTheme="minorEastAsia" w:eastAsiaTheme="minorEastAsia" w:cstheme="minorEastAsia"/>
          <w:bCs/>
          <w:color w:val="auto"/>
          <w:sz w:val="24"/>
          <w:szCs w:val="24"/>
          <w:highlight w:val="none"/>
        </w:rPr>
        <w:t>最长</w:t>
      </w:r>
      <w:r>
        <w:rPr>
          <w:rFonts w:hint="eastAsia" w:asciiTheme="minorEastAsia" w:hAnsiTheme="minorEastAsia" w:eastAsiaTheme="minorEastAsia" w:cstheme="minorEastAsia"/>
          <w:color w:val="auto"/>
          <w:kern w:val="0"/>
          <w:sz w:val="24"/>
          <w:szCs w:val="24"/>
          <w:highlight w:val="none"/>
        </w:rPr>
        <w:t>不能超过24个月。</w:t>
      </w:r>
    </w:p>
    <w:p w14:paraId="37E1D0A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由他人原因造成的缺陷，发包人负责组织维修，承包人不承担费用，且发包人不得从保证金中扣除费用。</w:t>
      </w:r>
    </w:p>
    <w:p w14:paraId="3E643B4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64E4ED4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18E19AC">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13" w:name="_Toc6285"/>
      <w:bookmarkStart w:id="614" w:name="_Toc351203601"/>
      <w:bookmarkStart w:id="615" w:name="_Toc337558818"/>
      <w:bookmarkStart w:id="616" w:name="_Toc296346616"/>
      <w:bookmarkStart w:id="617" w:name="_Toc296503115"/>
      <w:r>
        <w:rPr>
          <w:rFonts w:hint="eastAsia" w:asciiTheme="minorEastAsia" w:hAnsiTheme="minorEastAsia" w:eastAsiaTheme="minorEastAsia" w:cstheme="minorEastAsia"/>
          <w:b w:val="0"/>
          <w:color w:val="auto"/>
          <w:sz w:val="24"/>
          <w:szCs w:val="24"/>
          <w:highlight w:val="none"/>
        </w:rPr>
        <w:t>15.3 质量保证金</w:t>
      </w:r>
      <w:bookmarkEnd w:id="613"/>
      <w:bookmarkEnd w:id="614"/>
    </w:p>
    <w:bookmarkEnd w:id="615"/>
    <w:p w14:paraId="6FE29AE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经合同当事人协商一致扣留质量保证金的，应在专用合同条款中予以明确。</w:t>
      </w:r>
    </w:p>
    <w:p w14:paraId="1A40232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在工程项目竣工前，承包人已经提供履约担保的，发包人不得同时预留工程质量保证金。</w:t>
      </w:r>
    </w:p>
    <w:p w14:paraId="02B0C29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080C48B8">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18" w:name="_Toc24150"/>
      <w:r>
        <w:rPr>
          <w:rFonts w:hint="eastAsia" w:asciiTheme="minorEastAsia" w:hAnsiTheme="minorEastAsia" w:eastAsiaTheme="minorEastAsia" w:cstheme="minorEastAsia"/>
          <w:color w:val="auto"/>
          <w:kern w:val="0"/>
          <w:sz w:val="24"/>
          <w:szCs w:val="24"/>
          <w:highlight w:val="none"/>
        </w:rPr>
        <w:t>15.3.1 承包人提供质量保证金的方式</w:t>
      </w:r>
      <w:bookmarkEnd w:id="618"/>
    </w:p>
    <w:p w14:paraId="45EBDA4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承包人提供质量保证金有以下三种方式：</w:t>
      </w:r>
    </w:p>
    <w:p w14:paraId="1A00A45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（1）质量保证金保函； </w:t>
      </w:r>
    </w:p>
    <w:p w14:paraId="02347DE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（2）相应比例的工程款；</w:t>
      </w:r>
    </w:p>
    <w:p w14:paraId="0BB375E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（3）双方约定的其他方式。</w:t>
      </w:r>
    </w:p>
    <w:p w14:paraId="083261A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除专用合同条款另有约定外，质量保证金原则上采用上述第（1）种方式。</w:t>
      </w:r>
    </w:p>
    <w:p w14:paraId="0CFB2CAA">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19" w:name="_Toc18960"/>
      <w:r>
        <w:rPr>
          <w:rFonts w:hint="eastAsia" w:asciiTheme="minorEastAsia" w:hAnsiTheme="minorEastAsia" w:eastAsiaTheme="minorEastAsia" w:cstheme="minorEastAsia"/>
          <w:color w:val="auto"/>
          <w:kern w:val="0"/>
          <w:sz w:val="24"/>
          <w:szCs w:val="24"/>
          <w:highlight w:val="none"/>
        </w:rPr>
        <w:t>15.3.2 质量保证金的扣留</w:t>
      </w:r>
      <w:bookmarkEnd w:id="619"/>
    </w:p>
    <w:p w14:paraId="7E7672A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质量保证金的扣留有以下三种方式：</w:t>
      </w:r>
    </w:p>
    <w:p w14:paraId="04202E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（1）在支付工程进度款时逐次扣留，在此情形下，质量保证金的计算基数不包括预付款的支付、扣回以及价格调整的金额；</w:t>
      </w:r>
    </w:p>
    <w:p w14:paraId="7C115B2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（2）工</w:t>
      </w:r>
      <w:bookmarkStart w:id="620" w:name="#go6"/>
      <w:bookmarkEnd w:id="620"/>
      <w:r>
        <w:rPr>
          <w:rFonts w:hint="eastAsia" w:asciiTheme="minorEastAsia" w:hAnsiTheme="minorEastAsia" w:eastAsiaTheme="minorEastAsia" w:cstheme="minorEastAsia"/>
          <w:color w:val="auto"/>
          <w:kern w:val="0"/>
          <w:sz w:val="24"/>
          <w:szCs w:val="24"/>
          <w:highlight w:val="none"/>
        </w:rPr>
        <w:t>程竣工结算时一次性扣留质量保证金；</w:t>
      </w:r>
    </w:p>
    <w:p w14:paraId="5300725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（3）双方约定的其他扣留方式。</w:t>
      </w:r>
    </w:p>
    <w:p w14:paraId="419B8BA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除专用合同条款另有约定外，质量保证金的扣留原则上采用上述第（1）种方式。</w:t>
      </w:r>
    </w:p>
    <w:p w14:paraId="34F5785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w:t>
      </w:r>
      <w:bookmarkStart w:id="621" w:name="#go4"/>
      <w:bookmarkEnd w:id="621"/>
      <w:r>
        <w:rPr>
          <w:rFonts w:hint="eastAsia" w:asciiTheme="minorEastAsia" w:hAnsiTheme="minorEastAsia" w:eastAsiaTheme="minorEastAsia" w:cstheme="minorEastAsia"/>
          <w:color w:val="auto"/>
          <w:kern w:val="0"/>
          <w:sz w:val="24"/>
          <w:szCs w:val="24"/>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A35139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发包人在退还质量保证金的同时按照中国人民银行发布的同期同类贷款基准利率支付利息。</w:t>
      </w:r>
    </w:p>
    <w:p w14:paraId="59FCD298">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22" w:name="_Toc16848"/>
      <w:r>
        <w:rPr>
          <w:rFonts w:hint="eastAsia" w:asciiTheme="minorEastAsia" w:hAnsiTheme="minorEastAsia" w:eastAsiaTheme="minorEastAsia" w:cstheme="minorEastAsia"/>
          <w:color w:val="auto"/>
          <w:kern w:val="0"/>
          <w:sz w:val="24"/>
          <w:szCs w:val="24"/>
          <w:highlight w:val="none"/>
        </w:rPr>
        <w:t xml:space="preserve">15.3.3 </w:t>
      </w:r>
      <w:r>
        <w:rPr>
          <w:rFonts w:hint="eastAsia" w:asciiTheme="minorEastAsia" w:hAnsiTheme="minorEastAsia" w:eastAsiaTheme="minorEastAsia" w:cstheme="minorEastAsia"/>
          <w:color w:val="auto"/>
          <w:sz w:val="24"/>
          <w:szCs w:val="24"/>
          <w:highlight w:val="none"/>
        </w:rPr>
        <w:t>质量保证金</w:t>
      </w:r>
      <w:r>
        <w:rPr>
          <w:rFonts w:hint="eastAsia" w:asciiTheme="minorEastAsia" w:hAnsiTheme="minorEastAsia" w:eastAsiaTheme="minorEastAsia" w:cstheme="minorEastAsia"/>
          <w:color w:val="auto"/>
          <w:kern w:val="0"/>
          <w:sz w:val="24"/>
          <w:szCs w:val="24"/>
          <w:highlight w:val="none"/>
        </w:rPr>
        <w:t>的退还</w:t>
      </w:r>
      <w:bookmarkEnd w:id="622"/>
    </w:p>
    <w:p w14:paraId="4F4E73C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缺陷责任期内，承包人认真履行合同约定的责任，到期后，承包人可向发包人申请返还保证金。</w:t>
      </w:r>
    </w:p>
    <w:p w14:paraId="763FC5F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2C1B48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发包人和承包人对保证金预留、返还以及工程维修质量、费用有争议的，按本合同第20条约定的争议和纠纷解决程序处理。</w:t>
      </w:r>
    </w:p>
    <w:p w14:paraId="3B28919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23" w:name="_Toc4925"/>
      <w:bookmarkStart w:id="624" w:name="_Toc351203602"/>
      <w:bookmarkStart w:id="625" w:name="_Toc337558819"/>
      <w:r>
        <w:rPr>
          <w:rFonts w:hint="eastAsia" w:asciiTheme="minorEastAsia" w:hAnsiTheme="minorEastAsia" w:eastAsiaTheme="minorEastAsia" w:cstheme="minorEastAsia"/>
          <w:b w:val="0"/>
          <w:color w:val="auto"/>
          <w:sz w:val="24"/>
          <w:szCs w:val="24"/>
          <w:highlight w:val="none"/>
        </w:rPr>
        <w:t>15.4 保修</w:t>
      </w:r>
      <w:bookmarkEnd w:id="623"/>
      <w:bookmarkEnd w:id="624"/>
    </w:p>
    <w:bookmarkEnd w:id="616"/>
    <w:bookmarkEnd w:id="617"/>
    <w:bookmarkEnd w:id="625"/>
    <w:p w14:paraId="7876EC67">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26" w:name="_Toc30878"/>
      <w:r>
        <w:rPr>
          <w:rFonts w:hint="eastAsia" w:asciiTheme="minorEastAsia" w:hAnsiTheme="minorEastAsia" w:eastAsiaTheme="minorEastAsia" w:cstheme="minorEastAsia"/>
          <w:color w:val="auto"/>
          <w:kern w:val="0"/>
          <w:sz w:val="24"/>
          <w:szCs w:val="24"/>
          <w:highlight w:val="none"/>
        </w:rPr>
        <w:t>15.4.1保修责任</w:t>
      </w:r>
      <w:bookmarkEnd w:id="626"/>
    </w:p>
    <w:p w14:paraId="2D76FDB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6A4DEE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发包人未经竣工验收擅自使用工程的，保修期自</w:t>
      </w:r>
      <w:r>
        <w:rPr>
          <w:rFonts w:hint="eastAsia" w:asciiTheme="minorEastAsia" w:hAnsiTheme="minorEastAsia" w:eastAsiaTheme="minorEastAsia" w:cstheme="minorEastAsia"/>
          <w:color w:val="auto"/>
          <w:kern w:val="0"/>
          <w:sz w:val="24"/>
          <w:szCs w:val="24"/>
          <w:highlight w:val="none"/>
        </w:rPr>
        <w:t>转移占有之日起算</w:t>
      </w:r>
      <w:r>
        <w:rPr>
          <w:rFonts w:hint="eastAsia" w:asciiTheme="minorEastAsia" w:hAnsiTheme="minorEastAsia" w:eastAsiaTheme="minorEastAsia" w:cstheme="minorEastAsia"/>
          <w:color w:val="auto"/>
          <w:sz w:val="24"/>
          <w:szCs w:val="24"/>
          <w:highlight w:val="none"/>
        </w:rPr>
        <w:t>。</w:t>
      </w:r>
    </w:p>
    <w:p w14:paraId="06A51EF9">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27" w:name="_Toc28784"/>
      <w:r>
        <w:rPr>
          <w:rFonts w:hint="eastAsia" w:asciiTheme="minorEastAsia" w:hAnsiTheme="minorEastAsia" w:eastAsiaTheme="minorEastAsia" w:cstheme="minorEastAsia"/>
          <w:color w:val="auto"/>
          <w:kern w:val="0"/>
          <w:sz w:val="24"/>
          <w:szCs w:val="24"/>
          <w:highlight w:val="none"/>
        </w:rPr>
        <w:t>15.4.2 修复费用</w:t>
      </w:r>
      <w:bookmarkEnd w:id="627"/>
    </w:p>
    <w:p w14:paraId="4D4275E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保修期内，修复的费用按照以下约定处理：</w:t>
      </w:r>
    </w:p>
    <w:p w14:paraId="7C164CF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（1）保修期内，因承包人原因造成工程的缺陷、损坏，承包人应负责修复，并承担修复的费用以及因工程的缺陷、损坏造成的人身伤害和财产损失；</w:t>
      </w:r>
    </w:p>
    <w:p w14:paraId="3263EBA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（2）保修期内，因发包人使用不当造成工程的缺陷、损坏，可以委托承包人修复，但发包人应承担修复的费用，并支付承包人合理利润；</w:t>
      </w:r>
    </w:p>
    <w:p w14:paraId="48FCD38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30C32B45">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28" w:name="_Toc12871"/>
      <w:r>
        <w:rPr>
          <w:rFonts w:hint="eastAsia" w:asciiTheme="minorEastAsia" w:hAnsiTheme="minorEastAsia" w:eastAsiaTheme="minorEastAsia" w:cstheme="minorEastAsia"/>
          <w:color w:val="auto"/>
          <w:kern w:val="0"/>
          <w:sz w:val="24"/>
          <w:szCs w:val="24"/>
          <w:highlight w:val="none"/>
        </w:rPr>
        <w:t>15.4.3 修复通知</w:t>
      </w:r>
      <w:bookmarkEnd w:id="628"/>
    </w:p>
    <w:p w14:paraId="35C822E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DF34926">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29" w:name="_Toc19789"/>
      <w:r>
        <w:rPr>
          <w:rFonts w:hint="eastAsia" w:asciiTheme="minorEastAsia" w:hAnsiTheme="minorEastAsia" w:eastAsiaTheme="minorEastAsia" w:cstheme="minorEastAsia"/>
          <w:color w:val="auto"/>
          <w:kern w:val="0"/>
          <w:sz w:val="24"/>
          <w:szCs w:val="24"/>
          <w:highlight w:val="none"/>
        </w:rPr>
        <w:t>15.4.4 未能修复</w:t>
      </w:r>
      <w:bookmarkEnd w:id="629"/>
    </w:p>
    <w:p w14:paraId="39ACE31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E01C334">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30" w:name="_Toc1354"/>
      <w:r>
        <w:rPr>
          <w:rFonts w:hint="eastAsia" w:asciiTheme="minorEastAsia" w:hAnsiTheme="minorEastAsia" w:eastAsiaTheme="minorEastAsia" w:cstheme="minorEastAsia"/>
          <w:color w:val="auto"/>
          <w:kern w:val="0"/>
          <w:sz w:val="24"/>
          <w:szCs w:val="24"/>
          <w:highlight w:val="none"/>
        </w:rPr>
        <w:t>15.4.5 承包人出入权</w:t>
      </w:r>
      <w:bookmarkEnd w:id="630"/>
    </w:p>
    <w:p w14:paraId="069667D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EF02C1F">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631" w:name="_Toc351203603"/>
      <w:bookmarkStart w:id="632" w:name="_Toc534"/>
      <w:bookmarkStart w:id="633" w:name="_Toc337558820"/>
      <w:r>
        <w:rPr>
          <w:rFonts w:hint="eastAsia" w:asciiTheme="minorEastAsia" w:hAnsiTheme="minorEastAsia" w:eastAsiaTheme="minorEastAsia" w:cstheme="minorEastAsia"/>
          <w:b w:val="0"/>
          <w:color w:val="auto"/>
          <w:sz w:val="24"/>
          <w:szCs w:val="24"/>
          <w:highlight w:val="none"/>
        </w:rPr>
        <w:t>16. 违约</w:t>
      </w:r>
      <w:bookmarkEnd w:id="631"/>
      <w:bookmarkEnd w:id="632"/>
    </w:p>
    <w:bookmarkEnd w:id="633"/>
    <w:p w14:paraId="6A22395F">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34" w:name="_Toc296503129"/>
      <w:bookmarkStart w:id="635" w:name="_Toc296346630"/>
      <w:bookmarkStart w:id="636" w:name="_Toc351203604"/>
      <w:bookmarkStart w:id="637" w:name="_Toc7579"/>
      <w:bookmarkStart w:id="638" w:name="_Toc337558821"/>
      <w:r>
        <w:rPr>
          <w:rFonts w:hint="eastAsia" w:asciiTheme="minorEastAsia" w:hAnsiTheme="minorEastAsia" w:eastAsiaTheme="minorEastAsia" w:cstheme="minorEastAsia"/>
          <w:b w:val="0"/>
          <w:color w:val="auto"/>
          <w:sz w:val="24"/>
          <w:szCs w:val="24"/>
          <w:highlight w:val="none"/>
        </w:rPr>
        <w:t>16.1 发</w:t>
      </w:r>
      <w:bookmarkEnd w:id="634"/>
      <w:bookmarkEnd w:id="635"/>
      <w:r>
        <w:rPr>
          <w:rFonts w:hint="eastAsia" w:asciiTheme="minorEastAsia" w:hAnsiTheme="minorEastAsia" w:eastAsiaTheme="minorEastAsia" w:cstheme="minorEastAsia"/>
          <w:b w:val="0"/>
          <w:color w:val="auto"/>
          <w:sz w:val="24"/>
          <w:szCs w:val="24"/>
          <w:highlight w:val="none"/>
        </w:rPr>
        <w:t>包人违约</w:t>
      </w:r>
      <w:bookmarkEnd w:id="636"/>
      <w:bookmarkEnd w:id="637"/>
    </w:p>
    <w:bookmarkEnd w:id="638"/>
    <w:p w14:paraId="19BD8F28">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39" w:name="_Toc21695"/>
      <w:r>
        <w:rPr>
          <w:rFonts w:hint="eastAsia" w:asciiTheme="minorEastAsia" w:hAnsiTheme="minorEastAsia" w:eastAsiaTheme="minorEastAsia" w:cstheme="minorEastAsia"/>
          <w:color w:val="auto"/>
          <w:kern w:val="0"/>
          <w:sz w:val="24"/>
          <w:szCs w:val="24"/>
          <w:highlight w:val="none"/>
        </w:rPr>
        <w:t>16.1.1 发包人违约的情形</w:t>
      </w:r>
      <w:bookmarkEnd w:id="639"/>
    </w:p>
    <w:p w14:paraId="7DD4EB6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在合同履行过程中发生的下列情形，属于发包人违约：</w:t>
      </w:r>
    </w:p>
    <w:p w14:paraId="1550834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（1）因发包人原因未能在计划开工日期前7天内下达开工通知的；</w:t>
      </w:r>
    </w:p>
    <w:p w14:paraId="412702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（2）因发包人原因未能按合同约定支付合同价款的；</w:t>
      </w:r>
    </w:p>
    <w:p w14:paraId="6D48B84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（3）发包人违反第10.1款〔变更的范围〕第（2）项约定，自行实施被取消的工作或转由他人实施的；</w:t>
      </w:r>
    </w:p>
    <w:p w14:paraId="17AFB05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（4）发包人提供的材料、工程设备的规格、数量或质量不符合合同约定，或因发包人原因导致交货日期延误或交货地点变更等情况的；</w:t>
      </w:r>
    </w:p>
    <w:p w14:paraId="2EF282F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（5）因发包人违反合同约定造成暂停施工的；</w:t>
      </w:r>
    </w:p>
    <w:p w14:paraId="622BF6E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（6）发包人无正当理由没有在约定期限内发出复工指示，导致承包人无法复工的；</w:t>
      </w:r>
    </w:p>
    <w:p w14:paraId="20C1C2F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（7）发包人明确表示或者以其行为表明不履行合同主要义务的；</w:t>
      </w:r>
    </w:p>
    <w:p w14:paraId="1D87F87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（8）发包人未能按照合同约定履行其他义务的。</w:t>
      </w:r>
    </w:p>
    <w:p w14:paraId="18A0650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B1D9D2D">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40" w:name="_Toc5094"/>
      <w:r>
        <w:rPr>
          <w:rFonts w:hint="eastAsia" w:asciiTheme="minorEastAsia" w:hAnsiTheme="minorEastAsia" w:eastAsiaTheme="minorEastAsia" w:cstheme="minorEastAsia"/>
          <w:color w:val="auto"/>
          <w:kern w:val="0"/>
          <w:sz w:val="24"/>
          <w:szCs w:val="24"/>
          <w:highlight w:val="none"/>
        </w:rPr>
        <w:t>16.1.2 发包人违约的责任</w:t>
      </w:r>
      <w:bookmarkEnd w:id="640"/>
    </w:p>
    <w:p w14:paraId="45525DF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7059251A">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41" w:name="_Toc25515"/>
      <w:r>
        <w:rPr>
          <w:rFonts w:hint="eastAsia" w:asciiTheme="minorEastAsia" w:hAnsiTheme="minorEastAsia" w:eastAsiaTheme="minorEastAsia" w:cstheme="minorEastAsia"/>
          <w:color w:val="auto"/>
          <w:kern w:val="0"/>
          <w:sz w:val="24"/>
          <w:szCs w:val="24"/>
          <w:highlight w:val="none"/>
        </w:rPr>
        <w:t>16.1.3 因发包人违约解除合同</w:t>
      </w:r>
      <w:bookmarkEnd w:id="641"/>
    </w:p>
    <w:p w14:paraId="2DD38F6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3FB1A8">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642" w:name="_Toc23518"/>
      <w:r>
        <w:rPr>
          <w:rFonts w:hint="eastAsia" w:asciiTheme="minorEastAsia" w:hAnsiTheme="minorEastAsia" w:eastAsiaTheme="minorEastAsia" w:cstheme="minorEastAsia"/>
          <w:color w:val="auto"/>
          <w:kern w:val="0"/>
          <w:sz w:val="24"/>
          <w:szCs w:val="24"/>
          <w:highlight w:val="none"/>
        </w:rPr>
        <w:t>16.1.4 因发包人违约解除合同后的付款</w:t>
      </w:r>
      <w:bookmarkEnd w:id="642"/>
    </w:p>
    <w:p w14:paraId="054C8A0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承包人按照本款约定解除合同的，发包人应在解除合同后28天内支付下列款项，并解除履约担保：</w:t>
      </w:r>
    </w:p>
    <w:p w14:paraId="55C4F4C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（1）合同解除前所完成工作的价款；</w:t>
      </w:r>
    </w:p>
    <w:p w14:paraId="2280D45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（2）承包人为工程施工订购并已付款的材料、工程设备和其他物品的价款；</w:t>
      </w:r>
    </w:p>
    <w:p w14:paraId="7DAA2DD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（3）承包人撤离施工现场以及遣散承包人人员的款项；</w:t>
      </w:r>
    </w:p>
    <w:p w14:paraId="7A5BD61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（4）按照合同约定在合同解除前应支付的违约金；</w:t>
      </w:r>
    </w:p>
    <w:p w14:paraId="423DDDD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（5）按照合同约定应当支付给承包人的其他款项；</w:t>
      </w:r>
    </w:p>
    <w:p w14:paraId="33086F4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（6）按照合同约定应退还的质量保证金；</w:t>
      </w:r>
    </w:p>
    <w:p w14:paraId="03583FF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（7）因解除合同给承包人造成的损失。</w:t>
      </w:r>
    </w:p>
    <w:p w14:paraId="50B9D6E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合同当事人未能就解除合同后的结清达成一致的，按照第20条〔争议解决〕的约定处理。</w:t>
      </w:r>
    </w:p>
    <w:p w14:paraId="2DC925F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71E66FA7">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43" w:name="_Toc20271"/>
      <w:bookmarkStart w:id="644" w:name="_Toc351203605"/>
      <w:bookmarkStart w:id="645" w:name="_Toc337558822"/>
      <w:bookmarkStart w:id="646" w:name="_Toc296503131"/>
      <w:bookmarkStart w:id="647" w:name="_Toc296346632"/>
      <w:r>
        <w:rPr>
          <w:rFonts w:hint="eastAsia" w:asciiTheme="minorEastAsia" w:hAnsiTheme="minorEastAsia" w:eastAsiaTheme="minorEastAsia" w:cstheme="minorEastAsia"/>
          <w:b w:val="0"/>
          <w:color w:val="auto"/>
          <w:sz w:val="24"/>
          <w:szCs w:val="24"/>
          <w:highlight w:val="none"/>
        </w:rPr>
        <w:t>16.2 承包人违约</w:t>
      </w:r>
      <w:bookmarkEnd w:id="643"/>
      <w:bookmarkEnd w:id="644"/>
    </w:p>
    <w:bookmarkEnd w:id="645"/>
    <w:bookmarkEnd w:id="646"/>
    <w:bookmarkEnd w:id="647"/>
    <w:p w14:paraId="5D2E97BF">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48" w:name="_Toc27182"/>
      <w:r>
        <w:rPr>
          <w:rFonts w:hint="eastAsia" w:asciiTheme="minorEastAsia" w:hAnsiTheme="minorEastAsia" w:eastAsiaTheme="minorEastAsia" w:cstheme="minorEastAsia"/>
          <w:color w:val="auto"/>
          <w:kern w:val="0"/>
          <w:sz w:val="24"/>
          <w:szCs w:val="24"/>
          <w:highlight w:val="none"/>
        </w:rPr>
        <w:t>16.2.1 承包人违约的情形</w:t>
      </w:r>
      <w:bookmarkEnd w:id="648"/>
    </w:p>
    <w:p w14:paraId="3F121DC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在合同履行过程中发生的下列情形，属于承包人违约：</w:t>
      </w:r>
    </w:p>
    <w:p w14:paraId="4569C74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（1）承包人违反合同约定进行转包或违法分包的；</w:t>
      </w:r>
    </w:p>
    <w:p w14:paraId="5AFA263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（2）承包人违反合同约定采购和使用不合格的材料和工程设备的；</w:t>
      </w:r>
    </w:p>
    <w:p w14:paraId="795E41E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（3）因承包人原因导致工程质量不符合合同要求的； </w:t>
      </w:r>
    </w:p>
    <w:p w14:paraId="778EB6D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（4）承包人违反第8.9款〔材料与设备专用要求〕的约定，未经批准，私自将已按照合同约定进入施工现场的材料或设备撤离施工现场的；</w:t>
      </w:r>
    </w:p>
    <w:p w14:paraId="2F73BDB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（5）承包人未能按施工进度计划及时完成合同约定的工作，造成工期延误的；</w:t>
      </w:r>
    </w:p>
    <w:p w14:paraId="67AE701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（6）承包人在缺陷责任期及保修期内，未能在合理期</w:t>
      </w:r>
      <w:r>
        <w:rPr>
          <w:rFonts w:hint="eastAsia" w:asciiTheme="minorEastAsia" w:hAnsiTheme="minorEastAsia" w:eastAsiaTheme="minorEastAsia" w:cstheme="minorEastAsia"/>
          <w:color w:val="auto"/>
          <w:kern w:val="0"/>
          <w:sz w:val="24"/>
          <w:szCs w:val="24"/>
          <w:highlight w:val="none"/>
          <w:lang w:eastAsia="zh-CN"/>
        </w:rPr>
        <w:t>限内</w:t>
      </w:r>
      <w:r>
        <w:rPr>
          <w:rFonts w:hint="eastAsia" w:asciiTheme="minorEastAsia" w:hAnsiTheme="minorEastAsia" w:eastAsiaTheme="minorEastAsia" w:cstheme="minorEastAsia"/>
          <w:color w:val="auto"/>
          <w:kern w:val="0"/>
          <w:sz w:val="24"/>
          <w:szCs w:val="24"/>
          <w:highlight w:val="none"/>
        </w:rPr>
        <w:t>对工程缺陷进行修复，或拒绝按发包人要求进行修复的；</w:t>
      </w:r>
    </w:p>
    <w:p w14:paraId="2DA988F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（7）承包人明确表示或者以其行为表明不履行合同主要义务的；</w:t>
      </w:r>
    </w:p>
    <w:p w14:paraId="6AFF874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（8）承包人未能按照合同约定履行其他义务的。</w:t>
      </w:r>
    </w:p>
    <w:p w14:paraId="43588B4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承包人发生除本项第（7）目约定以外的其他违约情况时，监理人可向承包人发出整改通知，要求其在指定的期限内改正。</w:t>
      </w:r>
    </w:p>
    <w:p w14:paraId="60E42065">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49" w:name="_Toc24655"/>
      <w:r>
        <w:rPr>
          <w:rFonts w:hint="eastAsia" w:asciiTheme="minorEastAsia" w:hAnsiTheme="minorEastAsia" w:eastAsiaTheme="minorEastAsia" w:cstheme="minorEastAsia"/>
          <w:color w:val="auto"/>
          <w:kern w:val="0"/>
          <w:sz w:val="24"/>
          <w:szCs w:val="24"/>
          <w:highlight w:val="none"/>
        </w:rPr>
        <w:t>16.2.2 承包人违约的责任</w:t>
      </w:r>
      <w:bookmarkEnd w:id="649"/>
    </w:p>
    <w:p w14:paraId="789D002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承包人应承担因其违约行为而增加的费用和（或）延误的工期。此外，合同当事人可在专用合同条款中另行约定承包人违约责任的承担方式和计算方法。</w:t>
      </w:r>
    </w:p>
    <w:p w14:paraId="7AF3474D">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50" w:name="_Toc30401"/>
      <w:r>
        <w:rPr>
          <w:rFonts w:hint="eastAsia" w:asciiTheme="minorEastAsia" w:hAnsiTheme="minorEastAsia" w:eastAsiaTheme="minorEastAsia" w:cstheme="minorEastAsia"/>
          <w:color w:val="auto"/>
          <w:kern w:val="0"/>
          <w:sz w:val="24"/>
          <w:szCs w:val="24"/>
          <w:highlight w:val="none"/>
        </w:rPr>
        <w:t>16.2.3 因承包人违约解除合同</w:t>
      </w:r>
      <w:bookmarkEnd w:id="650"/>
    </w:p>
    <w:p w14:paraId="386869F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w:t>
      </w:r>
      <w:r>
        <w:rPr>
          <w:rFonts w:hint="eastAsia" w:asciiTheme="minorEastAsia" w:hAnsiTheme="minorEastAsia" w:eastAsiaTheme="minorEastAsia" w:cstheme="minorEastAsia"/>
          <w:color w:val="auto"/>
          <w:kern w:val="0"/>
          <w:sz w:val="24"/>
          <w:szCs w:val="24"/>
          <w:highlight w:val="none"/>
          <w:lang w:eastAsia="zh-CN"/>
        </w:rPr>
        <w:t>款中</w:t>
      </w:r>
      <w:r>
        <w:rPr>
          <w:rFonts w:hint="eastAsia" w:asciiTheme="minorEastAsia" w:hAnsiTheme="minorEastAsia" w:eastAsiaTheme="minorEastAsia" w:cstheme="minorEastAsia"/>
          <w:color w:val="auto"/>
          <w:kern w:val="0"/>
          <w:sz w:val="24"/>
          <w:szCs w:val="24"/>
          <w:highlight w:val="none"/>
        </w:rPr>
        <w:t>约定相应费用的承担方式。发包人继续使用的行为不免除或减轻承包人应承担的违约责任。</w:t>
      </w:r>
    </w:p>
    <w:p w14:paraId="18C3A332">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51" w:name="_Toc7768"/>
      <w:r>
        <w:rPr>
          <w:rFonts w:hint="eastAsia" w:asciiTheme="minorEastAsia" w:hAnsiTheme="minorEastAsia" w:eastAsiaTheme="minorEastAsia" w:cstheme="minorEastAsia"/>
          <w:color w:val="auto"/>
          <w:kern w:val="0"/>
          <w:sz w:val="24"/>
          <w:szCs w:val="24"/>
          <w:highlight w:val="none"/>
        </w:rPr>
        <w:t>16.2.4因承包人违约解除合同后的处理</w:t>
      </w:r>
      <w:bookmarkEnd w:id="651"/>
    </w:p>
    <w:p w14:paraId="4057A1C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因承包人原因导致合同解除的，则合同当事人应在合同解除后28天内完成估价、付款和清算，并按以下约定执行：</w:t>
      </w:r>
    </w:p>
    <w:p w14:paraId="7C281760">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（1）合同解除后，按第4.4款〔商定或确定〕商定或确定承包人实际完成工作对应的合同价款，以及承包人已提供的材料、工程设备、施工设备和临时工程等的价值；</w:t>
      </w:r>
    </w:p>
    <w:p w14:paraId="3B7D9C8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（2）合同解除后，承包人应支付的违约金；</w:t>
      </w:r>
    </w:p>
    <w:p w14:paraId="74261D5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（3）合同解除后，因解除合同给发包人造成的损失；</w:t>
      </w:r>
    </w:p>
    <w:p w14:paraId="3E8131A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（4）合同解除后，承包人应按照发包人要求和监理人的指示完成现场的清理和撤离；</w:t>
      </w:r>
    </w:p>
    <w:p w14:paraId="13D2BEB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（5）发包人和承包人应在合同解除后进行清算，出具最终结清付款证书，结清全部款项。</w:t>
      </w:r>
    </w:p>
    <w:p w14:paraId="501170A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CAC104B">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652" w:name="_Toc9854"/>
      <w:r>
        <w:rPr>
          <w:rFonts w:hint="eastAsia" w:asciiTheme="minorEastAsia" w:hAnsiTheme="minorEastAsia" w:eastAsiaTheme="minorEastAsia" w:cstheme="minorEastAsia"/>
          <w:color w:val="auto"/>
          <w:kern w:val="0"/>
          <w:sz w:val="24"/>
          <w:szCs w:val="24"/>
          <w:highlight w:val="none"/>
        </w:rPr>
        <w:t>16.2.5采购合同权益转让</w:t>
      </w:r>
      <w:bookmarkEnd w:id="652"/>
    </w:p>
    <w:p w14:paraId="0900209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1E0F593">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53" w:name="_Toc4667"/>
      <w:bookmarkStart w:id="654" w:name="_Toc351203606"/>
      <w:r>
        <w:rPr>
          <w:rFonts w:hint="eastAsia" w:asciiTheme="minorEastAsia" w:hAnsiTheme="minorEastAsia" w:eastAsiaTheme="minorEastAsia" w:cstheme="minorEastAsia"/>
          <w:b w:val="0"/>
          <w:color w:val="auto"/>
          <w:sz w:val="24"/>
          <w:szCs w:val="24"/>
          <w:highlight w:val="none"/>
        </w:rPr>
        <w:t>16.3 第三人造成的违约</w:t>
      </w:r>
      <w:bookmarkEnd w:id="653"/>
      <w:bookmarkEnd w:id="654"/>
    </w:p>
    <w:p w14:paraId="5FAE9D7F">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0EBE2F0B">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655" w:name="_Toc32681"/>
      <w:bookmarkStart w:id="656" w:name="_Toc351203607"/>
      <w:bookmarkStart w:id="657" w:name="_Toc337558823"/>
      <w:bookmarkStart w:id="658" w:name="_Toc296503116"/>
      <w:bookmarkStart w:id="659" w:name="_Toc296346617"/>
      <w:r>
        <w:rPr>
          <w:rFonts w:hint="eastAsia" w:asciiTheme="minorEastAsia" w:hAnsiTheme="minorEastAsia" w:eastAsiaTheme="minorEastAsia" w:cstheme="minorEastAsia"/>
          <w:b w:val="0"/>
          <w:color w:val="auto"/>
          <w:sz w:val="24"/>
          <w:szCs w:val="24"/>
          <w:highlight w:val="none"/>
        </w:rPr>
        <w:t>17. 不可抗力</w:t>
      </w:r>
      <w:bookmarkEnd w:id="655"/>
      <w:bookmarkEnd w:id="656"/>
      <w:r>
        <w:rPr>
          <w:rFonts w:hint="eastAsia" w:asciiTheme="minorEastAsia" w:hAnsiTheme="minorEastAsia" w:eastAsiaTheme="minorEastAsia" w:cstheme="minorEastAsia"/>
          <w:b w:val="0"/>
          <w:color w:val="auto"/>
          <w:sz w:val="24"/>
          <w:szCs w:val="24"/>
          <w:highlight w:val="none"/>
        </w:rPr>
        <w:t xml:space="preserve"> </w:t>
      </w:r>
      <w:bookmarkEnd w:id="657"/>
      <w:bookmarkEnd w:id="658"/>
      <w:bookmarkEnd w:id="659"/>
    </w:p>
    <w:p w14:paraId="0AB92F7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60" w:name="_Toc351203608"/>
      <w:bookmarkStart w:id="661" w:name="_Toc11738"/>
      <w:bookmarkStart w:id="662" w:name="_Toc296503117"/>
      <w:bookmarkStart w:id="663" w:name="_Toc337558824"/>
      <w:bookmarkStart w:id="664" w:name="_Toc296346618"/>
      <w:r>
        <w:rPr>
          <w:rFonts w:hint="eastAsia" w:asciiTheme="minorEastAsia" w:hAnsiTheme="minorEastAsia" w:eastAsiaTheme="minorEastAsia" w:cstheme="minorEastAsia"/>
          <w:b w:val="0"/>
          <w:color w:val="auto"/>
          <w:sz w:val="24"/>
          <w:szCs w:val="24"/>
          <w:highlight w:val="none"/>
        </w:rPr>
        <w:t>17.1 不可抗力的确认</w:t>
      </w:r>
      <w:bookmarkEnd w:id="660"/>
      <w:bookmarkEnd w:id="661"/>
    </w:p>
    <w:bookmarkEnd w:id="662"/>
    <w:bookmarkEnd w:id="663"/>
    <w:bookmarkEnd w:id="664"/>
    <w:p w14:paraId="0554FAE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BA71C4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D58516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65" w:name="_Toc351203609"/>
      <w:bookmarkStart w:id="666" w:name="_Toc16037"/>
      <w:bookmarkStart w:id="667" w:name="_Toc337558825"/>
      <w:bookmarkStart w:id="668" w:name="_Toc296503118"/>
      <w:bookmarkStart w:id="669" w:name="_Toc296346619"/>
      <w:r>
        <w:rPr>
          <w:rFonts w:hint="eastAsia" w:asciiTheme="minorEastAsia" w:hAnsiTheme="minorEastAsia" w:eastAsiaTheme="minorEastAsia" w:cstheme="minorEastAsia"/>
          <w:b w:val="0"/>
          <w:color w:val="auto"/>
          <w:sz w:val="24"/>
          <w:szCs w:val="24"/>
          <w:highlight w:val="none"/>
        </w:rPr>
        <w:t>17.2 不可抗力的通知</w:t>
      </w:r>
      <w:bookmarkEnd w:id="665"/>
      <w:bookmarkEnd w:id="666"/>
    </w:p>
    <w:bookmarkEnd w:id="667"/>
    <w:bookmarkEnd w:id="668"/>
    <w:bookmarkEnd w:id="669"/>
    <w:p w14:paraId="6B0CB99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63B3BB7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3FAF24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70" w:name="_Toc351203610"/>
      <w:bookmarkStart w:id="671" w:name="_Toc3077"/>
      <w:bookmarkStart w:id="672" w:name="_Toc337558826"/>
      <w:bookmarkStart w:id="673" w:name="_Toc296503119"/>
      <w:bookmarkStart w:id="674" w:name="_Toc296346620"/>
      <w:r>
        <w:rPr>
          <w:rFonts w:hint="eastAsia" w:asciiTheme="minorEastAsia" w:hAnsiTheme="minorEastAsia" w:eastAsiaTheme="minorEastAsia" w:cstheme="minorEastAsia"/>
          <w:b w:val="0"/>
          <w:color w:val="auto"/>
          <w:sz w:val="24"/>
          <w:szCs w:val="24"/>
          <w:highlight w:val="none"/>
        </w:rPr>
        <w:t>17.3 不可抗力后果的承担</w:t>
      </w:r>
      <w:bookmarkEnd w:id="670"/>
      <w:bookmarkEnd w:id="671"/>
    </w:p>
    <w:bookmarkEnd w:id="672"/>
    <w:bookmarkEnd w:id="673"/>
    <w:bookmarkEnd w:id="674"/>
    <w:p w14:paraId="54DE314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17.3.1 不可抗力引起的后果及造成的损失由合同当事人按照法律规定及合同约定各自承担。不可抗力发生前已完成的工程应当按照合同约定进行计量支付。</w:t>
      </w:r>
    </w:p>
    <w:p w14:paraId="26A4FE1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17.3.2 不可抗力导致的人员伤亡、财产损失、费用增加和（或）工期延误等后果，由合同当事人按以下原则承担：</w:t>
      </w:r>
    </w:p>
    <w:p w14:paraId="03EEC5D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（1）永久工程、已运至施工现场的材料和工程设备的损坏，以及因工程损坏造成的第三人人员伤亡和财产损失由发包人承担；</w:t>
      </w:r>
    </w:p>
    <w:p w14:paraId="706176F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（2）承包人施工设备的损坏由承包人承担；</w:t>
      </w:r>
    </w:p>
    <w:p w14:paraId="7179C62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（3）发包人和承包人承担各自人员伤亡和财产的损失；</w:t>
      </w:r>
    </w:p>
    <w:p w14:paraId="07AD8D6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4CFE7E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（5）因不可抗力引起或将引起工期延误，发包人要求赶工的，由此增加的赶工费用由发包人承担；</w:t>
      </w:r>
    </w:p>
    <w:p w14:paraId="3171A7C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（6）承包人在停工期间按照发包人要求照管、清理和修复工程的费用由发包人承担。</w:t>
      </w:r>
    </w:p>
    <w:p w14:paraId="509AD52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3AB53A4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因合同一方迟延履行合同义务，在迟延履行期间遭遇不可抗力的，不免除其违约责任。</w:t>
      </w:r>
    </w:p>
    <w:p w14:paraId="1060489C">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75" w:name="_Toc351203611"/>
      <w:bookmarkStart w:id="676" w:name="_Toc20027"/>
      <w:bookmarkStart w:id="677" w:name="_Toc337558827"/>
      <w:r>
        <w:rPr>
          <w:rFonts w:hint="eastAsia" w:asciiTheme="minorEastAsia" w:hAnsiTheme="minorEastAsia" w:eastAsiaTheme="minorEastAsia" w:cstheme="minorEastAsia"/>
          <w:b w:val="0"/>
          <w:color w:val="auto"/>
          <w:sz w:val="24"/>
          <w:szCs w:val="24"/>
          <w:highlight w:val="none"/>
        </w:rPr>
        <w:t>17.4 因不可抗力解除合同</w:t>
      </w:r>
      <w:bookmarkEnd w:id="675"/>
      <w:bookmarkEnd w:id="676"/>
    </w:p>
    <w:bookmarkEnd w:id="677"/>
    <w:p w14:paraId="5BFA1E4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DFF25E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（1）合同解除前承包人已完成工作的价款；</w:t>
      </w:r>
    </w:p>
    <w:p w14:paraId="6CD037CA">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（2）承包人为工程订购的并已交付给承包人，或承包人有责任接受交付的材料、工程设备和其他物品的价款；</w:t>
      </w:r>
    </w:p>
    <w:p w14:paraId="6A5EB25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（3）发包人要求承包人退货或解除订货合同而产生的费用，或因不能退货或解除合同而产生的损失；</w:t>
      </w:r>
    </w:p>
    <w:p w14:paraId="010A19B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（4）承包人撤离施工现场以及遣散承包人人员的费用；</w:t>
      </w:r>
    </w:p>
    <w:p w14:paraId="23B021F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（5）按照合同约定在合同解除前应支付给承包人的其他款项；</w:t>
      </w:r>
    </w:p>
    <w:p w14:paraId="00470A1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（6）扣减承包人按照合同约定应向发包人支付的款项；</w:t>
      </w:r>
    </w:p>
    <w:p w14:paraId="0381D7F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（7）双方商定或确定的其他款项。</w:t>
      </w:r>
    </w:p>
    <w:p w14:paraId="2DF3775B">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除专用合同条款另有约定外，合同解除后，发包人应在商定或确定上述款项后28天内完成上述款项的支付。</w:t>
      </w:r>
    </w:p>
    <w:p w14:paraId="6F0E29A2">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678" w:name="_Toc17998"/>
      <w:bookmarkStart w:id="679" w:name="_Toc351203612"/>
      <w:bookmarkStart w:id="680" w:name="_Toc296346621"/>
      <w:bookmarkStart w:id="681" w:name="_Toc296503120"/>
      <w:bookmarkStart w:id="682" w:name="_Toc337558828"/>
      <w:r>
        <w:rPr>
          <w:rFonts w:hint="eastAsia" w:asciiTheme="minorEastAsia" w:hAnsiTheme="minorEastAsia" w:eastAsiaTheme="minorEastAsia" w:cstheme="minorEastAsia"/>
          <w:b w:val="0"/>
          <w:color w:val="auto"/>
          <w:sz w:val="24"/>
          <w:szCs w:val="24"/>
          <w:highlight w:val="none"/>
        </w:rPr>
        <w:t>18. 保险</w:t>
      </w:r>
      <w:bookmarkEnd w:id="678"/>
      <w:bookmarkEnd w:id="679"/>
    </w:p>
    <w:bookmarkEnd w:id="680"/>
    <w:bookmarkEnd w:id="681"/>
    <w:bookmarkEnd w:id="682"/>
    <w:p w14:paraId="154AC9AE">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83" w:name="_Toc10468"/>
      <w:bookmarkStart w:id="684" w:name="_Toc351203613"/>
      <w:bookmarkStart w:id="685" w:name="_Toc296503121"/>
      <w:bookmarkStart w:id="686" w:name="_Toc296346622"/>
      <w:bookmarkStart w:id="687" w:name="_Toc337558829"/>
      <w:r>
        <w:rPr>
          <w:rFonts w:hint="eastAsia" w:asciiTheme="minorEastAsia" w:hAnsiTheme="minorEastAsia" w:eastAsiaTheme="minorEastAsia" w:cstheme="minorEastAsia"/>
          <w:b w:val="0"/>
          <w:color w:val="auto"/>
          <w:sz w:val="24"/>
          <w:szCs w:val="24"/>
          <w:highlight w:val="none"/>
        </w:rPr>
        <w:t>18.1 工程保险</w:t>
      </w:r>
      <w:bookmarkEnd w:id="683"/>
      <w:bookmarkEnd w:id="684"/>
    </w:p>
    <w:bookmarkEnd w:id="685"/>
    <w:bookmarkEnd w:id="686"/>
    <w:bookmarkEnd w:id="687"/>
    <w:p w14:paraId="1783727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1CDA35A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88" w:name="_Toc19422"/>
      <w:bookmarkStart w:id="689" w:name="_Toc351203614"/>
      <w:bookmarkStart w:id="690" w:name="_Toc296346623"/>
      <w:bookmarkStart w:id="691" w:name="_Toc296503122"/>
      <w:bookmarkStart w:id="692" w:name="_Toc337558830"/>
      <w:r>
        <w:rPr>
          <w:rFonts w:hint="eastAsia" w:asciiTheme="minorEastAsia" w:hAnsiTheme="minorEastAsia" w:eastAsiaTheme="minorEastAsia" w:cstheme="minorEastAsia"/>
          <w:b w:val="0"/>
          <w:color w:val="auto"/>
          <w:sz w:val="24"/>
          <w:szCs w:val="24"/>
          <w:highlight w:val="none"/>
        </w:rPr>
        <w:t>18.2 工伤保险</w:t>
      </w:r>
      <w:bookmarkEnd w:id="688"/>
      <w:bookmarkEnd w:id="689"/>
    </w:p>
    <w:bookmarkEnd w:id="690"/>
    <w:bookmarkEnd w:id="691"/>
    <w:bookmarkEnd w:id="692"/>
    <w:p w14:paraId="3BF8A34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546B4EC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6CE5E230">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93" w:name="_Toc16683"/>
      <w:bookmarkStart w:id="694" w:name="_Toc351203615"/>
      <w:bookmarkStart w:id="695" w:name="_Toc296346626"/>
      <w:bookmarkStart w:id="696" w:name="_Toc296503125"/>
      <w:bookmarkStart w:id="697" w:name="_Toc337558831"/>
      <w:r>
        <w:rPr>
          <w:rFonts w:hint="eastAsia" w:asciiTheme="minorEastAsia" w:hAnsiTheme="minorEastAsia" w:eastAsiaTheme="minorEastAsia" w:cstheme="minorEastAsia"/>
          <w:b w:val="0"/>
          <w:color w:val="auto"/>
          <w:sz w:val="24"/>
          <w:szCs w:val="24"/>
          <w:highlight w:val="none"/>
        </w:rPr>
        <w:t>18.3其他保险</w:t>
      </w:r>
      <w:bookmarkEnd w:id="693"/>
      <w:bookmarkEnd w:id="694"/>
    </w:p>
    <w:bookmarkEnd w:id="695"/>
    <w:bookmarkEnd w:id="696"/>
    <w:bookmarkEnd w:id="697"/>
    <w:p w14:paraId="1E9B9CFB">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477C302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除专用合同条款另有约定外，承包人应为其施工设备等办理财产保险。</w:t>
      </w:r>
    </w:p>
    <w:p w14:paraId="2148C981">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698" w:name="_Toc351203616"/>
      <w:bookmarkStart w:id="699" w:name="_Toc19272"/>
      <w:r>
        <w:rPr>
          <w:rFonts w:hint="eastAsia" w:asciiTheme="minorEastAsia" w:hAnsiTheme="minorEastAsia" w:eastAsiaTheme="minorEastAsia" w:cstheme="minorEastAsia"/>
          <w:b w:val="0"/>
          <w:color w:val="auto"/>
          <w:sz w:val="24"/>
          <w:szCs w:val="24"/>
          <w:highlight w:val="none"/>
        </w:rPr>
        <w:t>18.4持续保险</w:t>
      </w:r>
      <w:bookmarkEnd w:id="698"/>
      <w:bookmarkEnd w:id="699"/>
    </w:p>
    <w:p w14:paraId="3457690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合同当事人应与保险人保持联系，使保险人能够随时了解工程实施中的变动，并确保按保险合同条款要求持续保险。</w:t>
      </w:r>
    </w:p>
    <w:p w14:paraId="6D745A1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00" w:name="_Toc351203617"/>
      <w:bookmarkStart w:id="701" w:name="_Toc8405"/>
      <w:bookmarkStart w:id="702" w:name="_Toc296346627"/>
      <w:bookmarkStart w:id="703" w:name="_Toc337558832"/>
      <w:bookmarkStart w:id="704" w:name="_Toc296503126"/>
      <w:r>
        <w:rPr>
          <w:rFonts w:hint="eastAsia" w:asciiTheme="minorEastAsia" w:hAnsiTheme="minorEastAsia" w:eastAsiaTheme="minorEastAsia" w:cstheme="minorEastAsia"/>
          <w:b w:val="0"/>
          <w:color w:val="auto"/>
          <w:sz w:val="24"/>
          <w:szCs w:val="24"/>
          <w:highlight w:val="none"/>
        </w:rPr>
        <w:t>18.5 保险凭证</w:t>
      </w:r>
      <w:bookmarkEnd w:id="700"/>
      <w:bookmarkEnd w:id="701"/>
    </w:p>
    <w:bookmarkEnd w:id="702"/>
    <w:bookmarkEnd w:id="703"/>
    <w:bookmarkEnd w:id="704"/>
    <w:p w14:paraId="035CA72D">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合同当事人应及时向另一方当事人提交其已投保的各项保险的凭证和保险单复印件。</w:t>
      </w:r>
    </w:p>
    <w:p w14:paraId="74A3DAB6">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05" w:name="_Toc28335"/>
      <w:bookmarkStart w:id="706" w:name="_Toc351203618"/>
      <w:bookmarkStart w:id="707" w:name="_Toc337558833"/>
      <w:bookmarkStart w:id="708" w:name="_Toc296346628"/>
      <w:bookmarkStart w:id="709" w:name="_Toc296503127"/>
      <w:r>
        <w:rPr>
          <w:rFonts w:hint="eastAsia" w:asciiTheme="minorEastAsia" w:hAnsiTheme="minorEastAsia" w:eastAsiaTheme="minorEastAsia" w:cstheme="minorEastAsia"/>
          <w:b w:val="0"/>
          <w:color w:val="auto"/>
          <w:sz w:val="24"/>
          <w:szCs w:val="24"/>
          <w:highlight w:val="none"/>
        </w:rPr>
        <w:t>18.6 未按约定投保的补救</w:t>
      </w:r>
      <w:bookmarkEnd w:id="705"/>
      <w:bookmarkEnd w:id="706"/>
    </w:p>
    <w:bookmarkEnd w:id="707"/>
    <w:bookmarkEnd w:id="708"/>
    <w:bookmarkEnd w:id="709"/>
    <w:p w14:paraId="2E4D7280">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3726672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3FEE8FA8">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10" w:name="_Toc23308"/>
      <w:bookmarkStart w:id="711" w:name="_Toc351203619"/>
      <w:bookmarkStart w:id="712" w:name="_Toc337558834"/>
      <w:r>
        <w:rPr>
          <w:rFonts w:hint="eastAsia" w:asciiTheme="minorEastAsia" w:hAnsiTheme="minorEastAsia" w:eastAsiaTheme="minorEastAsia" w:cstheme="minorEastAsia"/>
          <w:b w:val="0"/>
          <w:color w:val="auto"/>
          <w:sz w:val="24"/>
          <w:szCs w:val="24"/>
          <w:highlight w:val="none"/>
        </w:rPr>
        <w:t>18.7 通知义务</w:t>
      </w:r>
      <w:bookmarkEnd w:id="710"/>
      <w:bookmarkEnd w:id="711"/>
    </w:p>
    <w:bookmarkEnd w:id="712"/>
    <w:p w14:paraId="6757E649">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D745B8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保险事故发生时，投保人应按照保险合同规定的条件和期限及时向保险人报告。发包人和承包人应当在知道保险事故发生后及时通知对方。</w:t>
      </w:r>
    </w:p>
    <w:p w14:paraId="2440D4D7">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713" w:name="_Toc351203620"/>
      <w:bookmarkStart w:id="714" w:name="_Toc4069"/>
      <w:bookmarkStart w:id="715" w:name="_Toc296503140"/>
      <w:bookmarkStart w:id="716" w:name="_Toc296346641"/>
      <w:bookmarkStart w:id="717" w:name="_Toc337558835"/>
      <w:r>
        <w:rPr>
          <w:rFonts w:hint="eastAsia" w:asciiTheme="minorEastAsia" w:hAnsiTheme="minorEastAsia" w:eastAsiaTheme="minorEastAsia" w:cstheme="minorEastAsia"/>
          <w:b w:val="0"/>
          <w:color w:val="auto"/>
          <w:sz w:val="24"/>
          <w:szCs w:val="24"/>
          <w:highlight w:val="none"/>
        </w:rPr>
        <w:t>19. 索赔</w:t>
      </w:r>
      <w:bookmarkEnd w:id="713"/>
      <w:bookmarkEnd w:id="714"/>
    </w:p>
    <w:bookmarkEnd w:id="715"/>
    <w:bookmarkEnd w:id="716"/>
    <w:bookmarkEnd w:id="717"/>
    <w:p w14:paraId="2236F4A6">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18" w:name="_Toc351203621"/>
      <w:bookmarkStart w:id="719" w:name="_Toc20605"/>
      <w:bookmarkStart w:id="720" w:name="_Toc296346642"/>
      <w:bookmarkStart w:id="721" w:name="_Toc296503141"/>
      <w:bookmarkStart w:id="722" w:name="_Toc337558836"/>
      <w:r>
        <w:rPr>
          <w:rFonts w:hint="eastAsia" w:asciiTheme="minorEastAsia" w:hAnsiTheme="minorEastAsia" w:eastAsiaTheme="minorEastAsia" w:cstheme="minorEastAsia"/>
          <w:b w:val="0"/>
          <w:color w:val="auto"/>
          <w:sz w:val="24"/>
          <w:szCs w:val="24"/>
          <w:highlight w:val="none"/>
        </w:rPr>
        <w:t>19.1承包人的索赔</w:t>
      </w:r>
      <w:bookmarkEnd w:id="718"/>
      <w:bookmarkEnd w:id="719"/>
    </w:p>
    <w:bookmarkEnd w:id="720"/>
    <w:bookmarkEnd w:id="721"/>
    <w:bookmarkEnd w:id="722"/>
    <w:p w14:paraId="26B7145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根据合同约定，承包人认为有权得到追加付款和（或）延长工期的，应按以下程序向发包人提出索赔：</w:t>
      </w:r>
    </w:p>
    <w:p w14:paraId="05F56B3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49BBE2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185FC4A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64AE884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（4）在索赔事件影响结束后28天内，承包人应向监理人递交最终索赔报告，说明最终要求索赔的追加付款金额和（或）延长的工期，并附必要的记录和证明材料。</w:t>
      </w:r>
    </w:p>
    <w:p w14:paraId="19D9ACB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23" w:name="_Toc351203622"/>
      <w:bookmarkStart w:id="724" w:name="_Toc19064"/>
      <w:bookmarkStart w:id="725" w:name="_Toc296346643"/>
      <w:bookmarkStart w:id="726" w:name="_Toc296503142"/>
      <w:bookmarkStart w:id="727" w:name="_Toc337558837"/>
      <w:r>
        <w:rPr>
          <w:rFonts w:hint="eastAsia" w:asciiTheme="minorEastAsia" w:hAnsiTheme="minorEastAsia" w:eastAsiaTheme="minorEastAsia" w:cstheme="minorEastAsia"/>
          <w:b w:val="0"/>
          <w:color w:val="auto"/>
          <w:sz w:val="24"/>
          <w:szCs w:val="24"/>
          <w:highlight w:val="none"/>
        </w:rPr>
        <w:t>19.2 对承包人索赔的处理</w:t>
      </w:r>
      <w:bookmarkEnd w:id="723"/>
      <w:bookmarkEnd w:id="724"/>
    </w:p>
    <w:bookmarkEnd w:id="725"/>
    <w:bookmarkEnd w:id="726"/>
    <w:bookmarkEnd w:id="727"/>
    <w:p w14:paraId="58BFE6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对承包人索赔的处理如下：</w:t>
      </w:r>
    </w:p>
    <w:p w14:paraId="61B2E2A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（1）监理人应在收到索赔报告后14天内完成审查并报送发包人。监理人对索赔报告存在异议的，有权要求承包人提交全部原始记录副本；</w:t>
      </w:r>
    </w:p>
    <w:p w14:paraId="09A38CB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3CE63E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（3）承包人接受索赔处理结果的，索赔款项在当期进度款中进行支付；承包人不接受索赔处理结果的，按照第20条〔争议解决〕约定处理。</w:t>
      </w:r>
    </w:p>
    <w:p w14:paraId="75AFC7E3">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28" w:name="_Toc23985"/>
      <w:bookmarkStart w:id="729" w:name="_Toc351203623"/>
      <w:bookmarkStart w:id="730" w:name="_Toc296346644"/>
      <w:bookmarkStart w:id="731" w:name="_Toc337558838"/>
      <w:bookmarkStart w:id="732" w:name="_Toc296503143"/>
      <w:r>
        <w:rPr>
          <w:rFonts w:hint="eastAsia" w:asciiTheme="minorEastAsia" w:hAnsiTheme="minorEastAsia" w:eastAsiaTheme="minorEastAsia" w:cstheme="minorEastAsia"/>
          <w:b w:val="0"/>
          <w:color w:val="auto"/>
          <w:sz w:val="24"/>
          <w:szCs w:val="24"/>
          <w:highlight w:val="none"/>
        </w:rPr>
        <w:t>19.3发包人的索赔</w:t>
      </w:r>
      <w:bookmarkEnd w:id="728"/>
      <w:bookmarkEnd w:id="729"/>
    </w:p>
    <w:bookmarkEnd w:id="730"/>
    <w:bookmarkEnd w:id="731"/>
    <w:bookmarkEnd w:id="732"/>
    <w:p w14:paraId="0696C3E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根据合同约定，发包人认为有权得到赔付金额和（或）延长缺陷责任期的，监理人应向承包人发出通知并附有详细的证明。</w:t>
      </w:r>
    </w:p>
    <w:p w14:paraId="20915F7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7836A4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33" w:name="_Toc351203624"/>
      <w:bookmarkStart w:id="734" w:name="_Toc17210"/>
      <w:bookmarkStart w:id="735" w:name="_Toc337558839"/>
      <w:bookmarkStart w:id="736" w:name="_Toc296503144"/>
      <w:bookmarkStart w:id="737" w:name="_Toc296346645"/>
      <w:r>
        <w:rPr>
          <w:rFonts w:hint="eastAsia" w:asciiTheme="minorEastAsia" w:hAnsiTheme="minorEastAsia" w:eastAsiaTheme="minorEastAsia" w:cstheme="minorEastAsia"/>
          <w:b w:val="0"/>
          <w:color w:val="auto"/>
          <w:sz w:val="24"/>
          <w:szCs w:val="24"/>
          <w:highlight w:val="none"/>
        </w:rPr>
        <w:t>19.4 对发包人索赔的处理</w:t>
      </w:r>
      <w:bookmarkEnd w:id="733"/>
      <w:bookmarkEnd w:id="734"/>
    </w:p>
    <w:bookmarkEnd w:id="735"/>
    <w:bookmarkEnd w:id="736"/>
    <w:bookmarkEnd w:id="737"/>
    <w:p w14:paraId="07A833E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对发包人索赔的处理如下：</w:t>
      </w:r>
    </w:p>
    <w:p w14:paraId="5A34967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（1）承包人收到发包人提交的索赔报告后，应及时审查索赔报告的内容、查验发包人证明材料；</w:t>
      </w:r>
    </w:p>
    <w:p w14:paraId="50EB4F5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4D4952C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77E2FBCB">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38" w:name="_Toc351203625"/>
      <w:bookmarkStart w:id="739" w:name="_Toc3312"/>
      <w:r>
        <w:rPr>
          <w:rFonts w:hint="eastAsia" w:asciiTheme="minorEastAsia" w:hAnsiTheme="minorEastAsia" w:eastAsiaTheme="minorEastAsia" w:cstheme="minorEastAsia"/>
          <w:b w:val="0"/>
          <w:color w:val="auto"/>
          <w:sz w:val="24"/>
          <w:szCs w:val="24"/>
          <w:highlight w:val="none"/>
        </w:rPr>
        <w:t>19.5 提出索赔的期限</w:t>
      </w:r>
      <w:bookmarkEnd w:id="738"/>
      <w:bookmarkEnd w:id="739"/>
    </w:p>
    <w:p w14:paraId="2BC35B33">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（1）承包人按第14.2款〔竣工结算审核〕约定接收竣工付款证书后，应被视为已无权再提出在工程接收证书颁发前所发生的任何索赔。</w:t>
      </w:r>
    </w:p>
    <w:p w14:paraId="40613589">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（2）承包人按第14.4款〔最终结清〕提交的最终结清申请单中，只限于提出工程接收证书颁发后发生的索赔。提出索赔的期限自接受最终结清证书时终止。</w:t>
      </w:r>
    </w:p>
    <w:p w14:paraId="7929CCEE">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740" w:name="_Toc30990"/>
      <w:bookmarkStart w:id="741" w:name="_Toc351203626"/>
      <w:r>
        <w:rPr>
          <w:rFonts w:hint="eastAsia" w:asciiTheme="minorEastAsia" w:hAnsiTheme="minorEastAsia" w:eastAsiaTheme="minorEastAsia" w:cstheme="minorEastAsia"/>
          <w:b w:val="0"/>
          <w:color w:val="auto"/>
          <w:sz w:val="24"/>
          <w:szCs w:val="24"/>
          <w:highlight w:val="none"/>
        </w:rPr>
        <w:t>20</w:t>
      </w:r>
      <w:bookmarkStart w:id="742" w:name="_Toc296503146"/>
      <w:bookmarkStart w:id="743" w:name="_Toc337558840"/>
      <w:bookmarkStart w:id="744" w:name="_Toc296346647"/>
      <w:r>
        <w:rPr>
          <w:rFonts w:hint="eastAsia" w:asciiTheme="minorEastAsia" w:hAnsiTheme="minorEastAsia" w:eastAsiaTheme="minorEastAsia" w:cstheme="minorEastAsia"/>
          <w:b w:val="0"/>
          <w:color w:val="auto"/>
          <w:sz w:val="24"/>
          <w:szCs w:val="24"/>
          <w:highlight w:val="none"/>
        </w:rPr>
        <w:t>. 争议解决</w:t>
      </w:r>
      <w:bookmarkEnd w:id="740"/>
      <w:bookmarkEnd w:id="741"/>
    </w:p>
    <w:bookmarkEnd w:id="742"/>
    <w:bookmarkEnd w:id="743"/>
    <w:bookmarkEnd w:id="744"/>
    <w:p w14:paraId="0E75BED6">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45" w:name="_Toc351203627"/>
      <w:bookmarkStart w:id="746" w:name="_Toc28774"/>
      <w:bookmarkStart w:id="747" w:name="_Toc337558841"/>
      <w:bookmarkStart w:id="748" w:name="_Toc296346648"/>
      <w:bookmarkStart w:id="749" w:name="_Toc296503147"/>
      <w:r>
        <w:rPr>
          <w:rFonts w:hint="eastAsia" w:asciiTheme="minorEastAsia" w:hAnsiTheme="minorEastAsia" w:eastAsiaTheme="minorEastAsia" w:cstheme="minorEastAsia"/>
          <w:b w:val="0"/>
          <w:color w:val="auto"/>
          <w:sz w:val="24"/>
          <w:szCs w:val="24"/>
          <w:highlight w:val="none"/>
        </w:rPr>
        <w:t>20.1和解</w:t>
      </w:r>
      <w:bookmarkEnd w:id="745"/>
      <w:bookmarkEnd w:id="746"/>
    </w:p>
    <w:bookmarkEnd w:id="747"/>
    <w:bookmarkEnd w:id="748"/>
    <w:bookmarkEnd w:id="749"/>
    <w:p w14:paraId="5264179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合同当事人可以就争议自行和解，自行和解达成协议的经双方签字并盖章后作为合同补充文件，双方均应遵照执行。</w:t>
      </w:r>
    </w:p>
    <w:p w14:paraId="50F528E4">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50" w:name="_Toc20725"/>
      <w:bookmarkStart w:id="751" w:name="_Toc351203628"/>
      <w:r>
        <w:rPr>
          <w:rFonts w:hint="eastAsia" w:asciiTheme="minorEastAsia" w:hAnsiTheme="minorEastAsia" w:eastAsiaTheme="minorEastAsia" w:cstheme="minorEastAsia"/>
          <w:b w:val="0"/>
          <w:color w:val="auto"/>
          <w:sz w:val="24"/>
          <w:szCs w:val="24"/>
          <w:highlight w:val="none"/>
        </w:rPr>
        <w:t>20</w:t>
      </w:r>
      <w:bookmarkStart w:id="752" w:name="_Toc337558842"/>
      <w:bookmarkStart w:id="753" w:name="_Toc296346649"/>
      <w:bookmarkStart w:id="754" w:name="_Toc296503148"/>
      <w:r>
        <w:rPr>
          <w:rFonts w:hint="eastAsia" w:asciiTheme="minorEastAsia" w:hAnsiTheme="minorEastAsia" w:eastAsiaTheme="minorEastAsia" w:cstheme="minorEastAsia"/>
          <w:b w:val="0"/>
          <w:color w:val="auto"/>
          <w:sz w:val="24"/>
          <w:szCs w:val="24"/>
          <w:highlight w:val="none"/>
        </w:rPr>
        <w:t>.2调解</w:t>
      </w:r>
      <w:bookmarkEnd w:id="750"/>
      <w:bookmarkEnd w:id="751"/>
    </w:p>
    <w:bookmarkEnd w:id="752"/>
    <w:bookmarkEnd w:id="753"/>
    <w:bookmarkEnd w:id="754"/>
    <w:p w14:paraId="2AE0729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29F79BC6">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55" w:name="_Toc11889"/>
      <w:bookmarkStart w:id="756" w:name="_Toc351203629"/>
      <w:bookmarkStart w:id="757" w:name="_Toc337558843"/>
      <w:bookmarkStart w:id="758" w:name="_Toc296346650"/>
      <w:bookmarkStart w:id="759" w:name="_Toc296503149"/>
      <w:r>
        <w:rPr>
          <w:rFonts w:hint="eastAsia" w:asciiTheme="minorEastAsia" w:hAnsiTheme="minorEastAsia" w:eastAsiaTheme="minorEastAsia" w:cstheme="minorEastAsia"/>
          <w:b w:val="0"/>
          <w:color w:val="auto"/>
          <w:sz w:val="24"/>
          <w:szCs w:val="24"/>
          <w:highlight w:val="none"/>
        </w:rPr>
        <w:t>20.3争议评审</w:t>
      </w:r>
      <w:bookmarkEnd w:id="755"/>
      <w:bookmarkEnd w:id="756"/>
    </w:p>
    <w:bookmarkEnd w:id="757"/>
    <w:bookmarkEnd w:id="758"/>
    <w:bookmarkEnd w:id="759"/>
    <w:p w14:paraId="5B38D3B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合同当事人在专用合同条款中约定采取争议评审方式解决争议以及评审规则，并按下列约定执行： </w:t>
      </w:r>
    </w:p>
    <w:p w14:paraId="745B4CB7">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760" w:name="_Toc24501"/>
      <w:r>
        <w:rPr>
          <w:rFonts w:hint="eastAsia" w:asciiTheme="minorEastAsia" w:hAnsiTheme="minorEastAsia" w:eastAsiaTheme="minorEastAsia" w:cstheme="minorEastAsia"/>
          <w:color w:val="auto"/>
          <w:kern w:val="0"/>
          <w:sz w:val="24"/>
          <w:szCs w:val="24"/>
          <w:highlight w:val="none"/>
        </w:rPr>
        <w:t>20.3.1 争议评审小组的确定</w:t>
      </w:r>
      <w:bookmarkEnd w:id="760"/>
    </w:p>
    <w:p w14:paraId="427F16C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5C08F7B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B4B43D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除专用合同条款另有约定外，评审员报酬由发包人和承包人各承担一半。</w:t>
      </w:r>
    </w:p>
    <w:p w14:paraId="1FC49F4B">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761" w:name="_Toc22833"/>
      <w:r>
        <w:rPr>
          <w:rFonts w:hint="eastAsia" w:asciiTheme="minorEastAsia" w:hAnsiTheme="minorEastAsia" w:eastAsiaTheme="minorEastAsia" w:cstheme="minorEastAsia"/>
          <w:color w:val="auto"/>
          <w:kern w:val="0"/>
          <w:sz w:val="24"/>
          <w:szCs w:val="24"/>
          <w:highlight w:val="none"/>
        </w:rPr>
        <w:t>20.3.2 争议评审小组的决定</w:t>
      </w:r>
      <w:bookmarkEnd w:id="761"/>
    </w:p>
    <w:p w14:paraId="1EDCFF5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9BCF4F6">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762" w:name="_Toc17811"/>
      <w:r>
        <w:rPr>
          <w:rFonts w:hint="eastAsia" w:asciiTheme="minorEastAsia" w:hAnsiTheme="minorEastAsia" w:eastAsiaTheme="minorEastAsia" w:cstheme="minorEastAsia"/>
          <w:color w:val="auto"/>
          <w:kern w:val="0"/>
          <w:sz w:val="24"/>
          <w:szCs w:val="24"/>
          <w:highlight w:val="none"/>
        </w:rPr>
        <w:t>20.3.3 争议评审小组决定的效力</w:t>
      </w:r>
      <w:bookmarkEnd w:id="762"/>
    </w:p>
    <w:p w14:paraId="616AAB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争议评审小组作出的书面决定经合同当事人签字确认后，对双方具有约束力，双方应遵照执行。</w:t>
      </w:r>
    </w:p>
    <w:p w14:paraId="61D0874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任何一方当事人不接受争议评审小组决定或不履行争议评审小组决定的，双方可选择采用其他争议解决方式。</w:t>
      </w:r>
    </w:p>
    <w:p w14:paraId="14803D9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63" w:name="_Toc351203630"/>
      <w:bookmarkStart w:id="764" w:name="_Toc13274"/>
      <w:bookmarkStart w:id="765" w:name="_Toc296346651"/>
      <w:bookmarkStart w:id="766" w:name="_Toc296503150"/>
      <w:bookmarkStart w:id="767" w:name="_Toc337558844"/>
      <w:r>
        <w:rPr>
          <w:rFonts w:hint="eastAsia" w:asciiTheme="minorEastAsia" w:hAnsiTheme="minorEastAsia" w:eastAsiaTheme="minorEastAsia" w:cstheme="minorEastAsia"/>
          <w:b w:val="0"/>
          <w:color w:val="auto"/>
          <w:sz w:val="24"/>
          <w:szCs w:val="24"/>
          <w:highlight w:val="none"/>
        </w:rPr>
        <w:t>20.4仲裁或诉讼</w:t>
      </w:r>
      <w:bookmarkEnd w:id="763"/>
      <w:bookmarkEnd w:id="764"/>
    </w:p>
    <w:bookmarkEnd w:id="765"/>
    <w:bookmarkEnd w:id="766"/>
    <w:bookmarkEnd w:id="767"/>
    <w:p w14:paraId="28B3294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因合同及合同有关事项产生的争议，合同当事人可以在专用合同条款中约定以下一种方式解决争议：</w:t>
      </w:r>
    </w:p>
    <w:p w14:paraId="7F83FAE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（1）向约定的仲裁委员会申请仲裁；</w:t>
      </w:r>
    </w:p>
    <w:p w14:paraId="05DB6C4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（2）向有管辖权的人民法院起诉。</w:t>
      </w:r>
    </w:p>
    <w:p w14:paraId="0DF6FD1D">
      <w:pPr>
        <w:pStyle w:val="7"/>
        <w:spacing w:before="120" w:beforeLines="0" w:after="120" w:afterLines="0" w:line="360" w:lineRule="auto"/>
        <w:ind w:firstLine="480" w:firstLineChars="200"/>
        <w:outlineLvl w:val="1"/>
        <w:rPr>
          <w:rFonts w:hint="eastAsia" w:asciiTheme="minorEastAsia" w:hAnsiTheme="minorEastAsia" w:eastAsiaTheme="minorEastAsia" w:cstheme="minorEastAsia"/>
          <w:b w:val="0"/>
          <w:color w:val="auto"/>
          <w:sz w:val="24"/>
          <w:szCs w:val="24"/>
          <w:highlight w:val="none"/>
        </w:rPr>
      </w:pPr>
      <w:bookmarkStart w:id="768" w:name="_Toc351203631"/>
      <w:bookmarkStart w:id="769" w:name="_Toc21744"/>
      <w:bookmarkStart w:id="770" w:name="_Toc296503152"/>
      <w:bookmarkStart w:id="771" w:name="_Toc296346653"/>
      <w:bookmarkStart w:id="772" w:name="_Toc337558845"/>
      <w:r>
        <w:rPr>
          <w:rFonts w:hint="eastAsia" w:asciiTheme="minorEastAsia" w:hAnsiTheme="minorEastAsia" w:eastAsiaTheme="minorEastAsia" w:cstheme="minorEastAsia"/>
          <w:b w:val="0"/>
          <w:color w:val="auto"/>
          <w:sz w:val="24"/>
          <w:szCs w:val="24"/>
          <w:highlight w:val="none"/>
        </w:rPr>
        <w:t>20.5争议解决条款效力</w:t>
      </w:r>
      <w:bookmarkEnd w:id="768"/>
      <w:bookmarkEnd w:id="769"/>
    </w:p>
    <w:bookmarkEnd w:id="770"/>
    <w:bookmarkEnd w:id="771"/>
    <w:bookmarkEnd w:id="772"/>
    <w:p w14:paraId="78580F4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合同有关争议解决的条款独立存在，合同的变更、解除、终止、无效或者被撤销均不影响其效力。 </w:t>
      </w:r>
    </w:p>
    <w:p w14:paraId="6FA0A52D">
      <w:pPr>
        <w:pStyle w:val="5"/>
        <w:jc w:val="center"/>
        <w:outlineLvl w:val="0"/>
        <w:rPr>
          <w:rFonts w:hint="eastAsia" w:asciiTheme="minorEastAsia" w:hAnsiTheme="minorEastAsia" w:eastAsiaTheme="minorEastAsia" w:cstheme="minorEastAsia"/>
          <w:color w:val="auto"/>
          <w:sz w:val="24"/>
          <w:szCs w:val="24"/>
          <w:highlight w:val="none"/>
        </w:rPr>
      </w:pPr>
      <w:bookmarkStart w:id="773" w:name="_Toc351203632"/>
      <w:r>
        <w:rPr>
          <w:rFonts w:hint="eastAsia" w:asciiTheme="minorEastAsia" w:hAnsiTheme="minorEastAsia" w:eastAsiaTheme="minorEastAsia" w:cstheme="minorEastAsia"/>
          <w:color w:val="auto"/>
          <w:sz w:val="24"/>
          <w:szCs w:val="24"/>
          <w:highlight w:val="none"/>
        </w:rPr>
        <w:br w:type="page"/>
      </w:r>
      <w:bookmarkStart w:id="774" w:name="_Toc23384"/>
      <w:r>
        <w:rPr>
          <w:rFonts w:hint="eastAsia" w:asciiTheme="minorEastAsia" w:hAnsiTheme="minorEastAsia" w:eastAsiaTheme="minorEastAsia" w:cstheme="minorEastAsia"/>
          <w:color w:val="auto"/>
          <w:sz w:val="24"/>
          <w:szCs w:val="24"/>
          <w:highlight w:val="none"/>
        </w:rPr>
        <w:t>第三部分 专用合同条款</w:t>
      </w:r>
      <w:bookmarkEnd w:id="773"/>
      <w:bookmarkEnd w:id="774"/>
    </w:p>
    <w:p w14:paraId="049A081F">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775" w:name="_Toc351203633"/>
      <w:bookmarkStart w:id="776" w:name="_Toc17107"/>
      <w:r>
        <w:rPr>
          <w:rFonts w:hint="eastAsia" w:asciiTheme="minorEastAsia" w:hAnsiTheme="minorEastAsia" w:eastAsiaTheme="minorEastAsia" w:cstheme="minorEastAsia"/>
          <w:b w:val="0"/>
          <w:color w:val="auto"/>
          <w:sz w:val="24"/>
          <w:szCs w:val="24"/>
          <w:highlight w:val="none"/>
        </w:rPr>
        <w:t>1</w:t>
      </w:r>
      <w:bookmarkStart w:id="777" w:name="_Toc297120456"/>
      <w:bookmarkStart w:id="778" w:name="_Toc297048342"/>
      <w:bookmarkStart w:id="779" w:name="_Toc296944495"/>
      <w:bookmarkStart w:id="780" w:name="_Toc296503156"/>
      <w:bookmarkStart w:id="781" w:name="_Toc296890984"/>
      <w:bookmarkStart w:id="782" w:name="_Toc292559866"/>
      <w:bookmarkStart w:id="783" w:name="_Toc292559361"/>
      <w:bookmarkStart w:id="784" w:name="_Toc296347155"/>
      <w:bookmarkStart w:id="785" w:name="_Toc296891196"/>
      <w:bookmarkStart w:id="786" w:name="_Toc296346657"/>
      <w:r>
        <w:rPr>
          <w:rFonts w:hint="eastAsia" w:asciiTheme="minorEastAsia" w:hAnsiTheme="minorEastAsia" w:eastAsiaTheme="minorEastAsia" w:cstheme="minorEastAsia"/>
          <w:b w:val="0"/>
          <w:color w:val="auto"/>
          <w:sz w:val="24"/>
          <w:szCs w:val="24"/>
          <w:highlight w:val="none"/>
        </w:rPr>
        <w:t>. 一般约定</w:t>
      </w:r>
      <w:bookmarkEnd w:id="775"/>
      <w:bookmarkEnd w:id="776"/>
    </w:p>
    <w:bookmarkEnd w:id="777"/>
    <w:bookmarkEnd w:id="778"/>
    <w:bookmarkEnd w:id="779"/>
    <w:bookmarkEnd w:id="780"/>
    <w:bookmarkEnd w:id="781"/>
    <w:bookmarkEnd w:id="782"/>
    <w:bookmarkEnd w:id="783"/>
    <w:bookmarkEnd w:id="784"/>
    <w:bookmarkEnd w:id="785"/>
    <w:bookmarkEnd w:id="786"/>
    <w:p w14:paraId="6C57C038">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787" w:name="_Toc13631"/>
      <w:r>
        <w:rPr>
          <w:rFonts w:hint="eastAsia" w:asciiTheme="minorEastAsia" w:hAnsiTheme="minorEastAsia" w:eastAsiaTheme="minorEastAsia" w:cstheme="minorEastAsia"/>
          <w:color w:val="auto"/>
          <w:sz w:val="24"/>
          <w:szCs w:val="24"/>
          <w:highlight w:val="none"/>
        </w:rPr>
        <w:t>1.1 词语定义</w:t>
      </w:r>
      <w:bookmarkEnd w:id="787"/>
    </w:p>
    <w:p w14:paraId="35029CA6">
      <w:pPr>
        <w:spacing w:line="360" w:lineRule="auto"/>
        <w:ind w:firstLine="480" w:firstLineChars="200"/>
        <w:outlineLvl w:val="2"/>
        <w:rPr>
          <w:rFonts w:hint="eastAsia" w:asciiTheme="minorEastAsia" w:hAnsiTheme="minorEastAsia" w:eastAsiaTheme="minorEastAsia" w:cstheme="minorEastAsia"/>
          <w:color w:val="auto"/>
          <w:kern w:val="0"/>
          <w:sz w:val="24"/>
          <w:szCs w:val="24"/>
          <w:highlight w:val="none"/>
        </w:rPr>
      </w:pPr>
      <w:bookmarkStart w:id="788" w:name="_Toc22680"/>
      <w:r>
        <w:rPr>
          <w:rFonts w:hint="eastAsia" w:asciiTheme="minorEastAsia" w:hAnsiTheme="minorEastAsia" w:eastAsiaTheme="minorEastAsia" w:cstheme="minorEastAsia"/>
          <w:color w:val="auto"/>
          <w:kern w:val="0"/>
          <w:sz w:val="24"/>
          <w:szCs w:val="24"/>
          <w:highlight w:val="none"/>
        </w:rPr>
        <w:t>1.1.1合同</w:t>
      </w:r>
      <w:bookmarkEnd w:id="788"/>
    </w:p>
    <w:p w14:paraId="1CACB603">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1.1.1.10其他合同文件包括：</w:t>
      </w:r>
      <w:r>
        <w:rPr>
          <w:rFonts w:hint="eastAsia" w:asciiTheme="minorEastAsia" w:hAnsiTheme="minorEastAsia" w:eastAsiaTheme="minorEastAsia" w:cstheme="minorEastAsia"/>
          <w:color w:val="auto"/>
          <w:sz w:val="24"/>
          <w:szCs w:val="24"/>
          <w:highlight w:val="none"/>
          <w:u w:val="single"/>
        </w:rPr>
        <w:t xml:space="preserve">                      </w:t>
      </w:r>
    </w:p>
    <w:p w14:paraId="22B307F5">
      <w:pPr>
        <w:spacing w:line="360" w:lineRule="auto"/>
        <w:ind w:left="1650" w:hanging="1320" w:hangingChars="55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                               </w:t>
      </w:r>
    </w:p>
    <w:p w14:paraId="7A2824DA">
      <w:pPr>
        <w:spacing w:line="360" w:lineRule="auto"/>
        <w:ind w:left="1650" w:hanging="1320" w:hangingChars="5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4E4F89F">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789" w:name="_Toc24355"/>
      <w:r>
        <w:rPr>
          <w:rFonts w:hint="eastAsia" w:asciiTheme="minorEastAsia" w:hAnsiTheme="minorEastAsia" w:eastAsiaTheme="minorEastAsia" w:cstheme="minorEastAsia"/>
          <w:color w:val="auto"/>
          <w:sz w:val="24"/>
          <w:szCs w:val="24"/>
          <w:highlight w:val="none"/>
        </w:rPr>
        <w:t>1.1.2 合同当事人及其他相关方</w:t>
      </w:r>
      <w:bookmarkEnd w:id="789"/>
    </w:p>
    <w:p w14:paraId="50AF6EBE">
      <w:pPr>
        <w:spacing w:line="360" w:lineRule="auto"/>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1.1.2.4监理人：</w:t>
      </w:r>
    </w:p>
    <w:p w14:paraId="56A5E6A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14FD6E4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资质类别和等级：</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20BA335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56893C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57DC63E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C5702C9">
      <w:pPr>
        <w:spacing w:line="360" w:lineRule="auto"/>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 设计人：</w:t>
      </w:r>
    </w:p>
    <w:p w14:paraId="15106F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69E589A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资质类别和等级：</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3868E7C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57697FB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54E9178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596E5673">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790" w:name="_Toc6250"/>
      <w:r>
        <w:rPr>
          <w:rFonts w:hint="eastAsia" w:asciiTheme="minorEastAsia" w:hAnsiTheme="minorEastAsia" w:eastAsiaTheme="minorEastAsia" w:cstheme="minorEastAsia"/>
          <w:color w:val="auto"/>
          <w:sz w:val="24"/>
          <w:szCs w:val="24"/>
          <w:highlight w:val="none"/>
        </w:rPr>
        <w:t>1.1.3 工程和设备</w:t>
      </w:r>
      <w:bookmarkEnd w:id="790"/>
    </w:p>
    <w:p w14:paraId="6ACA093F">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1.1.3.7 作为施工现场组成部分的其他场所包括：</w:t>
      </w:r>
      <w:r>
        <w:rPr>
          <w:rFonts w:hint="eastAsia" w:asciiTheme="minorEastAsia" w:hAnsiTheme="minorEastAsia" w:eastAsiaTheme="minorEastAsia" w:cstheme="minorEastAsia"/>
          <w:color w:val="auto"/>
          <w:sz w:val="24"/>
          <w:szCs w:val="24"/>
          <w:highlight w:val="none"/>
          <w:u w:val="single"/>
        </w:rPr>
        <w:t xml:space="preserve">           </w:t>
      </w:r>
    </w:p>
    <w:p w14:paraId="6B2EA0F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6AAA2CA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1.1.3.9 永久占地包括：</w:t>
      </w: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kern w:val="0"/>
          <w:sz w:val="24"/>
          <w:szCs w:val="24"/>
          <w:highlight w:val="none"/>
        </w:rPr>
        <w:t>。</w:t>
      </w:r>
    </w:p>
    <w:p w14:paraId="3B7DC24F">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1.1.3.10 临时占地包括：</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kern w:val="0"/>
          <w:sz w:val="24"/>
          <w:szCs w:val="24"/>
          <w:highlight w:val="none"/>
        </w:rPr>
        <w:t>。</w:t>
      </w:r>
    </w:p>
    <w:p w14:paraId="46EF2FDB">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791" w:name="_Toc27086"/>
      <w:r>
        <w:rPr>
          <w:rFonts w:hint="eastAsia" w:asciiTheme="minorEastAsia" w:hAnsiTheme="minorEastAsia" w:eastAsiaTheme="minorEastAsia" w:cstheme="minorEastAsia"/>
          <w:color w:val="auto"/>
          <w:sz w:val="24"/>
          <w:szCs w:val="24"/>
          <w:highlight w:val="none"/>
        </w:rPr>
        <w:t>1.3法律</w:t>
      </w:r>
      <w:bookmarkEnd w:id="791"/>
      <w:r>
        <w:rPr>
          <w:rFonts w:hint="eastAsia" w:asciiTheme="minorEastAsia" w:hAnsiTheme="minorEastAsia" w:eastAsiaTheme="minorEastAsia" w:cstheme="minorEastAsia"/>
          <w:color w:val="auto"/>
          <w:sz w:val="24"/>
          <w:szCs w:val="24"/>
          <w:highlight w:val="none"/>
        </w:rPr>
        <w:t xml:space="preserve"> </w:t>
      </w:r>
    </w:p>
    <w:p w14:paraId="54D5620E">
      <w:pPr>
        <w:autoSpaceDE w:val="0"/>
        <w:autoSpaceDN w:val="0"/>
        <w:adjustRightInd w:val="0"/>
        <w:spacing w:line="360" w:lineRule="auto"/>
        <w:ind w:left="682" w:leftChars="284"/>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适用于合同的其他规范性文件：</w:t>
      </w:r>
      <w:r>
        <w:rPr>
          <w:rFonts w:hint="eastAsia" w:asciiTheme="minorEastAsia" w:hAnsiTheme="minorEastAsia" w:eastAsiaTheme="minorEastAsia" w:cstheme="minorEastAsia"/>
          <w:color w:val="auto"/>
          <w:sz w:val="24"/>
          <w:szCs w:val="24"/>
          <w:highlight w:val="none"/>
          <w:u w:val="single"/>
        </w:rPr>
        <w:t xml:space="preserve">     </w:t>
      </w:r>
    </w:p>
    <w:p w14:paraId="064DA5CD">
      <w:pPr>
        <w:autoSpaceDE w:val="0"/>
        <w:autoSpaceDN w:val="0"/>
        <w:adjustRightIn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3628E90">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792" w:name="_Toc4652"/>
      <w:r>
        <w:rPr>
          <w:rFonts w:hint="eastAsia" w:asciiTheme="minorEastAsia" w:hAnsiTheme="minorEastAsia" w:eastAsiaTheme="minorEastAsia" w:cstheme="minorEastAsia"/>
          <w:color w:val="auto"/>
          <w:sz w:val="24"/>
          <w:szCs w:val="24"/>
          <w:highlight w:val="none"/>
        </w:rPr>
        <w:t>1.4 标准和规范</w:t>
      </w:r>
      <w:bookmarkEnd w:id="792"/>
    </w:p>
    <w:p w14:paraId="467BC11A">
      <w:pPr>
        <w:spacing w:line="360" w:lineRule="auto"/>
        <w:ind w:left="682" w:leftChars="284"/>
        <w:outlineLvl w:val="2"/>
        <w:rPr>
          <w:rFonts w:hint="eastAsia" w:asciiTheme="minorEastAsia" w:hAnsiTheme="minorEastAsia" w:eastAsiaTheme="minorEastAsia" w:cstheme="minorEastAsia"/>
          <w:color w:val="auto"/>
          <w:sz w:val="24"/>
          <w:szCs w:val="24"/>
          <w:highlight w:val="none"/>
        </w:rPr>
      </w:pPr>
      <w:bookmarkStart w:id="793" w:name="_Toc18147"/>
      <w:r>
        <w:rPr>
          <w:rFonts w:hint="eastAsia" w:asciiTheme="minorEastAsia" w:hAnsiTheme="minorEastAsia" w:eastAsiaTheme="minorEastAsia" w:cstheme="minorEastAsia"/>
          <w:color w:val="auto"/>
          <w:sz w:val="24"/>
          <w:szCs w:val="24"/>
          <w:highlight w:val="none"/>
        </w:rPr>
        <w:t>1.4.1适用于工程的标准规范包括：</w:t>
      </w:r>
      <w:r>
        <w:rPr>
          <w:rFonts w:hint="eastAsia" w:asciiTheme="minorEastAsia" w:hAnsiTheme="minorEastAsia" w:eastAsiaTheme="minorEastAsia" w:cstheme="minorEastAsia"/>
          <w:color w:val="auto"/>
          <w:sz w:val="24"/>
          <w:szCs w:val="24"/>
          <w:highlight w:val="none"/>
          <w:u w:val="single"/>
        </w:rPr>
        <w:t>          </w:t>
      </w:r>
      <w:bookmarkEnd w:id="793"/>
      <w:r>
        <w:rPr>
          <w:rFonts w:hint="eastAsia" w:asciiTheme="minorEastAsia" w:hAnsiTheme="minorEastAsia" w:eastAsiaTheme="minorEastAsia" w:cstheme="minorEastAsia"/>
          <w:color w:val="auto"/>
          <w:sz w:val="24"/>
          <w:szCs w:val="24"/>
          <w:highlight w:val="none"/>
        </w:rPr>
        <w:t xml:space="preserve"> </w:t>
      </w:r>
    </w:p>
    <w:p w14:paraId="5D6E0D4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311A8C02">
      <w:pPr>
        <w:spacing w:line="360" w:lineRule="auto"/>
        <w:ind w:firstLine="480" w:firstLineChars="200"/>
        <w:outlineLvl w:val="2"/>
        <w:rPr>
          <w:rFonts w:hint="eastAsia" w:asciiTheme="minorEastAsia" w:hAnsiTheme="minorEastAsia" w:eastAsiaTheme="minorEastAsia" w:cstheme="minorEastAsia"/>
          <w:color w:val="auto"/>
          <w:kern w:val="0"/>
          <w:sz w:val="24"/>
          <w:szCs w:val="24"/>
          <w:highlight w:val="none"/>
          <w:u w:val="single"/>
        </w:rPr>
      </w:pPr>
      <w:bookmarkStart w:id="794" w:name="_Toc21752"/>
      <w:r>
        <w:rPr>
          <w:rFonts w:hint="eastAsia" w:asciiTheme="minorEastAsia" w:hAnsiTheme="minorEastAsia" w:eastAsiaTheme="minorEastAsia" w:cstheme="minorEastAsia"/>
          <w:color w:val="auto"/>
          <w:kern w:val="0"/>
          <w:sz w:val="24"/>
          <w:szCs w:val="24"/>
          <w:highlight w:val="none"/>
        </w:rPr>
        <w:t>1.4.2 发包人提供国外标准、规范的名称：</w:t>
      </w:r>
      <w:bookmarkEnd w:id="794"/>
      <w:r>
        <w:rPr>
          <w:rFonts w:hint="eastAsia" w:asciiTheme="minorEastAsia" w:hAnsiTheme="minorEastAsia" w:eastAsiaTheme="minorEastAsia" w:cstheme="minorEastAsia"/>
          <w:color w:val="auto"/>
          <w:kern w:val="0"/>
          <w:sz w:val="24"/>
          <w:szCs w:val="24"/>
          <w:highlight w:val="none"/>
          <w:u w:val="single"/>
        </w:rPr>
        <w:t xml:space="preserve">                 </w:t>
      </w:r>
    </w:p>
    <w:p w14:paraId="66528D6C">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497FF1B6">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发包人提供国外标准、规范的份数：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44EF905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发包人提供国外标准、规范的名称：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354351F7">
      <w:pPr>
        <w:spacing w:line="360" w:lineRule="auto"/>
        <w:ind w:left="682" w:leftChars="284"/>
        <w:outlineLvl w:val="2"/>
        <w:rPr>
          <w:rFonts w:hint="eastAsia" w:asciiTheme="minorEastAsia" w:hAnsiTheme="minorEastAsia" w:eastAsiaTheme="minorEastAsia" w:cstheme="minorEastAsia"/>
          <w:color w:val="auto"/>
          <w:sz w:val="24"/>
          <w:szCs w:val="24"/>
          <w:highlight w:val="none"/>
        </w:rPr>
      </w:pPr>
      <w:bookmarkStart w:id="795" w:name="_Toc17657"/>
      <w:r>
        <w:rPr>
          <w:rFonts w:hint="eastAsia" w:asciiTheme="minorEastAsia" w:hAnsiTheme="minorEastAsia" w:eastAsiaTheme="minorEastAsia" w:cstheme="minorEastAsia"/>
          <w:color w:val="auto"/>
          <w:sz w:val="24"/>
          <w:szCs w:val="24"/>
          <w:highlight w:val="none"/>
        </w:rPr>
        <w:t>1.4.3发包人对工程的技术标准和功能要求的特殊要求：</w:t>
      </w:r>
      <w:bookmarkEnd w:id="795"/>
    </w:p>
    <w:p w14:paraId="42418CC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sz w:val="24"/>
          <w:szCs w:val="24"/>
          <w:highlight w:val="none"/>
        </w:rPr>
        <w:t>。</w:t>
      </w:r>
    </w:p>
    <w:p w14:paraId="1895EB7C">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796" w:name="_Toc2408"/>
      <w:r>
        <w:rPr>
          <w:rFonts w:hint="eastAsia" w:asciiTheme="minorEastAsia" w:hAnsiTheme="minorEastAsia" w:eastAsiaTheme="minorEastAsia" w:cstheme="minorEastAsia"/>
          <w:color w:val="auto"/>
          <w:sz w:val="24"/>
          <w:szCs w:val="24"/>
          <w:highlight w:val="none"/>
        </w:rPr>
        <w:t>1.5 合同文件的优先顺序</w:t>
      </w:r>
      <w:bookmarkEnd w:id="796"/>
    </w:p>
    <w:p w14:paraId="3A9E175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合同文件组成及优先顺序为：</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                                                 </w:t>
      </w:r>
      <w:r>
        <w:rPr>
          <w:rFonts w:hint="eastAsia" w:asciiTheme="minorEastAsia" w:hAnsiTheme="minorEastAsia" w:eastAsiaTheme="minorEastAsia" w:cstheme="minorEastAsia"/>
          <w:color w:val="auto"/>
          <w:sz w:val="24"/>
          <w:szCs w:val="24"/>
          <w:highlight w:val="none"/>
        </w:rPr>
        <w:t>。</w:t>
      </w:r>
    </w:p>
    <w:p w14:paraId="238D183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797" w:name="_Toc5427"/>
      <w:r>
        <w:rPr>
          <w:rFonts w:hint="eastAsia" w:asciiTheme="minorEastAsia" w:hAnsiTheme="minorEastAsia" w:eastAsiaTheme="minorEastAsia" w:cstheme="minorEastAsia"/>
          <w:color w:val="auto"/>
          <w:sz w:val="24"/>
          <w:szCs w:val="24"/>
          <w:highlight w:val="none"/>
        </w:rPr>
        <w:t>1.6 图纸和承包人文件</w:t>
      </w:r>
      <w:bookmarkEnd w:id="797"/>
      <w:r>
        <w:rPr>
          <w:rFonts w:hint="eastAsia" w:asciiTheme="minorEastAsia" w:hAnsiTheme="minorEastAsia" w:eastAsiaTheme="minorEastAsia" w:cstheme="minorEastAsia"/>
          <w:color w:val="auto"/>
          <w:sz w:val="24"/>
          <w:szCs w:val="24"/>
          <w:highlight w:val="none"/>
        </w:rPr>
        <w:tab/>
      </w:r>
    </w:p>
    <w:p w14:paraId="1A3C6D21">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798" w:name="_Toc25403"/>
      <w:r>
        <w:rPr>
          <w:rFonts w:hint="eastAsia" w:asciiTheme="minorEastAsia" w:hAnsiTheme="minorEastAsia" w:eastAsiaTheme="minorEastAsia" w:cstheme="minorEastAsia"/>
          <w:color w:val="auto"/>
          <w:sz w:val="24"/>
          <w:szCs w:val="24"/>
          <w:highlight w:val="none"/>
        </w:rPr>
        <w:t>1.6.1 图纸的提供</w:t>
      </w:r>
      <w:bookmarkEnd w:id="798"/>
    </w:p>
    <w:p w14:paraId="6891E99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发包人向承包人提供图纸的期限：</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484C96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发包人向承包人提供图纸的数量：</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A8612C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发包人向承包人提供图纸的内容：</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6062DEF4">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799" w:name="_Toc28376"/>
      <w:r>
        <w:rPr>
          <w:rFonts w:hint="eastAsia" w:asciiTheme="minorEastAsia" w:hAnsiTheme="minorEastAsia" w:eastAsiaTheme="minorEastAsia" w:cstheme="minorEastAsia"/>
          <w:color w:val="auto"/>
          <w:sz w:val="24"/>
          <w:szCs w:val="24"/>
          <w:highlight w:val="none"/>
        </w:rPr>
        <w:t>1.6.4 承包人文件</w:t>
      </w:r>
      <w:bookmarkEnd w:id="799"/>
    </w:p>
    <w:p w14:paraId="5B235FBD">
      <w:pPr>
        <w:spacing w:line="360" w:lineRule="auto"/>
        <w:ind w:left="682" w:leftChars="284"/>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需要由承包人提供的文件，包括：</w:t>
      </w:r>
      <w:r>
        <w:rPr>
          <w:rFonts w:hint="eastAsia" w:asciiTheme="minorEastAsia" w:hAnsiTheme="minorEastAsia" w:eastAsiaTheme="minorEastAsia" w:cstheme="minorEastAsia"/>
          <w:color w:val="auto"/>
          <w:sz w:val="24"/>
          <w:szCs w:val="24"/>
          <w:highlight w:val="none"/>
          <w:u w:val="single"/>
        </w:rPr>
        <w:t>          </w:t>
      </w:r>
    </w:p>
    <w:p w14:paraId="534CAB39">
      <w:pPr>
        <w:spacing w:line="360" w:lineRule="auto"/>
        <w:ind w:left="682" w:leftChars="284"/>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50B7C1E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承包人提供的文件的期限为：</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0793662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承包人提供的文件的数量为：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15C1B67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承包人提供的文件的形式为：</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7757D40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发包人审批承包人文件的期限：</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57BC3FA9">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800" w:name="_Toc19737"/>
      <w:r>
        <w:rPr>
          <w:rFonts w:hint="eastAsia" w:asciiTheme="minorEastAsia" w:hAnsiTheme="minorEastAsia" w:eastAsiaTheme="minorEastAsia" w:cstheme="minorEastAsia"/>
          <w:color w:val="auto"/>
          <w:sz w:val="24"/>
          <w:szCs w:val="24"/>
          <w:highlight w:val="none"/>
        </w:rPr>
        <w:t>1.6.5 现场图纸准备</w:t>
      </w:r>
      <w:bookmarkEnd w:id="800"/>
    </w:p>
    <w:p w14:paraId="75ABF7A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关于现场图纸准备的约定：</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33C0CFA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01" w:name="_Toc18558"/>
      <w:r>
        <w:rPr>
          <w:rFonts w:hint="eastAsia" w:asciiTheme="minorEastAsia" w:hAnsiTheme="minorEastAsia" w:eastAsiaTheme="minorEastAsia" w:cstheme="minorEastAsia"/>
          <w:color w:val="auto"/>
          <w:sz w:val="24"/>
          <w:szCs w:val="24"/>
          <w:highlight w:val="none"/>
        </w:rPr>
        <w:t>1.7 联络</w:t>
      </w:r>
      <w:bookmarkEnd w:id="801"/>
    </w:p>
    <w:p w14:paraId="2CDC2A7B">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1.7.1发包人和承包人应当在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天内将与合同有关的通知、批准、证明、证书、指示、指令、要求、请求、同意、意见、确定和决定等书面函件送达对方当事人。</w:t>
      </w:r>
    </w:p>
    <w:p w14:paraId="24C115C0">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1.7.2 发包人接收文件的地点：</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60F38475">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发包人指定的接收人为：</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kern w:val="0"/>
          <w:sz w:val="24"/>
          <w:szCs w:val="24"/>
          <w:highlight w:val="none"/>
        </w:rPr>
        <w:t>。</w:t>
      </w:r>
    </w:p>
    <w:p w14:paraId="6968C43E">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承包人接收文件的地点：</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kern w:val="0"/>
          <w:sz w:val="24"/>
          <w:szCs w:val="24"/>
          <w:highlight w:val="none"/>
        </w:rPr>
        <w:t>；</w:t>
      </w:r>
    </w:p>
    <w:p w14:paraId="2ACF8CC1">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承包人指定的接收人为：</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kern w:val="0"/>
          <w:sz w:val="24"/>
          <w:szCs w:val="24"/>
          <w:highlight w:val="none"/>
        </w:rPr>
        <w:t>。</w:t>
      </w:r>
    </w:p>
    <w:p w14:paraId="1765AA4A">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监理人接收文件的地点：</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00AA737D">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监理人指定的接收人为：</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59866975">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02" w:name="_Toc1922"/>
      <w:r>
        <w:rPr>
          <w:rFonts w:hint="eastAsia" w:asciiTheme="minorEastAsia" w:hAnsiTheme="minorEastAsia" w:eastAsiaTheme="minorEastAsia" w:cstheme="minorEastAsia"/>
          <w:color w:val="auto"/>
          <w:sz w:val="24"/>
          <w:szCs w:val="24"/>
          <w:highlight w:val="none"/>
        </w:rPr>
        <w:t>1.10 交通运输</w:t>
      </w:r>
      <w:bookmarkEnd w:id="802"/>
    </w:p>
    <w:p w14:paraId="44D97338">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803" w:name="_Toc7112"/>
      <w:r>
        <w:rPr>
          <w:rFonts w:hint="eastAsia" w:asciiTheme="minorEastAsia" w:hAnsiTheme="minorEastAsia" w:eastAsiaTheme="minorEastAsia" w:cstheme="minorEastAsia"/>
          <w:color w:val="auto"/>
          <w:sz w:val="24"/>
          <w:szCs w:val="24"/>
          <w:highlight w:val="none"/>
        </w:rPr>
        <w:t>1</w:t>
      </w:r>
      <w:bookmarkStart w:id="804" w:name="_Toc300934943"/>
      <w:bookmarkStart w:id="805" w:name="_Toc312677986"/>
      <w:bookmarkStart w:id="806" w:name="_Toc304295521"/>
      <w:bookmarkStart w:id="807" w:name="_Toc318581155"/>
      <w:bookmarkStart w:id="808" w:name="_Toc303539100"/>
      <w:r>
        <w:rPr>
          <w:rFonts w:hint="eastAsia" w:asciiTheme="minorEastAsia" w:hAnsiTheme="minorEastAsia" w:eastAsiaTheme="minorEastAsia" w:cstheme="minorEastAsia"/>
          <w:color w:val="auto"/>
          <w:sz w:val="24"/>
          <w:szCs w:val="24"/>
          <w:highlight w:val="none"/>
        </w:rPr>
        <w:t>.10.1 出入现场的权利</w:t>
      </w:r>
      <w:bookmarkEnd w:id="803"/>
    </w:p>
    <w:p w14:paraId="3A3769F5">
      <w:pPr>
        <w:spacing w:line="360" w:lineRule="auto"/>
        <w:ind w:left="682" w:leftChars="284"/>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关于出入现场的权利的约定：</w:t>
      </w:r>
      <w:r>
        <w:rPr>
          <w:rFonts w:hint="eastAsia" w:asciiTheme="minorEastAsia" w:hAnsiTheme="minorEastAsia" w:eastAsiaTheme="minorEastAsia" w:cstheme="minorEastAsia"/>
          <w:color w:val="auto"/>
          <w:sz w:val="24"/>
          <w:szCs w:val="24"/>
          <w:highlight w:val="none"/>
          <w:u w:val="single"/>
        </w:rPr>
        <w:t>  </w:t>
      </w:r>
    </w:p>
    <w:p w14:paraId="0A2B76C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                            </w:t>
      </w:r>
      <w:r>
        <w:rPr>
          <w:rFonts w:hint="eastAsia" w:asciiTheme="minorEastAsia" w:hAnsiTheme="minorEastAsia" w:eastAsiaTheme="minorEastAsia" w:cstheme="minorEastAsia"/>
          <w:color w:val="auto"/>
          <w:sz w:val="24"/>
          <w:szCs w:val="24"/>
          <w:highlight w:val="none"/>
        </w:rPr>
        <w:t>。</w:t>
      </w:r>
    </w:p>
    <w:bookmarkEnd w:id="804"/>
    <w:bookmarkEnd w:id="805"/>
    <w:bookmarkEnd w:id="806"/>
    <w:bookmarkEnd w:id="807"/>
    <w:bookmarkEnd w:id="808"/>
    <w:p w14:paraId="3D06A667">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809" w:name="_Toc31791"/>
      <w:r>
        <w:rPr>
          <w:rFonts w:hint="eastAsia" w:asciiTheme="minorEastAsia" w:hAnsiTheme="minorEastAsia" w:eastAsiaTheme="minorEastAsia" w:cstheme="minorEastAsia"/>
          <w:color w:val="auto"/>
          <w:sz w:val="24"/>
          <w:szCs w:val="24"/>
          <w:highlight w:val="none"/>
        </w:rPr>
        <w:t>1</w:t>
      </w:r>
      <w:bookmarkStart w:id="810" w:name="_Toc303539101"/>
      <w:bookmarkStart w:id="811" w:name="_Toc304295522"/>
      <w:bookmarkStart w:id="812" w:name="_Toc318581156"/>
      <w:bookmarkStart w:id="813" w:name="_Toc312677987"/>
      <w:bookmarkStart w:id="814" w:name="_Toc300934944"/>
      <w:r>
        <w:rPr>
          <w:rFonts w:hint="eastAsia" w:asciiTheme="minorEastAsia" w:hAnsiTheme="minorEastAsia" w:eastAsiaTheme="minorEastAsia" w:cstheme="minorEastAsia"/>
          <w:color w:val="auto"/>
          <w:sz w:val="24"/>
          <w:szCs w:val="24"/>
          <w:highlight w:val="none"/>
        </w:rPr>
        <w:t>.10.3 场内交通</w:t>
      </w:r>
      <w:bookmarkEnd w:id="809"/>
    </w:p>
    <w:p w14:paraId="0494C61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关于场外交通和场内交通的边界的约定：</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098C1DAB">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sz w:val="24"/>
          <w:szCs w:val="24"/>
          <w:highlight w:val="none"/>
          <w:u w:val="single"/>
        </w:rPr>
        <w:t>                                        </w:t>
      </w:r>
      <w:r>
        <w:rPr>
          <w:rFonts w:hint="eastAsia" w:asciiTheme="minorEastAsia" w:hAnsiTheme="minorEastAsia" w:eastAsiaTheme="minorEastAsia" w:cstheme="minorEastAsia"/>
          <w:color w:val="auto"/>
          <w:sz w:val="24"/>
          <w:szCs w:val="24"/>
          <w:highlight w:val="none"/>
        </w:rPr>
        <w:t>。</w:t>
      </w:r>
      <w:bookmarkEnd w:id="810"/>
      <w:bookmarkEnd w:id="811"/>
      <w:bookmarkEnd w:id="812"/>
      <w:bookmarkEnd w:id="813"/>
      <w:bookmarkEnd w:id="814"/>
      <w:r>
        <w:rPr>
          <w:rFonts w:hint="eastAsia" w:asciiTheme="minorEastAsia" w:hAnsiTheme="minorEastAsia" w:eastAsiaTheme="minorEastAsia" w:cstheme="minorEastAsia"/>
          <w:color w:val="auto"/>
          <w:sz w:val="24"/>
          <w:szCs w:val="24"/>
          <w:highlight w:val="none"/>
        </w:rPr>
        <w:t xml:space="preserve">  </w:t>
      </w:r>
      <w:bookmarkStart w:id="815" w:name="_Toc318581157"/>
    </w:p>
    <w:p w14:paraId="054E67C7">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816" w:name="_Toc4034"/>
      <w:r>
        <w:rPr>
          <w:rFonts w:hint="eastAsia" w:asciiTheme="minorEastAsia" w:hAnsiTheme="minorEastAsia" w:eastAsiaTheme="minorEastAsia" w:cstheme="minorEastAsia"/>
          <w:color w:val="auto"/>
          <w:sz w:val="24"/>
          <w:szCs w:val="24"/>
          <w:highlight w:val="none"/>
        </w:rPr>
        <w:t>1.10.4超大件和超重件的运输</w:t>
      </w:r>
      <w:bookmarkEnd w:id="816"/>
    </w:p>
    <w:p w14:paraId="0AD6F7BA">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运输超大件或超重件所需的道路和桥梁临时加固改造费用和其他有关费用由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承担。</w:t>
      </w:r>
    </w:p>
    <w:bookmarkEnd w:id="815"/>
    <w:p w14:paraId="4BAFD619">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17" w:name="_Toc20837"/>
      <w:r>
        <w:rPr>
          <w:rFonts w:hint="eastAsia" w:asciiTheme="minorEastAsia" w:hAnsiTheme="minorEastAsia" w:eastAsiaTheme="minorEastAsia" w:cstheme="minorEastAsia"/>
          <w:color w:val="auto"/>
          <w:sz w:val="24"/>
          <w:szCs w:val="24"/>
          <w:highlight w:val="none"/>
        </w:rPr>
        <w:t>1.11 知识产权</w:t>
      </w:r>
      <w:bookmarkEnd w:id="817"/>
    </w:p>
    <w:p w14:paraId="460FA118">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sz w:val="24"/>
          <w:szCs w:val="24"/>
          <w:highlight w:val="none"/>
          <w:u w:val="single"/>
        </w:rPr>
        <w:t>                     </w:t>
      </w:r>
    </w:p>
    <w:p w14:paraId="1C77111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sz w:val="24"/>
          <w:szCs w:val="24"/>
          <w:highlight w:val="none"/>
        </w:rPr>
        <w:t>。</w:t>
      </w:r>
    </w:p>
    <w:p w14:paraId="37B81CF6">
      <w:pPr>
        <w:spacing w:line="360" w:lineRule="auto"/>
        <w:ind w:left="682" w:leftChars="28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关于发包人提供的上述文件的使用限制的要求：</w:t>
      </w:r>
      <w:r>
        <w:rPr>
          <w:rFonts w:hint="eastAsia" w:asciiTheme="minorEastAsia" w:hAnsiTheme="minorEastAsia" w:eastAsiaTheme="minorEastAsia" w:cstheme="minorEastAsia"/>
          <w:color w:val="auto"/>
          <w:sz w:val="24"/>
          <w:szCs w:val="24"/>
          <w:highlight w:val="none"/>
          <w:u w:val="single"/>
        </w:rPr>
        <w:t xml:space="preserve">             </w:t>
      </w:r>
    </w:p>
    <w:p w14:paraId="4D9077C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15EE798">
      <w:pPr>
        <w:spacing w:line="360" w:lineRule="auto"/>
        <w:ind w:left="682" w:leftChars="284"/>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 关于承包人为实施工程所编制文件的著作权的归属：</w:t>
      </w:r>
      <w:r>
        <w:rPr>
          <w:rFonts w:hint="eastAsia" w:asciiTheme="minorEastAsia" w:hAnsiTheme="minorEastAsia" w:eastAsiaTheme="minorEastAsia" w:cstheme="minorEastAsia"/>
          <w:color w:val="auto"/>
          <w:sz w:val="24"/>
          <w:szCs w:val="24"/>
          <w:highlight w:val="none"/>
          <w:u w:val="single"/>
        </w:rPr>
        <w:t xml:space="preserve">    </w:t>
      </w:r>
    </w:p>
    <w:p w14:paraId="064D472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1C7FE830">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关于承包人提供的上述文件的使用限制的要求：</w:t>
      </w:r>
      <w:r>
        <w:rPr>
          <w:rFonts w:hint="eastAsia" w:asciiTheme="minorEastAsia" w:hAnsiTheme="minorEastAsia" w:eastAsiaTheme="minorEastAsia" w:cstheme="minorEastAsia"/>
          <w:color w:val="auto"/>
          <w:sz w:val="24"/>
          <w:szCs w:val="24"/>
          <w:highlight w:val="none"/>
          <w:u w:val="single"/>
        </w:rPr>
        <w:t>   </w:t>
      </w:r>
    </w:p>
    <w:p w14:paraId="2BCDD41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sz w:val="24"/>
          <w:szCs w:val="24"/>
          <w:highlight w:val="none"/>
        </w:rPr>
        <w:t>。</w:t>
      </w:r>
    </w:p>
    <w:p w14:paraId="6CB97C2E">
      <w:pPr>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kern w:val="0"/>
          <w:sz w:val="24"/>
          <w:szCs w:val="24"/>
          <w:highlight w:val="none"/>
        </w:rPr>
        <w:t>。</w:t>
      </w:r>
    </w:p>
    <w:p w14:paraId="64F0C0CF">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18" w:name="_Toc1881"/>
      <w:r>
        <w:rPr>
          <w:rFonts w:hint="eastAsia" w:asciiTheme="minorEastAsia" w:hAnsiTheme="minorEastAsia" w:eastAsiaTheme="minorEastAsia" w:cstheme="minorEastAsia"/>
          <w:color w:val="auto"/>
          <w:sz w:val="24"/>
          <w:szCs w:val="24"/>
          <w:highlight w:val="none"/>
        </w:rPr>
        <w:t>1.13工程量清单错误的修正</w:t>
      </w:r>
      <w:bookmarkEnd w:id="818"/>
    </w:p>
    <w:p w14:paraId="5774C9C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出现工程量清单错误时，是否调整合同价格：</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kern w:val="0"/>
          <w:sz w:val="24"/>
          <w:szCs w:val="24"/>
          <w:highlight w:val="none"/>
        </w:rPr>
        <w:t>。</w:t>
      </w:r>
    </w:p>
    <w:p w14:paraId="0F034D3B">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允许调整合同价格的工程量偏差范围：</w:t>
      </w:r>
      <w:r>
        <w:rPr>
          <w:rFonts w:hint="eastAsia" w:asciiTheme="minorEastAsia" w:hAnsiTheme="minorEastAsia" w:eastAsiaTheme="minorEastAsia" w:cstheme="minorEastAsia"/>
          <w:color w:val="auto"/>
          <w:sz w:val="24"/>
          <w:szCs w:val="24"/>
          <w:highlight w:val="none"/>
          <w:u w:val="single"/>
        </w:rPr>
        <w:t xml:space="preserve">                  </w:t>
      </w:r>
    </w:p>
    <w:p w14:paraId="60B5B96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kern w:val="0"/>
          <w:sz w:val="24"/>
          <w:szCs w:val="24"/>
          <w:highlight w:val="none"/>
        </w:rPr>
        <w:t>。</w:t>
      </w:r>
    </w:p>
    <w:p w14:paraId="2BAB7E6C">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819" w:name="_Toc25876"/>
      <w:bookmarkStart w:id="820" w:name="_Toc351203634"/>
      <w:r>
        <w:rPr>
          <w:rFonts w:hint="eastAsia" w:asciiTheme="minorEastAsia" w:hAnsiTheme="minorEastAsia" w:eastAsiaTheme="minorEastAsia" w:cstheme="minorEastAsia"/>
          <w:b w:val="0"/>
          <w:color w:val="auto"/>
          <w:sz w:val="24"/>
          <w:szCs w:val="24"/>
          <w:highlight w:val="none"/>
        </w:rPr>
        <w:t>2</w:t>
      </w:r>
      <w:bookmarkStart w:id="821" w:name="_Toc297120457"/>
      <w:bookmarkStart w:id="822" w:name="_Toc292559867"/>
      <w:bookmarkStart w:id="823" w:name="_Toc292559362"/>
      <w:bookmarkStart w:id="824" w:name="_Toc297048343"/>
      <w:bookmarkStart w:id="825" w:name="_Toc296944496"/>
      <w:bookmarkStart w:id="826" w:name="_Toc296347156"/>
      <w:bookmarkStart w:id="827" w:name="_Toc296890985"/>
      <w:bookmarkStart w:id="828" w:name="_Toc296346658"/>
      <w:bookmarkStart w:id="829" w:name="_Toc296891197"/>
      <w:bookmarkStart w:id="830" w:name="_Toc296503157"/>
      <w:r>
        <w:rPr>
          <w:rFonts w:hint="eastAsia" w:asciiTheme="minorEastAsia" w:hAnsiTheme="minorEastAsia" w:eastAsiaTheme="minorEastAsia" w:cstheme="minorEastAsia"/>
          <w:b w:val="0"/>
          <w:color w:val="auto"/>
          <w:sz w:val="24"/>
          <w:szCs w:val="24"/>
          <w:highlight w:val="none"/>
        </w:rPr>
        <w:t>. 发包人</w:t>
      </w:r>
      <w:bookmarkEnd w:id="819"/>
      <w:bookmarkEnd w:id="820"/>
    </w:p>
    <w:bookmarkEnd w:id="821"/>
    <w:bookmarkEnd w:id="822"/>
    <w:bookmarkEnd w:id="823"/>
    <w:bookmarkEnd w:id="824"/>
    <w:bookmarkEnd w:id="825"/>
    <w:bookmarkEnd w:id="826"/>
    <w:bookmarkEnd w:id="827"/>
    <w:bookmarkEnd w:id="828"/>
    <w:bookmarkEnd w:id="829"/>
    <w:bookmarkEnd w:id="830"/>
    <w:p w14:paraId="3A67E922">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31" w:name="_Toc15507"/>
      <w:r>
        <w:rPr>
          <w:rFonts w:hint="eastAsia" w:asciiTheme="minorEastAsia" w:hAnsiTheme="minorEastAsia" w:eastAsiaTheme="minorEastAsia" w:cstheme="minorEastAsia"/>
          <w:color w:val="auto"/>
          <w:sz w:val="24"/>
          <w:szCs w:val="24"/>
          <w:highlight w:val="none"/>
        </w:rPr>
        <w:t>2.2 发包人代表</w:t>
      </w:r>
      <w:bookmarkEnd w:id="831"/>
    </w:p>
    <w:p w14:paraId="79FEF8D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发包人代表：</w:t>
      </w:r>
    </w:p>
    <w:p w14:paraId="2B40AB5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7644A0C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1EE944A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6F7FE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443F98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08E31FB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1678AFF6">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发包人对发包人代表的授权范围如下：</w:t>
      </w:r>
      <w:r>
        <w:rPr>
          <w:rFonts w:hint="eastAsia" w:asciiTheme="minorEastAsia" w:hAnsiTheme="minorEastAsia" w:eastAsiaTheme="minorEastAsia" w:cstheme="minorEastAsia"/>
          <w:color w:val="auto"/>
          <w:sz w:val="24"/>
          <w:szCs w:val="24"/>
          <w:highlight w:val="none"/>
          <w:u w:val="single"/>
        </w:rPr>
        <w:t>     </w:t>
      </w:r>
    </w:p>
    <w:p w14:paraId="2896EE60">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31E322B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32" w:name="_Toc21940"/>
      <w:r>
        <w:rPr>
          <w:rFonts w:hint="eastAsia" w:asciiTheme="minorEastAsia" w:hAnsiTheme="minorEastAsia" w:eastAsiaTheme="minorEastAsia" w:cstheme="minorEastAsia"/>
          <w:color w:val="auto"/>
          <w:sz w:val="24"/>
          <w:szCs w:val="24"/>
          <w:highlight w:val="none"/>
        </w:rPr>
        <w:t>2.4 施工现场、施工条件和基础资料的提供</w:t>
      </w:r>
      <w:bookmarkEnd w:id="832"/>
    </w:p>
    <w:p w14:paraId="2D4238F4">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833" w:name="_Toc5735"/>
      <w:r>
        <w:rPr>
          <w:rFonts w:hint="eastAsia" w:asciiTheme="minorEastAsia" w:hAnsiTheme="minorEastAsia" w:eastAsiaTheme="minorEastAsia" w:cstheme="minorEastAsia"/>
          <w:color w:val="auto"/>
          <w:sz w:val="24"/>
          <w:szCs w:val="24"/>
          <w:highlight w:val="none"/>
        </w:rPr>
        <w:t>2.4.1 提供施工现场</w:t>
      </w:r>
      <w:bookmarkEnd w:id="833"/>
    </w:p>
    <w:p w14:paraId="5E11C93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关于发包人移交施工现场的期限要求：</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sz w:val="24"/>
          <w:szCs w:val="24"/>
          <w:highlight w:val="none"/>
        </w:rPr>
        <w:t>。</w:t>
      </w:r>
    </w:p>
    <w:p w14:paraId="247F8730">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834" w:name="_Toc12092"/>
      <w:r>
        <w:rPr>
          <w:rFonts w:hint="eastAsia" w:asciiTheme="minorEastAsia" w:hAnsiTheme="minorEastAsia" w:eastAsiaTheme="minorEastAsia" w:cstheme="minorEastAsia"/>
          <w:color w:val="auto"/>
          <w:sz w:val="24"/>
          <w:szCs w:val="24"/>
          <w:highlight w:val="none"/>
        </w:rPr>
        <w:t>2.4.2 提供施工条件</w:t>
      </w:r>
      <w:bookmarkEnd w:id="834"/>
    </w:p>
    <w:p w14:paraId="4F4F4995">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关于发包人应负责提供施工所需要的条件，包括：</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31074F9B">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35" w:name="_Toc5730"/>
      <w:r>
        <w:rPr>
          <w:rFonts w:hint="eastAsia" w:asciiTheme="minorEastAsia" w:hAnsiTheme="minorEastAsia" w:eastAsiaTheme="minorEastAsia" w:cstheme="minorEastAsia"/>
          <w:color w:val="auto"/>
          <w:sz w:val="24"/>
          <w:szCs w:val="24"/>
          <w:highlight w:val="none"/>
        </w:rPr>
        <w:t>2.5 资金来源证明及支付担保</w:t>
      </w:r>
      <w:bookmarkEnd w:id="835"/>
    </w:p>
    <w:p w14:paraId="02E84FB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发包人提供资金来源证明的期限要求：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A806AC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发包人是否提供支付担保：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43BC7F33">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发包人提供支付担保的形式：</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163D85E2">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836" w:name="_Toc17581"/>
      <w:bookmarkStart w:id="837" w:name="_Toc351203635"/>
      <w:r>
        <w:rPr>
          <w:rFonts w:hint="eastAsia" w:asciiTheme="minorEastAsia" w:hAnsiTheme="minorEastAsia" w:eastAsiaTheme="minorEastAsia" w:cstheme="minorEastAsia"/>
          <w:b w:val="0"/>
          <w:color w:val="auto"/>
          <w:sz w:val="24"/>
          <w:szCs w:val="24"/>
          <w:highlight w:val="none"/>
        </w:rPr>
        <w:t>3</w:t>
      </w:r>
      <w:bookmarkStart w:id="838" w:name="_Toc296503158"/>
      <w:bookmarkStart w:id="839" w:name="_Toc292559363"/>
      <w:bookmarkStart w:id="840" w:name="_Toc292559868"/>
      <w:bookmarkStart w:id="841" w:name="_Toc296347157"/>
      <w:bookmarkStart w:id="842" w:name="_Toc296891198"/>
      <w:bookmarkStart w:id="843" w:name="_Toc296944497"/>
      <w:bookmarkStart w:id="844" w:name="_Toc296346659"/>
      <w:bookmarkStart w:id="845" w:name="_Toc297048344"/>
      <w:bookmarkStart w:id="846" w:name="_Toc297120458"/>
      <w:bookmarkStart w:id="847" w:name="_Toc296890986"/>
      <w:r>
        <w:rPr>
          <w:rFonts w:hint="eastAsia" w:asciiTheme="minorEastAsia" w:hAnsiTheme="minorEastAsia" w:eastAsiaTheme="minorEastAsia" w:cstheme="minorEastAsia"/>
          <w:b w:val="0"/>
          <w:color w:val="auto"/>
          <w:sz w:val="24"/>
          <w:szCs w:val="24"/>
          <w:highlight w:val="none"/>
        </w:rPr>
        <w:t>. 承包人</w:t>
      </w:r>
      <w:bookmarkEnd w:id="836"/>
      <w:bookmarkEnd w:id="837"/>
    </w:p>
    <w:bookmarkEnd w:id="838"/>
    <w:bookmarkEnd w:id="839"/>
    <w:bookmarkEnd w:id="840"/>
    <w:bookmarkEnd w:id="841"/>
    <w:bookmarkEnd w:id="842"/>
    <w:bookmarkEnd w:id="843"/>
    <w:bookmarkEnd w:id="844"/>
    <w:bookmarkEnd w:id="845"/>
    <w:bookmarkEnd w:id="846"/>
    <w:bookmarkEnd w:id="847"/>
    <w:p w14:paraId="29F6EF8C">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48" w:name="_Toc25734"/>
      <w:r>
        <w:rPr>
          <w:rFonts w:hint="eastAsia" w:asciiTheme="minorEastAsia" w:hAnsiTheme="minorEastAsia" w:eastAsiaTheme="minorEastAsia" w:cstheme="minorEastAsia"/>
          <w:color w:val="auto"/>
          <w:sz w:val="24"/>
          <w:szCs w:val="24"/>
          <w:highlight w:val="none"/>
        </w:rPr>
        <w:t>3.1 承包人的一般义务</w:t>
      </w:r>
      <w:bookmarkEnd w:id="848"/>
    </w:p>
    <w:p w14:paraId="6BFFB9F4">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（9）</w:t>
      </w:r>
      <w:r>
        <w:rPr>
          <w:rFonts w:hint="eastAsia" w:asciiTheme="minorEastAsia" w:hAnsiTheme="minorEastAsia" w:eastAsiaTheme="minorEastAsia" w:cstheme="minorEastAsia"/>
          <w:color w:val="auto"/>
          <w:sz w:val="24"/>
          <w:szCs w:val="24"/>
          <w:highlight w:val="none"/>
        </w:rPr>
        <w:t>承包人提交的竣工资料的内容：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77E570F9">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B55FDA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承包人需要提交的竣工资料套数：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211DE06">
      <w:pPr>
        <w:spacing w:line="360" w:lineRule="auto"/>
        <w:ind w:left="730" w:leftChars="304"/>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承包人提交的竣工资料的费用承担：</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F32F263">
      <w:pPr>
        <w:spacing w:line="360" w:lineRule="auto"/>
        <w:ind w:left="730" w:leftChars="304"/>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承包人提交的竣工资料移交时间：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359A93A">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承包人提交的竣工资料形式要求：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850C47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（10）承包人应履行的其他义务：</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63144168">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49" w:name="_Toc17150"/>
      <w:r>
        <w:rPr>
          <w:rFonts w:hint="eastAsia" w:asciiTheme="minorEastAsia" w:hAnsiTheme="minorEastAsia" w:eastAsiaTheme="minorEastAsia" w:cstheme="minorEastAsia"/>
          <w:color w:val="auto"/>
          <w:sz w:val="24"/>
          <w:szCs w:val="24"/>
          <w:highlight w:val="none"/>
        </w:rPr>
        <w:t>3.2 项目经理</w:t>
      </w:r>
      <w:bookmarkEnd w:id="849"/>
    </w:p>
    <w:p w14:paraId="3339EA82">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850" w:name="_Toc29439"/>
      <w:r>
        <w:rPr>
          <w:rFonts w:hint="eastAsia" w:asciiTheme="minorEastAsia" w:hAnsiTheme="minorEastAsia" w:eastAsiaTheme="minorEastAsia" w:cstheme="minorEastAsia"/>
          <w:color w:val="auto"/>
          <w:kern w:val="0"/>
          <w:sz w:val="24"/>
          <w:szCs w:val="24"/>
          <w:highlight w:val="none"/>
        </w:rPr>
        <w:t xml:space="preserve">3.2.1 </w:t>
      </w:r>
      <w:r>
        <w:rPr>
          <w:rFonts w:hint="eastAsia" w:asciiTheme="minorEastAsia" w:hAnsiTheme="minorEastAsia" w:eastAsiaTheme="minorEastAsia" w:cstheme="minorEastAsia"/>
          <w:color w:val="auto"/>
          <w:sz w:val="24"/>
          <w:szCs w:val="24"/>
          <w:highlight w:val="none"/>
        </w:rPr>
        <w:t>项目经理：</w:t>
      </w:r>
      <w:bookmarkEnd w:id="850"/>
    </w:p>
    <w:p w14:paraId="2CC1869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7341E5B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759004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建造师执业资格等级：</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381C98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建造师注册证书号：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79EC4F7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建造师执业印章号：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263F13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安全生产考核合格证书号：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7359D61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6F1C263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A67629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1E7E4F1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承包人对项目经理的授权范围如下：</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7711479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关于项目经理每月在施工现场的时间要求：</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6BCA798">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承包人未提交劳动合同，以及没有为项目经理缴纳社会保险证明的违约责任：</w:t>
      </w:r>
      <w:r>
        <w:rPr>
          <w:rFonts w:hint="eastAsia" w:asciiTheme="minorEastAsia" w:hAnsiTheme="minorEastAsia" w:eastAsiaTheme="minorEastAsia" w:cstheme="minorEastAsia"/>
          <w:color w:val="auto"/>
          <w:sz w:val="24"/>
          <w:szCs w:val="24"/>
          <w:highlight w:val="none"/>
          <w:u w:val="single"/>
        </w:rPr>
        <w:t xml:space="preserve">                                                                                     </w:t>
      </w:r>
      <w:r>
        <w:rPr>
          <w:rFonts w:hint="eastAsia" w:asciiTheme="minorEastAsia" w:hAnsiTheme="minorEastAsia" w:eastAsiaTheme="minorEastAsia" w:cstheme="minorEastAsia"/>
          <w:color w:val="auto"/>
          <w:sz w:val="24"/>
          <w:szCs w:val="24"/>
          <w:highlight w:val="none"/>
        </w:rPr>
        <w:t>。</w:t>
      </w:r>
    </w:p>
    <w:p w14:paraId="472A6F16">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项目经理未经批准，擅自离开施工现场的违约责任：</w:t>
      </w: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sz w:val="24"/>
          <w:szCs w:val="24"/>
          <w:highlight w:val="none"/>
        </w:rPr>
        <w:t>。</w:t>
      </w:r>
    </w:p>
    <w:p w14:paraId="4693438B">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851" w:name="_Toc12402"/>
      <w:r>
        <w:rPr>
          <w:rFonts w:hint="eastAsia" w:asciiTheme="minorEastAsia" w:hAnsiTheme="minorEastAsia" w:eastAsiaTheme="minorEastAsia" w:cstheme="minorEastAsia"/>
          <w:color w:val="auto"/>
          <w:sz w:val="24"/>
          <w:szCs w:val="24"/>
          <w:highlight w:val="none"/>
        </w:rPr>
        <w:t>3.2.3 承包人擅自更换项目经理的违约责任：</w:t>
      </w:r>
      <w:r>
        <w:rPr>
          <w:rFonts w:hint="eastAsia" w:asciiTheme="minorEastAsia" w:hAnsiTheme="minorEastAsia" w:eastAsiaTheme="minorEastAsia" w:cstheme="minorEastAsia"/>
          <w:color w:val="auto"/>
          <w:sz w:val="24"/>
          <w:szCs w:val="24"/>
          <w:highlight w:val="none"/>
          <w:u w:val="single"/>
        </w:rPr>
        <w:t xml:space="preserve">     </w:t>
      </w:r>
      <w:bookmarkEnd w:id="851"/>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sz w:val="24"/>
          <w:szCs w:val="24"/>
          <w:highlight w:val="none"/>
        </w:rPr>
        <w:t>。</w:t>
      </w:r>
    </w:p>
    <w:p w14:paraId="30DA5347">
      <w:pPr>
        <w:spacing w:line="360" w:lineRule="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852" w:name="_Toc16548"/>
      <w:r>
        <w:rPr>
          <w:rFonts w:hint="eastAsia" w:asciiTheme="minorEastAsia" w:hAnsiTheme="minorEastAsia" w:eastAsiaTheme="minorEastAsia" w:cstheme="minorEastAsia"/>
          <w:color w:val="auto"/>
          <w:sz w:val="24"/>
          <w:szCs w:val="24"/>
          <w:highlight w:val="none"/>
        </w:rPr>
        <w:t>3.2.4 承包人无正当理由拒绝更换项目经理的违约责任：</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bookmarkEnd w:id="852"/>
    </w:p>
    <w:p w14:paraId="2F429708">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53" w:name="_Toc25506"/>
      <w:r>
        <w:rPr>
          <w:rFonts w:hint="eastAsia" w:asciiTheme="minorEastAsia" w:hAnsiTheme="minorEastAsia" w:eastAsiaTheme="minorEastAsia" w:cstheme="minorEastAsia"/>
          <w:color w:val="auto"/>
          <w:sz w:val="24"/>
          <w:szCs w:val="24"/>
          <w:highlight w:val="none"/>
        </w:rPr>
        <w:t>3.3 承包人人员</w:t>
      </w:r>
      <w:bookmarkEnd w:id="853"/>
    </w:p>
    <w:p w14:paraId="3A8E2D9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承包人提交项目管理机构及施工现场管理人员安排报告的期限：</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0260318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承包人无正当理由拒绝撤换主要施工管理人员的违约责任：</w:t>
      </w: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sz w:val="24"/>
          <w:szCs w:val="24"/>
          <w:highlight w:val="none"/>
        </w:rPr>
        <w:t>。</w:t>
      </w:r>
    </w:p>
    <w:p w14:paraId="0C2DEA86">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3.3.4 承包人主要施工管理人员离开施工现场的批准要求：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F1B900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3.3.5承包人擅自更换主要施工管理人员的违约责任：</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3A65983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承包人主要施工管理人员擅自离开施工现场的违约责任：</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46928268">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854" w:name="_Toc14429"/>
      <w:r>
        <w:rPr>
          <w:rFonts w:hint="eastAsia" w:asciiTheme="minorEastAsia" w:hAnsiTheme="minorEastAsia" w:eastAsiaTheme="minorEastAsia" w:cstheme="minorEastAsia"/>
          <w:color w:val="auto"/>
          <w:sz w:val="24"/>
          <w:szCs w:val="24"/>
          <w:highlight w:val="none"/>
        </w:rPr>
        <w:t>3</w:t>
      </w:r>
      <w:bookmarkStart w:id="855" w:name="_Toc296890987"/>
      <w:bookmarkStart w:id="856" w:name="_Toc304295523"/>
      <w:bookmarkStart w:id="857" w:name="_Toc297216151"/>
      <w:bookmarkStart w:id="858" w:name="_Toc296503159"/>
      <w:bookmarkStart w:id="859" w:name="_Toc297123492"/>
      <w:bookmarkStart w:id="860" w:name="_Toc296346660"/>
      <w:bookmarkStart w:id="861" w:name="_Toc303539102"/>
      <w:bookmarkStart w:id="862" w:name="_Toc300934945"/>
      <w:bookmarkStart w:id="863" w:name="_Toc296347158"/>
      <w:bookmarkStart w:id="864" w:name="_Toc296891199"/>
      <w:bookmarkStart w:id="865" w:name="_Toc292559364"/>
      <w:bookmarkStart w:id="866" w:name="_Toc312677988"/>
      <w:bookmarkStart w:id="867" w:name="_Toc292559869"/>
      <w:bookmarkStart w:id="868" w:name="_Toc297048345"/>
      <w:bookmarkStart w:id="869" w:name="_Toc296944498"/>
      <w:bookmarkStart w:id="870" w:name="_Toc297120459"/>
      <w:r>
        <w:rPr>
          <w:rFonts w:hint="eastAsia" w:asciiTheme="minorEastAsia" w:hAnsiTheme="minorEastAsia" w:eastAsiaTheme="minorEastAsia" w:cstheme="minorEastAsia"/>
          <w:color w:val="auto"/>
          <w:sz w:val="24"/>
          <w:szCs w:val="24"/>
          <w:highlight w:val="none"/>
        </w:rPr>
        <w:t>.5 分包</w:t>
      </w:r>
      <w:bookmarkEnd w:id="854"/>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14:paraId="0BC7C673">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871" w:name="_Toc6074"/>
      <w:r>
        <w:rPr>
          <w:rFonts w:hint="eastAsia" w:asciiTheme="minorEastAsia" w:hAnsiTheme="minorEastAsia" w:eastAsiaTheme="minorEastAsia" w:cstheme="minorEastAsia"/>
          <w:color w:val="auto"/>
          <w:sz w:val="24"/>
          <w:szCs w:val="24"/>
          <w:highlight w:val="none"/>
        </w:rPr>
        <w:t>3</w:t>
      </w:r>
      <w:bookmarkStart w:id="872" w:name="_Toc292559870"/>
      <w:bookmarkStart w:id="873" w:name="_Toc297123493"/>
      <w:bookmarkStart w:id="874" w:name="_Toc303539103"/>
      <w:bookmarkStart w:id="875" w:name="_Toc297216152"/>
      <w:bookmarkStart w:id="876" w:name="_Toc296944499"/>
      <w:bookmarkStart w:id="877" w:name="_Toc296890988"/>
      <w:bookmarkStart w:id="878" w:name="_Toc304295524"/>
      <w:bookmarkStart w:id="879" w:name="_Toc297120460"/>
      <w:bookmarkStart w:id="880" w:name="_Toc296347159"/>
      <w:bookmarkStart w:id="881" w:name="_Toc297048346"/>
      <w:bookmarkStart w:id="882" w:name="_Toc296503160"/>
      <w:bookmarkStart w:id="883" w:name="_Toc300934946"/>
      <w:bookmarkStart w:id="884" w:name="_Toc296891200"/>
      <w:bookmarkStart w:id="885" w:name="_Toc292559365"/>
      <w:bookmarkStart w:id="886" w:name="_Toc296346661"/>
      <w:bookmarkStart w:id="887" w:name="_Toc318581158"/>
      <w:bookmarkStart w:id="888" w:name="_Toc312677989"/>
      <w:r>
        <w:rPr>
          <w:rFonts w:hint="eastAsia" w:asciiTheme="minorEastAsia" w:hAnsiTheme="minorEastAsia" w:eastAsiaTheme="minorEastAsia" w:cstheme="minorEastAsia"/>
          <w:color w:val="auto"/>
          <w:sz w:val="24"/>
          <w:szCs w:val="24"/>
          <w:highlight w:val="none"/>
        </w:rPr>
        <w:t>.5.1 分包的一般约定</w:t>
      </w:r>
      <w:bookmarkEnd w:id="871"/>
    </w:p>
    <w:p w14:paraId="2F731BC2">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禁止分包的工程包括：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D8B6F70">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主体结构、关键性工作的范围：</w:t>
      </w:r>
      <w:r>
        <w:rPr>
          <w:rFonts w:hint="eastAsia" w:asciiTheme="minorEastAsia" w:hAnsiTheme="minorEastAsia" w:eastAsiaTheme="minorEastAsia" w:cstheme="minorEastAsia"/>
          <w:color w:val="auto"/>
          <w:sz w:val="24"/>
          <w:szCs w:val="24"/>
          <w:highlight w:val="none"/>
          <w:u w:val="single"/>
        </w:rPr>
        <w:t xml:space="preserve">                      </w:t>
      </w:r>
    </w:p>
    <w:p w14:paraId="1F331D21">
      <w:pPr>
        <w:spacing w:line="360" w:lineRule="auto"/>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Start w:id="889" w:name="_Toc303539104"/>
      <w:bookmarkStart w:id="890" w:name="_Toc297120461"/>
      <w:bookmarkStart w:id="891" w:name="_Toc300934947"/>
      <w:bookmarkStart w:id="892" w:name="_Toc296891201"/>
      <w:bookmarkStart w:id="893" w:name="_Toc296347160"/>
      <w:bookmarkStart w:id="894" w:name="_Toc296944500"/>
      <w:bookmarkStart w:id="895" w:name="_Toc304295525"/>
      <w:bookmarkStart w:id="896" w:name="_Toc297123494"/>
      <w:bookmarkStart w:id="897" w:name="_Toc297216153"/>
      <w:bookmarkStart w:id="898" w:name="_Toc296890989"/>
      <w:bookmarkStart w:id="899" w:name="_Toc297048347"/>
      <w:bookmarkStart w:id="900" w:name="_Toc296346662"/>
      <w:bookmarkStart w:id="901" w:name="_Toc296503161"/>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14:paraId="2FDCB074">
      <w:pPr>
        <w:spacing w:line="360" w:lineRule="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902" w:name="_Toc23785"/>
      <w:r>
        <w:rPr>
          <w:rFonts w:hint="eastAsia" w:asciiTheme="minorEastAsia" w:hAnsiTheme="minorEastAsia" w:eastAsiaTheme="minorEastAsia" w:cstheme="minorEastAsia"/>
          <w:color w:val="auto"/>
          <w:sz w:val="24"/>
          <w:szCs w:val="24"/>
          <w:highlight w:val="none"/>
        </w:rPr>
        <w:t>3</w:t>
      </w:r>
      <w:bookmarkStart w:id="903" w:name="_Toc312677990"/>
      <w:bookmarkStart w:id="904" w:name="_Toc318581159"/>
      <w:r>
        <w:rPr>
          <w:rFonts w:hint="eastAsia" w:asciiTheme="minorEastAsia" w:hAnsiTheme="minorEastAsia" w:eastAsiaTheme="minorEastAsia" w:cstheme="minorEastAsia"/>
          <w:color w:val="auto"/>
          <w:sz w:val="24"/>
          <w:szCs w:val="24"/>
          <w:highlight w:val="none"/>
        </w:rPr>
        <w:t>.5.2分包的确定</w:t>
      </w:r>
      <w:bookmarkEnd w:id="902"/>
    </w:p>
    <w:p w14:paraId="5FE493BB">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允许分包的专业工程包括：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F29EE55">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其他关于分包的约定：</w:t>
      </w:r>
      <w:r>
        <w:rPr>
          <w:rFonts w:hint="eastAsia" w:asciiTheme="minorEastAsia" w:hAnsiTheme="minorEastAsia" w:eastAsiaTheme="minorEastAsia" w:cstheme="minorEastAsia"/>
          <w:color w:val="auto"/>
          <w:sz w:val="24"/>
          <w:szCs w:val="24"/>
          <w:highlight w:val="none"/>
          <w:u w:val="single"/>
        </w:rPr>
        <w:t xml:space="preserve">                                  </w:t>
      </w:r>
    </w:p>
    <w:p w14:paraId="46B33DF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BCAD4AF">
      <w:pPr>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905" w:name="_Toc12219"/>
      <w:r>
        <w:rPr>
          <w:rFonts w:hint="eastAsia" w:asciiTheme="minorEastAsia" w:hAnsiTheme="minorEastAsia" w:eastAsiaTheme="minorEastAsia" w:cstheme="minorEastAsia"/>
          <w:color w:val="auto"/>
          <w:sz w:val="24"/>
          <w:szCs w:val="24"/>
          <w:highlight w:val="none"/>
        </w:rPr>
        <w:t>3.5.4 分包合同价款</w:t>
      </w:r>
      <w:bookmarkEnd w:id="905"/>
    </w:p>
    <w:p w14:paraId="228BB81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关于分包合同价款支付的约定：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903"/>
    <w:bookmarkEnd w:id="904"/>
    <w:p w14:paraId="65A152B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06" w:name="_Toc11158"/>
      <w:r>
        <w:rPr>
          <w:rFonts w:hint="eastAsia" w:asciiTheme="minorEastAsia" w:hAnsiTheme="minorEastAsia" w:eastAsiaTheme="minorEastAsia" w:cstheme="minorEastAsia"/>
          <w:color w:val="auto"/>
          <w:sz w:val="24"/>
          <w:szCs w:val="24"/>
          <w:highlight w:val="none"/>
        </w:rPr>
        <w:t>3.6 工程照管与成品、半成品保护</w:t>
      </w:r>
      <w:bookmarkEnd w:id="906"/>
    </w:p>
    <w:p w14:paraId="28DD901C">
      <w:pPr>
        <w:spacing w:before="120" w:beforeLines="0" w:after="120" w:afterLines="0"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承包人负责照管工程及工程相关的材料、工程设备的起始时间：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2EB7DF6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07" w:name="_Toc2246"/>
      <w:r>
        <w:rPr>
          <w:rFonts w:hint="eastAsia" w:asciiTheme="minorEastAsia" w:hAnsiTheme="minorEastAsia" w:eastAsiaTheme="minorEastAsia" w:cstheme="minorEastAsia"/>
          <w:color w:val="auto"/>
          <w:sz w:val="24"/>
          <w:szCs w:val="24"/>
          <w:highlight w:val="none"/>
        </w:rPr>
        <w:t>3.7 履约担保</w:t>
      </w:r>
      <w:bookmarkEnd w:id="907"/>
    </w:p>
    <w:p w14:paraId="44448E2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承包人是否提供履约担保：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4CA226E">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承包人提供履约担保的形式、金额及期限的：</w:t>
      </w:r>
      <w:r>
        <w:rPr>
          <w:rFonts w:hint="eastAsia" w:asciiTheme="minorEastAsia" w:hAnsiTheme="minorEastAsia" w:eastAsiaTheme="minorEastAsia" w:cstheme="minorEastAsia"/>
          <w:color w:val="auto"/>
          <w:sz w:val="24"/>
          <w:szCs w:val="24"/>
          <w:highlight w:val="none"/>
          <w:u w:val="single"/>
        </w:rPr>
        <w:t xml:space="preserve">              </w:t>
      </w:r>
    </w:p>
    <w:p w14:paraId="421D2146">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668B254">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908" w:name="_Toc13794"/>
      <w:bookmarkStart w:id="909" w:name="_Toc351203636"/>
      <w:r>
        <w:rPr>
          <w:rFonts w:hint="eastAsia" w:asciiTheme="minorEastAsia" w:hAnsiTheme="minorEastAsia" w:eastAsiaTheme="minorEastAsia" w:cstheme="minorEastAsia"/>
          <w:b w:val="0"/>
          <w:color w:val="auto"/>
          <w:sz w:val="24"/>
          <w:szCs w:val="24"/>
          <w:highlight w:val="none"/>
        </w:rPr>
        <w:t>4</w:t>
      </w:r>
      <w:bookmarkStart w:id="910" w:name="_Toc296346663"/>
      <w:bookmarkStart w:id="911" w:name="_Toc296503162"/>
      <w:bookmarkStart w:id="912" w:name="_Toc292559366"/>
      <w:bookmarkStart w:id="913" w:name="_Toc296347161"/>
      <w:bookmarkStart w:id="914" w:name="_Toc297048348"/>
      <w:bookmarkStart w:id="915" w:name="_Toc292559871"/>
      <w:bookmarkStart w:id="916" w:name="_Toc296891202"/>
      <w:bookmarkStart w:id="917" w:name="_Toc296890990"/>
      <w:bookmarkStart w:id="918" w:name="_Toc296944501"/>
      <w:bookmarkStart w:id="919" w:name="_Toc267251413"/>
      <w:bookmarkStart w:id="920" w:name="_Toc297120462"/>
      <w:r>
        <w:rPr>
          <w:rFonts w:hint="eastAsia" w:asciiTheme="minorEastAsia" w:hAnsiTheme="minorEastAsia" w:eastAsiaTheme="minorEastAsia" w:cstheme="minorEastAsia"/>
          <w:b w:val="0"/>
          <w:color w:val="auto"/>
          <w:sz w:val="24"/>
          <w:szCs w:val="24"/>
          <w:highlight w:val="none"/>
        </w:rPr>
        <w:t>. 监</w:t>
      </w:r>
      <w:bookmarkEnd w:id="910"/>
      <w:bookmarkEnd w:id="911"/>
      <w:bookmarkEnd w:id="912"/>
      <w:bookmarkEnd w:id="913"/>
      <w:bookmarkEnd w:id="914"/>
      <w:bookmarkEnd w:id="915"/>
      <w:bookmarkEnd w:id="916"/>
      <w:bookmarkEnd w:id="917"/>
      <w:bookmarkEnd w:id="918"/>
      <w:bookmarkEnd w:id="919"/>
      <w:bookmarkEnd w:id="920"/>
      <w:r>
        <w:rPr>
          <w:rFonts w:hint="eastAsia" w:asciiTheme="minorEastAsia" w:hAnsiTheme="minorEastAsia" w:eastAsiaTheme="minorEastAsia" w:cstheme="minorEastAsia"/>
          <w:b w:val="0"/>
          <w:color w:val="auto"/>
          <w:sz w:val="24"/>
          <w:szCs w:val="24"/>
          <w:highlight w:val="none"/>
        </w:rPr>
        <w:t>理人</w:t>
      </w:r>
      <w:bookmarkEnd w:id="908"/>
      <w:bookmarkEnd w:id="909"/>
    </w:p>
    <w:p w14:paraId="424620D2">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21" w:name="_Toc31671"/>
      <w:r>
        <w:rPr>
          <w:rFonts w:hint="eastAsia" w:asciiTheme="minorEastAsia" w:hAnsiTheme="minorEastAsia" w:eastAsiaTheme="minorEastAsia" w:cstheme="minorEastAsia"/>
          <w:color w:val="auto"/>
          <w:sz w:val="24"/>
          <w:szCs w:val="24"/>
          <w:highlight w:val="none"/>
        </w:rPr>
        <w:t>4.1监理人的一般规定</w:t>
      </w:r>
      <w:bookmarkEnd w:id="921"/>
    </w:p>
    <w:p w14:paraId="0E75C78D">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关于监理人的监理内容：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4519C55">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关于监理人的监理权限：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9AFA4F0">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关于监理人在施工现场的办公场所、生活场所的提供和费用承担的约定：</w:t>
      </w:r>
      <w:r>
        <w:rPr>
          <w:rFonts w:hint="eastAsia" w:asciiTheme="minorEastAsia" w:hAnsiTheme="minorEastAsia" w:eastAsiaTheme="minorEastAsia" w:cstheme="minorEastAsia"/>
          <w:color w:val="auto"/>
          <w:sz w:val="24"/>
          <w:szCs w:val="24"/>
          <w:highlight w:val="none"/>
          <w:u w:val="single"/>
        </w:rPr>
        <w:t xml:space="preserve">                                                </w:t>
      </w:r>
    </w:p>
    <w:p w14:paraId="15E8907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809AF0C">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22" w:name="_Toc12590"/>
      <w:r>
        <w:rPr>
          <w:rFonts w:hint="eastAsia" w:asciiTheme="minorEastAsia" w:hAnsiTheme="minorEastAsia" w:eastAsiaTheme="minorEastAsia" w:cstheme="minorEastAsia"/>
          <w:color w:val="auto"/>
          <w:sz w:val="24"/>
          <w:szCs w:val="24"/>
          <w:highlight w:val="none"/>
        </w:rPr>
        <w:t>4.2 监理人员</w:t>
      </w:r>
      <w:bookmarkEnd w:id="922"/>
    </w:p>
    <w:p w14:paraId="1C0BF67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w:t>
      </w:r>
    </w:p>
    <w:p w14:paraId="4C44C88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E6CC73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1A2F656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监理工程师执业资格证书号：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FB738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68E51C9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736E5E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70B27FE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关于监理人的其他约定：</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500D587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23" w:name="_Toc28823"/>
      <w:r>
        <w:rPr>
          <w:rFonts w:hint="eastAsia" w:asciiTheme="minorEastAsia" w:hAnsiTheme="minorEastAsia" w:eastAsiaTheme="minorEastAsia" w:cstheme="minorEastAsia"/>
          <w:color w:val="auto"/>
          <w:sz w:val="24"/>
          <w:szCs w:val="24"/>
          <w:highlight w:val="none"/>
        </w:rPr>
        <w:t>4.4 商定或确定</w:t>
      </w:r>
      <w:bookmarkEnd w:id="923"/>
    </w:p>
    <w:p w14:paraId="2620D1C2">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924" w:name="_Toc267251418"/>
      <w:r>
        <w:rPr>
          <w:rFonts w:hint="eastAsia" w:asciiTheme="minorEastAsia" w:hAnsiTheme="minorEastAsia" w:eastAsiaTheme="minorEastAsia" w:cstheme="minorEastAsia"/>
          <w:color w:val="auto"/>
          <w:sz w:val="24"/>
          <w:szCs w:val="24"/>
          <w:highlight w:val="none"/>
        </w:rPr>
        <w:t>在发包人和承包人不能通过协商达成一致意见时，发包人授权监理人对以下事项进行确定：</w:t>
      </w:r>
    </w:p>
    <w:p w14:paraId="7DEBBF6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p>
    <w:p w14:paraId="4C05A5D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p>
    <w:p w14:paraId="003DB82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p>
    <w:p w14:paraId="3988F610">
      <w:pPr>
        <w:pStyle w:val="6"/>
        <w:spacing w:before="120" w:beforeLines="0" w:after="120" w:afterLines="0" w:line="360" w:lineRule="auto"/>
        <w:ind w:left="0" w:leftChars="0" w:firstLine="0" w:firstLineChars="0"/>
        <w:outlineLvl w:val="9"/>
        <w:rPr>
          <w:rFonts w:hint="eastAsia" w:asciiTheme="minorEastAsia" w:hAnsiTheme="minorEastAsia" w:eastAsiaTheme="minorEastAsia" w:cstheme="minorEastAsia"/>
          <w:b w:val="0"/>
          <w:color w:val="auto"/>
          <w:sz w:val="24"/>
          <w:szCs w:val="24"/>
          <w:highlight w:val="none"/>
        </w:rPr>
      </w:pPr>
      <w:bookmarkStart w:id="925" w:name="_Toc351203637"/>
      <w:r>
        <w:rPr>
          <w:rFonts w:hint="eastAsia" w:asciiTheme="minorEastAsia" w:hAnsiTheme="minorEastAsia" w:eastAsiaTheme="minorEastAsia" w:cstheme="minorEastAsia"/>
          <w:b w:val="0"/>
          <w:color w:val="auto"/>
          <w:sz w:val="24"/>
          <w:szCs w:val="24"/>
          <w:highlight w:val="none"/>
        </w:rPr>
        <w:t>5</w:t>
      </w:r>
      <w:bookmarkEnd w:id="924"/>
      <w:bookmarkStart w:id="926" w:name="_Toc292559367"/>
      <w:bookmarkStart w:id="927" w:name="_Toc296503163"/>
      <w:bookmarkStart w:id="928" w:name="_Toc296347162"/>
      <w:bookmarkStart w:id="929" w:name="_Toc296944502"/>
      <w:bookmarkStart w:id="930" w:name="_Toc296890991"/>
      <w:bookmarkStart w:id="931" w:name="_Toc297120463"/>
      <w:bookmarkStart w:id="932" w:name="_Toc296891203"/>
      <w:bookmarkStart w:id="933" w:name="_Toc297048349"/>
      <w:bookmarkStart w:id="934" w:name="_Toc292559872"/>
      <w:bookmarkStart w:id="935" w:name="_Toc296346664"/>
      <w:r>
        <w:rPr>
          <w:rFonts w:hint="eastAsia" w:asciiTheme="minorEastAsia" w:hAnsiTheme="minorEastAsia" w:eastAsiaTheme="minorEastAsia" w:cstheme="minorEastAsia"/>
          <w:b w:val="0"/>
          <w:color w:val="auto"/>
          <w:sz w:val="24"/>
          <w:szCs w:val="24"/>
          <w:highlight w:val="none"/>
        </w:rPr>
        <w:t>. 工程质量</w:t>
      </w:r>
      <w:bookmarkEnd w:id="925"/>
    </w:p>
    <w:p w14:paraId="50E76658">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36" w:name="_Toc29919"/>
      <w:r>
        <w:rPr>
          <w:rFonts w:hint="eastAsia" w:asciiTheme="minorEastAsia" w:hAnsiTheme="minorEastAsia" w:eastAsiaTheme="minorEastAsia" w:cstheme="minorEastAsia"/>
          <w:color w:val="auto"/>
          <w:sz w:val="24"/>
          <w:szCs w:val="24"/>
          <w:highlight w:val="none"/>
        </w:rPr>
        <w:t>5.1 质量要求</w:t>
      </w:r>
      <w:bookmarkEnd w:id="936"/>
    </w:p>
    <w:p w14:paraId="2D057BA5">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5</w:t>
      </w:r>
      <w:bookmarkStart w:id="937" w:name="_Toc297123496"/>
      <w:bookmarkStart w:id="938" w:name="_Toc303539106"/>
      <w:bookmarkStart w:id="939" w:name="_Toc297216155"/>
      <w:bookmarkStart w:id="940" w:name="_Toc304295527"/>
      <w:bookmarkStart w:id="941" w:name="_Toc318581164"/>
      <w:bookmarkStart w:id="942" w:name="_Toc312677997"/>
      <w:bookmarkStart w:id="943" w:name="_Toc300934949"/>
      <w:r>
        <w:rPr>
          <w:rFonts w:hint="eastAsia" w:asciiTheme="minorEastAsia" w:hAnsiTheme="minorEastAsia" w:eastAsiaTheme="minorEastAsia" w:cstheme="minorEastAsia"/>
          <w:color w:val="auto"/>
          <w:sz w:val="24"/>
          <w:szCs w:val="24"/>
          <w:highlight w:val="none"/>
        </w:rPr>
        <w:t>.1.1 特殊质量标准和要求：</w:t>
      </w:r>
      <w:r>
        <w:rPr>
          <w:rFonts w:hint="eastAsia" w:asciiTheme="minorEastAsia" w:hAnsiTheme="minorEastAsia" w:eastAsiaTheme="minorEastAsia" w:cstheme="minorEastAsia"/>
          <w:color w:val="auto"/>
          <w:sz w:val="24"/>
          <w:szCs w:val="24"/>
          <w:highlight w:val="none"/>
          <w:u w:val="single"/>
        </w:rPr>
        <w:t xml:space="preserve">                             </w:t>
      </w:r>
    </w:p>
    <w:p w14:paraId="554490B8">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87CAAEB">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关于工程奖项的约定：</w:t>
      </w:r>
      <w:r>
        <w:rPr>
          <w:rFonts w:hint="eastAsia" w:asciiTheme="minorEastAsia" w:hAnsiTheme="minorEastAsia" w:eastAsiaTheme="minorEastAsia" w:cstheme="minorEastAsia"/>
          <w:color w:val="auto"/>
          <w:sz w:val="24"/>
          <w:szCs w:val="24"/>
          <w:highlight w:val="none"/>
          <w:u w:val="single"/>
        </w:rPr>
        <w:t xml:space="preserve">                                  </w:t>
      </w:r>
    </w:p>
    <w:p w14:paraId="2FCA938F">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FAAC1B2">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44" w:name="_Toc15028"/>
      <w:r>
        <w:rPr>
          <w:rFonts w:hint="eastAsia" w:asciiTheme="minorEastAsia" w:hAnsiTheme="minorEastAsia" w:eastAsiaTheme="minorEastAsia" w:cstheme="minorEastAsia"/>
          <w:color w:val="auto"/>
          <w:sz w:val="24"/>
          <w:szCs w:val="24"/>
          <w:highlight w:val="none"/>
        </w:rPr>
        <w:t>5.3 隐蔽工程检查</w:t>
      </w:r>
      <w:bookmarkEnd w:id="944"/>
    </w:p>
    <w:p w14:paraId="6445C3C8">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5.3.2承包人提前通知监理人隐蔽工程检查的期限的约定：</w:t>
      </w:r>
      <w:r>
        <w:rPr>
          <w:rFonts w:hint="eastAsia" w:asciiTheme="minorEastAsia" w:hAnsiTheme="minorEastAsia" w:eastAsiaTheme="minorEastAsia" w:cstheme="minorEastAsia"/>
          <w:color w:val="auto"/>
          <w:sz w:val="24"/>
          <w:szCs w:val="24"/>
          <w:highlight w:val="none"/>
          <w:u w:val="single"/>
        </w:rPr>
        <w:t xml:space="preserve">    </w:t>
      </w:r>
    </w:p>
    <w:p w14:paraId="173D0524">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5B9A08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监理人不能按时进行检查时，应提前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小时提交书面延期要求。</w:t>
      </w:r>
    </w:p>
    <w:p w14:paraId="025E579D">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关于延期最长不得超过：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w:t>
      </w:r>
    </w:p>
    <w:p w14:paraId="39364B93">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945" w:name="_Toc351203638"/>
      <w:bookmarkStart w:id="946" w:name="_Toc25244"/>
      <w:r>
        <w:rPr>
          <w:rFonts w:hint="eastAsia" w:asciiTheme="minorEastAsia" w:hAnsiTheme="minorEastAsia" w:eastAsiaTheme="minorEastAsia" w:cstheme="minorEastAsia"/>
          <w:b w:val="0"/>
          <w:color w:val="auto"/>
          <w:sz w:val="24"/>
          <w:szCs w:val="24"/>
          <w:highlight w:val="none"/>
        </w:rPr>
        <w:t>6. 安全文明施工与环境保护</w:t>
      </w:r>
      <w:bookmarkEnd w:id="945"/>
      <w:bookmarkEnd w:id="946"/>
    </w:p>
    <w:p w14:paraId="51EB346D">
      <w:pPr>
        <w:spacing w:after="120" w:afterLines="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6.1安全文明施工</w:t>
      </w:r>
    </w:p>
    <w:p w14:paraId="715F152E">
      <w:pPr>
        <w:spacing w:line="360" w:lineRule="auto"/>
        <w:ind w:firstLine="480" w:firstLineChars="200"/>
        <w:jc w:val="left"/>
        <w:outlineLvl w:val="1"/>
        <w:rPr>
          <w:rFonts w:hint="eastAsia" w:asciiTheme="minorEastAsia" w:hAnsiTheme="minorEastAsia" w:eastAsiaTheme="minorEastAsia" w:cstheme="minorEastAsia"/>
          <w:color w:val="auto"/>
          <w:sz w:val="24"/>
          <w:szCs w:val="24"/>
          <w:highlight w:val="none"/>
          <w:u w:val="single"/>
        </w:rPr>
      </w:pPr>
      <w:bookmarkStart w:id="947" w:name="_Toc27230"/>
      <w:r>
        <w:rPr>
          <w:rFonts w:hint="eastAsia" w:asciiTheme="minorEastAsia" w:hAnsiTheme="minorEastAsia" w:eastAsiaTheme="minorEastAsia" w:cstheme="minorEastAsia"/>
          <w:color w:val="auto"/>
          <w:sz w:val="24"/>
          <w:szCs w:val="24"/>
          <w:highlight w:val="none"/>
        </w:rPr>
        <w:t>6.1.1 项目安全生产的达标目标及相应事项的约定：</w:t>
      </w:r>
      <w:bookmarkEnd w:id="947"/>
      <w:r>
        <w:rPr>
          <w:rFonts w:hint="eastAsia" w:asciiTheme="minorEastAsia" w:hAnsiTheme="minorEastAsia" w:eastAsiaTheme="minorEastAsia" w:cstheme="minorEastAsia"/>
          <w:color w:val="auto"/>
          <w:sz w:val="24"/>
          <w:szCs w:val="24"/>
          <w:highlight w:val="none"/>
          <w:u w:val="single"/>
        </w:rPr>
        <w:t xml:space="preserve">         </w:t>
      </w:r>
    </w:p>
    <w:p w14:paraId="560737AF">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9667E79">
      <w:pPr>
        <w:spacing w:line="360" w:lineRule="auto"/>
        <w:ind w:firstLine="480" w:firstLineChars="200"/>
        <w:jc w:val="left"/>
        <w:outlineLvl w:val="1"/>
        <w:rPr>
          <w:rFonts w:hint="eastAsia" w:asciiTheme="minorEastAsia" w:hAnsiTheme="minorEastAsia" w:eastAsiaTheme="minorEastAsia" w:cstheme="minorEastAsia"/>
          <w:color w:val="auto"/>
          <w:sz w:val="24"/>
          <w:szCs w:val="24"/>
          <w:highlight w:val="none"/>
          <w:u w:val="single"/>
        </w:rPr>
      </w:pPr>
      <w:bookmarkStart w:id="948" w:name="_Toc20889"/>
      <w:r>
        <w:rPr>
          <w:rFonts w:hint="eastAsia" w:asciiTheme="minorEastAsia" w:hAnsiTheme="minorEastAsia" w:eastAsiaTheme="minorEastAsia" w:cstheme="minorEastAsia"/>
          <w:color w:val="auto"/>
          <w:sz w:val="24"/>
          <w:szCs w:val="24"/>
          <w:highlight w:val="none"/>
        </w:rPr>
        <w:t>6.1.4 关于治安保卫的特别约定：</w:t>
      </w:r>
      <w:bookmarkEnd w:id="948"/>
      <w:r>
        <w:rPr>
          <w:rFonts w:hint="eastAsia" w:asciiTheme="minorEastAsia" w:hAnsiTheme="minorEastAsia" w:eastAsiaTheme="minorEastAsia" w:cstheme="minorEastAsia"/>
          <w:color w:val="auto"/>
          <w:sz w:val="24"/>
          <w:szCs w:val="24"/>
          <w:highlight w:val="none"/>
          <w:u w:val="single"/>
        </w:rPr>
        <w:t xml:space="preserve">                         </w:t>
      </w:r>
    </w:p>
    <w:p w14:paraId="5AEE0C45">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A0A6D69">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关于编制施工场地治安管理计划的约定：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br w:type="textWrapping"/>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6D246F8">
      <w:pPr>
        <w:spacing w:line="360"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bookmarkStart w:id="949" w:name="_Toc27029"/>
      <w:r>
        <w:rPr>
          <w:rFonts w:hint="eastAsia" w:asciiTheme="minorEastAsia" w:hAnsiTheme="minorEastAsia" w:eastAsiaTheme="minorEastAsia" w:cstheme="minorEastAsia"/>
          <w:color w:val="auto"/>
          <w:sz w:val="24"/>
          <w:szCs w:val="24"/>
          <w:highlight w:val="none"/>
        </w:rPr>
        <w:t>6.1.5 文明施工</w:t>
      </w:r>
      <w:bookmarkEnd w:id="949"/>
    </w:p>
    <w:p w14:paraId="3E73759B">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合同当事人对文明施工的要求：</w:t>
      </w:r>
      <w:r>
        <w:rPr>
          <w:rFonts w:hint="eastAsia" w:asciiTheme="minorEastAsia" w:hAnsiTheme="minorEastAsia" w:eastAsiaTheme="minorEastAsia" w:cstheme="minorEastAsia"/>
          <w:color w:val="auto"/>
          <w:sz w:val="24"/>
          <w:szCs w:val="24"/>
          <w:highlight w:val="none"/>
          <w:u w:val="single"/>
        </w:rPr>
        <w:t xml:space="preserve">                          </w:t>
      </w:r>
    </w:p>
    <w:p w14:paraId="60D1FBBF">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832575F">
      <w:pPr>
        <w:spacing w:line="360"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bookmarkStart w:id="950" w:name="_Toc7430"/>
      <w:r>
        <w:rPr>
          <w:rFonts w:hint="eastAsia" w:asciiTheme="minorEastAsia" w:hAnsiTheme="minorEastAsia" w:eastAsiaTheme="minorEastAsia" w:cstheme="minorEastAsia"/>
          <w:color w:val="auto"/>
          <w:sz w:val="24"/>
          <w:szCs w:val="24"/>
          <w:highlight w:val="none"/>
        </w:rPr>
        <w:t>6.1.6 关于安全文明施工费支付比例和支付期限的约定：</w:t>
      </w:r>
      <w:bookmarkEnd w:id="950"/>
      <w:r>
        <w:rPr>
          <w:rFonts w:hint="eastAsia" w:asciiTheme="minorEastAsia" w:hAnsiTheme="minorEastAsia" w:eastAsiaTheme="minorEastAsia" w:cstheme="minorEastAsia"/>
          <w:color w:val="auto"/>
          <w:sz w:val="24"/>
          <w:szCs w:val="24"/>
          <w:highlight w:val="none"/>
          <w:u w:val="single"/>
        </w:rPr>
        <w:t xml:space="preserve">     </w:t>
      </w:r>
    </w:p>
    <w:p w14:paraId="2EB20A46">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937"/>
    <w:bookmarkEnd w:id="938"/>
    <w:bookmarkEnd w:id="939"/>
    <w:bookmarkEnd w:id="940"/>
    <w:bookmarkEnd w:id="941"/>
    <w:bookmarkEnd w:id="942"/>
    <w:bookmarkEnd w:id="943"/>
    <w:p w14:paraId="666A9D97">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951" w:name="_Toc351203639"/>
      <w:bookmarkStart w:id="952" w:name="_Toc9012"/>
      <w:r>
        <w:rPr>
          <w:rFonts w:hint="eastAsia" w:asciiTheme="minorEastAsia" w:hAnsiTheme="minorEastAsia" w:eastAsiaTheme="minorEastAsia" w:cstheme="minorEastAsia"/>
          <w:b w:val="0"/>
          <w:color w:val="auto"/>
          <w:sz w:val="24"/>
          <w:szCs w:val="24"/>
          <w:highlight w:val="none"/>
        </w:rPr>
        <w:t>7. 工期和进度</w:t>
      </w:r>
      <w:bookmarkEnd w:id="951"/>
      <w:bookmarkEnd w:id="952"/>
    </w:p>
    <w:p w14:paraId="044DAB94">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53" w:name="_Toc14104"/>
      <w:r>
        <w:rPr>
          <w:rFonts w:hint="eastAsia" w:asciiTheme="minorEastAsia" w:hAnsiTheme="minorEastAsia" w:eastAsiaTheme="minorEastAsia" w:cstheme="minorEastAsia"/>
          <w:color w:val="auto"/>
          <w:sz w:val="24"/>
          <w:szCs w:val="24"/>
          <w:highlight w:val="none"/>
        </w:rPr>
        <w:t>7.1 施工组织设计</w:t>
      </w:r>
      <w:bookmarkEnd w:id="953"/>
    </w:p>
    <w:p w14:paraId="7FE5DFCB">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u w:val="single"/>
        </w:rPr>
      </w:pPr>
      <w:bookmarkStart w:id="954" w:name="_Toc12373"/>
      <w:r>
        <w:rPr>
          <w:rFonts w:hint="eastAsia" w:asciiTheme="minorEastAsia" w:hAnsiTheme="minorEastAsia" w:eastAsiaTheme="minorEastAsia" w:cstheme="minorEastAsia"/>
          <w:color w:val="auto"/>
          <w:sz w:val="24"/>
          <w:szCs w:val="24"/>
          <w:highlight w:val="none"/>
        </w:rPr>
        <w:t>7.1.1 合</w:t>
      </w:r>
      <w:r>
        <w:rPr>
          <w:rFonts w:hint="eastAsia" w:asciiTheme="minorEastAsia" w:hAnsiTheme="minorEastAsia" w:eastAsiaTheme="minorEastAsia" w:cstheme="minorEastAsia"/>
          <w:color w:val="auto"/>
          <w:kern w:val="0"/>
          <w:sz w:val="24"/>
          <w:szCs w:val="24"/>
          <w:highlight w:val="none"/>
        </w:rPr>
        <w:t>同当事人约定的施工组织设计应包括的其他内容：</w:t>
      </w:r>
      <w:bookmarkEnd w:id="954"/>
      <w:r>
        <w:rPr>
          <w:rFonts w:hint="eastAsia" w:asciiTheme="minorEastAsia" w:hAnsiTheme="minorEastAsia" w:eastAsiaTheme="minorEastAsia" w:cstheme="minorEastAsia"/>
          <w:color w:val="auto"/>
          <w:sz w:val="24"/>
          <w:szCs w:val="24"/>
          <w:highlight w:val="none"/>
          <w:u w:val="single"/>
        </w:rPr>
        <w:t xml:space="preserve">   </w:t>
      </w:r>
    </w:p>
    <w:p w14:paraId="6F918FA3">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F6EEAF2">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955" w:name="_Toc27981"/>
      <w:r>
        <w:rPr>
          <w:rFonts w:hint="eastAsia" w:asciiTheme="minorEastAsia" w:hAnsiTheme="minorEastAsia" w:eastAsiaTheme="minorEastAsia" w:cstheme="minorEastAsia"/>
          <w:color w:val="auto"/>
          <w:sz w:val="24"/>
          <w:szCs w:val="24"/>
          <w:highlight w:val="none"/>
        </w:rPr>
        <w:t xml:space="preserve">7.1.2 </w:t>
      </w:r>
      <w:r>
        <w:rPr>
          <w:rFonts w:hint="eastAsia" w:asciiTheme="minorEastAsia" w:hAnsiTheme="minorEastAsia" w:eastAsiaTheme="minorEastAsia" w:cstheme="minorEastAsia"/>
          <w:color w:val="auto"/>
          <w:kern w:val="0"/>
          <w:sz w:val="24"/>
          <w:szCs w:val="24"/>
          <w:highlight w:val="none"/>
        </w:rPr>
        <w:t>施工组织设计的提交和修改</w:t>
      </w:r>
      <w:bookmarkEnd w:id="955"/>
    </w:p>
    <w:p w14:paraId="0997DBE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承包人提交详细施工组织设计的期限的约定：</w:t>
      </w:r>
      <w:r>
        <w:rPr>
          <w:rFonts w:hint="eastAsia" w:asciiTheme="minorEastAsia" w:hAnsiTheme="minorEastAsia" w:eastAsiaTheme="minorEastAsia" w:cstheme="minorEastAsia"/>
          <w:color w:val="auto"/>
          <w:sz w:val="24"/>
          <w:szCs w:val="24"/>
          <w:highlight w:val="none"/>
          <w:u w:val="single"/>
        </w:rPr>
        <w:t xml:space="preserve">              </w:t>
      </w:r>
    </w:p>
    <w:p w14:paraId="5F0FFDDF">
      <w:pPr>
        <w:autoSpaceDE w:val="0"/>
        <w:autoSpaceDN w:val="0"/>
        <w:adjustRightIn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C0A7CB2">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发包人和监理人在收到详细的施工组织设计后确认或提出修改意见的期限：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CD03490">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56" w:name="_Toc9739"/>
      <w:r>
        <w:rPr>
          <w:rFonts w:hint="eastAsia" w:asciiTheme="minorEastAsia" w:hAnsiTheme="minorEastAsia" w:eastAsiaTheme="minorEastAsia" w:cstheme="minorEastAsia"/>
          <w:color w:val="auto"/>
          <w:sz w:val="24"/>
          <w:szCs w:val="24"/>
          <w:highlight w:val="none"/>
        </w:rPr>
        <w:t>7</w:t>
      </w:r>
      <w:bookmarkStart w:id="957" w:name="_Toc312677479"/>
      <w:bookmarkStart w:id="958" w:name="_Toc304295541"/>
      <w:bookmarkStart w:id="959" w:name="_Toc312678005"/>
      <w:bookmarkStart w:id="960" w:name="_Toc300934966"/>
      <w:bookmarkStart w:id="961" w:name="_Toc303539123"/>
      <w:bookmarkStart w:id="962" w:name="_Toc297123514"/>
      <w:bookmarkStart w:id="963" w:name="_Toc297216173"/>
      <w:r>
        <w:rPr>
          <w:rFonts w:hint="eastAsia" w:asciiTheme="minorEastAsia" w:hAnsiTheme="minorEastAsia" w:eastAsiaTheme="minorEastAsia" w:cstheme="minorEastAsia"/>
          <w:color w:val="auto"/>
          <w:sz w:val="24"/>
          <w:szCs w:val="24"/>
          <w:highlight w:val="none"/>
        </w:rPr>
        <w:t>.2 施工进度计划</w:t>
      </w:r>
      <w:bookmarkEnd w:id="956"/>
    </w:p>
    <w:p w14:paraId="3DF23E66">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964" w:name="_Toc12244"/>
      <w:r>
        <w:rPr>
          <w:rFonts w:hint="eastAsia" w:asciiTheme="minorEastAsia" w:hAnsiTheme="minorEastAsia" w:eastAsiaTheme="minorEastAsia" w:cstheme="minorEastAsia"/>
          <w:color w:val="auto"/>
          <w:sz w:val="24"/>
          <w:szCs w:val="24"/>
          <w:highlight w:val="none"/>
        </w:rPr>
        <w:t>7.2.2 施工进度计划的修订</w:t>
      </w:r>
      <w:bookmarkEnd w:id="964"/>
    </w:p>
    <w:p w14:paraId="50CDA8E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发包人和监理人在收到修订的施工进度计划后确认或提出修改意见的期限：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094D78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65" w:name="_Toc11676"/>
      <w:r>
        <w:rPr>
          <w:rFonts w:hint="eastAsia" w:asciiTheme="minorEastAsia" w:hAnsiTheme="minorEastAsia" w:eastAsiaTheme="minorEastAsia" w:cstheme="minorEastAsia"/>
          <w:color w:val="auto"/>
          <w:sz w:val="24"/>
          <w:szCs w:val="24"/>
          <w:highlight w:val="none"/>
        </w:rPr>
        <w:t>7.3 开工</w:t>
      </w:r>
      <w:bookmarkEnd w:id="965"/>
    </w:p>
    <w:p w14:paraId="54C0183E">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966" w:name="_Toc32073"/>
      <w:r>
        <w:rPr>
          <w:rFonts w:hint="eastAsia" w:asciiTheme="minorEastAsia" w:hAnsiTheme="minorEastAsia" w:eastAsiaTheme="minorEastAsia" w:cstheme="minorEastAsia"/>
          <w:color w:val="auto"/>
          <w:sz w:val="24"/>
          <w:szCs w:val="24"/>
          <w:highlight w:val="none"/>
        </w:rPr>
        <w:t>7.3.1 开工准备</w:t>
      </w:r>
      <w:bookmarkEnd w:id="966"/>
    </w:p>
    <w:p w14:paraId="75ABB4E3">
      <w:pPr>
        <w:spacing w:line="360" w:lineRule="auto"/>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关于承包人提交</w:t>
      </w:r>
      <w:r>
        <w:rPr>
          <w:rFonts w:hint="eastAsia" w:asciiTheme="minorEastAsia" w:hAnsiTheme="minorEastAsia" w:eastAsiaTheme="minorEastAsia" w:cstheme="minorEastAsia"/>
          <w:color w:val="auto"/>
          <w:kern w:val="0"/>
          <w:sz w:val="24"/>
          <w:szCs w:val="24"/>
          <w:highlight w:val="none"/>
        </w:rPr>
        <w:t>工程开工报审表的期限：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0F80D63">
      <w:pPr>
        <w:spacing w:line="360" w:lineRule="auto"/>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关于发包人应完成的其他开工准备工作及期限：</w:t>
      </w:r>
      <w:r>
        <w:rPr>
          <w:rFonts w:hint="eastAsia" w:asciiTheme="minorEastAsia" w:hAnsiTheme="minorEastAsia" w:eastAsiaTheme="minorEastAsia" w:cstheme="minorEastAsia"/>
          <w:color w:val="auto"/>
          <w:sz w:val="24"/>
          <w:szCs w:val="24"/>
          <w:highlight w:val="none"/>
          <w:u w:val="single"/>
        </w:rPr>
        <w:t xml:space="preserve">             </w:t>
      </w:r>
    </w:p>
    <w:p w14:paraId="40713F4C">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E7D63DB">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关于承包人应完成的其他开工准备工作及期限：</w:t>
      </w:r>
      <w:r>
        <w:rPr>
          <w:rFonts w:hint="eastAsia" w:asciiTheme="minorEastAsia" w:hAnsiTheme="minorEastAsia" w:eastAsiaTheme="minorEastAsia" w:cstheme="minorEastAsia"/>
          <w:color w:val="auto"/>
          <w:sz w:val="24"/>
          <w:szCs w:val="24"/>
          <w:highlight w:val="none"/>
          <w:u w:val="single"/>
        </w:rPr>
        <w:t xml:space="preserve">            </w:t>
      </w:r>
    </w:p>
    <w:p w14:paraId="7ACEB6B1">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7F563B7">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967" w:name="_Toc9188"/>
      <w:r>
        <w:rPr>
          <w:rFonts w:hint="eastAsia" w:asciiTheme="minorEastAsia" w:hAnsiTheme="minorEastAsia" w:eastAsiaTheme="minorEastAsia" w:cstheme="minorEastAsia"/>
          <w:color w:val="auto"/>
          <w:sz w:val="24"/>
          <w:szCs w:val="24"/>
          <w:highlight w:val="none"/>
        </w:rPr>
        <w:t>7.3.2开工通知</w:t>
      </w:r>
      <w:bookmarkEnd w:id="967"/>
    </w:p>
    <w:p w14:paraId="42BE48D9">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因发包人原因造成监理人未能在计划开工日期之日起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天内发出开工通知的，承包人有权提出价格调整要求，或者解除合同。</w:t>
      </w:r>
    </w:p>
    <w:bookmarkEnd w:id="957"/>
    <w:bookmarkEnd w:id="958"/>
    <w:bookmarkEnd w:id="959"/>
    <w:bookmarkEnd w:id="960"/>
    <w:bookmarkEnd w:id="961"/>
    <w:bookmarkEnd w:id="962"/>
    <w:bookmarkEnd w:id="963"/>
    <w:p w14:paraId="0CE1BB6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68" w:name="_Toc23835"/>
      <w:r>
        <w:rPr>
          <w:rFonts w:hint="eastAsia" w:asciiTheme="minorEastAsia" w:hAnsiTheme="minorEastAsia" w:eastAsiaTheme="minorEastAsia" w:cstheme="minorEastAsia"/>
          <w:color w:val="auto"/>
          <w:sz w:val="24"/>
          <w:szCs w:val="24"/>
          <w:highlight w:val="none"/>
        </w:rPr>
        <w:t>7.4 测量放线</w:t>
      </w:r>
      <w:bookmarkEnd w:id="968"/>
    </w:p>
    <w:p w14:paraId="1ADDC015">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7.4.1发包人通过监理人向承包人提供测量基准点、基准线和水准点及其书面资料的期限：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3C0E8A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69" w:name="_Toc8336"/>
      <w:r>
        <w:rPr>
          <w:rFonts w:hint="eastAsia" w:asciiTheme="minorEastAsia" w:hAnsiTheme="minorEastAsia" w:eastAsiaTheme="minorEastAsia" w:cstheme="minorEastAsia"/>
          <w:color w:val="auto"/>
          <w:sz w:val="24"/>
          <w:szCs w:val="24"/>
          <w:highlight w:val="none"/>
        </w:rPr>
        <w:t>7</w:t>
      </w:r>
      <w:bookmarkStart w:id="970" w:name="_Toc297123516"/>
      <w:bookmarkStart w:id="971" w:name="_Toc312678010"/>
      <w:bookmarkStart w:id="972" w:name="_Toc300934968"/>
      <w:bookmarkStart w:id="973" w:name="_Toc297216175"/>
      <w:bookmarkStart w:id="974" w:name="_Toc303539125"/>
      <w:bookmarkStart w:id="975" w:name="_Toc304295546"/>
      <w:bookmarkStart w:id="976" w:name="_Toc312677484"/>
      <w:r>
        <w:rPr>
          <w:rFonts w:hint="eastAsia" w:asciiTheme="minorEastAsia" w:hAnsiTheme="minorEastAsia" w:eastAsiaTheme="minorEastAsia" w:cstheme="minorEastAsia"/>
          <w:color w:val="auto"/>
          <w:sz w:val="24"/>
          <w:szCs w:val="24"/>
          <w:highlight w:val="none"/>
        </w:rPr>
        <w:t>.5 工期延误</w:t>
      </w:r>
      <w:bookmarkEnd w:id="969"/>
    </w:p>
    <w:bookmarkEnd w:id="970"/>
    <w:bookmarkEnd w:id="971"/>
    <w:bookmarkEnd w:id="972"/>
    <w:bookmarkEnd w:id="973"/>
    <w:bookmarkEnd w:id="974"/>
    <w:bookmarkEnd w:id="975"/>
    <w:bookmarkEnd w:id="976"/>
    <w:p w14:paraId="5396D1F9">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977" w:name="_Toc26198"/>
      <w:r>
        <w:rPr>
          <w:rFonts w:hint="eastAsia" w:asciiTheme="minorEastAsia" w:hAnsiTheme="minorEastAsia" w:eastAsiaTheme="minorEastAsia" w:cstheme="minorEastAsia"/>
          <w:color w:val="auto"/>
          <w:sz w:val="24"/>
          <w:szCs w:val="24"/>
          <w:highlight w:val="none"/>
        </w:rPr>
        <w:t>7.5.1 因发包人原因导致工期延误</w:t>
      </w:r>
      <w:bookmarkEnd w:id="977"/>
    </w:p>
    <w:p w14:paraId="098B4346">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（7）因发包人原因导致工期延误的其他情形：</w:t>
      </w:r>
      <w:r>
        <w:rPr>
          <w:rFonts w:hint="eastAsia" w:asciiTheme="minorEastAsia" w:hAnsiTheme="minorEastAsia" w:eastAsiaTheme="minorEastAsia" w:cstheme="minorEastAsia"/>
          <w:color w:val="auto"/>
          <w:sz w:val="24"/>
          <w:szCs w:val="24"/>
          <w:highlight w:val="none"/>
          <w:u w:val="single"/>
        </w:rPr>
        <w:t xml:space="preserve">              </w:t>
      </w:r>
    </w:p>
    <w:p w14:paraId="05FB6ED5">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6243B66">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978" w:name="_Toc3139"/>
      <w:r>
        <w:rPr>
          <w:rFonts w:hint="eastAsia" w:asciiTheme="minorEastAsia" w:hAnsiTheme="minorEastAsia" w:eastAsiaTheme="minorEastAsia" w:cstheme="minorEastAsia"/>
          <w:color w:val="auto"/>
          <w:sz w:val="24"/>
          <w:szCs w:val="24"/>
          <w:highlight w:val="none"/>
        </w:rPr>
        <w:t>7</w:t>
      </w:r>
      <w:bookmarkStart w:id="979" w:name="_Toc312678012"/>
      <w:bookmarkStart w:id="980" w:name="_Toc318581169"/>
      <w:bookmarkStart w:id="981" w:name="_Toc312677486"/>
      <w:bookmarkStart w:id="982" w:name="_Toc303539127"/>
      <w:bookmarkStart w:id="983" w:name="_Toc300934970"/>
      <w:bookmarkStart w:id="984" w:name="_Toc304295548"/>
      <w:bookmarkStart w:id="985" w:name="_Toc297216177"/>
      <w:bookmarkStart w:id="986" w:name="_Toc297123518"/>
      <w:r>
        <w:rPr>
          <w:rFonts w:hint="eastAsia" w:asciiTheme="minorEastAsia" w:hAnsiTheme="minorEastAsia" w:eastAsiaTheme="minorEastAsia" w:cstheme="minorEastAsia"/>
          <w:color w:val="auto"/>
          <w:sz w:val="24"/>
          <w:szCs w:val="24"/>
          <w:highlight w:val="none"/>
        </w:rPr>
        <w:t>.5.2 因承包人原因导致工期延误</w:t>
      </w:r>
      <w:bookmarkEnd w:id="978"/>
    </w:p>
    <w:bookmarkEnd w:id="979"/>
    <w:bookmarkEnd w:id="980"/>
    <w:bookmarkEnd w:id="981"/>
    <w:p w14:paraId="41FEAFC8">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因</w:t>
      </w:r>
      <w:bookmarkStart w:id="987" w:name="_Toc312678013"/>
      <w:bookmarkStart w:id="988" w:name="_Toc312677487"/>
      <w:bookmarkStart w:id="989" w:name="_Toc318581170"/>
      <w:r>
        <w:rPr>
          <w:rFonts w:hint="eastAsia" w:asciiTheme="minorEastAsia" w:hAnsiTheme="minorEastAsia" w:eastAsiaTheme="minorEastAsia" w:cstheme="minorEastAsia"/>
          <w:color w:val="auto"/>
          <w:sz w:val="24"/>
          <w:szCs w:val="24"/>
          <w:highlight w:val="none"/>
        </w:rPr>
        <w:t>承包人原因造成工期延误，逾期竣工违约金的计算方法为：</w:t>
      </w:r>
    </w:p>
    <w:p w14:paraId="2323EC0D">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bookmarkEnd w:id="982"/>
      <w:bookmarkEnd w:id="983"/>
      <w:bookmarkEnd w:id="984"/>
      <w:bookmarkEnd w:id="985"/>
      <w:bookmarkEnd w:id="986"/>
      <w:bookmarkEnd w:id="987"/>
      <w:bookmarkEnd w:id="988"/>
    </w:p>
    <w:bookmarkEnd w:id="989"/>
    <w:p w14:paraId="40DCC0D9">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因承包人原因造成工期延误，逾</w:t>
      </w:r>
      <w:bookmarkStart w:id="990" w:name="_Toc318581171"/>
      <w:bookmarkStart w:id="991" w:name="_Toc312678014"/>
      <w:r>
        <w:rPr>
          <w:rFonts w:hint="eastAsia" w:asciiTheme="minorEastAsia" w:hAnsiTheme="minorEastAsia" w:eastAsiaTheme="minorEastAsia" w:cstheme="minorEastAsia"/>
          <w:color w:val="auto"/>
          <w:sz w:val="24"/>
          <w:szCs w:val="24"/>
          <w:highlight w:val="none"/>
        </w:rPr>
        <w:t>期竣工违约金的上限：</w:t>
      </w:r>
      <w:r>
        <w:rPr>
          <w:rFonts w:hint="eastAsia" w:asciiTheme="minorEastAsia" w:hAnsiTheme="minorEastAsia" w:eastAsiaTheme="minorEastAsia" w:cstheme="minorEastAsia"/>
          <w:color w:val="auto"/>
          <w:sz w:val="24"/>
          <w:szCs w:val="24"/>
          <w:highlight w:val="none"/>
          <w:u w:val="single"/>
        </w:rPr>
        <w:t xml:space="preserve">       </w:t>
      </w:r>
    </w:p>
    <w:p w14:paraId="09C25D6A">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990"/>
    <w:bookmarkEnd w:id="991"/>
    <w:p w14:paraId="45D6F653">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992" w:name="_Toc32178"/>
      <w:r>
        <w:rPr>
          <w:rFonts w:hint="eastAsia" w:asciiTheme="minorEastAsia" w:hAnsiTheme="minorEastAsia" w:eastAsiaTheme="minorEastAsia" w:cstheme="minorEastAsia"/>
          <w:color w:val="auto"/>
          <w:sz w:val="24"/>
          <w:szCs w:val="24"/>
          <w:highlight w:val="none"/>
        </w:rPr>
        <w:t>7</w:t>
      </w:r>
      <w:bookmarkStart w:id="993" w:name="_Toc303539128"/>
      <w:bookmarkStart w:id="994" w:name="_Toc297216178"/>
      <w:bookmarkStart w:id="995" w:name="_Toc304295549"/>
      <w:bookmarkStart w:id="996" w:name="_Toc300934971"/>
      <w:bookmarkStart w:id="997" w:name="_Toc312678015"/>
      <w:bookmarkStart w:id="998" w:name="_Toc297123519"/>
      <w:r>
        <w:rPr>
          <w:rFonts w:hint="eastAsia" w:asciiTheme="minorEastAsia" w:hAnsiTheme="minorEastAsia" w:eastAsiaTheme="minorEastAsia" w:cstheme="minorEastAsia"/>
          <w:color w:val="auto"/>
          <w:sz w:val="24"/>
          <w:szCs w:val="24"/>
          <w:highlight w:val="none"/>
        </w:rPr>
        <w:t>.6 不</w:t>
      </w:r>
      <w:bookmarkEnd w:id="993"/>
      <w:bookmarkEnd w:id="994"/>
      <w:bookmarkEnd w:id="995"/>
      <w:bookmarkEnd w:id="996"/>
      <w:bookmarkEnd w:id="997"/>
      <w:bookmarkEnd w:id="998"/>
      <w:r>
        <w:rPr>
          <w:rFonts w:hint="eastAsia" w:asciiTheme="minorEastAsia" w:hAnsiTheme="minorEastAsia" w:eastAsiaTheme="minorEastAsia" w:cstheme="minorEastAsia"/>
          <w:color w:val="auto"/>
          <w:sz w:val="24"/>
          <w:szCs w:val="24"/>
          <w:highlight w:val="none"/>
        </w:rPr>
        <w:t>利物质条件</w:t>
      </w:r>
      <w:bookmarkEnd w:id="992"/>
    </w:p>
    <w:p w14:paraId="40FE61D6">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bookmarkStart w:id="999" w:name="_Toc312678016"/>
      <w:bookmarkStart w:id="1000" w:name="_Toc297216179"/>
      <w:bookmarkStart w:id="1001" w:name="_Toc318581172"/>
      <w:bookmarkStart w:id="1002" w:name="_Toc303539129"/>
      <w:bookmarkStart w:id="1003" w:name="_Toc300934972"/>
      <w:bookmarkStart w:id="1004" w:name="_Toc297123520"/>
      <w:bookmarkStart w:id="1005" w:name="_Toc304295550"/>
      <w:r>
        <w:rPr>
          <w:rFonts w:hint="eastAsia" w:asciiTheme="minorEastAsia" w:hAnsiTheme="minorEastAsia" w:eastAsiaTheme="minorEastAsia" w:cstheme="minorEastAsia"/>
          <w:color w:val="auto"/>
          <w:sz w:val="24"/>
          <w:szCs w:val="24"/>
          <w:highlight w:val="none"/>
        </w:rPr>
        <w:t>不利物质条件的其他情形和有关约定：</w:t>
      </w:r>
      <w:r>
        <w:rPr>
          <w:rFonts w:hint="eastAsia" w:asciiTheme="minorEastAsia" w:hAnsiTheme="minorEastAsia" w:eastAsiaTheme="minorEastAsia" w:cstheme="minorEastAsia"/>
          <w:color w:val="auto"/>
          <w:sz w:val="24"/>
          <w:szCs w:val="24"/>
          <w:highlight w:val="none"/>
          <w:u w:val="single"/>
        </w:rPr>
        <w:t xml:space="preserve">                    </w:t>
      </w:r>
    </w:p>
    <w:p w14:paraId="04CC3611">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999"/>
    <w:bookmarkEnd w:id="1000"/>
    <w:bookmarkEnd w:id="1001"/>
    <w:bookmarkEnd w:id="1002"/>
    <w:bookmarkEnd w:id="1003"/>
    <w:bookmarkEnd w:id="1004"/>
    <w:bookmarkEnd w:id="1005"/>
    <w:p w14:paraId="344E2FF9">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006" w:name="_Toc25838"/>
      <w:r>
        <w:rPr>
          <w:rFonts w:hint="eastAsia" w:asciiTheme="minorEastAsia" w:hAnsiTheme="minorEastAsia" w:eastAsiaTheme="minorEastAsia" w:cstheme="minorEastAsia"/>
          <w:color w:val="auto"/>
          <w:sz w:val="24"/>
          <w:szCs w:val="24"/>
          <w:highlight w:val="none"/>
        </w:rPr>
        <w:t>7</w:t>
      </w:r>
      <w:bookmarkStart w:id="1007" w:name="_Toc304295551"/>
      <w:bookmarkStart w:id="1008" w:name="_Toc303539130"/>
      <w:bookmarkStart w:id="1009" w:name="_Toc312678017"/>
      <w:bookmarkStart w:id="1010" w:name="_Toc297216180"/>
      <w:bookmarkStart w:id="1011" w:name="_Toc300934973"/>
      <w:bookmarkStart w:id="1012" w:name="_Toc297123521"/>
      <w:r>
        <w:rPr>
          <w:rFonts w:hint="eastAsia" w:asciiTheme="minorEastAsia" w:hAnsiTheme="minorEastAsia" w:eastAsiaTheme="minorEastAsia" w:cstheme="minorEastAsia"/>
          <w:color w:val="auto"/>
          <w:sz w:val="24"/>
          <w:szCs w:val="24"/>
          <w:highlight w:val="none"/>
        </w:rPr>
        <w:t>.7异常恶劣的气候条件</w:t>
      </w:r>
      <w:bookmarkEnd w:id="1006"/>
    </w:p>
    <w:bookmarkEnd w:id="1007"/>
    <w:bookmarkEnd w:id="1008"/>
    <w:bookmarkEnd w:id="1009"/>
    <w:bookmarkEnd w:id="1010"/>
    <w:bookmarkEnd w:id="1011"/>
    <w:bookmarkEnd w:id="1012"/>
    <w:p w14:paraId="582A89DD">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发包人和承包人同意以下情形视为异常恶劣的气候条件：</w:t>
      </w:r>
    </w:p>
    <w:p w14:paraId="4B6FE939">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p>
    <w:p w14:paraId="1ADA02B5">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p>
    <w:p w14:paraId="2CDC008F">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p>
    <w:p w14:paraId="56AB4861">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013" w:name="_Toc3343"/>
      <w:r>
        <w:rPr>
          <w:rFonts w:hint="eastAsia" w:asciiTheme="minorEastAsia" w:hAnsiTheme="minorEastAsia" w:eastAsiaTheme="minorEastAsia" w:cstheme="minorEastAsia"/>
          <w:color w:val="auto"/>
          <w:sz w:val="24"/>
          <w:szCs w:val="24"/>
          <w:highlight w:val="none"/>
        </w:rPr>
        <w:t>7.9 提前竣工的奖励</w:t>
      </w:r>
      <w:bookmarkEnd w:id="1013"/>
    </w:p>
    <w:p w14:paraId="43EB77BF">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7.9.2提前竣工的奖励：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76D19D3">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014" w:name="_Toc2528"/>
      <w:bookmarkStart w:id="1015" w:name="_Toc351203640"/>
      <w:r>
        <w:rPr>
          <w:rFonts w:hint="eastAsia" w:asciiTheme="minorEastAsia" w:hAnsiTheme="minorEastAsia" w:eastAsiaTheme="minorEastAsia" w:cstheme="minorEastAsia"/>
          <w:b w:val="0"/>
          <w:color w:val="auto"/>
          <w:sz w:val="24"/>
          <w:szCs w:val="24"/>
          <w:highlight w:val="none"/>
        </w:rPr>
        <w:t>8. 材料与设备</w:t>
      </w:r>
      <w:bookmarkEnd w:id="1014"/>
      <w:bookmarkEnd w:id="1015"/>
    </w:p>
    <w:bookmarkEnd w:id="926"/>
    <w:bookmarkEnd w:id="927"/>
    <w:bookmarkEnd w:id="928"/>
    <w:bookmarkEnd w:id="929"/>
    <w:bookmarkEnd w:id="930"/>
    <w:bookmarkEnd w:id="931"/>
    <w:bookmarkEnd w:id="932"/>
    <w:bookmarkEnd w:id="933"/>
    <w:bookmarkEnd w:id="934"/>
    <w:bookmarkEnd w:id="935"/>
    <w:p w14:paraId="13392A7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016" w:name="_Toc18367"/>
      <w:r>
        <w:rPr>
          <w:rFonts w:hint="eastAsia" w:asciiTheme="minorEastAsia" w:hAnsiTheme="minorEastAsia" w:eastAsiaTheme="minorEastAsia" w:cstheme="minorEastAsia"/>
          <w:color w:val="auto"/>
          <w:sz w:val="24"/>
          <w:szCs w:val="24"/>
          <w:highlight w:val="none"/>
        </w:rPr>
        <w:t>8</w:t>
      </w:r>
      <w:bookmarkStart w:id="1017" w:name="_Toc296346668"/>
      <w:bookmarkStart w:id="1018" w:name="_Toc292559372"/>
      <w:bookmarkStart w:id="1019" w:name="_Toc297216186"/>
      <w:bookmarkStart w:id="1020" w:name="_Toc297123527"/>
      <w:bookmarkStart w:id="1021" w:name="_Toc296891207"/>
      <w:bookmarkStart w:id="1022" w:name="_Toc312677493"/>
      <w:bookmarkStart w:id="1023" w:name="_Toc280868654"/>
      <w:bookmarkStart w:id="1024" w:name="_Toc296944506"/>
      <w:bookmarkStart w:id="1025" w:name="_Toc297120467"/>
      <w:bookmarkStart w:id="1026" w:name="_Toc304295556"/>
      <w:bookmarkStart w:id="1027" w:name="_Toc296890995"/>
      <w:bookmarkStart w:id="1028" w:name="_Toc300934979"/>
      <w:bookmarkStart w:id="1029" w:name="_Toc292559877"/>
      <w:bookmarkStart w:id="1030" w:name="_Toc297048353"/>
      <w:bookmarkStart w:id="1031" w:name="_Toc303539136"/>
      <w:bookmarkStart w:id="1032" w:name="_Toc312678019"/>
      <w:bookmarkStart w:id="1033" w:name="_Toc296347166"/>
      <w:bookmarkStart w:id="1034" w:name="_Toc296503167"/>
      <w:bookmarkStart w:id="1035" w:name="_Toc267251424"/>
      <w:bookmarkStart w:id="1036" w:name="_Toc280868656"/>
      <w:bookmarkStart w:id="1037" w:name="_Toc280868655"/>
      <w:r>
        <w:rPr>
          <w:rFonts w:hint="eastAsia" w:asciiTheme="minorEastAsia" w:hAnsiTheme="minorEastAsia" w:eastAsiaTheme="minorEastAsia" w:cstheme="minorEastAsia"/>
          <w:color w:val="auto"/>
          <w:sz w:val="24"/>
          <w:szCs w:val="24"/>
          <w:highlight w:val="none"/>
        </w:rPr>
        <w:t>.4材料与工程设备的保管与使用</w:t>
      </w:r>
      <w:bookmarkEnd w:id="1016"/>
    </w:p>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14:paraId="5974FC3A">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8</w:t>
      </w:r>
      <w:bookmarkStart w:id="1038" w:name="_Toc292559878"/>
      <w:bookmarkStart w:id="1039" w:name="_Toc292559373"/>
      <w:bookmarkStart w:id="1040" w:name="_Toc297048354"/>
      <w:bookmarkStart w:id="1041" w:name="_Toc296890996"/>
      <w:bookmarkStart w:id="1042" w:name="_Toc296346669"/>
      <w:bookmarkStart w:id="1043" w:name="_Toc297123528"/>
      <w:bookmarkStart w:id="1044" w:name="_Toc297120468"/>
      <w:bookmarkStart w:id="1045" w:name="_Toc318581173"/>
      <w:bookmarkStart w:id="1046" w:name="_Toc304295557"/>
      <w:bookmarkStart w:id="1047" w:name="_Toc312678020"/>
      <w:bookmarkStart w:id="1048" w:name="_Toc296347167"/>
      <w:bookmarkStart w:id="1049" w:name="_Toc296503168"/>
      <w:bookmarkStart w:id="1050" w:name="_Toc297216187"/>
      <w:bookmarkStart w:id="1051" w:name="_Toc296944507"/>
      <w:bookmarkStart w:id="1052" w:name="_Toc303539137"/>
      <w:bookmarkStart w:id="1053" w:name="_Toc312677494"/>
      <w:bookmarkStart w:id="1054" w:name="_Toc300934980"/>
      <w:bookmarkStart w:id="1055" w:name="_Toc296891208"/>
      <w:r>
        <w:rPr>
          <w:rFonts w:hint="eastAsia" w:asciiTheme="minorEastAsia" w:hAnsiTheme="minorEastAsia" w:eastAsiaTheme="minorEastAsia" w:cstheme="minorEastAsia"/>
          <w:color w:val="auto"/>
          <w:sz w:val="24"/>
          <w:szCs w:val="24"/>
          <w:highlight w:val="none"/>
        </w:rPr>
        <w:t>.4.1发包人供应的材料设备的保管费用的承担：</w:t>
      </w:r>
      <w:r>
        <w:rPr>
          <w:rFonts w:hint="eastAsia" w:asciiTheme="minorEastAsia" w:hAnsiTheme="minorEastAsia" w:eastAsiaTheme="minorEastAsia" w:cstheme="minorEastAsia"/>
          <w:color w:val="auto"/>
          <w:sz w:val="24"/>
          <w:szCs w:val="24"/>
          <w:highlight w:val="none"/>
          <w:u w:val="single"/>
        </w:rPr>
        <w:t xml:space="preserve">            </w:t>
      </w:r>
    </w:p>
    <w:p w14:paraId="16106A86">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bookmarkEnd w:id="1038"/>
      <w:bookmarkEnd w:id="1039"/>
    </w:p>
    <w:p w14:paraId="0DBB94F2">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056" w:name="_Toc30041"/>
      <w:r>
        <w:rPr>
          <w:rFonts w:hint="eastAsia" w:asciiTheme="minorEastAsia" w:hAnsiTheme="minorEastAsia" w:eastAsiaTheme="minorEastAsia" w:cstheme="minorEastAsia"/>
          <w:color w:val="auto"/>
          <w:sz w:val="24"/>
          <w:szCs w:val="24"/>
          <w:highlight w:val="none"/>
        </w:rPr>
        <w:t>8.6 样品</w:t>
      </w:r>
      <w:bookmarkEnd w:id="1056"/>
    </w:p>
    <w:p w14:paraId="7F6608FB">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057" w:name="_Toc27225"/>
      <w:r>
        <w:rPr>
          <w:rFonts w:hint="eastAsia" w:asciiTheme="minorEastAsia" w:hAnsiTheme="minorEastAsia" w:eastAsiaTheme="minorEastAsia" w:cstheme="minorEastAsia"/>
          <w:color w:val="auto"/>
          <w:kern w:val="0"/>
          <w:sz w:val="24"/>
          <w:szCs w:val="24"/>
          <w:highlight w:val="none"/>
        </w:rPr>
        <w:t>8.6.1</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样品的报送与封存</w:t>
      </w:r>
      <w:bookmarkEnd w:id="1057"/>
    </w:p>
    <w:p w14:paraId="6A7733B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需要承包人报送样品的材料或工程设备，样品的种类、名称、规格、数量要求：</w:t>
      </w:r>
      <w:r>
        <w:rPr>
          <w:rFonts w:hint="eastAsia" w:asciiTheme="minorEastAsia" w:hAnsiTheme="minorEastAsia" w:eastAsiaTheme="minorEastAsia" w:cstheme="minorEastAsia"/>
          <w:color w:val="auto"/>
          <w:sz w:val="24"/>
          <w:szCs w:val="24"/>
          <w:highlight w:val="none"/>
          <w:u w:val="single"/>
        </w:rPr>
        <w:t xml:space="preserve">                                          </w:t>
      </w:r>
    </w:p>
    <w:p w14:paraId="06F43A9E">
      <w:pPr>
        <w:autoSpaceDE w:val="0"/>
        <w:autoSpaceDN w:val="0"/>
        <w:adjustRightIn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8DF7498">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058" w:name="_Toc14240"/>
      <w:r>
        <w:rPr>
          <w:rFonts w:hint="eastAsia" w:asciiTheme="minorEastAsia" w:hAnsiTheme="minorEastAsia" w:eastAsiaTheme="minorEastAsia" w:cstheme="minorEastAsia"/>
          <w:color w:val="auto"/>
          <w:sz w:val="24"/>
          <w:szCs w:val="24"/>
          <w:highlight w:val="none"/>
        </w:rPr>
        <w:t>8.8 施工设备和临时设施</w:t>
      </w:r>
      <w:bookmarkEnd w:id="1058"/>
    </w:p>
    <w:p w14:paraId="33F8B539">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059" w:name="_Toc6630"/>
      <w:r>
        <w:rPr>
          <w:rFonts w:hint="eastAsia" w:asciiTheme="minorEastAsia" w:hAnsiTheme="minorEastAsia" w:eastAsiaTheme="minorEastAsia" w:cstheme="minorEastAsia"/>
          <w:color w:val="auto"/>
          <w:sz w:val="24"/>
          <w:szCs w:val="24"/>
          <w:highlight w:val="none"/>
        </w:rPr>
        <w:t>8.8.1 承包人提供的施工设备和临时设施</w:t>
      </w:r>
      <w:bookmarkEnd w:id="1059"/>
    </w:p>
    <w:p w14:paraId="6803C30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关于修建临时设施费用承担的约定：</w:t>
      </w:r>
      <w:r>
        <w:rPr>
          <w:rFonts w:hint="eastAsia" w:asciiTheme="minorEastAsia" w:hAnsiTheme="minorEastAsia" w:eastAsiaTheme="minorEastAsia" w:cstheme="minorEastAsia"/>
          <w:color w:val="auto"/>
          <w:sz w:val="24"/>
          <w:szCs w:val="24"/>
          <w:highlight w:val="none"/>
          <w:u w:val="single"/>
        </w:rPr>
        <w:t xml:space="preserve">                     </w:t>
      </w:r>
    </w:p>
    <w:p w14:paraId="3B4F71C8">
      <w:pPr>
        <w:autoSpaceDE w:val="0"/>
        <w:autoSpaceDN w:val="0"/>
        <w:adjustRightIn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14:paraId="10955B1A">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060" w:name="_Toc351203641"/>
      <w:bookmarkStart w:id="1061" w:name="_Toc26610"/>
      <w:r>
        <w:rPr>
          <w:rFonts w:hint="eastAsia" w:asciiTheme="minorEastAsia" w:hAnsiTheme="minorEastAsia" w:eastAsiaTheme="minorEastAsia" w:cstheme="minorEastAsia"/>
          <w:b w:val="0"/>
          <w:color w:val="auto"/>
          <w:sz w:val="24"/>
          <w:szCs w:val="24"/>
          <w:highlight w:val="none"/>
        </w:rPr>
        <w:t>9</w:t>
      </w:r>
      <w:bookmarkEnd w:id="1035"/>
      <w:bookmarkEnd w:id="1036"/>
      <w:bookmarkEnd w:id="1037"/>
      <w:bookmarkStart w:id="1062" w:name="_Toc304295559"/>
      <w:bookmarkStart w:id="1063" w:name="_Toc300934982"/>
      <w:bookmarkStart w:id="1064" w:name="_Toc312678021"/>
      <w:bookmarkStart w:id="1065" w:name="_Toc297123533"/>
      <w:bookmarkStart w:id="1066" w:name="_Toc303539139"/>
      <w:bookmarkStart w:id="1067" w:name="_Toc297216192"/>
      <w:bookmarkStart w:id="1068" w:name="_Toc312677495"/>
      <w:bookmarkStart w:id="1069" w:name="_Toc296891001"/>
      <w:bookmarkStart w:id="1070" w:name="_Toc296891213"/>
      <w:bookmarkStart w:id="1071" w:name="_Toc296503173"/>
      <w:bookmarkStart w:id="1072" w:name="_Toc297120473"/>
      <w:bookmarkStart w:id="1073" w:name="_Toc296944512"/>
      <w:bookmarkStart w:id="1074" w:name="_Toc292559378"/>
      <w:bookmarkStart w:id="1075" w:name="_Toc267251427"/>
      <w:bookmarkStart w:id="1076" w:name="_Toc292559883"/>
      <w:bookmarkStart w:id="1077" w:name="_Toc297048359"/>
      <w:bookmarkStart w:id="1078" w:name="_Toc296346674"/>
      <w:bookmarkStart w:id="1079" w:name="_Toc267251428"/>
      <w:bookmarkStart w:id="1080" w:name="_Toc296347172"/>
      <w:r>
        <w:rPr>
          <w:rFonts w:hint="eastAsia" w:asciiTheme="minorEastAsia" w:hAnsiTheme="minorEastAsia" w:eastAsiaTheme="minorEastAsia" w:cstheme="minorEastAsia"/>
          <w:b w:val="0"/>
          <w:color w:val="auto"/>
          <w:sz w:val="24"/>
          <w:szCs w:val="24"/>
          <w:highlight w:val="none"/>
        </w:rPr>
        <w:t>. 试验与检验</w:t>
      </w:r>
      <w:bookmarkEnd w:id="1060"/>
      <w:bookmarkEnd w:id="1061"/>
    </w:p>
    <w:bookmarkEnd w:id="1062"/>
    <w:bookmarkEnd w:id="1063"/>
    <w:bookmarkEnd w:id="1064"/>
    <w:bookmarkEnd w:id="1065"/>
    <w:bookmarkEnd w:id="1066"/>
    <w:bookmarkEnd w:id="1067"/>
    <w:bookmarkEnd w:id="1068"/>
    <w:p w14:paraId="11836F7C">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081" w:name="_Toc26020"/>
      <w:r>
        <w:rPr>
          <w:rFonts w:hint="eastAsia" w:asciiTheme="minorEastAsia" w:hAnsiTheme="minorEastAsia" w:eastAsiaTheme="minorEastAsia" w:cstheme="minorEastAsia"/>
          <w:color w:val="auto"/>
          <w:sz w:val="24"/>
          <w:szCs w:val="24"/>
          <w:highlight w:val="none"/>
        </w:rPr>
        <w:t>9</w:t>
      </w:r>
      <w:bookmarkStart w:id="1082" w:name="_Toc303539140"/>
      <w:bookmarkStart w:id="1083" w:name="_Toc297216193"/>
      <w:bookmarkStart w:id="1084" w:name="_Toc312677496"/>
      <w:bookmarkStart w:id="1085" w:name="_Toc312678022"/>
      <w:bookmarkStart w:id="1086" w:name="_Toc297123534"/>
      <w:bookmarkStart w:id="1087" w:name="_Toc300934983"/>
      <w:bookmarkStart w:id="1088" w:name="_Toc304295560"/>
      <w:r>
        <w:rPr>
          <w:rFonts w:hint="eastAsia" w:asciiTheme="minorEastAsia" w:hAnsiTheme="minorEastAsia" w:eastAsiaTheme="minorEastAsia" w:cstheme="minorEastAsia"/>
          <w:color w:val="auto"/>
          <w:sz w:val="24"/>
          <w:szCs w:val="24"/>
          <w:highlight w:val="none"/>
        </w:rPr>
        <w:t>.1试验设备与试验人员</w:t>
      </w:r>
      <w:bookmarkEnd w:id="1081"/>
    </w:p>
    <w:bookmarkEnd w:id="1082"/>
    <w:bookmarkEnd w:id="1083"/>
    <w:bookmarkEnd w:id="1084"/>
    <w:bookmarkEnd w:id="1085"/>
    <w:bookmarkEnd w:id="1086"/>
    <w:bookmarkEnd w:id="1087"/>
    <w:bookmarkEnd w:id="1088"/>
    <w:p w14:paraId="3F290480">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089" w:name="_Toc8643"/>
      <w:r>
        <w:rPr>
          <w:rFonts w:hint="eastAsia" w:asciiTheme="minorEastAsia" w:hAnsiTheme="minorEastAsia" w:eastAsiaTheme="minorEastAsia" w:cstheme="minorEastAsia"/>
          <w:color w:val="auto"/>
          <w:sz w:val="24"/>
          <w:szCs w:val="24"/>
          <w:highlight w:val="none"/>
        </w:rPr>
        <w:t>9</w:t>
      </w:r>
      <w:bookmarkStart w:id="1090" w:name="_Toc312677497"/>
      <w:bookmarkStart w:id="1091" w:name="_Toc312678023"/>
      <w:bookmarkStart w:id="1092" w:name="_Toc297123535"/>
      <w:bookmarkStart w:id="1093" w:name="_Toc304295561"/>
      <w:bookmarkStart w:id="1094" w:name="_Toc297216194"/>
      <w:bookmarkStart w:id="1095" w:name="_Toc300934984"/>
      <w:bookmarkStart w:id="1096" w:name="_Toc303539141"/>
      <w:bookmarkStart w:id="1097" w:name="_Toc318581174"/>
      <w:r>
        <w:rPr>
          <w:rFonts w:hint="eastAsia" w:asciiTheme="minorEastAsia" w:hAnsiTheme="minorEastAsia" w:eastAsiaTheme="minorEastAsia" w:cstheme="minorEastAsia"/>
          <w:color w:val="auto"/>
          <w:sz w:val="24"/>
          <w:szCs w:val="24"/>
          <w:highlight w:val="none"/>
        </w:rPr>
        <w:t>.1.2 试验设备</w:t>
      </w:r>
      <w:bookmarkEnd w:id="1089"/>
    </w:p>
    <w:p w14:paraId="624673F3">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施工现场需要配置的试验场所：</w:t>
      </w:r>
      <w:bookmarkEnd w:id="1090"/>
      <w:bookmarkEnd w:id="1091"/>
      <w:bookmarkEnd w:id="1092"/>
      <w:bookmarkEnd w:id="1093"/>
      <w:bookmarkEnd w:id="1094"/>
      <w:bookmarkEnd w:id="1095"/>
      <w:bookmarkEnd w:id="1096"/>
      <w:bookmarkStart w:id="1098" w:name="_Toc304295562"/>
      <w:bookmarkStart w:id="1099" w:name="_Toc300934985"/>
      <w:bookmarkStart w:id="1100" w:name="_Toc297123536"/>
      <w:bookmarkStart w:id="1101" w:name="_Toc303539142"/>
      <w:bookmarkStart w:id="1102" w:name="_Toc297216195"/>
      <w:bookmarkStart w:id="1103" w:name="_Toc312677498"/>
      <w:bookmarkStart w:id="1104" w:name="_Toc312678024"/>
      <w:r>
        <w:rPr>
          <w:rFonts w:hint="eastAsia" w:asciiTheme="minorEastAsia" w:hAnsiTheme="minorEastAsia" w:eastAsiaTheme="minorEastAsia" w:cstheme="minorEastAsia"/>
          <w:color w:val="auto"/>
          <w:sz w:val="24"/>
          <w:szCs w:val="24"/>
          <w:highlight w:val="none"/>
          <w:u w:val="single"/>
        </w:rPr>
        <w:t xml:space="preserve">                           </w:t>
      </w:r>
    </w:p>
    <w:p w14:paraId="2BA9B89F">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0C56962">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施工现场需要配备的试验设备：</w:t>
      </w:r>
      <w:r>
        <w:rPr>
          <w:rFonts w:hint="eastAsia" w:asciiTheme="minorEastAsia" w:hAnsiTheme="minorEastAsia" w:eastAsiaTheme="minorEastAsia" w:cstheme="minorEastAsia"/>
          <w:color w:val="auto"/>
          <w:sz w:val="24"/>
          <w:szCs w:val="24"/>
          <w:highlight w:val="none"/>
          <w:u w:val="single"/>
        </w:rPr>
        <w:t xml:space="preserve">                           </w:t>
      </w:r>
    </w:p>
    <w:p w14:paraId="546A6311">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4D1C0B7">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施工现场需要具备的其他试验条件：</w:t>
      </w:r>
      <w:r>
        <w:rPr>
          <w:rFonts w:hint="eastAsia" w:asciiTheme="minorEastAsia" w:hAnsiTheme="minorEastAsia" w:eastAsiaTheme="minorEastAsia" w:cstheme="minorEastAsia"/>
          <w:color w:val="auto"/>
          <w:sz w:val="24"/>
          <w:szCs w:val="24"/>
          <w:highlight w:val="none"/>
          <w:u w:val="single"/>
        </w:rPr>
        <w:t xml:space="preserve">                      </w:t>
      </w:r>
    </w:p>
    <w:p w14:paraId="19AB4FEB">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5121D9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105" w:name="_Toc18355"/>
      <w:r>
        <w:rPr>
          <w:rFonts w:hint="eastAsia" w:asciiTheme="minorEastAsia" w:hAnsiTheme="minorEastAsia" w:eastAsiaTheme="minorEastAsia" w:cstheme="minorEastAsia"/>
          <w:color w:val="auto"/>
          <w:sz w:val="24"/>
          <w:szCs w:val="24"/>
          <w:highlight w:val="none"/>
        </w:rPr>
        <w:t>9.4 现场工艺试验</w:t>
      </w:r>
      <w:bookmarkEnd w:id="1105"/>
      <w:r>
        <w:rPr>
          <w:rFonts w:hint="eastAsia" w:asciiTheme="minorEastAsia" w:hAnsiTheme="minorEastAsia" w:eastAsiaTheme="minorEastAsia" w:cstheme="minorEastAsia"/>
          <w:color w:val="auto"/>
          <w:sz w:val="24"/>
          <w:szCs w:val="24"/>
          <w:highlight w:val="none"/>
        </w:rPr>
        <w:t xml:space="preserve"> </w:t>
      </w:r>
    </w:p>
    <w:p w14:paraId="0077634E">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现场工艺试验的有关约定：</w:t>
      </w:r>
      <w:r>
        <w:rPr>
          <w:rFonts w:hint="eastAsia" w:asciiTheme="minorEastAsia" w:hAnsiTheme="minorEastAsia" w:eastAsiaTheme="minorEastAsia" w:cstheme="minorEastAsia"/>
          <w:color w:val="auto"/>
          <w:sz w:val="24"/>
          <w:szCs w:val="24"/>
          <w:highlight w:val="none"/>
          <w:u w:val="single"/>
        </w:rPr>
        <w:t xml:space="preserve">                              </w:t>
      </w:r>
    </w:p>
    <w:p w14:paraId="5EA6B030">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097"/>
    <w:bookmarkEnd w:id="1098"/>
    <w:bookmarkEnd w:id="1099"/>
    <w:bookmarkEnd w:id="1100"/>
    <w:bookmarkEnd w:id="1101"/>
    <w:bookmarkEnd w:id="1102"/>
    <w:bookmarkEnd w:id="1103"/>
    <w:bookmarkEnd w:id="1104"/>
    <w:p w14:paraId="5E359C52">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106" w:name="_Toc351203642"/>
      <w:bookmarkStart w:id="1107" w:name="_Toc6440"/>
      <w:r>
        <w:rPr>
          <w:rFonts w:hint="eastAsia" w:asciiTheme="minorEastAsia" w:hAnsiTheme="minorEastAsia" w:eastAsiaTheme="minorEastAsia" w:cstheme="minorEastAsia"/>
          <w:b w:val="0"/>
          <w:color w:val="auto"/>
          <w:sz w:val="24"/>
          <w:szCs w:val="24"/>
          <w:highlight w:val="none"/>
        </w:rPr>
        <w:t>1</w:t>
      </w:r>
      <w:bookmarkEnd w:id="1069"/>
      <w:bookmarkEnd w:id="1070"/>
      <w:bookmarkEnd w:id="1071"/>
      <w:bookmarkEnd w:id="1072"/>
      <w:bookmarkEnd w:id="1073"/>
      <w:bookmarkEnd w:id="1074"/>
      <w:bookmarkEnd w:id="1075"/>
      <w:bookmarkEnd w:id="1076"/>
      <w:bookmarkEnd w:id="1077"/>
      <w:bookmarkEnd w:id="1078"/>
      <w:bookmarkEnd w:id="1079"/>
      <w:bookmarkEnd w:id="1080"/>
      <w:bookmarkStart w:id="1108" w:name="_Toc303539146"/>
      <w:bookmarkStart w:id="1109" w:name="_Toc292559903"/>
      <w:bookmarkStart w:id="1110" w:name="_Toc300934989"/>
      <w:bookmarkStart w:id="1111" w:name="_Toc296347192"/>
      <w:bookmarkStart w:id="1112" w:name="_Toc297120493"/>
      <w:bookmarkStart w:id="1113" w:name="_Toc297216199"/>
      <w:bookmarkStart w:id="1114" w:name="_Toc304295566"/>
      <w:bookmarkStart w:id="1115" w:name="_Toc296503193"/>
      <w:bookmarkStart w:id="1116" w:name="_Toc296891233"/>
      <w:bookmarkStart w:id="1117" w:name="_Toc296891021"/>
      <w:bookmarkStart w:id="1118" w:name="_Toc297048379"/>
      <w:bookmarkStart w:id="1119" w:name="_Toc296944532"/>
      <w:bookmarkStart w:id="1120" w:name="_Toc296346694"/>
      <w:bookmarkStart w:id="1121" w:name="_Toc292559398"/>
      <w:bookmarkStart w:id="1122" w:name="_Toc297123540"/>
      <w:bookmarkStart w:id="1123" w:name="_Toc312678025"/>
      <w:bookmarkStart w:id="1124" w:name="_Toc312677499"/>
      <w:bookmarkStart w:id="1125" w:name="_Toc267251441"/>
      <w:bookmarkStart w:id="1126" w:name="_Toc267251440"/>
      <w:bookmarkStart w:id="1127" w:name="_Toc267251435"/>
      <w:bookmarkStart w:id="1128" w:name="_Toc267251437"/>
      <w:bookmarkStart w:id="1129" w:name="_Toc267251433"/>
      <w:bookmarkStart w:id="1130" w:name="_Toc267251439"/>
      <w:bookmarkStart w:id="1131" w:name="_Toc267251442"/>
      <w:r>
        <w:rPr>
          <w:rFonts w:hint="eastAsia" w:asciiTheme="minorEastAsia" w:hAnsiTheme="minorEastAsia" w:eastAsiaTheme="minorEastAsia" w:cstheme="minorEastAsia"/>
          <w:b w:val="0"/>
          <w:color w:val="auto"/>
          <w:sz w:val="24"/>
          <w:szCs w:val="24"/>
          <w:highlight w:val="none"/>
        </w:rPr>
        <w:t>0. 变更</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bookmarkEnd w:id="1123"/>
    <w:bookmarkEnd w:id="1124"/>
    <w:p w14:paraId="787F6414">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132" w:name="_Toc9325"/>
      <w:r>
        <w:rPr>
          <w:rFonts w:hint="eastAsia" w:asciiTheme="minorEastAsia" w:hAnsiTheme="minorEastAsia" w:eastAsiaTheme="minorEastAsia" w:cstheme="minorEastAsia"/>
          <w:color w:val="auto"/>
          <w:sz w:val="24"/>
          <w:szCs w:val="24"/>
          <w:highlight w:val="none"/>
        </w:rPr>
        <w:t>1</w:t>
      </w:r>
      <w:bookmarkStart w:id="1133" w:name="_Toc296503194"/>
      <w:bookmarkStart w:id="1134" w:name="_Toc297120494"/>
      <w:bookmarkStart w:id="1135" w:name="_Toc312678026"/>
      <w:bookmarkStart w:id="1136" w:name="_Toc303539147"/>
      <w:bookmarkStart w:id="1137" w:name="_Toc296347193"/>
      <w:bookmarkStart w:id="1138" w:name="_Toc312677500"/>
      <w:bookmarkStart w:id="1139" w:name="_Toc296944533"/>
      <w:bookmarkStart w:id="1140" w:name="_Toc297123541"/>
      <w:bookmarkStart w:id="1141" w:name="_Toc292559904"/>
      <w:bookmarkStart w:id="1142" w:name="_Toc296346695"/>
      <w:bookmarkStart w:id="1143" w:name="_Toc296891022"/>
      <w:bookmarkStart w:id="1144" w:name="_Toc292559399"/>
      <w:bookmarkStart w:id="1145" w:name="_Toc296891234"/>
      <w:bookmarkStart w:id="1146" w:name="_Toc297216200"/>
      <w:bookmarkStart w:id="1147" w:name="_Toc297048380"/>
      <w:bookmarkStart w:id="1148" w:name="_Toc300934990"/>
      <w:bookmarkStart w:id="1149" w:name="_Toc304295567"/>
      <w:r>
        <w:rPr>
          <w:rFonts w:hint="eastAsia" w:asciiTheme="minorEastAsia" w:hAnsiTheme="minorEastAsia" w:eastAsiaTheme="minorEastAsia" w:cstheme="minorEastAsia"/>
          <w:color w:val="auto"/>
          <w:sz w:val="24"/>
          <w:szCs w:val="24"/>
          <w:highlight w:val="none"/>
        </w:rPr>
        <w:t>0.1变更的范围</w:t>
      </w:r>
      <w:bookmarkEnd w:id="1132"/>
    </w:p>
    <w:p w14:paraId="01558FB0">
      <w:pPr>
        <w:spacing w:line="360" w:lineRule="auto"/>
        <w:ind w:firstLine="6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w:t>
      </w:r>
      <w:r>
        <w:rPr>
          <w:rFonts w:hint="eastAsia" w:asciiTheme="minorEastAsia" w:hAnsiTheme="minorEastAsia" w:eastAsiaTheme="minorEastAsia" w:cstheme="minorEastAsia"/>
          <w:color w:val="auto"/>
          <w:sz w:val="24"/>
          <w:szCs w:val="24"/>
          <w:highlight w:val="none"/>
          <w:lang w:eastAsia="zh-CN"/>
        </w:rPr>
        <w:t>变更</w:t>
      </w:r>
      <w:r>
        <w:rPr>
          <w:rFonts w:hint="eastAsia" w:asciiTheme="minorEastAsia" w:hAnsiTheme="minorEastAsia" w:eastAsiaTheme="minorEastAsia" w:cstheme="minorEastAsia"/>
          <w:color w:val="auto"/>
          <w:sz w:val="24"/>
          <w:szCs w:val="24"/>
          <w:highlight w:val="none"/>
        </w:rPr>
        <w:t>范围的约定：</w:t>
      </w:r>
      <w:r>
        <w:rPr>
          <w:rFonts w:hint="eastAsia" w:asciiTheme="minorEastAsia" w:hAnsiTheme="minorEastAsia" w:eastAsiaTheme="minorEastAsia" w:cstheme="minorEastAsia"/>
          <w:color w:val="auto"/>
          <w:sz w:val="24"/>
          <w:szCs w:val="24"/>
          <w:highlight w:val="none"/>
          <w:u w:val="single"/>
        </w:rPr>
        <w:t xml:space="preserve">                                </w:t>
      </w:r>
    </w:p>
    <w:p w14:paraId="2B53B24F">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3F67D7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150" w:name="_Toc26463"/>
      <w:r>
        <w:rPr>
          <w:rFonts w:hint="eastAsia" w:asciiTheme="minorEastAsia" w:hAnsiTheme="minorEastAsia" w:eastAsiaTheme="minorEastAsia" w:cstheme="minorEastAsia"/>
          <w:color w:val="auto"/>
          <w:sz w:val="24"/>
          <w:szCs w:val="24"/>
          <w:highlight w:val="none"/>
        </w:rPr>
        <w:t>10.4 变更估价</w:t>
      </w:r>
      <w:bookmarkEnd w:id="1150"/>
    </w:p>
    <w:p w14:paraId="35FD7A57">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151" w:name="_Toc1336"/>
      <w:r>
        <w:rPr>
          <w:rFonts w:hint="eastAsia" w:asciiTheme="minorEastAsia" w:hAnsiTheme="minorEastAsia" w:eastAsiaTheme="minorEastAsia" w:cstheme="minorEastAsia"/>
          <w:color w:val="auto"/>
          <w:sz w:val="24"/>
          <w:szCs w:val="24"/>
          <w:highlight w:val="none"/>
        </w:rPr>
        <w:t>10.4.1 变更估价原则</w:t>
      </w:r>
      <w:bookmarkEnd w:id="1151"/>
    </w:p>
    <w:p w14:paraId="047FEB51">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关于变更估价的约定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C69FDD0">
      <w:pPr>
        <w:spacing w:line="360" w:lineRule="auto"/>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48C4B38">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152" w:name="_Toc30930"/>
      <w:r>
        <w:rPr>
          <w:rFonts w:hint="eastAsia" w:asciiTheme="minorEastAsia" w:hAnsiTheme="minorEastAsia" w:eastAsiaTheme="minorEastAsia" w:cstheme="minorEastAsia"/>
          <w:color w:val="auto"/>
          <w:sz w:val="24"/>
          <w:szCs w:val="24"/>
          <w:highlight w:val="none"/>
        </w:rPr>
        <w:t>1</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Start w:id="1153" w:name="_Toc303539150"/>
      <w:bookmarkStart w:id="1154" w:name="_Toc296346698"/>
      <w:bookmarkStart w:id="1155" w:name="_Toc297048383"/>
      <w:bookmarkStart w:id="1156" w:name="_Toc296944536"/>
      <w:bookmarkStart w:id="1157" w:name="_Toc292559402"/>
      <w:bookmarkStart w:id="1158" w:name="_Toc296891237"/>
      <w:bookmarkStart w:id="1159" w:name="_Toc300934993"/>
      <w:bookmarkStart w:id="1160" w:name="_Toc296891025"/>
      <w:bookmarkStart w:id="1161" w:name="_Toc297216203"/>
      <w:bookmarkStart w:id="1162" w:name="_Toc297120497"/>
      <w:bookmarkStart w:id="1163" w:name="_Toc296503197"/>
      <w:bookmarkStart w:id="1164" w:name="_Toc292559907"/>
      <w:bookmarkStart w:id="1165" w:name="_Toc296347196"/>
      <w:bookmarkStart w:id="1166" w:name="_Toc297123544"/>
      <w:bookmarkStart w:id="1167" w:name="_Toc312677503"/>
      <w:bookmarkStart w:id="1168" w:name="_Toc304295570"/>
      <w:bookmarkStart w:id="1169" w:name="_Toc312678029"/>
      <w:r>
        <w:rPr>
          <w:rFonts w:hint="eastAsia" w:asciiTheme="minorEastAsia" w:hAnsiTheme="minorEastAsia" w:eastAsiaTheme="minorEastAsia" w:cstheme="minorEastAsia"/>
          <w:color w:val="auto"/>
          <w:sz w:val="24"/>
          <w:szCs w:val="24"/>
          <w:highlight w:val="none"/>
        </w:rPr>
        <w:t>0.5承</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Start w:id="1170" w:name="_Toc296503203"/>
      <w:bookmarkStart w:id="1171" w:name="_Toc296346704"/>
      <w:bookmarkStart w:id="1172" w:name="_Toc296347202"/>
      <w:bookmarkStart w:id="1173" w:name="_Toc297120503"/>
      <w:bookmarkStart w:id="1174" w:name="_Toc300934994"/>
      <w:bookmarkStart w:id="1175" w:name="_Toc292559913"/>
      <w:bookmarkStart w:id="1176" w:name="_Toc297216204"/>
      <w:bookmarkStart w:id="1177" w:name="_Toc297123545"/>
      <w:bookmarkStart w:id="1178" w:name="_Toc296891031"/>
      <w:bookmarkStart w:id="1179" w:name="_Toc297048389"/>
      <w:bookmarkStart w:id="1180" w:name="_Toc292559408"/>
      <w:bookmarkStart w:id="1181" w:name="_Toc296944542"/>
      <w:bookmarkStart w:id="1182" w:name="_Toc296891243"/>
      <w:bookmarkStart w:id="1183" w:name="_Toc303539151"/>
      <w:r>
        <w:rPr>
          <w:rFonts w:hint="eastAsia" w:asciiTheme="minorEastAsia" w:hAnsiTheme="minorEastAsia" w:eastAsiaTheme="minorEastAsia" w:cstheme="minorEastAsia"/>
          <w:color w:val="auto"/>
          <w:sz w:val="24"/>
          <w:szCs w:val="24"/>
          <w:highlight w:val="none"/>
        </w:rPr>
        <w:t>包人的合理化建议</w:t>
      </w:r>
      <w:bookmarkEnd w:id="1152"/>
    </w:p>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14:paraId="1A8A254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监理人审查承包人合理化建议的期限：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E5AA5B5">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发包人审批承包人合理化建议的期限：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3A250E5">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w:t>
      </w:r>
      <w:bookmarkStart w:id="1184" w:name="_Toc312677504"/>
      <w:bookmarkStart w:id="1185" w:name="_Toc296503204"/>
      <w:bookmarkStart w:id="1186" w:name="_Toc318581175"/>
      <w:bookmarkStart w:id="1187" w:name="_Toc300934995"/>
      <w:bookmarkStart w:id="1188" w:name="_Toc296891032"/>
      <w:bookmarkStart w:id="1189" w:name="_Toc303539152"/>
      <w:bookmarkStart w:id="1190" w:name="_Toc296346705"/>
      <w:bookmarkStart w:id="1191" w:name="_Toc297120504"/>
      <w:bookmarkStart w:id="1192" w:name="_Toc297048390"/>
      <w:bookmarkStart w:id="1193" w:name="_Toc292559409"/>
      <w:bookmarkStart w:id="1194" w:name="_Toc312678030"/>
      <w:bookmarkStart w:id="1195" w:name="_Toc304295571"/>
      <w:bookmarkStart w:id="1196" w:name="_Toc297216205"/>
      <w:bookmarkStart w:id="1197" w:name="_Toc296347203"/>
      <w:bookmarkStart w:id="1198" w:name="_Toc297123546"/>
      <w:bookmarkStart w:id="1199" w:name="_Toc296891244"/>
      <w:bookmarkStart w:id="1200" w:name="_Toc292559914"/>
      <w:bookmarkStart w:id="1201" w:name="_Toc296944543"/>
      <w:r>
        <w:rPr>
          <w:rFonts w:hint="eastAsia" w:asciiTheme="minorEastAsia" w:hAnsiTheme="minorEastAsia" w:eastAsiaTheme="minorEastAsia" w:cstheme="minorEastAsia"/>
          <w:color w:val="auto"/>
          <w:sz w:val="24"/>
          <w:szCs w:val="24"/>
          <w:highlight w:val="none"/>
        </w:rPr>
        <w:t>包人提出的合理化建议降低了合同价格或者提高了工程经济效益的奖励的方法和金额为：</w:t>
      </w:r>
      <w:r>
        <w:rPr>
          <w:rFonts w:hint="eastAsia" w:asciiTheme="minorEastAsia" w:hAnsiTheme="minorEastAsia" w:eastAsiaTheme="minorEastAsia" w:cstheme="minorEastAsia"/>
          <w:color w:val="auto"/>
          <w:sz w:val="24"/>
          <w:szCs w:val="24"/>
          <w:highlight w:val="none"/>
          <w:u w:val="single"/>
        </w:rPr>
        <w:t xml:space="preserve">                                </w:t>
      </w:r>
    </w:p>
    <w:p w14:paraId="0EFA81D3">
      <w:pPr>
        <w:spacing w:line="360" w:lineRule="auto"/>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14:paraId="3293508C">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202" w:name="_Toc29447"/>
      <w:r>
        <w:rPr>
          <w:rFonts w:hint="eastAsia" w:asciiTheme="minorEastAsia" w:hAnsiTheme="minorEastAsia" w:eastAsiaTheme="minorEastAsia" w:cstheme="minorEastAsia"/>
          <w:color w:val="auto"/>
          <w:sz w:val="24"/>
          <w:szCs w:val="24"/>
          <w:highlight w:val="none"/>
        </w:rPr>
        <w:t>1</w:t>
      </w:r>
      <w:bookmarkStart w:id="1203" w:name="_Toc304295574"/>
      <w:bookmarkStart w:id="1204" w:name="_Toc296891239"/>
      <w:bookmarkStart w:id="1205" w:name="_Toc292559909"/>
      <w:bookmarkStart w:id="1206" w:name="_Toc297216207"/>
      <w:bookmarkStart w:id="1207" w:name="_Toc297123548"/>
      <w:bookmarkStart w:id="1208" w:name="_Toc296346700"/>
      <w:bookmarkStart w:id="1209" w:name="_Toc297120499"/>
      <w:bookmarkStart w:id="1210" w:name="_Toc312678033"/>
      <w:bookmarkStart w:id="1211" w:name="_Toc297048385"/>
      <w:bookmarkStart w:id="1212" w:name="_Toc296347198"/>
      <w:bookmarkStart w:id="1213" w:name="_Toc292559404"/>
      <w:bookmarkStart w:id="1214" w:name="_Toc296503199"/>
      <w:bookmarkStart w:id="1215" w:name="_Toc312677507"/>
      <w:bookmarkStart w:id="1216" w:name="_Toc300934997"/>
      <w:bookmarkStart w:id="1217" w:name="_Toc296944538"/>
      <w:bookmarkStart w:id="1218" w:name="_Toc296891027"/>
      <w:bookmarkStart w:id="1219" w:name="_Toc303539154"/>
      <w:r>
        <w:rPr>
          <w:rFonts w:hint="eastAsia" w:asciiTheme="minorEastAsia" w:hAnsiTheme="minorEastAsia" w:eastAsiaTheme="minorEastAsia" w:cstheme="minorEastAsia"/>
          <w:color w:val="auto"/>
          <w:sz w:val="24"/>
          <w:szCs w:val="24"/>
          <w:highlight w:val="none"/>
        </w:rPr>
        <w:t>0.7 暂估价</w:t>
      </w:r>
      <w:bookmarkEnd w:id="1202"/>
    </w:p>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14:paraId="221C60B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暂</w:t>
      </w:r>
      <w:bookmarkStart w:id="1220" w:name="_Toc318581176"/>
      <w:bookmarkStart w:id="1221" w:name="_Toc312678034"/>
      <w:bookmarkStart w:id="1222" w:name="_Toc312677508"/>
      <w:r>
        <w:rPr>
          <w:rFonts w:hint="eastAsia" w:asciiTheme="minorEastAsia" w:hAnsiTheme="minorEastAsia" w:eastAsiaTheme="minorEastAsia" w:cstheme="minorEastAsia"/>
          <w:color w:val="auto"/>
          <w:kern w:val="0"/>
          <w:sz w:val="24"/>
          <w:szCs w:val="24"/>
          <w:highlight w:val="none"/>
        </w:rPr>
        <w:t>估价材料和工程设备的明细详见附件11：《</w:t>
      </w:r>
      <w:r>
        <w:rPr>
          <w:rFonts w:hint="eastAsia" w:asciiTheme="minorEastAsia" w:hAnsiTheme="minorEastAsia" w:eastAsiaTheme="minorEastAsia" w:cstheme="minorEastAsia"/>
          <w:color w:val="auto"/>
          <w:sz w:val="24"/>
          <w:szCs w:val="24"/>
          <w:highlight w:val="none"/>
        </w:rPr>
        <w:t>暂估价一览表》</w:t>
      </w:r>
      <w:r>
        <w:rPr>
          <w:rFonts w:hint="eastAsia" w:asciiTheme="minorEastAsia" w:hAnsiTheme="minorEastAsia" w:eastAsiaTheme="minorEastAsia" w:cstheme="minorEastAsia"/>
          <w:color w:val="auto"/>
          <w:kern w:val="0"/>
          <w:sz w:val="24"/>
          <w:szCs w:val="24"/>
          <w:highlight w:val="none"/>
        </w:rPr>
        <w:t>。</w:t>
      </w:r>
    </w:p>
    <w:bookmarkEnd w:id="1220"/>
    <w:bookmarkEnd w:id="1221"/>
    <w:bookmarkEnd w:id="1222"/>
    <w:p w14:paraId="09E54F29">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223" w:name="_Toc4109"/>
      <w:r>
        <w:rPr>
          <w:rFonts w:hint="eastAsia" w:asciiTheme="minorEastAsia" w:hAnsiTheme="minorEastAsia" w:eastAsiaTheme="minorEastAsia" w:cstheme="minorEastAsia"/>
          <w:color w:val="auto"/>
          <w:sz w:val="24"/>
          <w:szCs w:val="24"/>
          <w:highlight w:val="none"/>
        </w:rPr>
        <w:t>1</w:t>
      </w:r>
      <w:bookmarkStart w:id="1224" w:name="_Toc318581177"/>
      <w:bookmarkStart w:id="1225" w:name="_Toc312677509"/>
      <w:bookmarkStart w:id="1226" w:name="_Toc312678035"/>
      <w:r>
        <w:rPr>
          <w:rFonts w:hint="eastAsia" w:asciiTheme="minorEastAsia" w:hAnsiTheme="minorEastAsia" w:eastAsiaTheme="minorEastAsia" w:cstheme="minorEastAsia"/>
          <w:color w:val="auto"/>
          <w:sz w:val="24"/>
          <w:szCs w:val="24"/>
          <w:highlight w:val="none"/>
        </w:rPr>
        <w:t>0.7.1 依法必须招标的暂估价项目</w:t>
      </w:r>
      <w:bookmarkEnd w:id="1223"/>
    </w:p>
    <w:bookmarkEnd w:id="1224"/>
    <w:bookmarkEnd w:id="1225"/>
    <w:bookmarkEnd w:id="1226"/>
    <w:p w14:paraId="41D05F29">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对于依法必须招标的暂估价项目的确认和批准采取第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种方式确定。</w:t>
      </w:r>
    </w:p>
    <w:p w14:paraId="52F95829">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227" w:name="_Toc13815"/>
      <w:r>
        <w:rPr>
          <w:rFonts w:hint="eastAsia" w:asciiTheme="minorEastAsia" w:hAnsiTheme="minorEastAsia" w:eastAsiaTheme="minorEastAsia" w:cstheme="minorEastAsia"/>
          <w:color w:val="auto"/>
          <w:sz w:val="24"/>
          <w:szCs w:val="24"/>
          <w:highlight w:val="none"/>
        </w:rPr>
        <w:t>10.7.2 不属于依法必须招标的暂估价项目</w:t>
      </w:r>
      <w:bookmarkEnd w:id="1227"/>
    </w:p>
    <w:p w14:paraId="50486F5D">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对于不属于依法必须招标的暂估价项目的确认和批准采取第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种方式确定。</w:t>
      </w:r>
    </w:p>
    <w:p w14:paraId="729BDC3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第3种方式：</w:t>
      </w:r>
      <w:r>
        <w:rPr>
          <w:rFonts w:hint="eastAsia" w:asciiTheme="minorEastAsia" w:hAnsiTheme="minorEastAsia" w:eastAsiaTheme="minorEastAsia" w:cstheme="minorEastAsia"/>
          <w:color w:val="auto"/>
          <w:kern w:val="0"/>
          <w:sz w:val="24"/>
          <w:szCs w:val="24"/>
          <w:highlight w:val="none"/>
        </w:rPr>
        <w:t>承包人直接实施的暂估价项目</w:t>
      </w:r>
    </w:p>
    <w:p w14:paraId="207C0C7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承包人直接实施的暂估价项目的约定：</w:t>
      </w:r>
      <w:r>
        <w:rPr>
          <w:rFonts w:hint="eastAsia" w:asciiTheme="minorEastAsia" w:hAnsiTheme="minorEastAsia" w:eastAsiaTheme="minorEastAsia" w:cstheme="minorEastAsia"/>
          <w:color w:val="auto"/>
          <w:sz w:val="24"/>
          <w:szCs w:val="24"/>
          <w:highlight w:val="none"/>
          <w:u w:val="single"/>
        </w:rPr>
        <w:t xml:space="preserve">                     </w:t>
      </w:r>
    </w:p>
    <w:p w14:paraId="54CEF80B">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84BAD36">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228" w:name="_Toc11643"/>
      <w:r>
        <w:rPr>
          <w:rFonts w:hint="eastAsia" w:asciiTheme="minorEastAsia" w:hAnsiTheme="minorEastAsia" w:eastAsiaTheme="minorEastAsia" w:cstheme="minorEastAsia"/>
          <w:color w:val="auto"/>
          <w:sz w:val="24"/>
          <w:szCs w:val="24"/>
          <w:highlight w:val="none"/>
        </w:rPr>
        <w:t>10.8 暂列金额</w:t>
      </w:r>
      <w:bookmarkEnd w:id="1228"/>
    </w:p>
    <w:p w14:paraId="4F308C9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合同当事人关于暂列金额使用的约定：</w:t>
      </w:r>
      <w:r>
        <w:rPr>
          <w:rFonts w:hint="eastAsia" w:asciiTheme="minorEastAsia" w:hAnsiTheme="minorEastAsia" w:eastAsiaTheme="minorEastAsia" w:cstheme="minorEastAsia"/>
          <w:color w:val="auto"/>
          <w:sz w:val="24"/>
          <w:szCs w:val="24"/>
          <w:highlight w:val="none"/>
          <w:u w:val="single"/>
        </w:rPr>
        <w:t xml:space="preserve">                     </w:t>
      </w:r>
    </w:p>
    <w:p w14:paraId="7782B267">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4147FB9A">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229" w:name="_Toc351203643"/>
      <w:bookmarkStart w:id="1230" w:name="_Toc10908"/>
      <w:r>
        <w:rPr>
          <w:rFonts w:hint="eastAsia" w:asciiTheme="minorEastAsia" w:hAnsiTheme="minorEastAsia" w:eastAsiaTheme="minorEastAsia" w:cstheme="minorEastAsia"/>
          <w:b w:val="0"/>
          <w:color w:val="auto"/>
          <w:sz w:val="24"/>
          <w:szCs w:val="24"/>
          <w:highlight w:val="none"/>
        </w:rPr>
        <w:t>11. 价格调整</w:t>
      </w:r>
      <w:bookmarkEnd w:id="1229"/>
      <w:bookmarkEnd w:id="1230"/>
    </w:p>
    <w:p w14:paraId="449A8C15">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231" w:name="_Toc27106"/>
      <w:bookmarkStart w:id="1232" w:name="_Toc292559911"/>
      <w:bookmarkStart w:id="1233" w:name="_Toc296503201"/>
      <w:bookmarkStart w:id="1234" w:name="_Toc312678039"/>
      <w:bookmarkStart w:id="1235" w:name="_Toc296944540"/>
      <w:bookmarkStart w:id="1236" w:name="_Toc292559406"/>
      <w:bookmarkStart w:id="1237" w:name="_Toc296346702"/>
      <w:bookmarkStart w:id="1238" w:name="_Toc296347200"/>
      <w:bookmarkStart w:id="1239" w:name="_Toc296891241"/>
      <w:bookmarkStart w:id="1240" w:name="_Toc297216209"/>
      <w:bookmarkStart w:id="1241" w:name="_Toc300935000"/>
      <w:bookmarkStart w:id="1242" w:name="_Toc297123550"/>
      <w:bookmarkStart w:id="1243" w:name="_Toc297120501"/>
      <w:bookmarkStart w:id="1244" w:name="_Toc297048387"/>
      <w:bookmarkStart w:id="1245" w:name="_Toc296891029"/>
      <w:bookmarkStart w:id="1246" w:name="_Toc303539157"/>
      <w:bookmarkStart w:id="1247" w:name="_Toc304295577"/>
      <w:r>
        <w:rPr>
          <w:rFonts w:hint="eastAsia" w:asciiTheme="minorEastAsia" w:hAnsiTheme="minorEastAsia" w:eastAsiaTheme="minorEastAsia" w:cstheme="minorEastAsia"/>
          <w:color w:val="auto"/>
          <w:sz w:val="24"/>
          <w:szCs w:val="24"/>
          <w:highlight w:val="none"/>
        </w:rPr>
        <w:t>11.1 市场价格波动引起的调整</w:t>
      </w:r>
      <w:bookmarkEnd w:id="1231"/>
    </w:p>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14:paraId="5463881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市场价格波动是否调整合同价格的约定：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952331F">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因市场价格波动调整合同价格，采用以下第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种方式对合同价格进行调整：</w:t>
      </w:r>
    </w:p>
    <w:p w14:paraId="38D97CDE">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第1种方式：采用价格指数进行价格调整。</w:t>
      </w:r>
    </w:p>
    <w:p w14:paraId="5FBC7FFF">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关于各可调因子、定值和变值权重，以及基本价格指数及其来源的约定：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A382E2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第2种方式：采用造价信息进行价格调整。</w:t>
      </w:r>
    </w:p>
    <w:p w14:paraId="1206A24A">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（2）关于基准价格的约定：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0EF8A31">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%时，或材料单价跌幅以已标价工程量清单或预算书中载明材料单价为基础超过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%时，其超过部分据实调整。</w:t>
      </w:r>
    </w:p>
    <w:p w14:paraId="0F4871E4">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%时，材料单价涨幅以已标价工程量清单或预算书中载明材料单价为基础超过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%时，其超过部分据实调整。</w:t>
      </w:r>
    </w:p>
    <w:p w14:paraId="4D472A6A">
      <w:pPr>
        <w:spacing w:line="360" w:lineRule="auto"/>
        <w:ind w:firstLine="64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%时，其超过部分据实调整。</w:t>
      </w:r>
    </w:p>
    <w:p w14:paraId="2D9F7FF5">
      <w:pPr>
        <w:spacing w:line="360" w:lineRule="auto"/>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第3种方式：其他价格调整方式：</w:t>
      </w:r>
      <w:r>
        <w:rPr>
          <w:rFonts w:hint="eastAsia" w:asciiTheme="minorEastAsia" w:hAnsiTheme="minorEastAsia" w:eastAsiaTheme="minorEastAsia" w:cstheme="minorEastAsia"/>
          <w:color w:val="auto"/>
          <w:sz w:val="24"/>
          <w:szCs w:val="24"/>
          <w:highlight w:val="none"/>
          <w:u w:val="single"/>
        </w:rPr>
        <w:t xml:space="preserve">                        </w:t>
      </w:r>
    </w:p>
    <w:p w14:paraId="30D8C1E3">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125"/>
    <w:bookmarkEnd w:id="1126"/>
    <w:bookmarkEnd w:id="1127"/>
    <w:bookmarkEnd w:id="1128"/>
    <w:bookmarkEnd w:id="1129"/>
    <w:bookmarkEnd w:id="1130"/>
    <w:p w14:paraId="2144377E">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248" w:name="_Toc296347204"/>
      <w:bookmarkStart w:id="1249" w:name="_Toc292559915"/>
      <w:bookmarkStart w:id="1250" w:name="_Toc296944544"/>
      <w:bookmarkStart w:id="1251" w:name="_Toc292559410"/>
      <w:bookmarkStart w:id="1252" w:name="_Toc296891033"/>
      <w:bookmarkStart w:id="1253" w:name="_Toc296891245"/>
      <w:bookmarkStart w:id="1254" w:name="_Toc297048391"/>
      <w:bookmarkStart w:id="1255" w:name="_Toc296346706"/>
      <w:bookmarkStart w:id="1256" w:name="_Toc297120505"/>
      <w:bookmarkStart w:id="1257" w:name="_Toc296503205"/>
      <w:bookmarkStart w:id="1258" w:name="_Toc351203644"/>
      <w:bookmarkStart w:id="1259" w:name="_Toc8962"/>
      <w:bookmarkStart w:id="1260" w:name="_Toc297216211"/>
      <w:bookmarkStart w:id="1261" w:name="_Toc304295579"/>
      <w:bookmarkStart w:id="1262" w:name="_Toc300935002"/>
      <w:bookmarkStart w:id="1263" w:name="_Toc297123552"/>
      <w:bookmarkStart w:id="1264" w:name="_Toc303539159"/>
      <w:bookmarkStart w:id="1265" w:name="_Toc312678040"/>
      <w:r>
        <w:rPr>
          <w:rFonts w:hint="eastAsia" w:asciiTheme="minorEastAsia" w:hAnsiTheme="minorEastAsia" w:eastAsiaTheme="minorEastAsia" w:cstheme="minorEastAsia"/>
          <w:b w:val="0"/>
          <w:color w:val="auto"/>
          <w:sz w:val="24"/>
          <w:szCs w:val="24"/>
          <w:highlight w:val="none"/>
        </w:rPr>
        <w:t xml:space="preserve">12. </w:t>
      </w:r>
      <w:bookmarkEnd w:id="1248"/>
      <w:bookmarkEnd w:id="1249"/>
      <w:bookmarkEnd w:id="1250"/>
      <w:bookmarkEnd w:id="1251"/>
      <w:bookmarkEnd w:id="1252"/>
      <w:bookmarkEnd w:id="1253"/>
      <w:bookmarkEnd w:id="1254"/>
      <w:bookmarkEnd w:id="1255"/>
      <w:bookmarkEnd w:id="1256"/>
      <w:bookmarkEnd w:id="1257"/>
      <w:r>
        <w:rPr>
          <w:rFonts w:hint="eastAsia" w:asciiTheme="minorEastAsia" w:hAnsiTheme="minorEastAsia" w:eastAsiaTheme="minorEastAsia" w:cstheme="minorEastAsia"/>
          <w:b w:val="0"/>
          <w:color w:val="auto"/>
          <w:sz w:val="24"/>
          <w:szCs w:val="24"/>
          <w:highlight w:val="none"/>
        </w:rPr>
        <w:t>合同价格、计量与支付</w:t>
      </w:r>
      <w:bookmarkEnd w:id="1258"/>
      <w:bookmarkEnd w:id="1259"/>
    </w:p>
    <w:bookmarkEnd w:id="1260"/>
    <w:bookmarkEnd w:id="1261"/>
    <w:bookmarkEnd w:id="1262"/>
    <w:bookmarkEnd w:id="1263"/>
    <w:bookmarkEnd w:id="1264"/>
    <w:bookmarkEnd w:id="1265"/>
    <w:p w14:paraId="78FDA6B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266" w:name="_Toc292559411"/>
      <w:bookmarkStart w:id="1267" w:name="_Toc267251461"/>
      <w:bookmarkStart w:id="1268" w:name="_Toc292559916"/>
      <w:bookmarkStart w:id="1269" w:name="_Toc297120506"/>
      <w:bookmarkStart w:id="1270" w:name="_Toc296346707"/>
      <w:bookmarkStart w:id="1271" w:name="_Toc296503206"/>
      <w:bookmarkStart w:id="1272" w:name="_Toc296347205"/>
      <w:bookmarkStart w:id="1273" w:name="_Toc297048392"/>
      <w:bookmarkStart w:id="1274" w:name="_Toc296891246"/>
      <w:bookmarkStart w:id="1275" w:name="_Toc296944545"/>
      <w:bookmarkStart w:id="1276" w:name="_Toc296891034"/>
      <w:bookmarkStart w:id="1277" w:name="_Toc508"/>
      <w:bookmarkStart w:id="1278" w:name="_Toc297123553"/>
      <w:bookmarkStart w:id="1279" w:name="_Toc297216212"/>
      <w:bookmarkStart w:id="1280" w:name="_Toc312678041"/>
      <w:bookmarkStart w:id="1281" w:name="_Toc300935003"/>
      <w:bookmarkStart w:id="1282" w:name="_Toc304295580"/>
      <w:bookmarkStart w:id="1283" w:name="_Toc303539160"/>
      <w:r>
        <w:rPr>
          <w:rFonts w:hint="eastAsia" w:asciiTheme="minorEastAsia" w:hAnsiTheme="minorEastAsia" w:eastAsiaTheme="minorEastAsia" w:cstheme="minorEastAsia"/>
          <w:color w:val="auto"/>
          <w:sz w:val="24"/>
          <w:szCs w:val="24"/>
          <w:highlight w:val="none"/>
        </w:rPr>
        <w:t>12.1 合</w:t>
      </w:r>
      <w:bookmarkEnd w:id="1266"/>
      <w:bookmarkEnd w:id="1267"/>
      <w:bookmarkEnd w:id="1268"/>
      <w:r>
        <w:rPr>
          <w:rFonts w:hint="eastAsia" w:asciiTheme="minorEastAsia" w:hAnsiTheme="minorEastAsia" w:eastAsiaTheme="minorEastAsia" w:cstheme="minorEastAsia"/>
          <w:color w:val="auto"/>
          <w:sz w:val="24"/>
          <w:szCs w:val="24"/>
          <w:highlight w:val="none"/>
        </w:rPr>
        <w:t>同价</w:t>
      </w:r>
      <w:bookmarkEnd w:id="1269"/>
      <w:bookmarkEnd w:id="1270"/>
      <w:bookmarkEnd w:id="1271"/>
      <w:bookmarkEnd w:id="1272"/>
      <w:bookmarkEnd w:id="1273"/>
      <w:bookmarkEnd w:id="1274"/>
      <w:bookmarkEnd w:id="1275"/>
      <w:bookmarkEnd w:id="1276"/>
      <w:r>
        <w:rPr>
          <w:rFonts w:hint="eastAsia" w:asciiTheme="minorEastAsia" w:hAnsiTheme="minorEastAsia" w:eastAsiaTheme="minorEastAsia" w:cstheme="minorEastAsia"/>
          <w:color w:val="auto"/>
          <w:sz w:val="24"/>
          <w:szCs w:val="24"/>
          <w:highlight w:val="none"/>
        </w:rPr>
        <w:t>格形式</w:t>
      </w:r>
      <w:bookmarkEnd w:id="1277"/>
    </w:p>
    <w:bookmarkEnd w:id="1278"/>
    <w:bookmarkEnd w:id="1279"/>
    <w:bookmarkEnd w:id="1280"/>
    <w:bookmarkEnd w:id="1281"/>
    <w:bookmarkEnd w:id="1282"/>
    <w:bookmarkEnd w:id="1283"/>
    <w:p w14:paraId="0D8C32CA">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284" w:name="_Toc14447"/>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单价合同。</w:t>
      </w:r>
      <w:bookmarkEnd w:id="1284"/>
    </w:p>
    <w:p w14:paraId="550D1D5A">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综合单价包含的风险范围：</w:t>
      </w:r>
      <w:r>
        <w:rPr>
          <w:rFonts w:hint="eastAsia" w:asciiTheme="minorEastAsia" w:hAnsiTheme="minorEastAsia" w:eastAsiaTheme="minorEastAsia" w:cstheme="minorEastAsia"/>
          <w:color w:val="auto"/>
          <w:sz w:val="24"/>
          <w:szCs w:val="24"/>
          <w:highlight w:val="none"/>
          <w:u w:val="single"/>
        </w:rPr>
        <w:t xml:space="preserve">                               </w:t>
      </w:r>
    </w:p>
    <w:p w14:paraId="6E875D78">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0881502">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风险费用的计算方法：</w:t>
      </w:r>
      <w:r>
        <w:rPr>
          <w:rFonts w:hint="eastAsia" w:asciiTheme="minorEastAsia" w:hAnsiTheme="minorEastAsia" w:eastAsiaTheme="minorEastAsia" w:cstheme="minorEastAsia"/>
          <w:color w:val="auto"/>
          <w:sz w:val="24"/>
          <w:szCs w:val="24"/>
          <w:highlight w:val="none"/>
          <w:u w:val="single"/>
        </w:rPr>
        <w:t xml:space="preserve">                                  </w:t>
      </w:r>
    </w:p>
    <w:p w14:paraId="2EEC58CA">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2CBC02F">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风险范围以外合同价格的调整方法：</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232BFF6">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B4FDB32">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285" w:name="_Toc929"/>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总价合同。</w:t>
      </w:r>
      <w:bookmarkEnd w:id="1285"/>
    </w:p>
    <w:p w14:paraId="1B9123B0">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总价包含的风险范围：</w:t>
      </w:r>
      <w:r>
        <w:rPr>
          <w:rFonts w:hint="eastAsia" w:asciiTheme="minorEastAsia" w:hAnsiTheme="minorEastAsia" w:eastAsiaTheme="minorEastAsia" w:cstheme="minorEastAsia"/>
          <w:color w:val="auto"/>
          <w:sz w:val="24"/>
          <w:szCs w:val="24"/>
          <w:highlight w:val="none"/>
          <w:u w:val="single"/>
        </w:rPr>
        <w:t xml:space="preserve">                                   </w:t>
      </w:r>
    </w:p>
    <w:p w14:paraId="5BCA3BDB">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9F7B6D9">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风险费用的计算方法：</w:t>
      </w:r>
      <w:r>
        <w:rPr>
          <w:rFonts w:hint="eastAsia" w:asciiTheme="minorEastAsia" w:hAnsiTheme="minorEastAsia" w:eastAsiaTheme="minorEastAsia" w:cstheme="minorEastAsia"/>
          <w:color w:val="auto"/>
          <w:sz w:val="24"/>
          <w:szCs w:val="24"/>
          <w:highlight w:val="none"/>
          <w:u w:val="single"/>
        </w:rPr>
        <w:t xml:space="preserve">                                   </w:t>
      </w:r>
    </w:p>
    <w:p w14:paraId="72982217">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DB1886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风险范围以外合同价格的调整方法：</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C573414">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65DD022">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u w:val="single"/>
        </w:rPr>
      </w:pPr>
      <w:bookmarkStart w:id="1286" w:name="_Toc23648"/>
      <w:r>
        <w:rPr>
          <w:rFonts w:hint="eastAsia" w:asciiTheme="minorEastAsia" w:hAnsiTheme="minorEastAsia" w:eastAsiaTheme="minorEastAsia" w:cstheme="minorEastAsia"/>
          <w:color w:val="auto"/>
          <w:sz w:val="24"/>
          <w:szCs w:val="24"/>
          <w:highlight w:val="none"/>
        </w:rPr>
        <w:t>3、其他价格方式：</w:t>
      </w:r>
      <w:bookmarkEnd w:id="1286"/>
      <w:r>
        <w:rPr>
          <w:rFonts w:hint="eastAsia" w:asciiTheme="minorEastAsia" w:hAnsiTheme="minorEastAsia" w:eastAsiaTheme="minorEastAsia" w:cstheme="minorEastAsia"/>
          <w:color w:val="auto"/>
          <w:sz w:val="24"/>
          <w:szCs w:val="24"/>
          <w:highlight w:val="none"/>
          <w:u w:val="single"/>
        </w:rPr>
        <w:t xml:space="preserve">                                     </w:t>
      </w:r>
    </w:p>
    <w:p w14:paraId="71C98E47">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71CDD3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287" w:name="_Toc20817"/>
      <w:bookmarkStart w:id="1288" w:name="_Toc297216213"/>
      <w:bookmarkStart w:id="1289" w:name="_Toc303539161"/>
      <w:bookmarkStart w:id="1290" w:name="_Toc312678042"/>
      <w:bookmarkStart w:id="1291" w:name="_Toc297123554"/>
      <w:bookmarkStart w:id="1292" w:name="_Toc300935004"/>
      <w:bookmarkStart w:id="1293" w:name="_Toc304295581"/>
      <w:bookmarkStart w:id="1294" w:name="_Toc292559412"/>
      <w:bookmarkStart w:id="1295" w:name="_Toc296347206"/>
      <w:bookmarkStart w:id="1296" w:name="_Toc297048393"/>
      <w:bookmarkStart w:id="1297" w:name="_Toc296346708"/>
      <w:bookmarkStart w:id="1298" w:name="_Toc292559917"/>
      <w:bookmarkStart w:id="1299" w:name="_Toc296503207"/>
      <w:bookmarkStart w:id="1300" w:name="_Toc296891247"/>
      <w:bookmarkStart w:id="1301" w:name="_Toc296891035"/>
      <w:bookmarkStart w:id="1302" w:name="_Toc296944546"/>
      <w:bookmarkStart w:id="1303" w:name="_Toc297120507"/>
      <w:r>
        <w:rPr>
          <w:rFonts w:hint="eastAsia" w:asciiTheme="minorEastAsia" w:hAnsiTheme="minorEastAsia" w:eastAsiaTheme="minorEastAsia" w:cstheme="minorEastAsia"/>
          <w:color w:val="auto"/>
          <w:sz w:val="24"/>
          <w:szCs w:val="24"/>
          <w:highlight w:val="none"/>
        </w:rPr>
        <w:t>12.2 预付款</w:t>
      </w:r>
      <w:bookmarkEnd w:id="1287"/>
    </w:p>
    <w:bookmarkEnd w:id="1288"/>
    <w:bookmarkEnd w:id="1289"/>
    <w:bookmarkEnd w:id="1290"/>
    <w:bookmarkEnd w:id="1291"/>
    <w:bookmarkEnd w:id="1292"/>
    <w:bookmarkEnd w:id="1293"/>
    <w:p w14:paraId="2F97E8F2">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04" w:name="_Toc10851"/>
      <w:r>
        <w:rPr>
          <w:rFonts w:hint="eastAsia" w:asciiTheme="minorEastAsia" w:hAnsiTheme="minorEastAsia" w:eastAsiaTheme="minorEastAsia" w:cstheme="minorEastAsia"/>
          <w:color w:val="auto"/>
          <w:sz w:val="24"/>
          <w:szCs w:val="24"/>
          <w:highlight w:val="none"/>
        </w:rPr>
        <w:t>12.2.1 预付款的支付</w:t>
      </w:r>
      <w:bookmarkEnd w:id="1304"/>
    </w:p>
    <w:p w14:paraId="241C398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预付款支付比例或金额：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DD4B0F4">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预付款支付期限：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85853C9">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预付款扣回的方式：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8344829">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05" w:name="_Toc5934"/>
      <w:r>
        <w:rPr>
          <w:rFonts w:hint="eastAsia" w:asciiTheme="minorEastAsia" w:hAnsiTheme="minorEastAsia" w:eastAsiaTheme="minorEastAsia" w:cstheme="minorEastAsia"/>
          <w:color w:val="auto"/>
          <w:sz w:val="24"/>
          <w:szCs w:val="24"/>
          <w:highlight w:val="none"/>
        </w:rPr>
        <w:t>12.2.2 预付款担保</w:t>
      </w:r>
      <w:bookmarkEnd w:id="1305"/>
    </w:p>
    <w:p w14:paraId="19C956D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承包人提交预付款担保的期限：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B204834">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预付款担保的形式为：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294"/>
    <w:bookmarkEnd w:id="1295"/>
    <w:bookmarkEnd w:id="1296"/>
    <w:bookmarkEnd w:id="1297"/>
    <w:bookmarkEnd w:id="1298"/>
    <w:bookmarkEnd w:id="1299"/>
    <w:bookmarkEnd w:id="1300"/>
    <w:bookmarkEnd w:id="1301"/>
    <w:bookmarkEnd w:id="1302"/>
    <w:bookmarkEnd w:id="1303"/>
    <w:p w14:paraId="25AD658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06" w:name="_Toc18867"/>
      <w:r>
        <w:rPr>
          <w:rFonts w:hint="eastAsia" w:asciiTheme="minorEastAsia" w:hAnsiTheme="minorEastAsia" w:eastAsiaTheme="minorEastAsia" w:cstheme="minorEastAsia"/>
          <w:color w:val="auto"/>
          <w:sz w:val="24"/>
          <w:szCs w:val="24"/>
          <w:highlight w:val="none"/>
        </w:rPr>
        <w:t>12.3 计量</w:t>
      </w:r>
      <w:bookmarkEnd w:id="1306"/>
    </w:p>
    <w:p w14:paraId="398497F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12.3.1 计量原则</w:t>
      </w:r>
    </w:p>
    <w:p w14:paraId="5AAFD44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工程量计算规则：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D97403B">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12.3.2 计量周期</w:t>
      </w:r>
    </w:p>
    <w:p w14:paraId="67893142">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关于计量周期的约定：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E6A9FE1">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12.3.3 单价合同的计量</w:t>
      </w:r>
    </w:p>
    <w:p w14:paraId="221E6540">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关于单价合同计量的约定：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FB5EB14">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12.3.4 总价合同的计量</w:t>
      </w:r>
    </w:p>
    <w:p w14:paraId="6F6A519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关于总价合同计量的约定：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B3FAFB5">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12.3.5总价合同采用支付分解表计量支付的，是否适用第</w:t>
      </w:r>
      <w:r>
        <w:rPr>
          <w:rFonts w:hint="eastAsia" w:asciiTheme="minorEastAsia" w:hAnsiTheme="minorEastAsia" w:eastAsiaTheme="minorEastAsia" w:cstheme="minorEastAsia"/>
          <w:color w:val="auto"/>
          <w:kern w:val="0"/>
          <w:sz w:val="24"/>
          <w:szCs w:val="24"/>
          <w:highlight w:val="none"/>
        </w:rPr>
        <w:t xml:space="preserve">12.3.4 </w:t>
      </w:r>
      <w:r>
        <w:rPr>
          <w:rFonts w:hint="eastAsia" w:asciiTheme="minorEastAsia" w:hAnsiTheme="minorEastAsia" w:eastAsiaTheme="minorEastAsia" w:cstheme="minorEastAsia"/>
          <w:color w:val="auto"/>
          <w:sz w:val="24"/>
          <w:szCs w:val="24"/>
          <w:highlight w:val="none"/>
        </w:rPr>
        <w:t>项</w:t>
      </w:r>
      <w:r>
        <w:rPr>
          <w:rFonts w:hint="eastAsia" w:asciiTheme="minorEastAsia" w:hAnsiTheme="minorEastAsia" w:eastAsiaTheme="minorEastAsia" w:cstheme="minorEastAsia"/>
          <w:color w:val="auto"/>
          <w:kern w:val="0"/>
          <w:sz w:val="24"/>
          <w:szCs w:val="24"/>
          <w:highlight w:val="none"/>
        </w:rPr>
        <w:t>〔总价合同的计量〕</w:t>
      </w:r>
      <w:r>
        <w:rPr>
          <w:rFonts w:hint="eastAsia" w:asciiTheme="minorEastAsia" w:hAnsiTheme="minorEastAsia" w:eastAsiaTheme="minorEastAsia" w:cstheme="minorEastAsia"/>
          <w:color w:val="auto"/>
          <w:sz w:val="24"/>
          <w:szCs w:val="24"/>
          <w:highlight w:val="none"/>
        </w:rPr>
        <w:t>约定进行计量：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B6451C4">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12.3.6 其他价格形式合同的计量</w:t>
      </w:r>
    </w:p>
    <w:p w14:paraId="07153D03">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其他价格形式的计量方式和程序：</w:t>
      </w:r>
      <w:r>
        <w:rPr>
          <w:rFonts w:hint="eastAsia" w:asciiTheme="minorEastAsia" w:hAnsiTheme="minorEastAsia" w:eastAsiaTheme="minorEastAsia" w:cstheme="minorEastAsia"/>
          <w:color w:val="auto"/>
          <w:sz w:val="24"/>
          <w:szCs w:val="24"/>
          <w:highlight w:val="none"/>
          <w:u w:val="single"/>
        </w:rPr>
        <w:t xml:space="preserve">                         </w:t>
      </w:r>
    </w:p>
    <w:p w14:paraId="37704211">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B62F9A2">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07" w:name="_Toc25765"/>
      <w:r>
        <w:rPr>
          <w:rFonts w:hint="eastAsia" w:asciiTheme="minorEastAsia" w:hAnsiTheme="minorEastAsia" w:eastAsiaTheme="minorEastAsia" w:cstheme="minorEastAsia"/>
          <w:color w:val="auto"/>
          <w:sz w:val="24"/>
          <w:szCs w:val="24"/>
          <w:highlight w:val="none"/>
        </w:rPr>
        <w:t>12.4 工程进度款支付</w:t>
      </w:r>
      <w:bookmarkEnd w:id="1307"/>
    </w:p>
    <w:p w14:paraId="4C0507E6">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08" w:name="_Toc25793"/>
      <w:bookmarkStart w:id="1309" w:name="_Toc296891039"/>
      <w:bookmarkStart w:id="1310" w:name="_Toc297120511"/>
      <w:bookmarkStart w:id="1311" w:name="_Toc297048397"/>
      <w:bookmarkStart w:id="1312" w:name="_Toc296944550"/>
      <w:bookmarkStart w:id="1313" w:name="_Toc296346712"/>
      <w:bookmarkStart w:id="1314" w:name="_Toc292559921"/>
      <w:bookmarkStart w:id="1315" w:name="_Toc296503211"/>
      <w:bookmarkStart w:id="1316" w:name="_Toc300935006"/>
      <w:bookmarkStart w:id="1317" w:name="_Toc292559416"/>
      <w:bookmarkStart w:id="1318" w:name="_Toc296347210"/>
      <w:bookmarkStart w:id="1319" w:name="_Toc297216215"/>
      <w:bookmarkStart w:id="1320" w:name="_Toc297123556"/>
      <w:bookmarkStart w:id="1321" w:name="_Toc296891251"/>
      <w:bookmarkStart w:id="1322" w:name="_Toc303539163"/>
      <w:r>
        <w:rPr>
          <w:rFonts w:hint="eastAsia" w:asciiTheme="minorEastAsia" w:hAnsiTheme="minorEastAsia" w:eastAsiaTheme="minorEastAsia" w:cstheme="minorEastAsia"/>
          <w:color w:val="auto"/>
          <w:sz w:val="24"/>
          <w:szCs w:val="24"/>
          <w:highlight w:val="none"/>
        </w:rPr>
        <w:t>12.4.1 付款周期</w:t>
      </w:r>
      <w:bookmarkEnd w:id="1308"/>
    </w:p>
    <w:p w14:paraId="11C8850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关于付款周期的约定：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925CFFB">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23" w:name="_Toc30790"/>
      <w:r>
        <w:rPr>
          <w:rFonts w:hint="eastAsia" w:asciiTheme="minorEastAsia" w:hAnsiTheme="minorEastAsia" w:eastAsiaTheme="minorEastAsia" w:cstheme="minorEastAsia"/>
          <w:color w:val="auto"/>
          <w:sz w:val="24"/>
          <w:szCs w:val="24"/>
          <w:highlight w:val="none"/>
        </w:rPr>
        <w:t>12.4.2 进度付款申请单的编制</w:t>
      </w:r>
      <w:bookmarkEnd w:id="1323"/>
    </w:p>
    <w:p w14:paraId="0C6DEBEC">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关于进度付款申请单编制的约定：</w:t>
      </w:r>
      <w:r>
        <w:rPr>
          <w:rFonts w:hint="eastAsia" w:asciiTheme="minorEastAsia" w:hAnsiTheme="minorEastAsia" w:eastAsiaTheme="minorEastAsia" w:cstheme="minorEastAsia"/>
          <w:color w:val="auto"/>
          <w:sz w:val="24"/>
          <w:szCs w:val="24"/>
          <w:highlight w:val="none"/>
          <w:u w:val="single"/>
        </w:rPr>
        <w:t xml:space="preserve">                       </w:t>
      </w:r>
    </w:p>
    <w:p w14:paraId="0A6C0018">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93071CB">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24" w:name="_Toc11800"/>
      <w:r>
        <w:rPr>
          <w:rFonts w:hint="eastAsia" w:asciiTheme="minorEastAsia" w:hAnsiTheme="minorEastAsia" w:eastAsiaTheme="minorEastAsia" w:cstheme="minorEastAsia"/>
          <w:color w:val="auto"/>
          <w:sz w:val="24"/>
          <w:szCs w:val="24"/>
          <w:highlight w:val="none"/>
        </w:rPr>
        <w:t>1</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r>
        <w:rPr>
          <w:rFonts w:hint="eastAsia" w:asciiTheme="minorEastAsia" w:hAnsiTheme="minorEastAsia" w:eastAsiaTheme="minorEastAsia" w:cstheme="minorEastAsia"/>
          <w:color w:val="auto"/>
          <w:sz w:val="24"/>
          <w:szCs w:val="24"/>
          <w:highlight w:val="none"/>
        </w:rPr>
        <w:t>2.4.3 进度付款申请单的提交</w:t>
      </w:r>
      <w:bookmarkEnd w:id="1324"/>
    </w:p>
    <w:p w14:paraId="013E45BB">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（1）单价合同进度付款申请单提交的约定：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4364271">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（2）总价合同进度付款申请单提交的约定：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82AFDE6">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（3）其他价格形式合同进度付款申请单提交的约定：</w:t>
      </w:r>
      <w:r>
        <w:rPr>
          <w:rFonts w:hint="eastAsia" w:asciiTheme="minorEastAsia" w:hAnsiTheme="minorEastAsia" w:eastAsiaTheme="minorEastAsia" w:cstheme="minorEastAsia"/>
          <w:color w:val="auto"/>
          <w:sz w:val="24"/>
          <w:szCs w:val="24"/>
          <w:highlight w:val="none"/>
          <w:u w:val="single"/>
        </w:rPr>
        <w:t xml:space="preserve">       </w:t>
      </w:r>
    </w:p>
    <w:p w14:paraId="03E42DC2">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A744898">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25" w:name="_Toc30639"/>
      <w:r>
        <w:rPr>
          <w:rFonts w:hint="eastAsia" w:asciiTheme="minorEastAsia" w:hAnsiTheme="minorEastAsia" w:eastAsiaTheme="minorEastAsia" w:cstheme="minorEastAsia"/>
          <w:color w:val="auto"/>
          <w:sz w:val="24"/>
          <w:szCs w:val="24"/>
          <w:highlight w:val="none"/>
        </w:rPr>
        <w:t>12.4.4 进度款审核和支付</w:t>
      </w:r>
      <w:bookmarkEnd w:id="1325"/>
    </w:p>
    <w:p w14:paraId="4C93A6A1">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（1）监理人审查并报送发包人的期限：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ADC61EB">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发包人完成审批并签发进度款支付证书的期限：</w:t>
      </w:r>
      <w:r>
        <w:rPr>
          <w:rFonts w:hint="eastAsia" w:asciiTheme="minorEastAsia" w:hAnsiTheme="minorEastAsia" w:eastAsiaTheme="minorEastAsia" w:cstheme="minorEastAsia"/>
          <w:color w:val="auto"/>
          <w:sz w:val="24"/>
          <w:szCs w:val="24"/>
          <w:highlight w:val="none"/>
          <w:u w:val="single"/>
        </w:rPr>
        <w:t xml:space="preserve">           </w:t>
      </w:r>
    </w:p>
    <w:p w14:paraId="659E6423">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8EBA9C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（2）发包人支付进度款的期限：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43871C6">
      <w:pPr>
        <w:spacing w:line="360" w:lineRule="auto"/>
        <w:ind w:firstLine="600" w:firstLineChars="2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发包人逾期支付进度款的违约金的计算方式：</w:t>
      </w:r>
      <w:r>
        <w:rPr>
          <w:rFonts w:hint="eastAsia" w:asciiTheme="minorEastAsia" w:hAnsiTheme="minorEastAsia" w:eastAsiaTheme="minorEastAsia" w:cstheme="minorEastAsia"/>
          <w:color w:val="auto"/>
          <w:sz w:val="24"/>
          <w:szCs w:val="24"/>
          <w:highlight w:val="none"/>
          <w:u w:val="single"/>
        </w:rPr>
        <w:t xml:space="preserve">            </w:t>
      </w:r>
    </w:p>
    <w:p w14:paraId="27ED05F1">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CB31A19">
      <w:pPr>
        <w:spacing w:line="360" w:lineRule="auto"/>
        <w:ind w:firstLine="600" w:firstLineChars="250"/>
        <w:jc w:val="left"/>
        <w:outlineLvl w:val="2"/>
        <w:rPr>
          <w:rFonts w:hint="eastAsia" w:asciiTheme="minorEastAsia" w:hAnsiTheme="minorEastAsia" w:eastAsiaTheme="minorEastAsia" w:cstheme="minorEastAsia"/>
          <w:color w:val="auto"/>
          <w:sz w:val="24"/>
          <w:szCs w:val="24"/>
          <w:highlight w:val="none"/>
        </w:rPr>
      </w:pPr>
      <w:bookmarkStart w:id="1326" w:name="_Toc25910"/>
      <w:r>
        <w:rPr>
          <w:rFonts w:hint="eastAsia" w:asciiTheme="minorEastAsia" w:hAnsiTheme="minorEastAsia" w:eastAsiaTheme="minorEastAsia" w:cstheme="minorEastAsia"/>
          <w:color w:val="auto"/>
          <w:sz w:val="24"/>
          <w:szCs w:val="24"/>
          <w:highlight w:val="none"/>
        </w:rPr>
        <w:t>12.4.6 支付分解表的编制</w:t>
      </w:r>
      <w:bookmarkEnd w:id="1326"/>
    </w:p>
    <w:p w14:paraId="4D09FF54">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总价合同支付分解表的编制与审批：</w:t>
      </w:r>
      <w:r>
        <w:rPr>
          <w:rFonts w:hint="eastAsia" w:asciiTheme="minorEastAsia" w:hAnsiTheme="minorEastAsia" w:eastAsiaTheme="minorEastAsia" w:cstheme="minorEastAsia"/>
          <w:color w:val="auto"/>
          <w:sz w:val="24"/>
          <w:szCs w:val="24"/>
          <w:highlight w:val="none"/>
          <w:u w:val="single"/>
        </w:rPr>
        <w:t xml:space="preserve">                  </w:t>
      </w:r>
    </w:p>
    <w:p w14:paraId="44A16B95">
      <w:pPr>
        <w:spacing w:line="360" w:lineRule="auto"/>
        <w:ind w:left="6000" w:hanging="4800" w:hangingChars="20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80D1580">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单价合同的总价项目支付分解表的编制与审批：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7A2B93C">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131"/>
    <w:p w14:paraId="07C688DE">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327" w:name="_Toc351203645"/>
      <w:bookmarkStart w:id="1328" w:name="_Toc23406"/>
      <w:bookmarkStart w:id="1329" w:name="_Toc300935015"/>
      <w:bookmarkStart w:id="1330" w:name="_Toc292559424"/>
      <w:bookmarkStart w:id="1331" w:name="_Toc296891259"/>
      <w:bookmarkStart w:id="1332" w:name="_Toc297120519"/>
      <w:bookmarkStart w:id="1333" w:name="_Toc292559929"/>
      <w:bookmarkStart w:id="1334" w:name="_Toc304295593"/>
      <w:bookmarkStart w:id="1335" w:name="_Toc296347218"/>
      <w:bookmarkStart w:id="1336" w:name="_Toc296891047"/>
      <w:bookmarkStart w:id="1337" w:name="_Toc297048405"/>
      <w:bookmarkStart w:id="1338" w:name="_Toc303539172"/>
      <w:bookmarkStart w:id="1339" w:name="_Toc297123564"/>
      <w:bookmarkStart w:id="1340" w:name="_Toc297216223"/>
      <w:bookmarkStart w:id="1341" w:name="_Toc296346720"/>
      <w:bookmarkStart w:id="1342" w:name="_Toc312678053"/>
      <w:bookmarkStart w:id="1343" w:name="_Toc296503219"/>
      <w:bookmarkStart w:id="1344" w:name="_Toc296944558"/>
      <w:r>
        <w:rPr>
          <w:rFonts w:hint="eastAsia" w:asciiTheme="minorEastAsia" w:hAnsiTheme="minorEastAsia" w:eastAsiaTheme="minorEastAsia" w:cstheme="minorEastAsia"/>
          <w:b w:val="0"/>
          <w:color w:val="auto"/>
          <w:sz w:val="24"/>
          <w:szCs w:val="24"/>
          <w:highlight w:val="none"/>
        </w:rPr>
        <w:t>13. 验收和工程试车</w:t>
      </w:r>
      <w:bookmarkEnd w:id="1327"/>
      <w:bookmarkEnd w:id="1328"/>
    </w:p>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14:paraId="16106461">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45" w:name="_Toc9039"/>
      <w:r>
        <w:rPr>
          <w:rFonts w:hint="eastAsia" w:asciiTheme="minorEastAsia" w:hAnsiTheme="minorEastAsia" w:eastAsiaTheme="minorEastAsia" w:cstheme="minorEastAsia"/>
          <w:color w:val="auto"/>
          <w:sz w:val="24"/>
          <w:szCs w:val="24"/>
          <w:highlight w:val="none"/>
        </w:rPr>
        <w:t>13.1 分部分项工程验收</w:t>
      </w:r>
      <w:bookmarkEnd w:id="1345"/>
    </w:p>
    <w:p w14:paraId="67649C7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13.1.2监理人不能按时进行验收时，应提前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小时提交书面延期要求。</w:t>
      </w:r>
    </w:p>
    <w:p w14:paraId="2E36E0EA">
      <w:pPr>
        <w:spacing w:line="360" w:lineRule="auto"/>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关于延期最长不得超过：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w:t>
      </w:r>
    </w:p>
    <w:p w14:paraId="05B042A1">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46" w:name="_Toc22337"/>
      <w:bookmarkStart w:id="1347" w:name="_Toc296503223"/>
      <w:bookmarkStart w:id="1348" w:name="_Toc292559933"/>
      <w:bookmarkStart w:id="1349" w:name="_Toc297123565"/>
      <w:bookmarkStart w:id="1350" w:name="_Toc296346724"/>
      <w:bookmarkStart w:id="1351" w:name="_Toc292559428"/>
      <w:bookmarkStart w:id="1352" w:name="_Toc303539173"/>
      <w:bookmarkStart w:id="1353" w:name="_Toc304295596"/>
      <w:bookmarkStart w:id="1354" w:name="_Toc296891263"/>
      <w:bookmarkStart w:id="1355" w:name="_Toc300935016"/>
      <w:bookmarkStart w:id="1356" w:name="_Toc296347222"/>
      <w:bookmarkStart w:id="1357" w:name="_Toc296891051"/>
      <w:bookmarkStart w:id="1358" w:name="_Toc296944562"/>
      <w:bookmarkStart w:id="1359" w:name="_Toc297048409"/>
      <w:bookmarkStart w:id="1360" w:name="_Toc297120523"/>
      <w:bookmarkStart w:id="1361" w:name="_Toc297216224"/>
      <w:bookmarkStart w:id="1362" w:name="_Toc312678056"/>
      <w:bookmarkStart w:id="1363" w:name="_Toc267251475"/>
      <w:bookmarkStart w:id="1364" w:name="_Toc267251472"/>
      <w:bookmarkStart w:id="1365" w:name="_Toc267251471"/>
      <w:bookmarkStart w:id="1366" w:name="_Toc267251470"/>
      <w:bookmarkStart w:id="1367" w:name="_Toc267251474"/>
      <w:bookmarkStart w:id="1368" w:name="_Toc267251473"/>
      <w:bookmarkStart w:id="1369" w:name="_Toc267251476"/>
      <w:r>
        <w:rPr>
          <w:rFonts w:hint="eastAsia" w:asciiTheme="minorEastAsia" w:hAnsiTheme="minorEastAsia" w:eastAsiaTheme="minorEastAsia" w:cstheme="minorEastAsia"/>
          <w:color w:val="auto"/>
          <w:sz w:val="24"/>
          <w:szCs w:val="24"/>
          <w:highlight w:val="none"/>
        </w:rPr>
        <w:t>13.2 竣工验收</w:t>
      </w:r>
      <w:bookmarkEnd w:id="1346"/>
    </w:p>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14:paraId="5A1B510D">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70" w:name="_Toc14107"/>
      <w:bookmarkStart w:id="1371" w:name="_Toc280868704"/>
      <w:bookmarkStart w:id="1372" w:name="_Toc280868705"/>
      <w:bookmarkStart w:id="1373" w:name="_Toc280868706"/>
      <w:bookmarkStart w:id="1374" w:name="_Toc280868707"/>
      <w:bookmarkStart w:id="1375" w:name="_Toc280868708"/>
      <w:bookmarkStart w:id="1376" w:name="_Toc280868709"/>
      <w:r>
        <w:rPr>
          <w:rFonts w:hint="eastAsia" w:asciiTheme="minorEastAsia" w:hAnsiTheme="minorEastAsia" w:eastAsiaTheme="minorEastAsia" w:cstheme="minorEastAsia"/>
          <w:color w:val="auto"/>
          <w:sz w:val="24"/>
          <w:szCs w:val="24"/>
          <w:highlight w:val="none"/>
        </w:rPr>
        <w:t>13.2.2竣工验收程序</w:t>
      </w:r>
      <w:bookmarkEnd w:id="1370"/>
    </w:p>
    <w:bookmarkEnd w:id="1371"/>
    <w:p w14:paraId="511C61A2">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关于竣工验收程序的约定：</w:t>
      </w:r>
      <w:r>
        <w:rPr>
          <w:rFonts w:hint="eastAsia" w:asciiTheme="minorEastAsia" w:hAnsiTheme="minorEastAsia" w:eastAsiaTheme="minorEastAsia" w:cstheme="minorEastAsia"/>
          <w:color w:val="auto"/>
          <w:sz w:val="24"/>
          <w:szCs w:val="24"/>
          <w:highlight w:val="none"/>
          <w:u w:val="single"/>
        </w:rPr>
        <w:t xml:space="preserve">                              </w:t>
      </w:r>
    </w:p>
    <w:p w14:paraId="62B73F07">
      <w:pPr>
        <w:spacing w:line="360" w:lineRule="auto"/>
        <w:ind w:left="6000" w:hanging="4800" w:hangingChars="20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2D28733">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sz w:val="24"/>
          <w:szCs w:val="24"/>
          <w:highlight w:val="none"/>
          <w:u w:val="single"/>
        </w:rPr>
        <w:t xml:space="preserve">                                         </w:t>
      </w:r>
    </w:p>
    <w:p w14:paraId="539F1620">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372"/>
    <w:p w14:paraId="517327A0">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77" w:name="_Toc2345"/>
      <w:r>
        <w:rPr>
          <w:rFonts w:hint="eastAsia" w:asciiTheme="minorEastAsia" w:hAnsiTheme="minorEastAsia" w:eastAsiaTheme="minorEastAsia" w:cstheme="minorEastAsia"/>
          <w:color w:val="auto"/>
          <w:sz w:val="24"/>
          <w:szCs w:val="24"/>
          <w:highlight w:val="none"/>
        </w:rPr>
        <w:t>13.2.5移交、接收全部与部分工程</w:t>
      </w:r>
      <w:bookmarkEnd w:id="1377"/>
    </w:p>
    <w:bookmarkEnd w:id="1373"/>
    <w:p w14:paraId="1F8343D1">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承包人向发包人移交工程的期限：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7BB110E">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发包人未按本合同约定接收全部或部分工程的，违约金的计算方法为：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374"/>
    <w:p w14:paraId="0A808A67">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承包人未按时移交工程的，违约金的计算方法为：</w:t>
      </w:r>
      <w:r>
        <w:rPr>
          <w:rFonts w:hint="eastAsia" w:asciiTheme="minorEastAsia" w:hAnsiTheme="minorEastAsia" w:eastAsiaTheme="minorEastAsia" w:cstheme="minorEastAsia"/>
          <w:color w:val="auto"/>
          <w:sz w:val="24"/>
          <w:szCs w:val="24"/>
          <w:highlight w:val="none"/>
          <w:u w:val="single"/>
        </w:rPr>
        <w:t xml:space="preserve">          </w:t>
      </w:r>
    </w:p>
    <w:p w14:paraId="3E63765A">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7174BF1">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78" w:name="_Toc20508"/>
      <w:r>
        <w:rPr>
          <w:rFonts w:hint="eastAsia" w:asciiTheme="minorEastAsia" w:hAnsiTheme="minorEastAsia" w:eastAsiaTheme="minorEastAsia" w:cstheme="minorEastAsia"/>
          <w:color w:val="auto"/>
          <w:sz w:val="24"/>
          <w:szCs w:val="24"/>
          <w:highlight w:val="none"/>
        </w:rPr>
        <w:t>13.3 工程试车</w:t>
      </w:r>
      <w:bookmarkEnd w:id="1378"/>
    </w:p>
    <w:bookmarkEnd w:id="1375"/>
    <w:p w14:paraId="430C1D62">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379" w:name="_Toc19998"/>
      <w:r>
        <w:rPr>
          <w:rFonts w:hint="eastAsia" w:asciiTheme="minorEastAsia" w:hAnsiTheme="minorEastAsia" w:eastAsiaTheme="minorEastAsia" w:cstheme="minorEastAsia"/>
          <w:color w:val="auto"/>
          <w:kern w:val="0"/>
          <w:sz w:val="24"/>
          <w:szCs w:val="24"/>
          <w:highlight w:val="none"/>
        </w:rPr>
        <w:t>13.3.1 试车程序</w:t>
      </w:r>
      <w:bookmarkEnd w:id="1379"/>
    </w:p>
    <w:p w14:paraId="330D9880">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工程试车内容：</w:t>
      </w:r>
      <w:r>
        <w:rPr>
          <w:rFonts w:hint="eastAsia" w:asciiTheme="minorEastAsia" w:hAnsiTheme="minorEastAsia" w:eastAsiaTheme="minorEastAsia" w:cstheme="minorEastAsia"/>
          <w:color w:val="auto"/>
          <w:sz w:val="24"/>
          <w:szCs w:val="24"/>
          <w:highlight w:val="none"/>
          <w:u w:val="single"/>
        </w:rPr>
        <w:t xml:space="preserve">                                        </w:t>
      </w:r>
    </w:p>
    <w:p w14:paraId="4C87DE8C">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AA860F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（1）单机无负荷试车费用由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承担；</w:t>
      </w:r>
    </w:p>
    <w:p w14:paraId="648F9EB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（2）无负荷联动试车费用由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承担。</w:t>
      </w:r>
    </w:p>
    <w:p w14:paraId="02E8003F">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380" w:name="_Toc31993"/>
      <w:r>
        <w:rPr>
          <w:rFonts w:hint="eastAsia" w:asciiTheme="minorEastAsia" w:hAnsiTheme="minorEastAsia" w:eastAsiaTheme="minorEastAsia" w:cstheme="minorEastAsia"/>
          <w:color w:val="auto"/>
          <w:kern w:val="0"/>
          <w:sz w:val="24"/>
          <w:szCs w:val="24"/>
          <w:highlight w:val="none"/>
        </w:rPr>
        <w:t>13.3.3 投料试车</w:t>
      </w:r>
      <w:bookmarkEnd w:id="1380"/>
    </w:p>
    <w:p w14:paraId="2FA5E798">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关于投料试车相关事项的约定：</w:t>
      </w:r>
      <w:r>
        <w:rPr>
          <w:rFonts w:hint="eastAsia" w:asciiTheme="minorEastAsia" w:hAnsiTheme="minorEastAsia" w:eastAsiaTheme="minorEastAsia" w:cstheme="minorEastAsia"/>
          <w:color w:val="auto"/>
          <w:sz w:val="24"/>
          <w:szCs w:val="24"/>
          <w:highlight w:val="none"/>
          <w:u w:val="single"/>
        </w:rPr>
        <w:t xml:space="preserve">                           </w:t>
      </w:r>
    </w:p>
    <w:p w14:paraId="76ABAD58">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CA7201D">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81" w:name="_Toc20846"/>
      <w:r>
        <w:rPr>
          <w:rFonts w:hint="eastAsia" w:asciiTheme="minorEastAsia" w:hAnsiTheme="minorEastAsia" w:eastAsiaTheme="minorEastAsia" w:cstheme="minorEastAsia"/>
          <w:color w:val="auto"/>
          <w:sz w:val="24"/>
          <w:szCs w:val="24"/>
          <w:highlight w:val="none"/>
        </w:rPr>
        <w:t>13.6 竣工退场</w:t>
      </w:r>
      <w:bookmarkEnd w:id="1381"/>
    </w:p>
    <w:p w14:paraId="13F30E50">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382" w:name="_Toc24044"/>
      <w:r>
        <w:rPr>
          <w:rFonts w:hint="eastAsia" w:asciiTheme="minorEastAsia" w:hAnsiTheme="minorEastAsia" w:eastAsiaTheme="minorEastAsia" w:cstheme="minorEastAsia"/>
          <w:color w:val="auto"/>
          <w:kern w:val="0"/>
          <w:sz w:val="24"/>
          <w:szCs w:val="24"/>
          <w:highlight w:val="none"/>
        </w:rPr>
        <w:t>13.6.1 竣工退场</w:t>
      </w:r>
      <w:bookmarkEnd w:id="1382"/>
    </w:p>
    <w:p w14:paraId="15C8EFA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承包人完成竣工退场的期限：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34C39AEE">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383" w:name="_Toc21517"/>
      <w:bookmarkStart w:id="1384" w:name="_Toc351203646"/>
      <w:r>
        <w:rPr>
          <w:rFonts w:hint="eastAsia" w:asciiTheme="minorEastAsia" w:hAnsiTheme="minorEastAsia" w:eastAsiaTheme="minorEastAsia" w:cstheme="minorEastAsia"/>
          <w:b w:val="0"/>
          <w:color w:val="auto"/>
          <w:sz w:val="24"/>
          <w:szCs w:val="24"/>
          <w:highlight w:val="none"/>
        </w:rPr>
        <w:t>14. 竣工结算</w:t>
      </w:r>
      <w:bookmarkEnd w:id="1383"/>
      <w:bookmarkEnd w:id="1384"/>
    </w:p>
    <w:p w14:paraId="30537CB0">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85" w:name="_Toc13133"/>
      <w:r>
        <w:rPr>
          <w:rFonts w:hint="eastAsia" w:asciiTheme="minorEastAsia" w:hAnsiTheme="minorEastAsia" w:eastAsiaTheme="minorEastAsia" w:cstheme="minorEastAsia"/>
          <w:color w:val="auto"/>
          <w:sz w:val="24"/>
          <w:szCs w:val="24"/>
          <w:highlight w:val="none"/>
        </w:rPr>
        <w:t>14.1 竣工结算申请</w:t>
      </w:r>
      <w:bookmarkEnd w:id="1385"/>
    </w:p>
    <w:p w14:paraId="2A657AA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承包人提交竣工结算申请单的期限：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9631C05">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竣工结算申请单应包括的内容：</w:t>
      </w:r>
      <w:r>
        <w:rPr>
          <w:rFonts w:hint="eastAsia" w:asciiTheme="minorEastAsia" w:hAnsiTheme="minorEastAsia" w:eastAsiaTheme="minorEastAsia" w:cstheme="minorEastAsia"/>
          <w:color w:val="auto"/>
          <w:sz w:val="24"/>
          <w:szCs w:val="24"/>
          <w:highlight w:val="none"/>
          <w:u w:val="single"/>
        </w:rPr>
        <w:t xml:space="preserve">                        </w:t>
      </w:r>
    </w:p>
    <w:p w14:paraId="3C46FE52">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9EC06F2">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86" w:name="_Toc21337"/>
      <w:r>
        <w:rPr>
          <w:rFonts w:hint="eastAsia" w:asciiTheme="minorEastAsia" w:hAnsiTheme="minorEastAsia" w:eastAsiaTheme="minorEastAsia" w:cstheme="minorEastAsia"/>
          <w:color w:val="auto"/>
          <w:sz w:val="24"/>
          <w:szCs w:val="24"/>
          <w:highlight w:val="none"/>
        </w:rPr>
        <w:t>14.2 竣工结算审核</w:t>
      </w:r>
      <w:bookmarkEnd w:id="1386"/>
    </w:p>
    <w:p w14:paraId="3812B9F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发包人审批竣工付款申请单的期限：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4DB2ECE">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发包人完成竣工付款的期限：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A607622">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关于竣工付款证书异议部分复核的方式和程序：</w:t>
      </w:r>
      <w:r>
        <w:rPr>
          <w:rFonts w:hint="eastAsia" w:asciiTheme="minorEastAsia" w:hAnsiTheme="minorEastAsia" w:eastAsiaTheme="minorEastAsia" w:cstheme="minorEastAsia"/>
          <w:color w:val="auto"/>
          <w:sz w:val="24"/>
          <w:szCs w:val="24"/>
          <w:highlight w:val="none"/>
          <w:u w:val="single"/>
        </w:rPr>
        <w:t xml:space="preserve">          </w:t>
      </w:r>
    </w:p>
    <w:p w14:paraId="3466E6F7">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E070594">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387" w:name="_Toc29116"/>
      <w:r>
        <w:rPr>
          <w:rFonts w:hint="eastAsia" w:asciiTheme="minorEastAsia" w:hAnsiTheme="minorEastAsia" w:eastAsiaTheme="minorEastAsia" w:cstheme="minorEastAsia"/>
          <w:color w:val="auto"/>
          <w:sz w:val="24"/>
          <w:szCs w:val="24"/>
          <w:highlight w:val="none"/>
        </w:rPr>
        <w:t>14.4 最终结清</w:t>
      </w:r>
      <w:bookmarkEnd w:id="1387"/>
    </w:p>
    <w:p w14:paraId="2D578A2D">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388" w:name="_Toc13099"/>
      <w:r>
        <w:rPr>
          <w:rFonts w:hint="eastAsia" w:asciiTheme="minorEastAsia" w:hAnsiTheme="minorEastAsia" w:eastAsiaTheme="minorEastAsia" w:cstheme="minorEastAsia"/>
          <w:color w:val="auto"/>
          <w:kern w:val="0"/>
          <w:sz w:val="24"/>
          <w:szCs w:val="24"/>
          <w:highlight w:val="none"/>
        </w:rPr>
        <w:t>14.4.1 最终结清申请单</w:t>
      </w:r>
      <w:bookmarkEnd w:id="1388"/>
    </w:p>
    <w:p w14:paraId="0544281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承包人提交最终结清申请单的份数：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833B7D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承包人提交最终结算申请单的期限：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3F9897A">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389" w:name="_Toc4232"/>
      <w:r>
        <w:rPr>
          <w:rFonts w:hint="eastAsia" w:asciiTheme="minorEastAsia" w:hAnsiTheme="minorEastAsia" w:eastAsiaTheme="minorEastAsia" w:cstheme="minorEastAsia"/>
          <w:color w:val="auto"/>
          <w:sz w:val="24"/>
          <w:szCs w:val="24"/>
          <w:highlight w:val="none"/>
        </w:rPr>
        <w:t>14.4.2 最终结清证书和支付</w:t>
      </w:r>
      <w:bookmarkEnd w:id="1389"/>
    </w:p>
    <w:p w14:paraId="636BBA2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（1）发包人完成最终结清申请单的审批并颁发最终结清证书的期限：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9C84F9D">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（2）发包人完成支付的期限：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363"/>
    <w:bookmarkEnd w:id="1364"/>
    <w:bookmarkEnd w:id="1365"/>
    <w:bookmarkEnd w:id="1366"/>
    <w:bookmarkEnd w:id="1367"/>
    <w:bookmarkEnd w:id="1368"/>
    <w:bookmarkEnd w:id="1369"/>
    <w:bookmarkEnd w:id="1376"/>
    <w:p w14:paraId="527CF168">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390" w:name="_Toc27937"/>
      <w:bookmarkStart w:id="1391" w:name="_Toc351203647"/>
      <w:bookmarkStart w:id="1392" w:name="_Toc267251483"/>
      <w:bookmarkStart w:id="1393" w:name="_Toc267251484"/>
      <w:bookmarkStart w:id="1394" w:name="_Toc267251482"/>
      <w:bookmarkStart w:id="1395" w:name="_Toc267251485"/>
      <w:bookmarkStart w:id="1396" w:name="_Toc267251489"/>
      <w:bookmarkStart w:id="1397" w:name="_Toc267251488"/>
      <w:bookmarkStart w:id="1398" w:name="_Toc267251486"/>
      <w:bookmarkStart w:id="1399" w:name="_Toc267251490"/>
      <w:bookmarkStart w:id="1400" w:name="_Toc267251492"/>
      <w:bookmarkStart w:id="1401" w:name="_Toc267251503"/>
      <w:bookmarkStart w:id="1402" w:name="_Toc267251496"/>
      <w:bookmarkStart w:id="1403" w:name="_Toc267251494"/>
      <w:bookmarkStart w:id="1404" w:name="_Toc267251499"/>
      <w:bookmarkStart w:id="1405" w:name="_Toc267251497"/>
      <w:bookmarkStart w:id="1406" w:name="_Toc267251501"/>
      <w:bookmarkStart w:id="1407" w:name="_Toc267251493"/>
      <w:bookmarkStart w:id="1408" w:name="_Toc267251491"/>
      <w:bookmarkStart w:id="1409" w:name="_Toc267251495"/>
      <w:bookmarkStart w:id="1410" w:name="_Toc267251502"/>
      <w:bookmarkStart w:id="1411" w:name="_Toc267251498"/>
      <w:bookmarkStart w:id="1412" w:name="_Toc267251504"/>
      <w:bookmarkStart w:id="1413" w:name="_Toc267251506"/>
      <w:bookmarkStart w:id="1414" w:name="_Toc267251507"/>
      <w:bookmarkStart w:id="1415" w:name="_Toc267251508"/>
      <w:bookmarkStart w:id="1416" w:name="_Toc267251509"/>
      <w:bookmarkStart w:id="1417" w:name="_Toc267251515"/>
      <w:bookmarkStart w:id="1418" w:name="_Toc267251511"/>
      <w:bookmarkStart w:id="1419" w:name="_Toc267251513"/>
      <w:bookmarkStart w:id="1420" w:name="_Toc267251510"/>
      <w:bookmarkStart w:id="1421" w:name="_Toc267251514"/>
      <w:r>
        <w:rPr>
          <w:rFonts w:hint="eastAsia" w:asciiTheme="minorEastAsia" w:hAnsiTheme="minorEastAsia" w:eastAsiaTheme="minorEastAsia" w:cstheme="minorEastAsia"/>
          <w:b w:val="0"/>
          <w:color w:val="auto"/>
          <w:sz w:val="24"/>
          <w:szCs w:val="24"/>
          <w:highlight w:val="none"/>
        </w:rPr>
        <w:t>15. 缺陷责任期与保修</w:t>
      </w:r>
      <w:bookmarkEnd w:id="1390"/>
      <w:bookmarkEnd w:id="1391"/>
    </w:p>
    <w:p w14:paraId="2A052D6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22" w:name="_Toc11319"/>
      <w:r>
        <w:rPr>
          <w:rFonts w:hint="eastAsia" w:asciiTheme="minorEastAsia" w:hAnsiTheme="minorEastAsia" w:eastAsiaTheme="minorEastAsia" w:cstheme="minorEastAsia"/>
          <w:color w:val="auto"/>
          <w:sz w:val="24"/>
          <w:szCs w:val="24"/>
          <w:highlight w:val="none"/>
        </w:rPr>
        <w:t>15.2缺陷责任期</w:t>
      </w:r>
      <w:bookmarkEnd w:id="1392"/>
      <w:bookmarkEnd w:id="1422"/>
    </w:p>
    <w:p w14:paraId="512A123C">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缺陷责任期的具体期限：</w:t>
      </w:r>
      <w:r>
        <w:rPr>
          <w:rFonts w:hint="eastAsia" w:asciiTheme="minorEastAsia" w:hAnsiTheme="minorEastAsia" w:eastAsiaTheme="minorEastAsia" w:cstheme="minorEastAsia"/>
          <w:color w:val="auto"/>
          <w:sz w:val="24"/>
          <w:szCs w:val="24"/>
          <w:highlight w:val="none"/>
          <w:u w:val="single"/>
        </w:rPr>
        <w:t xml:space="preserve">                                </w:t>
      </w:r>
    </w:p>
    <w:p w14:paraId="6D5379D3">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318093F">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23" w:name="_Toc6021"/>
      <w:r>
        <w:rPr>
          <w:rFonts w:hint="eastAsia" w:asciiTheme="minorEastAsia" w:hAnsiTheme="minorEastAsia" w:eastAsiaTheme="minorEastAsia" w:cstheme="minorEastAsia"/>
          <w:color w:val="auto"/>
          <w:sz w:val="24"/>
          <w:szCs w:val="24"/>
          <w:highlight w:val="none"/>
        </w:rPr>
        <w:t>15.3 质量保证金</w:t>
      </w:r>
      <w:bookmarkEnd w:id="1423"/>
    </w:p>
    <w:p w14:paraId="423FB6B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关于是否扣留质量保证金的约定：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。在工程项目竣工前，承包人按专用合同条款第3.7条提供履约担保的，发包人不得同时预留工程质量保证金。</w:t>
      </w:r>
    </w:p>
    <w:p w14:paraId="77DC8E3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0E3893D1">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424" w:name="_Toc9818"/>
      <w:r>
        <w:rPr>
          <w:rFonts w:hint="eastAsia" w:asciiTheme="minorEastAsia" w:hAnsiTheme="minorEastAsia" w:eastAsiaTheme="minorEastAsia" w:cstheme="minorEastAsia"/>
          <w:color w:val="auto"/>
          <w:sz w:val="24"/>
          <w:szCs w:val="24"/>
          <w:highlight w:val="none"/>
        </w:rPr>
        <w:t>15.3.1 承包人提供质量保证金的方式</w:t>
      </w:r>
      <w:bookmarkEnd w:id="1424"/>
    </w:p>
    <w:p w14:paraId="0957C6DF">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质量保证金采用以下第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w:t>
      </w:r>
    </w:p>
    <w:p w14:paraId="60AA35A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（1）质量保证金保函，保证金额为：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64693BF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%的工程款；</w:t>
      </w:r>
    </w:p>
    <w:p w14:paraId="53C8632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（3）其他方式</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1CADE6E4">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425" w:name="_Toc26698"/>
      <w:r>
        <w:rPr>
          <w:rFonts w:hint="eastAsia" w:asciiTheme="minorEastAsia" w:hAnsiTheme="minorEastAsia" w:eastAsiaTheme="minorEastAsia" w:cstheme="minorEastAsia"/>
          <w:color w:val="auto"/>
          <w:sz w:val="24"/>
          <w:szCs w:val="24"/>
          <w:highlight w:val="none"/>
        </w:rPr>
        <w:t>15.3.2 质量保证金的扣留</w:t>
      </w:r>
      <w:bookmarkEnd w:id="1425"/>
      <w:r>
        <w:rPr>
          <w:rFonts w:hint="eastAsia" w:asciiTheme="minorEastAsia" w:hAnsiTheme="minorEastAsia" w:eastAsiaTheme="minorEastAsia" w:cstheme="minorEastAsia"/>
          <w:color w:val="auto"/>
          <w:sz w:val="24"/>
          <w:szCs w:val="24"/>
          <w:highlight w:val="none"/>
        </w:rPr>
        <w:t xml:space="preserve"> </w:t>
      </w:r>
    </w:p>
    <w:p w14:paraId="2D33E67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质量保证金的扣留采取以下第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w:t>
      </w:r>
    </w:p>
    <w:p w14:paraId="66508A2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（1）在支付工程进度款时逐次扣留，在此情形下，质量保证金的计算基数不包括预付款的支付、扣回以及价格调整的金额；</w:t>
      </w:r>
    </w:p>
    <w:p w14:paraId="16371EFA">
      <w:pPr>
        <w:autoSpaceDE w:val="0"/>
        <w:autoSpaceDN w:val="0"/>
        <w:adjustRightInd w:val="0"/>
        <w:spacing w:line="360" w:lineRule="auto"/>
        <w:ind w:firstLine="480" w:firstLineChars="200"/>
        <w:jc w:val="lef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（2）工程竣工结算时一次性扣留质量保证金；</w:t>
      </w:r>
    </w:p>
    <w:p w14:paraId="67FC719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（3）其他扣留方式</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599D65E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关于质量保证金的补充约定：</w:t>
      </w:r>
      <w:r>
        <w:rPr>
          <w:rFonts w:hint="eastAsia" w:asciiTheme="minorEastAsia" w:hAnsiTheme="minorEastAsia" w:eastAsiaTheme="minorEastAsia" w:cstheme="minorEastAsia"/>
          <w:color w:val="auto"/>
          <w:kern w:val="0"/>
          <w:sz w:val="24"/>
          <w:szCs w:val="24"/>
          <w:highlight w:val="none"/>
          <w:u w:val="single"/>
        </w:rPr>
        <w:t xml:space="preserve">                            </w:t>
      </w:r>
    </w:p>
    <w:p w14:paraId="5218B530">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bookmarkEnd w:id="1393"/>
    <w:bookmarkEnd w:id="1394"/>
    <w:p w14:paraId="7AE5E89E">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26" w:name="_Toc29982"/>
      <w:r>
        <w:rPr>
          <w:rFonts w:hint="eastAsia" w:asciiTheme="minorEastAsia" w:hAnsiTheme="minorEastAsia" w:eastAsiaTheme="minorEastAsia" w:cstheme="minorEastAsia"/>
          <w:color w:val="auto"/>
          <w:sz w:val="24"/>
          <w:szCs w:val="24"/>
          <w:highlight w:val="none"/>
        </w:rPr>
        <w:t>15.4保修</w:t>
      </w:r>
      <w:bookmarkEnd w:id="1426"/>
    </w:p>
    <w:bookmarkEnd w:id="1395"/>
    <w:p w14:paraId="68844A7A">
      <w:pPr>
        <w:spacing w:line="360" w:lineRule="auto"/>
        <w:ind w:firstLine="468" w:firstLineChars="195"/>
        <w:jc w:val="left"/>
        <w:outlineLvl w:val="2"/>
        <w:rPr>
          <w:rFonts w:hint="eastAsia" w:asciiTheme="minorEastAsia" w:hAnsiTheme="minorEastAsia" w:eastAsiaTheme="minorEastAsia" w:cstheme="minorEastAsia"/>
          <w:color w:val="auto"/>
          <w:sz w:val="24"/>
          <w:szCs w:val="24"/>
          <w:highlight w:val="none"/>
        </w:rPr>
      </w:pPr>
      <w:bookmarkStart w:id="1427" w:name="_Toc15590"/>
      <w:r>
        <w:rPr>
          <w:rFonts w:hint="eastAsia" w:asciiTheme="minorEastAsia" w:hAnsiTheme="minorEastAsia" w:eastAsiaTheme="minorEastAsia" w:cstheme="minorEastAsia"/>
          <w:color w:val="auto"/>
          <w:sz w:val="24"/>
          <w:szCs w:val="24"/>
          <w:highlight w:val="none"/>
        </w:rPr>
        <w:t>15.4.1 保修责任</w:t>
      </w:r>
      <w:bookmarkEnd w:id="1427"/>
    </w:p>
    <w:p w14:paraId="4D0DCDC5">
      <w:pPr>
        <w:spacing w:line="360" w:lineRule="auto"/>
        <w:ind w:firstLine="468" w:firstLineChars="195"/>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工程保修期为：</w:t>
      </w:r>
      <w:r>
        <w:rPr>
          <w:rFonts w:hint="eastAsia" w:asciiTheme="minorEastAsia" w:hAnsiTheme="minorEastAsia" w:eastAsiaTheme="minorEastAsia" w:cstheme="minorEastAsia"/>
          <w:color w:val="auto"/>
          <w:kern w:val="0"/>
          <w:sz w:val="24"/>
          <w:szCs w:val="24"/>
          <w:highlight w:val="none"/>
          <w:u w:val="single"/>
        </w:rPr>
        <w:t xml:space="preserve">                                        </w:t>
      </w:r>
    </w:p>
    <w:p w14:paraId="705C4A5E">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34A51177">
      <w:pPr>
        <w:spacing w:line="360" w:lineRule="auto"/>
        <w:ind w:firstLine="468" w:firstLineChars="195"/>
        <w:jc w:val="left"/>
        <w:outlineLvl w:val="2"/>
        <w:rPr>
          <w:rFonts w:hint="eastAsia" w:asciiTheme="minorEastAsia" w:hAnsiTheme="minorEastAsia" w:eastAsiaTheme="minorEastAsia" w:cstheme="minorEastAsia"/>
          <w:color w:val="auto"/>
          <w:sz w:val="24"/>
          <w:szCs w:val="24"/>
          <w:highlight w:val="none"/>
        </w:rPr>
      </w:pPr>
      <w:bookmarkStart w:id="1428" w:name="_Toc10288"/>
      <w:r>
        <w:rPr>
          <w:rFonts w:hint="eastAsia" w:asciiTheme="minorEastAsia" w:hAnsiTheme="minorEastAsia" w:eastAsiaTheme="minorEastAsia" w:cstheme="minorEastAsia"/>
          <w:color w:val="auto"/>
          <w:sz w:val="24"/>
          <w:szCs w:val="24"/>
          <w:highlight w:val="none"/>
        </w:rPr>
        <w:t>15.4.3 修复通知</w:t>
      </w:r>
      <w:bookmarkEnd w:id="1428"/>
    </w:p>
    <w:p w14:paraId="76404E40">
      <w:pPr>
        <w:spacing w:line="360" w:lineRule="auto"/>
        <w:ind w:firstLine="468" w:firstLineChars="195"/>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承包人收到保修通知并到达工程现场的合理时间：</w:t>
      </w:r>
      <w:r>
        <w:rPr>
          <w:rFonts w:hint="eastAsia" w:asciiTheme="minorEastAsia" w:hAnsiTheme="minorEastAsia" w:eastAsiaTheme="minorEastAsia" w:cstheme="minorEastAsia"/>
          <w:color w:val="auto"/>
          <w:kern w:val="0"/>
          <w:sz w:val="24"/>
          <w:szCs w:val="24"/>
          <w:highlight w:val="none"/>
          <w:u w:val="single"/>
        </w:rPr>
        <w:t xml:space="preserve">          </w:t>
      </w:r>
    </w:p>
    <w:p w14:paraId="17637291">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bookmarkEnd w:id="1396"/>
    <w:bookmarkEnd w:id="1397"/>
    <w:bookmarkEnd w:id="1398"/>
    <w:bookmarkEnd w:id="1399"/>
    <w:p w14:paraId="7D49FDE7">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429" w:name="_Toc351203648"/>
      <w:bookmarkStart w:id="1430" w:name="_Toc13852"/>
      <w:bookmarkStart w:id="1431" w:name="_Toc280868717"/>
      <w:bookmarkStart w:id="1432" w:name="_Toc280868718"/>
      <w:r>
        <w:rPr>
          <w:rFonts w:hint="eastAsia" w:asciiTheme="minorEastAsia" w:hAnsiTheme="minorEastAsia" w:eastAsiaTheme="minorEastAsia" w:cstheme="minorEastAsia"/>
          <w:b w:val="0"/>
          <w:color w:val="auto"/>
          <w:sz w:val="24"/>
          <w:szCs w:val="24"/>
          <w:highlight w:val="none"/>
        </w:rPr>
        <w:t>16. 违约</w:t>
      </w:r>
      <w:bookmarkEnd w:id="1429"/>
      <w:bookmarkEnd w:id="1430"/>
    </w:p>
    <w:p w14:paraId="42992381">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33" w:name="_Toc5613"/>
      <w:r>
        <w:rPr>
          <w:rFonts w:hint="eastAsia" w:asciiTheme="minorEastAsia" w:hAnsiTheme="minorEastAsia" w:eastAsiaTheme="minorEastAsia" w:cstheme="minorEastAsia"/>
          <w:color w:val="auto"/>
          <w:sz w:val="24"/>
          <w:szCs w:val="24"/>
          <w:highlight w:val="none"/>
        </w:rPr>
        <w:t>16.1 发包人违约</w:t>
      </w:r>
      <w:bookmarkEnd w:id="1433"/>
    </w:p>
    <w:p w14:paraId="4C783797">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434" w:name="_Toc12014"/>
      <w:r>
        <w:rPr>
          <w:rFonts w:hint="eastAsia" w:asciiTheme="minorEastAsia" w:hAnsiTheme="minorEastAsia" w:eastAsiaTheme="minorEastAsia" w:cstheme="minorEastAsia"/>
          <w:color w:val="auto"/>
          <w:sz w:val="24"/>
          <w:szCs w:val="24"/>
          <w:highlight w:val="none"/>
        </w:rPr>
        <w:t>16.1.1发包人违约的情形</w:t>
      </w:r>
      <w:bookmarkEnd w:id="1434"/>
    </w:p>
    <w:p w14:paraId="75F47C9D">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发包人违约的其他情形：</w:t>
      </w:r>
      <w:r>
        <w:rPr>
          <w:rFonts w:hint="eastAsia" w:asciiTheme="minorEastAsia" w:hAnsiTheme="minorEastAsia" w:eastAsiaTheme="minorEastAsia" w:cstheme="minorEastAsia"/>
          <w:color w:val="auto"/>
          <w:kern w:val="0"/>
          <w:sz w:val="24"/>
          <w:szCs w:val="24"/>
          <w:highlight w:val="none"/>
          <w:u w:val="single"/>
        </w:rPr>
        <w:t xml:space="preserve">                                </w:t>
      </w:r>
    </w:p>
    <w:p w14:paraId="12A4D5F1">
      <w:pPr>
        <w:spacing w:line="360" w:lineRule="auto"/>
        <w:ind w:left="1500" w:hanging="1200" w:hangingChars="5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4D882BBB">
      <w:pPr>
        <w:spacing w:line="360" w:lineRule="auto"/>
        <w:ind w:left="1200" w:leftChars="0" w:hanging="1200" w:hangingChars="500"/>
        <w:jc w:val="left"/>
        <w:outlineLvl w:val="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bookmarkStart w:id="1435" w:name="_Toc31484"/>
      <w:r>
        <w:rPr>
          <w:rFonts w:hint="eastAsia" w:asciiTheme="minorEastAsia" w:hAnsiTheme="minorEastAsia" w:eastAsiaTheme="minorEastAsia" w:cstheme="minorEastAsia"/>
          <w:color w:val="auto"/>
          <w:kern w:val="0"/>
          <w:sz w:val="24"/>
          <w:szCs w:val="24"/>
          <w:highlight w:val="none"/>
        </w:rPr>
        <w:t>16.1.2 发包人违约的责任</w:t>
      </w:r>
      <w:bookmarkEnd w:id="1435"/>
    </w:p>
    <w:p w14:paraId="6E0413B8">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发包人违约责任的承担方式和计算方法：</w:t>
      </w:r>
    </w:p>
    <w:p w14:paraId="012D6F04">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（1）因发包人原因未能在计划开工日期前7天内下达开工通知的违约责任：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2ABBEA72">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（2）因发包人原因未能按合同约定支付合同价款的违约责任：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2017128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 w:val="24"/>
          <w:szCs w:val="24"/>
          <w:highlight w:val="none"/>
          <w:u w:val="single"/>
        </w:rPr>
        <w:t xml:space="preserve">              </w:t>
      </w:r>
    </w:p>
    <w:p w14:paraId="5BB78A36">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354DD20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28C2BB17">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（5）因发包人违反合同约定造成暂停施工的违约责任：</w:t>
      </w:r>
      <w:r>
        <w:rPr>
          <w:rFonts w:hint="eastAsia" w:asciiTheme="minorEastAsia" w:hAnsiTheme="minorEastAsia" w:eastAsiaTheme="minorEastAsia" w:cstheme="minorEastAsia"/>
          <w:color w:val="auto"/>
          <w:kern w:val="0"/>
          <w:sz w:val="24"/>
          <w:szCs w:val="24"/>
          <w:highlight w:val="none"/>
          <w:u w:val="single"/>
        </w:rPr>
        <w:t xml:space="preserve">     </w:t>
      </w:r>
    </w:p>
    <w:p w14:paraId="7706C6E8">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2A0FD8E6">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107FEB1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（7）其他：</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6FC214C0">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436" w:name="_Toc20563"/>
      <w:r>
        <w:rPr>
          <w:rFonts w:hint="eastAsia" w:asciiTheme="minorEastAsia" w:hAnsiTheme="minorEastAsia" w:eastAsiaTheme="minorEastAsia" w:cstheme="minorEastAsia"/>
          <w:color w:val="auto"/>
          <w:sz w:val="24"/>
          <w:szCs w:val="24"/>
          <w:highlight w:val="none"/>
        </w:rPr>
        <w:t>16.1.3 因发包人违约解除合同</w:t>
      </w:r>
      <w:bookmarkEnd w:id="1436"/>
    </w:p>
    <w:p w14:paraId="04B21E2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承包人按16.1.1项〔发包人违约的情形〕约定暂停施工满</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天后发包人仍不纠正其违约行为并致使合同目的不能实现的，承包人有权解除合同。</w:t>
      </w:r>
    </w:p>
    <w:p w14:paraId="7AE29ED2">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37" w:name="_Toc26556"/>
      <w:r>
        <w:rPr>
          <w:rFonts w:hint="eastAsia" w:asciiTheme="minorEastAsia" w:hAnsiTheme="minorEastAsia" w:eastAsiaTheme="minorEastAsia" w:cstheme="minorEastAsia"/>
          <w:color w:val="auto"/>
          <w:sz w:val="24"/>
          <w:szCs w:val="24"/>
          <w:highlight w:val="none"/>
        </w:rPr>
        <w:t>16.2 承包人违约</w:t>
      </w:r>
      <w:bookmarkEnd w:id="1437"/>
    </w:p>
    <w:p w14:paraId="55D9C7E9">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438" w:name="_Toc20324"/>
      <w:r>
        <w:rPr>
          <w:rFonts w:hint="eastAsia" w:asciiTheme="minorEastAsia" w:hAnsiTheme="minorEastAsia" w:eastAsiaTheme="minorEastAsia" w:cstheme="minorEastAsia"/>
          <w:color w:val="auto"/>
          <w:kern w:val="0"/>
          <w:sz w:val="24"/>
          <w:szCs w:val="24"/>
          <w:highlight w:val="none"/>
        </w:rPr>
        <w:t>16.2.1 承包人违约的情形</w:t>
      </w:r>
      <w:bookmarkEnd w:id="1438"/>
    </w:p>
    <w:p w14:paraId="1CCC05D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承包人违约的其他情形：</w:t>
      </w:r>
      <w:r>
        <w:rPr>
          <w:rFonts w:hint="eastAsia" w:asciiTheme="minorEastAsia" w:hAnsiTheme="minorEastAsia" w:eastAsiaTheme="minorEastAsia" w:cstheme="minorEastAsia"/>
          <w:color w:val="auto"/>
          <w:kern w:val="0"/>
          <w:sz w:val="24"/>
          <w:szCs w:val="24"/>
          <w:highlight w:val="none"/>
          <w:u w:val="single"/>
        </w:rPr>
        <w:t xml:space="preserve">                                </w:t>
      </w:r>
    </w:p>
    <w:p w14:paraId="2768030F">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3C161FC3">
      <w:pPr>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439" w:name="_Toc29236"/>
      <w:r>
        <w:rPr>
          <w:rFonts w:hint="eastAsia" w:asciiTheme="minorEastAsia" w:hAnsiTheme="minorEastAsia" w:eastAsiaTheme="minorEastAsia" w:cstheme="minorEastAsia"/>
          <w:color w:val="auto"/>
          <w:kern w:val="0"/>
          <w:sz w:val="24"/>
          <w:szCs w:val="24"/>
          <w:highlight w:val="none"/>
        </w:rPr>
        <w:t>16.2.2承包人违约的责任</w:t>
      </w:r>
      <w:bookmarkEnd w:id="1439"/>
    </w:p>
    <w:p w14:paraId="35F511AE">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承包人违约责任的承担方式和计算方法：</w:t>
      </w:r>
      <w:r>
        <w:rPr>
          <w:rFonts w:hint="eastAsia" w:asciiTheme="minorEastAsia" w:hAnsiTheme="minorEastAsia" w:eastAsiaTheme="minorEastAsia" w:cstheme="minorEastAsia"/>
          <w:color w:val="auto"/>
          <w:kern w:val="0"/>
          <w:sz w:val="24"/>
          <w:szCs w:val="24"/>
          <w:highlight w:val="none"/>
          <w:u w:val="single"/>
        </w:rPr>
        <w:t xml:space="preserve">                  </w:t>
      </w:r>
    </w:p>
    <w:p w14:paraId="64B5B20A">
      <w:pPr>
        <w:spacing w:line="360" w:lineRule="auto"/>
        <w:ind w:left="1500" w:hanging="1200" w:hangingChars="5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 xml:space="preserve">    </w:t>
      </w:r>
    </w:p>
    <w:p w14:paraId="6D49E44A">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440" w:name="_Toc4632"/>
      <w:r>
        <w:rPr>
          <w:rFonts w:hint="eastAsia" w:asciiTheme="minorEastAsia" w:hAnsiTheme="minorEastAsia" w:eastAsiaTheme="minorEastAsia" w:cstheme="minorEastAsia"/>
          <w:color w:val="auto"/>
          <w:sz w:val="24"/>
          <w:szCs w:val="24"/>
          <w:highlight w:val="none"/>
        </w:rPr>
        <w:t>16.2.3 因承包人违约解除合同</w:t>
      </w:r>
      <w:bookmarkEnd w:id="1440"/>
    </w:p>
    <w:p w14:paraId="67BFF950">
      <w:pPr>
        <w:spacing w:before="120" w:beforeLines="0" w:after="120" w:afterLines="0"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关于承包人违约解除合同的特别约定：</w:t>
      </w:r>
      <w:r>
        <w:rPr>
          <w:rFonts w:hint="eastAsia" w:asciiTheme="minorEastAsia" w:hAnsiTheme="minorEastAsia" w:eastAsiaTheme="minorEastAsia" w:cstheme="minorEastAsia"/>
          <w:color w:val="auto"/>
          <w:kern w:val="0"/>
          <w:sz w:val="24"/>
          <w:szCs w:val="24"/>
          <w:highlight w:val="none"/>
          <w:u w:val="single"/>
        </w:rPr>
        <w:t xml:space="preserve">                    </w:t>
      </w:r>
    </w:p>
    <w:p w14:paraId="404918A7">
      <w:pPr>
        <w:spacing w:before="120" w:beforeLines="0" w:after="120" w:afterLines="0"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44F2D860">
      <w:pPr>
        <w:spacing w:before="120" w:beforeLines="0" w:after="120" w:afterLines="0"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60FEF972">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441" w:name="_Toc6243"/>
      <w:bookmarkStart w:id="1442" w:name="_Toc351203649"/>
      <w:r>
        <w:rPr>
          <w:rFonts w:hint="eastAsia" w:asciiTheme="minorEastAsia" w:hAnsiTheme="minorEastAsia" w:eastAsiaTheme="minorEastAsia" w:cstheme="minorEastAsia"/>
          <w:b w:val="0"/>
          <w:color w:val="auto"/>
          <w:sz w:val="24"/>
          <w:szCs w:val="24"/>
          <w:highlight w:val="none"/>
        </w:rPr>
        <w:t>17. 不可抗力</w:t>
      </w:r>
      <w:bookmarkEnd w:id="1441"/>
      <w:bookmarkEnd w:id="1442"/>
      <w:r>
        <w:rPr>
          <w:rFonts w:hint="eastAsia" w:asciiTheme="minorEastAsia" w:hAnsiTheme="minorEastAsia" w:eastAsiaTheme="minorEastAsia" w:cstheme="minorEastAsia"/>
          <w:b w:val="0"/>
          <w:color w:val="auto"/>
          <w:sz w:val="24"/>
          <w:szCs w:val="24"/>
          <w:highlight w:val="none"/>
        </w:rPr>
        <w:t xml:space="preserve"> </w:t>
      </w:r>
      <w:bookmarkEnd w:id="1431"/>
    </w:p>
    <w:p w14:paraId="49839970">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43" w:name="_Toc5837"/>
      <w:r>
        <w:rPr>
          <w:rFonts w:hint="eastAsia" w:asciiTheme="minorEastAsia" w:hAnsiTheme="minorEastAsia" w:eastAsiaTheme="minorEastAsia" w:cstheme="minorEastAsia"/>
          <w:color w:val="auto"/>
          <w:sz w:val="24"/>
          <w:szCs w:val="24"/>
          <w:highlight w:val="none"/>
        </w:rPr>
        <w:t>17.1 不可抗力的确认</w:t>
      </w:r>
      <w:bookmarkEnd w:id="1443"/>
    </w:p>
    <w:p w14:paraId="04D2BB85">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除通用合同条款约定的不可抗力事件之外，视为不可抗力的其他情形：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24F1B877">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44" w:name="_Toc24093"/>
      <w:r>
        <w:rPr>
          <w:rFonts w:hint="eastAsia" w:asciiTheme="minorEastAsia" w:hAnsiTheme="minorEastAsia" w:eastAsiaTheme="minorEastAsia" w:cstheme="minorEastAsia"/>
          <w:color w:val="auto"/>
          <w:sz w:val="24"/>
          <w:szCs w:val="24"/>
          <w:highlight w:val="none"/>
        </w:rPr>
        <w:t>17.4 因不可抗力解除合同</w:t>
      </w:r>
      <w:bookmarkEnd w:id="1444"/>
    </w:p>
    <w:p w14:paraId="36C20191">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合同解除后，发包人应在商定或确定发包人应支付款项后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天内完成款项的支付。</w:t>
      </w:r>
    </w:p>
    <w:p w14:paraId="1944D3C6">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445" w:name="_Toc351203650"/>
      <w:bookmarkStart w:id="1446" w:name="_Toc7472"/>
      <w:r>
        <w:rPr>
          <w:rFonts w:hint="eastAsia" w:asciiTheme="minorEastAsia" w:hAnsiTheme="minorEastAsia" w:eastAsiaTheme="minorEastAsia" w:cstheme="minorEastAsia"/>
          <w:b w:val="0"/>
          <w:color w:val="auto"/>
          <w:sz w:val="24"/>
          <w:szCs w:val="24"/>
          <w:highlight w:val="none"/>
        </w:rPr>
        <w:t>18. 保险</w:t>
      </w:r>
      <w:bookmarkEnd w:id="1445"/>
      <w:bookmarkEnd w:id="1446"/>
    </w:p>
    <w:bookmarkEnd w:id="1432"/>
    <w:p w14:paraId="64B96D7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47" w:name="_Toc19169"/>
      <w:r>
        <w:rPr>
          <w:rFonts w:hint="eastAsia" w:asciiTheme="minorEastAsia" w:hAnsiTheme="minorEastAsia" w:eastAsiaTheme="minorEastAsia" w:cstheme="minorEastAsia"/>
          <w:color w:val="auto"/>
          <w:sz w:val="24"/>
          <w:szCs w:val="24"/>
          <w:highlight w:val="none"/>
        </w:rPr>
        <w:t>18.1 工程保险</w:t>
      </w:r>
      <w:bookmarkEnd w:id="1447"/>
    </w:p>
    <w:p w14:paraId="0D91484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关于工程保险的特别约定：</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4DBA548A">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48" w:name="_Toc17214"/>
      <w:r>
        <w:rPr>
          <w:rFonts w:hint="eastAsia" w:asciiTheme="minorEastAsia" w:hAnsiTheme="minorEastAsia" w:eastAsiaTheme="minorEastAsia" w:cstheme="minorEastAsia"/>
          <w:color w:val="auto"/>
          <w:sz w:val="24"/>
          <w:szCs w:val="24"/>
          <w:highlight w:val="none"/>
        </w:rPr>
        <w:t>18.3 其他保险</w:t>
      </w:r>
      <w:bookmarkEnd w:id="1448"/>
    </w:p>
    <w:p w14:paraId="4AA89CB9">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关于其他保险的约定：</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1C8A1B9B">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承包人是否应为其施工设备等办理财产保险：</w:t>
      </w:r>
      <w:r>
        <w:rPr>
          <w:rFonts w:hint="eastAsia" w:asciiTheme="minorEastAsia" w:hAnsiTheme="minorEastAsia" w:eastAsiaTheme="minorEastAsia" w:cstheme="minorEastAsia"/>
          <w:color w:val="auto"/>
          <w:sz w:val="24"/>
          <w:szCs w:val="24"/>
          <w:highlight w:val="none"/>
          <w:u w:val="single"/>
        </w:rPr>
        <w:t xml:space="preserve">              </w:t>
      </w:r>
    </w:p>
    <w:p w14:paraId="0521D2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12D50A0">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49" w:name="_Toc20297"/>
      <w:r>
        <w:rPr>
          <w:rFonts w:hint="eastAsia" w:asciiTheme="minorEastAsia" w:hAnsiTheme="minorEastAsia" w:eastAsiaTheme="minorEastAsia" w:cstheme="minorEastAsia"/>
          <w:color w:val="auto"/>
          <w:sz w:val="24"/>
          <w:szCs w:val="24"/>
          <w:highlight w:val="none"/>
        </w:rPr>
        <w:t>18.7 通知义务</w:t>
      </w:r>
      <w:bookmarkEnd w:id="1449"/>
    </w:p>
    <w:p w14:paraId="7703456A">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关于变更保险合同时的通知义务的约定：</w:t>
      </w:r>
      <w:r>
        <w:rPr>
          <w:rFonts w:hint="eastAsia" w:asciiTheme="minorEastAsia" w:hAnsiTheme="minorEastAsia" w:eastAsiaTheme="minorEastAsia" w:cstheme="minorEastAsia"/>
          <w:color w:val="auto"/>
          <w:sz w:val="24"/>
          <w:szCs w:val="24"/>
          <w:highlight w:val="none"/>
          <w:u w:val="single"/>
        </w:rPr>
        <w:t xml:space="preserve">                  </w:t>
      </w:r>
    </w:p>
    <w:p w14:paraId="747F0B64">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400"/>
    <w:bookmarkEnd w:id="1401"/>
    <w:bookmarkEnd w:id="1402"/>
    <w:bookmarkEnd w:id="1403"/>
    <w:bookmarkEnd w:id="1404"/>
    <w:bookmarkEnd w:id="1405"/>
    <w:bookmarkEnd w:id="1406"/>
    <w:bookmarkEnd w:id="1407"/>
    <w:bookmarkEnd w:id="1408"/>
    <w:bookmarkEnd w:id="1409"/>
    <w:bookmarkEnd w:id="1410"/>
    <w:bookmarkEnd w:id="1411"/>
    <w:p w14:paraId="30E18FFD">
      <w:pPr>
        <w:pStyle w:val="6"/>
        <w:spacing w:before="120" w:beforeLines="0" w:after="120" w:afterLines="0" w:line="360" w:lineRule="auto"/>
        <w:ind w:left="0" w:leftChars="0" w:firstLine="0" w:firstLineChars="0"/>
        <w:outlineLvl w:val="0"/>
        <w:rPr>
          <w:rFonts w:hint="eastAsia" w:asciiTheme="minorEastAsia" w:hAnsiTheme="minorEastAsia" w:eastAsiaTheme="minorEastAsia" w:cstheme="minorEastAsia"/>
          <w:b w:val="0"/>
          <w:color w:val="auto"/>
          <w:sz w:val="24"/>
          <w:szCs w:val="24"/>
          <w:highlight w:val="none"/>
        </w:rPr>
      </w:pPr>
      <w:bookmarkStart w:id="1450" w:name="_Toc8052"/>
      <w:bookmarkStart w:id="1451" w:name="_Toc351203651"/>
      <w:r>
        <w:rPr>
          <w:rFonts w:hint="eastAsia" w:asciiTheme="minorEastAsia" w:hAnsiTheme="minorEastAsia" w:eastAsiaTheme="minorEastAsia" w:cstheme="minorEastAsia"/>
          <w:b w:val="0"/>
          <w:color w:val="auto"/>
          <w:sz w:val="24"/>
          <w:szCs w:val="24"/>
          <w:highlight w:val="none"/>
        </w:rPr>
        <w:t>20. 争议解决</w:t>
      </w:r>
      <w:bookmarkEnd w:id="1450"/>
      <w:bookmarkEnd w:id="1451"/>
    </w:p>
    <w:bookmarkEnd w:id="1412"/>
    <w:bookmarkEnd w:id="1413"/>
    <w:p w14:paraId="6E35DA40">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52" w:name="_Toc5887"/>
      <w:r>
        <w:rPr>
          <w:rFonts w:hint="eastAsia" w:asciiTheme="minorEastAsia" w:hAnsiTheme="minorEastAsia" w:eastAsiaTheme="minorEastAsia" w:cstheme="minorEastAsia"/>
          <w:color w:val="auto"/>
          <w:sz w:val="24"/>
          <w:szCs w:val="24"/>
          <w:highlight w:val="none"/>
        </w:rPr>
        <w:t>20.3 争</w:t>
      </w:r>
      <w:bookmarkEnd w:id="1414"/>
      <w:r>
        <w:rPr>
          <w:rFonts w:hint="eastAsia" w:asciiTheme="minorEastAsia" w:hAnsiTheme="minorEastAsia" w:eastAsiaTheme="minorEastAsia" w:cstheme="minorEastAsia"/>
          <w:color w:val="auto"/>
          <w:sz w:val="24"/>
          <w:szCs w:val="24"/>
          <w:highlight w:val="none"/>
        </w:rPr>
        <w:t>议评审</w:t>
      </w:r>
      <w:bookmarkEnd w:id="1452"/>
    </w:p>
    <w:p w14:paraId="15F941AC">
      <w:pPr>
        <w:spacing w:line="360" w:lineRule="auto"/>
        <w:ind w:left="170" w:leftChars="71" w:firstLine="360" w:firstLineChars="1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合同当事人是否同意将工程争议提交争议评审小组决定：</w:t>
      </w:r>
      <w:r>
        <w:rPr>
          <w:rFonts w:hint="eastAsia" w:asciiTheme="minorEastAsia" w:hAnsiTheme="minorEastAsia" w:eastAsiaTheme="minorEastAsia" w:cstheme="minorEastAsia"/>
          <w:color w:val="auto"/>
          <w:sz w:val="24"/>
          <w:szCs w:val="24"/>
          <w:highlight w:val="none"/>
          <w:u w:val="single"/>
        </w:rPr>
        <w:t xml:space="preserve">    </w:t>
      </w:r>
    </w:p>
    <w:p w14:paraId="0A32E41D">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8A18E38">
      <w:pPr>
        <w:spacing w:line="36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bookmarkStart w:id="1453" w:name="_Toc26990"/>
      <w:r>
        <w:rPr>
          <w:rFonts w:hint="eastAsia" w:asciiTheme="minorEastAsia" w:hAnsiTheme="minorEastAsia" w:eastAsiaTheme="minorEastAsia" w:cstheme="minorEastAsia"/>
          <w:color w:val="auto"/>
          <w:sz w:val="24"/>
          <w:szCs w:val="24"/>
          <w:highlight w:val="none"/>
        </w:rPr>
        <w:t>20.3.1 争议评审小组的确定</w:t>
      </w:r>
      <w:bookmarkEnd w:id="1453"/>
    </w:p>
    <w:p w14:paraId="26B35498">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争议评审小组成员的确定：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ACA7A8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选定争议评审员的期限：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901FE1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争议评审小组成员的报酬承担方式：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0EB7551">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其他事项的约定：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CFF03ED">
      <w:pPr>
        <w:autoSpaceDE w:val="0"/>
        <w:autoSpaceDN w:val="0"/>
        <w:adjustRightInd w:val="0"/>
        <w:spacing w:line="360" w:lineRule="auto"/>
        <w:ind w:firstLine="480" w:firstLineChars="200"/>
        <w:jc w:val="left"/>
        <w:outlineLvl w:val="2"/>
        <w:rPr>
          <w:rFonts w:hint="eastAsia" w:asciiTheme="minorEastAsia" w:hAnsiTheme="minorEastAsia" w:eastAsiaTheme="minorEastAsia" w:cstheme="minorEastAsia"/>
          <w:color w:val="auto"/>
          <w:kern w:val="0"/>
          <w:sz w:val="24"/>
          <w:szCs w:val="24"/>
          <w:highlight w:val="none"/>
        </w:rPr>
      </w:pPr>
      <w:bookmarkStart w:id="1454" w:name="_Toc13150"/>
      <w:r>
        <w:rPr>
          <w:rFonts w:hint="eastAsia" w:asciiTheme="minorEastAsia" w:hAnsiTheme="minorEastAsia" w:eastAsiaTheme="minorEastAsia" w:cstheme="minorEastAsia"/>
          <w:color w:val="auto"/>
          <w:kern w:val="0"/>
          <w:sz w:val="24"/>
          <w:szCs w:val="24"/>
          <w:highlight w:val="none"/>
        </w:rPr>
        <w:t>20.3.2 争议评审小组的决定</w:t>
      </w:r>
      <w:bookmarkEnd w:id="1454"/>
    </w:p>
    <w:p w14:paraId="7A8ED5C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合同当事人关于本项的约定：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E575318">
      <w:pPr>
        <w:spacing w:after="120" w:afterLines="0" w:line="360" w:lineRule="auto"/>
        <w:ind w:firstLine="480" w:firstLineChars="200"/>
        <w:outlineLvl w:val="1"/>
        <w:rPr>
          <w:rFonts w:hint="eastAsia" w:asciiTheme="minorEastAsia" w:hAnsiTheme="minorEastAsia" w:eastAsiaTheme="minorEastAsia" w:cstheme="minorEastAsia"/>
          <w:color w:val="auto"/>
          <w:sz w:val="24"/>
          <w:szCs w:val="24"/>
          <w:highlight w:val="none"/>
        </w:rPr>
      </w:pPr>
      <w:bookmarkStart w:id="1455" w:name="_Toc3201"/>
      <w:r>
        <w:rPr>
          <w:rFonts w:hint="eastAsia" w:asciiTheme="minorEastAsia" w:hAnsiTheme="minorEastAsia" w:eastAsiaTheme="minorEastAsia" w:cstheme="minorEastAsia"/>
          <w:color w:val="auto"/>
          <w:sz w:val="24"/>
          <w:szCs w:val="24"/>
          <w:highlight w:val="none"/>
        </w:rPr>
        <w:t>20.4仲裁或诉讼</w:t>
      </w:r>
      <w:bookmarkEnd w:id="1415"/>
      <w:bookmarkEnd w:id="1455"/>
    </w:p>
    <w:p w14:paraId="2DDB4861">
      <w:pPr>
        <w:spacing w:after="120" w:afterLines="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因合同及合同有关事项发生的争议，按下列第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种方式解决：</w:t>
      </w:r>
    </w:p>
    <w:p w14:paraId="1FB5365E">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仲裁委员会申请仲裁；</w:t>
      </w:r>
    </w:p>
    <w:p w14:paraId="102BF07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人民法院起诉。</w:t>
      </w:r>
      <w:bookmarkEnd w:id="1416"/>
      <w:bookmarkEnd w:id="1417"/>
      <w:bookmarkEnd w:id="1418"/>
      <w:bookmarkEnd w:id="1419"/>
      <w:bookmarkEnd w:id="1420"/>
      <w:bookmarkEnd w:id="1421"/>
    </w:p>
    <w:p w14:paraId="16B783A1">
      <w:pPr>
        <w:spacing w:line="360" w:lineRule="auto"/>
        <w:jc w:val="left"/>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456" w:name="_Toc351203652"/>
      <w:bookmarkStart w:id="1457" w:name="_Toc11312"/>
      <w:r>
        <w:rPr>
          <w:rFonts w:hint="eastAsia" w:asciiTheme="minorEastAsia" w:hAnsiTheme="minorEastAsia" w:eastAsiaTheme="minorEastAsia" w:cstheme="minorEastAsia"/>
          <w:b/>
          <w:color w:val="auto"/>
          <w:sz w:val="24"/>
          <w:szCs w:val="24"/>
          <w:highlight w:val="none"/>
        </w:rPr>
        <w:t>附件</w:t>
      </w:r>
      <w:bookmarkEnd w:id="1456"/>
      <w:bookmarkEnd w:id="1457"/>
    </w:p>
    <w:p w14:paraId="2DE1C26F">
      <w:pPr>
        <w:spacing w:line="360" w:lineRule="auto"/>
        <w:jc w:val="left"/>
        <w:outlineLvl w:val="0"/>
        <w:rPr>
          <w:rFonts w:hint="eastAsia" w:asciiTheme="minorEastAsia" w:hAnsiTheme="minorEastAsia" w:eastAsiaTheme="minorEastAsia" w:cstheme="minorEastAsia"/>
          <w:color w:val="auto"/>
          <w:sz w:val="24"/>
          <w:szCs w:val="24"/>
          <w:highlight w:val="none"/>
        </w:rPr>
      </w:pPr>
      <w:bookmarkStart w:id="1458" w:name="_Toc7183"/>
      <w:r>
        <w:rPr>
          <w:rFonts w:hint="eastAsia" w:asciiTheme="minorEastAsia" w:hAnsiTheme="minorEastAsia" w:eastAsiaTheme="minorEastAsia" w:cstheme="minorEastAsia"/>
          <w:color w:val="auto"/>
          <w:sz w:val="24"/>
          <w:szCs w:val="24"/>
          <w:highlight w:val="none"/>
        </w:rPr>
        <w:t>协议书附件：</w:t>
      </w:r>
      <w:bookmarkEnd w:id="1458"/>
    </w:p>
    <w:p w14:paraId="4BC9F35D">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附件1：承包人承揽工程项目一览表</w:t>
      </w:r>
    </w:p>
    <w:p w14:paraId="03A9066B">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专用合同条款附件：</w:t>
      </w:r>
    </w:p>
    <w:p w14:paraId="7E514A1D">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附件2：发包人供应材料设备一览表</w:t>
      </w:r>
    </w:p>
    <w:p w14:paraId="47926AD9">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附件3：工程质量保修书</w:t>
      </w:r>
    </w:p>
    <w:p w14:paraId="1768C1BB">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附件4：主要建设工程文件目录</w:t>
      </w:r>
    </w:p>
    <w:p w14:paraId="65B1F8F1">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附件5：承包人用于本工程施工的机械设备表</w:t>
      </w:r>
    </w:p>
    <w:p w14:paraId="075A111C">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附件6：承包人主要施工管理人员表</w:t>
      </w:r>
    </w:p>
    <w:p w14:paraId="14A346CE">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附件7：分包人主要施工管理人员表</w:t>
      </w:r>
    </w:p>
    <w:p w14:paraId="4BE3B7AF">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附件8：履约担保格式</w:t>
      </w:r>
    </w:p>
    <w:p w14:paraId="7CD958AB">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附件9：预付款担保格式</w:t>
      </w:r>
    </w:p>
    <w:p w14:paraId="6EF11D37">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附件10：支付担保格式</w:t>
      </w:r>
    </w:p>
    <w:p w14:paraId="53DA2406">
      <w:pPr>
        <w:spacing w:line="360" w:lineRule="auto"/>
        <w:jc w:val="left"/>
        <w:rPr>
          <w:rFonts w:hint="eastAsia" w:asciiTheme="minorEastAsia" w:hAnsiTheme="minorEastAsia" w:eastAsiaTheme="minorEastAsia" w:cstheme="minorEastAsia"/>
          <w:color w:val="auto"/>
          <w:sz w:val="24"/>
          <w:szCs w:val="24"/>
          <w:highlight w:val="none"/>
        </w:rPr>
        <w:sectPr>
          <w:footerReference r:id="rId6" w:type="first"/>
          <w:pgSz w:w="11906" w:h="16838"/>
          <w:pgMar w:top="1418" w:right="1555" w:bottom="1418" w:left="1531" w:header="851" w:footer="992" w:gutter="0"/>
          <w:pgNumType w:fmt="decimal"/>
          <w:cols w:space="720" w:num="1"/>
          <w:titlePg/>
          <w:docGrid w:type="lines" w:linePitch="312" w:charSpace="0"/>
        </w:sectPr>
      </w:pPr>
      <w:r>
        <w:rPr>
          <w:rFonts w:hint="eastAsia" w:asciiTheme="minorEastAsia" w:hAnsiTheme="minorEastAsia" w:eastAsiaTheme="minorEastAsia" w:cstheme="minorEastAsia"/>
          <w:color w:val="auto"/>
          <w:sz w:val="24"/>
          <w:szCs w:val="24"/>
          <w:highlight w:val="none"/>
        </w:rPr>
        <w:t>附件11：暂估价一览表</w:t>
      </w:r>
    </w:p>
    <w:p w14:paraId="7D697A88">
      <w:pPr>
        <w:spacing w:before="156" w:beforeLines="50" w:after="156" w:afterLines="50" w:line="440" w:lineRule="exact"/>
        <w:jc w:val="left"/>
        <w:outlineLvl w:val="0"/>
        <w:rPr>
          <w:rFonts w:hint="eastAsia" w:asciiTheme="minorEastAsia" w:hAnsiTheme="minorEastAsia" w:eastAsiaTheme="minorEastAsia" w:cstheme="minorEastAsia"/>
          <w:color w:val="auto"/>
          <w:sz w:val="24"/>
          <w:szCs w:val="24"/>
          <w:highlight w:val="none"/>
        </w:rPr>
      </w:pPr>
      <w:bookmarkStart w:id="1459" w:name="_Toc12058"/>
      <w:r>
        <w:rPr>
          <w:rFonts w:hint="eastAsia" w:asciiTheme="minorEastAsia" w:hAnsiTheme="minorEastAsia" w:eastAsiaTheme="minorEastAsia" w:cstheme="minorEastAsia"/>
          <w:color w:val="auto"/>
          <w:sz w:val="24"/>
          <w:szCs w:val="24"/>
          <w:highlight w:val="none"/>
        </w:rPr>
        <w:t>附件1：</w:t>
      </w:r>
      <w:bookmarkEnd w:id="1459"/>
    </w:p>
    <w:p w14:paraId="59E2BB9A">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承包人承揽工程项目一览表</w:t>
      </w:r>
    </w:p>
    <w:tbl>
      <w:tblPr>
        <w:tblStyle w:val="3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7DC0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FAF8F7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单位工程名称</w:t>
            </w:r>
          </w:p>
        </w:tc>
        <w:tc>
          <w:tcPr>
            <w:tcW w:w="1843" w:type="dxa"/>
            <w:tcBorders>
              <w:top w:val="single" w:color="auto" w:sz="12" w:space="0"/>
              <w:bottom w:val="double" w:color="auto" w:sz="6" w:space="0"/>
            </w:tcBorders>
            <w:noWrap w:val="0"/>
            <w:vAlign w:val="center"/>
          </w:tcPr>
          <w:p w14:paraId="3AFFF8E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建设规模</w:t>
            </w:r>
          </w:p>
        </w:tc>
        <w:tc>
          <w:tcPr>
            <w:tcW w:w="1417" w:type="dxa"/>
            <w:tcBorders>
              <w:top w:val="single" w:color="auto" w:sz="12" w:space="0"/>
              <w:bottom w:val="double" w:color="auto" w:sz="6" w:space="0"/>
            </w:tcBorders>
            <w:noWrap w:val="0"/>
            <w:vAlign w:val="center"/>
          </w:tcPr>
          <w:p w14:paraId="289D965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建筑面积（平方米）</w:t>
            </w:r>
          </w:p>
        </w:tc>
        <w:tc>
          <w:tcPr>
            <w:tcW w:w="2410" w:type="dxa"/>
            <w:tcBorders>
              <w:top w:val="single" w:color="auto" w:sz="12" w:space="0"/>
              <w:bottom w:val="double" w:color="auto" w:sz="6" w:space="0"/>
            </w:tcBorders>
            <w:noWrap w:val="0"/>
            <w:vAlign w:val="center"/>
          </w:tcPr>
          <w:p w14:paraId="66A27F1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结构形式</w:t>
            </w:r>
          </w:p>
        </w:tc>
        <w:tc>
          <w:tcPr>
            <w:tcW w:w="850" w:type="dxa"/>
            <w:tcBorders>
              <w:top w:val="single" w:color="auto" w:sz="12" w:space="0"/>
              <w:bottom w:val="double" w:color="auto" w:sz="6" w:space="0"/>
            </w:tcBorders>
            <w:noWrap w:val="0"/>
            <w:vAlign w:val="center"/>
          </w:tcPr>
          <w:p w14:paraId="55FA32F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层数</w:t>
            </w:r>
          </w:p>
        </w:tc>
        <w:tc>
          <w:tcPr>
            <w:tcW w:w="1560" w:type="dxa"/>
            <w:tcBorders>
              <w:top w:val="single" w:color="auto" w:sz="12" w:space="0"/>
              <w:bottom w:val="double" w:color="auto" w:sz="6" w:space="0"/>
            </w:tcBorders>
            <w:noWrap w:val="0"/>
            <w:vAlign w:val="center"/>
          </w:tcPr>
          <w:p w14:paraId="20DCEC8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生产能力</w:t>
            </w:r>
          </w:p>
        </w:tc>
        <w:tc>
          <w:tcPr>
            <w:tcW w:w="2126" w:type="dxa"/>
            <w:tcBorders>
              <w:top w:val="single" w:color="auto" w:sz="12" w:space="0"/>
              <w:bottom w:val="double" w:color="auto" w:sz="6" w:space="0"/>
            </w:tcBorders>
            <w:noWrap w:val="0"/>
            <w:vAlign w:val="center"/>
          </w:tcPr>
          <w:p w14:paraId="7551FA7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设备安装内容</w:t>
            </w:r>
          </w:p>
        </w:tc>
        <w:tc>
          <w:tcPr>
            <w:tcW w:w="1417" w:type="dxa"/>
            <w:tcBorders>
              <w:top w:val="single" w:color="auto" w:sz="12" w:space="0"/>
              <w:bottom w:val="double" w:color="auto" w:sz="6" w:space="0"/>
            </w:tcBorders>
            <w:noWrap w:val="0"/>
            <w:vAlign w:val="center"/>
          </w:tcPr>
          <w:p w14:paraId="4049236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合同价格（元）</w:t>
            </w:r>
          </w:p>
        </w:tc>
        <w:tc>
          <w:tcPr>
            <w:tcW w:w="851" w:type="dxa"/>
            <w:tcBorders>
              <w:top w:val="single" w:color="auto" w:sz="12" w:space="0"/>
              <w:bottom w:val="double" w:color="auto" w:sz="6" w:space="0"/>
            </w:tcBorders>
            <w:noWrap w:val="0"/>
            <w:vAlign w:val="center"/>
          </w:tcPr>
          <w:p w14:paraId="38FDE48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开工日期</w:t>
            </w:r>
          </w:p>
        </w:tc>
        <w:tc>
          <w:tcPr>
            <w:tcW w:w="850" w:type="dxa"/>
            <w:tcBorders>
              <w:top w:val="single" w:color="auto" w:sz="12" w:space="0"/>
              <w:bottom w:val="double" w:color="auto" w:sz="6" w:space="0"/>
            </w:tcBorders>
            <w:noWrap w:val="0"/>
            <w:vAlign w:val="center"/>
          </w:tcPr>
          <w:p w14:paraId="7A10AAA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竣工日期</w:t>
            </w:r>
          </w:p>
        </w:tc>
      </w:tr>
      <w:tr w14:paraId="463E0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107CCD7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tcBorders>
              <w:top w:val="double" w:color="auto" w:sz="6" w:space="0"/>
              <w:bottom w:val="single" w:color="auto" w:sz="6" w:space="0"/>
            </w:tcBorders>
            <w:noWrap w:val="0"/>
            <w:vAlign w:val="center"/>
          </w:tcPr>
          <w:p w14:paraId="6D1F785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260168C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tcBorders>
              <w:top w:val="double" w:color="auto" w:sz="6" w:space="0"/>
              <w:bottom w:val="single" w:color="auto" w:sz="6" w:space="0"/>
            </w:tcBorders>
            <w:noWrap w:val="0"/>
            <w:vAlign w:val="center"/>
          </w:tcPr>
          <w:p w14:paraId="72CB550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25C0A9B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tcBorders>
              <w:top w:val="double" w:color="auto" w:sz="6" w:space="0"/>
              <w:bottom w:val="single" w:color="auto" w:sz="6" w:space="0"/>
            </w:tcBorders>
            <w:noWrap w:val="0"/>
            <w:vAlign w:val="center"/>
          </w:tcPr>
          <w:p w14:paraId="04B8EF5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tcBorders>
              <w:top w:val="double" w:color="auto" w:sz="6" w:space="0"/>
              <w:bottom w:val="single" w:color="auto" w:sz="6" w:space="0"/>
            </w:tcBorders>
            <w:noWrap w:val="0"/>
            <w:vAlign w:val="center"/>
          </w:tcPr>
          <w:p w14:paraId="4F35B74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3679627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1FDA58F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2358C36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23CF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079984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tcBorders>
              <w:top w:val="nil"/>
            </w:tcBorders>
            <w:noWrap w:val="0"/>
            <w:vAlign w:val="center"/>
          </w:tcPr>
          <w:p w14:paraId="0ECC621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28CE524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tcBorders>
              <w:top w:val="nil"/>
            </w:tcBorders>
            <w:noWrap w:val="0"/>
            <w:vAlign w:val="center"/>
          </w:tcPr>
          <w:p w14:paraId="178166B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77A806E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tcBorders>
              <w:top w:val="nil"/>
            </w:tcBorders>
            <w:noWrap w:val="0"/>
            <w:vAlign w:val="center"/>
          </w:tcPr>
          <w:p w14:paraId="5CF589A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tcBorders>
              <w:top w:val="nil"/>
            </w:tcBorders>
            <w:noWrap w:val="0"/>
            <w:vAlign w:val="center"/>
          </w:tcPr>
          <w:p w14:paraId="7C987C4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2B1FC5E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center"/>
          </w:tcPr>
          <w:p w14:paraId="42B4043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7F98074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3710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8B45BF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tcBorders>
              <w:top w:val="nil"/>
            </w:tcBorders>
            <w:noWrap w:val="0"/>
            <w:vAlign w:val="center"/>
          </w:tcPr>
          <w:p w14:paraId="4978F38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7A618F8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tcBorders>
              <w:top w:val="nil"/>
            </w:tcBorders>
            <w:noWrap w:val="0"/>
            <w:vAlign w:val="center"/>
          </w:tcPr>
          <w:p w14:paraId="4A0F6B9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065D175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tcBorders>
              <w:top w:val="nil"/>
            </w:tcBorders>
            <w:noWrap w:val="0"/>
            <w:vAlign w:val="center"/>
          </w:tcPr>
          <w:p w14:paraId="0AB62BE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tcBorders>
              <w:top w:val="nil"/>
            </w:tcBorders>
            <w:noWrap w:val="0"/>
            <w:vAlign w:val="center"/>
          </w:tcPr>
          <w:p w14:paraId="0EEEF12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5C62050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center"/>
          </w:tcPr>
          <w:p w14:paraId="68F4BED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3552236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9821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AD5834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noWrap w:val="0"/>
            <w:vAlign w:val="center"/>
          </w:tcPr>
          <w:p w14:paraId="2C7B163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center"/>
          </w:tcPr>
          <w:p w14:paraId="61FCC2F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noWrap w:val="0"/>
            <w:vAlign w:val="center"/>
          </w:tcPr>
          <w:p w14:paraId="3917BF4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5A34F55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noWrap w:val="0"/>
            <w:vAlign w:val="center"/>
          </w:tcPr>
          <w:p w14:paraId="1E320EF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noWrap w:val="0"/>
            <w:vAlign w:val="center"/>
          </w:tcPr>
          <w:p w14:paraId="366AE1D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center"/>
          </w:tcPr>
          <w:p w14:paraId="50C98ED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1ABD592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69C365F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FAC4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BA4607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tcBorders>
              <w:top w:val="nil"/>
            </w:tcBorders>
            <w:noWrap w:val="0"/>
            <w:vAlign w:val="center"/>
          </w:tcPr>
          <w:p w14:paraId="5F0CC3B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7BA8C48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tcBorders>
              <w:top w:val="nil"/>
            </w:tcBorders>
            <w:noWrap w:val="0"/>
            <w:vAlign w:val="center"/>
          </w:tcPr>
          <w:p w14:paraId="60484B2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1A719C3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tcBorders>
              <w:top w:val="nil"/>
            </w:tcBorders>
            <w:noWrap w:val="0"/>
            <w:vAlign w:val="center"/>
          </w:tcPr>
          <w:p w14:paraId="07187AE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tcBorders>
              <w:top w:val="nil"/>
            </w:tcBorders>
            <w:noWrap w:val="0"/>
            <w:vAlign w:val="center"/>
          </w:tcPr>
          <w:p w14:paraId="5422C4C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4AF9ACF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center"/>
          </w:tcPr>
          <w:p w14:paraId="07EB24B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64E831F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FFCB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44AD28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noWrap w:val="0"/>
            <w:vAlign w:val="center"/>
          </w:tcPr>
          <w:p w14:paraId="13E33A9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center"/>
          </w:tcPr>
          <w:p w14:paraId="359588C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noWrap w:val="0"/>
            <w:vAlign w:val="center"/>
          </w:tcPr>
          <w:p w14:paraId="60B79FD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6EA6489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noWrap w:val="0"/>
            <w:vAlign w:val="center"/>
          </w:tcPr>
          <w:p w14:paraId="517B0DC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noWrap w:val="0"/>
            <w:vAlign w:val="center"/>
          </w:tcPr>
          <w:p w14:paraId="569D447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center"/>
          </w:tcPr>
          <w:p w14:paraId="0891FA0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4B82AE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64B1174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303F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59C927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tcBorders>
              <w:top w:val="nil"/>
            </w:tcBorders>
            <w:noWrap w:val="0"/>
            <w:vAlign w:val="center"/>
          </w:tcPr>
          <w:p w14:paraId="35EC43E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7CF2B35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tcBorders>
              <w:top w:val="nil"/>
            </w:tcBorders>
            <w:noWrap w:val="0"/>
            <w:vAlign w:val="center"/>
          </w:tcPr>
          <w:p w14:paraId="2D65414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0964D87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tcBorders>
              <w:top w:val="nil"/>
            </w:tcBorders>
            <w:noWrap w:val="0"/>
            <w:vAlign w:val="center"/>
          </w:tcPr>
          <w:p w14:paraId="0BB4E7C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tcBorders>
              <w:top w:val="nil"/>
            </w:tcBorders>
            <w:noWrap w:val="0"/>
            <w:vAlign w:val="center"/>
          </w:tcPr>
          <w:p w14:paraId="76EB868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59073D3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center"/>
          </w:tcPr>
          <w:p w14:paraId="29C35BC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4965EEF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11F7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E86F5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tcBorders>
              <w:top w:val="nil"/>
            </w:tcBorders>
            <w:noWrap w:val="0"/>
            <w:vAlign w:val="center"/>
          </w:tcPr>
          <w:p w14:paraId="6DA5EC9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465A61F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tcBorders>
              <w:top w:val="nil"/>
            </w:tcBorders>
            <w:noWrap w:val="0"/>
            <w:vAlign w:val="center"/>
          </w:tcPr>
          <w:p w14:paraId="17D7389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689C532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tcBorders>
              <w:top w:val="nil"/>
            </w:tcBorders>
            <w:noWrap w:val="0"/>
            <w:vAlign w:val="center"/>
          </w:tcPr>
          <w:p w14:paraId="31B3538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tcBorders>
              <w:top w:val="nil"/>
            </w:tcBorders>
            <w:noWrap w:val="0"/>
            <w:vAlign w:val="center"/>
          </w:tcPr>
          <w:p w14:paraId="0A91722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3BE3776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center"/>
          </w:tcPr>
          <w:p w14:paraId="1AC62FF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3C44910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FACB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363D33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noWrap w:val="0"/>
            <w:vAlign w:val="center"/>
          </w:tcPr>
          <w:p w14:paraId="3E8B00E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center"/>
          </w:tcPr>
          <w:p w14:paraId="1E36A7D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noWrap w:val="0"/>
            <w:vAlign w:val="center"/>
          </w:tcPr>
          <w:p w14:paraId="24F9B1E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58C5D65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noWrap w:val="0"/>
            <w:vAlign w:val="center"/>
          </w:tcPr>
          <w:p w14:paraId="062E8AB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noWrap w:val="0"/>
            <w:vAlign w:val="center"/>
          </w:tcPr>
          <w:p w14:paraId="101A798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center"/>
          </w:tcPr>
          <w:p w14:paraId="37C4EB4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1AA32E4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017D2C8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B76F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A6EC2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tcBorders>
              <w:top w:val="nil"/>
            </w:tcBorders>
            <w:noWrap w:val="0"/>
            <w:vAlign w:val="center"/>
          </w:tcPr>
          <w:p w14:paraId="03AD9CC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0D17DDD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tcBorders>
              <w:top w:val="nil"/>
            </w:tcBorders>
            <w:noWrap w:val="0"/>
            <w:vAlign w:val="center"/>
          </w:tcPr>
          <w:p w14:paraId="28DD717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70717C6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tcBorders>
              <w:top w:val="nil"/>
            </w:tcBorders>
            <w:noWrap w:val="0"/>
            <w:vAlign w:val="center"/>
          </w:tcPr>
          <w:p w14:paraId="7618D07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tcBorders>
              <w:top w:val="nil"/>
            </w:tcBorders>
            <w:noWrap w:val="0"/>
            <w:vAlign w:val="center"/>
          </w:tcPr>
          <w:p w14:paraId="6F80B89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tcBorders>
              <w:top w:val="nil"/>
            </w:tcBorders>
            <w:noWrap w:val="0"/>
            <w:vAlign w:val="center"/>
          </w:tcPr>
          <w:p w14:paraId="49231C6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center"/>
          </w:tcPr>
          <w:p w14:paraId="4C6EDD2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22A4784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56DB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8C828F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843" w:type="dxa"/>
            <w:noWrap w:val="0"/>
            <w:vAlign w:val="center"/>
          </w:tcPr>
          <w:p w14:paraId="7001BE9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center"/>
          </w:tcPr>
          <w:p w14:paraId="6A1BC22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410" w:type="dxa"/>
            <w:noWrap w:val="0"/>
            <w:vAlign w:val="center"/>
          </w:tcPr>
          <w:p w14:paraId="68708EB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61EA27A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560" w:type="dxa"/>
            <w:noWrap w:val="0"/>
            <w:vAlign w:val="center"/>
          </w:tcPr>
          <w:p w14:paraId="685AEA4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2126" w:type="dxa"/>
            <w:noWrap w:val="0"/>
            <w:vAlign w:val="center"/>
          </w:tcPr>
          <w:p w14:paraId="786639F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7" w:type="dxa"/>
            <w:noWrap w:val="0"/>
            <w:vAlign w:val="center"/>
          </w:tcPr>
          <w:p w14:paraId="2886F49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27E3974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5F47E6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bl>
    <w:p w14:paraId="64F4902C">
      <w:pPr>
        <w:spacing w:line="440" w:lineRule="exact"/>
        <w:rPr>
          <w:rFonts w:hint="eastAsia" w:asciiTheme="minorEastAsia" w:hAnsiTheme="minorEastAsia" w:eastAsiaTheme="minorEastAsia" w:cstheme="minorEastAsia"/>
          <w:b/>
          <w:color w:val="auto"/>
          <w:sz w:val="24"/>
          <w:szCs w:val="24"/>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6B7B768E">
      <w:pPr>
        <w:spacing w:line="440" w:lineRule="exact"/>
        <w:outlineLvl w:val="0"/>
        <w:rPr>
          <w:rFonts w:hint="eastAsia" w:asciiTheme="minorEastAsia" w:hAnsiTheme="minorEastAsia" w:eastAsiaTheme="minorEastAsia" w:cstheme="minorEastAsia"/>
          <w:color w:val="auto"/>
          <w:sz w:val="24"/>
          <w:szCs w:val="24"/>
          <w:highlight w:val="none"/>
        </w:rPr>
      </w:pPr>
      <w:bookmarkStart w:id="1460" w:name="_Toc8112"/>
      <w:r>
        <w:rPr>
          <w:rFonts w:hint="eastAsia" w:asciiTheme="minorEastAsia" w:hAnsiTheme="minorEastAsia" w:eastAsiaTheme="minorEastAsia" w:cstheme="minorEastAsia"/>
          <w:color w:val="auto"/>
          <w:sz w:val="24"/>
          <w:szCs w:val="24"/>
          <w:highlight w:val="none"/>
        </w:rPr>
        <w:t>附</w:t>
      </w:r>
      <w:bookmarkStart w:id="1461" w:name="_Toc296346726"/>
      <w:bookmarkStart w:id="1462" w:name="_Toc296944564"/>
      <w:bookmarkStart w:id="1463" w:name="_Toc296891053"/>
      <w:bookmarkStart w:id="1464" w:name="_Toc296503225"/>
      <w:bookmarkStart w:id="1465" w:name="_Toc296891265"/>
      <w:bookmarkStart w:id="1466" w:name="_Toc296347224"/>
      <w:bookmarkStart w:id="1467" w:name="_Toc267261692"/>
      <w:r>
        <w:rPr>
          <w:rFonts w:hint="eastAsia" w:asciiTheme="minorEastAsia" w:hAnsiTheme="minorEastAsia" w:eastAsiaTheme="minorEastAsia" w:cstheme="minorEastAsia"/>
          <w:color w:val="auto"/>
          <w:sz w:val="24"/>
          <w:szCs w:val="24"/>
          <w:highlight w:val="none"/>
        </w:rPr>
        <w:t>件2：</w:t>
      </w:r>
      <w:bookmarkEnd w:id="1460"/>
    </w:p>
    <w:bookmarkEnd w:id="1461"/>
    <w:bookmarkEnd w:id="1462"/>
    <w:bookmarkEnd w:id="1463"/>
    <w:bookmarkEnd w:id="1464"/>
    <w:bookmarkEnd w:id="1465"/>
    <w:bookmarkEnd w:id="1466"/>
    <w:bookmarkEnd w:id="1467"/>
    <w:p w14:paraId="7BFE85EB">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发包人供应材料设备一览表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40EDC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0F4F034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序号</w:t>
            </w:r>
          </w:p>
        </w:tc>
        <w:tc>
          <w:tcPr>
            <w:tcW w:w="1276" w:type="dxa"/>
            <w:tcBorders>
              <w:top w:val="single" w:color="auto" w:sz="12" w:space="0"/>
              <w:bottom w:val="double" w:color="auto" w:sz="6" w:space="0"/>
            </w:tcBorders>
            <w:noWrap w:val="0"/>
            <w:vAlign w:val="center"/>
          </w:tcPr>
          <w:p w14:paraId="6B4141E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 xml:space="preserve">  材料、</w:t>
            </w:r>
          </w:p>
          <w:p w14:paraId="6B98771B">
            <w:pPr>
              <w:pStyle w:val="13"/>
              <w:keepNext/>
              <w:spacing w:after="0" w:afterLines="0" w:line="440" w:lineRule="exact"/>
              <w:ind w:left="0" w:leftChars="0" w:right="63"/>
              <w:jc w:val="both"/>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设备品种</w:t>
            </w:r>
          </w:p>
        </w:tc>
        <w:tc>
          <w:tcPr>
            <w:tcW w:w="1418" w:type="dxa"/>
            <w:tcBorders>
              <w:top w:val="single" w:color="auto" w:sz="12" w:space="0"/>
              <w:bottom w:val="double" w:color="auto" w:sz="6" w:space="0"/>
            </w:tcBorders>
            <w:noWrap w:val="0"/>
            <w:vAlign w:val="center"/>
          </w:tcPr>
          <w:p w14:paraId="4F6FADD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规格型号</w:t>
            </w:r>
          </w:p>
        </w:tc>
        <w:tc>
          <w:tcPr>
            <w:tcW w:w="940" w:type="dxa"/>
            <w:tcBorders>
              <w:top w:val="single" w:color="auto" w:sz="12" w:space="0"/>
              <w:bottom w:val="double" w:color="auto" w:sz="6" w:space="0"/>
            </w:tcBorders>
            <w:noWrap w:val="0"/>
            <w:vAlign w:val="center"/>
          </w:tcPr>
          <w:p w14:paraId="0966DC9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单位</w:t>
            </w:r>
          </w:p>
        </w:tc>
        <w:tc>
          <w:tcPr>
            <w:tcW w:w="851" w:type="dxa"/>
            <w:tcBorders>
              <w:top w:val="single" w:color="auto" w:sz="12" w:space="0"/>
              <w:bottom w:val="double" w:color="auto" w:sz="6" w:space="0"/>
            </w:tcBorders>
            <w:noWrap w:val="0"/>
            <w:vAlign w:val="center"/>
          </w:tcPr>
          <w:p w14:paraId="645928F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数量</w:t>
            </w:r>
          </w:p>
        </w:tc>
        <w:tc>
          <w:tcPr>
            <w:tcW w:w="1044" w:type="dxa"/>
            <w:tcBorders>
              <w:top w:val="single" w:color="auto" w:sz="12" w:space="0"/>
              <w:bottom w:val="double" w:color="auto" w:sz="6" w:space="0"/>
            </w:tcBorders>
            <w:noWrap w:val="0"/>
            <w:vAlign w:val="center"/>
          </w:tcPr>
          <w:p w14:paraId="6F3B270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单价（元）</w:t>
            </w:r>
          </w:p>
        </w:tc>
        <w:tc>
          <w:tcPr>
            <w:tcW w:w="992" w:type="dxa"/>
            <w:tcBorders>
              <w:top w:val="single" w:color="auto" w:sz="12" w:space="0"/>
              <w:bottom w:val="double" w:color="auto" w:sz="6" w:space="0"/>
            </w:tcBorders>
            <w:noWrap w:val="0"/>
            <w:vAlign w:val="center"/>
          </w:tcPr>
          <w:p w14:paraId="3379D89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质量等级</w:t>
            </w:r>
          </w:p>
        </w:tc>
        <w:tc>
          <w:tcPr>
            <w:tcW w:w="851" w:type="dxa"/>
            <w:tcBorders>
              <w:top w:val="single" w:color="auto" w:sz="12" w:space="0"/>
              <w:bottom w:val="double" w:color="auto" w:sz="6" w:space="0"/>
            </w:tcBorders>
            <w:noWrap w:val="0"/>
            <w:vAlign w:val="center"/>
          </w:tcPr>
          <w:p w14:paraId="0233B26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供应时间</w:t>
            </w:r>
          </w:p>
        </w:tc>
        <w:tc>
          <w:tcPr>
            <w:tcW w:w="1487" w:type="dxa"/>
            <w:tcBorders>
              <w:top w:val="single" w:color="auto" w:sz="12" w:space="0"/>
              <w:bottom w:val="double" w:color="auto" w:sz="6" w:space="0"/>
            </w:tcBorders>
            <w:noWrap w:val="0"/>
            <w:vAlign w:val="center"/>
          </w:tcPr>
          <w:p w14:paraId="7A57D89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送达地点</w:t>
            </w:r>
          </w:p>
        </w:tc>
        <w:tc>
          <w:tcPr>
            <w:tcW w:w="992" w:type="dxa"/>
            <w:tcBorders>
              <w:top w:val="single" w:color="auto" w:sz="12" w:space="0"/>
              <w:bottom w:val="double" w:color="auto" w:sz="6" w:space="0"/>
            </w:tcBorders>
            <w:noWrap w:val="0"/>
            <w:vAlign w:val="center"/>
          </w:tcPr>
          <w:p w14:paraId="4621A30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备注</w:t>
            </w:r>
          </w:p>
        </w:tc>
      </w:tr>
      <w:tr w14:paraId="5DC49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2831243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1D55720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center"/>
          </w:tcPr>
          <w:p w14:paraId="1D55ABF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tcBorders>
              <w:top w:val="double" w:color="auto" w:sz="6" w:space="0"/>
              <w:bottom w:val="single" w:color="auto" w:sz="6" w:space="0"/>
            </w:tcBorders>
            <w:noWrap w:val="0"/>
            <w:vAlign w:val="center"/>
          </w:tcPr>
          <w:p w14:paraId="2CFBB1B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1FBB2D9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tcBorders>
              <w:top w:val="double" w:color="auto" w:sz="6" w:space="0"/>
              <w:bottom w:val="single" w:color="auto" w:sz="6" w:space="0"/>
            </w:tcBorders>
            <w:noWrap w:val="0"/>
            <w:vAlign w:val="center"/>
          </w:tcPr>
          <w:p w14:paraId="67FAF97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tcBorders>
              <w:top w:val="double" w:color="auto" w:sz="6" w:space="0"/>
              <w:bottom w:val="single" w:color="auto" w:sz="6" w:space="0"/>
            </w:tcBorders>
            <w:noWrap w:val="0"/>
            <w:vAlign w:val="center"/>
          </w:tcPr>
          <w:p w14:paraId="087084C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62948AD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tcBorders>
              <w:top w:val="double" w:color="auto" w:sz="6" w:space="0"/>
              <w:bottom w:val="single" w:color="auto" w:sz="6" w:space="0"/>
            </w:tcBorders>
            <w:noWrap w:val="0"/>
            <w:vAlign w:val="center"/>
          </w:tcPr>
          <w:p w14:paraId="381DF10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tcBorders>
              <w:top w:val="double" w:color="auto" w:sz="6" w:space="0"/>
              <w:bottom w:val="single" w:color="auto" w:sz="6" w:space="0"/>
            </w:tcBorders>
            <w:noWrap w:val="0"/>
            <w:vAlign w:val="center"/>
          </w:tcPr>
          <w:p w14:paraId="6187D55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7612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1A8FB3E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tcBorders>
              <w:top w:val="nil"/>
            </w:tcBorders>
            <w:noWrap w:val="0"/>
            <w:vAlign w:val="center"/>
          </w:tcPr>
          <w:p w14:paraId="46D9157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nil"/>
            </w:tcBorders>
            <w:noWrap w:val="0"/>
            <w:vAlign w:val="center"/>
          </w:tcPr>
          <w:p w14:paraId="2F90F6B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tcBorders>
              <w:top w:val="nil"/>
            </w:tcBorders>
            <w:noWrap w:val="0"/>
            <w:vAlign w:val="center"/>
          </w:tcPr>
          <w:p w14:paraId="5CBCAF4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center"/>
          </w:tcPr>
          <w:p w14:paraId="1D52381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tcBorders>
              <w:top w:val="nil"/>
            </w:tcBorders>
            <w:noWrap w:val="0"/>
            <w:vAlign w:val="center"/>
          </w:tcPr>
          <w:p w14:paraId="76536AD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tcBorders>
              <w:top w:val="nil"/>
            </w:tcBorders>
            <w:noWrap w:val="0"/>
            <w:vAlign w:val="center"/>
          </w:tcPr>
          <w:p w14:paraId="15F6FA2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center"/>
          </w:tcPr>
          <w:p w14:paraId="27A1A8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tcBorders>
              <w:top w:val="nil"/>
            </w:tcBorders>
            <w:noWrap w:val="0"/>
            <w:vAlign w:val="center"/>
          </w:tcPr>
          <w:p w14:paraId="731FCD1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tcBorders>
              <w:top w:val="nil"/>
            </w:tcBorders>
            <w:noWrap w:val="0"/>
            <w:vAlign w:val="center"/>
          </w:tcPr>
          <w:p w14:paraId="09A848E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8E40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05C0D9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557FCC8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3DE41E6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noWrap w:val="0"/>
            <w:vAlign w:val="center"/>
          </w:tcPr>
          <w:p w14:paraId="2B12332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1315CE0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noWrap w:val="0"/>
            <w:vAlign w:val="center"/>
          </w:tcPr>
          <w:p w14:paraId="20DCB82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07F15F3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187F215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noWrap w:val="0"/>
            <w:vAlign w:val="center"/>
          </w:tcPr>
          <w:p w14:paraId="2077890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1050046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98E3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5C45E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5A1E99D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1EA2385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noWrap w:val="0"/>
            <w:vAlign w:val="center"/>
          </w:tcPr>
          <w:p w14:paraId="348F974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6FE98E3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noWrap w:val="0"/>
            <w:vAlign w:val="center"/>
          </w:tcPr>
          <w:p w14:paraId="030BDC9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2EB42C8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4CC2B42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noWrap w:val="0"/>
            <w:vAlign w:val="center"/>
          </w:tcPr>
          <w:p w14:paraId="2242AD9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4F6B4C8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853B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9DE3B2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23E70B0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66779F9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noWrap w:val="0"/>
            <w:vAlign w:val="center"/>
          </w:tcPr>
          <w:p w14:paraId="522CE0A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3FB222F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noWrap w:val="0"/>
            <w:vAlign w:val="center"/>
          </w:tcPr>
          <w:p w14:paraId="02F9201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6FEA59B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531E293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noWrap w:val="0"/>
            <w:vAlign w:val="center"/>
          </w:tcPr>
          <w:p w14:paraId="50EC627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190BBD8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9255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FFF07F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25ACBBE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0287118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noWrap w:val="0"/>
            <w:vAlign w:val="center"/>
          </w:tcPr>
          <w:p w14:paraId="7580F1F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6C57BD7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noWrap w:val="0"/>
            <w:vAlign w:val="center"/>
          </w:tcPr>
          <w:p w14:paraId="6968A9F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7980787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43DB042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noWrap w:val="0"/>
            <w:vAlign w:val="center"/>
          </w:tcPr>
          <w:p w14:paraId="0CE6F38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7E75AA2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FEAB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662047E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363227C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617EF8B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noWrap w:val="0"/>
            <w:vAlign w:val="center"/>
          </w:tcPr>
          <w:p w14:paraId="27890FE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77F496E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noWrap w:val="0"/>
            <w:vAlign w:val="center"/>
          </w:tcPr>
          <w:p w14:paraId="409B41D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5280D03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15F2AF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noWrap w:val="0"/>
            <w:vAlign w:val="center"/>
          </w:tcPr>
          <w:p w14:paraId="33F56BD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307D206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E157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A587C6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46A6681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556D02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noWrap w:val="0"/>
            <w:vAlign w:val="center"/>
          </w:tcPr>
          <w:p w14:paraId="452E32C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1738A23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noWrap w:val="0"/>
            <w:vAlign w:val="center"/>
          </w:tcPr>
          <w:p w14:paraId="1A60CE3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06915DD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03BEF17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noWrap w:val="0"/>
            <w:vAlign w:val="center"/>
          </w:tcPr>
          <w:p w14:paraId="46826DC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2D9C945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0E5E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CEB49AB">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78F77209">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322E963F">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6854FE72">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0785E776">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131F66B4">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50FD9900">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186740C6">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61366A2C">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68FC8239">
            <w:pPr>
              <w:jc w:val="center"/>
              <w:rPr>
                <w:rFonts w:hint="eastAsia" w:asciiTheme="minorEastAsia" w:hAnsiTheme="minorEastAsia" w:eastAsiaTheme="minorEastAsia" w:cstheme="minorEastAsia"/>
                <w:color w:val="auto"/>
                <w:sz w:val="24"/>
                <w:szCs w:val="24"/>
                <w:highlight w:val="none"/>
              </w:rPr>
            </w:pPr>
          </w:p>
        </w:tc>
      </w:tr>
      <w:tr w14:paraId="10C3C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97B4CA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26A479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5A8F1E5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40" w:type="dxa"/>
            <w:noWrap w:val="0"/>
            <w:vAlign w:val="center"/>
          </w:tcPr>
          <w:p w14:paraId="0CECEF3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64665A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44" w:type="dxa"/>
            <w:noWrap w:val="0"/>
            <w:vAlign w:val="center"/>
          </w:tcPr>
          <w:p w14:paraId="294EEC6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5EAD04C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center"/>
          </w:tcPr>
          <w:p w14:paraId="13E07FB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7" w:type="dxa"/>
            <w:noWrap w:val="0"/>
            <w:vAlign w:val="center"/>
          </w:tcPr>
          <w:p w14:paraId="63E5E4C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92" w:type="dxa"/>
            <w:noWrap w:val="0"/>
            <w:vAlign w:val="center"/>
          </w:tcPr>
          <w:p w14:paraId="2600F23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39F1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A23345">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27C5370B">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3C8C0B04">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6BB199A7">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2BB9B415">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1555E2CE">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3B266992">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02059215">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0D2303F5">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708FA2C8">
            <w:pPr>
              <w:jc w:val="center"/>
              <w:rPr>
                <w:rFonts w:hint="eastAsia" w:asciiTheme="minorEastAsia" w:hAnsiTheme="minorEastAsia" w:eastAsiaTheme="minorEastAsia" w:cstheme="minorEastAsia"/>
                <w:color w:val="auto"/>
                <w:sz w:val="24"/>
                <w:szCs w:val="24"/>
                <w:highlight w:val="none"/>
              </w:rPr>
            </w:pPr>
          </w:p>
        </w:tc>
      </w:tr>
      <w:tr w14:paraId="6AD1F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2855631">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18BBB7CC">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33F99525">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23AF37E3">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6D3622A9">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10276D89">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12BFF460">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58DC152A">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3592E934">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2C7BAA2A">
            <w:pPr>
              <w:jc w:val="center"/>
              <w:rPr>
                <w:rFonts w:hint="eastAsia" w:asciiTheme="minorEastAsia" w:hAnsiTheme="minorEastAsia" w:eastAsiaTheme="minorEastAsia" w:cstheme="minorEastAsia"/>
                <w:color w:val="auto"/>
                <w:sz w:val="24"/>
                <w:szCs w:val="24"/>
                <w:highlight w:val="none"/>
              </w:rPr>
            </w:pPr>
          </w:p>
        </w:tc>
      </w:tr>
      <w:tr w14:paraId="2FE81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110B65F1">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105EDB5B">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78DCA150">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3BAD8FB0">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727C8D29">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717E4188">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6A71B1D8">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209F2F33">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52FEE004">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1D17D51F">
            <w:pPr>
              <w:jc w:val="center"/>
              <w:rPr>
                <w:rFonts w:hint="eastAsia" w:asciiTheme="minorEastAsia" w:hAnsiTheme="minorEastAsia" w:eastAsiaTheme="minorEastAsia" w:cstheme="minorEastAsia"/>
                <w:color w:val="auto"/>
                <w:sz w:val="24"/>
                <w:szCs w:val="24"/>
                <w:highlight w:val="none"/>
              </w:rPr>
            </w:pPr>
          </w:p>
        </w:tc>
      </w:tr>
      <w:tr w14:paraId="07619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61FAB27">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27FC4096">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4D15DFBD">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5DC4800D">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4080CA0F">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1C325D22">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15733517">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0D3DE6D8">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593EE7A4">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1E1CB045">
            <w:pPr>
              <w:jc w:val="center"/>
              <w:rPr>
                <w:rFonts w:hint="eastAsia" w:asciiTheme="minorEastAsia" w:hAnsiTheme="minorEastAsia" w:eastAsiaTheme="minorEastAsia" w:cstheme="minorEastAsia"/>
                <w:color w:val="auto"/>
                <w:sz w:val="24"/>
                <w:szCs w:val="24"/>
                <w:highlight w:val="none"/>
              </w:rPr>
            </w:pPr>
          </w:p>
        </w:tc>
      </w:tr>
      <w:tr w14:paraId="314A6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7827892">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20687146">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0A4D0F16">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63CC80A0">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48D97896">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07FB42A5">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1C65271D">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087E07C8">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6C4F70C1">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04F8BE3E">
            <w:pPr>
              <w:jc w:val="center"/>
              <w:rPr>
                <w:rFonts w:hint="eastAsia" w:asciiTheme="minorEastAsia" w:hAnsiTheme="minorEastAsia" w:eastAsiaTheme="minorEastAsia" w:cstheme="minorEastAsia"/>
                <w:color w:val="auto"/>
                <w:sz w:val="24"/>
                <w:szCs w:val="24"/>
                <w:highlight w:val="none"/>
              </w:rPr>
            </w:pPr>
          </w:p>
        </w:tc>
      </w:tr>
      <w:tr w14:paraId="12AFC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26511E0C">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06A7D6B2">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7F4EF78C">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587F8333">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52178A11">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5FB3708A">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3B5DE6A4">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137EEE1F">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73A158D5">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48FD86C3">
            <w:pPr>
              <w:jc w:val="center"/>
              <w:rPr>
                <w:rFonts w:hint="eastAsia" w:asciiTheme="minorEastAsia" w:hAnsiTheme="minorEastAsia" w:eastAsiaTheme="minorEastAsia" w:cstheme="minorEastAsia"/>
                <w:color w:val="auto"/>
                <w:sz w:val="24"/>
                <w:szCs w:val="24"/>
                <w:highlight w:val="none"/>
              </w:rPr>
            </w:pPr>
          </w:p>
        </w:tc>
      </w:tr>
      <w:tr w14:paraId="3AB14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6FAE483">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6B87B7F3">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04CA2262">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74002D4C">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2C2A840F">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08490FC8">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68347C89">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169FA7CB">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4AEB99E9">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26EFFFE0">
            <w:pPr>
              <w:jc w:val="center"/>
              <w:rPr>
                <w:rFonts w:hint="eastAsia" w:asciiTheme="minorEastAsia" w:hAnsiTheme="minorEastAsia" w:eastAsiaTheme="minorEastAsia" w:cstheme="minorEastAsia"/>
                <w:color w:val="auto"/>
                <w:sz w:val="24"/>
                <w:szCs w:val="24"/>
                <w:highlight w:val="none"/>
              </w:rPr>
            </w:pPr>
          </w:p>
        </w:tc>
      </w:tr>
      <w:tr w14:paraId="4B17A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2DC6AEF3">
            <w:pPr>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361FD483">
            <w:pPr>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4C82D2CE">
            <w:pPr>
              <w:jc w:val="center"/>
              <w:rPr>
                <w:rFonts w:hint="eastAsia" w:asciiTheme="minorEastAsia" w:hAnsiTheme="minorEastAsia" w:eastAsiaTheme="minorEastAsia" w:cstheme="minorEastAsia"/>
                <w:color w:val="auto"/>
                <w:sz w:val="24"/>
                <w:szCs w:val="24"/>
                <w:highlight w:val="none"/>
              </w:rPr>
            </w:pPr>
          </w:p>
        </w:tc>
        <w:tc>
          <w:tcPr>
            <w:tcW w:w="940" w:type="dxa"/>
            <w:noWrap w:val="0"/>
            <w:vAlign w:val="center"/>
          </w:tcPr>
          <w:p w14:paraId="6F5B7784">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77E864EA">
            <w:pPr>
              <w:jc w:val="center"/>
              <w:rPr>
                <w:rFonts w:hint="eastAsia" w:asciiTheme="minorEastAsia" w:hAnsiTheme="minorEastAsia" w:eastAsiaTheme="minorEastAsia" w:cstheme="minorEastAsia"/>
                <w:color w:val="auto"/>
                <w:sz w:val="24"/>
                <w:szCs w:val="24"/>
                <w:highlight w:val="none"/>
              </w:rPr>
            </w:pPr>
          </w:p>
        </w:tc>
        <w:tc>
          <w:tcPr>
            <w:tcW w:w="1044" w:type="dxa"/>
            <w:noWrap w:val="0"/>
            <w:vAlign w:val="center"/>
          </w:tcPr>
          <w:p w14:paraId="4C9DC131">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1BB5998B">
            <w:pPr>
              <w:jc w:val="center"/>
              <w:rPr>
                <w:rFonts w:hint="eastAsia" w:asciiTheme="minorEastAsia" w:hAnsiTheme="minorEastAsia" w:eastAsiaTheme="minorEastAsia" w:cstheme="minorEastAsia"/>
                <w:color w:val="auto"/>
                <w:sz w:val="24"/>
                <w:szCs w:val="24"/>
                <w:highlight w:val="none"/>
              </w:rPr>
            </w:pPr>
          </w:p>
        </w:tc>
        <w:tc>
          <w:tcPr>
            <w:tcW w:w="851" w:type="dxa"/>
            <w:noWrap w:val="0"/>
            <w:vAlign w:val="center"/>
          </w:tcPr>
          <w:p w14:paraId="3FDD7E2F">
            <w:pPr>
              <w:jc w:val="center"/>
              <w:rPr>
                <w:rFonts w:hint="eastAsia" w:asciiTheme="minorEastAsia" w:hAnsiTheme="minorEastAsia" w:eastAsiaTheme="minorEastAsia" w:cstheme="minorEastAsia"/>
                <w:color w:val="auto"/>
                <w:sz w:val="24"/>
                <w:szCs w:val="24"/>
                <w:highlight w:val="none"/>
              </w:rPr>
            </w:pPr>
          </w:p>
        </w:tc>
        <w:tc>
          <w:tcPr>
            <w:tcW w:w="1487" w:type="dxa"/>
            <w:noWrap w:val="0"/>
            <w:vAlign w:val="center"/>
          </w:tcPr>
          <w:p w14:paraId="099CAAD5">
            <w:pPr>
              <w:jc w:val="center"/>
              <w:rPr>
                <w:rFonts w:hint="eastAsia" w:asciiTheme="minorEastAsia" w:hAnsiTheme="minorEastAsia" w:eastAsiaTheme="minorEastAsia" w:cstheme="minorEastAsia"/>
                <w:color w:val="auto"/>
                <w:sz w:val="24"/>
                <w:szCs w:val="24"/>
                <w:highlight w:val="none"/>
              </w:rPr>
            </w:pPr>
          </w:p>
        </w:tc>
        <w:tc>
          <w:tcPr>
            <w:tcW w:w="992" w:type="dxa"/>
            <w:noWrap w:val="0"/>
            <w:vAlign w:val="center"/>
          </w:tcPr>
          <w:p w14:paraId="2FD3F26C">
            <w:pPr>
              <w:jc w:val="center"/>
              <w:rPr>
                <w:rFonts w:hint="eastAsia" w:asciiTheme="minorEastAsia" w:hAnsiTheme="minorEastAsia" w:eastAsiaTheme="minorEastAsia" w:cstheme="minorEastAsia"/>
                <w:color w:val="auto"/>
                <w:sz w:val="24"/>
                <w:szCs w:val="24"/>
                <w:highlight w:val="none"/>
              </w:rPr>
            </w:pPr>
          </w:p>
        </w:tc>
      </w:tr>
    </w:tbl>
    <w:p w14:paraId="2AA69614">
      <w:pPr>
        <w:spacing w:line="440" w:lineRule="exact"/>
        <w:rPr>
          <w:rFonts w:hint="eastAsia" w:asciiTheme="minorEastAsia" w:hAnsiTheme="minorEastAsia" w:eastAsiaTheme="minorEastAsia" w:cstheme="minorEastAsia"/>
          <w:color w:val="auto"/>
          <w:sz w:val="24"/>
          <w:szCs w:val="24"/>
          <w:highlight w:val="none"/>
        </w:rPr>
      </w:pPr>
    </w:p>
    <w:p w14:paraId="13232D6B">
      <w:pPr>
        <w:rPr>
          <w:rFonts w:hint="eastAsia" w:asciiTheme="minorEastAsia" w:hAnsiTheme="minorEastAsia" w:eastAsiaTheme="minorEastAsia" w:cstheme="minorEastAsia"/>
          <w:color w:val="auto"/>
          <w:sz w:val="24"/>
          <w:szCs w:val="24"/>
          <w:highlight w:val="none"/>
        </w:rPr>
      </w:pPr>
      <w:bookmarkStart w:id="1468" w:name="_Toc7100"/>
      <w:r>
        <w:rPr>
          <w:rFonts w:hint="eastAsia" w:asciiTheme="minorEastAsia" w:hAnsiTheme="minorEastAsia" w:eastAsiaTheme="minorEastAsia" w:cstheme="minorEastAsia"/>
          <w:color w:val="auto"/>
          <w:sz w:val="24"/>
          <w:szCs w:val="24"/>
          <w:highlight w:val="none"/>
        </w:rPr>
        <w:br w:type="page"/>
      </w:r>
    </w:p>
    <w:p w14:paraId="117D6515">
      <w:pPr>
        <w:spacing w:line="440" w:lineRule="exac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bookmarkStart w:id="1469" w:name="_Toc296503226"/>
      <w:bookmarkStart w:id="1470" w:name="_Toc296944565"/>
      <w:bookmarkStart w:id="1471" w:name="_Toc267261693"/>
      <w:bookmarkStart w:id="1472" w:name="_Toc296891266"/>
      <w:bookmarkStart w:id="1473" w:name="_Toc296891054"/>
      <w:bookmarkStart w:id="1474" w:name="_Toc296347225"/>
      <w:bookmarkStart w:id="1475" w:name="_Toc296346727"/>
      <w:r>
        <w:rPr>
          <w:rFonts w:hint="eastAsia" w:asciiTheme="minorEastAsia" w:hAnsiTheme="minorEastAsia" w:eastAsiaTheme="minorEastAsia" w:cstheme="minorEastAsia"/>
          <w:color w:val="auto"/>
          <w:sz w:val="24"/>
          <w:szCs w:val="24"/>
          <w:highlight w:val="none"/>
        </w:rPr>
        <w:t>件3：</w:t>
      </w:r>
      <w:bookmarkEnd w:id="1468"/>
      <w:bookmarkEnd w:id="1469"/>
      <w:bookmarkEnd w:id="1470"/>
      <w:bookmarkEnd w:id="1471"/>
      <w:bookmarkEnd w:id="1472"/>
      <w:bookmarkEnd w:id="1473"/>
      <w:bookmarkEnd w:id="1474"/>
      <w:bookmarkEnd w:id="1475"/>
      <w:r>
        <w:rPr>
          <w:rFonts w:hint="eastAsia" w:asciiTheme="minorEastAsia" w:hAnsiTheme="minorEastAsia" w:eastAsiaTheme="minorEastAsia" w:cstheme="minorEastAsia"/>
          <w:color w:val="auto"/>
          <w:sz w:val="24"/>
          <w:szCs w:val="24"/>
          <w:highlight w:val="none"/>
        </w:rPr>
        <w:t xml:space="preserve">    </w:t>
      </w:r>
    </w:p>
    <w:p w14:paraId="7B56297B">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工程质量保修书</w:t>
      </w:r>
    </w:p>
    <w:p w14:paraId="24630EDF">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发包人（全称）：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3CE07D9">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承包人（全称）：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DC2B66E">
      <w:pPr>
        <w:spacing w:line="440" w:lineRule="exact"/>
        <w:rPr>
          <w:rFonts w:hint="eastAsia" w:asciiTheme="minorEastAsia" w:hAnsiTheme="minorEastAsia" w:eastAsiaTheme="minorEastAsia" w:cstheme="minorEastAsia"/>
          <w:color w:val="auto"/>
          <w:sz w:val="24"/>
          <w:szCs w:val="24"/>
          <w:highlight w:val="none"/>
        </w:rPr>
      </w:pPr>
    </w:p>
    <w:p w14:paraId="274B0DC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发包人和承包人根据《中华人民共和国建筑法》和《建设工程质量管理条例》，经协商一致就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（工程全称）签订工程质量保修书。</w:t>
      </w:r>
    </w:p>
    <w:p w14:paraId="38A45C0F">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一、工程质量保修范围和内容</w:t>
      </w:r>
    </w:p>
    <w:p w14:paraId="0A7FB5C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承包人在质量保修期内，按照有关法律规定和合同约定，承担工程质量保修责任。</w:t>
      </w:r>
    </w:p>
    <w:p w14:paraId="4DEDBF1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AE6000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79230B8">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w:t>
      </w:r>
      <w:r>
        <w:rPr>
          <w:rFonts w:hint="eastAsia" w:asciiTheme="minorEastAsia" w:hAnsiTheme="minorEastAsia" w:eastAsiaTheme="minorEastAsia" w:cstheme="minorEastAsia"/>
          <w:color w:val="auto"/>
          <w:sz w:val="24"/>
          <w:szCs w:val="24"/>
          <w:highlight w:val="none"/>
        </w:rPr>
        <w:t>二、质量保修期</w:t>
      </w:r>
    </w:p>
    <w:p w14:paraId="5D49F13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根据《建设工程质量管理条例》及有关规定，工程的质量保修期如下：</w:t>
      </w:r>
    </w:p>
    <w:p w14:paraId="34E4BE81">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地基基础工程和主体结构工程为设计文件规定的工程合理使用年限；</w:t>
      </w:r>
    </w:p>
    <w:p w14:paraId="66B4D70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屋面防水工程、有防水要求的卫生间、房间和外墙面的防渗     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p>
    <w:p w14:paraId="22ED162D">
      <w:pPr>
        <w:spacing w:line="360" w:lineRule="auto"/>
        <w:ind w:left="48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装修工程为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p>
    <w:p w14:paraId="29D712D1">
      <w:pPr>
        <w:spacing w:line="360" w:lineRule="auto"/>
        <w:ind w:left="48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电气管线、给排水管道、设备安装工程为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p>
    <w:p w14:paraId="66B3B0B7">
      <w:pPr>
        <w:spacing w:line="360" w:lineRule="auto"/>
        <w:ind w:left="48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供热与供冷系统为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个采暖期、供冷期；</w:t>
      </w:r>
    </w:p>
    <w:p w14:paraId="5D895E28">
      <w:pPr>
        <w:spacing w:line="360" w:lineRule="auto"/>
        <w:ind w:left="48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rPr>
        <w:t>住宅小区内的给排水设施、道路等配套工程为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p>
    <w:p w14:paraId="1BFE8063">
      <w:pPr>
        <w:spacing w:line="360" w:lineRule="auto"/>
        <w:ind w:left="48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其他项目保修期限约定如下：</w:t>
      </w:r>
    </w:p>
    <w:p w14:paraId="0ECC663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B977E8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质量保修期自工程竣工验收合格之日起计算。</w:t>
      </w:r>
    </w:p>
    <w:p w14:paraId="476E9EE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三、缺陷责任期</w:t>
      </w:r>
    </w:p>
    <w:p w14:paraId="1C2BDD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工程缺陷责任期为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个月，缺陷责任期自工程通过竣工验收之日起计算。单位工程先于全部工程进行验收，单位工程缺陷责任期自单位工程验收合格之日起算。</w:t>
      </w:r>
    </w:p>
    <w:p w14:paraId="568E6CD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缺陷责任期终止后，发包人应退还剩余的质量保证金。</w:t>
      </w:r>
    </w:p>
    <w:p w14:paraId="7D485680">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四、质量保修责任</w:t>
      </w:r>
    </w:p>
    <w:p w14:paraId="0FC462FE">
      <w:pPr>
        <w:spacing w:line="360" w:lineRule="auto"/>
        <w:ind w:left="120"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属于保修范围、内容的项目，承包人应当在接到保修通知之日起7天内派人保修。承包人不在约定期限内派人保修的，发包人可以委托他人修理。</w:t>
      </w:r>
    </w:p>
    <w:p w14:paraId="32A1F812">
      <w:pPr>
        <w:spacing w:line="360" w:lineRule="auto"/>
        <w:ind w:left="120"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发生紧急事故需抢修的，承包人在接到事故通知后，应当立即到达事故现场抢修。</w:t>
      </w:r>
    </w:p>
    <w:p w14:paraId="4EC33D38">
      <w:pPr>
        <w:spacing w:line="360" w:lineRule="auto"/>
        <w:ind w:left="120"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BCE796">
      <w:pPr>
        <w:spacing w:line="360" w:lineRule="auto"/>
        <w:ind w:left="48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质量保修完成后，由发包人组织验收。</w:t>
      </w:r>
    </w:p>
    <w:p w14:paraId="3C41FBFC">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五、保修费用</w:t>
      </w:r>
    </w:p>
    <w:p w14:paraId="2472961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保修费用由造成质量缺陷的责任方承担。</w:t>
      </w:r>
    </w:p>
    <w:p w14:paraId="374C1779">
      <w:pPr>
        <w:spacing w:line="360" w:lineRule="auto"/>
        <w:ind w:firstLine="600" w:firstLineChars="0"/>
        <w:jc w:val="left"/>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六</w:t>
      </w:r>
      <w:r>
        <w:rPr>
          <w:rFonts w:hint="eastAsia" w:asciiTheme="minorEastAsia" w:hAnsiTheme="minorEastAsia" w:eastAsiaTheme="minorEastAsia" w:cstheme="minorEastAsia"/>
          <w:color w:val="auto"/>
          <w:sz w:val="24"/>
          <w:szCs w:val="24"/>
          <w:highlight w:val="none"/>
        </w:rPr>
        <w:t>、双方约定的其他工程质量保修事项：</w:t>
      </w:r>
      <w:r>
        <w:rPr>
          <w:rFonts w:hint="eastAsia" w:asciiTheme="minorEastAsia" w:hAnsiTheme="minorEastAsia" w:eastAsiaTheme="minorEastAsia" w:cstheme="minorEastAsia"/>
          <w:color w:val="auto"/>
          <w:sz w:val="24"/>
          <w:szCs w:val="24"/>
          <w:highlight w:val="none"/>
          <w:u w:val="single"/>
        </w:rPr>
        <w:t xml:space="preserve">                  </w:t>
      </w:r>
    </w:p>
    <w:p w14:paraId="1D22C926">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19BD269">
      <w:pPr>
        <w:spacing w:line="360" w:lineRule="auto"/>
        <w:ind w:firstLine="456" w:firstLineChars="19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工程质量保修书由发包人、承包人在工程竣工验收前共同签署，作为施工合同附件，其有效期限至保修期满。</w:t>
      </w:r>
    </w:p>
    <w:p w14:paraId="4692B15B">
      <w:pPr>
        <w:spacing w:line="360" w:lineRule="auto"/>
        <w:ind w:firstLine="420"/>
        <w:rPr>
          <w:rFonts w:hint="eastAsia" w:asciiTheme="minorEastAsia" w:hAnsiTheme="minorEastAsia" w:eastAsiaTheme="minorEastAsia" w:cstheme="minorEastAsia"/>
          <w:color w:val="auto"/>
          <w:sz w:val="24"/>
          <w:szCs w:val="24"/>
          <w:highlight w:val="none"/>
        </w:rPr>
      </w:pPr>
    </w:p>
    <w:p w14:paraId="62EC0D4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 xml:space="preserve"> 承包人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 </w:t>
      </w:r>
    </w:p>
    <w:p w14:paraId="2C65DAD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      </w:t>
      </w:r>
    </w:p>
    <w:p w14:paraId="0244B56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法定代表人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4F5BD1F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委托代理人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0B2AE8B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p>
    <w:p w14:paraId="5859063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   </w:t>
      </w:r>
    </w:p>
    <w:p w14:paraId="57E8C59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 xml:space="preserve">   </w:t>
      </w:r>
    </w:p>
    <w:p w14:paraId="513D9EE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w:t>
      </w:r>
    </w:p>
    <w:p w14:paraId="65CD259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 xml:space="preserve">   </w:t>
      </w:r>
    </w:p>
    <w:p w14:paraId="67985F1C">
      <w:pPr>
        <w:spacing w:line="440" w:lineRule="exac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1476" w:name="_Toc7519"/>
      <w:r>
        <w:rPr>
          <w:rFonts w:hint="eastAsia" w:asciiTheme="minorEastAsia" w:hAnsiTheme="minorEastAsia" w:eastAsiaTheme="minorEastAsia" w:cstheme="minorEastAsia"/>
          <w:color w:val="auto"/>
          <w:sz w:val="24"/>
          <w:szCs w:val="24"/>
          <w:highlight w:val="none"/>
        </w:rPr>
        <w:t>附件4：</w:t>
      </w:r>
      <w:bookmarkEnd w:id="1476"/>
    </w:p>
    <w:p w14:paraId="50F4385D">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主要建设工程文件目录</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FD16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5A0B3A0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文件名称</w:t>
            </w:r>
          </w:p>
        </w:tc>
        <w:tc>
          <w:tcPr>
            <w:tcW w:w="1276" w:type="dxa"/>
            <w:tcBorders>
              <w:top w:val="single" w:color="auto" w:sz="12" w:space="0"/>
              <w:bottom w:val="double" w:color="auto" w:sz="6" w:space="0"/>
            </w:tcBorders>
            <w:noWrap w:val="0"/>
            <w:vAlign w:val="center"/>
          </w:tcPr>
          <w:p w14:paraId="39058A3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套数</w:t>
            </w:r>
          </w:p>
        </w:tc>
        <w:tc>
          <w:tcPr>
            <w:tcW w:w="1450" w:type="dxa"/>
            <w:tcBorders>
              <w:top w:val="single" w:color="auto" w:sz="12" w:space="0"/>
              <w:bottom w:val="double" w:color="auto" w:sz="6" w:space="0"/>
            </w:tcBorders>
            <w:noWrap w:val="0"/>
            <w:vAlign w:val="center"/>
          </w:tcPr>
          <w:p w14:paraId="2D23DD1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费用（元）</w:t>
            </w:r>
          </w:p>
        </w:tc>
        <w:tc>
          <w:tcPr>
            <w:tcW w:w="1243" w:type="dxa"/>
            <w:tcBorders>
              <w:top w:val="single" w:color="auto" w:sz="12" w:space="0"/>
              <w:bottom w:val="double" w:color="auto" w:sz="6" w:space="0"/>
            </w:tcBorders>
            <w:noWrap w:val="0"/>
            <w:vAlign w:val="center"/>
          </w:tcPr>
          <w:p w14:paraId="05C42DA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质量</w:t>
            </w:r>
          </w:p>
        </w:tc>
        <w:tc>
          <w:tcPr>
            <w:tcW w:w="1450" w:type="dxa"/>
            <w:tcBorders>
              <w:top w:val="single" w:color="auto" w:sz="12" w:space="0"/>
              <w:bottom w:val="double" w:color="auto" w:sz="6" w:space="0"/>
            </w:tcBorders>
            <w:noWrap w:val="0"/>
            <w:vAlign w:val="top"/>
          </w:tcPr>
          <w:p w14:paraId="3B1BCB1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移交时间</w:t>
            </w:r>
          </w:p>
        </w:tc>
        <w:tc>
          <w:tcPr>
            <w:tcW w:w="1667" w:type="dxa"/>
            <w:tcBorders>
              <w:top w:val="single" w:color="auto" w:sz="12" w:space="0"/>
              <w:bottom w:val="double" w:color="auto" w:sz="6" w:space="0"/>
            </w:tcBorders>
            <w:noWrap w:val="0"/>
            <w:vAlign w:val="top"/>
          </w:tcPr>
          <w:p w14:paraId="26B44E1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责任人</w:t>
            </w:r>
          </w:p>
        </w:tc>
      </w:tr>
      <w:tr w14:paraId="0315F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FA9439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0BCEBF5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2F02ED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tcBorders>
              <w:top w:val="double" w:color="auto" w:sz="6" w:space="0"/>
              <w:bottom w:val="single" w:color="auto" w:sz="6" w:space="0"/>
            </w:tcBorders>
            <w:noWrap w:val="0"/>
            <w:vAlign w:val="center"/>
          </w:tcPr>
          <w:p w14:paraId="625F2CE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79B6BF2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tcBorders>
              <w:top w:val="double" w:color="auto" w:sz="6" w:space="0"/>
              <w:bottom w:val="single" w:color="auto" w:sz="6" w:space="0"/>
            </w:tcBorders>
            <w:noWrap w:val="0"/>
            <w:vAlign w:val="center"/>
          </w:tcPr>
          <w:p w14:paraId="5804E43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B281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6FE2BA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tcBorders>
              <w:top w:val="nil"/>
            </w:tcBorders>
            <w:noWrap w:val="0"/>
            <w:vAlign w:val="center"/>
          </w:tcPr>
          <w:p w14:paraId="7D778E4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tcBorders>
              <w:top w:val="nil"/>
            </w:tcBorders>
            <w:noWrap w:val="0"/>
            <w:vAlign w:val="center"/>
          </w:tcPr>
          <w:p w14:paraId="64BF394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tcBorders>
              <w:top w:val="nil"/>
            </w:tcBorders>
            <w:noWrap w:val="0"/>
            <w:vAlign w:val="center"/>
          </w:tcPr>
          <w:p w14:paraId="7F3104A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tcBorders>
              <w:top w:val="nil"/>
            </w:tcBorders>
            <w:noWrap w:val="0"/>
            <w:vAlign w:val="center"/>
          </w:tcPr>
          <w:p w14:paraId="5D9A95E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tcBorders>
              <w:top w:val="nil"/>
            </w:tcBorders>
            <w:noWrap w:val="0"/>
            <w:vAlign w:val="center"/>
          </w:tcPr>
          <w:p w14:paraId="5596310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D6BF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B5A315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7961360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0FF5C4E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noWrap w:val="0"/>
            <w:vAlign w:val="center"/>
          </w:tcPr>
          <w:p w14:paraId="1DE2112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0A727FF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noWrap w:val="0"/>
            <w:vAlign w:val="center"/>
          </w:tcPr>
          <w:p w14:paraId="4D1875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C1EF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96E088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0C4F93C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5BE6856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noWrap w:val="0"/>
            <w:vAlign w:val="center"/>
          </w:tcPr>
          <w:p w14:paraId="508D079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21E2931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noWrap w:val="0"/>
            <w:vAlign w:val="center"/>
          </w:tcPr>
          <w:p w14:paraId="5B84116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B0A0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2D496F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04F7EB0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4CA755E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noWrap w:val="0"/>
            <w:vAlign w:val="center"/>
          </w:tcPr>
          <w:p w14:paraId="0DC6610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3911BD6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noWrap w:val="0"/>
            <w:vAlign w:val="center"/>
          </w:tcPr>
          <w:p w14:paraId="5E35564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67C6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E0CE28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41211D0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03EDD42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noWrap w:val="0"/>
            <w:vAlign w:val="center"/>
          </w:tcPr>
          <w:p w14:paraId="6CDAA59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602601E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noWrap w:val="0"/>
            <w:vAlign w:val="center"/>
          </w:tcPr>
          <w:p w14:paraId="62EA941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448A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C875F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60BED4F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518F09D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noWrap w:val="0"/>
            <w:vAlign w:val="center"/>
          </w:tcPr>
          <w:p w14:paraId="6B8ADA9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3F3E9BE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noWrap w:val="0"/>
            <w:vAlign w:val="center"/>
          </w:tcPr>
          <w:p w14:paraId="39771D3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4536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0F651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039ACE0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1D951BD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noWrap w:val="0"/>
            <w:vAlign w:val="center"/>
          </w:tcPr>
          <w:p w14:paraId="595F66D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506B089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noWrap w:val="0"/>
            <w:vAlign w:val="center"/>
          </w:tcPr>
          <w:p w14:paraId="641585C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B71A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67E78D">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625D9A51">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52793B23">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25E9DA4E">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52824BEC">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784C8637">
            <w:pPr>
              <w:rPr>
                <w:rFonts w:hint="eastAsia" w:asciiTheme="minorEastAsia" w:hAnsiTheme="minorEastAsia" w:eastAsiaTheme="minorEastAsia" w:cstheme="minorEastAsia"/>
                <w:color w:val="auto"/>
                <w:sz w:val="24"/>
                <w:szCs w:val="24"/>
                <w:highlight w:val="none"/>
              </w:rPr>
            </w:pPr>
          </w:p>
        </w:tc>
      </w:tr>
      <w:tr w14:paraId="4E2B8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0D0DE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center"/>
          </w:tcPr>
          <w:p w14:paraId="79CC529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24F1397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43" w:type="dxa"/>
            <w:noWrap w:val="0"/>
            <w:vAlign w:val="center"/>
          </w:tcPr>
          <w:p w14:paraId="0850829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50" w:type="dxa"/>
            <w:noWrap w:val="0"/>
            <w:vAlign w:val="center"/>
          </w:tcPr>
          <w:p w14:paraId="09A1E01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667" w:type="dxa"/>
            <w:noWrap w:val="0"/>
            <w:vAlign w:val="center"/>
          </w:tcPr>
          <w:p w14:paraId="43F4579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1CCF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672D54B">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2EA8CCF0">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3307EB04">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73DA6E88">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53B876E7">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6CF84ABF">
            <w:pPr>
              <w:rPr>
                <w:rFonts w:hint="eastAsia" w:asciiTheme="minorEastAsia" w:hAnsiTheme="minorEastAsia" w:eastAsiaTheme="minorEastAsia" w:cstheme="minorEastAsia"/>
                <w:color w:val="auto"/>
                <w:sz w:val="24"/>
                <w:szCs w:val="24"/>
                <w:highlight w:val="none"/>
              </w:rPr>
            </w:pPr>
          </w:p>
        </w:tc>
      </w:tr>
      <w:tr w14:paraId="239D8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17E9188">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0D3D1039">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1100F43E">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73BEA65B">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1A0CD736">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4D339EC4">
            <w:pPr>
              <w:rPr>
                <w:rFonts w:hint="eastAsia" w:asciiTheme="minorEastAsia" w:hAnsiTheme="minorEastAsia" w:eastAsiaTheme="minorEastAsia" w:cstheme="minorEastAsia"/>
                <w:color w:val="auto"/>
                <w:sz w:val="24"/>
                <w:szCs w:val="24"/>
                <w:highlight w:val="none"/>
              </w:rPr>
            </w:pPr>
          </w:p>
        </w:tc>
      </w:tr>
      <w:tr w14:paraId="7BFA3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0016AB1">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43E213FB">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6B933791">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18942294">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6D9C6372">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7A20CF39">
            <w:pPr>
              <w:rPr>
                <w:rFonts w:hint="eastAsia" w:asciiTheme="minorEastAsia" w:hAnsiTheme="minorEastAsia" w:eastAsiaTheme="minorEastAsia" w:cstheme="minorEastAsia"/>
                <w:color w:val="auto"/>
                <w:sz w:val="24"/>
                <w:szCs w:val="24"/>
                <w:highlight w:val="none"/>
              </w:rPr>
            </w:pPr>
          </w:p>
        </w:tc>
      </w:tr>
      <w:tr w14:paraId="0711D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7898C19">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07E4ECC8">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2270D2BA">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2C697F7D">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50232CCD">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776EB031">
            <w:pPr>
              <w:rPr>
                <w:rFonts w:hint="eastAsia" w:asciiTheme="minorEastAsia" w:hAnsiTheme="minorEastAsia" w:eastAsiaTheme="minorEastAsia" w:cstheme="minorEastAsia"/>
                <w:color w:val="auto"/>
                <w:sz w:val="24"/>
                <w:szCs w:val="24"/>
                <w:highlight w:val="none"/>
              </w:rPr>
            </w:pPr>
          </w:p>
        </w:tc>
      </w:tr>
      <w:tr w14:paraId="31569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5AD9249">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612F7BEA">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11D31B80">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06C4B731">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36B324AF">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280F33B5">
            <w:pPr>
              <w:rPr>
                <w:rFonts w:hint="eastAsia" w:asciiTheme="minorEastAsia" w:hAnsiTheme="minorEastAsia" w:eastAsiaTheme="minorEastAsia" w:cstheme="minorEastAsia"/>
                <w:color w:val="auto"/>
                <w:sz w:val="24"/>
                <w:szCs w:val="24"/>
                <w:highlight w:val="none"/>
              </w:rPr>
            </w:pPr>
          </w:p>
        </w:tc>
      </w:tr>
      <w:tr w14:paraId="7103C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8EBF7A5">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4081A2C6">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18FE6ADF">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4581A837">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7CAAACA9">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2D2F1A96">
            <w:pPr>
              <w:rPr>
                <w:rFonts w:hint="eastAsia" w:asciiTheme="minorEastAsia" w:hAnsiTheme="minorEastAsia" w:eastAsiaTheme="minorEastAsia" w:cstheme="minorEastAsia"/>
                <w:color w:val="auto"/>
                <w:sz w:val="24"/>
                <w:szCs w:val="24"/>
                <w:highlight w:val="none"/>
              </w:rPr>
            </w:pPr>
          </w:p>
        </w:tc>
      </w:tr>
      <w:tr w14:paraId="4D486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9F8F73">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657B08A5">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2C5EB92D">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5C503E80">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30F3D2A2">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0F11559E">
            <w:pPr>
              <w:rPr>
                <w:rFonts w:hint="eastAsia" w:asciiTheme="minorEastAsia" w:hAnsiTheme="minorEastAsia" w:eastAsiaTheme="minorEastAsia" w:cstheme="minorEastAsia"/>
                <w:color w:val="auto"/>
                <w:sz w:val="24"/>
                <w:szCs w:val="24"/>
                <w:highlight w:val="none"/>
              </w:rPr>
            </w:pPr>
          </w:p>
        </w:tc>
      </w:tr>
      <w:tr w14:paraId="763F5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82B822B">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39F8FFEF">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771FFDCD">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5460DB27">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0E7EAA7F">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158C2D54">
            <w:pPr>
              <w:rPr>
                <w:rFonts w:hint="eastAsia" w:asciiTheme="minorEastAsia" w:hAnsiTheme="minorEastAsia" w:eastAsiaTheme="minorEastAsia" w:cstheme="minorEastAsia"/>
                <w:color w:val="auto"/>
                <w:sz w:val="24"/>
                <w:szCs w:val="24"/>
                <w:highlight w:val="none"/>
              </w:rPr>
            </w:pPr>
          </w:p>
        </w:tc>
      </w:tr>
      <w:tr w14:paraId="78CE3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F49750E">
            <w:pPr>
              <w:rPr>
                <w:rFonts w:hint="eastAsia" w:asciiTheme="minorEastAsia" w:hAnsiTheme="minorEastAsia" w:eastAsiaTheme="minorEastAsia" w:cstheme="minorEastAsia"/>
                <w:color w:val="auto"/>
                <w:sz w:val="24"/>
                <w:szCs w:val="24"/>
                <w:highlight w:val="none"/>
              </w:rPr>
            </w:pPr>
          </w:p>
        </w:tc>
        <w:tc>
          <w:tcPr>
            <w:tcW w:w="1276" w:type="dxa"/>
            <w:noWrap w:val="0"/>
            <w:vAlign w:val="top"/>
          </w:tcPr>
          <w:p w14:paraId="51E501CD">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6117CFDC">
            <w:pPr>
              <w:rPr>
                <w:rFonts w:hint="eastAsia" w:asciiTheme="minorEastAsia" w:hAnsiTheme="minorEastAsia" w:eastAsiaTheme="minorEastAsia" w:cstheme="minorEastAsia"/>
                <w:color w:val="auto"/>
                <w:sz w:val="24"/>
                <w:szCs w:val="24"/>
                <w:highlight w:val="none"/>
              </w:rPr>
            </w:pPr>
          </w:p>
        </w:tc>
        <w:tc>
          <w:tcPr>
            <w:tcW w:w="1243" w:type="dxa"/>
            <w:noWrap w:val="0"/>
            <w:vAlign w:val="top"/>
          </w:tcPr>
          <w:p w14:paraId="4E44B172">
            <w:pPr>
              <w:rPr>
                <w:rFonts w:hint="eastAsia" w:asciiTheme="minorEastAsia" w:hAnsiTheme="minorEastAsia" w:eastAsiaTheme="minorEastAsia" w:cstheme="minorEastAsia"/>
                <w:color w:val="auto"/>
                <w:sz w:val="24"/>
                <w:szCs w:val="24"/>
                <w:highlight w:val="none"/>
              </w:rPr>
            </w:pPr>
          </w:p>
        </w:tc>
        <w:tc>
          <w:tcPr>
            <w:tcW w:w="1450" w:type="dxa"/>
            <w:noWrap w:val="0"/>
            <w:vAlign w:val="top"/>
          </w:tcPr>
          <w:p w14:paraId="095B217B">
            <w:pPr>
              <w:rPr>
                <w:rFonts w:hint="eastAsia" w:asciiTheme="minorEastAsia" w:hAnsiTheme="minorEastAsia" w:eastAsiaTheme="minorEastAsia" w:cstheme="minorEastAsia"/>
                <w:color w:val="auto"/>
                <w:sz w:val="24"/>
                <w:szCs w:val="24"/>
                <w:highlight w:val="none"/>
              </w:rPr>
            </w:pPr>
          </w:p>
        </w:tc>
        <w:tc>
          <w:tcPr>
            <w:tcW w:w="1667" w:type="dxa"/>
            <w:noWrap w:val="0"/>
            <w:vAlign w:val="top"/>
          </w:tcPr>
          <w:p w14:paraId="2C4F0E34">
            <w:pPr>
              <w:rPr>
                <w:rFonts w:hint="eastAsia" w:asciiTheme="minorEastAsia" w:hAnsiTheme="minorEastAsia" w:eastAsiaTheme="minorEastAsia" w:cstheme="minorEastAsia"/>
                <w:color w:val="auto"/>
                <w:sz w:val="24"/>
                <w:szCs w:val="24"/>
                <w:highlight w:val="none"/>
              </w:rPr>
            </w:pPr>
          </w:p>
        </w:tc>
      </w:tr>
    </w:tbl>
    <w:p w14:paraId="593730DF">
      <w:pPr>
        <w:spacing w:line="440" w:lineRule="exact"/>
        <w:rPr>
          <w:rFonts w:hint="eastAsia" w:asciiTheme="minorEastAsia" w:hAnsiTheme="minorEastAsia" w:eastAsiaTheme="minorEastAsia" w:cstheme="minorEastAsia"/>
          <w:color w:val="auto"/>
          <w:sz w:val="24"/>
          <w:szCs w:val="24"/>
          <w:highlight w:val="none"/>
        </w:rPr>
      </w:pPr>
    </w:p>
    <w:p w14:paraId="29E006A9">
      <w:pPr>
        <w:spacing w:line="440" w:lineRule="exac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477" w:name="_Toc22932"/>
      <w:r>
        <w:rPr>
          <w:rFonts w:hint="eastAsia" w:asciiTheme="minorEastAsia" w:hAnsiTheme="minorEastAsia" w:eastAsiaTheme="minorEastAsia" w:cstheme="minorEastAsia"/>
          <w:color w:val="auto"/>
          <w:sz w:val="24"/>
          <w:szCs w:val="24"/>
          <w:highlight w:val="none"/>
        </w:rPr>
        <w:t>附</w:t>
      </w:r>
      <w:bookmarkStart w:id="1478" w:name="_Toc296891055"/>
      <w:bookmarkStart w:id="1479" w:name="_Toc296944566"/>
      <w:bookmarkStart w:id="1480" w:name="_Toc296346728"/>
      <w:bookmarkStart w:id="1481" w:name="_Toc296891267"/>
      <w:bookmarkStart w:id="1482" w:name="_Toc296347226"/>
      <w:bookmarkStart w:id="1483" w:name="_Toc296503227"/>
      <w:bookmarkStart w:id="1484" w:name="_Toc267261698"/>
      <w:r>
        <w:rPr>
          <w:rFonts w:hint="eastAsia" w:asciiTheme="minorEastAsia" w:hAnsiTheme="minorEastAsia" w:eastAsiaTheme="minorEastAsia" w:cstheme="minorEastAsia"/>
          <w:color w:val="auto"/>
          <w:sz w:val="24"/>
          <w:szCs w:val="24"/>
          <w:highlight w:val="none"/>
        </w:rPr>
        <w:t>件5：</w:t>
      </w:r>
      <w:bookmarkEnd w:id="1477"/>
    </w:p>
    <w:bookmarkEnd w:id="1478"/>
    <w:bookmarkEnd w:id="1479"/>
    <w:bookmarkEnd w:id="1480"/>
    <w:bookmarkEnd w:id="1481"/>
    <w:bookmarkEnd w:id="1482"/>
    <w:bookmarkEnd w:id="1483"/>
    <w:bookmarkEnd w:id="1484"/>
    <w:p w14:paraId="7F2F0BAB">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承包人用于本工程施工的机械设备表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9714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4DB3865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序号</w:t>
            </w:r>
          </w:p>
        </w:tc>
        <w:tc>
          <w:tcPr>
            <w:tcW w:w="1418" w:type="dxa"/>
            <w:tcBorders>
              <w:top w:val="single" w:color="auto" w:sz="12" w:space="0"/>
              <w:bottom w:val="double" w:color="auto" w:sz="6" w:space="0"/>
            </w:tcBorders>
            <w:noWrap w:val="0"/>
            <w:vAlign w:val="center"/>
          </w:tcPr>
          <w:p w14:paraId="5FAC781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机械或设备名称</w:t>
            </w:r>
          </w:p>
        </w:tc>
        <w:tc>
          <w:tcPr>
            <w:tcW w:w="850" w:type="dxa"/>
            <w:tcBorders>
              <w:top w:val="single" w:color="auto" w:sz="12" w:space="0"/>
              <w:bottom w:val="double" w:color="auto" w:sz="6" w:space="0"/>
            </w:tcBorders>
            <w:noWrap w:val="0"/>
            <w:vAlign w:val="center"/>
          </w:tcPr>
          <w:p w14:paraId="5A21EB0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规格型号</w:t>
            </w:r>
          </w:p>
        </w:tc>
        <w:tc>
          <w:tcPr>
            <w:tcW w:w="1058" w:type="dxa"/>
            <w:tcBorders>
              <w:top w:val="single" w:color="auto" w:sz="12" w:space="0"/>
              <w:bottom w:val="double" w:color="auto" w:sz="6" w:space="0"/>
            </w:tcBorders>
            <w:noWrap w:val="0"/>
            <w:vAlign w:val="center"/>
          </w:tcPr>
          <w:p w14:paraId="1F9A66B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数量</w:t>
            </w:r>
          </w:p>
        </w:tc>
        <w:tc>
          <w:tcPr>
            <w:tcW w:w="880" w:type="dxa"/>
            <w:tcBorders>
              <w:top w:val="single" w:color="auto" w:sz="12" w:space="0"/>
              <w:bottom w:val="double" w:color="auto" w:sz="6" w:space="0"/>
            </w:tcBorders>
            <w:noWrap w:val="0"/>
            <w:vAlign w:val="center"/>
          </w:tcPr>
          <w:p w14:paraId="3C8875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产地</w:t>
            </w:r>
          </w:p>
        </w:tc>
        <w:tc>
          <w:tcPr>
            <w:tcW w:w="1020" w:type="dxa"/>
            <w:tcBorders>
              <w:top w:val="single" w:color="auto" w:sz="12" w:space="0"/>
              <w:bottom w:val="double" w:color="auto" w:sz="6" w:space="0"/>
            </w:tcBorders>
            <w:noWrap w:val="0"/>
            <w:vAlign w:val="center"/>
          </w:tcPr>
          <w:p w14:paraId="661DC9E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制造年份</w:t>
            </w:r>
          </w:p>
        </w:tc>
        <w:tc>
          <w:tcPr>
            <w:tcW w:w="1480" w:type="dxa"/>
            <w:tcBorders>
              <w:top w:val="single" w:color="auto" w:sz="12" w:space="0"/>
              <w:bottom w:val="double" w:color="auto" w:sz="6" w:space="0"/>
            </w:tcBorders>
            <w:noWrap w:val="0"/>
            <w:vAlign w:val="center"/>
          </w:tcPr>
          <w:p w14:paraId="4FAD192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额定功率（kW）</w:t>
            </w:r>
          </w:p>
        </w:tc>
        <w:tc>
          <w:tcPr>
            <w:tcW w:w="1020" w:type="dxa"/>
            <w:tcBorders>
              <w:top w:val="single" w:color="auto" w:sz="12" w:space="0"/>
              <w:bottom w:val="double" w:color="auto" w:sz="6" w:space="0"/>
            </w:tcBorders>
            <w:noWrap w:val="0"/>
            <w:vAlign w:val="center"/>
          </w:tcPr>
          <w:p w14:paraId="559EEF8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生产能力</w:t>
            </w:r>
          </w:p>
        </w:tc>
        <w:tc>
          <w:tcPr>
            <w:tcW w:w="921" w:type="dxa"/>
            <w:tcBorders>
              <w:top w:val="single" w:color="auto" w:sz="12" w:space="0"/>
              <w:bottom w:val="double" w:color="auto" w:sz="6" w:space="0"/>
            </w:tcBorders>
            <w:noWrap w:val="0"/>
            <w:vAlign w:val="center"/>
          </w:tcPr>
          <w:p w14:paraId="5DB50E4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备注</w:t>
            </w:r>
          </w:p>
        </w:tc>
      </w:tr>
      <w:tr w14:paraId="15D4C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46D5D0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center"/>
          </w:tcPr>
          <w:p w14:paraId="1EA7806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7398E30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tcBorders>
              <w:top w:val="double" w:color="auto" w:sz="6" w:space="0"/>
              <w:bottom w:val="single" w:color="auto" w:sz="6" w:space="0"/>
            </w:tcBorders>
            <w:noWrap w:val="0"/>
            <w:vAlign w:val="center"/>
          </w:tcPr>
          <w:p w14:paraId="3E2BCC8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tcBorders>
              <w:top w:val="double" w:color="auto" w:sz="6" w:space="0"/>
              <w:bottom w:val="single" w:color="auto" w:sz="6" w:space="0"/>
            </w:tcBorders>
            <w:noWrap w:val="0"/>
            <w:vAlign w:val="center"/>
          </w:tcPr>
          <w:p w14:paraId="0BFD493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tcBorders>
              <w:top w:val="double" w:color="auto" w:sz="6" w:space="0"/>
              <w:bottom w:val="single" w:color="auto" w:sz="6" w:space="0"/>
            </w:tcBorders>
            <w:noWrap w:val="0"/>
            <w:vAlign w:val="center"/>
          </w:tcPr>
          <w:p w14:paraId="01A5DA1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tcBorders>
              <w:top w:val="double" w:color="auto" w:sz="6" w:space="0"/>
              <w:bottom w:val="single" w:color="auto" w:sz="6" w:space="0"/>
            </w:tcBorders>
            <w:noWrap w:val="0"/>
            <w:vAlign w:val="center"/>
          </w:tcPr>
          <w:p w14:paraId="2B4D97B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tcBorders>
              <w:top w:val="double" w:color="auto" w:sz="6" w:space="0"/>
              <w:bottom w:val="single" w:color="auto" w:sz="6" w:space="0"/>
            </w:tcBorders>
            <w:noWrap w:val="0"/>
            <w:vAlign w:val="center"/>
          </w:tcPr>
          <w:p w14:paraId="0C700C8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tcBorders>
              <w:top w:val="double" w:color="auto" w:sz="6" w:space="0"/>
              <w:bottom w:val="single" w:color="auto" w:sz="6" w:space="0"/>
            </w:tcBorders>
            <w:noWrap w:val="0"/>
            <w:vAlign w:val="center"/>
          </w:tcPr>
          <w:p w14:paraId="4E03806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C39C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4801E9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nil"/>
            </w:tcBorders>
            <w:noWrap w:val="0"/>
            <w:vAlign w:val="center"/>
          </w:tcPr>
          <w:p w14:paraId="7A621D0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tcBorders>
              <w:top w:val="nil"/>
            </w:tcBorders>
            <w:noWrap w:val="0"/>
            <w:vAlign w:val="center"/>
          </w:tcPr>
          <w:p w14:paraId="3289844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tcBorders>
              <w:top w:val="nil"/>
            </w:tcBorders>
            <w:noWrap w:val="0"/>
            <w:vAlign w:val="center"/>
          </w:tcPr>
          <w:p w14:paraId="6FA0384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tcBorders>
              <w:top w:val="nil"/>
            </w:tcBorders>
            <w:noWrap w:val="0"/>
            <w:vAlign w:val="center"/>
          </w:tcPr>
          <w:p w14:paraId="2F41BBC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tcBorders>
              <w:top w:val="nil"/>
            </w:tcBorders>
            <w:noWrap w:val="0"/>
            <w:vAlign w:val="center"/>
          </w:tcPr>
          <w:p w14:paraId="2FE166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tcBorders>
              <w:top w:val="nil"/>
            </w:tcBorders>
            <w:noWrap w:val="0"/>
            <w:vAlign w:val="center"/>
          </w:tcPr>
          <w:p w14:paraId="2061B65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tcBorders>
              <w:top w:val="nil"/>
            </w:tcBorders>
            <w:noWrap w:val="0"/>
            <w:vAlign w:val="center"/>
          </w:tcPr>
          <w:p w14:paraId="393802B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tcBorders>
              <w:top w:val="nil"/>
            </w:tcBorders>
            <w:noWrap w:val="0"/>
            <w:vAlign w:val="center"/>
          </w:tcPr>
          <w:p w14:paraId="1865E77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9B74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CEBB22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4C9DFA1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3860BEC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noWrap w:val="0"/>
            <w:vAlign w:val="center"/>
          </w:tcPr>
          <w:p w14:paraId="6AC3720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noWrap w:val="0"/>
            <w:vAlign w:val="center"/>
          </w:tcPr>
          <w:p w14:paraId="1870EC6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406BD6D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noWrap w:val="0"/>
            <w:vAlign w:val="center"/>
          </w:tcPr>
          <w:p w14:paraId="3BA0639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7C01D80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noWrap w:val="0"/>
            <w:vAlign w:val="center"/>
          </w:tcPr>
          <w:p w14:paraId="39AAFE3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5586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7F7DBC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08168DE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5C4024F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noWrap w:val="0"/>
            <w:vAlign w:val="center"/>
          </w:tcPr>
          <w:p w14:paraId="4C002C6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noWrap w:val="0"/>
            <w:vAlign w:val="center"/>
          </w:tcPr>
          <w:p w14:paraId="790E502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5EC31B8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noWrap w:val="0"/>
            <w:vAlign w:val="center"/>
          </w:tcPr>
          <w:p w14:paraId="37948E1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1F6E45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noWrap w:val="0"/>
            <w:vAlign w:val="center"/>
          </w:tcPr>
          <w:p w14:paraId="660F7CE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6587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817C25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0C39A51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0E7158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noWrap w:val="0"/>
            <w:vAlign w:val="center"/>
          </w:tcPr>
          <w:p w14:paraId="48D575C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noWrap w:val="0"/>
            <w:vAlign w:val="center"/>
          </w:tcPr>
          <w:p w14:paraId="0B348A5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61F7A68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noWrap w:val="0"/>
            <w:vAlign w:val="center"/>
          </w:tcPr>
          <w:p w14:paraId="7F7E63E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3CF3FC1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noWrap w:val="0"/>
            <w:vAlign w:val="center"/>
          </w:tcPr>
          <w:p w14:paraId="0EAD9F0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F21D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F873B5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0C77A32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600B7AD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noWrap w:val="0"/>
            <w:vAlign w:val="center"/>
          </w:tcPr>
          <w:p w14:paraId="5795A0C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noWrap w:val="0"/>
            <w:vAlign w:val="center"/>
          </w:tcPr>
          <w:p w14:paraId="325E3BD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517E7FC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noWrap w:val="0"/>
            <w:vAlign w:val="center"/>
          </w:tcPr>
          <w:p w14:paraId="372C28C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7D7EBA4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noWrap w:val="0"/>
            <w:vAlign w:val="center"/>
          </w:tcPr>
          <w:p w14:paraId="3A5C5B6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3767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298158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23F4B0C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249CBF6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noWrap w:val="0"/>
            <w:vAlign w:val="center"/>
          </w:tcPr>
          <w:p w14:paraId="22CD3E7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noWrap w:val="0"/>
            <w:vAlign w:val="center"/>
          </w:tcPr>
          <w:p w14:paraId="063BB8C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7008281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noWrap w:val="0"/>
            <w:vAlign w:val="center"/>
          </w:tcPr>
          <w:p w14:paraId="1882CD7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7F0A48F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noWrap w:val="0"/>
            <w:vAlign w:val="center"/>
          </w:tcPr>
          <w:p w14:paraId="61AC7C9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4804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A1FAC1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7198D4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7C1A86C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noWrap w:val="0"/>
            <w:vAlign w:val="center"/>
          </w:tcPr>
          <w:p w14:paraId="7290D91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noWrap w:val="0"/>
            <w:vAlign w:val="center"/>
          </w:tcPr>
          <w:p w14:paraId="121F510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3B0ED23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noWrap w:val="0"/>
            <w:vAlign w:val="center"/>
          </w:tcPr>
          <w:p w14:paraId="67AF562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1DB1FC3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noWrap w:val="0"/>
            <w:vAlign w:val="center"/>
          </w:tcPr>
          <w:p w14:paraId="7934C42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08C5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A3FB222">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3163D85B">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595E97EA">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1442A40B">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413B9D2D">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2F5A7B5A">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3649ACFF">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17DEBE59">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27BA3656">
            <w:pPr>
              <w:rPr>
                <w:rFonts w:hint="eastAsia" w:asciiTheme="minorEastAsia" w:hAnsiTheme="minorEastAsia" w:eastAsiaTheme="minorEastAsia" w:cstheme="minorEastAsia"/>
                <w:color w:val="auto"/>
                <w:sz w:val="24"/>
                <w:szCs w:val="24"/>
                <w:highlight w:val="none"/>
              </w:rPr>
            </w:pPr>
          </w:p>
        </w:tc>
      </w:tr>
      <w:tr w14:paraId="3B4D7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89B6E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669FDB3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0" w:type="dxa"/>
            <w:noWrap w:val="0"/>
            <w:vAlign w:val="center"/>
          </w:tcPr>
          <w:p w14:paraId="65AF09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58" w:type="dxa"/>
            <w:noWrap w:val="0"/>
            <w:vAlign w:val="center"/>
          </w:tcPr>
          <w:p w14:paraId="376E217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80" w:type="dxa"/>
            <w:noWrap w:val="0"/>
            <w:vAlign w:val="center"/>
          </w:tcPr>
          <w:p w14:paraId="3E5D8F5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2603514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80" w:type="dxa"/>
            <w:noWrap w:val="0"/>
            <w:vAlign w:val="center"/>
          </w:tcPr>
          <w:p w14:paraId="7C120FD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020" w:type="dxa"/>
            <w:noWrap w:val="0"/>
            <w:vAlign w:val="center"/>
          </w:tcPr>
          <w:p w14:paraId="566598F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921" w:type="dxa"/>
            <w:noWrap w:val="0"/>
            <w:vAlign w:val="center"/>
          </w:tcPr>
          <w:p w14:paraId="407B92F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8B56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AE3934D">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7E572DD1">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5681B359">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2D5ED1CA">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6183C483">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3ADB1F6A">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028967AB">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0F7DBE51">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5ED9FE02">
            <w:pPr>
              <w:rPr>
                <w:rFonts w:hint="eastAsia" w:asciiTheme="minorEastAsia" w:hAnsiTheme="minorEastAsia" w:eastAsiaTheme="minorEastAsia" w:cstheme="minorEastAsia"/>
                <w:color w:val="auto"/>
                <w:sz w:val="24"/>
                <w:szCs w:val="24"/>
                <w:highlight w:val="none"/>
              </w:rPr>
            </w:pPr>
          </w:p>
        </w:tc>
      </w:tr>
      <w:tr w14:paraId="3E357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98ECD6C">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054C6824">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08799FAC">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315359BA">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29D45C45">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36ED257A">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4610A61F">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0369F59A">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3D0B6940">
            <w:pPr>
              <w:rPr>
                <w:rFonts w:hint="eastAsia" w:asciiTheme="minorEastAsia" w:hAnsiTheme="minorEastAsia" w:eastAsiaTheme="minorEastAsia" w:cstheme="minorEastAsia"/>
                <w:color w:val="auto"/>
                <w:sz w:val="24"/>
                <w:szCs w:val="24"/>
                <w:highlight w:val="none"/>
              </w:rPr>
            </w:pPr>
          </w:p>
        </w:tc>
      </w:tr>
      <w:tr w14:paraId="2370A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FE3BAC5">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4ABA087F">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45EC9AEF">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11900CE9">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69A4E0AF">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27162835">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1FD9333E">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4806F611">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2E6F1A04">
            <w:pPr>
              <w:rPr>
                <w:rFonts w:hint="eastAsia" w:asciiTheme="minorEastAsia" w:hAnsiTheme="minorEastAsia" w:eastAsiaTheme="minorEastAsia" w:cstheme="minorEastAsia"/>
                <w:color w:val="auto"/>
                <w:sz w:val="24"/>
                <w:szCs w:val="24"/>
                <w:highlight w:val="none"/>
              </w:rPr>
            </w:pPr>
          </w:p>
        </w:tc>
      </w:tr>
      <w:tr w14:paraId="21DD7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7D2E608">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14308A65">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11BCEC7A">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51C70434">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062C0F1D">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678B327A">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674E0A78">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3A3B8CF4">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03BA155B">
            <w:pPr>
              <w:rPr>
                <w:rFonts w:hint="eastAsia" w:asciiTheme="minorEastAsia" w:hAnsiTheme="minorEastAsia" w:eastAsiaTheme="minorEastAsia" w:cstheme="minorEastAsia"/>
                <w:color w:val="auto"/>
                <w:sz w:val="24"/>
                <w:szCs w:val="24"/>
                <w:highlight w:val="none"/>
              </w:rPr>
            </w:pPr>
          </w:p>
        </w:tc>
      </w:tr>
      <w:tr w14:paraId="76F5E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5C742B0">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276BDB56">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76E96CFC">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19E6B05F">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207183A5">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0817ACCD">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3C70CE8A">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12DF4F5E">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7849EA3A">
            <w:pPr>
              <w:rPr>
                <w:rFonts w:hint="eastAsia" w:asciiTheme="minorEastAsia" w:hAnsiTheme="minorEastAsia" w:eastAsiaTheme="minorEastAsia" w:cstheme="minorEastAsia"/>
                <w:color w:val="auto"/>
                <w:sz w:val="24"/>
                <w:szCs w:val="24"/>
                <w:highlight w:val="none"/>
              </w:rPr>
            </w:pPr>
          </w:p>
        </w:tc>
      </w:tr>
      <w:tr w14:paraId="78FEF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013BFC7">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53853510">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1060DAF1">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7453D86D">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368B2636">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0B47CD05">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1E9C7C2C">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26BCE526">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38603270">
            <w:pPr>
              <w:rPr>
                <w:rFonts w:hint="eastAsia" w:asciiTheme="minorEastAsia" w:hAnsiTheme="minorEastAsia" w:eastAsiaTheme="minorEastAsia" w:cstheme="minorEastAsia"/>
                <w:color w:val="auto"/>
                <w:sz w:val="24"/>
                <w:szCs w:val="24"/>
                <w:highlight w:val="none"/>
              </w:rPr>
            </w:pPr>
          </w:p>
        </w:tc>
      </w:tr>
      <w:tr w14:paraId="4B301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63B1C35">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5E5E81C5">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01248CCC">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2F606A6E">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5CB5564F">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794FDA0D">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1CB242CB">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6E863A0A">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7A90E5D0">
            <w:pPr>
              <w:rPr>
                <w:rFonts w:hint="eastAsia" w:asciiTheme="minorEastAsia" w:hAnsiTheme="minorEastAsia" w:eastAsiaTheme="minorEastAsia" w:cstheme="minorEastAsia"/>
                <w:color w:val="auto"/>
                <w:sz w:val="24"/>
                <w:szCs w:val="24"/>
                <w:highlight w:val="none"/>
              </w:rPr>
            </w:pPr>
          </w:p>
        </w:tc>
      </w:tr>
      <w:tr w14:paraId="4AA0A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B8ACE44">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6BCC8616">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0FF3EB5A">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29ACD45B">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04440D0A">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2B4219FD">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7500EF66">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28BE2604">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4FDE0B7B">
            <w:pPr>
              <w:rPr>
                <w:rFonts w:hint="eastAsia" w:asciiTheme="minorEastAsia" w:hAnsiTheme="minorEastAsia" w:eastAsiaTheme="minorEastAsia" w:cstheme="minorEastAsia"/>
                <w:color w:val="auto"/>
                <w:sz w:val="24"/>
                <w:szCs w:val="24"/>
                <w:highlight w:val="none"/>
              </w:rPr>
            </w:pPr>
          </w:p>
        </w:tc>
      </w:tr>
      <w:tr w14:paraId="7E6B8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194B0D6">
            <w:pPr>
              <w:rPr>
                <w:rFonts w:hint="eastAsia" w:asciiTheme="minorEastAsia" w:hAnsiTheme="minorEastAsia" w:eastAsiaTheme="minorEastAsia" w:cstheme="minorEastAsia"/>
                <w:color w:val="auto"/>
                <w:sz w:val="24"/>
                <w:szCs w:val="24"/>
                <w:highlight w:val="none"/>
              </w:rPr>
            </w:pPr>
          </w:p>
        </w:tc>
        <w:tc>
          <w:tcPr>
            <w:tcW w:w="1418" w:type="dxa"/>
            <w:noWrap w:val="0"/>
            <w:vAlign w:val="top"/>
          </w:tcPr>
          <w:p w14:paraId="725BB824">
            <w:pPr>
              <w:rPr>
                <w:rFonts w:hint="eastAsia" w:asciiTheme="minorEastAsia" w:hAnsiTheme="minorEastAsia" w:eastAsiaTheme="minorEastAsia" w:cstheme="minorEastAsia"/>
                <w:color w:val="auto"/>
                <w:sz w:val="24"/>
                <w:szCs w:val="24"/>
                <w:highlight w:val="none"/>
              </w:rPr>
            </w:pPr>
          </w:p>
        </w:tc>
        <w:tc>
          <w:tcPr>
            <w:tcW w:w="850" w:type="dxa"/>
            <w:noWrap w:val="0"/>
            <w:vAlign w:val="top"/>
          </w:tcPr>
          <w:p w14:paraId="03F0E72F">
            <w:pPr>
              <w:rPr>
                <w:rFonts w:hint="eastAsia" w:asciiTheme="minorEastAsia" w:hAnsiTheme="minorEastAsia" w:eastAsiaTheme="minorEastAsia" w:cstheme="minorEastAsia"/>
                <w:color w:val="auto"/>
                <w:sz w:val="24"/>
                <w:szCs w:val="24"/>
                <w:highlight w:val="none"/>
              </w:rPr>
            </w:pPr>
          </w:p>
        </w:tc>
        <w:tc>
          <w:tcPr>
            <w:tcW w:w="1058" w:type="dxa"/>
            <w:noWrap w:val="0"/>
            <w:vAlign w:val="top"/>
          </w:tcPr>
          <w:p w14:paraId="492EDB69">
            <w:pPr>
              <w:rPr>
                <w:rFonts w:hint="eastAsia" w:asciiTheme="minorEastAsia" w:hAnsiTheme="minorEastAsia" w:eastAsiaTheme="minorEastAsia" w:cstheme="minorEastAsia"/>
                <w:color w:val="auto"/>
                <w:sz w:val="24"/>
                <w:szCs w:val="24"/>
                <w:highlight w:val="none"/>
              </w:rPr>
            </w:pPr>
          </w:p>
        </w:tc>
        <w:tc>
          <w:tcPr>
            <w:tcW w:w="880" w:type="dxa"/>
            <w:noWrap w:val="0"/>
            <w:vAlign w:val="top"/>
          </w:tcPr>
          <w:p w14:paraId="65616E41">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2F5C0AF4">
            <w:pPr>
              <w:rPr>
                <w:rFonts w:hint="eastAsia" w:asciiTheme="minorEastAsia" w:hAnsiTheme="minorEastAsia" w:eastAsiaTheme="minorEastAsia" w:cstheme="minorEastAsia"/>
                <w:color w:val="auto"/>
                <w:sz w:val="24"/>
                <w:szCs w:val="24"/>
                <w:highlight w:val="none"/>
              </w:rPr>
            </w:pPr>
          </w:p>
        </w:tc>
        <w:tc>
          <w:tcPr>
            <w:tcW w:w="1480" w:type="dxa"/>
            <w:noWrap w:val="0"/>
            <w:vAlign w:val="top"/>
          </w:tcPr>
          <w:p w14:paraId="58E016FC">
            <w:pPr>
              <w:rPr>
                <w:rFonts w:hint="eastAsia" w:asciiTheme="minorEastAsia" w:hAnsiTheme="minorEastAsia" w:eastAsiaTheme="minorEastAsia" w:cstheme="minorEastAsia"/>
                <w:color w:val="auto"/>
                <w:sz w:val="24"/>
                <w:szCs w:val="24"/>
                <w:highlight w:val="none"/>
              </w:rPr>
            </w:pPr>
          </w:p>
        </w:tc>
        <w:tc>
          <w:tcPr>
            <w:tcW w:w="1020" w:type="dxa"/>
            <w:noWrap w:val="0"/>
            <w:vAlign w:val="top"/>
          </w:tcPr>
          <w:p w14:paraId="7AC1C748">
            <w:pPr>
              <w:rPr>
                <w:rFonts w:hint="eastAsia" w:asciiTheme="minorEastAsia" w:hAnsiTheme="minorEastAsia" w:eastAsiaTheme="minorEastAsia" w:cstheme="minorEastAsia"/>
                <w:color w:val="auto"/>
                <w:sz w:val="24"/>
                <w:szCs w:val="24"/>
                <w:highlight w:val="none"/>
              </w:rPr>
            </w:pPr>
          </w:p>
        </w:tc>
        <w:tc>
          <w:tcPr>
            <w:tcW w:w="921" w:type="dxa"/>
            <w:noWrap w:val="0"/>
            <w:vAlign w:val="top"/>
          </w:tcPr>
          <w:p w14:paraId="61DC284B">
            <w:pPr>
              <w:rPr>
                <w:rFonts w:hint="eastAsia" w:asciiTheme="minorEastAsia" w:hAnsiTheme="minorEastAsia" w:eastAsiaTheme="minorEastAsia" w:cstheme="minorEastAsia"/>
                <w:color w:val="auto"/>
                <w:sz w:val="24"/>
                <w:szCs w:val="24"/>
                <w:highlight w:val="none"/>
              </w:rPr>
            </w:pPr>
          </w:p>
        </w:tc>
      </w:tr>
    </w:tbl>
    <w:p w14:paraId="16009BC1">
      <w:pPr>
        <w:spacing w:line="440" w:lineRule="exact"/>
        <w:outlineLvl w:val="0"/>
        <w:rPr>
          <w:rFonts w:hint="eastAsia" w:asciiTheme="minorEastAsia" w:hAnsiTheme="minorEastAsia" w:eastAsiaTheme="minorEastAsia" w:cstheme="minorEastAsia"/>
          <w:color w:val="auto"/>
          <w:sz w:val="24"/>
          <w:szCs w:val="24"/>
          <w:highlight w:val="none"/>
        </w:rPr>
      </w:pPr>
      <w:bookmarkStart w:id="1485" w:name="_Toc14921"/>
      <w:r>
        <w:rPr>
          <w:rFonts w:hint="eastAsia" w:asciiTheme="minorEastAsia" w:hAnsiTheme="minorEastAsia" w:eastAsiaTheme="minorEastAsia" w:cstheme="minorEastAsia"/>
          <w:color w:val="auto"/>
          <w:sz w:val="24"/>
          <w:szCs w:val="24"/>
          <w:highlight w:val="none"/>
        </w:rPr>
        <w:t>附</w:t>
      </w:r>
      <w:bookmarkStart w:id="1486" w:name="_Toc296891268"/>
      <w:bookmarkStart w:id="1487" w:name="_Toc296503228"/>
      <w:bookmarkStart w:id="1488" w:name="_Toc267261699"/>
      <w:bookmarkStart w:id="1489" w:name="_Toc296347227"/>
      <w:bookmarkStart w:id="1490" w:name="_Toc296944567"/>
      <w:bookmarkStart w:id="1491" w:name="_Toc296346729"/>
      <w:bookmarkStart w:id="1492" w:name="_Toc296891056"/>
      <w:r>
        <w:rPr>
          <w:rFonts w:hint="eastAsia" w:asciiTheme="minorEastAsia" w:hAnsiTheme="minorEastAsia" w:eastAsiaTheme="minorEastAsia" w:cstheme="minorEastAsia"/>
          <w:color w:val="auto"/>
          <w:sz w:val="24"/>
          <w:szCs w:val="24"/>
          <w:highlight w:val="none"/>
        </w:rPr>
        <w:t>件6：</w:t>
      </w:r>
      <w:bookmarkEnd w:id="1485"/>
    </w:p>
    <w:bookmarkEnd w:id="1486"/>
    <w:bookmarkEnd w:id="1487"/>
    <w:bookmarkEnd w:id="1488"/>
    <w:bookmarkEnd w:id="1489"/>
    <w:bookmarkEnd w:id="1490"/>
    <w:bookmarkEnd w:id="1491"/>
    <w:bookmarkEnd w:id="1492"/>
    <w:p w14:paraId="758C64F7">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承包人主要施工管理人员表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FAE1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C4DB83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名    称</w:t>
            </w:r>
          </w:p>
        </w:tc>
        <w:tc>
          <w:tcPr>
            <w:tcW w:w="1418" w:type="dxa"/>
            <w:tcBorders>
              <w:top w:val="single" w:color="auto" w:sz="12" w:space="0"/>
              <w:bottom w:val="double" w:color="auto" w:sz="6" w:space="0"/>
            </w:tcBorders>
            <w:noWrap w:val="0"/>
            <w:vAlign w:val="center"/>
          </w:tcPr>
          <w:p w14:paraId="32A9B5B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4581888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224261F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职称</w:t>
            </w:r>
          </w:p>
        </w:tc>
        <w:tc>
          <w:tcPr>
            <w:tcW w:w="4252" w:type="dxa"/>
            <w:tcBorders>
              <w:top w:val="single" w:color="auto" w:sz="12" w:space="0"/>
              <w:bottom w:val="double" w:color="auto" w:sz="6" w:space="0"/>
            </w:tcBorders>
            <w:noWrap w:val="0"/>
            <w:vAlign w:val="center"/>
          </w:tcPr>
          <w:p w14:paraId="45DD580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主要资历、经验及承担过的项目</w:t>
            </w:r>
          </w:p>
        </w:tc>
      </w:tr>
      <w:tr w14:paraId="6353D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07E002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一、总部人员</w:t>
            </w:r>
          </w:p>
        </w:tc>
      </w:tr>
      <w:tr w14:paraId="560DB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5546B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项目主管</w:t>
            </w:r>
          </w:p>
        </w:tc>
        <w:tc>
          <w:tcPr>
            <w:tcW w:w="1418" w:type="dxa"/>
            <w:tcBorders>
              <w:top w:val="nil"/>
            </w:tcBorders>
            <w:noWrap w:val="0"/>
            <w:vAlign w:val="center"/>
          </w:tcPr>
          <w:p w14:paraId="738F5AC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top w:val="nil"/>
            </w:tcBorders>
            <w:noWrap w:val="0"/>
            <w:vAlign w:val="center"/>
          </w:tcPr>
          <w:p w14:paraId="53C3A82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top w:val="nil"/>
            </w:tcBorders>
            <w:noWrap w:val="0"/>
            <w:vAlign w:val="center"/>
          </w:tcPr>
          <w:p w14:paraId="5D3DF6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tcBorders>
              <w:top w:val="nil"/>
            </w:tcBorders>
            <w:noWrap w:val="0"/>
            <w:vAlign w:val="center"/>
          </w:tcPr>
          <w:p w14:paraId="38EF82D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4610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269728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164C5F5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3DAD71C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F34C49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5E2F520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509E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357273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其他人员</w:t>
            </w:r>
          </w:p>
        </w:tc>
        <w:tc>
          <w:tcPr>
            <w:tcW w:w="1418" w:type="dxa"/>
            <w:noWrap w:val="0"/>
            <w:vAlign w:val="center"/>
          </w:tcPr>
          <w:p w14:paraId="446DAC8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73DB5B6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3C2DBAF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05DD37C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C1D7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2ECE5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0A39E12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54C30C2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012193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67F097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18EB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0777F0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二、现场人员</w:t>
            </w:r>
          </w:p>
        </w:tc>
      </w:tr>
      <w:tr w14:paraId="0A1BC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56BA6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项目经理</w:t>
            </w:r>
          </w:p>
        </w:tc>
        <w:tc>
          <w:tcPr>
            <w:tcW w:w="1418" w:type="dxa"/>
            <w:noWrap w:val="0"/>
            <w:vAlign w:val="center"/>
          </w:tcPr>
          <w:p w14:paraId="65E75B5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731BBD2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2AD72BF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479CA61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4776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CA7E2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项目副经理</w:t>
            </w:r>
          </w:p>
        </w:tc>
        <w:tc>
          <w:tcPr>
            <w:tcW w:w="1418" w:type="dxa"/>
            <w:noWrap w:val="0"/>
            <w:vAlign w:val="center"/>
          </w:tcPr>
          <w:p w14:paraId="018E82A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33814E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00D1EA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3DED573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B63B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024D6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技术负责人</w:t>
            </w:r>
          </w:p>
        </w:tc>
        <w:tc>
          <w:tcPr>
            <w:tcW w:w="1418" w:type="dxa"/>
            <w:noWrap w:val="0"/>
            <w:vAlign w:val="center"/>
          </w:tcPr>
          <w:p w14:paraId="4B24471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18DC8E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F5D0FE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1155257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E458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0893C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造价管理</w:t>
            </w:r>
          </w:p>
        </w:tc>
        <w:tc>
          <w:tcPr>
            <w:tcW w:w="1418" w:type="dxa"/>
            <w:noWrap w:val="0"/>
            <w:vAlign w:val="center"/>
          </w:tcPr>
          <w:p w14:paraId="1BE8148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76120AA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5FD138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1D0EE63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BB9F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560697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质量管理</w:t>
            </w:r>
          </w:p>
        </w:tc>
        <w:tc>
          <w:tcPr>
            <w:tcW w:w="1418" w:type="dxa"/>
            <w:noWrap w:val="0"/>
            <w:vAlign w:val="center"/>
          </w:tcPr>
          <w:p w14:paraId="27F4171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09D5D30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C9339B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64E3D1D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505E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CBCA5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材料管理</w:t>
            </w:r>
          </w:p>
        </w:tc>
        <w:tc>
          <w:tcPr>
            <w:tcW w:w="1418" w:type="dxa"/>
            <w:noWrap w:val="0"/>
            <w:vAlign w:val="center"/>
          </w:tcPr>
          <w:p w14:paraId="606EC31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260BDDC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70CF096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369F73E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DD4E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EC8C85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计划管理</w:t>
            </w:r>
          </w:p>
        </w:tc>
        <w:tc>
          <w:tcPr>
            <w:tcW w:w="1418" w:type="dxa"/>
            <w:noWrap w:val="0"/>
            <w:vAlign w:val="center"/>
          </w:tcPr>
          <w:p w14:paraId="4255697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53FF071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58492E8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0EDF4A2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32D7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22A635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安全管理</w:t>
            </w:r>
          </w:p>
        </w:tc>
        <w:tc>
          <w:tcPr>
            <w:tcW w:w="1418" w:type="dxa"/>
            <w:noWrap w:val="0"/>
            <w:vAlign w:val="center"/>
          </w:tcPr>
          <w:p w14:paraId="0B363E6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3959262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930ECB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05E3EB5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78FB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C54F16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其他人员</w:t>
            </w:r>
          </w:p>
        </w:tc>
        <w:tc>
          <w:tcPr>
            <w:tcW w:w="1418" w:type="dxa"/>
            <w:noWrap w:val="0"/>
            <w:vAlign w:val="center"/>
          </w:tcPr>
          <w:p w14:paraId="4BFAC38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5C3C03A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70E2613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11F2471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24AF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BEAEA7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bottom w:val="nil"/>
            </w:tcBorders>
            <w:noWrap w:val="0"/>
            <w:vAlign w:val="center"/>
          </w:tcPr>
          <w:p w14:paraId="2B44C50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bottom w:val="nil"/>
            </w:tcBorders>
            <w:noWrap w:val="0"/>
            <w:vAlign w:val="center"/>
          </w:tcPr>
          <w:p w14:paraId="0744862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bottom w:val="nil"/>
            </w:tcBorders>
            <w:noWrap w:val="0"/>
            <w:vAlign w:val="center"/>
          </w:tcPr>
          <w:p w14:paraId="67C834A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tcBorders>
              <w:bottom w:val="nil"/>
            </w:tcBorders>
            <w:noWrap w:val="0"/>
            <w:vAlign w:val="center"/>
          </w:tcPr>
          <w:p w14:paraId="04AB640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ADC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B7633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40E999F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D346C5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0743D87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2B6C458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534F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7B08A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60B0C6F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5553D3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1FCF6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12A05FA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A0AF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A5A8F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6934B17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785A96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0A79A7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3B0736C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08DD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336C8D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bottom w:val="single" w:color="auto" w:sz="12" w:space="0"/>
            </w:tcBorders>
            <w:noWrap w:val="0"/>
            <w:vAlign w:val="center"/>
          </w:tcPr>
          <w:p w14:paraId="7DC487F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bottom w:val="single" w:color="auto" w:sz="12" w:space="0"/>
            </w:tcBorders>
            <w:noWrap w:val="0"/>
            <w:vAlign w:val="center"/>
          </w:tcPr>
          <w:p w14:paraId="3FEE427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bottom w:val="single" w:color="auto" w:sz="12" w:space="0"/>
            </w:tcBorders>
            <w:noWrap w:val="0"/>
            <w:vAlign w:val="center"/>
          </w:tcPr>
          <w:p w14:paraId="25CA147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tcBorders>
              <w:bottom w:val="single" w:color="auto" w:sz="12" w:space="0"/>
            </w:tcBorders>
            <w:noWrap w:val="0"/>
            <w:vAlign w:val="center"/>
          </w:tcPr>
          <w:p w14:paraId="36444E4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bl>
    <w:p w14:paraId="31706F50">
      <w:pPr>
        <w:spacing w:line="440" w:lineRule="exac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493" w:name="_Toc3613"/>
      <w:r>
        <w:rPr>
          <w:rFonts w:hint="eastAsia" w:asciiTheme="minorEastAsia" w:hAnsiTheme="minorEastAsia" w:eastAsiaTheme="minorEastAsia" w:cstheme="minorEastAsia"/>
          <w:color w:val="auto"/>
          <w:sz w:val="24"/>
          <w:szCs w:val="24"/>
          <w:highlight w:val="none"/>
        </w:rPr>
        <w:t>附</w:t>
      </w:r>
      <w:bookmarkStart w:id="1494" w:name="_Toc296891057"/>
      <w:bookmarkStart w:id="1495" w:name="_Toc296944568"/>
      <w:bookmarkStart w:id="1496" w:name="_Toc296891269"/>
      <w:bookmarkStart w:id="1497" w:name="_Toc296346730"/>
      <w:bookmarkStart w:id="1498" w:name="_Toc296347228"/>
      <w:bookmarkStart w:id="1499" w:name="_Toc296503229"/>
      <w:r>
        <w:rPr>
          <w:rFonts w:hint="eastAsia" w:asciiTheme="minorEastAsia" w:hAnsiTheme="minorEastAsia" w:eastAsiaTheme="minorEastAsia" w:cstheme="minorEastAsia"/>
          <w:color w:val="auto"/>
          <w:sz w:val="24"/>
          <w:szCs w:val="24"/>
          <w:highlight w:val="none"/>
        </w:rPr>
        <w:t>件7：</w:t>
      </w:r>
      <w:bookmarkEnd w:id="1493"/>
    </w:p>
    <w:bookmarkEnd w:id="1494"/>
    <w:bookmarkEnd w:id="1495"/>
    <w:bookmarkEnd w:id="1496"/>
    <w:bookmarkEnd w:id="1497"/>
    <w:bookmarkEnd w:id="1498"/>
    <w:bookmarkEnd w:id="1499"/>
    <w:p w14:paraId="5864BE5A">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分包人主要施工管理人员表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5A61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8DE70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名    称</w:t>
            </w:r>
          </w:p>
        </w:tc>
        <w:tc>
          <w:tcPr>
            <w:tcW w:w="1418" w:type="dxa"/>
            <w:tcBorders>
              <w:top w:val="single" w:color="auto" w:sz="12" w:space="0"/>
              <w:bottom w:val="double" w:color="auto" w:sz="6" w:space="0"/>
            </w:tcBorders>
            <w:noWrap w:val="0"/>
            <w:vAlign w:val="center"/>
          </w:tcPr>
          <w:p w14:paraId="4FF6E5D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76C1961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559B4FE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职称</w:t>
            </w:r>
          </w:p>
        </w:tc>
        <w:tc>
          <w:tcPr>
            <w:tcW w:w="4252" w:type="dxa"/>
            <w:tcBorders>
              <w:top w:val="single" w:color="auto" w:sz="12" w:space="0"/>
              <w:bottom w:val="double" w:color="auto" w:sz="6" w:space="0"/>
            </w:tcBorders>
            <w:noWrap w:val="0"/>
            <w:vAlign w:val="center"/>
          </w:tcPr>
          <w:p w14:paraId="23B86D1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主要资历、经验及承担过的项目</w:t>
            </w:r>
          </w:p>
        </w:tc>
      </w:tr>
      <w:tr w14:paraId="18D15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ADA50F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一、总部人员</w:t>
            </w:r>
          </w:p>
        </w:tc>
      </w:tr>
      <w:tr w14:paraId="0D955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BB9FE7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项目主管</w:t>
            </w:r>
          </w:p>
        </w:tc>
        <w:tc>
          <w:tcPr>
            <w:tcW w:w="1418" w:type="dxa"/>
            <w:tcBorders>
              <w:top w:val="nil"/>
            </w:tcBorders>
            <w:noWrap w:val="0"/>
            <w:vAlign w:val="center"/>
          </w:tcPr>
          <w:p w14:paraId="63DF93A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top w:val="nil"/>
            </w:tcBorders>
            <w:noWrap w:val="0"/>
            <w:vAlign w:val="center"/>
          </w:tcPr>
          <w:p w14:paraId="3C1DF09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top w:val="nil"/>
            </w:tcBorders>
            <w:noWrap w:val="0"/>
            <w:vAlign w:val="center"/>
          </w:tcPr>
          <w:p w14:paraId="1B9F94E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tcBorders>
              <w:top w:val="nil"/>
            </w:tcBorders>
            <w:noWrap w:val="0"/>
            <w:vAlign w:val="center"/>
          </w:tcPr>
          <w:p w14:paraId="4DCF2F0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01F6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BBA515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5EE9F83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CD9606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B4C882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07E18D5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6A22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2307DB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其他人员</w:t>
            </w:r>
          </w:p>
        </w:tc>
        <w:tc>
          <w:tcPr>
            <w:tcW w:w="1418" w:type="dxa"/>
            <w:noWrap w:val="0"/>
            <w:vAlign w:val="center"/>
          </w:tcPr>
          <w:p w14:paraId="779D30D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29233F2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2EE3F8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28DC517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2FC1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26368A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493E68C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AFFE6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F7F51A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1BC8226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FC60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8AF086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二、现场人员</w:t>
            </w:r>
          </w:p>
        </w:tc>
      </w:tr>
      <w:tr w14:paraId="6D948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EE4E8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项目经理</w:t>
            </w:r>
          </w:p>
        </w:tc>
        <w:tc>
          <w:tcPr>
            <w:tcW w:w="1418" w:type="dxa"/>
            <w:noWrap w:val="0"/>
            <w:vAlign w:val="center"/>
          </w:tcPr>
          <w:p w14:paraId="5149DF7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75BA81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74D241C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265A5A4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AA2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B0DD04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项目副经理</w:t>
            </w:r>
          </w:p>
        </w:tc>
        <w:tc>
          <w:tcPr>
            <w:tcW w:w="1418" w:type="dxa"/>
            <w:noWrap w:val="0"/>
            <w:vAlign w:val="center"/>
          </w:tcPr>
          <w:p w14:paraId="1B58337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292741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82AE2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251BF80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0418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FEB03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技术负责人</w:t>
            </w:r>
          </w:p>
        </w:tc>
        <w:tc>
          <w:tcPr>
            <w:tcW w:w="1418" w:type="dxa"/>
            <w:noWrap w:val="0"/>
            <w:vAlign w:val="center"/>
          </w:tcPr>
          <w:p w14:paraId="3F85F56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26E15E4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E401E9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73D24CD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AB74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34BC0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造价管理</w:t>
            </w:r>
          </w:p>
        </w:tc>
        <w:tc>
          <w:tcPr>
            <w:tcW w:w="1418" w:type="dxa"/>
            <w:noWrap w:val="0"/>
            <w:vAlign w:val="center"/>
          </w:tcPr>
          <w:p w14:paraId="04C6C93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1A7F796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51CED4F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389813C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311F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D3A37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质量管理</w:t>
            </w:r>
          </w:p>
        </w:tc>
        <w:tc>
          <w:tcPr>
            <w:tcW w:w="1418" w:type="dxa"/>
            <w:noWrap w:val="0"/>
            <w:vAlign w:val="center"/>
          </w:tcPr>
          <w:p w14:paraId="6B9D88E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2554E48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F6C9B6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7FD99A2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0F5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DC1D97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材料管理</w:t>
            </w:r>
          </w:p>
        </w:tc>
        <w:tc>
          <w:tcPr>
            <w:tcW w:w="1418" w:type="dxa"/>
            <w:noWrap w:val="0"/>
            <w:vAlign w:val="center"/>
          </w:tcPr>
          <w:p w14:paraId="7DFF3B0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FB83EF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7562605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424EB2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2A26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0B638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计划管理</w:t>
            </w:r>
          </w:p>
        </w:tc>
        <w:tc>
          <w:tcPr>
            <w:tcW w:w="1418" w:type="dxa"/>
            <w:noWrap w:val="0"/>
            <w:vAlign w:val="center"/>
          </w:tcPr>
          <w:p w14:paraId="3029D73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49600B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FE66F2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72ECE72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2BFB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FF1C7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安全管理</w:t>
            </w:r>
          </w:p>
        </w:tc>
        <w:tc>
          <w:tcPr>
            <w:tcW w:w="1418" w:type="dxa"/>
            <w:noWrap w:val="0"/>
            <w:vAlign w:val="center"/>
          </w:tcPr>
          <w:p w14:paraId="38CCCD0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53B6F7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A2ECAD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553AFF2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E7BB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B02244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其他人员</w:t>
            </w:r>
          </w:p>
        </w:tc>
        <w:tc>
          <w:tcPr>
            <w:tcW w:w="1418" w:type="dxa"/>
            <w:noWrap w:val="0"/>
            <w:vAlign w:val="center"/>
          </w:tcPr>
          <w:p w14:paraId="5AAA186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08EBE13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00A1FF1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7F16603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BADF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B4D845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bottom w:val="nil"/>
            </w:tcBorders>
            <w:noWrap w:val="0"/>
            <w:vAlign w:val="center"/>
          </w:tcPr>
          <w:p w14:paraId="635A6E5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bottom w:val="nil"/>
            </w:tcBorders>
            <w:noWrap w:val="0"/>
            <w:vAlign w:val="center"/>
          </w:tcPr>
          <w:p w14:paraId="525FA7A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bottom w:val="nil"/>
            </w:tcBorders>
            <w:noWrap w:val="0"/>
            <w:vAlign w:val="center"/>
          </w:tcPr>
          <w:p w14:paraId="396F77A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tcBorders>
              <w:bottom w:val="nil"/>
            </w:tcBorders>
            <w:noWrap w:val="0"/>
            <w:vAlign w:val="center"/>
          </w:tcPr>
          <w:p w14:paraId="46BFA36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3775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D0B1F7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45BBDE4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7A0A5B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557C4F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4D0185B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D3B4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13B53B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424E213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0128C4F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3A8B27C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1679D3D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DD3E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6CCF4F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center"/>
          </w:tcPr>
          <w:p w14:paraId="1EF53F5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6CAEB54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noWrap w:val="0"/>
            <w:vAlign w:val="center"/>
          </w:tcPr>
          <w:p w14:paraId="43180C6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noWrap w:val="0"/>
            <w:vAlign w:val="center"/>
          </w:tcPr>
          <w:p w14:paraId="39837BA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C649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4808A2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bottom w:val="single" w:color="auto" w:sz="12" w:space="0"/>
            </w:tcBorders>
            <w:noWrap w:val="0"/>
            <w:vAlign w:val="center"/>
          </w:tcPr>
          <w:p w14:paraId="30C893E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bottom w:val="single" w:color="auto" w:sz="12" w:space="0"/>
            </w:tcBorders>
            <w:noWrap w:val="0"/>
            <w:vAlign w:val="center"/>
          </w:tcPr>
          <w:p w14:paraId="346A359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134" w:type="dxa"/>
            <w:tcBorders>
              <w:bottom w:val="single" w:color="auto" w:sz="12" w:space="0"/>
            </w:tcBorders>
            <w:noWrap w:val="0"/>
            <w:vAlign w:val="center"/>
          </w:tcPr>
          <w:p w14:paraId="1CF5823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252" w:type="dxa"/>
            <w:tcBorders>
              <w:bottom w:val="single" w:color="auto" w:sz="12" w:space="0"/>
            </w:tcBorders>
            <w:noWrap w:val="0"/>
            <w:vAlign w:val="center"/>
          </w:tcPr>
          <w:p w14:paraId="3CF1FF4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bl>
    <w:p w14:paraId="06F61408">
      <w:pPr>
        <w:spacing w:line="440" w:lineRule="exac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500" w:name="_Toc20218"/>
      <w:bookmarkStart w:id="1501" w:name="_Toc267261701"/>
      <w:r>
        <w:rPr>
          <w:rFonts w:hint="eastAsia" w:asciiTheme="minorEastAsia" w:hAnsiTheme="minorEastAsia" w:eastAsiaTheme="minorEastAsia" w:cstheme="minorEastAsia"/>
          <w:color w:val="auto"/>
          <w:sz w:val="24"/>
          <w:szCs w:val="24"/>
          <w:highlight w:val="none"/>
        </w:rPr>
        <w:t>附</w:t>
      </w:r>
      <w:bookmarkStart w:id="1502" w:name="_Toc296346732"/>
      <w:bookmarkStart w:id="1503" w:name="_Toc296503231"/>
      <w:bookmarkStart w:id="1504" w:name="_Toc296944570"/>
      <w:bookmarkStart w:id="1505" w:name="_Toc296891059"/>
      <w:bookmarkStart w:id="1506" w:name="_Toc296891271"/>
      <w:bookmarkStart w:id="1507" w:name="_Toc296347230"/>
      <w:r>
        <w:rPr>
          <w:rFonts w:hint="eastAsia" w:asciiTheme="minorEastAsia" w:hAnsiTheme="minorEastAsia" w:eastAsiaTheme="minorEastAsia" w:cstheme="minorEastAsia"/>
          <w:color w:val="auto"/>
          <w:sz w:val="24"/>
          <w:szCs w:val="24"/>
          <w:highlight w:val="none"/>
        </w:rPr>
        <w:t>件8：</w:t>
      </w:r>
      <w:bookmarkEnd w:id="1500"/>
    </w:p>
    <w:bookmarkEnd w:id="1501"/>
    <w:bookmarkEnd w:id="1502"/>
    <w:bookmarkEnd w:id="1503"/>
    <w:bookmarkEnd w:id="1504"/>
    <w:bookmarkEnd w:id="1505"/>
    <w:bookmarkEnd w:id="1506"/>
    <w:bookmarkEnd w:id="1507"/>
    <w:p w14:paraId="0CA1BEFF">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履约担保</w:t>
      </w:r>
    </w:p>
    <w:p w14:paraId="0E39C474">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（发包人名称）：</w:t>
      </w:r>
    </w:p>
    <w:p w14:paraId="0AFF35CC">
      <w:pPr>
        <w:spacing w:line="440" w:lineRule="exact"/>
        <w:rPr>
          <w:rFonts w:hint="eastAsia" w:asciiTheme="minorEastAsia" w:hAnsiTheme="minorEastAsia" w:eastAsiaTheme="minorEastAsia" w:cstheme="minorEastAsia"/>
          <w:color w:val="auto"/>
          <w:sz w:val="24"/>
          <w:szCs w:val="24"/>
          <w:highlight w:val="none"/>
        </w:rPr>
      </w:pPr>
    </w:p>
    <w:p w14:paraId="78AC147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（发包人名称，以下简称“发包人”）与</w:t>
      </w:r>
    </w:p>
    <w:p w14:paraId="4022C7B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（承包人名称）（以</w:t>
      </w:r>
      <w:r>
        <w:rPr>
          <w:rFonts w:hint="eastAsia" w:asciiTheme="minorEastAsia" w:hAnsiTheme="minorEastAsia" w:eastAsiaTheme="minorEastAsia" w:cstheme="minorEastAsia"/>
          <w:color w:val="auto"/>
          <w:sz w:val="24"/>
          <w:szCs w:val="24"/>
          <w:highlight w:val="none"/>
          <w:lang w:eastAsia="zh-CN"/>
        </w:rPr>
        <w:t>下简</w:t>
      </w:r>
      <w:r>
        <w:rPr>
          <w:rFonts w:hint="eastAsia" w:asciiTheme="minorEastAsia" w:hAnsiTheme="minorEastAsia" w:eastAsiaTheme="minorEastAsia" w:cstheme="minorEastAsia"/>
          <w:color w:val="auto"/>
          <w:sz w:val="24"/>
          <w:szCs w:val="24"/>
          <w:highlight w:val="none"/>
        </w:rPr>
        <w:t>称“承包人”）于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（工程名称）施工及有关事项协商一致共同签订《建设工程施工合同》。我方愿意无条件地、不可撤销地就承包人履行与你方签订的合同</w:t>
      </w:r>
      <w:r>
        <w:rPr>
          <w:rFonts w:hint="eastAsia" w:asciiTheme="minorEastAsia" w:hAnsiTheme="minorEastAsia" w:eastAsiaTheme="minorEastAsia" w:cstheme="minorEastAsia"/>
          <w:color w:val="auto"/>
          <w:sz w:val="24"/>
          <w:szCs w:val="24"/>
          <w:highlight w:val="none"/>
          <w:lang w:eastAsia="zh-CN"/>
        </w:rPr>
        <w:t>，并</w:t>
      </w:r>
      <w:r>
        <w:rPr>
          <w:rFonts w:hint="eastAsia" w:asciiTheme="minorEastAsia" w:hAnsiTheme="minorEastAsia" w:eastAsiaTheme="minorEastAsia" w:cstheme="minorEastAsia"/>
          <w:color w:val="auto"/>
          <w:sz w:val="24"/>
          <w:szCs w:val="24"/>
          <w:highlight w:val="none"/>
        </w:rPr>
        <w:t xml:space="preserve">向你方提供连带责任担保。 </w:t>
      </w:r>
    </w:p>
    <w:p w14:paraId="46DBD4D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担保金额人民币（大写）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AC406C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担保有效期自你方与承包人签订的合同生效之日起至你方签发或应签发工程接收证书之日止。</w:t>
      </w:r>
    </w:p>
    <w:p w14:paraId="49CE3C9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24D939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你方和承包人按合同约定变更合同时，我方承担本担保规定的义务不变。</w:t>
      </w:r>
    </w:p>
    <w:p w14:paraId="3C7EB4E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因本保函发生的纠纷，可由双方协商解决，协商不成的，任何一方均可提请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仲裁委员会仲裁。</w:t>
      </w:r>
    </w:p>
    <w:p w14:paraId="2ECD99B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本保函自我方法定代表人（或其授权代理人）签字并加盖公章之日起生效。</w:t>
      </w:r>
    </w:p>
    <w:p w14:paraId="0FAA7C8C">
      <w:pPr>
        <w:spacing w:line="360" w:lineRule="auto"/>
        <w:rPr>
          <w:rFonts w:hint="eastAsia" w:asciiTheme="minorEastAsia" w:hAnsiTheme="minorEastAsia" w:eastAsiaTheme="minorEastAsia" w:cstheme="minorEastAsia"/>
          <w:color w:val="auto"/>
          <w:sz w:val="24"/>
          <w:szCs w:val="24"/>
          <w:highlight w:val="none"/>
        </w:rPr>
      </w:pPr>
    </w:p>
    <w:p w14:paraId="321ED16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 保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1F4503A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007A3CF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1F4E74C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268A7DC1">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154C83CD">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66B576F5">
      <w:pPr>
        <w:spacing w:line="360" w:lineRule="auto"/>
        <w:jc w:val="left"/>
        <w:rPr>
          <w:rFonts w:hint="eastAsia" w:asciiTheme="minorEastAsia" w:hAnsiTheme="minorEastAsia" w:eastAsiaTheme="minorEastAsia" w:cstheme="minorEastAsia"/>
          <w:color w:val="auto"/>
          <w:sz w:val="24"/>
          <w:szCs w:val="24"/>
          <w:highlight w:val="none"/>
          <w:u w:val="single"/>
        </w:rPr>
      </w:pPr>
    </w:p>
    <w:p w14:paraId="746A79D4">
      <w:pPr>
        <w:spacing w:line="360" w:lineRule="auto"/>
        <w:ind w:left="1899" w:hanging="1519" w:hangingChars="63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CFAC4E4">
      <w:pPr>
        <w:spacing w:line="360" w:lineRule="auto"/>
        <w:ind w:left="1899" w:hanging="1519" w:hangingChars="633"/>
        <w:rPr>
          <w:rFonts w:hint="eastAsia" w:asciiTheme="minorEastAsia" w:hAnsiTheme="minorEastAsia" w:eastAsiaTheme="minorEastAsia" w:cstheme="minorEastAsia"/>
          <w:color w:val="auto"/>
          <w:sz w:val="24"/>
          <w:szCs w:val="24"/>
          <w:highlight w:val="none"/>
        </w:rPr>
      </w:pPr>
    </w:p>
    <w:p w14:paraId="7C2638A8">
      <w:pPr>
        <w:spacing w:line="360" w:lineRule="auto"/>
        <w:ind w:left="1899" w:hanging="1519" w:hangingChars="633"/>
        <w:rPr>
          <w:rFonts w:hint="eastAsia" w:asciiTheme="minorEastAsia" w:hAnsiTheme="minorEastAsia" w:eastAsiaTheme="minorEastAsia" w:cstheme="minorEastAsia"/>
          <w:color w:val="auto"/>
          <w:sz w:val="24"/>
          <w:szCs w:val="24"/>
          <w:highlight w:val="none"/>
        </w:rPr>
      </w:pPr>
    </w:p>
    <w:p w14:paraId="51380C58">
      <w:pPr>
        <w:spacing w:line="360" w:lineRule="auto"/>
        <w:ind w:left="1899" w:hanging="1519" w:hangingChars="633"/>
        <w:rPr>
          <w:rFonts w:hint="eastAsia" w:asciiTheme="minorEastAsia" w:hAnsiTheme="minorEastAsia" w:eastAsiaTheme="minorEastAsia" w:cstheme="minorEastAsia"/>
          <w:color w:val="auto"/>
          <w:sz w:val="24"/>
          <w:szCs w:val="24"/>
          <w:highlight w:val="none"/>
        </w:rPr>
      </w:pPr>
    </w:p>
    <w:p w14:paraId="6ACF4AED">
      <w:pPr>
        <w:spacing w:line="360" w:lineRule="auto"/>
        <w:ind w:left="1899" w:hanging="1519" w:hangingChars="633"/>
        <w:rPr>
          <w:rFonts w:hint="eastAsia" w:asciiTheme="minorEastAsia" w:hAnsiTheme="minorEastAsia" w:eastAsiaTheme="minorEastAsia" w:cstheme="minorEastAsia"/>
          <w:color w:val="auto"/>
          <w:sz w:val="24"/>
          <w:szCs w:val="24"/>
          <w:highlight w:val="none"/>
        </w:rPr>
      </w:pPr>
    </w:p>
    <w:p w14:paraId="60276BA5">
      <w:pPr>
        <w:spacing w:line="360" w:lineRule="auto"/>
        <w:outlineLvl w:val="0"/>
        <w:rPr>
          <w:rFonts w:hint="eastAsia" w:asciiTheme="minorEastAsia" w:hAnsiTheme="minorEastAsia" w:eastAsiaTheme="minorEastAsia" w:cstheme="minorEastAsia"/>
          <w:color w:val="auto"/>
          <w:sz w:val="24"/>
          <w:szCs w:val="24"/>
          <w:highlight w:val="none"/>
        </w:rPr>
      </w:pPr>
      <w:bookmarkStart w:id="1508" w:name="_Toc15557"/>
      <w:r>
        <w:rPr>
          <w:rFonts w:hint="eastAsia" w:asciiTheme="minorEastAsia" w:hAnsiTheme="minorEastAsia" w:eastAsiaTheme="minorEastAsia" w:cstheme="minorEastAsia"/>
          <w:color w:val="auto"/>
          <w:sz w:val="24"/>
          <w:szCs w:val="24"/>
          <w:highlight w:val="none"/>
        </w:rPr>
        <w:t>附</w:t>
      </w:r>
      <w:bookmarkStart w:id="1509" w:name="_Toc267261702"/>
      <w:bookmarkStart w:id="1510" w:name="_Toc296347231"/>
      <w:bookmarkStart w:id="1511" w:name="_Toc296891272"/>
      <w:bookmarkStart w:id="1512" w:name="_Toc296503232"/>
      <w:bookmarkStart w:id="1513" w:name="_Toc296346733"/>
      <w:bookmarkStart w:id="1514" w:name="_Toc296944571"/>
      <w:bookmarkStart w:id="1515" w:name="_Toc296891060"/>
      <w:r>
        <w:rPr>
          <w:rFonts w:hint="eastAsia" w:asciiTheme="minorEastAsia" w:hAnsiTheme="minorEastAsia" w:eastAsiaTheme="minorEastAsia" w:cstheme="minorEastAsia"/>
          <w:color w:val="auto"/>
          <w:sz w:val="24"/>
          <w:szCs w:val="24"/>
          <w:highlight w:val="none"/>
        </w:rPr>
        <w:t>件9 ：</w:t>
      </w:r>
      <w:bookmarkEnd w:id="1508"/>
    </w:p>
    <w:bookmarkEnd w:id="1509"/>
    <w:bookmarkEnd w:id="1510"/>
    <w:bookmarkEnd w:id="1511"/>
    <w:bookmarkEnd w:id="1512"/>
    <w:bookmarkEnd w:id="1513"/>
    <w:bookmarkEnd w:id="1514"/>
    <w:bookmarkEnd w:id="1515"/>
    <w:p w14:paraId="3FC04902">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预付款担保</w:t>
      </w:r>
    </w:p>
    <w:p w14:paraId="7F8B1B0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（发包人名称）：</w:t>
      </w:r>
    </w:p>
    <w:p w14:paraId="36A276DF">
      <w:pPr>
        <w:spacing w:line="360" w:lineRule="auto"/>
        <w:rPr>
          <w:rFonts w:hint="eastAsia" w:asciiTheme="minorEastAsia" w:hAnsiTheme="minorEastAsia" w:eastAsiaTheme="minorEastAsia" w:cstheme="minorEastAsia"/>
          <w:color w:val="auto"/>
          <w:sz w:val="24"/>
          <w:szCs w:val="24"/>
          <w:highlight w:val="none"/>
        </w:rPr>
      </w:pPr>
    </w:p>
    <w:p w14:paraId="19CADBC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（承包人名称）（以</w:t>
      </w:r>
      <w:r>
        <w:rPr>
          <w:rFonts w:hint="eastAsia" w:asciiTheme="minorEastAsia" w:hAnsiTheme="minorEastAsia" w:eastAsiaTheme="minorEastAsia" w:cstheme="minorEastAsia"/>
          <w:color w:val="auto"/>
          <w:sz w:val="24"/>
          <w:szCs w:val="24"/>
          <w:highlight w:val="none"/>
          <w:lang w:eastAsia="zh-CN"/>
        </w:rPr>
        <w:t>下简</w:t>
      </w:r>
      <w:r>
        <w:rPr>
          <w:rFonts w:hint="eastAsia" w:asciiTheme="minorEastAsia" w:hAnsiTheme="minorEastAsia" w:eastAsiaTheme="minorEastAsia" w:cstheme="minorEastAsia"/>
          <w:color w:val="auto"/>
          <w:sz w:val="24"/>
          <w:szCs w:val="24"/>
          <w:highlight w:val="none"/>
        </w:rPr>
        <w:t>称“承包人”）与</w:t>
      </w:r>
    </w:p>
    <w:p w14:paraId="4B73D867">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（发包人名称）（以下简称“发包人”）</w:t>
      </w:r>
    </w:p>
    <w:p w14:paraId="1DEB667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日签订的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549242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担保金额人民币（大写）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43EEC8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担保有效期自预付款支付给承包人起生效，至你方签发的进度款支付证书说明已完全扣清止。</w:t>
      </w:r>
    </w:p>
    <w:p w14:paraId="77F63A2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在本保函有效期内，因承包人违反合同约定的义务而要求收回预付款时，我方在收到你方的书面通知后，在</w:t>
      </w: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天内无条件支付。但本保函的担保金额，在任何时候不应超过预付款金额减去你方按合同约定在向承包人签发的进度款支付证书中扣除的金额。</w:t>
      </w:r>
    </w:p>
    <w:p w14:paraId="02867A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你方和承包人按合同约定变更合同时，我方承担本保函规定的义务不变。</w:t>
      </w:r>
    </w:p>
    <w:p w14:paraId="71E9008E">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因本保函发生的纠纷，可由双方协商解决，协商不成的，任何一方均可提请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仲裁委员会仲裁。</w:t>
      </w:r>
    </w:p>
    <w:p w14:paraId="14E9F69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本保函自我方法定代表人（或其授权代理人）签字并加盖公章之日起生效。</w:t>
      </w:r>
    </w:p>
    <w:p w14:paraId="21112AD7">
      <w:pPr>
        <w:spacing w:line="360" w:lineRule="auto"/>
        <w:rPr>
          <w:rFonts w:hint="eastAsia" w:asciiTheme="minorEastAsia" w:hAnsiTheme="minorEastAsia" w:eastAsiaTheme="minorEastAsia" w:cstheme="minorEastAsia"/>
          <w:color w:val="auto"/>
          <w:sz w:val="24"/>
          <w:szCs w:val="24"/>
          <w:highlight w:val="none"/>
        </w:rPr>
      </w:pPr>
    </w:p>
    <w:p w14:paraId="645B1C72">
      <w:pPr>
        <w:spacing w:line="360" w:lineRule="auto"/>
        <w:rPr>
          <w:rFonts w:hint="eastAsia" w:asciiTheme="minorEastAsia" w:hAnsiTheme="minorEastAsia" w:eastAsiaTheme="minorEastAsia" w:cstheme="minorEastAsia"/>
          <w:color w:val="auto"/>
          <w:sz w:val="24"/>
          <w:szCs w:val="24"/>
          <w:highlight w:val="none"/>
        </w:rPr>
      </w:pPr>
    </w:p>
    <w:p w14:paraId="072748ED">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担保人：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69A47A5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31BB439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p>
    <w:p w14:paraId="3E39E85C">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p>
    <w:p w14:paraId="40C8ED6E">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p>
    <w:p w14:paraId="310884D6">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p>
    <w:p w14:paraId="054AF8EA">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p>
    <w:p w14:paraId="3A3A725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附</w:t>
      </w:r>
      <w:bookmarkStart w:id="1516" w:name="_Toc296944572"/>
      <w:bookmarkStart w:id="1517" w:name="_Toc296503233"/>
      <w:bookmarkStart w:id="1518" w:name="_Toc296347232"/>
      <w:bookmarkStart w:id="1519" w:name="_Toc296346734"/>
      <w:bookmarkStart w:id="1520" w:name="_Toc296891061"/>
      <w:bookmarkStart w:id="1521" w:name="_Toc296891273"/>
      <w:r>
        <w:rPr>
          <w:rFonts w:hint="eastAsia" w:asciiTheme="minorEastAsia" w:hAnsiTheme="minorEastAsia" w:eastAsiaTheme="minorEastAsia" w:cstheme="minorEastAsia"/>
          <w:color w:val="auto"/>
          <w:sz w:val="24"/>
          <w:szCs w:val="24"/>
          <w:highlight w:val="none"/>
        </w:rPr>
        <w:t xml:space="preserve">件10:  </w:t>
      </w:r>
    </w:p>
    <w:bookmarkEnd w:id="1516"/>
    <w:bookmarkEnd w:id="1517"/>
    <w:bookmarkEnd w:id="1518"/>
    <w:bookmarkEnd w:id="1519"/>
    <w:bookmarkEnd w:id="1520"/>
    <w:bookmarkEnd w:id="1521"/>
    <w:p w14:paraId="3CCEDA98">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支付担保</w:t>
      </w:r>
    </w:p>
    <w:p w14:paraId="6779768D">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（承包人）：</w:t>
      </w:r>
    </w:p>
    <w:p w14:paraId="3A60BB95">
      <w:pPr>
        <w:spacing w:line="440" w:lineRule="exact"/>
        <w:jc w:val="left"/>
        <w:rPr>
          <w:rFonts w:hint="eastAsia" w:asciiTheme="minorEastAsia" w:hAnsiTheme="minorEastAsia" w:eastAsiaTheme="minorEastAsia" w:cstheme="minorEastAsia"/>
          <w:color w:val="auto"/>
          <w:sz w:val="24"/>
          <w:szCs w:val="24"/>
          <w:highlight w:val="none"/>
        </w:rPr>
      </w:pPr>
    </w:p>
    <w:p w14:paraId="2A27C93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鉴于你方作为承包人已经与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（发包人名称）（以下称“发包人”）于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日签订了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（工程名称）《建设工程施工合同》（以下称“主合同”），应发包人的申请，我方愿就发包人履行主合同约定的工程款支付义务以保证的方式向你方提供如下担保：</w:t>
      </w:r>
    </w:p>
    <w:p w14:paraId="37A26C10">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一、保证的范围及保证金额</w:t>
      </w:r>
    </w:p>
    <w:p w14:paraId="1A5FA6FE">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我方的保证范围是主合同约定的工程款。</w:t>
      </w:r>
    </w:p>
    <w:p w14:paraId="428F920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本保函所称主合同约定的工程款是指主合同约定的除工程质量保证金以外的合同价款。</w:t>
      </w:r>
    </w:p>
    <w:p w14:paraId="58A840F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我方保证的金额是主合同约定的工程款的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%，数额最高不超过人民币元（大写：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A89A655">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二、保证的方式及保证期间</w:t>
      </w:r>
    </w:p>
    <w:p w14:paraId="38DC7A5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我方保证的方式为：连带责任保证。</w:t>
      </w:r>
    </w:p>
    <w:p w14:paraId="34104D41">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我方保证的期间为：自本合同生效之日起至主合同约定的工程款支付完毕之日后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w:t>
      </w:r>
    </w:p>
    <w:p w14:paraId="02D44A8B">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你方与发包人协议变更工程款支付日期的，经我方书面同意后，保证期间按照变更后的支付日期做相应调整。</w:t>
      </w:r>
    </w:p>
    <w:p w14:paraId="4D651DF4">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三、承担保证责任的形式</w:t>
      </w:r>
    </w:p>
    <w:p w14:paraId="2570CE72">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我方承担保证责任的形式是代为支付。发包人未按主合同约定向你方支付工程款的，由我方在保证金额内代为支付。</w:t>
      </w:r>
    </w:p>
    <w:p w14:paraId="4A808E3A">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四、代偿的安排</w:t>
      </w:r>
    </w:p>
    <w:p w14:paraId="12F482C0">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1588D3E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CEEDB6F">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我方收到你方的书面索赔通知及相应的证明材料后</w:t>
      </w: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rPr>
        <w:t>天内无条件支付。</w:t>
      </w:r>
    </w:p>
    <w:p w14:paraId="776EA0C0">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五、保证责任的解除</w:t>
      </w:r>
    </w:p>
    <w:p w14:paraId="1B148B6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在本保函承诺的保证期间内，你方未书面向我方主张保证责任的，自保证期间届满次日起，我方保证责任解除。</w:t>
      </w:r>
    </w:p>
    <w:p w14:paraId="37F07775">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发包人按主合同约定履行了工程款的全部支付义务的，自本保函承诺的保证期间届满次日起，我方保证责任解除。</w:t>
      </w:r>
    </w:p>
    <w:p w14:paraId="6AB6C564">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我方按照本保函向你方履行保证责任所支付金额达到本保函保证金额时，自我方向你方支付（支付款项从我方账户划出）之日起，保证责任即解除。</w:t>
      </w:r>
    </w:p>
    <w:p w14:paraId="0A489685">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按照法律法规的规定或出现应解除我方保证责任的其他情形的，我方在本保函项下的保证责任亦解除。</w:t>
      </w:r>
    </w:p>
    <w:p w14:paraId="4BE775D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我方解除保证责任后，你方应自我方保证责任解除之日起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个工作日内，将本保函原件返还我方。</w:t>
      </w:r>
    </w:p>
    <w:p w14:paraId="6B8A1465">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六、免责条款</w:t>
      </w:r>
    </w:p>
    <w:p w14:paraId="7456FB72">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因你方违约致使发包人不能履行义务的，我方不承担保证责任。</w:t>
      </w:r>
    </w:p>
    <w:p w14:paraId="655E89F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依照法律法规的规定或你方与发包人的另行约定，免除发包人部分或全部义务的，我方亦免除其相应的保证责任。</w:t>
      </w:r>
    </w:p>
    <w:p w14:paraId="23F83E31">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8DE3BB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因不可抗力造成发包人不能履行义务的，我方不承担保证责任。</w:t>
      </w:r>
    </w:p>
    <w:p w14:paraId="13C017B8">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七、争议解决</w:t>
      </w:r>
    </w:p>
    <w:p w14:paraId="1DAB2F8B">
      <w:pPr>
        <w:spacing w:after="120" w:afterLines="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因本保函或本保函相关事项发生的纠纷，可由双方协商解决，协商不成的，按下列第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种方式解决：</w:t>
      </w:r>
    </w:p>
    <w:p w14:paraId="436A011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仲裁委员会申请仲裁；</w:t>
      </w:r>
    </w:p>
    <w:p w14:paraId="1F3FC9E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人民法院起诉。</w:t>
      </w:r>
    </w:p>
    <w:p w14:paraId="001E6AB8">
      <w:pPr>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八、保函的生效</w:t>
      </w:r>
    </w:p>
    <w:p w14:paraId="1552713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本保函自我方法定代表人（或其授权代理人）签字并加盖公章之日起生效。</w:t>
      </w:r>
    </w:p>
    <w:p w14:paraId="5214DCF8">
      <w:pPr>
        <w:spacing w:line="360" w:lineRule="auto"/>
        <w:ind w:right="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担保人：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（盖章）</w:t>
      </w:r>
    </w:p>
    <w:p w14:paraId="7FA73A32">
      <w:pPr>
        <w:spacing w:line="360" w:lineRule="auto"/>
        <w:ind w:right="1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6E68A455">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5CEE69E8">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36B7C2A0">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32ADB079">
      <w:pPr>
        <w:spacing w:line="360" w:lineRule="auto"/>
        <w:ind w:right="15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703F113">
      <w:pPr>
        <w:spacing w:line="440" w:lineRule="exac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522" w:name="_Toc29171"/>
      <w:r>
        <w:rPr>
          <w:rFonts w:hint="eastAsia" w:asciiTheme="minorEastAsia" w:hAnsiTheme="minorEastAsia" w:eastAsiaTheme="minorEastAsia" w:cstheme="minorEastAsia"/>
          <w:color w:val="auto"/>
          <w:sz w:val="24"/>
          <w:szCs w:val="24"/>
          <w:highlight w:val="none"/>
        </w:rPr>
        <w:t>附件11：</w:t>
      </w:r>
      <w:bookmarkEnd w:id="1522"/>
    </w:p>
    <w:p w14:paraId="5383FE53">
      <w:pPr>
        <w:spacing w:before="156" w:beforeLines="50" w:after="156" w:afterLines="50" w:line="440" w:lineRule="exact"/>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11-1：材料暂估价表</w:t>
      </w:r>
    </w:p>
    <w:tbl>
      <w:tblPr>
        <w:tblStyle w:val="3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55BD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876971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3909FB5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32B098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DD8819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34F72E7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6D61167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合价（元）</w:t>
            </w:r>
          </w:p>
        </w:tc>
        <w:tc>
          <w:tcPr>
            <w:tcW w:w="1701" w:type="dxa"/>
            <w:tcBorders>
              <w:top w:val="single" w:color="auto" w:sz="12" w:space="0"/>
              <w:bottom w:val="double" w:color="auto" w:sz="6" w:space="0"/>
            </w:tcBorders>
            <w:noWrap w:val="0"/>
            <w:vAlign w:val="top"/>
          </w:tcPr>
          <w:p w14:paraId="292ACE6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备注</w:t>
            </w:r>
          </w:p>
        </w:tc>
      </w:tr>
      <w:tr w14:paraId="749BA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FDD157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58C6702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A9D5E4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4E8BC2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193A3A6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3388A3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tcBorders>
              <w:top w:val="double" w:color="auto" w:sz="6" w:space="0"/>
              <w:bottom w:val="single" w:color="auto" w:sz="6" w:space="0"/>
            </w:tcBorders>
            <w:noWrap w:val="0"/>
            <w:vAlign w:val="top"/>
          </w:tcPr>
          <w:p w14:paraId="2F43222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6F25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4113DC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nil"/>
            </w:tcBorders>
            <w:noWrap w:val="0"/>
            <w:vAlign w:val="top"/>
          </w:tcPr>
          <w:p w14:paraId="7E15973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top"/>
          </w:tcPr>
          <w:p w14:paraId="1871411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tcBorders>
              <w:top w:val="nil"/>
            </w:tcBorders>
            <w:noWrap w:val="0"/>
            <w:vAlign w:val="top"/>
          </w:tcPr>
          <w:p w14:paraId="48877D1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tcBorders>
              <w:top w:val="nil"/>
            </w:tcBorders>
            <w:noWrap w:val="0"/>
            <w:vAlign w:val="top"/>
          </w:tcPr>
          <w:p w14:paraId="006016C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nil"/>
            </w:tcBorders>
            <w:noWrap w:val="0"/>
            <w:vAlign w:val="top"/>
          </w:tcPr>
          <w:p w14:paraId="7C8AE8D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tcBorders>
              <w:top w:val="nil"/>
            </w:tcBorders>
            <w:noWrap w:val="0"/>
            <w:vAlign w:val="top"/>
          </w:tcPr>
          <w:p w14:paraId="02297D8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D9FD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739CB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044A7C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444D6A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310F60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7AFBBBD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55480E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E86FE0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97DF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CE27B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22C8D8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B56852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E43FF0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F58CE6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6D63E8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22206F4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D65B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48994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4A5700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B4E996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F98F34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545CD9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2A98C7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5E4C9E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B692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3AE19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C783B8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4D3004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5A88597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6B3DDE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9B176B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0904E12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D8BB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716AE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1866A3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798EC6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CED3F2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12C1220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C18123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12F292E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C788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53F3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8AF881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FA8672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18A497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01719C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BCCEEF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6EA3079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EF2F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1B8CC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51677B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B270DE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5284826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799975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3425EB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5952169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8B04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4469D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6A3109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725331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B7552B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ACD4A9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794473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203FBAF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6B6B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6933B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19AFFC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6AC689D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B10AEA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0CE9A4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FDB2A9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106D9DA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F8B1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4E299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2DD5F1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EA26AF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B50355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C5261F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5E8E22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2AF9CF5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23ED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4DEDA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F212F6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1E7C7C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730F8C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DBDED9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58F3DD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682B45F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3430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51231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009F3B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14CAA0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0445C8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B213DF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7F896AE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6412C2F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380D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5291D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93CF55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1E53C9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F3908B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BA8F20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73AFE37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063B85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7050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950FD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1F6DC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7777C2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8C4317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16E3160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801ADE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62EA37E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DA68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2DCF3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17231F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CC77F9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DBBA45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49A69B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AA4A57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115F7AE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5580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00EE9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6AEF69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14CF9C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2A954B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33BE76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B628FA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2E8B05C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528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D6361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61E07B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6B8602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C1BAC0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C6DE26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DCCC88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692B751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3AB0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BC1CF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82FA28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9C103A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09014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1701C69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CB0158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6C5EDAB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4FA9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387F1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FE73FD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4D114CE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871833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24BE76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9D2CE5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19465BE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9839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806C3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203966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E9676B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D9379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D62D81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82DED6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625ABD1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24C1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6B93D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4500AC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A06D8D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1D56B0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4798DD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4355C2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4092092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CA56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B79FC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8B4227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8BD6F4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1704F6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2AFD20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731C54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45ACCD5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5952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94D8D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261B6B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58EA32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DBE57C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1C1B54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091E622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E3777A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bl>
    <w:p w14:paraId="1D22724E">
      <w:pPr>
        <w:spacing w:before="156" w:beforeLines="50" w:after="156" w:afterLines="50" w:line="440" w:lineRule="exact"/>
        <w:rPr>
          <w:rFonts w:hint="eastAsia" w:asciiTheme="minorEastAsia" w:hAnsiTheme="minorEastAsia" w:eastAsiaTheme="minorEastAsia" w:cstheme="minorEastAsia"/>
          <w:color w:val="auto"/>
          <w:sz w:val="24"/>
          <w:szCs w:val="24"/>
          <w:highlight w:val="none"/>
        </w:rPr>
      </w:pPr>
    </w:p>
    <w:p w14:paraId="49108E61">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p>
    <w:p w14:paraId="1C3772FB">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11-2：工程设备暂估价表</w:t>
      </w:r>
    </w:p>
    <w:tbl>
      <w:tblPr>
        <w:tblStyle w:val="3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F783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A0BA6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5F900A3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055BAC7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AF94FC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70C7549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057F434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合价（元）</w:t>
            </w:r>
          </w:p>
        </w:tc>
        <w:tc>
          <w:tcPr>
            <w:tcW w:w="1701" w:type="dxa"/>
            <w:tcBorders>
              <w:top w:val="single" w:color="auto" w:sz="12" w:space="0"/>
              <w:bottom w:val="double" w:color="auto" w:sz="6" w:space="0"/>
            </w:tcBorders>
            <w:noWrap w:val="0"/>
            <w:vAlign w:val="top"/>
          </w:tcPr>
          <w:p w14:paraId="4A95C02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备注</w:t>
            </w:r>
          </w:p>
        </w:tc>
      </w:tr>
      <w:tr w14:paraId="33E8C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0F26F3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7904D2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515795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0EE4FFD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0DE95D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C7A069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tcBorders>
              <w:top w:val="double" w:color="auto" w:sz="6" w:space="0"/>
              <w:bottom w:val="single" w:color="auto" w:sz="6" w:space="0"/>
            </w:tcBorders>
            <w:noWrap w:val="0"/>
            <w:vAlign w:val="top"/>
          </w:tcPr>
          <w:p w14:paraId="6B7DDE4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DCC2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12D132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nil"/>
            </w:tcBorders>
            <w:noWrap w:val="0"/>
            <w:vAlign w:val="top"/>
          </w:tcPr>
          <w:p w14:paraId="3492AC3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tcBorders>
              <w:top w:val="nil"/>
            </w:tcBorders>
            <w:noWrap w:val="0"/>
            <w:vAlign w:val="top"/>
          </w:tcPr>
          <w:p w14:paraId="35B1B8C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tcBorders>
              <w:top w:val="nil"/>
            </w:tcBorders>
            <w:noWrap w:val="0"/>
            <w:vAlign w:val="top"/>
          </w:tcPr>
          <w:p w14:paraId="5A8865F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tcBorders>
              <w:top w:val="nil"/>
            </w:tcBorders>
            <w:noWrap w:val="0"/>
            <w:vAlign w:val="top"/>
          </w:tcPr>
          <w:p w14:paraId="2D6DCF3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tcBorders>
              <w:top w:val="nil"/>
            </w:tcBorders>
            <w:noWrap w:val="0"/>
            <w:vAlign w:val="top"/>
          </w:tcPr>
          <w:p w14:paraId="01AD546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tcBorders>
              <w:top w:val="nil"/>
            </w:tcBorders>
            <w:noWrap w:val="0"/>
            <w:vAlign w:val="top"/>
          </w:tcPr>
          <w:p w14:paraId="79AD44D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87D6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2420985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00BBEF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2FB996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FBF9BC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0ED48A7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F185BB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3BF3FC3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1E2D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704459B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FFB38C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A3440D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715260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374385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E4C96C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02FE66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C334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A3D78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865E0C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AF062F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24C65A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EB5A54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AA0919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0B337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7369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5E5FF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3C794C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9BEA49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8E21F4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99BA4A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31E76D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0A2C84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6BB5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9D0B0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88950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80471E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803F93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D3E5CE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9E56F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50AD4FE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E1C5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167F1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3B4838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6289A46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585B00E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FE42E5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DA4641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519599B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ECCA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819C4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B42B01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F9BCDB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78109B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902104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A83EFB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23F0469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1932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794D4F4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724338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82E683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9CDAF7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67EB10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2CCE96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2DE7CC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C6EE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C6EC8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0051DB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B4A2BF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F6423E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8E3178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7F4A5F2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E8CFAF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98FD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D5DD0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818F28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594CDE3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69D4EF5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56EAB00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35B62DA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191ECA4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4FA7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1B3C7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4B33B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1D722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17C3B4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713FD0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E431EF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34CCF79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262B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AB76F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FE978B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50D885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AB8D9B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7C67236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237833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0E4015E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A44A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40F29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88CE86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72B51D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BCA22D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4009E8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077FA2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613BB60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AF44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3019C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C1C16B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00DE755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3F54913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A58654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A146B3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4F8FB63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0B8D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100F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EAF091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68622B9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0C94CF1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ADAFED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4C69173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283C62F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4969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40666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F49806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61DE2B6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596C102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7E7D059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6DD2730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258000B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3541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A2665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87F9F7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836D72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AF5357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4B47B49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968CA0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766E869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752E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C21E3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82FBBA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70D3F1E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2665950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7153937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7746EAE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158049F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201A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6EA95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3D0F22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289CBB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E45188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6502389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7E5C3BF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3ABCF5C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1D4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0A2C78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87114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1DD634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97E84A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616B05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50FE6B1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4895526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FD4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342BC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A08B73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27F3615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1ED7CB3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3826508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2AB36D7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25ED3FD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8AAE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A203B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1DC9D5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105A9F6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7D9373D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2B8D4B2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65EB0B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3B7FCF5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BCC6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4027A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E25349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851" w:type="dxa"/>
            <w:noWrap w:val="0"/>
            <w:vAlign w:val="top"/>
          </w:tcPr>
          <w:p w14:paraId="340C669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774" w:type="dxa"/>
            <w:noWrap w:val="0"/>
            <w:vAlign w:val="top"/>
          </w:tcPr>
          <w:p w14:paraId="4369431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352" w:type="dxa"/>
            <w:noWrap w:val="0"/>
            <w:vAlign w:val="top"/>
          </w:tcPr>
          <w:p w14:paraId="7EDCB10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418" w:type="dxa"/>
            <w:noWrap w:val="0"/>
            <w:vAlign w:val="top"/>
          </w:tcPr>
          <w:p w14:paraId="15F0972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701" w:type="dxa"/>
            <w:noWrap w:val="0"/>
            <w:vAlign w:val="top"/>
          </w:tcPr>
          <w:p w14:paraId="15E971E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bl>
    <w:p w14:paraId="454E9E2D">
      <w:pPr>
        <w:spacing w:line="440" w:lineRule="exact"/>
        <w:rPr>
          <w:rFonts w:hint="eastAsia" w:asciiTheme="minorEastAsia" w:hAnsiTheme="minorEastAsia" w:eastAsiaTheme="minorEastAsia" w:cstheme="minorEastAsia"/>
          <w:color w:val="auto"/>
          <w:sz w:val="24"/>
          <w:szCs w:val="24"/>
          <w:highlight w:val="none"/>
        </w:rPr>
      </w:pPr>
    </w:p>
    <w:p w14:paraId="29CE74AA">
      <w:pPr>
        <w:spacing w:before="156" w:beforeLines="50" w:after="156"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11-3：专业工程暂估价表</w:t>
      </w:r>
    </w:p>
    <w:tbl>
      <w:tblPr>
        <w:tblStyle w:val="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7A4B5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304242B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075DAD1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专业工程名称</w:t>
            </w:r>
          </w:p>
        </w:tc>
        <w:tc>
          <w:tcPr>
            <w:tcW w:w="4678" w:type="dxa"/>
            <w:tcBorders>
              <w:top w:val="single" w:color="auto" w:sz="12" w:space="0"/>
              <w:bottom w:val="double" w:color="auto" w:sz="6" w:space="0"/>
            </w:tcBorders>
            <w:noWrap w:val="0"/>
            <w:vAlign w:val="top"/>
          </w:tcPr>
          <w:p w14:paraId="621D6AB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工程内容</w:t>
            </w:r>
          </w:p>
        </w:tc>
        <w:tc>
          <w:tcPr>
            <w:tcW w:w="1276" w:type="dxa"/>
            <w:tcBorders>
              <w:top w:val="single" w:color="auto" w:sz="12" w:space="0"/>
              <w:bottom w:val="double" w:color="auto" w:sz="6" w:space="0"/>
            </w:tcBorders>
            <w:noWrap w:val="0"/>
            <w:vAlign w:val="top"/>
          </w:tcPr>
          <w:p w14:paraId="2AB6B3C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金额</w:t>
            </w:r>
          </w:p>
        </w:tc>
      </w:tr>
      <w:tr w14:paraId="091EE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1772A0F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D2B7DB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tcBorders>
              <w:top w:val="double" w:color="auto" w:sz="6" w:space="0"/>
              <w:bottom w:val="single" w:color="auto" w:sz="6" w:space="0"/>
            </w:tcBorders>
            <w:noWrap w:val="0"/>
            <w:vAlign w:val="top"/>
          </w:tcPr>
          <w:p w14:paraId="61F7E9C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top"/>
          </w:tcPr>
          <w:p w14:paraId="55F971A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10E1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42E84E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nil"/>
            </w:tcBorders>
            <w:noWrap w:val="0"/>
            <w:vAlign w:val="top"/>
          </w:tcPr>
          <w:p w14:paraId="14BE730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tcBorders>
              <w:top w:val="nil"/>
            </w:tcBorders>
            <w:noWrap w:val="0"/>
            <w:vAlign w:val="top"/>
          </w:tcPr>
          <w:p w14:paraId="4F50DE4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tcBorders>
              <w:top w:val="nil"/>
            </w:tcBorders>
            <w:noWrap w:val="0"/>
            <w:vAlign w:val="top"/>
          </w:tcPr>
          <w:p w14:paraId="6911EDC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18644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0E614E1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tcBorders>
              <w:top w:val="nil"/>
            </w:tcBorders>
            <w:noWrap w:val="0"/>
            <w:vAlign w:val="top"/>
          </w:tcPr>
          <w:p w14:paraId="6589E44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tcBorders>
              <w:top w:val="nil"/>
            </w:tcBorders>
            <w:noWrap w:val="0"/>
            <w:vAlign w:val="top"/>
          </w:tcPr>
          <w:p w14:paraId="55A2676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tcBorders>
              <w:top w:val="nil"/>
            </w:tcBorders>
            <w:noWrap w:val="0"/>
            <w:vAlign w:val="top"/>
          </w:tcPr>
          <w:p w14:paraId="76F42D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17E4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B40E1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82B4EF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4797115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4A831C4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45C7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26D563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118DAD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0E92883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090E84A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D457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DD101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8C6D9D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512EC9C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3794893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E898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CF1C93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B1D95F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01273CC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1054FB9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B584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110554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58B772A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093AE62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234081A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DABF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953095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25CBF5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48BE28F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23CBEA9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ED3A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4CF31E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CC172B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613F0E6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33AD1A3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9DE9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FA6FB0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65C0CEA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7531FAC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7D67E38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F75B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F88E9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AE5675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04AEDD7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260B28F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4759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871252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6AC989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5A48813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3DCDBB1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0614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70A1ED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0E6E07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703EF3EC">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79CA5C8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8346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C72627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350D53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5C28A9C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6000C55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8E01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084DB8E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547CA5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6AB0651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63F58B5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538EE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C23E29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C31E2A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72F3FA7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615A966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933E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0C9E38B">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E77404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2343F92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1E66E14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50BE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25B12C7">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22F76C1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3F61C84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7A5A874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5A14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03282B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9DB7AE3">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472FF65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665D84D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26F8C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DC07F5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012D87B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43F3501A">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5A114F2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4F575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9CA955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F39236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654B912E">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711458C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7A58C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5AB17E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1FB6347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08630D66">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6069E39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6FFDA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2192112">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726A42E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02D6853D">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097E8035">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C232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DB5EAA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45FF71D0">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2F2BDEF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35E81704">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3566C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7DB178">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984" w:type="dxa"/>
            <w:noWrap w:val="0"/>
            <w:vAlign w:val="top"/>
          </w:tcPr>
          <w:p w14:paraId="3C8C3AAF">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4678" w:type="dxa"/>
            <w:noWrap w:val="0"/>
            <w:vAlign w:val="top"/>
          </w:tcPr>
          <w:p w14:paraId="7D25F5A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c>
          <w:tcPr>
            <w:tcW w:w="1276" w:type="dxa"/>
            <w:noWrap w:val="0"/>
            <w:vAlign w:val="top"/>
          </w:tcPr>
          <w:p w14:paraId="05155301">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p>
        </w:tc>
      </w:tr>
      <w:tr w14:paraId="04392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3CFDE069">
            <w:pPr>
              <w:pStyle w:val="13"/>
              <w:keepNext/>
              <w:spacing w:after="0" w:afterLines="0" w:line="440" w:lineRule="exact"/>
              <w:ind w:left="63" w:right="6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小计：</w:t>
            </w:r>
          </w:p>
        </w:tc>
      </w:tr>
    </w:tbl>
    <w:p w14:paraId="2B17A4E8">
      <w:pPr>
        <w:rPr>
          <w:rFonts w:hint="eastAsia" w:asciiTheme="minorEastAsia" w:hAnsiTheme="minorEastAsia" w:eastAsiaTheme="minorEastAsia" w:cstheme="minorEastAsia"/>
          <w:color w:val="auto"/>
          <w:sz w:val="24"/>
          <w:szCs w:val="24"/>
          <w:highlight w:val="none"/>
        </w:rPr>
      </w:pPr>
    </w:p>
    <w:p w14:paraId="0CB3A144">
      <w:pP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br w:type="page"/>
      </w:r>
    </w:p>
    <w:p w14:paraId="35AEE4EE">
      <w:pPr>
        <w:pStyle w:val="2"/>
        <w:numPr>
          <w:ilvl w:val="0"/>
          <w:numId w:val="0"/>
        </w:numPr>
        <w:tabs>
          <w:tab w:val="clear" w:pos="360"/>
        </w:tabs>
        <w:bidi w:val="0"/>
        <w:ind w:left="360" w:leftChars="0" w:hanging="360" w:firstLineChars="0"/>
        <w:jc w:val="center"/>
        <w:rPr>
          <w:rFonts w:hint="eastAsia" w:ascii="Times New Roman" w:hAnsi="Times New Roman" w:eastAsia="宋体" w:cs="Times New Roman"/>
          <w:color w:val="auto"/>
          <w:highlight w:val="none"/>
        </w:rPr>
      </w:pPr>
      <w:bookmarkStart w:id="1523" w:name="_Toc26537"/>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52"/>
      <w:bookmarkEnd w:id="1523"/>
    </w:p>
    <w:p w14:paraId="1191439F">
      <w:pPr>
        <w:spacing w:line="360" w:lineRule="auto"/>
        <w:jc w:val="center"/>
        <w:rPr>
          <w:rFonts w:hint="eastAsia"/>
          <w:b/>
          <w:color w:val="auto"/>
          <w:highlight w:val="none"/>
        </w:rPr>
      </w:pPr>
    </w:p>
    <w:p w14:paraId="0CDBF758">
      <w:pPr>
        <w:spacing w:line="360" w:lineRule="auto"/>
        <w:jc w:val="center"/>
        <w:rPr>
          <w:rFonts w:hint="eastAsia"/>
          <w:b/>
          <w:color w:val="auto"/>
          <w:highlight w:val="none"/>
        </w:rPr>
      </w:pPr>
    </w:p>
    <w:p w14:paraId="6DAC9081">
      <w:pPr>
        <w:spacing w:line="360" w:lineRule="auto"/>
        <w:jc w:val="center"/>
        <w:rPr>
          <w:rFonts w:hint="eastAsia"/>
          <w:b/>
          <w:color w:val="auto"/>
          <w:highlight w:val="none"/>
        </w:rPr>
      </w:pPr>
    </w:p>
    <w:p w14:paraId="1030A525">
      <w:pPr>
        <w:spacing w:line="360" w:lineRule="auto"/>
        <w:jc w:val="center"/>
        <w:rPr>
          <w:rFonts w:hint="eastAsia"/>
          <w:b/>
          <w:color w:val="auto"/>
          <w:highlight w:val="none"/>
        </w:rPr>
      </w:pPr>
    </w:p>
    <w:p w14:paraId="69BB3A55">
      <w:pPr>
        <w:spacing w:line="360" w:lineRule="auto"/>
        <w:jc w:val="center"/>
        <w:rPr>
          <w:rFonts w:hint="eastAsia"/>
          <w:b/>
          <w:bCs/>
          <w:color w:val="auto"/>
          <w:sz w:val="28"/>
          <w:szCs w:val="28"/>
          <w:highlight w:val="none"/>
        </w:rPr>
      </w:pPr>
      <w:r>
        <w:rPr>
          <w:rFonts w:hint="eastAsia"/>
          <w:b/>
          <w:bCs/>
          <w:color w:val="auto"/>
          <w:sz w:val="28"/>
          <w:szCs w:val="28"/>
          <w:highlight w:val="none"/>
          <w:lang w:eastAsia="zh-CN"/>
        </w:rPr>
        <w:t>新疆维吾尔自治区某厅某单位路面修缮项目（二次）</w:t>
      </w:r>
    </w:p>
    <w:p w14:paraId="60D91E1C">
      <w:pPr>
        <w:spacing w:line="360" w:lineRule="auto"/>
        <w:jc w:val="center"/>
        <w:rPr>
          <w:rFonts w:hint="eastAsia"/>
          <w:b/>
          <w:bCs/>
          <w:color w:val="auto"/>
          <w:sz w:val="28"/>
          <w:szCs w:val="28"/>
          <w:highlight w:val="none"/>
        </w:rPr>
      </w:pPr>
      <w:r>
        <w:rPr>
          <w:rFonts w:hint="eastAsia"/>
          <w:b/>
          <w:bCs/>
          <w:color w:val="auto"/>
          <w:sz w:val="28"/>
          <w:szCs w:val="28"/>
          <w:highlight w:val="none"/>
        </w:rPr>
        <w:t>报价响应文件</w:t>
      </w:r>
    </w:p>
    <w:p w14:paraId="04650D24">
      <w:pPr>
        <w:spacing w:line="360" w:lineRule="auto"/>
        <w:ind w:firstLine="480"/>
        <w:rPr>
          <w:rFonts w:hint="eastAsia"/>
          <w:color w:val="auto"/>
          <w:sz w:val="28"/>
          <w:szCs w:val="28"/>
          <w:highlight w:val="none"/>
        </w:rPr>
      </w:pPr>
    </w:p>
    <w:p w14:paraId="33B5BFF2">
      <w:pPr>
        <w:spacing w:line="360" w:lineRule="auto"/>
        <w:ind w:firstLine="480"/>
        <w:rPr>
          <w:rFonts w:hint="eastAsia"/>
          <w:color w:val="auto"/>
          <w:sz w:val="28"/>
          <w:szCs w:val="28"/>
          <w:highlight w:val="none"/>
        </w:rPr>
      </w:pPr>
    </w:p>
    <w:p w14:paraId="5E9184A6">
      <w:pPr>
        <w:spacing w:line="360" w:lineRule="auto"/>
        <w:ind w:firstLine="480"/>
        <w:rPr>
          <w:rFonts w:hint="eastAsia"/>
          <w:color w:val="auto"/>
          <w:sz w:val="28"/>
          <w:szCs w:val="28"/>
          <w:highlight w:val="none"/>
        </w:rPr>
      </w:pPr>
    </w:p>
    <w:p w14:paraId="0F9AB710">
      <w:pPr>
        <w:spacing w:line="360" w:lineRule="auto"/>
        <w:ind w:firstLine="480"/>
        <w:rPr>
          <w:rFonts w:hint="eastAsia"/>
          <w:color w:val="auto"/>
          <w:sz w:val="28"/>
          <w:szCs w:val="28"/>
          <w:highlight w:val="none"/>
        </w:rPr>
      </w:pPr>
    </w:p>
    <w:p w14:paraId="3D6DA3B9">
      <w:pPr>
        <w:spacing w:line="360" w:lineRule="auto"/>
        <w:ind w:firstLine="480"/>
        <w:rPr>
          <w:rFonts w:hint="eastAsia"/>
          <w:color w:val="auto"/>
          <w:sz w:val="28"/>
          <w:szCs w:val="28"/>
          <w:highlight w:val="none"/>
        </w:rPr>
      </w:pPr>
    </w:p>
    <w:p w14:paraId="322ED1EA">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rPr>
        <w:t>项目编号：</w:t>
      </w:r>
    </w:p>
    <w:p w14:paraId="4937D274">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供应商</w:t>
      </w:r>
      <w:r>
        <w:rPr>
          <w:rFonts w:hint="eastAsia"/>
          <w:b/>
          <w:bCs/>
          <w:color w:val="auto"/>
          <w:sz w:val="28"/>
          <w:szCs w:val="28"/>
          <w:highlight w:val="none"/>
        </w:rPr>
        <w:t>名称：</w:t>
      </w:r>
    </w:p>
    <w:p w14:paraId="51217320">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响应</w:t>
      </w:r>
      <w:r>
        <w:rPr>
          <w:rFonts w:hint="eastAsia"/>
          <w:b/>
          <w:bCs/>
          <w:color w:val="auto"/>
          <w:sz w:val="28"/>
          <w:szCs w:val="28"/>
          <w:highlight w:val="none"/>
        </w:rPr>
        <w:t>单位联系人：</w:t>
      </w:r>
    </w:p>
    <w:p w14:paraId="0B4A6C51">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响应</w:t>
      </w:r>
      <w:r>
        <w:rPr>
          <w:rFonts w:hint="eastAsia"/>
          <w:b/>
          <w:bCs/>
          <w:color w:val="auto"/>
          <w:sz w:val="28"/>
          <w:szCs w:val="28"/>
          <w:highlight w:val="none"/>
        </w:rPr>
        <w:t>单位联系电话：</w:t>
      </w:r>
    </w:p>
    <w:p w14:paraId="412A2329">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rPr>
        <w:t>二〇  年  月</w:t>
      </w:r>
    </w:p>
    <w:p w14:paraId="0893BD88">
      <w:pPr>
        <w:rPr>
          <w:rFonts w:hint="eastAsia"/>
          <w:b/>
          <w:color w:val="auto"/>
          <w:highlight w:val="none"/>
        </w:rPr>
      </w:pPr>
      <w:r>
        <w:rPr>
          <w:rFonts w:hint="eastAsia"/>
          <w:b/>
          <w:color w:val="auto"/>
          <w:highlight w:val="none"/>
        </w:rPr>
        <w:br w:type="page"/>
      </w:r>
    </w:p>
    <w:p w14:paraId="2ED90E1D">
      <w:pPr>
        <w:outlineLvl w:val="9"/>
        <w:rPr>
          <w:rFonts w:hint="eastAsia" w:ascii="宋体" w:hAnsi="宋体" w:eastAsia="宋体" w:cs="宋体"/>
          <w:b/>
          <w:color w:val="auto"/>
          <w:sz w:val="24"/>
          <w:szCs w:val="24"/>
          <w:highlight w:val="none"/>
        </w:rPr>
      </w:pPr>
      <w:bookmarkStart w:id="1524" w:name="_Toc7137"/>
      <w:r>
        <w:rPr>
          <w:rFonts w:hint="eastAsia" w:ascii="宋体" w:hAnsi="宋体" w:eastAsia="宋体" w:cs="宋体"/>
          <w:b/>
          <w:color w:val="auto"/>
          <w:sz w:val="24"/>
          <w:szCs w:val="24"/>
          <w:highlight w:val="none"/>
        </w:rPr>
        <w:t>（一）报价要求响应文件</w:t>
      </w:r>
      <w:bookmarkEnd w:id="1524"/>
    </w:p>
    <w:p w14:paraId="57FF3D5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磋商一览表（附件1-1）</w:t>
      </w:r>
    </w:p>
    <w:p w14:paraId="7B82CDB6">
      <w:pPr>
        <w:spacing w:line="360" w:lineRule="auto"/>
        <w:ind w:firstLine="240" w:firstLineChars="100"/>
        <w:rPr>
          <w:rFonts w:hint="eastAsia" w:ascii="宋体" w:hAnsi="宋体" w:eastAsia="宋体" w:cs="宋体"/>
          <w:color w:val="auto"/>
          <w:sz w:val="24"/>
          <w:szCs w:val="24"/>
          <w:highlight w:val="none"/>
        </w:rPr>
      </w:pPr>
      <w:bookmarkStart w:id="1525" w:name="_Toc19241"/>
    </w:p>
    <w:p w14:paraId="72E4725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磋商一览表</w:t>
      </w:r>
      <w:bookmarkEnd w:id="1525"/>
    </w:p>
    <w:p w14:paraId="3ADAE0CC">
      <w:pPr>
        <w:pStyle w:val="96"/>
        <w:keepNext w:val="0"/>
        <w:keepLines w:val="0"/>
        <w:pageBreakBefore w:val="0"/>
        <w:kinsoku/>
        <w:wordWrap/>
        <w:overflowPunct/>
        <w:topLinePunct w:val="0"/>
        <w:bidi w:val="0"/>
        <w:snapToGrid/>
        <w:spacing w:line="480" w:lineRule="exact"/>
        <w:ind w:left="185" w:leftChars="-86" w:hanging="391" w:hangingChars="163"/>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1B8719A6">
      <w:pPr>
        <w:pStyle w:val="96"/>
        <w:keepNext w:val="0"/>
        <w:keepLines w:val="0"/>
        <w:pageBreakBefore w:val="0"/>
        <w:kinsoku/>
        <w:wordWrap/>
        <w:overflowPunct/>
        <w:topLinePunct w:val="0"/>
        <w:bidi w:val="0"/>
        <w:snapToGrid/>
        <w:spacing w:line="480" w:lineRule="exact"/>
        <w:ind w:left="185" w:leftChars="-86" w:hanging="391" w:hangingChars="163"/>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3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7010"/>
      </w:tblGrid>
      <w:tr w14:paraId="5FC4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169" w:type="dxa"/>
            <w:tcBorders>
              <w:tl2br w:val="nil"/>
              <w:tr2bl w:val="nil"/>
            </w:tcBorders>
            <w:vAlign w:val="center"/>
          </w:tcPr>
          <w:p w14:paraId="28EFBE49">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标项序号、名称</w:t>
            </w:r>
          </w:p>
        </w:tc>
        <w:tc>
          <w:tcPr>
            <w:tcW w:w="7010" w:type="dxa"/>
            <w:tcBorders>
              <w:tl2br w:val="nil"/>
              <w:tr2bl w:val="nil"/>
            </w:tcBorders>
            <w:vAlign w:val="center"/>
          </w:tcPr>
          <w:p w14:paraId="1063CD37">
            <w:pPr>
              <w:keepNext w:val="0"/>
              <w:keepLines w:val="0"/>
              <w:pageBreakBefore w:val="0"/>
              <w:kinsoku/>
              <w:wordWrap/>
              <w:overflowPunct/>
              <w:topLinePunct w:val="0"/>
              <w:bidi w:val="0"/>
              <w:snapToGrid/>
              <w:spacing w:line="480" w:lineRule="exact"/>
              <w:jc w:val="center"/>
              <w:textAlignment w:val="auto"/>
              <w:rPr>
                <w:rFonts w:hint="default"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含税全包价</w:t>
            </w:r>
          </w:p>
        </w:tc>
      </w:tr>
      <w:tr w14:paraId="6DC3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169" w:type="dxa"/>
            <w:vMerge w:val="restart"/>
            <w:tcBorders>
              <w:tl2br w:val="nil"/>
              <w:tr2bl w:val="nil"/>
            </w:tcBorders>
            <w:vAlign w:val="center"/>
          </w:tcPr>
          <w:p w14:paraId="0E1DB1B4">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r>
              <w:rPr>
                <w:rFonts w:hint="eastAsia" w:cs="宋体"/>
                <w:i w:val="0"/>
                <w:iCs w:val="0"/>
                <w:color w:val="auto"/>
                <w:kern w:val="0"/>
                <w:sz w:val="24"/>
                <w:szCs w:val="24"/>
                <w:highlight w:val="none"/>
                <w:u w:val="none"/>
                <w:lang w:val="en-US" w:eastAsia="zh-CN" w:bidi="ar"/>
              </w:rPr>
              <w:t xml:space="preserve"> 投标报价</w:t>
            </w:r>
          </w:p>
        </w:tc>
        <w:tc>
          <w:tcPr>
            <w:tcW w:w="7010" w:type="dxa"/>
            <w:tcBorders>
              <w:tl2br w:val="nil"/>
              <w:tr2bl w:val="nil"/>
            </w:tcBorders>
            <w:vAlign w:val="center"/>
          </w:tcPr>
          <w:p w14:paraId="243704E2">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w:t>
            </w:r>
          </w:p>
        </w:tc>
      </w:tr>
      <w:tr w14:paraId="18DA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169" w:type="dxa"/>
            <w:vMerge w:val="continue"/>
            <w:tcBorders>
              <w:tl2br w:val="nil"/>
              <w:tr2bl w:val="nil"/>
            </w:tcBorders>
            <w:vAlign w:val="center"/>
          </w:tcPr>
          <w:p w14:paraId="7088701A">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auto"/>
                <w:sz w:val="24"/>
                <w:szCs w:val="24"/>
                <w:highlight w:val="none"/>
              </w:rPr>
            </w:pPr>
          </w:p>
        </w:tc>
        <w:tc>
          <w:tcPr>
            <w:tcW w:w="7010" w:type="dxa"/>
            <w:tcBorders>
              <w:tl2br w:val="nil"/>
              <w:tr2bl w:val="nil"/>
            </w:tcBorders>
            <w:vAlign w:val="center"/>
          </w:tcPr>
          <w:p w14:paraId="3D419ABE">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14:paraId="666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169" w:type="dxa"/>
            <w:tcBorders>
              <w:tl2br w:val="nil"/>
              <w:tr2bl w:val="nil"/>
            </w:tcBorders>
            <w:shd w:val="clear" w:color="auto" w:fill="auto"/>
            <w:vAlign w:val="center"/>
          </w:tcPr>
          <w:p w14:paraId="595BE881">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备注</w:t>
            </w:r>
          </w:p>
        </w:tc>
        <w:tc>
          <w:tcPr>
            <w:tcW w:w="7010" w:type="dxa"/>
            <w:tcBorders>
              <w:tl2br w:val="nil"/>
              <w:tr2bl w:val="nil"/>
            </w:tcBorders>
            <w:shd w:val="clear" w:color="auto" w:fill="auto"/>
            <w:vAlign w:val="center"/>
          </w:tcPr>
          <w:p w14:paraId="1D0D48B2">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按实际工程量结算</w:t>
            </w:r>
            <w:r>
              <w:rPr>
                <w:rFonts w:hint="eastAsia" w:cs="宋体"/>
                <w:color w:val="auto"/>
                <w:sz w:val="24"/>
                <w:szCs w:val="24"/>
                <w:highlight w:val="none"/>
                <w:lang w:eastAsia="zh-CN"/>
              </w:rPr>
              <w:t>。</w:t>
            </w:r>
          </w:p>
        </w:tc>
      </w:tr>
    </w:tbl>
    <w:p w14:paraId="2F00A913">
      <w:pPr>
        <w:pStyle w:val="96"/>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14:paraId="47630CCD">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r>
        <w:rPr>
          <w:rFonts w:hint="eastAsia" w:ascii="宋体" w:hAnsi="宋体" w:eastAsia="宋体" w:cs="宋体"/>
          <w:color w:val="auto"/>
          <w:sz w:val="24"/>
          <w:szCs w:val="24"/>
          <w:highlight w:val="none"/>
          <w:u w:val="single"/>
        </w:rPr>
        <w:t xml:space="preserve">                               </w:t>
      </w:r>
    </w:p>
    <w:p w14:paraId="3DEEF894">
      <w:pPr>
        <w:pStyle w:val="109"/>
        <w:keepNext w:val="0"/>
        <w:keepLines w:val="0"/>
        <w:pageBreakBefore w:val="0"/>
        <w:kinsoku/>
        <w:wordWrap/>
        <w:overflowPunct/>
        <w:topLinePunct w:val="0"/>
        <w:bidi w:val="0"/>
        <w:adjustRightInd/>
        <w:snapToGrid/>
        <w:spacing w:before="0" w:line="48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rPr>
        <w:t>法定代表人或其委托代理人</w:t>
      </w:r>
      <w:r>
        <w:rPr>
          <w:rFonts w:hint="eastAsia" w:cs="宋体"/>
          <w:b w:val="0"/>
          <w:color w:val="auto"/>
          <w:sz w:val="24"/>
          <w:szCs w:val="24"/>
          <w:highlight w:val="none"/>
          <w:lang w:eastAsia="zh-CN"/>
        </w:rPr>
        <w:t>：（</w:t>
      </w:r>
      <w:r>
        <w:rPr>
          <w:rFonts w:hint="eastAsia" w:ascii="宋体" w:hAnsi="宋体" w:eastAsia="宋体" w:cs="宋体"/>
          <w:b w:val="0"/>
          <w:color w:val="auto"/>
          <w:sz w:val="24"/>
          <w:szCs w:val="24"/>
          <w:highlight w:val="none"/>
        </w:rPr>
        <w:t>签字或盖章）</w:t>
      </w:r>
      <w:r>
        <w:rPr>
          <w:rFonts w:hint="eastAsia" w:ascii="宋体" w:hAnsi="宋体" w:eastAsia="宋体" w:cs="宋体"/>
          <w:b w:val="0"/>
          <w:color w:val="auto"/>
          <w:sz w:val="24"/>
          <w:szCs w:val="24"/>
          <w:highlight w:val="none"/>
          <w:u w:val="single"/>
        </w:rPr>
        <w:t xml:space="preserve">                  </w:t>
      </w:r>
    </w:p>
    <w:p w14:paraId="3D75402E">
      <w:pPr>
        <w:pStyle w:val="109"/>
        <w:keepNext w:val="0"/>
        <w:keepLines w:val="0"/>
        <w:pageBreakBefore w:val="0"/>
        <w:kinsoku/>
        <w:wordWrap/>
        <w:overflowPunct/>
        <w:topLinePunct w:val="0"/>
        <w:bidi w:val="0"/>
        <w:adjustRightInd/>
        <w:snapToGrid/>
        <w:spacing w:before="0" w:line="480" w:lineRule="exac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r>
        <w:rPr>
          <w:rFonts w:hint="eastAsia" w:ascii="宋体" w:hAnsi="宋体" w:eastAsia="宋体" w:cs="宋体"/>
          <w:b w:val="0"/>
          <w:bCs w:val="0"/>
          <w:color w:val="auto"/>
          <w:sz w:val="24"/>
          <w:szCs w:val="24"/>
          <w:highlight w:val="none"/>
        </w:rPr>
        <w:br w:type="page"/>
      </w:r>
    </w:p>
    <w:p w14:paraId="1B1A6398">
      <w:pPr>
        <w:pStyle w:val="109"/>
        <w:keepNext w:val="0"/>
        <w:keepLines w:val="0"/>
        <w:pageBreakBefore w:val="0"/>
        <w:widowControl/>
        <w:numPr>
          <w:ilvl w:val="0"/>
          <w:numId w:val="0"/>
        </w:numPr>
        <w:kinsoku/>
        <w:wordWrap/>
        <w:overflowPunct/>
        <w:topLinePunct w:val="0"/>
        <w:autoSpaceDE/>
        <w:autoSpaceDN/>
        <w:bidi w:val="0"/>
        <w:adjustRightInd/>
        <w:snapToGrid/>
        <w:spacing w:before="0" w:line="440" w:lineRule="exact"/>
        <w:textAlignment w:val="auto"/>
        <w:outlineLvl w:val="9"/>
        <w:rPr>
          <w:rFonts w:hint="eastAsia"/>
          <w:b/>
          <w:color w:val="auto"/>
          <w:highlight w:val="none"/>
        </w:rPr>
      </w:pPr>
    </w:p>
    <w:p w14:paraId="5E6B7331">
      <w:pPr>
        <w:spacing w:line="360" w:lineRule="auto"/>
        <w:jc w:val="center"/>
        <w:rPr>
          <w:rFonts w:hint="eastAsia"/>
          <w:b/>
          <w:color w:val="auto"/>
          <w:highlight w:val="none"/>
        </w:rPr>
      </w:pPr>
    </w:p>
    <w:p w14:paraId="5B2F08C0">
      <w:pPr>
        <w:spacing w:line="360" w:lineRule="auto"/>
        <w:jc w:val="center"/>
        <w:rPr>
          <w:rFonts w:hint="eastAsia"/>
          <w:b/>
          <w:color w:val="auto"/>
          <w:highlight w:val="none"/>
        </w:rPr>
      </w:pPr>
    </w:p>
    <w:p w14:paraId="366F8172">
      <w:pPr>
        <w:spacing w:line="360" w:lineRule="auto"/>
        <w:jc w:val="center"/>
        <w:rPr>
          <w:rFonts w:hint="eastAsia"/>
          <w:b/>
          <w:color w:val="auto"/>
          <w:highlight w:val="none"/>
        </w:rPr>
      </w:pPr>
    </w:p>
    <w:p w14:paraId="6EC5C821">
      <w:pPr>
        <w:spacing w:line="360" w:lineRule="auto"/>
        <w:jc w:val="center"/>
        <w:rPr>
          <w:rFonts w:hint="eastAsia"/>
          <w:b/>
          <w:color w:val="auto"/>
          <w:highlight w:val="none"/>
        </w:rPr>
      </w:pPr>
    </w:p>
    <w:p w14:paraId="349B9266">
      <w:pPr>
        <w:spacing w:line="360" w:lineRule="auto"/>
        <w:jc w:val="center"/>
        <w:rPr>
          <w:rFonts w:hint="eastAsia"/>
          <w:b/>
          <w:color w:val="auto"/>
          <w:highlight w:val="none"/>
        </w:rPr>
      </w:pPr>
    </w:p>
    <w:p w14:paraId="5B7C667E">
      <w:pPr>
        <w:spacing w:line="360" w:lineRule="auto"/>
        <w:ind w:firstLine="480"/>
        <w:jc w:val="center"/>
        <w:rPr>
          <w:rFonts w:hint="eastAsia"/>
          <w:b/>
          <w:bCs/>
          <w:color w:val="auto"/>
          <w:sz w:val="28"/>
          <w:szCs w:val="28"/>
          <w:highlight w:val="none"/>
          <w:lang w:eastAsia="zh-CN"/>
        </w:rPr>
      </w:pPr>
      <w:r>
        <w:rPr>
          <w:rFonts w:hint="eastAsia"/>
          <w:b/>
          <w:bCs/>
          <w:color w:val="auto"/>
          <w:sz w:val="28"/>
          <w:szCs w:val="28"/>
          <w:highlight w:val="none"/>
          <w:lang w:eastAsia="zh-CN"/>
        </w:rPr>
        <w:t>新疆维吾尔自治区某厅某单位路面修缮项目（二次）</w:t>
      </w:r>
    </w:p>
    <w:p w14:paraId="37CDA597">
      <w:pPr>
        <w:spacing w:line="360" w:lineRule="auto"/>
        <w:ind w:firstLine="480"/>
        <w:jc w:val="center"/>
        <w:rPr>
          <w:rFonts w:hint="eastAsia"/>
          <w:b/>
          <w:bCs/>
          <w:color w:val="auto"/>
          <w:sz w:val="28"/>
          <w:szCs w:val="28"/>
          <w:highlight w:val="none"/>
        </w:rPr>
      </w:pPr>
      <w:r>
        <w:rPr>
          <w:rFonts w:hint="eastAsia"/>
          <w:b/>
          <w:bCs/>
          <w:color w:val="auto"/>
          <w:sz w:val="28"/>
          <w:szCs w:val="28"/>
          <w:highlight w:val="none"/>
        </w:rPr>
        <w:t>资格响应文件</w:t>
      </w:r>
    </w:p>
    <w:p w14:paraId="67565B5C">
      <w:pPr>
        <w:spacing w:line="360" w:lineRule="auto"/>
        <w:ind w:firstLine="480"/>
        <w:rPr>
          <w:rFonts w:hint="eastAsia"/>
          <w:color w:val="auto"/>
          <w:sz w:val="28"/>
          <w:szCs w:val="28"/>
          <w:highlight w:val="none"/>
        </w:rPr>
      </w:pPr>
    </w:p>
    <w:p w14:paraId="76FBB987">
      <w:pPr>
        <w:spacing w:line="360" w:lineRule="auto"/>
        <w:ind w:firstLine="480"/>
        <w:rPr>
          <w:rFonts w:hint="eastAsia"/>
          <w:color w:val="auto"/>
          <w:sz w:val="28"/>
          <w:szCs w:val="28"/>
          <w:highlight w:val="none"/>
        </w:rPr>
      </w:pPr>
    </w:p>
    <w:p w14:paraId="32095978">
      <w:pPr>
        <w:spacing w:line="360" w:lineRule="auto"/>
        <w:ind w:firstLine="480"/>
        <w:rPr>
          <w:rFonts w:hint="eastAsia"/>
          <w:color w:val="auto"/>
          <w:sz w:val="28"/>
          <w:szCs w:val="28"/>
          <w:highlight w:val="none"/>
        </w:rPr>
      </w:pPr>
    </w:p>
    <w:p w14:paraId="2BBA19F3">
      <w:pPr>
        <w:spacing w:line="360" w:lineRule="auto"/>
        <w:ind w:firstLine="480"/>
        <w:rPr>
          <w:rFonts w:hint="eastAsia"/>
          <w:color w:val="auto"/>
          <w:sz w:val="28"/>
          <w:szCs w:val="28"/>
          <w:highlight w:val="none"/>
        </w:rPr>
      </w:pPr>
    </w:p>
    <w:p w14:paraId="1D825273">
      <w:pPr>
        <w:spacing w:line="360" w:lineRule="auto"/>
        <w:ind w:firstLine="480"/>
        <w:rPr>
          <w:rFonts w:hint="eastAsia"/>
          <w:color w:val="auto"/>
          <w:sz w:val="28"/>
          <w:szCs w:val="28"/>
          <w:highlight w:val="none"/>
        </w:rPr>
      </w:pPr>
    </w:p>
    <w:p w14:paraId="64DB246F">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rPr>
        <w:t>项目编号：</w:t>
      </w:r>
    </w:p>
    <w:p w14:paraId="45F82E12">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供应商</w:t>
      </w:r>
      <w:r>
        <w:rPr>
          <w:rFonts w:hint="eastAsia"/>
          <w:b/>
          <w:bCs/>
          <w:color w:val="auto"/>
          <w:sz w:val="28"/>
          <w:szCs w:val="28"/>
          <w:highlight w:val="none"/>
        </w:rPr>
        <w:t>名称：</w:t>
      </w:r>
    </w:p>
    <w:p w14:paraId="4762438A">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响应</w:t>
      </w:r>
      <w:r>
        <w:rPr>
          <w:rFonts w:hint="eastAsia"/>
          <w:b/>
          <w:bCs/>
          <w:color w:val="auto"/>
          <w:sz w:val="28"/>
          <w:szCs w:val="28"/>
          <w:highlight w:val="none"/>
        </w:rPr>
        <w:t>单位联系人：</w:t>
      </w:r>
    </w:p>
    <w:p w14:paraId="1E2F05CE">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响应</w:t>
      </w:r>
      <w:r>
        <w:rPr>
          <w:rFonts w:hint="eastAsia"/>
          <w:b/>
          <w:bCs/>
          <w:color w:val="auto"/>
          <w:sz w:val="28"/>
          <w:szCs w:val="28"/>
          <w:highlight w:val="none"/>
        </w:rPr>
        <w:t>单位联系电话：</w:t>
      </w:r>
    </w:p>
    <w:p w14:paraId="3C55323C">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rPr>
        <w:t>二〇  年  月</w:t>
      </w:r>
    </w:p>
    <w:p w14:paraId="35415AF4">
      <w:pPr>
        <w:rPr>
          <w:rFonts w:hint="eastAsia"/>
          <w:b/>
          <w:color w:val="auto"/>
          <w:highlight w:val="none"/>
        </w:rPr>
      </w:pPr>
      <w:r>
        <w:rPr>
          <w:rFonts w:hint="eastAsia"/>
          <w:b/>
          <w:color w:val="auto"/>
          <w:highlight w:val="none"/>
        </w:rPr>
        <w:br w:type="page"/>
      </w:r>
    </w:p>
    <w:p w14:paraId="274B239A">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outlineLvl w:val="9"/>
        <w:rPr>
          <w:rFonts w:hint="eastAsia"/>
          <w:b/>
          <w:color w:val="auto"/>
          <w:highlight w:val="none"/>
        </w:rPr>
      </w:pPr>
      <w:bookmarkStart w:id="1526" w:name="_Toc4582"/>
      <w:r>
        <w:rPr>
          <w:rFonts w:hint="eastAsia"/>
          <w:b/>
          <w:color w:val="auto"/>
          <w:highlight w:val="none"/>
        </w:rPr>
        <w:t>（二）资格响应文件</w:t>
      </w:r>
      <w:bookmarkEnd w:id="1526"/>
    </w:p>
    <w:p w14:paraId="08A18013">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b/>
          <w:color w:val="auto"/>
          <w:highlight w:val="none"/>
        </w:rPr>
      </w:pPr>
      <w:r>
        <w:rPr>
          <w:rFonts w:hint="eastAsia"/>
          <w:b/>
          <w:color w:val="auto"/>
          <w:highlight w:val="none"/>
          <w:lang w:eastAsia="zh-CN"/>
        </w:rPr>
        <w:t>1.</w:t>
      </w:r>
      <w:r>
        <w:rPr>
          <w:rFonts w:hint="eastAsia"/>
          <w:b/>
          <w:color w:val="auto"/>
          <w:highlight w:val="none"/>
        </w:rPr>
        <w:t>资格文件组成</w:t>
      </w:r>
    </w:p>
    <w:p w14:paraId="08957839">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outlineLvl w:val="9"/>
        <w:rPr>
          <w:rFonts w:hint="eastAsia"/>
          <w:color w:val="auto"/>
          <w:highlight w:val="none"/>
        </w:rPr>
      </w:pPr>
      <w:bookmarkStart w:id="1527" w:name="_Toc14936"/>
      <w:bookmarkStart w:id="1528" w:name="_Toc18205"/>
      <w:bookmarkStart w:id="1529" w:name="_Toc19503"/>
      <w:bookmarkStart w:id="1530" w:name="_Toc15731"/>
      <w:r>
        <w:rPr>
          <w:rFonts w:hint="eastAsia"/>
          <w:color w:val="auto"/>
          <w:highlight w:val="none"/>
        </w:rPr>
        <w:t>一、</w:t>
      </w:r>
      <w:r>
        <w:rPr>
          <w:rFonts w:hint="eastAsia"/>
          <w:color w:val="auto"/>
          <w:highlight w:val="none"/>
          <w:lang w:eastAsia="zh-CN"/>
        </w:rPr>
        <w:t>供应商</w:t>
      </w:r>
      <w:r>
        <w:rPr>
          <w:rFonts w:hint="eastAsia"/>
          <w:color w:val="auto"/>
          <w:highlight w:val="none"/>
        </w:rPr>
        <w:t>为企业（包括合伙企业）的，应提供有效的“营业执照”；</w:t>
      </w:r>
    </w:p>
    <w:p w14:paraId="31FA04A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outlineLvl w:val="9"/>
        <w:rPr>
          <w:rFonts w:hint="eastAsia"/>
          <w:color w:val="auto"/>
          <w:highlight w:val="none"/>
        </w:rPr>
      </w:pPr>
      <w:r>
        <w:rPr>
          <w:rFonts w:hint="eastAsia"/>
          <w:color w:val="auto"/>
          <w:highlight w:val="none"/>
          <w:lang w:eastAsia="zh-CN"/>
        </w:rPr>
        <w:t>供应商</w:t>
      </w:r>
      <w:r>
        <w:rPr>
          <w:rFonts w:hint="eastAsia"/>
          <w:color w:val="auto"/>
          <w:highlight w:val="none"/>
        </w:rPr>
        <w:t>为事业单位的，应提供有效的“事业单位法人证书”；</w:t>
      </w:r>
    </w:p>
    <w:p w14:paraId="7CCDE7F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outlineLvl w:val="9"/>
        <w:rPr>
          <w:rFonts w:hint="eastAsia"/>
          <w:color w:val="auto"/>
          <w:highlight w:val="none"/>
        </w:rPr>
      </w:pPr>
      <w:r>
        <w:rPr>
          <w:rFonts w:hint="eastAsia"/>
          <w:color w:val="auto"/>
          <w:highlight w:val="none"/>
          <w:lang w:eastAsia="zh-CN"/>
        </w:rPr>
        <w:t>供应商</w:t>
      </w:r>
      <w:r>
        <w:rPr>
          <w:rFonts w:hint="eastAsia"/>
          <w:color w:val="auto"/>
          <w:highlight w:val="none"/>
        </w:rPr>
        <w:t>是非企业机构的，应提供有效的“执业许可证”、“登记证书”等证明文件；</w:t>
      </w:r>
    </w:p>
    <w:p w14:paraId="65B7AC5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outlineLvl w:val="9"/>
        <w:rPr>
          <w:rFonts w:hint="eastAsia"/>
          <w:color w:val="auto"/>
          <w:highlight w:val="none"/>
        </w:rPr>
      </w:pPr>
      <w:r>
        <w:rPr>
          <w:rFonts w:hint="eastAsia"/>
          <w:color w:val="auto"/>
          <w:highlight w:val="none"/>
          <w:lang w:eastAsia="zh-CN"/>
        </w:rPr>
        <w:t>供应商</w:t>
      </w:r>
      <w:r>
        <w:rPr>
          <w:rFonts w:hint="eastAsia"/>
          <w:color w:val="auto"/>
          <w:highlight w:val="none"/>
        </w:rPr>
        <w:t>是个体工商户的，应提供有效的“个体工商户营业执照”；</w:t>
      </w:r>
    </w:p>
    <w:p w14:paraId="2D59605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outlineLvl w:val="9"/>
        <w:rPr>
          <w:rFonts w:hint="eastAsia"/>
          <w:color w:val="auto"/>
          <w:highlight w:val="none"/>
        </w:rPr>
      </w:pPr>
      <w:r>
        <w:rPr>
          <w:rFonts w:hint="eastAsia"/>
          <w:color w:val="auto"/>
          <w:highlight w:val="none"/>
          <w:lang w:eastAsia="zh-CN"/>
        </w:rPr>
        <w:t>供应商</w:t>
      </w:r>
      <w:r>
        <w:rPr>
          <w:rFonts w:hint="eastAsia"/>
          <w:color w:val="auto"/>
          <w:highlight w:val="none"/>
        </w:rPr>
        <w:t>是自然人的，应提供有效的自然人身份证明。</w:t>
      </w:r>
    </w:p>
    <w:p w14:paraId="581035F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outlineLvl w:val="9"/>
        <w:rPr>
          <w:rFonts w:hint="eastAsia"/>
          <w:color w:val="auto"/>
          <w:highlight w:val="none"/>
        </w:rPr>
      </w:pPr>
      <w:r>
        <w:rPr>
          <w:rFonts w:hint="eastAsia"/>
          <w:color w:val="auto"/>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F97A54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outlineLvl w:val="9"/>
        <w:rPr>
          <w:rFonts w:hint="eastAsia"/>
          <w:color w:val="auto"/>
          <w:highlight w:val="none"/>
        </w:rPr>
      </w:pPr>
      <w:r>
        <w:rPr>
          <w:rFonts w:hint="eastAsia"/>
          <w:color w:val="auto"/>
          <w:highlight w:val="none"/>
        </w:rPr>
        <w:t>二、供应商代表身份证明</w:t>
      </w:r>
      <w:bookmarkEnd w:id="1527"/>
      <w:bookmarkEnd w:id="1528"/>
    </w:p>
    <w:p w14:paraId="37ABF82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color w:val="auto"/>
          <w:highlight w:val="none"/>
        </w:rPr>
        <w:t>1</w:t>
      </w:r>
      <w:r>
        <w:rPr>
          <w:rFonts w:hint="eastAsia"/>
          <w:color w:val="auto"/>
          <w:highlight w:val="none"/>
          <w:lang w:val="en-US" w:eastAsia="zh-CN"/>
        </w:rPr>
        <w:t>.</w:t>
      </w:r>
      <w:r>
        <w:rPr>
          <w:rFonts w:hint="eastAsia"/>
          <w:color w:val="auto"/>
          <w:highlight w:val="none"/>
        </w:rPr>
        <w:t>法定代表人身份证明复印件（附件2-</w:t>
      </w:r>
      <w:r>
        <w:rPr>
          <w:color w:val="auto"/>
          <w:highlight w:val="none"/>
        </w:rPr>
        <w:t>1</w:t>
      </w:r>
      <w:r>
        <w:rPr>
          <w:rFonts w:hint="eastAsia"/>
          <w:color w:val="auto"/>
          <w:highlight w:val="none"/>
        </w:rPr>
        <w:t>）</w:t>
      </w:r>
    </w:p>
    <w:p w14:paraId="5B5C7AF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法定代表人授权委托书（附件2-</w:t>
      </w:r>
      <w:r>
        <w:rPr>
          <w:color w:val="auto"/>
          <w:highlight w:val="none"/>
        </w:rPr>
        <w:t>2</w:t>
      </w:r>
      <w:r>
        <w:rPr>
          <w:rFonts w:hint="eastAsia"/>
          <w:color w:val="auto"/>
          <w:highlight w:val="none"/>
        </w:rPr>
        <w:t>）</w:t>
      </w:r>
    </w:p>
    <w:bookmarkEnd w:id="1529"/>
    <w:bookmarkEnd w:id="1530"/>
    <w:p w14:paraId="0C34A43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三、提供上年度（</w:t>
      </w:r>
      <w:r>
        <w:rPr>
          <w:color w:val="auto"/>
          <w:highlight w:val="none"/>
        </w:rPr>
        <w:t>20</w:t>
      </w:r>
      <w:r>
        <w:rPr>
          <w:rFonts w:hint="eastAsia"/>
          <w:color w:val="auto"/>
          <w:highlight w:val="none"/>
        </w:rPr>
        <w:t>24年）财务审计报告或半年内任意一个月财务报表</w:t>
      </w:r>
    </w:p>
    <w:p w14:paraId="5A8BBC9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（财务报表应至少包括资产负债表、损益表、现金流量表或财务状况变动表，当月新成立公司不需提供）</w:t>
      </w:r>
    </w:p>
    <w:p w14:paraId="3DCE25E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四、提供的近半年内任意一月依法缴纳税收证明</w:t>
      </w:r>
    </w:p>
    <w:p w14:paraId="2890C1DF">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（提供的近半年内任意一月依法缴纳税收证明，当月新成立公司不需提供；无需纳税或免税的也需提供相应证明材料。）</w:t>
      </w:r>
    </w:p>
    <w:p w14:paraId="546A4F4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五、提供社保缴纳证明</w:t>
      </w:r>
    </w:p>
    <w:p w14:paraId="0D6FD9F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（近半年内任意一月社保缴纳证明，当月新成立公司不需提供）</w:t>
      </w:r>
    </w:p>
    <w:p w14:paraId="1708BE2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六、具有履行合同所必需的设备和专业技术能力的证明材料或声明</w:t>
      </w:r>
      <w:r>
        <w:rPr>
          <w:rFonts w:hint="eastAsia"/>
          <w:color w:val="auto"/>
          <w:highlight w:val="none"/>
          <w:lang w:eastAsia="zh-CN"/>
        </w:rPr>
        <w:t>（</w:t>
      </w:r>
      <w:r>
        <w:rPr>
          <w:rFonts w:hint="eastAsia"/>
          <w:color w:val="auto"/>
          <w:highlight w:val="none"/>
        </w:rPr>
        <w:t>由供应商根据项目需求提供说明材料</w:t>
      </w:r>
      <w:r>
        <w:rPr>
          <w:rFonts w:hint="eastAsia"/>
          <w:color w:val="auto"/>
          <w:highlight w:val="none"/>
          <w:lang w:eastAsia="zh-CN"/>
        </w:rPr>
        <w:t>）</w:t>
      </w:r>
    </w:p>
    <w:p w14:paraId="4573C292">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七、参加政府采购活动前三年内在经营活动中没有重大违法记录的书面声明</w:t>
      </w:r>
    </w:p>
    <w:p w14:paraId="12B93DE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八、其他特定资质：</w:t>
      </w:r>
    </w:p>
    <w:p w14:paraId="31B73A6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供应商须具备市政公用工程施工总承包叁级以上（含叁级）资质，具备有效的安全生产许可证。项目负责人须具备市政工程专业二级以上（含二级）注册建造师执业资格，具备有效的安全生产考核合格证书；</w:t>
      </w:r>
      <w:r>
        <w:rPr>
          <w:rFonts w:hint="eastAsia"/>
          <w:b w:val="0"/>
          <w:bCs w:val="0"/>
          <w:color w:val="auto"/>
          <w:highlight w:val="none"/>
        </w:rPr>
        <w:t xml:space="preserve"> </w:t>
      </w:r>
    </w:p>
    <w:p w14:paraId="09462A4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b w:val="0"/>
          <w:bCs w:val="0"/>
          <w:color w:val="auto"/>
          <w:highlight w:val="none"/>
        </w:rPr>
      </w:pPr>
      <w:r>
        <w:rPr>
          <w:rFonts w:hint="eastAsia"/>
          <w:b w:val="0"/>
          <w:bCs w:val="0"/>
          <w:color w:val="auto"/>
          <w:highlight w:val="none"/>
        </w:rPr>
        <w:t>（2）供应商不得与采购人、采购代理机构存在隶属关系或者其他利害关系；</w:t>
      </w:r>
    </w:p>
    <w:p w14:paraId="1483E3D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b w:val="0"/>
          <w:bCs w:val="0"/>
          <w:color w:val="auto"/>
          <w:highlight w:val="none"/>
        </w:rPr>
      </w:pPr>
      <w:r>
        <w:rPr>
          <w:rFonts w:hint="eastAsia"/>
          <w:b w:val="0"/>
          <w:bCs w:val="0"/>
          <w:color w:val="auto"/>
          <w:highlight w:val="none"/>
        </w:rPr>
        <w:t xml:space="preserve">（3）单位负责人为同一人或者存在直接控股、管理关系的不同供应商，不得参加同一合同下的政府采购活动； </w:t>
      </w:r>
    </w:p>
    <w:p w14:paraId="11FA2F0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b w:val="0"/>
          <w:bCs w:val="0"/>
          <w:color w:val="auto"/>
          <w:highlight w:val="none"/>
        </w:rPr>
      </w:pPr>
      <w:r>
        <w:rPr>
          <w:rFonts w:hint="eastAsia"/>
          <w:b w:val="0"/>
          <w:bCs w:val="0"/>
          <w:color w:val="auto"/>
          <w:highlight w:val="none"/>
        </w:rPr>
        <w:t>（4）除单一来源采购项目外，为采购项目提供整体设计、规范编制或者项目管理、监理、检测等服务的供应商，不得再参加该采购项目的其他采购活动。</w:t>
      </w:r>
    </w:p>
    <w:p w14:paraId="266A7BF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b w:val="0"/>
          <w:bCs w:val="0"/>
          <w:color w:val="auto"/>
          <w:highlight w:val="none"/>
        </w:rPr>
      </w:pPr>
      <w:r>
        <w:rPr>
          <w:rFonts w:hint="eastAsia"/>
          <w:b w:val="0"/>
          <w:bCs w:val="0"/>
          <w:color w:val="auto"/>
          <w:highlight w:val="none"/>
        </w:rPr>
        <w:t>（5）在中华人民共和国境内注册，未在“信用中国”网站 (www.creditchina.gov.cn) 、“中国政府采购网” (www.ccgp.gov.cn) 等渠道列入失信被执行人、税收违法黑名单、政府采购严重违法失信行为记录名单；</w:t>
      </w:r>
    </w:p>
    <w:p w14:paraId="5287B39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九、落实政府采购政策需满足的资格证明文件</w:t>
      </w:r>
    </w:p>
    <w:p w14:paraId="4BC498B2">
      <w:pPr>
        <w:spacing w:before="60" w:after="60" w:line="440" w:lineRule="exact"/>
        <w:ind w:firstLine="482"/>
        <w:rPr>
          <w:rFonts w:hint="eastAsia" w:cs="Arial"/>
          <w:color w:val="auto"/>
          <w:highlight w:val="none"/>
        </w:rPr>
      </w:pPr>
      <w:r>
        <w:rPr>
          <w:rFonts w:hint="eastAsia" w:cs="Arial"/>
          <w:color w:val="auto"/>
          <w:highlight w:val="none"/>
        </w:rPr>
        <w:t>□本项目不专门面向中小企业预留采购份额。</w:t>
      </w:r>
    </w:p>
    <w:p w14:paraId="19A5A750">
      <w:pPr>
        <w:spacing w:before="60" w:after="60" w:line="440" w:lineRule="exact"/>
        <w:ind w:firstLine="482"/>
        <w:rPr>
          <w:rFonts w:hint="eastAsia" w:cs="Arial"/>
          <w:color w:val="auto"/>
          <w:highlight w:val="none"/>
        </w:rPr>
      </w:pPr>
      <w:r>
        <w:rPr>
          <w:rFonts w:hint="eastAsia" w:cs="Arial"/>
          <w:color w:val="auto"/>
          <w:highlight w:val="none"/>
        </w:rPr>
        <w:t>☑本项目专门面向</w:t>
      </w:r>
      <w:r>
        <w:rPr>
          <w:rFonts w:hint="eastAsia" w:cs="Arial"/>
          <w:color w:val="auto"/>
          <w:highlight w:val="none"/>
          <w:lang w:eastAsia="zh-CN"/>
        </w:rPr>
        <w:t>☑</w:t>
      </w:r>
      <w:r>
        <w:rPr>
          <w:rFonts w:hint="eastAsia" w:cs="Arial"/>
          <w:color w:val="auto"/>
          <w:highlight w:val="none"/>
        </w:rPr>
        <w:t>中小</w:t>
      </w:r>
      <w:r>
        <w:rPr>
          <w:rFonts w:hint="eastAsia" w:cs="Arial"/>
          <w:color w:val="auto"/>
          <w:highlight w:val="none"/>
          <w:lang w:eastAsia="zh-CN"/>
        </w:rPr>
        <w:t>□</w:t>
      </w:r>
      <w:r>
        <w:rPr>
          <w:rFonts w:hint="eastAsia" w:cs="Arial"/>
          <w:color w:val="auto"/>
          <w:highlight w:val="none"/>
        </w:rPr>
        <w:t>小微企业采购。即</w:t>
      </w:r>
      <w:r>
        <w:rPr>
          <w:rFonts w:hint="eastAsia" w:cs="Arial"/>
          <w:color w:val="auto"/>
          <w:highlight w:val="none"/>
          <w:lang w:eastAsia="zh-CN"/>
        </w:rPr>
        <w:t>：</w:t>
      </w:r>
      <w:r>
        <w:rPr>
          <w:rFonts w:hint="eastAsia" w:cs="Arial"/>
          <w:color w:val="auto"/>
          <w:highlight w:val="none"/>
        </w:rPr>
        <w:t>提供的服务全部由符合政策要求的</w:t>
      </w:r>
      <w:r>
        <w:rPr>
          <w:rFonts w:hint="eastAsia" w:cs="Arial"/>
          <w:color w:val="auto"/>
          <w:highlight w:val="none"/>
          <w:lang w:eastAsia="zh-CN"/>
        </w:rPr>
        <w:t>☑</w:t>
      </w:r>
      <w:r>
        <w:rPr>
          <w:rFonts w:hint="eastAsia" w:cs="Arial"/>
          <w:color w:val="auto"/>
          <w:highlight w:val="none"/>
        </w:rPr>
        <w:t>中小/</w:t>
      </w:r>
      <w:r>
        <w:rPr>
          <w:rFonts w:hint="eastAsia" w:cs="Arial"/>
          <w:color w:val="auto"/>
          <w:highlight w:val="none"/>
          <w:lang w:eastAsia="zh-CN"/>
        </w:rPr>
        <w:t>□</w:t>
      </w:r>
      <w:r>
        <w:rPr>
          <w:rFonts w:hint="eastAsia" w:cs="Arial"/>
          <w:color w:val="auto"/>
          <w:highlight w:val="none"/>
        </w:rPr>
        <w:t>小微企业承接。</w:t>
      </w:r>
    </w:p>
    <w:p w14:paraId="10B104D2">
      <w:pPr>
        <w:spacing w:before="60" w:after="60" w:line="440" w:lineRule="exact"/>
        <w:ind w:firstLine="482"/>
        <w:rPr>
          <w:rFonts w:cs="Arial"/>
          <w:color w:val="auto"/>
          <w:highlight w:val="none"/>
        </w:rPr>
      </w:pPr>
      <w:r>
        <w:rPr>
          <w:rFonts w:hint="eastAsia" w:cs="Arial"/>
          <w:color w:val="auto"/>
          <w:highlight w:val="none"/>
        </w:rPr>
        <w:t>□本项目预留部分采购项目预算专门面向中小企业采购。对于预留份额，提供的货物由符合政策要求的中小企业制造、服务</w:t>
      </w:r>
      <w:r>
        <w:rPr>
          <w:rFonts w:hint="eastAsia" w:cs="Arial"/>
          <w:color w:val="auto"/>
          <w:highlight w:val="none"/>
          <w:lang w:eastAsia="zh-CN"/>
        </w:rPr>
        <w:t>（</w:t>
      </w:r>
      <w:r>
        <w:rPr>
          <w:rFonts w:hint="eastAsia" w:cs="Arial"/>
          <w:color w:val="auto"/>
          <w:highlight w:val="none"/>
        </w:rPr>
        <w:t>或工程</w:t>
      </w:r>
      <w:r>
        <w:rPr>
          <w:rFonts w:hint="eastAsia" w:cs="Arial"/>
          <w:color w:val="auto"/>
          <w:highlight w:val="none"/>
          <w:lang w:eastAsia="zh-CN"/>
        </w:rPr>
        <w:t>）</w:t>
      </w:r>
      <w:r>
        <w:rPr>
          <w:rFonts w:hint="eastAsia" w:cs="Arial"/>
          <w:color w:val="auto"/>
          <w:highlight w:val="none"/>
        </w:rPr>
        <w:t>由符合政策要求的中小企业承接。</w:t>
      </w:r>
    </w:p>
    <w:p w14:paraId="3AACF55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本项目采购标的对应的中小企业划分标准所属行业为</w:t>
      </w:r>
      <w:r>
        <w:rPr>
          <w:rFonts w:hint="eastAsia"/>
          <w:b/>
          <w:bCs/>
          <w:color w:val="auto"/>
          <w:highlight w:val="none"/>
          <w:u w:val="single"/>
          <w:lang w:eastAsia="zh-CN"/>
        </w:rPr>
        <w:t>建筑业</w:t>
      </w:r>
      <w:r>
        <w:rPr>
          <w:rFonts w:hint="eastAsia"/>
          <w:b/>
          <w:bCs/>
          <w:color w:val="auto"/>
          <w:highlight w:val="none"/>
          <w:u w:val="single"/>
        </w:rPr>
        <w:t>。</w:t>
      </w:r>
    </w:p>
    <w:p w14:paraId="184DA0AB">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bookmarkStart w:id="1531" w:name="_Toc28913"/>
      <w:bookmarkStart w:id="1532" w:name="_Toc7039"/>
      <w:r>
        <w:rPr>
          <w:color w:val="auto"/>
          <w:highlight w:val="none"/>
        </w:rPr>
        <w:t>1</w:t>
      </w:r>
      <w:r>
        <w:rPr>
          <w:rFonts w:hint="eastAsia"/>
          <w:color w:val="auto"/>
          <w:highlight w:val="none"/>
          <w:lang w:val="en-US" w:eastAsia="zh-CN"/>
        </w:rPr>
        <w:t>.</w:t>
      </w:r>
      <w:r>
        <w:rPr>
          <w:rFonts w:hint="eastAsia"/>
          <w:color w:val="auto"/>
          <w:highlight w:val="none"/>
        </w:rPr>
        <w:t>中小企业声明函（附件2-</w:t>
      </w:r>
      <w:r>
        <w:rPr>
          <w:rFonts w:hint="eastAsia"/>
          <w:color w:val="auto"/>
          <w:highlight w:val="none"/>
          <w:lang w:val="en-US" w:eastAsia="zh-CN"/>
        </w:rPr>
        <w:t>3</w:t>
      </w:r>
      <w:r>
        <w:rPr>
          <w:rFonts w:hint="eastAsia"/>
          <w:color w:val="auto"/>
          <w:highlight w:val="none"/>
        </w:rPr>
        <w:t>）</w:t>
      </w:r>
    </w:p>
    <w:p w14:paraId="7519763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color w:val="auto"/>
          <w:highlight w:val="none"/>
        </w:rPr>
        <w:t>2</w:t>
      </w:r>
      <w:r>
        <w:rPr>
          <w:rFonts w:hint="eastAsia"/>
          <w:color w:val="auto"/>
          <w:highlight w:val="none"/>
          <w:lang w:val="en-US" w:eastAsia="zh-CN"/>
        </w:rPr>
        <w:t>.</w:t>
      </w:r>
      <w:r>
        <w:rPr>
          <w:rFonts w:hint="eastAsia"/>
          <w:color w:val="auto"/>
          <w:highlight w:val="none"/>
        </w:rPr>
        <w:t>监狱企业证明文件（附件2-</w:t>
      </w:r>
      <w:r>
        <w:rPr>
          <w:rFonts w:hint="eastAsia"/>
          <w:color w:val="auto"/>
          <w:highlight w:val="none"/>
          <w:lang w:val="en-US" w:eastAsia="zh-CN"/>
        </w:rPr>
        <w:t>4</w:t>
      </w:r>
      <w:r>
        <w:rPr>
          <w:rFonts w:hint="eastAsia"/>
          <w:color w:val="auto"/>
          <w:highlight w:val="none"/>
        </w:rPr>
        <w:t>）</w:t>
      </w:r>
    </w:p>
    <w:p w14:paraId="6CD921B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color w:val="auto"/>
          <w:highlight w:val="none"/>
        </w:rPr>
        <w:t>3</w:t>
      </w:r>
      <w:r>
        <w:rPr>
          <w:rFonts w:hint="eastAsia"/>
          <w:color w:val="auto"/>
          <w:highlight w:val="none"/>
          <w:lang w:val="en-US" w:eastAsia="zh-CN"/>
        </w:rPr>
        <w:t>.</w:t>
      </w:r>
      <w:r>
        <w:rPr>
          <w:rFonts w:hint="eastAsia"/>
          <w:color w:val="auto"/>
          <w:highlight w:val="none"/>
        </w:rPr>
        <w:t>残疾人福利性单位声明函（附件2-</w:t>
      </w:r>
      <w:r>
        <w:rPr>
          <w:rFonts w:hint="eastAsia"/>
          <w:color w:val="auto"/>
          <w:highlight w:val="none"/>
          <w:lang w:val="en-US" w:eastAsia="zh-CN"/>
        </w:rPr>
        <w:t>5</w:t>
      </w:r>
      <w:r>
        <w:rPr>
          <w:rFonts w:hint="eastAsia"/>
          <w:color w:val="auto"/>
          <w:highlight w:val="none"/>
        </w:rPr>
        <w:t>）</w:t>
      </w:r>
    </w:p>
    <w:p w14:paraId="60EFBF40">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outlineLvl w:val="9"/>
        <w:rPr>
          <w:rFonts w:hint="eastAsia"/>
          <w:color w:val="auto"/>
          <w:highlight w:val="none"/>
        </w:rPr>
      </w:pPr>
      <w:r>
        <w:rPr>
          <w:rFonts w:hint="eastAsia"/>
          <w:color w:val="auto"/>
          <w:highlight w:val="none"/>
        </w:rPr>
        <w:t>十、其他资料</w:t>
      </w:r>
      <w:bookmarkEnd w:id="1531"/>
      <w:bookmarkEnd w:id="1532"/>
    </w:p>
    <w:p w14:paraId="6888DCA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1</w:t>
      </w:r>
      <w:r>
        <w:rPr>
          <w:rFonts w:hint="eastAsia"/>
          <w:color w:val="auto"/>
          <w:highlight w:val="none"/>
          <w:lang w:val="en-US" w:eastAsia="zh-CN"/>
        </w:rPr>
        <w:t>.</w:t>
      </w:r>
      <w:r>
        <w:rPr>
          <w:color w:val="auto"/>
          <w:highlight w:val="none"/>
        </w:rPr>
        <w:t>不参与围标串标承诺书</w:t>
      </w:r>
      <w:r>
        <w:rPr>
          <w:rFonts w:hint="eastAsia"/>
          <w:color w:val="auto"/>
          <w:highlight w:val="none"/>
        </w:rPr>
        <w:t xml:space="preserve">； </w:t>
      </w:r>
    </w:p>
    <w:p w14:paraId="6584F94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color w:val="auto"/>
          <w:highlight w:val="none"/>
        </w:rPr>
        <w:t>2</w:t>
      </w:r>
      <w:r>
        <w:rPr>
          <w:rFonts w:hint="eastAsia"/>
          <w:color w:val="auto"/>
          <w:highlight w:val="none"/>
          <w:lang w:val="en-US" w:eastAsia="zh-CN"/>
        </w:rPr>
        <w:t>.磋商</w:t>
      </w:r>
      <w:r>
        <w:rPr>
          <w:rFonts w:hint="eastAsia"/>
          <w:color w:val="auto"/>
          <w:highlight w:val="none"/>
        </w:rPr>
        <w:t>保证金凭证（电汇凭证或收据等）复印件</w:t>
      </w:r>
    </w:p>
    <w:p w14:paraId="395C3578">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bCs/>
          <w:color w:val="auto"/>
          <w:highlight w:val="none"/>
        </w:rPr>
      </w:pPr>
      <w:r>
        <w:rPr>
          <w:rFonts w:hint="eastAsia"/>
          <w:b/>
          <w:color w:val="auto"/>
          <w:highlight w:val="none"/>
        </w:rPr>
        <w:t>注：1.供应商制作响应文件，应按照响应文件组成顺序制作，编好始末页码且在响应文件目录中一一列明并对应。</w:t>
      </w:r>
    </w:p>
    <w:p w14:paraId="217C0F2B">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b/>
          <w:color w:val="auto"/>
          <w:highlight w:val="none"/>
        </w:rPr>
      </w:pPr>
      <w:r>
        <w:rPr>
          <w:rFonts w:hint="eastAsia"/>
          <w:b/>
          <w:color w:val="auto"/>
          <w:highlight w:val="none"/>
        </w:rPr>
        <w:t>2</w:t>
      </w:r>
      <w:r>
        <w:rPr>
          <w:b/>
          <w:color w:val="auto"/>
          <w:highlight w:val="none"/>
        </w:rPr>
        <w:t>.</w:t>
      </w:r>
      <w:r>
        <w:rPr>
          <w:rFonts w:hint="eastAsia"/>
          <w:b/>
          <w:color w:val="auto"/>
          <w:highlight w:val="none"/>
        </w:rPr>
        <w:t>竞争性磋商文件没有提供格式的，供应商可自行设置。</w:t>
      </w:r>
    </w:p>
    <w:p w14:paraId="2F5E9E8B">
      <w:pPr>
        <w:spacing w:line="360" w:lineRule="auto"/>
        <w:rPr>
          <w:rFonts w:hint="eastAsia" w:ascii="宋体" w:hAnsi="宋体" w:eastAsia="宋体" w:cs="宋体"/>
          <w:b/>
          <w:color w:val="auto"/>
          <w:sz w:val="24"/>
          <w:szCs w:val="24"/>
          <w:highlight w:val="none"/>
        </w:rPr>
      </w:pPr>
      <w:r>
        <w:rPr>
          <w:rFonts w:hint="eastAsia"/>
          <w:b/>
          <w:color w:val="auto"/>
          <w:highlight w:val="none"/>
        </w:rPr>
        <w:br w:type="page"/>
      </w:r>
      <w:r>
        <w:rPr>
          <w:rFonts w:hint="eastAsia"/>
          <w:b/>
          <w:color w:val="auto"/>
          <w:highlight w:val="none"/>
          <w:lang w:eastAsia="zh-CN"/>
        </w:rPr>
        <w:t>2.</w:t>
      </w:r>
      <w:r>
        <w:rPr>
          <w:rFonts w:hint="eastAsia" w:ascii="宋体" w:hAnsi="宋体" w:eastAsia="宋体" w:cs="宋体"/>
          <w:b/>
          <w:color w:val="auto"/>
          <w:sz w:val="24"/>
          <w:szCs w:val="24"/>
          <w:highlight w:val="none"/>
        </w:rPr>
        <w:t>资格文件格式</w:t>
      </w:r>
    </w:p>
    <w:p w14:paraId="5A6CF8F4">
      <w:pPr>
        <w:keepNext w:val="0"/>
        <w:keepLines w:val="0"/>
        <w:pageBreakBefore w:val="0"/>
        <w:widowControl/>
        <w:kinsoku/>
        <w:wordWrap/>
        <w:overflowPunct/>
        <w:topLinePunct w:val="0"/>
        <w:autoSpaceDE/>
        <w:autoSpaceDN/>
        <w:bidi w:val="0"/>
        <w:adjustRightInd/>
        <w:snapToGrid/>
        <w:spacing w:line="480" w:lineRule="auto"/>
        <w:ind w:firstLine="482" w:firstLineChars="200"/>
        <w:jc w:val="center"/>
        <w:textAlignment w:val="auto"/>
        <w:outlineLvl w:val="9"/>
        <w:rPr>
          <w:rFonts w:hint="eastAsia" w:asciiTheme="minorEastAsia" w:hAnsiTheme="minorEastAsia" w:eastAsiaTheme="minorEastAsia" w:cstheme="minorEastAsia"/>
          <w:b/>
          <w:bCs w:val="0"/>
          <w:color w:val="auto"/>
          <w:highlight w:val="none"/>
        </w:rPr>
      </w:pPr>
      <w:bookmarkStart w:id="1533" w:name="_Toc3192"/>
      <w:bookmarkStart w:id="1534" w:name="_Toc25801"/>
      <w:bookmarkStart w:id="1535" w:name="_Toc13532"/>
      <w:r>
        <w:rPr>
          <w:rFonts w:hint="eastAsia" w:asciiTheme="minorEastAsia" w:hAnsiTheme="minorEastAsia" w:eastAsiaTheme="minorEastAsia" w:cstheme="minorEastAsia"/>
          <w:b/>
          <w:color w:val="auto"/>
          <w:sz w:val="24"/>
          <w:szCs w:val="24"/>
          <w:highlight w:val="none"/>
        </w:rPr>
        <w:t xml:space="preserve">附件2-1 </w:t>
      </w:r>
      <w:r>
        <w:rPr>
          <w:rFonts w:hint="eastAsia" w:asciiTheme="minorEastAsia" w:hAnsiTheme="minorEastAsia" w:eastAsiaTheme="minorEastAsia" w:cstheme="minorEastAsia"/>
          <w:b/>
          <w:bCs w:val="0"/>
          <w:color w:val="auto"/>
          <w:sz w:val="24"/>
          <w:szCs w:val="24"/>
          <w:highlight w:val="none"/>
        </w:rPr>
        <w:t xml:space="preserve"> </w:t>
      </w:r>
      <w:bookmarkEnd w:id="1533"/>
      <w:bookmarkEnd w:id="1534"/>
      <w:bookmarkEnd w:id="1535"/>
      <w:r>
        <w:rPr>
          <w:rFonts w:hint="eastAsia" w:asciiTheme="minorEastAsia" w:hAnsiTheme="minorEastAsia" w:eastAsiaTheme="minorEastAsia" w:cstheme="minorEastAsia"/>
          <w:b/>
          <w:bCs w:val="0"/>
          <w:color w:val="auto"/>
          <w:highlight w:val="none"/>
        </w:rPr>
        <w:t>法定代表人身份证明书</w:t>
      </w:r>
    </w:p>
    <w:p w14:paraId="04348E70">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p>
    <w:p w14:paraId="229D3723">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单位名称：</w:t>
      </w:r>
    </w:p>
    <w:p w14:paraId="5A860799">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单位性质：</w:t>
      </w:r>
    </w:p>
    <w:p w14:paraId="283B138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注册地址：</w:t>
      </w:r>
    </w:p>
    <w:p w14:paraId="7812D1B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成立时间： 年 月 日</w:t>
      </w:r>
    </w:p>
    <w:p w14:paraId="1E7044E6">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经营期限：</w:t>
      </w:r>
    </w:p>
    <w:p w14:paraId="2BA43EC9">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姓名： ，性别： ，职务： ，系</w:t>
      </w:r>
      <w:r>
        <w:rPr>
          <w:rStyle w:val="37"/>
          <w:rFonts w:hint="eastAsia" w:asciiTheme="minorEastAsia" w:hAnsiTheme="minorEastAsia" w:eastAsiaTheme="minorEastAsia" w:cstheme="minorEastAsia"/>
          <w:color w:val="auto"/>
          <w:kern w:val="0"/>
          <w:sz w:val="24"/>
          <w:szCs w:val="24"/>
          <w:highlight w:val="none"/>
          <w:lang w:val="en-US" w:eastAsia="zh-CN" w:bidi="ar"/>
        </w:rPr>
        <w:t>（供应商单位全称）</w:t>
      </w:r>
      <w:r>
        <w:rPr>
          <w:rFonts w:hint="eastAsia" w:asciiTheme="minorEastAsia" w:hAnsiTheme="minorEastAsia" w:eastAsiaTheme="minorEastAsia" w:cstheme="minorEastAsia"/>
          <w:color w:val="auto"/>
          <w:kern w:val="0"/>
          <w:sz w:val="24"/>
          <w:szCs w:val="24"/>
          <w:highlight w:val="none"/>
          <w:lang w:val="en-US" w:eastAsia="zh-CN" w:bidi="ar"/>
        </w:rPr>
        <w:t>的法定代表人，身份证号码：</w:t>
      </w:r>
    </w:p>
    <w:p w14:paraId="2A42F76A">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特此证明。</w:t>
      </w:r>
    </w:p>
    <w:p w14:paraId="14D06136">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本证明书仅用于参与</w:t>
      </w:r>
      <w:r>
        <w:rPr>
          <w:rStyle w:val="37"/>
          <w:rFonts w:hint="eastAsia" w:asciiTheme="minorEastAsia" w:hAnsiTheme="minorEastAsia" w:eastAsiaTheme="minorEastAsia" w:cstheme="minorEastAsia"/>
          <w:color w:val="auto"/>
          <w:kern w:val="0"/>
          <w:sz w:val="24"/>
          <w:szCs w:val="24"/>
          <w:highlight w:val="none"/>
          <w:lang w:val="en-US" w:eastAsia="zh-CN" w:bidi="ar"/>
        </w:rPr>
        <w:t>（本项目全称）</w:t>
      </w:r>
      <w:r>
        <w:rPr>
          <w:rFonts w:hint="eastAsia" w:asciiTheme="minorEastAsia" w:hAnsiTheme="minorEastAsia" w:eastAsiaTheme="minorEastAsia" w:cstheme="minorEastAsia"/>
          <w:color w:val="auto"/>
          <w:kern w:val="0"/>
          <w:sz w:val="24"/>
          <w:szCs w:val="24"/>
          <w:highlight w:val="none"/>
          <w:lang w:val="en-US" w:eastAsia="zh-CN" w:bidi="ar"/>
        </w:rPr>
        <w:t>竞争性磋商采购活动，有效期与本项目响应有效期一致。</w:t>
      </w:r>
    </w:p>
    <w:p w14:paraId="4E9B5705">
      <w:pPr>
        <w:keepNext w:val="0"/>
        <w:keepLines w:val="0"/>
        <w:pageBreakBefore w:val="0"/>
        <w:widowControl/>
        <w:suppressLineNumbers w:val="0"/>
        <w:kinsoku/>
        <w:wordWrap/>
        <w:overflowPunct/>
        <w:topLinePunct w:val="0"/>
        <w:autoSpaceDE/>
        <w:autoSpaceDN/>
        <w:bidi w:val="0"/>
        <w:adjustRightInd/>
        <w:snapToGrid/>
        <w:spacing w:line="480" w:lineRule="auto"/>
        <w:ind w:firstLine="482" w:firstLineChars="200"/>
        <w:jc w:val="left"/>
        <w:textAlignment w:val="auto"/>
        <w:rPr>
          <w:rFonts w:hint="eastAsia" w:asciiTheme="minorEastAsia" w:hAnsiTheme="minorEastAsia" w:eastAsiaTheme="minorEastAsia" w:cstheme="minorEastAsia"/>
          <w:color w:val="auto"/>
          <w:highlight w:val="none"/>
        </w:rPr>
      </w:pPr>
      <w:r>
        <w:rPr>
          <w:rStyle w:val="37"/>
          <w:rFonts w:hint="eastAsia" w:asciiTheme="minorEastAsia" w:hAnsiTheme="minorEastAsia" w:eastAsiaTheme="minorEastAsia" w:cstheme="minorEastAsia"/>
          <w:color w:val="auto"/>
          <w:kern w:val="0"/>
          <w:sz w:val="24"/>
          <w:szCs w:val="24"/>
          <w:highlight w:val="none"/>
          <w:lang w:val="en-US" w:eastAsia="zh-CN" w:bidi="ar"/>
        </w:rPr>
        <w:t>附：法定代表人身份证正反面复印件（加盖公章）</w:t>
      </w:r>
    </w:p>
    <w:tbl>
      <w:tblPr>
        <w:tblStyle w:val="3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9"/>
        <w:gridCol w:w="4660"/>
      </w:tblGrid>
      <w:tr w14:paraId="76FE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jc w:val="center"/>
        </w:trPr>
        <w:tc>
          <w:tcPr>
            <w:tcW w:w="4659" w:type="dxa"/>
            <w:vAlign w:val="center"/>
          </w:tcPr>
          <w:p w14:paraId="01022E4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color w:val="auto"/>
                <w:highlight w:val="none"/>
                <w:vertAlign w:val="baseline"/>
                <w:lang w:val="en-US"/>
              </w:rPr>
            </w:pPr>
            <w:r>
              <w:rPr>
                <w:rStyle w:val="37"/>
                <w:rFonts w:hint="eastAsia" w:asciiTheme="minorEastAsia" w:hAnsiTheme="minorEastAsia" w:eastAsiaTheme="minorEastAsia" w:cstheme="minorEastAsia"/>
                <w:color w:val="auto"/>
                <w:kern w:val="0"/>
                <w:sz w:val="24"/>
                <w:szCs w:val="24"/>
                <w:highlight w:val="none"/>
                <w:lang w:val="en-US" w:eastAsia="zh-CN" w:bidi="ar"/>
              </w:rPr>
              <w:t>法定代表人身份证（国徽面）</w:t>
            </w:r>
          </w:p>
        </w:tc>
        <w:tc>
          <w:tcPr>
            <w:tcW w:w="4660" w:type="dxa"/>
            <w:vAlign w:val="center"/>
          </w:tcPr>
          <w:p w14:paraId="54CB7C6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color w:val="auto"/>
                <w:highlight w:val="none"/>
                <w:vertAlign w:val="baseline"/>
              </w:rPr>
            </w:pPr>
            <w:r>
              <w:rPr>
                <w:rStyle w:val="37"/>
                <w:rFonts w:hint="eastAsia" w:asciiTheme="minorEastAsia" w:hAnsiTheme="minorEastAsia" w:eastAsiaTheme="minorEastAsia" w:cstheme="minorEastAsia"/>
                <w:color w:val="auto"/>
                <w:kern w:val="0"/>
                <w:sz w:val="24"/>
                <w:szCs w:val="24"/>
                <w:highlight w:val="none"/>
                <w:lang w:val="en-US" w:eastAsia="zh-CN" w:bidi="ar"/>
              </w:rPr>
              <w:t>法定代表人身份证（人像面）</w:t>
            </w:r>
          </w:p>
        </w:tc>
      </w:tr>
    </w:tbl>
    <w:p w14:paraId="34242B76">
      <w:pPr>
        <w:keepNext w:val="0"/>
        <w:keepLines w:val="0"/>
        <w:pageBreakBefore w:val="0"/>
        <w:widowControl/>
        <w:suppressLineNumbers w:val="0"/>
        <w:kinsoku/>
        <w:wordWrap/>
        <w:overflowPunct/>
        <w:topLinePunct w:val="0"/>
        <w:autoSpaceDE/>
        <w:autoSpaceDN/>
        <w:bidi w:val="0"/>
        <w:adjustRightInd/>
        <w:snapToGrid/>
        <w:spacing w:line="480" w:lineRule="auto"/>
        <w:ind w:firstLine="482" w:firstLineChars="200"/>
        <w:jc w:val="left"/>
        <w:textAlignment w:val="auto"/>
        <w:rPr>
          <w:rFonts w:hint="eastAsia" w:asciiTheme="minorEastAsia" w:hAnsiTheme="minorEastAsia" w:eastAsiaTheme="minorEastAsia" w:cstheme="minorEastAsia"/>
          <w:b/>
          <w:bCs/>
          <w:color w:val="auto"/>
          <w:highlight w:val="none"/>
        </w:rPr>
      </w:pPr>
    </w:p>
    <w:p w14:paraId="6A00E2C2">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供应商全称（加盖单位公章）：</w:t>
      </w:r>
    </w:p>
    <w:p w14:paraId="68AE7562">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法定代表人（签字或盖章）：</w:t>
      </w:r>
    </w:p>
    <w:p w14:paraId="1CB3B9C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年 月 日</w:t>
      </w:r>
    </w:p>
    <w:p w14:paraId="23F34C05">
      <w:pPr>
        <w:spacing w:line="44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1536" w:name="_Toc17476"/>
      <w:bookmarkStart w:id="1537" w:name="_Toc12725"/>
      <w:bookmarkStart w:id="1538" w:name="_Toc26741"/>
      <w:r>
        <w:rPr>
          <w:rFonts w:hint="eastAsia" w:ascii="宋体" w:hAnsi="宋体" w:eastAsia="宋体" w:cs="宋体"/>
          <w:b/>
          <w:color w:val="auto"/>
          <w:sz w:val="24"/>
          <w:szCs w:val="24"/>
          <w:highlight w:val="none"/>
        </w:rPr>
        <w:t>附件2-2  法定代表人授权委托书</w:t>
      </w:r>
      <w:bookmarkEnd w:id="1536"/>
      <w:bookmarkEnd w:id="1537"/>
      <w:bookmarkEnd w:id="1538"/>
    </w:p>
    <w:p w14:paraId="1DB8A685">
      <w:pPr>
        <w:keepNext w:val="0"/>
        <w:keepLines w:val="0"/>
        <w:widowControl/>
        <w:suppressLineNumbers w:val="0"/>
        <w:jc w:val="left"/>
        <w:rPr>
          <w:rFonts w:ascii="宋体" w:hAnsi="宋体" w:eastAsia="宋体" w:cs="宋体"/>
          <w:color w:val="auto"/>
          <w:kern w:val="0"/>
          <w:sz w:val="24"/>
          <w:szCs w:val="24"/>
          <w:highlight w:val="none"/>
          <w:lang w:val="en-US" w:eastAsia="zh-CN" w:bidi="ar"/>
        </w:rPr>
      </w:pPr>
    </w:p>
    <w:p w14:paraId="743BD0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致：</w:t>
      </w:r>
      <w:r>
        <w:rPr>
          <w:rStyle w:val="37"/>
          <w:rFonts w:ascii="宋体" w:hAnsi="宋体" w:eastAsia="宋体" w:cs="宋体"/>
          <w:color w:val="auto"/>
          <w:kern w:val="0"/>
          <w:sz w:val="24"/>
          <w:szCs w:val="24"/>
          <w:highlight w:val="none"/>
          <w:lang w:val="en-US" w:eastAsia="zh-CN" w:bidi="ar"/>
        </w:rPr>
        <w:t>（采购人全称）</w:t>
      </w:r>
      <w:r>
        <w:rPr>
          <w:rFonts w:ascii="宋体" w:hAnsi="宋体" w:eastAsia="宋体" w:cs="宋体"/>
          <w:color w:val="auto"/>
          <w:kern w:val="0"/>
          <w:sz w:val="24"/>
          <w:szCs w:val="24"/>
          <w:highlight w:val="none"/>
          <w:lang w:val="en-US" w:eastAsia="zh-CN" w:bidi="ar"/>
        </w:rPr>
        <w:t>、</w:t>
      </w:r>
      <w:r>
        <w:rPr>
          <w:rStyle w:val="37"/>
          <w:rFonts w:ascii="宋体" w:hAnsi="宋体" w:eastAsia="宋体" w:cs="宋体"/>
          <w:color w:val="auto"/>
          <w:kern w:val="0"/>
          <w:sz w:val="24"/>
          <w:szCs w:val="24"/>
          <w:highlight w:val="none"/>
          <w:lang w:val="en-US" w:eastAsia="zh-CN" w:bidi="ar"/>
        </w:rPr>
        <w:t>（采购代理机构全称）</w:t>
      </w:r>
    </w:p>
    <w:p w14:paraId="69D889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本人</w:t>
      </w:r>
      <w:r>
        <w:rPr>
          <w:rStyle w:val="37"/>
          <w:rFonts w:ascii="宋体" w:hAnsi="宋体" w:eastAsia="宋体" w:cs="宋体"/>
          <w:color w:val="auto"/>
          <w:kern w:val="0"/>
          <w:sz w:val="24"/>
          <w:szCs w:val="24"/>
          <w:highlight w:val="none"/>
          <w:lang w:val="en-US" w:eastAsia="zh-CN" w:bidi="ar"/>
        </w:rPr>
        <w:t>（法定代表人姓名）</w:t>
      </w:r>
      <w:r>
        <w:rPr>
          <w:rFonts w:ascii="宋体" w:hAnsi="宋体" w:eastAsia="宋体" w:cs="宋体"/>
          <w:color w:val="auto"/>
          <w:kern w:val="0"/>
          <w:sz w:val="24"/>
          <w:szCs w:val="24"/>
          <w:highlight w:val="none"/>
          <w:lang w:val="en-US" w:eastAsia="zh-CN" w:bidi="ar"/>
        </w:rPr>
        <w:t>，系</w:t>
      </w:r>
      <w:r>
        <w:rPr>
          <w:rStyle w:val="37"/>
          <w:rFonts w:ascii="宋体" w:hAnsi="宋体" w:eastAsia="宋体" w:cs="宋体"/>
          <w:color w:val="auto"/>
          <w:kern w:val="0"/>
          <w:sz w:val="24"/>
          <w:szCs w:val="24"/>
          <w:highlight w:val="none"/>
          <w:lang w:val="en-US" w:eastAsia="zh-CN" w:bidi="ar"/>
        </w:rPr>
        <w:t>（供应商单位全称）</w:t>
      </w:r>
      <w:r>
        <w:rPr>
          <w:rFonts w:ascii="宋体" w:hAnsi="宋体" w:eastAsia="宋体" w:cs="宋体"/>
          <w:color w:val="auto"/>
          <w:kern w:val="0"/>
          <w:sz w:val="24"/>
          <w:szCs w:val="24"/>
          <w:highlight w:val="none"/>
          <w:lang w:val="en-US" w:eastAsia="zh-CN" w:bidi="ar"/>
        </w:rPr>
        <w:t>的法定代表人，现授权委托我单位在职员工</w:t>
      </w:r>
      <w:r>
        <w:rPr>
          <w:rStyle w:val="37"/>
          <w:rFonts w:ascii="宋体" w:hAnsi="宋体" w:eastAsia="宋体" w:cs="宋体"/>
          <w:color w:val="auto"/>
          <w:kern w:val="0"/>
          <w:sz w:val="24"/>
          <w:szCs w:val="24"/>
          <w:highlight w:val="none"/>
          <w:lang w:val="en-US" w:eastAsia="zh-CN" w:bidi="ar"/>
        </w:rPr>
        <w:t>（被授权委托人姓名）</w:t>
      </w:r>
      <w:r>
        <w:rPr>
          <w:rFonts w:ascii="宋体" w:hAnsi="宋体" w:eastAsia="宋体" w:cs="宋体"/>
          <w:color w:val="auto"/>
          <w:kern w:val="0"/>
          <w:sz w:val="24"/>
          <w:szCs w:val="24"/>
          <w:highlight w:val="none"/>
          <w:lang w:val="en-US" w:eastAsia="zh-CN" w:bidi="ar"/>
        </w:rPr>
        <w:t>（身份证号码</w:t>
      </w:r>
      <w:r>
        <w:rPr>
          <w:rFonts w:hint="eastAsia"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，作为我单位合法授权委托代理人，全权代表我单位参与</w:t>
      </w:r>
      <w:r>
        <w:rPr>
          <w:rStyle w:val="37"/>
          <w:rFonts w:ascii="宋体" w:hAnsi="宋体" w:eastAsia="宋体" w:cs="宋体"/>
          <w:color w:val="auto"/>
          <w:kern w:val="0"/>
          <w:sz w:val="24"/>
          <w:szCs w:val="24"/>
          <w:highlight w:val="none"/>
          <w:lang w:val="en-US" w:eastAsia="zh-CN" w:bidi="ar"/>
        </w:rPr>
        <w:t>（本项目全称）</w:t>
      </w:r>
      <w:r>
        <w:rPr>
          <w:rFonts w:ascii="宋体" w:hAnsi="宋体" w:eastAsia="宋体" w:cs="宋体"/>
          <w:color w:val="auto"/>
          <w:kern w:val="0"/>
          <w:sz w:val="24"/>
          <w:szCs w:val="24"/>
          <w:highlight w:val="none"/>
          <w:lang w:val="en-US" w:eastAsia="zh-CN" w:bidi="ar"/>
        </w:rPr>
        <w:t>竞争性磋商采购活动。</w:t>
      </w:r>
    </w:p>
    <w:p w14:paraId="74440F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委托代理权限：全权处理本项目响应文件编制、递交、现场开标、磋商、澄清、合同洽谈及签订等与本次采购相关的全部事宜，该代理人在采购活动中所签署的一切文件、承诺及处理的相关事务，均代表我单位真实意思表示，我单位均予以认可，并承担全部法律责任。</w:t>
      </w:r>
    </w:p>
    <w:p w14:paraId="51D751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委托期限：自本委托书签署之日起，至本项目采购活动全部结束、合同履行完毕之日止。</w:t>
      </w:r>
    </w:p>
    <w:p w14:paraId="1A54A7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代理人无转委托权，特此委托。</w:t>
      </w:r>
    </w:p>
    <w:p w14:paraId="22D907D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auto"/>
          <w:highlight w:val="none"/>
        </w:rPr>
      </w:pPr>
      <w:r>
        <w:rPr>
          <w:rStyle w:val="37"/>
          <w:rFonts w:ascii="宋体" w:hAnsi="宋体" w:eastAsia="宋体" w:cs="宋体"/>
          <w:color w:val="auto"/>
          <w:kern w:val="0"/>
          <w:sz w:val="24"/>
          <w:szCs w:val="24"/>
          <w:highlight w:val="none"/>
          <w:lang w:val="en-US" w:eastAsia="zh-CN" w:bidi="ar"/>
        </w:rPr>
        <w:t>附：1. 法定代表人身份证正反面复印件（加盖公章）</w:t>
      </w:r>
    </w:p>
    <w:p w14:paraId="4212EED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auto"/>
          <w:highlight w:val="none"/>
        </w:rPr>
      </w:pPr>
      <w:r>
        <w:rPr>
          <w:rStyle w:val="37"/>
          <w:rFonts w:ascii="宋体" w:hAnsi="宋体" w:eastAsia="宋体" w:cs="宋体"/>
          <w:color w:val="auto"/>
          <w:kern w:val="0"/>
          <w:sz w:val="24"/>
          <w:szCs w:val="24"/>
          <w:highlight w:val="none"/>
          <w:lang w:val="en-US" w:eastAsia="zh-CN" w:bidi="ar"/>
        </w:rPr>
        <w:t>2. 被授权委托人身份证正反面复印件（加盖公章）</w:t>
      </w:r>
    </w:p>
    <w:tbl>
      <w:tblPr>
        <w:tblStyle w:val="35"/>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50"/>
      </w:tblGrid>
      <w:tr w14:paraId="1D8C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4649" w:type="dxa"/>
            <w:vAlign w:val="center"/>
          </w:tcPr>
          <w:p w14:paraId="36EA7DE8">
            <w:pPr>
              <w:widowControl w:val="0"/>
              <w:spacing w:line="440" w:lineRule="exact"/>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rPr>
              <w:t>此处附法定代表人身份证复印件（</w:t>
            </w:r>
            <w:r>
              <w:rPr>
                <w:rFonts w:hint="eastAsia" w:ascii="宋体" w:hAnsi="宋体" w:eastAsia="宋体" w:cs="宋体"/>
                <w:b/>
                <w:bCs/>
                <w:color w:val="auto"/>
                <w:sz w:val="24"/>
                <w:szCs w:val="24"/>
                <w:highlight w:val="none"/>
                <w:vertAlign w:val="baseline"/>
                <w:lang w:val="en-US" w:eastAsia="zh-CN"/>
              </w:rPr>
              <w:t>国徽</w:t>
            </w:r>
            <w:r>
              <w:rPr>
                <w:rFonts w:hint="eastAsia" w:ascii="宋体" w:hAnsi="宋体" w:eastAsia="宋体" w:cs="宋体"/>
                <w:b/>
                <w:bCs/>
                <w:color w:val="auto"/>
                <w:sz w:val="24"/>
                <w:szCs w:val="24"/>
                <w:highlight w:val="none"/>
                <w:vertAlign w:val="baseline"/>
              </w:rPr>
              <w:t>面）</w:t>
            </w:r>
          </w:p>
        </w:tc>
        <w:tc>
          <w:tcPr>
            <w:tcW w:w="4650" w:type="dxa"/>
            <w:vAlign w:val="center"/>
          </w:tcPr>
          <w:p w14:paraId="0FC8E6CE">
            <w:pPr>
              <w:widowControl w:val="0"/>
              <w:spacing w:line="440" w:lineRule="exact"/>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rPr>
              <w:t>此处附法定代表人身份证复印件（人像面）</w:t>
            </w:r>
          </w:p>
        </w:tc>
      </w:tr>
      <w:tr w14:paraId="5FE2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4649" w:type="dxa"/>
            <w:vAlign w:val="center"/>
          </w:tcPr>
          <w:p w14:paraId="758BE051">
            <w:pPr>
              <w:pStyle w:val="5"/>
              <w:widowControl w:val="0"/>
              <w:jc w:val="center"/>
              <w:outlineLvl w:val="9"/>
              <w:rPr>
                <w:rFonts w:hint="eastAsia" w:ascii="宋体" w:hAnsi="宋体" w:eastAsia="宋体" w:cs="宋体"/>
                <w:color w:val="auto"/>
                <w:sz w:val="24"/>
                <w:szCs w:val="24"/>
                <w:highlight w:val="none"/>
                <w:vertAlign w:val="baseline"/>
                <w:lang w:eastAsia="zh-CN"/>
              </w:rPr>
            </w:pPr>
            <w:r>
              <w:rPr>
                <w:rFonts w:hint="eastAsia" w:ascii="宋体" w:hAnsi="宋体"/>
                <w:color w:val="auto"/>
                <w:sz w:val="24"/>
                <w:highlight w:val="none"/>
              </w:rPr>
              <w:t>此处附被授权人身份证复印件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国徽面</w:t>
            </w:r>
            <w:r>
              <w:rPr>
                <w:rFonts w:hint="eastAsia" w:ascii="宋体" w:hAnsi="宋体"/>
                <w:color w:val="auto"/>
                <w:sz w:val="24"/>
                <w:highlight w:val="none"/>
                <w:lang w:eastAsia="zh-CN"/>
              </w:rPr>
              <w:t>）</w:t>
            </w:r>
          </w:p>
        </w:tc>
        <w:tc>
          <w:tcPr>
            <w:tcW w:w="4650" w:type="dxa"/>
            <w:vAlign w:val="center"/>
          </w:tcPr>
          <w:p w14:paraId="71464233">
            <w:pPr>
              <w:pStyle w:val="5"/>
              <w:widowControl w:val="0"/>
              <w:jc w:val="center"/>
              <w:outlineLvl w:val="9"/>
              <w:rPr>
                <w:rFonts w:hint="eastAsia" w:ascii="宋体" w:hAnsi="宋体" w:eastAsia="宋体" w:cs="宋体"/>
                <w:color w:val="auto"/>
                <w:sz w:val="24"/>
                <w:szCs w:val="24"/>
                <w:highlight w:val="none"/>
                <w:vertAlign w:val="baseline"/>
              </w:rPr>
            </w:pPr>
            <w:r>
              <w:rPr>
                <w:rFonts w:hint="eastAsia" w:ascii="宋体" w:hAnsi="宋体"/>
                <w:color w:val="auto"/>
                <w:sz w:val="24"/>
                <w:highlight w:val="none"/>
              </w:rPr>
              <w:t>此处附被授权人身份证复印件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人像面</w:t>
            </w:r>
            <w:r>
              <w:rPr>
                <w:rFonts w:hint="eastAsia" w:ascii="宋体" w:hAnsi="宋体"/>
                <w:color w:val="auto"/>
                <w:sz w:val="24"/>
                <w:highlight w:val="none"/>
                <w:lang w:eastAsia="zh-CN"/>
              </w:rPr>
              <w:t>）</w:t>
            </w:r>
          </w:p>
        </w:tc>
      </w:tr>
    </w:tbl>
    <w:p w14:paraId="406F28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p>
    <w:p w14:paraId="11365C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供应商全称（加盖单位公章）：</w:t>
      </w:r>
    </w:p>
    <w:p w14:paraId="39E536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法定代表人（签字或盖章）：</w:t>
      </w:r>
    </w:p>
    <w:p w14:paraId="51153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被授权委托代理人（签字）：</w:t>
      </w:r>
    </w:p>
    <w:p w14:paraId="1DE19A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联系电话：</w:t>
      </w:r>
    </w:p>
    <w:p w14:paraId="328C66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ascii="宋体" w:hAnsi="宋体" w:eastAsia="宋体" w:cs="宋体"/>
          <w:color w:val="auto"/>
          <w:kern w:val="0"/>
          <w:sz w:val="24"/>
          <w:szCs w:val="24"/>
          <w:highlight w:val="none"/>
          <w:lang w:val="en-US" w:eastAsia="zh-CN" w:bidi="ar"/>
        </w:rPr>
        <w:t>日期： 年 月 日</w:t>
      </w:r>
    </w:p>
    <w:p w14:paraId="4ED225CD">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附件2-3    中小微企业声明函</w:t>
      </w:r>
    </w:p>
    <w:p w14:paraId="29D405F2">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right="0"/>
        <w:jc w:val="center"/>
        <w:textAlignment w:val="auto"/>
        <w:rPr>
          <w:color w:val="auto"/>
          <w:sz w:val="24"/>
          <w:szCs w:val="24"/>
          <w:highlight w:val="none"/>
        </w:rPr>
      </w:pPr>
      <w:r>
        <w:rPr>
          <w:color w:val="auto"/>
          <w:sz w:val="24"/>
          <w:szCs w:val="24"/>
          <w:highlight w:val="none"/>
        </w:rPr>
        <w:t>中小企业划型标准规定</w:t>
      </w:r>
    </w:p>
    <w:p w14:paraId="4652ED36">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textAlignment w:val="auto"/>
        <w:rPr>
          <w:color w:val="auto"/>
          <w:sz w:val="24"/>
          <w:szCs w:val="24"/>
          <w:highlight w:val="none"/>
        </w:rPr>
      </w:pPr>
      <w:r>
        <w:rPr>
          <w:color w:val="auto"/>
          <w:sz w:val="24"/>
          <w:szCs w:val="24"/>
          <w:highlight w:val="none"/>
        </w:rPr>
        <w:t>一、根据《中华人民共和国中小企业促进法》和《国务院关于进一步促进中小企业发展的若干意见》(（国发〔2009〕</w:t>
      </w:r>
      <w:r>
        <w:rPr>
          <w:rFonts w:hint="eastAsia"/>
          <w:color w:val="auto"/>
          <w:sz w:val="24"/>
          <w:szCs w:val="24"/>
          <w:highlight w:val="none"/>
          <w:lang w:eastAsia="zh-CN"/>
        </w:rPr>
        <w:t>〔2009〕36号）</w:t>
      </w:r>
      <w:r>
        <w:rPr>
          <w:color w:val="auto"/>
          <w:sz w:val="24"/>
          <w:szCs w:val="24"/>
          <w:highlight w:val="none"/>
        </w:rPr>
        <w:t>，制定本规定。</w:t>
      </w:r>
      <w:r>
        <w:rPr>
          <w:color w:val="auto"/>
          <w:sz w:val="24"/>
          <w:szCs w:val="24"/>
          <w:highlight w:val="none"/>
        </w:rPr>
        <w:br w:type="textWrapping"/>
      </w:r>
      <w:r>
        <w:rPr>
          <w:color w:val="auto"/>
          <w:sz w:val="24"/>
          <w:szCs w:val="24"/>
          <w:highlight w:val="none"/>
        </w:rPr>
        <w:t>　　二、中小企业划分为中型、小型、微型三种类型，具体标准根据企业从业人员、营业收入、资产总额等指标，结合行业特点制定。</w:t>
      </w:r>
      <w:r>
        <w:rPr>
          <w:color w:val="auto"/>
          <w:sz w:val="24"/>
          <w:szCs w:val="24"/>
          <w:highlight w:val="none"/>
        </w:rPr>
        <w:br w:type="textWrapping"/>
      </w:r>
      <w:r>
        <w:rPr>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w:t>
      </w:r>
      <w:r>
        <w:rPr>
          <w:rFonts w:hint="eastAsia"/>
          <w:color w:val="auto"/>
          <w:sz w:val="24"/>
          <w:szCs w:val="24"/>
          <w:highlight w:val="none"/>
          <w:lang w:eastAsia="zh-CN"/>
        </w:rPr>
        <w:t>建筑业</w:t>
      </w:r>
      <w:r>
        <w:rPr>
          <w:color w:val="auto"/>
          <w:sz w:val="24"/>
          <w:szCs w:val="24"/>
          <w:highlight w:val="none"/>
        </w:rPr>
        <w:t>，房地产开发经营，物业管理，租赁和商务服务业，其他未列明行业（包括科学研究和技术服务业，水利、环境和公共设施管理业，居民服务、修理和其他服务业，社会工作，文化、体育和娱乐业等）。</w:t>
      </w:r>
      <w:r>
        <w:rPr>
          <w:color w:val="auto"/>
          <w:sz w:val="24"/>
          <w:szCs w:val="24"/>
          <w:highlight w:val="none"/>
        </w:rPr>
        <w:br w:type="textWrapping"/>
      </w:r>
      <w:r>
        <w:rPr>
          <w:color w:val="auto"/>
          <w:sz w:val="24"/>
          <w:szCs w:val="24"/>
          <w:highlight w:val="none"/>
        </w:rPr>
        <w:t>　　四、各行业划型标准为：</w:t>
      </w:r>
      <w:r>
        <w:rPr>
          <w:color w:val="auto"/>
          <w:sz w:val="24"/>
          <w:szCs w:val="24"/>
          <w:highlight w:val="none"/>
        </w:rPr>
        <w:br w:type="textWrapping"/>
      </w:r>
      <w:r>
        <w:rPr>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color w:val="auto"/>
          <w:sz w:val="24"/>
          <w:szCs w:val="24"/>
          <w:highlight w:val="none"/>
        </w:rPr>
        <w:br w:type="textWrapping"/>
      </w:r>
      <w:r>
        <w:rPr>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color w:val="auto"/>
          <w:sz w:val="24"/>
          <w:szCs w:val="24"/>
          <w:highlight w:val="none"/>
        </w:rPr>
        <w:br w:type="textWrapping"/>
      </w:r>
      <w:r>
        <w:rPr>
          <w:color w:val="auto"/>
          <w:sz w:val="24"/>
          <w:szCs w:val="24"/>
          <w:highlight w:val="none"/>
        </w:rPr>
        <w:t>　　</w:t>
      </w:r>
      <w:r>
        <w:rPr>
          <w:rFonts w:hint="eastAsia"/>
          <w:color w:val="auto"/>
          <w:sz w:val="24"/>
          <w:szCs w:val="24"/>
          <w:highlight w:val="none"/>
          <w:lang w:val="en-US" w:eastAsia="zh-CN"/>
        </w:rPr>
        <w:t>★</w:t>
      </w:r>
      <w:r>
        <w:rPr>
          <w:b/>
          <w:bCs/>
          <w:color w:val="auto"/>
          <w:sz w:val="24"/>
          <w:szCs w:val="24"/>
          <w:highlight w:val="none"/>
          <w:u w:val="singl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b/>
          <w:bCs/>
          <w:color w:val="auto"/>
          <w:sz w:val="24"/>
          <w:szCs w:val="24"/>
          <w:highlight w:val="none"/>
          <w:u w:val="single"/>
        </w:rPr>
        <w:br w:type="textWrapping"/>
      </w:r>
      <w:r>
        <w:rPr>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color w:val="auto"/>
          <w:sz w:val="24"/>
          <w:szCs w:val="24"/>
          <w:highlight w:val="none"/>
        </w:rPr>
        <w:br w:type="textWrapping"/>
      </w:r>
      <w:r>
        <w:rPr>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color w:val="auto"/>
          <w:sz w:val="24"/>
          <w:szCs w:val="24"/>
          <w:highlight w:val="none"/>
        </w:rPr>
        <w:br w:type="textWrapping"/>
      </w:r>
      <w:r>
        <w:rPr>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color w:val="auto"/>
          <w:sz w:val="24"/>
          <w:szCs w:val="24"/>
          <w:highlight w:val="none"/>
        </w:rPr>
        <w:br w:type="textWrapping"/>
      </w:r>
      <w:r>
        <w:rPr>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color w:val="auto"/>
          <w:sz w:val="24"/>
          <w:szCs w:val="24"/>
          <w:highlight w:val="none"/>
        </w:rPr>
        <w:br w:type="textWrapping"/>
      </w:r>
      <w:r>
        <w:rPr>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w:t>
      </w:r>
      <w:r>
        <w:rPr>
          <w:b w:val="0"/>
          <w:bCs w:val="0"/>
          <w:color w:val="auto"/>
          <w:sz w:val="24"/>
          <w:szCs w:val="24"/>
          <w:highlight w:val="none"/>
          <w:u w:val="none"/>
        </w:rPr>
        <w:t>元以下的为微型企业。</w:t>
      </w:r>
      <w:r>
        <w:rPr>
          <w:b w:val="0"/>
          <w:bCs w:val="0"/>
          <w:color w:val="auto"/>
          <w:sz w:val="24"/>
          <w:szCs w:val="24"/>
          <w:highlight w:val="none"/>
          <w:u w:val="none"/>
        </w:rPr>
        <w:br w:type="textWrapping"/>
      </w:r>
      <w:r>
        <w:rPr>
          <w:b w:val="0"/>
          <w:bCs w:val="0"/>
          <w:color w:val="auto"/>
          <w:sz w:val="24"/>
          <w:szCs w:val="24"/>
          <w:highlight w:val="none"/>
          <w:u w:val="none"/>
        </w:rPr>
        <w:t>　　（十二）</w:t>
      </w:r>
      <w:r>
        <w:rPr>
          <w:rFonts w:hint="eastAsia"/>
          <w:b w:val="0"/>
          <w:bCs w:val="0"/>
          <w:color w:val="auto"/>
          <w:sz w:val="24"/>
          <w:szCs w:val="24"/>
          <w:highlight w:val="none"/>
          <w:u w:val="none"/>
          <w:lang w:val="en-US" w:eastAsia="zh-CN"/>
        </w:rPr>
        <w:t>软件和信息技术服务业</w:t>
      </w:r>
      <w:r>
        <w:rPr>
          <w:b w:val="0"/>
          <w:bCs w:val="0"/>
          <w:color w:val="auto"/>
          <w:sz w:val="24"/>
          <w:szCs w:val="24"/>
          <w:highlight w:val="none"/>
          <w:u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b/>
          <w:bCs/>
          <w:color w:val="auto"/>
          <w:sz w:val="24"/>
          <w:szCs w:val="24"/>
          <w:highlight w:val="none"/>
          <w:u w:val="single"/>
        </w:rPr>
        <w:br w:type="textWrapping"/>
      </w:r>
      <w:r>
        <w:rPr>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color w:val="auto"/>
          <w:sz w:val="24"/>
          <w:szCs w:val="24"/>
          <w:highlight w:val="none"/>
        </w:rPr>
        <w:br w:type="textWrapping"/>
      </w:r>
      <w:r>
        <w:rPr>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color w:val="auto"/>
          <w:sz w:val="24"/>
          <w:szCs w:val="24"/>
          <w:highlight w:val="none"/>
        </w:rPr>
        <w:br w:type="textWrapping"/>
      </w:r>
      <w:r>
        <w:rPr>
          <w:color w:val="auto"/>
          <w:sz w:val="24"/>
          <w:szCs w:val="24"/>
          <w:highlight w:val="none"/>
          <w:u w:val="none"/>
        </w:rPr>
        <w:t>　</w:t>
      </w:r>
      <w:r>
        <w:rPr>
          <w:b w:val="0"/>
          <w:bCs w:val="0"/>
          <w:color w:val="auto"/>
          <w:sz w:val="24"/>
          <w:szCs w:val="24"/>
          <w:highlight w:val="none"/>
          <w:u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b/>
          <w:bCs/>
          <w:color w:val="auto"/>
          <w:sz w:val="24"/>
          <w:szCs w:val="24"/>
          <w:highlight w:val="none"/>
          <w:u w:val="single"/>
        </w:rPr>
        <w:br w:type="textWrapping"/>
      </w:r>
      <w:r>
        <w:rPr>
          <w:color w:val="auto"/>
          <w:sz w:val="24"/>
          <w:szCs w:val="24"/>
          <w:highlight w:val="none"/>
        </w:rPr>
        <w:t>　　（十六）其他未列明行业。从业人员300人以下的为中小微型企业。其中，从业人员100人及以上的为中型企业；从业人员10人及以上的为小型企业；从业人员10人以下的为微型企业。</w:t>
      </w:r>
      <w:r>
        <w:rPr>
          <w:color w:val="auto"/>
          <w:sz w:val="24"/>
          <w:szCs w:val="24"/>
          <w:highlight w:val="none"/>
        </w:rPr>
        <w:br w:type="textWrapping"/>
      </w:r>
      <w:r>
        <w:rPr>
          <w:color w:val="auto"/>
          <w:sz w:val="24"/>
          <w:szCs w:val="24"/>
          <w:highlight w:val="none"/>
        </w:rPr>
        <w:t>　　五、企业类型的划分以统计部门的统计数据为依据。</w:t>
      </w:r>
      <w:r>
        <w:rPr>
          <w:color w:val="auto"/>
          <w:sz w:val="24"/>
          <w:szCs w:val="24"/>
          <w:highlight w:val="none"/>
        </w:rPr>
        <w:br w:type="textWrapping"/>
      </w:r>
      <w:r>
        <w:rPr>
          <w:color w:val="auto"/>
          <w:sz w:val="24"/>
          <w:szCs w:val="24"/>
          <w:highlight w:val="none"/>
        </w:rPr>
        <w:t>　　六、本规定适用于在中华人民共和国境内依法设立的各类所有制和各种组织形式的企业。个体工商户和本规定以外的行业，参照本规定进行划型。</w:t>
      </w:r>
      <w:r>
        <w:rPr>
          <w:color w:val="auto"/>
          <w:sz w:val="24"/>
          <w:szCs w:val="24"/>
          <w:highlight w:val="none"/>
        </w:rPr>
        <w:br w:type="textWrapping"/>
      </w:r>
      <w:r>
        <w:rPr>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color w:val="auto"/>
          <w:sz w:val="24"/>
          <w:szCs w:val="24"/>
          <w:highlight w:val="none"/>
        </w:rPr>
        <w:br w:type="textWrapping"/>
      </w:r>
      <w:r>
        <w:rPr>
          <w:color w:val="auto"/>
          <w:sz w:val="24"/>
          <w:szCs w:val="24"/>
          <w:highlight w:val="none"/>
        </w:rPr>
        <w:t>　　八、本规定由工业和信息化部、国家统计局会同有关部门根据《国民经济行业分类》修订情况和企业发展变化情况适时修订。</w:t>
      </w:r>
      <w:r>
        <w:rPr>
          <w:color w:val="auto"/>
          <w:sz w:val="24"/>
          <w:szCs w:val="24"/>
          <w:highlight w:val="none"/>
        </w:rPr>
        <w:br w:type="textWrapping"/>
      </w:r>
      <w:r>
        <w:rPr>
          <w:color w:val="auto"/>
          <w:sz w:val="24"/>
          <w:szCs w:val="24"/>
          <w:highlight w:val="none"/>
        </w:rPr>
        <w:t>　　九、本规定由工业和信息化部、国家统计局会同有关部门负责解释。</w:t>
      </w:r>
      <w:r>
        <w:rPr>
          <w:color w:val="auto"/>
          <w:sz w:val="24"/>
          <w:szCs w:val="24"/>
          <w:highlight w:val="none"/>
        </w:rPr>
        <w:br w:type="textWrapping"/>
      </w:r>
      <w:r>
        <w:rPr>
          <w:color w:val="auto"/>
          <w:sz w:val="24"/>
          <w:szCs w:val="24"/>
          <w:highlight w:val="none"/>
        </w:rPr>
        <w:t>　　十、本规定自发布之日起执行，原国家经贸委、原国家计委、财政部和国家统计局2003年颁布的《中小企业标准暂行规定》同时废止。</w:t>
      </w:r>
    </w:p>
    <w:p w14:paraId="7DC0D333">
      <w:pPr>
        <w:keepNext w:val="0"/>
        <w:keepLines w:val="0"/>
        <w:widowControl/>
        <w:suppressLineNumbers w:val="0"/>
        <w:wordWrap w:val="0"/>
        <w:spacing w:before="38" w:beforeAutospacing="0" w:after="38" w:afterAutospacing="0" w:line="420" w:lineRule="atLeast"/>
        <w:ind w:left="0" w:right="0" w:firstLine="420"/>
        <w:rPr>
          <w:color w:val="auto"/>
          <w:sz w:val="24"/>
          <w:szCs w:val="24"/>
          <w:highlight w:val="none"/>
        </w:rPr>
      </w:pPr>
      <w:r>
        <w:rPr>
          <w:rStyle w:val="37"/>
          <w:color w:val="auto"/>
          <w:sz w:val="24"/>
          <w:szCs w:val="24"/>
          <w:highlight w:val="none"/>
        </w:rPr>
        <w:t> </w:t>
      </w:r>
    </w:p>
    <w:p w14:paraId="3E0C7EC3">
      <w:pPr>
        <w:rPr>
          <w:color w:val="auto"/>
          <w:sz w:val="24"/>
          <w:szCs w:val="24"/>
          <w:highlight w:val="none"/>
        </w:rPr>
      </w:pPr>
      <w:r>
        <w:rPr>
          <w:color w:val="auto"/>
          <w:sz w:val="24"/>
          <w:szCs w:val="24"/>
          <w:highlight w:val="none"/>
        </w:rPr>
        <w:br w:type="page"/>
      </w:r>
    </w:p>
    <w:p w14:paraId="6219DE38">
      <w:pPr>
        <w:keepNext w:val="0"/>
        <w:keepLines w:val="0"/>
        <w:widowControl/>
        <w:suppressLineNumbers w:val="0"/>
        <w:wordWrap w:val="0"/>
        <w:spacing w:before="38" w:beforeAutospacing="0" w:after="38" w:afterAutospacing="0" w:line="420" w:lineRule="atLeast"/>
        <w:ind w:left="0" w:right="0" w:firstLine="420"/>
        <w:jc w:val="center"/>
        <w:rPr>
          <w:color w:val="auto"/>
          <w:sz w:val="24"/>
          <w:szCs w:val="24"/>
          <w:highlight w:val="none"/>
        </w:rPr>
      </w:pPr>
      <w:r>
        <w:rPr>
          <w:rStyle w:val="37"/>
          <w:color w:val="auto"/>
          <w:sz w:val="24"/>
          <w:szCs w:val="24"/>
          <w:highlight w:val="none"/>
        </w:rPr>
        <w:t>中小企业声明函</w:t>
      </w:r>
      <w:r>
        <w:rPr>
          <w:rStyle w:val="37"/>
          <w:rFonts w:hint="eastAsia"/>
          <w:color w:val="auto"/>
          <w:sz w:val="24"/>
          <w:szCs w:val="24"/>
          <w:highlight w:val="none"/>
          <w:lang w:eastAsia="zh-CN"/>
        </w:rPr>
        <w:t>（</w:t>
      </w:r>
      <w:r>
        <w:rPr>
          <w:rStyle w:val="37"/>
          <w:color w:val="auto"/>
          <w:sz w:val="24"/>
          <w:szCs w:val="24"/>
          <w:highlight w:val="none"/>
        </w:rPr>
        <w:t>（工程、服务</w:t>
      </w:r>
      <w:r>
        <w:rPr>
          <w:rStyle w:val="37"/>
          <w:rFonts w:hint="eastAsia"/>
          <w:color w:val="auto"/>
          <w:sz w:val="24"/>
          <w:szCs w:val="24"/>
          <w:highlight w:val="none"/>
          <w:lang w:eastAsia="zh-CN"/>
        </w:rPr>
        <w:t>）</w:t>
      </w:r>
      <w:r>
        <w:rPr>
          <w:rStyle w:val="37"/>
          <w:color w:val="auto"/>
          <w:sz w:val="24"/>
          <w:szCs w:val="24"/>
          <w:highlight w:val="none"/>
        </w:rPr>
        <w:t>）</w:t>
      </w:r>
    </w:p>
    <w:p w14:paraId="6B58DF70">
      <w:pPr>
        <w:keepNext w:val="0"/>
        <w:keepLines w:val="0"/>
        <w:widowControl/>
        <w:suppressLineNumbers w:val="0"/>
        <w:wordWrap w:val="0"/>
        <w:spacing w:before="38" w:beforeAutospacing="0" w:after="38" w:afterAutospacing="0" w:line="420" w:lineRule="atLeast"/>
        <w:ind w:left="0" w:right="0" w:firstLine="420"/>
        <w:rPr>
          <w:color w:val="auto"/>
          <w:sz w:val="24"/>
          <w:szCs w:val="24"/>
          <w:highlight w:val="none"/>
        </w:rPr>
      </w:pPr>
      <w:r>
        <w:rPr>
          <w:color w:val="auto"/>
          <w:sz w:val="24"/>
          <w:szCs w:val="24"/>
          <w:highlight w:val="none"/>
        </w:rPr>
        <w:t> </w:t>
      </w:r>
    </w:p>
    <w:p w14:paraId="667A77D2">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textAlignment w:val="auto"/>
        <w:rPr>
          <w:color w:val="auto"/>
          <w:sz w:val="24"/>
          <w:szCs w:val="24"/>
          <w:highlight w:val="none"/>
        </w:rPr>
      </w:pPr>
      <w:r>
        <w:rPr>
          <w:color w:val="auto"/>
          <w:sz w:val="24"/>
          <w:szCs w:val="24"/>
          <w:highlight w:val="none"/>
        </w:rPr>
        <w:t>本公司（联合体）郑重声明，根据《政府采购促进中小企业发展管理办法》（财库〔2020〕</w:t>
      </w:r>
      <w:r>
        <w:rPr>
          <w:rFonts w:hint="eastAsia"/>
          <w:color w:val="auto"/>
          <w:sz w:val="24"/>
          <w:szCs w:val="24"/>
          <w:highlight w:val="none"/>
          <w:lang w:eastAsia="zh-CN"/>
        </w:rPr>
        <w:t>〔2020〕46号</w:t>
      </w:r>
      <w:r>
        <w:rPr>
          <w:color w:val="auto"/>
          <w:sz w:val="24"/>
          <w:szCs w:val="24"/>
          <w:highlight w:val="none"/>
        </w:rPr>
        <w:t>）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76BACEE">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textAlignment w:val="auto"/>
        <w:rPr>
          <w:color w:val="auto"/>
          <w:sz w:val="24"/>
          <w:szCs w:val="24"/>
          <w:highlight w:val="none"/>
        </w:rPr>
      </w:pPr>
      <w:r>
        <w:rPr>
          <w:color w:val="auto"/>
          <w:sz w:val="24"/>
          <w:szCs w:val="24"/>
          <w:highlight w:val="none"/>
        </w:rPr>
        <w:t>1.（标的名称），属于（采购文件中明确的所属行业）；承建（承接）企业为（企业名称），从业人员  人，营业收入为  万元，资产总额为  万元，属于（中型企业、小型企业、微型企业）；</w:t>
      </w:r>
    </w:p>
    <w:p w14:paraId="5B9114D5">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textAlignment w:val="auto"/>
        <w:rPr>
          <w:color w:val="auto"/>
          <w:sz w:val="24"/>
          <w:szCs w:val="24"/>
          <w:highlight w:val="none"/>
        </w:rPr>
      </w:pPr>
      <w:r>
        <w:rPr>
          <w:color w:val="auto"/>
          <w:sz w:val="24"/>
          <w:szCs w:val="24"/>
          <w:highlight w:val="none"/>
        </w:rPr>
        <w:t>2. （标的名称），属于（采购文件中明确的所属行业）；承建（承接）企业为（企业名称），从业人员  人，营业收入为  万元，资产总额为  万元，属于（中型企业、小型企业、微型企业）；</w:t>
      </w:r>
    </w:p>
    <w:p w14:paraId="4E03D903">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textAlignment w:val="auto"/>
        <w:rPr>
          <w:color w:val="auto"/>
          <w:sz w:val="24"/>
          <w:szCs w:val="24"/>
          <w:highlight w:val="none"/>
        </w:rPr>
      </w:pPr>
      <w:r>
        <w:rPr>
          <w:color w:val="auto"/>
          <w:sz w:val="24"/>
          <w:szCs w:val="24"/>
          <w:highlight w:val="none"/>
        </w:rPr>
        <w:t>……</w:t>
      </w:r>
    </w:p>
    <w:p w14:paraId="20498F23">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textAlignment w:val="auto"/>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7357C13E">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textAlignment w:val="auto"/>
        <w:rPr>
          <w:color w:val="auto"/>
          <w:sz w:val="24"/>
          <w:szCs w:val="24"/>
          <w:highlight w:val="none"/>
        </w:rPr>
      </w:pPr>
      <w:r>
        <w:rPr>
          <w:color w:val="auto"/>
          <w:sz w:val="24"/>
          <w:szCs w:val="24"/>
          <w:highlight w:val="none"/>
        </w:rPr>
        <w:t>本企业对上述声明内容的真实性负责。如有虚假，将依法承担相应责任。</w:t>
      </w:r>
    </w:p>
    <w:p w14:paraId="1A821B00">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jc w:val="both"/>
        <w:textAlignment w:val="auto"/>
        <w:rPr>
          <w:color w:val="auto"/>
          <w:sz w:val="24"/>
          <w:szCs w:val="24"/>
          <w:highlight w:val="none"/>
        </w:rPr>
      </w:pPr>
    </w:p>
    <w:p w14:paraId="02C655C7">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jc w:val="right"/>
        <w:textAlignment w:val="auto"/>
        <w:rPr>
          <w:color w:val="auto"/>
          <w:sz w:val="24"/>
          <w:szCs w:val="24"/>
          <w:highlight w:val="none"/>
        </w:rPr>
      </w:pPr>
      <w:r>
        <w:rPr>
          <w:color w:val="auto"/>
          <w:sz w:val="24"/>
          <w:szCs w:val="24"/>
          <w:highlight w:val="none"/>
        </w:rPr>
        <w:t>企业名称（盖章）：</w:t>
      </w:r>
    </w:p>
    <w:p w14:paraId="70F98DEA">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80" w:lineRule="exact"/>
        <w:ind w:left="0" w:right="0" w:firstLine="420"/>
        <w:jc w:val="right"/>
        <w:textAlignment w:val="auto"/>
        <w:rPr>
          <w:color w:val="auto"/>
          <w:highlight w:val="none"/>
        </w:rPr>
      </w:pPr>
      <w:r>
        <w:rPr>
          <w:color w:val="auto"/>
          <w:sz w:val="24"/>
          <w:szCs w:val="24"/>
          <w:highlight w:val="none"/>
        </w:rPr>
        <w:t>日期： </w:t>
      </w:r>
    </w:p>
    <w:p w14:paraId="3A79A1AD">
      <w:pPr>
        <w:keepNext w:val="0"/>
        <w:keepLines w:val="0"/>
        <w:widowControl/>
        <w:suppressLineNumbers w:val="0"/>
        <w:wordWrap w:val="0"/>
        <w:spacing w:before="38" w:beforeAutospacing="0" w:after="38" w:afterAutospacing="0" w:line="420" w:lineRule="atLeast"/>
        <w:ind w:left="0" w:right="0" w:firstLine="420"/>
        <w:jc w:val="right"/>
        <w:rPr>
          <w:color w:val="auto"/>
          <w:highlight w:val="none"/>
        </w:rPr>
      </w:pPr>
      <w:r>
        <w:rPr>
          <w:color w:val="auto"/>
          <w:highlight w:val="none"/>
        </w:rPr>
        <w:t> </w:t>
      </w:r>
    </w:p>
    <w:p w14:paraId="4B2E749D">
      <w:pPr>
        <w:keepNext w:val="0"/>
        <w:keepLines w:val="0"/>
        <w:widowControl/>
        <w:suppressLineNumbers w:val="0"/>
        <w:wordWrap w:val="0"/>
        <w:spacing w:before="38" w:beforeAutospacing="0" w:after="38" w:afterAutospacing="0"/>
        <w:ind w:left="0" w:right="0"/>
        <w:rPr>
          <w:color w:val="auto"/>
          <w:highlight w:val="none"/>
        </w:rPr>
      </w:pPr>
    </w:p>
    <w:p w14:paraId="18B3A4FE">
      <w:pPr>
        <w:spacing w:line="360" w:lineRule="auto"/>
        <w:rPr>
          <w:rFonts w:hint="eastAsia" w:ascii="宋体" w:hAnsi="宋体" w:eastAsia="宋体" w:cs="宋体"/>
          <w:color w:val="auto"/>
          <w:sz w:val="24"/>
          <w:szCs w:val="24"/>
          <w:highlight w:val="none"/>
        </w:rPr>
      </w:pPr>
    </w:p>
    <w:p w14:paraId="353C1407">
      <w:pPr>
        <w:spacing w:line="360" w:lineRule="auto"/>
        <w:ind w:firstLine="480" w:firstLineChars="200"/>
        <w:rPr>
          <w:rFonts w:hint="eastAsia" w:ascii="宋体" w:hAnsi="宋体" w:eastAsia="宋体" w:cs="宋体"/>
          <w:color w:val="auto"/>
          <w:sz w:val="24"/>
          <w:szCs w:val="24"/>
          <w:highlight w:val="none"/>
        </w:rPr>
      </w:pPr>
    </w:p>
    <w:p w14:paraId="5CD92EE0">
      <w:pPr>
        <w:keepNext w:val="0"/>
        <w:keepLines w:val="0"/>
        <w:pageBreakBefore w:val="0"/>
        <w:widowControl/>
        <w:tabs>
          <w:tab w:val="left" w:pos="3777"/>
          <w:tab w:val="center" w:pos="4819"/>
        </w:tabs>
        <w:kinsoku/>
        <w:wordWrap/>
        <w:overflowPunct/>
        <w:topLinePunct w:val="0"/>
        <w:bidi w:val="0"/>
        <w:spacing w:line="48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1539" w:name="_Toc2402"/>
      <w:r>
        <w:rPr>
          <w:rFonts w:hint="eastAsia" w:ascii="宋体" w:hAnsi="宋体" w:eastAsia="宋体" w:cs="宋体"/>
          <w:b/>
          <w:color w:val="auto"/>
          <w:sz w:val="24"/>
          <w:szCs w:val="24"/>
          <w:highlight w:val="none"/>
        </w:rPr>
        <w:t>附件2-4  监狱企业证明文件</w:t>
      </w:r>
      <w:bookmarkEnd w:id="1539"/>
    </w:p>
    <w:p w14:paraId="12E83B84">
      <w:pPr>
        <w:keepNext w:val="0"/>
        <w:keepLines w:val="0"/>
        <w:pageBreakBefore w:val="0"/>
        <w:widowControl/>
        <w:kinsoku/>
        <w:wordWrap/>
        <w:overflowPunct/>
        <w:topLinePunct w:val="0"/>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14:paraId="723FFF42">
      <w:pPr>
        <w:keepNext w:val="0"/>
        <w:keepLines w:val="0"/>
        <w:pageBreakBefore w:val="0"/>
        <w:widowControl/>
        <w:kinsoku/>
        <w:wordWrap/>
        <w:overflowPunct/>
        <w:topLinePunct w:val="0"/>
        <w:bidi w:val="0"/>
        <w:spacing w:line="48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67851777">
      <w:pPr>
        <w:keepNext w:val="0"/>
        <w:keepLines w:val="0"/>
        <w:pageBreakBefore w:val="0"/>
        <w:widowControl/>
        <w:kinsoku/>
        <w:wordWrap/>
        <w:overflowPunct/>
        <w:topLinePunct w:val="0"/>
        <w:bidi w:val="0"/>
        <w:adjustRightInd w:val="0"/>
        <w:snapToGrid w:val="0"/>
        <w:spacing w:line="480" w:lineRule="exact"/>
        <w:ind w:firstLine="5544" w:firstLineChars="2200"/>
        <w:textAlignment w:val="auto"/>
        <w:rPr>
          <w:rFonts w:hint="eastAsia" w:ascii="宋体" w:hAnsi="宋体" w:eastAsia="宋体" w:cs="宋体"/>
          <w:color w:val="auto"/>
          <w:spacing w:val="6"/>
          <w:sz w:val="24"/>
          <w:szCs w:val="24"/>
          <w:highlight w:val="none"/>
        </w:rPr>
      </w:pPr>
    </w:p>
    <w:p w14:paraId="00E3C423">
      <w:pPr>
        <w:keepNext w:val="0"/>
        <w:keepLines w:val="0"/>
        <w:pageBreakBefore w:val="0"/>
        <w:widowControl/>
        <w:kinsoku/>
        <w:wordWrap/>
        <w:overflowPunct/>
        <w:topLinePunct w:val="0"/>
        <w:bidi w:val="0"/>
        <w:adjustRightInd w:val="0"/>
        <w:snapToGrid w:val="0"/>
        <w:spacing w:line="480" w:lineRule="exact"/>
        <w:ind w:firstLine="5544" w:firstLineChars="2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14:paraId="6E1B0E09">
      <w:pPr>
        <w:keepNext w:val="0"/>
        <w:keepLines w:val="0"/>
        <w:pageBreakBefore w:val="0"/>
        <w:widowControl/>
        <w:kinsoku/>
        <w:wordWrap/>
        <w:overflowPunct/>
        <w:topLinePunct w:val="0"/>
        <w:bidi w:val="0"/>
        <w:adjustRightInd w:val="0"/>
        <w:snapToGrid w:val="0"/>
        <w:spacing w:line="48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30A2B70B">
      <w:pPr>
        <w:keepNext w:val="0"/>
        <w:keepLines w:val="0"/>
        <w:pageBreakBefore w:val="0"/>
        <w:widowControl/>
        <w:tabs>
          <w:tab w:val="left" w:pos="3600"/>
        </w:tabs>
        <w:kinsoku/>
        <w:wordWrap/>
        <w:overflowPunct/>
        <w:topLinePunct w:val="0"/>
        <w:bidi w:val="0"/>
        <w:adjustRightInd w:val="0"/>
        <w:snapToGrid w:val="0"/>
        <w:spacing w:line="480" w:lineRule="exact"/>
        <w:jc w:val="center"/>
        <w:textAlignment w:val="auto"/>
        <w:rPr>
          <w:rFonts w:hint="eastAsia" w:ascii="宋体" w:hAnsi="宋体" w:eastAsia="宋体" w:cs="宋体"/>
          <w:color w:val="auto"/>
          <w:sz w:val="24"/>
          <w:szCs w:val="24"/>
          <w:highlight w:val="none"/>
        </w:rPr>
      </w:pPr>
    </w:p>
    <w:p w14:paraId="089FD0D9">
      <w:pPr>
        <w:pStyle w:val="29"/>
        <w:keepNext w:val="0"/>
        <w:keepLines w:val="0"/>
        <w:pageBreakBefore w:val="0"/>
        <w:widowControl/>
        <w:kinsoku/>
        <w:wordWrap/>
        <w:overflowPunct/>
        <w:topLinePunct w:val="0"/>
        <w:bidi w:val="0"/>
        <w:spacing w:line="480" w:lineRule="exact"/>
        <w:textAlignment w:val="auto"/>
        <w:rPr>
          <w:rFonts w:hint="eastAsia" w:ascii="宋体" w:hAnsi="宋体" w:eastAsia="宋体" w:cs="宋体"/>
          <w:color w:val="auto"/>
          <w:sz w:val="24"/>
          <w:szCs w:val="24"/>
          <w:highlight w:val="none"/>
        </w:rPr>
      </w:pPr>
    </w:p>
    <w:p w14:paraId="761BD81D">
      <w:pPr>
        <w:pStyle w:val="29"/>
        <w:keepNext w:val="0"/>
        <w:keepLines w:val="0"/>
        <w:pageBreakBefore w:val="0"/>
        <w:widowControl/>
        <w:kinsoku/>
        <w:wordWrap/>
        <w:overflowPunct/>
        <w:topLinePunct w:val="0"/>
        <w:bidi w:val="0"/>
        <w:spacing w:line="480" w:lineRule="exact"/>
        <w:textAlignment w:val="auto"/>
        <w:rPr>
          <w:rFonts w:hint="eastAsia" w:ascii="宋体" w:hAnsi="宋体" w:eastAsia="宋体" w:cs="宋体"/>
          <w:color w:val="auto"/>
          <w:sz w:val="24"/>
          <w:szCs w:val="24"/>
          <w:highlight w:val="none"/>
        </w:rPr>
      </w:pPr>
    </w:p>
    <w:p w14:paraId="253ED516">
      <w:pPr>
        <w:keepNext w:val="0"/>
        <w:keepLines w:val="0"/>
        <w:pageBreakBefore w:val="0"/>
        <w:widowControl/>
        <w:tabs>
          <w:tab w:val="left" w:pos="3600"/>
        </w:tabs>
        <w:kinsoku/>
        <w:wordWrap/>
        <w:overflowPunct/>
        <w:topLinePunct w:val="0"/>
        <w:bidi w:val="0"/>
        <w:adjustRightInd w:val="0"/>
        <w:snapToGrid w:val="0"/>
        <w:spacing w:line="480" w:lineRule="exact"/>
        <w:jc w:val="center"/>
        <w:textAlignment w:val="auto"/>
        <w:outlineLvl w:val="9"/>
        <w:rPr>
          <w:rFonts w:hint="eastAsia" w:ascii="宋体" w:hAnsi="宋体" w:eastAsia="宋体" w:cs="宋体"/>
          <w:b/>
          <w:bCs/>
          <w:color w:val="auto"/>
          <w:spacing w:val="6"/>
          <w:sz w:val="24"/>
          <w:szCs w:val="24"/>
          <w:highlight w:val="none"/>
        </w:rPr>
      </w:pPr>
      <w:bookmarkStart w:id="1540" w:name="_Toc2938"/>
      <w:r>
        <w:rPr>
          <w:rFonts w:hint="eastAsia" w:ascii="宋体" w:hAnsi="宋体" w:eastAsia="宋体" w:cs="宋体"/>
          <w:b/>
          <w:color w:val="auto"/>
          <w:sz w:val="24"/>
          <w:szCs w:val="24"/>
          <w:highlight w:val="none"/>
        </w:rPr>
        <w:t xml:space="preserve">附件2-5  </w:t>
      </w:r>
      <w:r>
        <w:rPr>
          <w:rFonts w:hint="eastAsia" w:ascii="宋体" w:hAnsi="宋体" w:eastAsia="宋体" w:cs="宋体"/>
          <w:b/>
          <w:bCs/>
          <w:color w:val="auto"/>
          <w:spacing w:val="6"/>
          <w:sz w:val="24"/>
          <w:szCs w:val="24"/>
          <w:highlight w:val="none"/>
        </w:rPr>
        <w:t>残疾人福利性单位声明函</w:t>
      </w:r>
      <w:bookmarkEnd w:id="1540"/>
    </w:p>
    <w:p w14:paraId="76816CE7">
      <w:pPr>
        <w:keepNext w:val="0"/>
        <w:keepLines w:val="0"/>
        <w:pageBreakBefore w:val="0"/>
        <w:widowControl/>
        <w:kinsoku/>
        <w:wordWrap/>
        <w:overflowPunct/>
        <w:topLinePunct w:val="0"/>
        <w:autoSpaceDE w:val="0"/>
        <w:autoSpaceDN w:val="0"/>
        <w:bidi w:val="0"/>
        <w:adjustRightInd w:val="0"/>
        <w:spacing w:line="480" w:lineRule="exact"/>
        <w:textAlignment w:val="auto"/>
        <w:rPr>
          <w:rFonts w:hint="eastAsia" w:ascii="宋体" w:hAnsi="宋体" w:eastAsia="宋体" w:cs="宋体"/>
          <w:b/>
          <w:bCs/>
          <w:color w:val="auto"/>
          <w:spacing w:val="6"/>
          <w:sz w:val="24"/>
          <w:szCs w:val="24"/>
          <w:highlight w:val="none"/>
        </w:rPr>
      </w:pPr>
    </w:p>
    <w:p w14:paraId="5E3BD7CC">
      <w:pPr>
        <w:keepNext w:val="0"/>
        <w:keepLines w:val="0"/>
        <w:pageBreakBefore w:val="0"/>
        <w:widowControl/>
        <w:kinsoku/>
        <w:wordWrap/>
        <w:overflowPunct/>
        <w:topLinePunct w:val="0"/>
        <w:bidi w:val="0"/>
        <w:adjustRightInd w:val="0"/>
        <w:snapToGrid w:val="0"/>
        <w:spacing w:line="48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cs="宋体"/>
          <w:color w:val="auto"/>
          <w:spacing w:val="6"/>
          <w:sz w:val="24"/>
          <w:szCs w:val="24"/>
          <w:highlight w:val="none"/>
          <w:lang w:eastAsia="zh-CN"/>
        </w:rPr>
        <w:t>〔2017〕141号</w:t>
      </w:r>
      <w:r>
        <w:rPr>
          <w:rFonts w:hint="eastAsia" w:ascii="宋体" w:hAnsi="宋体" w:eastAsia="宋体" w:cs="宋体"/>
          <w:color w:val="auto"/>
          <w:spacing w:val="6"/>
          <w:sz w:val="24"/>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D28CF2">
      <w:pPr>
        <w:keepNext w:val="0"/>
        <w:keepLines w:val="0"/>
        <w:pageBreakBefore w:val="0"/>
        <w:widowControl/>
        <w:kinsoku/>
        <w:wordWrap/>
        <w:overflowPunct/>
        <w:topLinePunct w:val="0"/>
        <w:bidi w:val="0"/>
        <w:adjustRightInd w:val="0"/>
        <w:snapToGrid w:val="0"/>
        <w:spacing w:line="48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14:paraId="0075DF9B">
      <w:pPr>
        <w:keepNext w:val="0"/>
        <w:keepLines w:val="0"/>
        <w:pageBreakBefore w:val="0"/>
        <w:widowControl/>
        <w:kinsoku/>
        <w:wordWrap/>
        <w:overflowPunct/>
        <w:topLinePunct w:val="0"/>
        <w:bidi w:val="0"/>
        <w:adjustRightInd w:val="0"/>
        <w:snapToGrid w:val="0"/>
        <w:spacing w:line="480" w:lineRule="exact"/>
        <w:ind w:firstLine="504" w:firstLineChars="200"/>
        <w:textAlignment w:val="auto"/>
        <w:rPr>
          <w:rFonts w:hint="eastAsia" w:ascii="宋体" w:hAnsi="宋体" w:eastAsia="宋体" w:cs="宋体"/>
          <w:color w:val="auto"/>
          <w:spacing w:val="6"/>
          <w:sz w:val="24"/>
          <w:szCs w:val="24"/>
          <w:highlight w:val="none"/>
        </w:rPr>
      </w:pPr>
    </w:p>
    <w:p w14:paraId="450FFFEB">
      <w:pPr>
        <w:keepNext w:val="0"/>
        <w:keepLines w:val="0"/>
        <w:pageBreakBefore w:val="0"/>
        <w:widowControl/>
        <w:kinsoku/>
        <w:wordWrap/>
        <w:overflowPunct/>
        <w:topLinePunct w:val="0"/>
        <w:bidi w:val="0"/>
        <w:adjustRightInd w:val="0"/>
        <w:snapToGrid w:val="0"/>
        <w:spacing w:line="480" w:lineRule="exact"/>
        <w:ind w:firstLine="5544" w:firstLineChars="2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14:paraId="11D9C692">
      <w:pPr>
        <w:keepNext w:val="0"/>
        <w:keepLines w:val="0"/>
        <w:pageBreakBefore w:val="0"/>
        <w:widowControl/>
        <w:kinsoku/>
        <w:wordWrap/>
        <w:overflowPunct/>
        <w:topLinePunct w:val="0"/>
        <w:bidi w:val="0"/>
        <w:adjustRightInd w:val="0"/>
        <w:snapToGrid w:val="0"/>
        <w:spacing w:line="48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6AA39911">
      <w:pPr>
        <w:pStyle w:val="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1340CB3">
      <w:pPr>
        <w:rPr>
          <w:rFonts w:hint="eastAsia"/>
          <w:b/>
          <w:color w:val="auto"/>
          <w:highlight w:val="none"/>
        </w:rPr>
      </w:pPr>
      <w:r>
        <w:rPr>
          <w:rFonts w:hint="eastAsia"/>
          <w:b/>
          <w:color w:val="auto"/>
          <w:highlight w:val="none"/>
        </w:rPr>
        <w:t>（三）商务技术响应文件</w:t>
      </w:r>
    </w:p>
    <w:p w14:paraId="64D7FB9A">
      <w:pPr>
        <w:rPr>
          <w:rFonts w:hint="eastAsia"/>
          <w:b/>
          <w:color w:val="auto"/>
          <w:highlight w:val="none"/>
        </w:rPr>
      </w:pPr>
      <w:r>
        <w:rPr>
          <w:rFonts w:hint="eastAsia"/>
          <w:b/>
          <w:color w:val="auto"/>
          <w:highlight w:val="none"/>
          <w:lang w:eastAsia="zh-CN"/>
        </w:rPr>
        <w:t>1.</w:t>
      </w:r>
      <w:r>
        <w:rPr>
          <w:rFonts w:hint="eastAsia"/>
          <w:b/>
          <w:color w:val="auto"/>
          <w:highlight w:val="none"/>
        </w:rPr>
        <w:t>商务技术响应文件封面</w:t>
      </w:r>
    </w:p>
    <w:p w14:paraId="4CDC3536">
      <w:pPr>
        <w:rPr>
          <w:rFonts w:hint="eastAsia"/>
          <w:color w:val="auto"/>
          <w:highlight w:val="none"/>
        </w:rPr>
      </w:pPr>
    </w:p>
    <w:p w14:paraId="36F23288">
      <w:pPr>
        <w:rPr>
          <w:rFonts w:hint="eastAsia"/>
          <w:color w:val="auto"/>
          <w:highlight w:val="none"/>
        </w:rPr>
      </w:pPr>
    </w:p>
    <w:p w14:paraId="0489640D">
      <w:pPr>
        <w:jc w:val="center"/>
        <w:rPr>
          <w:rFonts w:hint="eastAsia"/>
          <w:b/>
          <w:color w:val="auto"/>
          <w:highlight w:val="none"/>
        </w:rPr>
      </w:pPr>
    </w:p>
    <w:p w14:paraId="25CFF5A1">
      <w:pPr>
        <w:jc w:val="center"/>
        <w:rPr>
          <w:rFonts w:hint="eastAsia"/>
          <w:b/>
          <w:color w:val="auto"/>
          <w:highlight w:val="none"/>
        </w:rPr>
      </w:pPr>
    </w:p>
    <w:p w14:paraId="360EF017">
      <w:pPr>
        <w:jc w:val="center"/>
        <w:rPr>
          <w:rFonts w:hint="eastAsia"/>
          <w:b/>
          <w:color w:val="auto"/>
          <w:highlight w:val="none"/>
        </w:rPr>
      </w:pPr>
    </w:p>
    <w:p w14:paraId="38141FD8">
      <w:pPr>
        <w:spacing w:line="360" w:lineRule="auto"/>
        <w:ind w:firstLine="480"/>
        <w:jc w:val="center"/>
        <w:rPr>
          <w:rFonts w:hint="eastAsia"/>
          <w:b/>
          <w:bCs/>
          <w:color w:val="auto"/>
          <w:sz w:val="28"/>
          <w:szCs w:val="28"/>
          <w:highlight w:val="none"/>
          <w:lang w:eastAsia="zh-CN"/>
        </w:rPr>
      </w:pPr>
      <w:r>
        <w:rPr>
          <w:rFonts w:hint="eastAsia"/>
          <w:b/>
          <w:bCs/>
          <w:color w:val="auto"/>
          <w:sz w:val="28"/>
          <w:szCs w:val="28"/>
          <w:highlight w:val="none"/>
          <w:lang w:eastAsia="zh-CN"/>
        </w:rPr>
        <w:t>新疆维吾尔自治区某厅某单位路面修缮项目（二次）</w:t>
      </w:r>
    </w:p>
    <w:p w14:paraId="618EDA3A">
      <w:pPr>
        <w:spacing w:line="360" w:lineRule="auto"/>
        <w:ind w:firstLine="480"/>
        <w:jc w:val="center"/>
        <w:rPr>
          <w:rFonts w:hint="eastAsia"/>
          <w:b/>
          <w:bCs/>
          <w:color w:val="auto"/>
          <w:sz w:val="28"/>
          <w:szCs w:val="28"/>
          <w:highlight w:val="none"/>
        </w:rPr>
      </w:pPr>
      <w:r>
        <w:rPr>
          <w:rFonts w:hint="eastAsia"/>
          <w:b/>
          <w:bCs/>
          <w:color w:val="auto"/>
          <w:sz w:val="28"/>
          <w:szCs w:val="28"/>
          <w:highlight w:val="none"/>
        </w:rPr>
        <w:t>商务技术响应文件</w:t>
      </w:r>
    </w:p>
    <w:p w14:paraId="4056C5E7">
      <w:pPr>
        <w:spacing w:line="360" w:lineRule="auto"/>
        <w:ind w:firstLine="480"/>
        <w:rPr>
          <w:rFonts w:hint="eastAsia"/>
          <w:color w:val="auto"/>
          <w:sz w:val="28"/>
          <w:szCs w:val="28"/>
          <w:highlight w:val="none"/>
        </w:rPr>
      </w:pPr>
    </w:p>
    <w:p w14:paraId="5BF2F8CC">
      <w:pPr>
        <w:spacing w:line="360" w:lineRule="auto"/>
        <w:ind w:firstLine="480"/>
        <w:rPr>
          <w:rFonts w:hint="eastAsia"/>
          <w:color w:val="auto"/>
          <w:sz w:val="28"/>
          <w:szCs w:val="28"/>
          <w:highlight w:val="none"/>
        </w:rPr>
      </w:pPr>
    </w:p>
    <w:p w14:paraId="133F87B3">
      <w:pPr>
        <w:spacing w:line="360" w:lineRule="auto"/>
        <w:ind w:firstLine="480"/>
        <w:rPr>
          <w:rFonts w:hint="eastAsia"/>
          <w:color w:val="auto"/>
          <w:sz w:val="28"/>
          <w:szCs w:val="28"/>
          <w:highlight w:val="none"/>
        </w:rPr>
      </w:pPr>
    </w:p>
    <w:p w14:paraId="07458C7D">
      <w:pPr>
        <w:spacing w:line="360" w:lineRule="auto"/>
        <w:ind w:firstLine="480"/>
        <w:rPr>
          <w:rFonts w:hint="eastAsia"/>
          <w:color w:val="auto"/>
          <w:sz w:val="28"/>
          <w:szCs w:val="28"/>
          <w:highlight w:val="none"/>
        </w:rPr>
      </w:pPr>
    </w:p>
    <w:p w14:paraId="122B3C34">
      <w:pPr>
        <w:spacing w:line="360" w:lineRule="auto"/>
        <w:ind w:firstLine="480"/>
        <w:rPr>
          <w:rFonts w:hint="eastAsia"/>
          <w:color w:val="auto"/>
          <w:sz w:val="28"/>
          <w:szCs w:val="28"/>
          <w:highlight w:val="none"/>
        </w:rPr>
      </w:pPr>
    </w:p>
    <w:p w14:paraId="613EE45C">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rPr>
        <w:t>项目编号：</w:t>
      </w:r>
    </w:p>
    <w:p w14:paraId="2899FA36">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供应商</w:t>
      </w:r>
      <w:r>
        <w:rPr>
          <w:rFonts w:hint="eastAsia"/>
          <w:b/>
          <w:bCs/>
          <w:color w:val="auto"/>
          <w:sz w:val="28"/>
          <w:szCs w:val="28"/>
          <w:highlight w:val="none"/>
        </w:rPr>
        <w:t>名称：</w:t>
      </w:r>
    </w:p>
    <w:p w14:paraId="16144266">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响应</w:t>
      </w:r>
      <w:r>
        <w:rPr>
          <w:rFonts w:hint="eastAsia"/>
          <w:b/>
          <w:bCs/>
          <w:color w:val="auto"/>
          <w:sz w:val="28"/>
          <w:szCs w:val="28"/>
          <w:highlight w:val="none"/>
        </w:rPr>
        <w:t>单位联系人：</w:t>
      </w:r>
    </w:p>
    <w:p w14:paraId="621A5B01">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响应</w:t>
      </w:r>
      <w:r>
        <w:rPr>
          <w:rFonts w:hint="eastAsia"/>
          <w:b/>
          <w:bCs/>
          <w:color w:val="auto"/>
          <w:sz w:val="28"/>
          <w:szCs w:val="28"/>
          <w:highlight w:val="none"/>
        </w:rPr>
        <w:t>单位联系电话：</w:t>
      </w:r>
    </w:p>
    <w:p w14:paraId="6AFA43EC">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rPr>
      </w:pPr>
      <w:r>
        <w:rPr>
          <w:rFonts w:hint="eastAsia"/>
          <w:b/>
          <w:bCs/>
          <w:color w:val="auto"/>
          <w:sz w:val="28"/>
          <w:szCs w:val="28"/>
          <w:highlight w:val="none"/>
        </w:rPr>
        <w:t>二〇  年  月</w:t>
      </w:r>
    </w:p>
    <w:p w14:paraId="3694958F">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rPr>
      </w:pPr>
      <w:r>
        <w:rPr>
          <w:color w:val="auto"/>
          <w:highlight w:val="none"/>
        </w:rPr>
        <w:br w:type="page"/>
      </w:r>
      <w:r>
        <w:rPr>
          <w:rFonts w:hint="eastAsia"/>
          <w:color w:val="auto"/>
          <w:highlight w:val="none"/>
          <w:lang w:eastAsia="zh-CN"/>
        </w:rPr>
        <w:t>2.</w:t>
      </w:r>
      <w:r>
        <w:rPr>
          <w:rFonts w:hint="eastAsia"/>
          <w:b/>
          <w:bCs/>
          <w:color w:val="auto"/>
          <w:highlight w:val="none"/>
        </w:rPr>
        <w:t>商务技术响应文件组成</w:t>
      </w:r>
    </w:p>
    <w:p w14:paraId="179408F5">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rPr>
      </w:pPr>
      <w:r>
        <w:rPr>
          <w:rFonts w:hint="eastAsia"/>
          <w:b/>
          <w:bCs/>
          <w:color w:val="auto"/>
          <w:highlight w:val="none"/>
        </w:rPr>
        <w:t>一、</w:t>
      </w:r>
      <w:r>
        <w:rPr>
          <w:rFonts w:hint="eastAsia"/>
          <w:b/>
          <w:bCs/>
          <w:color w:val="auto"/>
          <w:highlight w:val="none"/>
          <w:lang w:eastAsia="zh-CN"/>
        </w:rPr>
        <w:t>供应商</w:t>
      </w:r>
      <w:r>
        <w:rPr>
          <w:rFonts w:hint="eastAsia"/>
          <w:b/>
          <w:bCs/>
          <w:color w:val="auto"/>
          <w:highlight w:val="none"/>
        </w:rPr>
        <w:t>资格声明书</w:t>
      </w:r>
    </w:p>
    <w:p w14:paraId="742226BA">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二、响应书</w:t>
      </w:r>
    </w:p>
    <w:p w14:paraId="5757264C">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三、反商业贿赂承诺书</w:t>
      </w:r>
    </w:p>
    <w:p w14:paraId="284AF521">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四、供应商概况</w:t>
      </w:r>
    </w:p>
    <w:p w14:paraId="4DF89904">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五、项目负责人简历表</w:t>
      </w:r>
    </w:p>
    <w:p w14:paraId="17BECFB0">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六、项目管理机构组成表</w:t>
      </w:r>
    </w:p>
    <w:p w14:paraId="24F786BB">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七、近年完成的类似项目情况表</w:t>
      </w:r>
    </w:p>
    <w:p w14:paraId="7F2CFBE8">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八、施工组织设计</w:t>
      </w:r>
    </w:p>
    <w:p w14:paraId="2F646E3C">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九、售后服务方案</w:t>
      </w:r>
    </w:p>
    <w:p w14:paraId="1A3D038F">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十、供应商认为需要提供的其他说明和资料。</w:t>
      </w:r>
    </w:p>
    <w:p w14:paraId="1914586B">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注：1.供应商制作商务技术响应文件，应按照商务技术响应文件组成顺序制作，编好始末页码且在响应文件目录中一一列明并对应。</w:t>
      </w:r>
    </w:p>
    <w:p w14:paraId="20275BE9">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r>
        <w:rPr>
          <w:rFonts w:hint="eastAsia"/>
          <w:b/>
          <w:bCs/>
          <w:color w:val="auto"/>
          <w:highlight w:val="none"/>
          <w:lang w:val="en-US" w:eastAsia="zh-CN"/>
        </w:rPr>
        <w:t>2.竞争性磋商文件没有提供格式的，供应商可自行设置。</w:t>
      </w:r>
    </w:p>
    <w:p w14:paraId="7E97E032">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p>
    <w:p w14:paraId="33EBCE00">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p>
    <w:p w14:paraId="59357366">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b/>
          <w:bCs/>
          <w:color w:val="auto"/>
          <w:highlight w:val="none"/>
          <w:lang w:val="en-US" w:eastAsia="zh-CN"/>
        </w:rPr>
      </w:pPr>
    </w:p>
    <w:p w14:paraId="7D34FD01">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b/>
          <w:color w:val="auto"/>
          <w:sz w:val="24"/>
          <w:szCs w:val="24"/>
          <w:highlight w:val="none"/>
        </w:rPr>
      </w:pPr>
    </w:p>
    <w:p w14:paraId="2361E55F">
      <w:pPr>
        <w:spacing w:line="360" w:lineRule="auto"/>
        <w:rPr>
          <w:rFonts w:hint="eastAsia"/>
          <w:color w:val="auto"/>
          <w:highlight w:val="none"/>
        </w:rPr>
      </w:pPr>
    </w:p>
    <w:p w14:paraId="7DA92D7F">
      <w:pPr>
        <w:spacing w:line="360" w:lineRule="auto"/>
        <w:rPr>
          <w:rFonts w:hint="eastAsia"/>
          <w:color w:val="auto"/>
          <w:highlight w:val="none"/>
        </w:rPr>
      </w:pPr>
    </w:p>
    <w:p w14:paraId="5E4365FC">
      <w:pPr>
        <w:spacing w:line="440" w:lineRule="exact"/>
        <w:rPr>
          <w:rFonts w:hint="eastAsia"/>
          <w:b/>
          <w:color w:val="auto"/>
          <w:sz w:val="36"/>
          <w:highlight w:val="none"/>
        </w:rPr>
      </w:pPr>
      <w:r>
        <w:rPr>
          <w:color w:val="auto"/>
          <w:highlight w:val="none"/>
        </w:rPr>
        <w:br w:type="page"/>
      </w:r>
      <w:r>
        <w:rPr>
          <w:rFonts w:hint="eastAsia"/>
          <w:color w:val="auto"/>
          <w:highlight w:val="none"/>
          <w:lang w:eastAsia="zh-CN"/>
        </w:rPr>
        <w:t>3.</w:t>
      </w:r>
      <w:r>
        <w:rPr>
          <w:rFonts w:hint="eastAsia"/>
          <w:b/>
          <w:color w:val="auto"/>
          <w:highlight w:val="none"/>
        </w:rPr>
        <w:t>商务技术响应文件格式</w:t>
      </w:r>
    </w:p>
    <w:p w14:paraId="5D85A7F2">
      <w:pPr>
        <w:spacing w:line="440" w:lineRule="exact"/>
        <w:jc w:val="center"/>
        <w:rPr>
          <w:rFonts w:hint="eastAsia" w:ascii="宋体" w:hAnsi="宋体" w:eastAsia="宋体" w:cs="宋体"/>
          <w:b/>
          <w:color w:val="auto"/>
          <w:sz w:val="30"/>
          <w:szCs w:val="30"/>
          <w:highlight w:val="none"/>
        </w:rPr>
      </w:pPr>
      <w:bookmarkStart w:id="1541" w:name="_Toc13648"/>
    </w:p>
    <w:p w14:paraId="6BB9D6F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一、</w:t>
      </w:r>
      <w:r>
        <w:rPr>
          <w:rFonts w:hint="eastAsia" w:cs="宋体"/>
          <w:b/>
          <w:color w:val="auto"/>
          <w:sz w:val="28"/>
          <w:szCs w:val="28"/>
          <w:highlight w:val="none"/>
          <w:lang w:eastAsia="zh-CN"/>
        </w:rPr>
        <w:t>供应商</w:t>
      </w:r>
      <w:r>
        <w:rPr>
          <w:rFonts w:hint="eastAsia" w:ascii="宋体" w:hAnsi="宋体" w:eastAsia="宋体" w:cs="宋体"/>
          <w:b/>
          <w:color w:val="auto"/>
          <w:sz w:val="28"/>
          <w:szCs w:val="28"/>
          <w:highlight w:val="none"/>
        </w:rPr>
        <w:t>资格声明书</w:t>
      </w:r>
    </w:p>
    <w:p w14:paraId="1562283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eastAsia="宋体" w:cs="宋体"/>
          <w:b/>
          <w:color w:val="auto"/>
          <w:sz w:val="32"/>
          <w:szCs w:val="32"/>
          <w:highlight w:val="none"/>
        </w:rPr>
      </w:pPr>
    </w:p>
    <w:p w14:paraId="771C45C5">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color w:val="auto"/>
          <w:highlight w:val="none"/>
        </w:rPr>
        <w:t>致：</w:t>
      </w:r>
      <w:r>
        <w:rPr>
          <w:rFonts w:hint="eastAsia"/>
          <w:b/>
          <w:bCs/>
          <w:color w:val="auto"/>
          <w:highlight w:val="none"/>
          <w:u w:val="single"/>
        </w:rPr>
        <w:t>采购人或采购代理机构</w:t>
      </w:r>
    </w:p>
    <w:p w14:paraId="0C842CFF">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color w:val="auto"/>
          <w:highlight w:val="none"/>
        </w:rPr>
        <w:t>在参与本次项目投标中，我单位承诺：</w:t>
      </w:r>
    </w:p>
    <w:p w14:paraId="5D467FB7">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color w:val="auto"/>
          <w:highlight w:val="none"/>
        </w:rPr>
        <w:t>（一）具有良好的商业信誉和健全的财务会计制度；</w:t>
      </w:r>
    </w:p>
    <w:p w14:paraId="35AF371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color w:val="auto"/>
          <w:highlight w:val="none"/>
        </w:rPr>
        <w:t>（二）具有履行合同所必需的设备和专业技术能力；</w:t>
      </w:r>
    </w:p>
    <w:p w14:paraId="68CF715D">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color w:val="auto"/>
          <w:highlight w:val="none"/>
        </w:rPr>
        <w:t>（三）有依法缴纳税收和社会保障资金的良好记录；</w:t>
      </w:r>
    </w:p>
    <w:p w14:paraId="3F72DB4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color w:val="auto"/>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5C629E">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color w:val="auto"/>
          <w:highlight w:val="none"/>
        </w:rPr>
        <w:t>（五）我单位不属于政府采购法律、行政法规规定的公益一类事业单位</w:t>
      </w:r>
      <w:r>
        <w:rPr>
          <w:rFonts w:hint="eastAsia"/>
          <w:color w:val="auto"/>
          <w:highlight w:val="none"/>
          <w:lang w:eastAsia="zh-CN"/>
        </w:rPr>
        <w:t>或</w:t>
      </w:r>
      <w:r>
        <w:rPr>
          <w:rFonts w:hint="eastAsia"/>
          <w:color w:val="auto"/>
          <w:highlight w:val="none"/>
        </w:rPr>
        <w:t>使用事业编制且由财政拨款保障的群团组织（仅适用于政府购买服务项目）；</w:t>
      </w:r>
    </w:p>
    <w:p w14:paraId="5EC8544E">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color w:val="auto"/>
          <w:highlight w:val="none"/>
        </w:rPr>
      </w:pPr>
      <w:r>
        <w:rPr>
          <w:rFonts w:hint="eastAsia"/>
          <w:color w:val="auto"/>
          <w:highlight w:val="none"/>
        </w:rPr>
        <w:t>（六）我单位不存在为采购项目提供整体设计、规范编制或者项目管理、监理、检测等服务后，再参加该采购项目的其他采购活动的情形（单一来源采购项目除外）；</w:t>
      </w:r>
    </w:p>
    <w:p w14:paraId="0DD4BCB6">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highlight w:val="none"/>
        </w:rPr>
      </w:pPr>
      <w:r>
        <w:rPr>
          <w:rFonts w:hint="eastAsia"/>
          <w:color w:val="auto"/>
          <w:highlight w:val="none"/>
        </w:rPr>
        <w:t>（七）与我单位存在“单位负责人为同一人或者存在直接控股、管理关系”的其他法人单位信息如下（如有，不论其是否参加同一合同项下的政府采购活动均须填写）：</w:t>
      </w:r>
    </w:p>
    <w:tbl>
      <w:tblPr>
        <w:tblStyle w:val="146"/>
        <w:tblW w:w="90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4869"/>
        <w:gridCol w:w="3174"/>
      </w:tblGrid>
      <w:tr w14:paraId="6FF9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016" w:type="dxa"/>
            <w:vAlign w:val="center"/>
          </w:tcPr>
          <w:p w14:paraId="685CDF08">
            <w:pPr>
              <w:keepNext w:val="0"/>
              <w:keepLines w:val="0"/>
              <w:pageBreakBefore w:val="0"/>
              <w:widowControl/>
              <w:kinsoku/>
              <w:wordWrap/>
              <w:overflowPunct/>
              <w:topLinePunct w:val="0"/>
              <w:autoSpaceDE/>
              <w:autoSpaceDN/>
              <w:bidi w:val="0"/>
              <w:adjustRightInd/>
              <w:snapToGrid/>
              <w:spacing w:before="100" w:line="480" w:lineRule="exact"/>
              <w:ind w:left="243"/>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序号</w:t>
            </w:r>
          </w:p>
        </w:tc>
        <w:tc>
          <w:tcPr>
            <w:tcW w:w="4869" w:type="dxa"/>
            <w:vAlign w:val="center"/>
          </w:tcPr>
          <w:p w14:paraId="2F74A723">
            <w:pPr>
              <w:keepNext w:val="0"/>
              <w:keepLines w:val="0"/>
              <w:pageBreakBefore w:val="0"/>
              <w:widowControl/>
              <w:kinsoku/>
              <w:wordWrap/>
              <w:overflowPunct/>
              <w:topLinePunct w:val="0"/>
              <w:autoSpaceDE/>
              <w:autoSpaceDN/>
              <w:bidi w:val="0"/>
              <w:adjustRightInd/>
              <w:snapToGrid/>
              <w:spacing w:before="101" w:line="480" w:lineRule="exact"/>
              <w:ind w:left="1814"/>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单位名称</w:t>
            </w:r>
          </w:p>
        </w:tc>
        <w:tc>
          <w:tcPr>
            <w:tcW w:w="3174" w:type="dxa"/>
            <w:vAlign w:val="center"/>
          </w:tcPr>
          <w:p w14:paraId="2BB79054">
            <w:pPr>
              <w:keepNext w:val="0"/>
              <w:keepLines w:val="0"/>
              <w:pageBreakBefore w:val="0"/>
              <w:widowControl/>
              <w:kinsoku/>
              <w:wordWrap/>
              <w:overflowPunct/>
              <w:topLinePunct w:val="0"/>
              <w:autoSpaceDE/>
              <w:autoSpaceDN/>
              <w:bidi w:val="0"/>
              <w:adjustRightInd/>
              <w:snapToGrid/>
              <w:spacing w:before="101" w:line="480" w:lineRule="exact"/>
              <w:ind w:left="1017"/>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相互关系</w:t>
            </w:r>
          </w:p>
        </w:tc>
      </w:tr>
      <w:tr w14:paraId="7E97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016" w:type="dxa"/>
            <w:vAlign w:val="center"/>
          </w:tcPr>
          <w:p w14:paraId="06C69349">
            <w:pPr>
              <w:pStyle w:val="157"/>
              <w:keepNext w:val="0"/>
              <w:keepLines w:val="0"/>
              <w:pageBreakBefore w:val="0"/>
              <w:widowControl/>
              <w:kinsoku/>
              <w:wordWrap/>
              <w:overflowPunct/>
              <w:topLinePunct w:val="0"/>
              <w:autoSpaceDE/>
              <w:autoSpaceDN/>
              <w:bidi w:val="0"/>
              <w:adjustRightInd/>
              <w:snapToGrid/>
              <w:spacing w:before="119" w:line="480" w:lineRule="exact"/>
              <w:ind w:left="424"/>
              <w:textAlignment w:val="auto"/>
              <w:rPr>
                <w:color w:val="auto"/>
                <w:sz w:val="24"/>
                <w:szCs w:val="24"/>
                <w:highlight w:val="none"/>
              </w:rPr>
            </w:pPr>
            <w:r>
              <w:rPr>
                <w:color w:val="auto"/>
                <w:sz w:val="24"/>
                <w:szCs w:val="24"/>
                <w:highlight w:val="none"/>
              </w:rPr>
              <w:t>1</w:t>
            </w:r>
          </w:p>
        </w:tc>
        <w:tc>
          <w:tcPr>
            <w:tcW w:w="4869" w:type="dxa"/>
            <w:vAlign w:val="center"/>
          </w:tcPr>
          <w:p w14:paraId="0B3D1516">
            <w:pPr>
              <w:pStyle w:val="157"/>
              <w:keepNext w:val="0"/>
              <w:keepLines w:val="0"/>
              <w:pageBreakBefore w:val="0"/>
              <w:widowControl/>
              <w:kinsoku/>
              <w:wordWrap/>
              <w:overflowPunct/>
              <w:topLinePunct w:val="0"/>
              <w:autoSpaceDE/>
              <w:autoSpaceDN/>
              <w:bidi w:val="0"/>
              <w:adjustRightInd/>
              <w:snapToGrid/>
              <w:spacing w:line="480" w:lineRule="exact"/>
              <w:textAlignment w:val="auto"/>
              <w:rPr>
                <w:color w:val="auto"/>
                <w:highlight w:val="none"/>
              </w:rPr>
            </w:pPr>
          </w:p>
        </w:tc>
        <w:tc>
          <w:tcPr>
            <w:tcW w:w="3174" w:type="dxa"/>
            <w:vAlign w:val="center"/>
          </w:tcPr>
          <w:p w14:paraId="1D9564C0">
            <w:pPr>
              <w:pStyle w:val="157"/>
              <w:keepNext w:val="0"/>
              <w:keepLines w:val="0"/>
              <w:pageBreakBefore w:val="0"/>
              <w:widowControl/>
              <w:kinsoku/>
              <w:wordWrap/>
              <w:overflowPunct/>
              <w:topLinePunct w:val="0"/>
              <w:autoSpaceDE/>
              <w:autoSpaceDN/>
              <w:bidi w:val="0"/>
              <w:adjustRightInd/>
              <w:snapToGrid/>
              <w:spacing w:line="480" w:lineRule="exact"/>
              <w:textAlignment w:val="auto"/>
              <w:rPr>
                <w:color w:val="auto"/>
                <w:highlight w:val="none"/>
              </w:rPr>
            </w:pPr>
          </w:p>
        </w:tc>
      </w:tr>
      <w:tr w14:paraId="6F6C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016" w:type="dxa"/>
            <w:vAlign w:val="center"/>
          </w:tcPr>
          <w:p w14:paraId="633E1EA6">
            <w:pPr>
              <w:pStyle w:val="157"/>
              <w:keepNext w:val="0"/>
              <w:keepLines w:val="0"/>
              <w:pageBreakBefore w:val="0"/>
              <w:widowControl/>
              <w:kinsoku/>
              <w:wordWrap/>
              <w:overflowPunct/>
              <w:topLinePunct w:val="0"/>
              <w:autoSpaceDE/>
              <w:autoSpaceDN/>
              <w:bidi w:val="0"/>
              <w:adjustRightInd/>
              <w:snapToGrid/>
              <w:spacing w:before="121" w:line="480" w:lineRule="exact"/>
              <w:ind w:left="415"/>
              <w:textAlignment w:val="auto"/>
              <w:rPr>
                <w:color w:val="auto"/>
                <w:sz w:val="24"/>
                <w:szCs w:val="24"/>
                <w:highlight w:val="none"/>
              </w:rPr>
            </w:pPr>
            <w:r>
              <w:rPr>
                <w:color w:val="auto"/>
                <w:spacing w:val="1"/>
                <w:sz w:val="24"/>
                <w:szCs w:val="24"/>
                <w:highlight w:val="none"/>
              </w:rPr>
              <w:t>2</w:t>
            </w:r>
          </w:p>
        </w:tc>
        <w:tc>
          <w:tcPr>
            <w:tcW w:w="4869" w:type="dxa"/>
            <w:vAlign w:val="center"/>
          </w:tcPr>
          <w:p w14:paraId="0860D5C5">
            <w:pPr>
              <w:pStyle w:val="157"/>
              <w:keepNext w:val="0"/>
              <w:keepLines w:val="0"/>
              <w:pageBreakBefore w:val="0"/>
              <w:widowControl/>
              <w:kinsoku/>
              <w:wordWrap/>
              <w:overflowPunct/>
              <w:topLinePunct w:val="0"/>
              <w:autoSpaceDE/>
              <w:autoSpaceDN/>
              <w:bidi w:val="0"/>
              <w:adjustRightInd/>
              <w:snapToGrid/>
              <w:spacing w:line="480" w:lineRule="exact"/>
              <w:textAlignment w:val="auto"/>
              <w:rPr>
                <w:color w:val="auto"/>
                <w:highlight w:val="none"/>
              </w:rPr>
            </w:pPr>
          </w:p>
        </w:tc>
        <w:tc>
          <w:tcPr>
            <w:tcW w:w="3174" w:type="dxa"/>
            <w:vAlign w:val="center"/>
          </w:tcPr>
          <w:p w14:paraId="250AFCF0">
            <w:pPr>
              <w:pStyle w:val="157"/>
              <w:keepNext w:val="0"/>
              <w:keepLines w:val="0"/>
              <w:pageBreakBefore w:val="0"/>
              <w:widowControl/>
              <w:kinsoku/>
              <w:wordWrap/>
              <w:overflowPunct/>
              <w:topLinePunct w:val="0"/>
              <w:autoSpaceDE/>
              <w:autoSpaceDN/>
              <w:bidi w:val="0"/>
              <w:adjustRightInd/>
              <w:snapToGrid/>
              <w:spacing w:line="480" w:lineRule="exact"/>
              <w:textAlignment w:val="auto"/>
              <w:rPr>
                <w:color w:val="auto"/>
                <w:highlight w:val="none"/>
              </w:rPr>
            </w:pPr>
          </w:p>
        </w:tc>
      </w:tr>
      <w:tr w14:paraId="2EB4C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016" w:type="dxa"/>
            <w:vAlign w:val="center"/>
          </w:tcPr>
          <w:p w14:paraId="46C8583A">
            <w:pPr>
              <w:pStyle w:val="157"/>
              <w:keepNext w:val="0"/>
              <w:keepLines w:val="0"/>
              <w:pageBreakBefore w:val="0"/>
              <w:widowControl/>
              <w:kinsoku/>
              <w:wordWrap/>
              <w:overflowPunct/>
              <w:topLinePunct w:val="0"/>
              <w:autoSpaceDE/>
              <w:autoSpaceDN/>
              <w:bidi w:val="0"/>
              <w:adjustRightInd/>
              <w:snapToGrid/>
              <w:spacing w:before="271" w:line="480" w:lineRule="exact"/>
              <w:ind w:left="382"/>
              <w:textAlignment w:val="auto"/>
              <w:rPr>
                <w:color w:val="auto"/>
                <w:sz w:val="24"/>
                <w:szCs w:val="24"/>
                <w:highlight w:val="none"/>
              </w:rPr>
            </w:pPr>
            <w:r>
              <w:rPr>
                <w:color w:val="auto"/>
                <w:position w:val="1"/>
                <w:sz w:val="24"/>
                <w:szCs w:val="24"/>
                <w:highlight w:val="none"/>
              </w:rPr>
              <w:t>…</w:t>
            </w:r>
          </w:p>
        </w:tc>
        <w:tc>
          <w:tcPr>
            <w:tcW w:w="4869" w:type="dxa"/>
            <w:vAlign w:val="center"/>
          </w:tcPr>
          <w:p w14:paraId="69F54DA3">
            <w:pPr>
              <w:pStyle w:val="157"/>
              <w:keepNext w:val="0"/>
              <w:keepLines w:val="0"/>
              <w:pageBreakBefore w:val="0"/>
              <w:widowControl/>
              <w:kinsoku/>
              <w:wordWrap/>
              <w:overflowPunct/>
              <w:topLinePunct w:val="0"/>
              <w:autoSpaceDE/>
              <w:autoSpaceDN/>
              <w:bidi w:val="0"/>
              <w:adjustRightInd/>
              <w:snapToGrid/>
              <w:spacing w:line="480" w:lineRule="exact"/>
              <w:textAlignment w:val="auto"/>
              <w:rPr>
                <w:color w:val="auto"/>
                <w:highlight w:val="none"/>
              </w:rPr>
            </w:pPr>
          </w:p>
        </w:tc>
        <w:tc>
          <w:tcPr>
            <w:tcW w:w="3174" w:type="dxa"/>
            <w:vAlign w:val="center"/>
          </w:tcPr>
          <w:p w14:paraId="18003B48">
            <w:pPr>
              <w:pStyle w:val="157"/>
              <w:keepNext w:val="0"/>
              <w:keepLines w:val="0"/>
              <w:pageBreakBefore w:val="0"/>
              <w:widowControl/>
              <w:kinsoku/>
              <w:wordWrap/>
              <w:overflowPunct/>
              <w:topLinePunct w:val="0"/>
              <w:autoSpaceDE/>
              <w:autoSpaceDN/>
              <w:bidi w:val="0"/>
              <w:adjustRightInd/>
              <w:snapToGrid/>
              <w:spacing w:line="480" w:lineRule="exact"/>
              <w:textAlignment w:val="auto"/>
              <w:rPr>
                <w:color w:val="auto"/>
                <w:highlight w:val="none"/>
              </w:rPr>
            </w:pPr>
          </w:p>
        </w:tc>
      </w:tr>
    </w:tbl>
    <w:p w14:paraId="2A3EE24E">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上述声明真实有效，否则我方负全部责任。</w:t>
      </w:r>
    </w:p>
    <w:p w14:paraId="7F9988C3">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w:t>
      </w:r>
      <w:r>
        <w:rPr>
          <w:rFonts w:hint="eastAsia" w:cs="宋体"/>
          <w:color w:val="auto"/>
          <w:highlight w:val="none"/>
          <w:lang w:val="en-US" w:eastAsia="zh-CN"/>
        </w:rPr>
        <w:t>八</w:t>
      </w:r>
      <w:r>
        <w:rPr>
          <w:rFonts w:hint="eastAsia" w:ascii="宋体" w:hAnsi="宋体" w:eastAsia="宋体" w:cs="宋体"/>
          <w:color w:val="auto"/>
          <w:highlight w:val="none"/>
        </w:rPr>
        <w:t>）</w:t>
      </w:r>
      <w:r>
        <w:rPr>
          <w:rFonts w:hint="eastAsia" w:cs="宋体"/>
          <w:color w:val="auto"/>
          <w:highlight w:val="none"/>
          <w:lang w:val="en-US" w:eastAsia="zh-CN"/>
        </w:rPr>
        <w:t>投标有效期：</w:t>
      </w:r>
      <w:r>
        <w:rPr>
          <w:rFonts w:hint="eastAsia" w:cs="宋体"/>
          <w:color w:val="auto"/>
          <w:highlight w:val="none"/>
          <w:u w:val="single"/>
          <w:lang w:val="en-US" w:eastAsia="zh-CN"/>
        </w:rPr>
        <w:t xml:space="preserve">                  </w:t>
      </w:r>
    </w:p>
    <w:p w14:paraId="3638270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rPr>
        <w:t>名称（加盖公章）：</w:t>
      </w:r>
      <w:r>
        <w:rPr>
          <w:rFonts w:hint="eastAsia" w:ascii="宋体" w:hAnsi="宋体" w:eastAsia="宋体" w:cs="宋体"/>
          <w:b/>
          <w:bCs/>
          <w:color w:val="auto"/>
          <w:highlight w:val="none"/>
          <w:u w:val="single"/>
          <w:lang w:val="en-US" w:eastAsia="zh-CN"/>
        </w:rPr>
        <w:t xml:space="preserve">                             </w:t>
      </w:r>
    </w:p>
    <w:p w14:paraId="6BFB825F">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宋体" w:hAnsi="宋体" w:eastAsia="宋体" w:cs="宋体"/>
          <w:b/>
          <w:bCs/>
          <w:color w:val="auto"/>
          <w:kern w:val="2"/>
          <w:highlight w:val="none"/>
          <w:u w:val="single"/>
          <w:lang w:val="en-US" w:eastAsia="zh-CN"/>
        </w:rPr>
      </w:pPr>
      <w:r>
        <w:rPr>
          <w:rFonts w:hint="eastAsia" w:ascii="宋体" w:hAnsi="宋体" w:eastAsia="宋体" w:cs="宋体"/>
          <w:b/>
          <w:bCs/>
          <w:color w:val="auto"/>
          <w:highlight w:val="none"/>
        </w:rPr>
        <w:t>法定代表人或其委托代理人（签字或盖章）：</w:t>
      </w:r>
      <w:r>
        <w:rPr>
          <w:rFonts w:hint="eastAsia" w:ascii="宋体" w:hAnsi="宋体" w:eastAsia="宋体" w:cs="宋体"/>
          <w:b/>
          <w:bCs/>
          <w:color w:val="auto"/>
          <w:highlight w:val="none"/>
          <w:u w:val="single"/>
          <w:lang w:val="en-US" w:eastAsia="zh-CN"/>
        </w:rPr>
        <w:t xml:space="preserve">             </w:t>
      </w:r>
    </w:p>
    <w:p w14:paraId="40B97F47">
      <w:pPr>
        <w:pStyle w:val="109"/>
        <w:keepNext w:val="0"/>
        <w:keepLines w:val="0"/>
        <w:pageBreakBefore w:val="0"/>
        <w:widowControl/>
        <w:kinsoku/>
        <w:wordWrap/>
        <w:overflowPunct/>
        <w:topLinePunct w:val="0"/>
        <w:autoSpaceDE/>
        <w:autoSpaceDN/>
        <w:bidi w:val="0"/>
        <w:adjustRightInd/>
        <w:snapToGrid/>
        <w:spacing w:before="0" w:line="480" w:lineRule="exact"/>
        <w:textAlignment w:val="auto"/>
        <w:outlineLvl w:val="9"/>
        <w:rPr>
          <w:rFonts w:ascii="宋体" w:hAnsi="宋体" w:eastAsia="宋体" w:cs="宋体"/>
          <w:b/>
          <w:bCs/>
          <w:color w:val="auto"/>
          <w:kern w:val="2"/>
          <w:highlight w:val="none"/>
        </w:rPr>
      </w:pPr>
      <w:r>
        <w:rPr>
          <w:rFonts w:hint="eastAsia" w:ascii="宋体" w:hAnsi="宋体" w:eastAsia="宋体" w:cs="宋体"/>
          <w:b/>
          <w:bCs/>
          <w:color w:val="auto"/>
          <w:spacing w:val="36"/>
          <w:kern w:val="2"/>
          <w:highlight w:val="none"/>
        </w:rPr>
        <w:t>日期</w:t>
      </w:r>
      <w:r>
        <w:rPr>
          <w:rFonts w:hint="eastAsia" w:ascii="宋体" w:hAnsi="宋体" w:eastAsia="宋体" w:cs="宋体"/>
          <w:b/>
          <w:bCs/>
          <w:color w:val="auto"/>
          <w:kern w:val="2"/>
          <w:highlight w:val="none"/>
        </w:rPr>
        <w:t>：</w:t>
      </w:r>
      <w:r>
        <w:rPr>
          <w:rFonts w:hint="eastAsia" w:ascii="宋体" w:hAnsi="宋体" w:eastAsia="宋体" w:cs="宋体"/>
          <w:b/>
          <w:bCs/>
          <w:color w:val="auto"/>
          <w:kern w:val="2"/>
          <w:highlight w:val="none"/>
          <w:u w:val="single"/>
          <w:lang w:val="en-US" w:eastAsia="zh-CN"/>
        </w:rPr>
        <w:t xml:space="preserve">       </w:t>
      </w:r>
      <w:r>
        <w:rPr>
          <w:rFonts w:hint="eastAsia" w:ascii="宋体" w:hAnsi="宋体" w:eastAsia="宋体" w:cs="宋体"/>
          <w:b/>
          <w:bCs/>
          <w:color w:val="auto"/>
          <w:kern w:val="2"/>
          <w:highlight w:val="none"/>
        </w:rPr>
        <w:t>年</w:t>
      </w:r>
      <w:r>
        <w:rPr>
          <w:rFonts w:hint="eastAsia" w:ascii="宋体" w:hAnsi="宋体" w:eastAsia="宋体" w:cs="宋体"/>
          <w:b/>
          <w:bCs/>
          <w:color w:val="auto"/>
          <w:kern w:val="2"/>
          <w:highlight w:val="none"/>
          <w:u w:val="single"/>
          <w:lang w:val="en-US" w:eastAsia="zh-CN"/>
        </w:rPr>
        <w:t xml:space="preserve">   </w:t>
      </w:r>
      <w:r>
        <w:rPr>
          <w:rFonts w:hint="eastAsia" w:ascii="宋体" w:hAnsi="宋体" w:eastAsia="宋体" w:cs="宋体"/>
          <w:b/>
          <w:bCs/>
          <w:color w:val="auto"/>
          <w:kern w:val="2"/>
          <w:highlight w:val="none"/>
        </w:rPr>
        <w:t>月</w:t>
      </w:r>
      <w:r>
        <w:rPr>
          <w:rFonts w:hint="eastAsia" w:ascii="宋体" w:hAnsi="宋体" w:eastAsia="宋体" w:cs="宋体"/>
          <w:b/>
          <w:bCs/>
          <w:color w:val="auto"/>
          <w:kern w:val="2"/>
          <w:highlight w:val="none"/>
          <w:u w:val="single"/>
          <w:lang w:val="en-US" w:eastAsia="zh-CN"/>
        </w:rPr>
        <w:t xml:space="preserve">   </w:t>
      </w:r>
      <w:r>
        <w:rPr>
          <w:rFonts w:hint="eastAsia" w:ascii="宋体" w:hAnsi="宋体" w:eastAsia="宋体" w:cs="宋体"/>
          <w:b/>
          <w:bCs/>
          <w:color w:val="auto"/>
          <w:kern w:val="2"/>
          <w:highlight w:val="none"/>
        </w:rPr>
        <w:t>日</w:t>
      </w:r>
    </w:p>
    <w:p w14:paraId="3E8EFB7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br w:type="page"/>
      </w:r>
      <w:r>
        <w:rPr>
          <w:rFonts w:hint="eastAsia" w:cs="宋体"/>
          <w:b/>
          <w:color w:val="auto"/>
          <w:sz w:val="28"/>
          <w:szCs w:val="28"/>
          <w:highlight w:val="none"/>
          <w:lang w:val="en-US" w:eastAsia="zh-CN"/>
        </w:rPr>
        <w:t>二、</w:t>
      </w:r>
      <w:r>
        <w:rPr>
          <w:rFonts w:hint="eastAsia" w:ascii="宋体" w:hAnsi="宋体" w:eastAsia="宋体" w:cs="宋体"/>
          <w:b/>
          <w:bCs/>
          <w:color w:val="auto"/>
          <w:sz w:val="28"/>
          <w:szCs w:val="28"/>
          <w:highlight w:val="none"/>
        </w:rPr>
        <w:t>响应书</w:t>
      </w:r>
    </w:p>
    <w:p w14:paraId="2A7EE26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rPr>
      </w:pPr>
    </w:p>
    <w:p w14:paraId="519A53E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w:t>
      </w:r>
    </w:p>
    <w:p w14:paraId="2AB70A5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我方参加你方就_____（项目名称，项目编号/包号）组织的采购活动，并对此项目进行磋商。</w:t>
      </w:r>
    </w:p>
    <w:p w14:paraId="0880AA8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我方已详细审查全部竞争性磋商文件，自愿参与磋商并承诺如下：</w:t>
      </w:r>
    </w:p>
    <w:p w14:paraId="6E188A2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（1）本响应有效期为自响应文件提交截止之日起_____个日历日。</w:t>
      </w:r>
    </w:p>
    <w:p w14:paraId="0A03268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（2）除合同条款及采购需求偏离表列出的偏离外，我方响应竞争性磋商文件的全部要求。</w:t>
      </w:r>
    </w:p>
    <w:p w14:paraId="57E8FED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（3）我方已提供的全部文件资料是真实、准确的，并对此承担一切法律后果。</w:t>
      </w:r>
    </w:p>
    <w:p w14:paraId="5D2EBD8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（4）如我方成交，我方将在法律规定的期限内与你方签订合同，按照竞争性磋商文件要求提交履约保证金，并在合同约定的期限内完成合同规定的全部义务。</w:t>
      </w:r>
    </w:p>
    <w:p w14:paraId="3F83858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2.其他补充条款（如有）：_____。</w:t>
      </w:r>
    </w:p>
    <w:p w14:paraId="06D6083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与本磋商有关的一切正式往来信函请寄：</w:t>
      </w:r>
    </w:p>
    <w:p w14:paraId="4998F6C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地址______________________          </w:t>
      </w:r>
    </w:p>
    <w:p w14:paraId="7834ED1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传真_______________________</w:t>
      </w:r>
    </w:p>
    <w:p w14:paraId="32E0781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电话______________________          </w:t>
      </w:r>
    </w:p>
    <w:p w14:paraId="73FB77B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电子函件_______________________</w:t>
      </w:r>
    </w:p>
    <w:p w14:paraId="50C786C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p>
    <w:p w14:paraId="67B0580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p>
    <w:p w14:paraId="356AF02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供应商名称（加盖公章）：______</w:t>
      </w:r>
    </w:p>
    <w:p w14:paraId="7237ADD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日期：____年____月____ 日</w:t>
      </w:r>
    </w:p>
    <w:p w14:paraId="78CF239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sectPr>
          <w:footerReference r:id="rId7" w:type="default"/>
          <w:pgSz w:w="11907" w:h="16840"/>
          <w:pgMar w:top="1165" w:right="1130" w:bottom="1060" w:left="1700" w:header="830" w:footer="886" w:gutter="0"/>
          <w:pgNumType w:fmt="decimal"/>
          <w:cols w:space="720" w:num="1"/>
        </w:sectPr>
      </w:pPr>
    </w:p>
    <w:p w14:paraId="6DB08F3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反商业贿赂承诺书</w:t>
      </w:r>
    </w:p>
    <w:p w14:paraId="0292B74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30"/>
          <w:szCs w:val="30"/>
          <w:highlight w:val="none"/>
        </w:rPr>
      </w:pPr>
    </w:p>
    <w:p w14:paraId="4645CC59">
      <w:pPr>
        <w:pStyle w:val="14"/>
        <w:keepNext w:val="0"/>
        <w:keepLines w:val="0"/>
        <w:pageBreakBefore w:val="0"/>
        <w:widowControl/>
        <w:kinsoku/>
        <w:wordWrap/>
        <w:overflowPunct/>
        <w:topLinePunct w:val="0"/>
        <w:autoSpaceDE/>
        <w:autoSpaceDN/>
        <w:bidi w:val="0"/>
        <w:adjustRightInd/>
        <w:snapToGrid/>
        <w:spacing w:line="480" w:lineRule="exact"/>
        <w:ind w:left="480" w:firstLine="482"/>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我公司承诺在</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宋体" w:hAnsi="宋体" w:cs="宋体"/>
          <w:color w:val="auto"/>
          <w:sz w:val="24"/>
          <w:highlight w:val="none"/>
          <w:lang w:eastAsia="zh-CN"/>
        </w:rPr>
        <w:t>中华人民共和国反不正当竞争法</w:t>
      </w:r>
      <w:r>
        <w:rPr>
          <w:rFonts w:hint="eastAsia" w:ascii="宋体" w:hAnsi="宋体" w:eastAsia="宋体" w:cs="宋体"/>
          <w:color w:val="auto"/>
          <w:sz w:val="24"/>
          <w:highlight w:val="none"/>
        </w:rPr>
        <w:t>》的有关规定接受处罚。</w:t>
      </w:r>
    </w:p>
    <w:p w14:paraId="582344A9">
      <w:pPr>
        <w:pStyle w:val="14"/>
        <w:keepNext w:val="0"/>
        <w:keepLines w:val="0"/>
        <w:pageBreakBefore w:val="0"/>
        <w:widowControl/>
        <w:kinsoku/>
        <w:wordWrap/>
        <w:overflowPunct/>
        <w:topLinePunct w:val="0"/>
        <w:autoSpaceDE/>
        <w:autoSpaceDN/>
        <w:bidi w:val="0"/>
        <w:adjustRightInd/>
        <w:snapToGrid/>
        <w:spacing w:line="480" w:lineRule="exact"/>
        <w:ind w:left="480" w:firstLine="482"/>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公司法定代</w:t>
      </w:r>
      <w:r>
        <w:rPr>
          <w:rFonts w:hint="eastAsia" w:ascii="宋体" w:hAnsi="宋体" w:cs="宋体"/>
          <w:b/>
          <w:bCs/>
          <w:color w:val="auto"/>
          <w:sz w:val="24"/>
          <w:highlight w:val="none"/>
          <w:lang w:eastAsia="zh-CN"/>
        </w:rPr>
        <w:t>表人</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签字或盖章</w:t>
      </w:r>
      <w:r>
        <w:rPr>
          <w:rFonts w:hint="eastAsia" w:ascii="宋体" w:hAnsi="宋体" w:eastAsia="宋体" w:cs="宋体"/>
          <w:b/>
          <w:bCs/>
          <w:color w:val="auto"/>
          <w:sz w:val="24"/>
          <w:highlight w:val="none"/>
          <w:lang w:eastAsia="zh-CN"/>
        </w:rPr>
        <w:t>）</w:t>
      </w:r>
    </w:p>
    <w:p w14:paraId="2E050610">
      <w:pPr>
        <w:pStyle w:val="14"/>
        <w:keepNext w:val="0"/>
        <w:keepLines w:val="0"/>
        <w:pageBreakBefore w:val="0"/>
        <w:widowControl/>
        <w:kinsoku/>
        <w:wordWrap/>
        <w:overflowPunct/>
        <w:topLinePunct w:val="0"/>
        <w:autoSpaceDE/>
        <w:autoSpaceDN/>
        <w:bidi w:val="0"/>
        <w:adjustRightInd/>
        <w:snapToGrid/>
        <w:spacing w:line="480" w:lineRule="exact"/>
        <w:ind w:left="480" w:firstLine="482"/>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法人授权代表：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签字或盖章</w:t>
      </w:r>
      <w:r>
        <w:rPr>
          <w:rFonts w:hint="eastAsia" w:ascii="宋体" w:hAnsi="宋体" w:eastAsia="宋体" w:cs="宋体"/>
          <w:b/>
          <w:bCs/>
          <w:color w:val="auto"/>
          <w:sz w:val="24"/>
          <w:highlight w:val="none"/>
          <w:lang w:eastAsia="zh-CN"/>
        </w:rPr>
        <w:t>）</w:t>
      </w:r>
    </w:p>
    <w:p w14:paraId="7DB131A7">
      <w:pPr>
        <w:pStyle w:val="109"/>
        <w:keepNext w:val="0"/>
        <w:keepLines w:val="0"/>
        <w:pageBreakBefore w:val="0"/>
        <w:widowControl/>
        <w:kinsoku/>
        <w:wordWrap/>
        <w:overflowPunct/>
        <w:topLinePunct w:val="0"/>
        <w:autoSpaceDE/>
        <w:autoSpaceDN/>
        <w:bidi w:val="0"/>
        <w:adjustRightInd/>
        <w:snapToGrid/>
        <w:spacing w:before="0" w:line="480" w:lineRule="exact"/>
        <w:ind w:firstLine="964" w:firstLineChars="400"/>
        <w:textAlignment w:val="auto"/>
        <w:outlineLvl w:val="9"/>
        <w:rPr>
          <w:rFonts w:ascii="宋体" w:hAnsi="宋体" w:eastAsia="宋体" w:cs="宋体"/>
          <w:b/>
          <w:bCs/>
          <w:color w:val="auto"/>
          <w:kern w:val="2"/>
          <w:highlight w:val="none"/>
        </w:rPr>
      </w:pPr>
      <w:r>
        <w:rPr>
          <w:rFonts w:hint="eastAsia" w:ascii="宋体" w:hAnsi="宋体" w:eastAsia="宋体" w:cs="宋体"/>
          <w:b/>
          <w:bCs/>
          <w:color w:val="auto"/>
          <w:sz w:val="24"/>
          <w:highlight w:val="none"/>
        </w:rPr>
        <w:t>日期：</w:t>
      </w:r>
      <w:r>
        <w:rPr>
          <w:rFonts w:hint="eastAsia" w:ascii="宋体" w:hAnsi="宋体" w:eastAsia="宋体" w:cs="宋体"/>
          <w:b/>
          <w:bCs/>
          <w:color w:val="auto"/>
          <w:kern w:val="2"/>
          <w:highlight w:val="none"/>
          <w:u w:val="single"/>
          <w:lang w:val="en-US" w:eastAsia="zh-CN"/>
        </w:rPr>
        <w:t xml:space="preserve">       </w:t>
      </w:r>
      <w:r>
        <w:rPr>
          <w:rFonts w:hint="eastAsia" w:ascii="宋体" w:hAnsi="宋体" w:eastAsia="宋体" w:cs="宋体"/>
          <w:b/>
          <w:bCs/>
          <w:color w:val="auto"/>
          <w:kern w:val="2"/>
          <w:highlight w:val="none"/>
        </w:rPr>
        <w:t>年</w:t>
      </w:r>
      <w:r>
        <w:rPr>
          <w:rFonts w:hint="eastAsia" w:ascii="宋体" w:hAnsi="宋体" w:eastAsia="宋体" w:cs="宋体"/>
          <w:b/>
          <w:bCs/>
          <w:color w:val="auto"/>
          <w:kern w:val="2"/>
          <w:highlight w:val="none"/>
          <w:u w:val="single"/>
          <w:lang w:val="en-US" w:eastAsia="zh-CN"/>
        </w:rPr>
        <w:t xml:space="preserve">   </w:t>
      </w:r>
      <w:r>
        <w:rPr>
          <w:rFonts w:hint="eastAsia" w:ascii="宋体" w:hAnsi="宋体" w:eastAsia="宋体" w:cs="宋体"/>
          <w:b/>
          <w:bCs/>
          <w:color w:val="auto"/>
          <w:kern w:val="2"/>
          <w:highlight w:val="none"/>
        </w:rPr>
        <w:t>月</w:t>
      </w:r>
      <w:r>
        <w:rPr>
          <w:rFonts w:hint="eastAsia" w:ascii="宋体" w:hAnsi="宋体" w:eastAsia="宋体" w:cs="宋体"/>
          <w:b/>
          <w:bCs/>
          <w:color w:val="auto"/>
          <w:kern w:val="2"/>
          <w:highlight w:val="none"/>
          <w:u w:val="single"/>
          <w:lang w:val="en-US" w:eastAsia="zh-CN"/>
        </w:rPr>
        <w:t xml:space="preserve">   </w:t>
      </w:r>
      <w:r>
        <w:rPr>
          <w:rFonts w:hint="eastAsia" w:ascii="宋体" w:hAnsi="宋体" w:eastAsia="宋体" w:cs="宋体"/>
          <w:b/>
          <w:bCs/>
          <w:color w:val="auto"/>
          <w:kern w:val="2"/>
          <w:highlight w:val="none"/>
        </w:rPr>
        <w:t>日</w:t>
      </w:r>
    </w:p>
    <w:p w14:paraId="10F910F4">
      <w:pPr>
        <w:pStyle w:val="14"/>
        <w:keepNext w:val="0"/>
        <w:keepLines w:val="0"/>
        <w:pageBreakBefore w:val="0"/>
        <w:widowControl/>
        <w:kinsoku/>
        <w:wordWrap/>
        <w:overflowPunct/>
        <w:topLinePunct w:val="0"/>
        <w:autoSpaceDE/>
        <w:autoSpaceDN/>
        <w:bidi w:val="0"/>
        <w:adjustRightInd/>
        <w:snapToGrid/>
        <w:spacing w:line="480" w:lineRule="exact"/>
        <w:ind w:left="480" w:firstLine="480" w:firstLineChars="200"/>
        <w:textAlignment w:val="auto"/>
        <w:rPr>
          <w:rFonts w:ascii="宋体" w:hAnsi="宋体" w:eastAsia="宋体" w:cs="宋体"/>
          <w:color w:val="auto"/>
          <w:sz w:val="24"/>
          <w:highlight w:val="none"/>
        </w:rPr>
      </w:pPr>
    </w:p>
    <w:p w14:paraId="3CA7D3BD">
      <w:pPr>
        <w:rPr>
          <w:rFonts w:hint="eastAsia"/>
          <w:b/>
          <w:color w:val="auto"/>
          <w:sz w:val="30"/>
          <w:szCs w:val="30"/>
          <w:highlight w:val="none"/>
        </w:rPr>
      </w:pPr>
      <w:r>
        <w:rPr>
          <w:rFonts w:hint="eastAsia"/>
          <w:b/>
          <w:color w:val="auto"/>
          <w:sz w:val="30"/>
          <w:szCs w:val="30"/>
          <w:highlight w:val="none"/>
        </w:rPr>
        <w:br w:type="page"/>
      </w:r>
    </w:p>
    <w:bookmarkEnd w:id="1541"/>
    <w:p w14:paraId="153DD5D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lang w:val="en-US" w:eastAsia="zh-CN"/>
        </w:rPr>
      </w:pPr>
      <w:bookmarkStart w:id="1542" w:name="_Toc26028"/>
      <w:r>
        <w:rPr>
          <w:rFonts w:hint="eastAsia" w:ascii="宋体" w:hAnsi="宋体" w:eastAsia="宋体" w:cs="宋体"/>
          <w:b/>
          <w:color w:val="auto"/>
          <w:sz w:val="28"/>
          <w:szCs w:val="28"/>
          <w:highlight w:val="none"/>
          <w:lang w:val="en-US" w:eastAsia="zh-CN"/>
        </w:rPr>
        <w:t>四、供应商概况</w:t>
      </w:r>
    </w:p>
    <w:tbl>
      <w:tblPr>
        <w:tblStyle w:val="34"/>
        <w:tblW w:w="10459" w:type="dxa"/>
        <w:jc w:val="center"/>
        <w:tblLayout w:type="fixed"/>
        <w:tblCellMar>
          <w:top w:w="0" w:type="dxa"/>
          <w:left w:w="10" w:type="dxa"/>
          <w:bottom w:w="0" w:type="dxa"/>
          <w:right w:w="10" w:type="dxa"/>
        </w:tblCellMar>
      </w:tblPr>
      <w:tblGrid>
        <w:gridCol w:w="2077"/>
        <w:gridCol w:w="870"/>
        <w:gridCol w:w="1531"/>
        <w:gridCol w:w="1564"/>
        <w:gridCol w:w="527"/>
        <w:gridCol w:w="1099"/>
        <w:gridCol w:w="1161"/>
        <w:gridCol w:w="1630"/>
      </w:tblGrid>
      <w:tr w14:paraId="3EE30107">
        <w:tblPrEx>
          <w:tblCellMar>
            <w:top w:w="0" w:type="dxa"/>
            <w:left w:w="10" w:type="dxa"/>
            <w:bottom w:w="0" w:type="dxa"/>
            <w:right w:w="10" w:type="dxa"/>
          </w:tblCellMar>
        </w:tblPrEx>
        <w:trPr>
          <w:trHeight w:val="622" w:hRule="exact"/>
          <w:jc w:val="center"/>
        </w:trPr>
        <w:tc>
          <w:tcPr>
            <w:tcW w:w="2077" w:type="dxa"/>
            <w:tcBorders>
              <w:top w:val="single" w:color="auto" w:sz="4" w:space="0"/>
              <w:left w:val="single" w:color="auto" w:sz="4" w:space="0"/>
            </w:tcBorders>
            <w:shd w:val="clear" w:color="auto" w:fill="auto"/>
            <w:vAlign w:val="center"/>
          </w:tcPr>
          <w:p w14:paraId="37A6B1A3">
            <w:pPr>
              <w:jc w:val="center"/>
              <w:rPr>
                <w:rFonts w:hint="eastAsia" w:eastAsia="宋体"/>
                <w:color w:val="auto"/>
                <w:highlight w:val="none"/>
                <w:lang w:eastAsia="zh-CN"/>
              </w:rPr>
            </w:pPr>
            <w:r>
              <w:rPr>
                <w:rFonts w:hint="eastAsia"/>
                <w:color w:val="auto"/>
                <w:highlight w:val="none"/>
                <w:lang w:val="en-US" w:eastAsia="zh-CN"/>
              </w:rPr>
              <w:t>供应商</w:t>
            </w:r>
            <w:r>
              <w:rPr>
                <w:rFonts w:hint="eastAsia"/>
                <w:color w:val="auto"/>
                <w:highlight w:val="none"/>
              </w:rPr>
              <w:t>名称</w:t>
            </w:r>
            <w:r>
              <w:rPr>
                <w:rFonts w:hint="eastAsia"/>
                <w:color w:val="auto"/>
                <w:highlight w:val="none"/>
                <w:lang w:eastAsia="zh-CN"/>
              </w:rPr>
              <w:t>（</w:t>
            </w:r>
            <w:r>
              <w:rPr>
                <w:rFonts w:hint="eastAsia"/>
                <w:color w:val="auto"/>
                <w:highlight w:val="none"/>
                <w:lang w:val="en-US" w:eastAsia="zh-CN"/>
              </w:rPr>
              <w:t>盖章</w:t>
            </w:r>
            <w:r>
              <w:rPr>
                <w:rFonts w:hint="eastAsia"/>
                <w:color w:val="auto"/>
                <w:highlight w:val="none"/>
                <w:lang w:eastAsia="zh-CN"/>
              </w:rPr>
              <w:t>）</w:t>
            </w:r>
          </w:p>
        </w:tc>
        <w:tc>
          <w:tcPr>
            <w:tcW w:w="8382" w:type="dxa"/>
            <w:gridSpan w:val="7"/>
            <w:tcBorders>
              <w:top w:val="single" w:color="auto" w:sz="4" w:space="0"/>
              <w:left w:val="single" w:color="auto" w:sz="4" w:space="0"/>
              <w:right w:val="single" w:color="auto" w:sz="4" w:space="0"/>
            </w:tcBorders>
            <w:shd w:val="clear" w:color="auto" w:fill="auto"/>
            <w:vAlign w:val="center"/>
          </w:tcPr>
          <w:p w14:paraId="76489256">
            <w:pPr>
              <w:rPr>
                <w:color w:val="auto"/>
                <w:highlight w:val="none"/>
              </w:rPr>
            </w:pPr>
          </w:p>
        </w:tc>
      </w:tr>
      <w:tr w14:paraId="122AF96D">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shd w:val="clear" w:color="auto" w:fill="auto"/>
            <w:vAlign w:val="center"/>
          </w:tcPr>
          <w:p w14:paraId="61667AD2">
            <w:pPr>
              <w:jc w:val="center"/>
              <w:rPr>
                <w:color w:val="auto"/>
                <w:highlight w:val="none"/>
              </w:rPr>
            </w:pPr>
            <w:r>
              <w:rPr>
                <w:rFonts w:hint="eastAsia"/>
                <w:color w:val="auto"/>
                <w:highlight w:val="none"/>
              </w:rPr>
              <w:t>统一社会信用代码</w:t>
            </w:r>
          </w:p>
        </w:tc>
        <w:tc>
          <w:tcPr>
            <w:tcW w:w="8382" w:type="dxa"/>
            <w:gridSpan w:val="7"/>
            <w:tcBorders>
              <w:top w:val="single" w:color="auto" w:sz="4" w:space="0"/>
              <w:left w:val="single" w:color="auto" w:sz="4" w:space="0"/>
              <w:right w:val="single" w:color="auto" w:sz="4" w:space="0"/>
            </w:tcBorders>
            <w:shd w:val="clear" w:color="auto" w:fill="auto"/>
            <w:vAlign w:val="center"/>
          </w:tcPr>
          <w:p w14:paraId="6DD0CC4E">
            <w:pPr>
              <w:jc w:val="center"/>
              <w:rPr>
                <w:color w:val="auto"/>
                <w:highlight w:val="none"/>
              </w:rPr>
            </w:pPr>
          </w:p>
        </w:tc>
      </w:tr>
      <w:tr w14:paraId="5E0FC22F">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48AD1702">
            <w:pPr>
              <w:jc w:val="center"/>
              <w:rPr>
                <w:color w:val="auto"/>
                <w:highlight w:val="none"/>
              </w:rPr>
            </w:pPr>
            <w:r>
              <w:rPr>
                <w:rFonts w:hint="eastAsia"/>
                <w:color w:val="auto"/>
                <w:highlight w:val="none"/>
              </w:rPr>
              <w:t>注册地址</w:t>
            </w:r>
          </w:p>
        </w:tc>
        <w:tc>
          <w:tcPr>
            <w:tcW w:w="3965" w:type="dxa"/>
            <w:gridSpan w:val="3"/>
            <w:tcBorders>
              <w:top w:val="single" w:color="auto" w:sz="4" w:space="0"/>
              <w:left w:val="single" w:color="auto" w:sz="4" w:space="0"/>
            </w:tcBorders>
            <w:shd w:val="clear" w:color="auto" w:fill="auto"/>
            <w:vAlign w:val="center"/>
          </w:tcPr>
          <w:p w14:paraId="069F5DF2">
            <w:pPr>
              <w:jc w:val="center"/>
              <w:rPr>
                <w:color w:val="auto"/>
                <w:highlight w:val="none"/>
              </w:rPr>
            </w:pPr>
          </w:p>
        </w:tc>
        <w:tc>
          <w:tcPr>
            <w:tcW w:w="1626" w:type="dxa"/>
            <w:gridSpan w:val="2"/>
            <w:tcBorders>
              <w:top w:val="single" w:color="auto" w:sz="4" w:space="0"/>
              <w:left w:val="single" w:color="auto" w:sz="4" w:space="0"/>
            </w:tcBorders>
            <w:shd w:val="clear" w:color="auto" w:fill="auto"/>
            <w:vAlign w:val="center"/>
          </w:tcPr>
          <w:p w14:paraId="57319847">
            <w:pPr>
              <w:jc w:val="center"/>
              <w:rPr>
                <w:color w:val="auto"/>
                <w:highlight w:val="none"/>
              </w:rPr>
            </w:pPr>
            <w:r>
              <w:rPr>
                <w:rFonts w:hint="eastAsia"/>
                <w:color w:val="auto"/>
                <w:highlight w:val="none"/>
              </w:rPr>
              <w:t>邮政编码</w:t>
            </w:r>
          </w:p>
        </w:tc>
        <w:tc>
          <w:tcPr>
            <w:tcW w:w="2791" w:type="dxa"/>
            <w:gridSpan w:val="2"/>
            <w:tcBorders>
              <w:top w:val="single" w:color="auto" w:sz="4" w:space="0"/>
              <w:left w:val="single" w:color="auto" w:sz="4" w:space="0"/>
              <w:right w:val="single" w:color="auto" w:sz="4" w:space="0"/>
            </w:tcBorders>
            <w:shd w:val="clear" w:color="auto" w:fill="auto"/>
            <w:vAlign w:val="center"/>
          </w:tcPr>
          <w:p w14:paraId="632C7C39">
            <w:pPr>
              <w:jc w:val="center"/>
              <w:rPr>
                <w:color w:val="auto"/>
                <w:highlight w:val="none"/>
              </w:rPr>
            </w:pPr>
          </w:p>
        </w:tc>
      </w:tr>
      <w:tr w14:paraId="1B79A70A">
        <w:tblPrEx>
          <w:tblCellMar>
            <w:top w:w="0" w:type="dxa"/>
            <w:left w:w="10" w:type="dxa"/>
            <w:bottom w:w="0" w:type="dxa"/>
            <w:right w:w="10" w:type="dxa"/>
          </w:tblCellMar>
        </w:tblPrEx>
        <w:trPr>
          <w:trHeight w:val="579" w:hRule="exact"/>
          <w:jc w:val="center"/>
        </w:trPr>
        <w:tc>
          <w:tcPr>
            <w:tcW w:w="2077" w:type="dxa"/>
            <w:vMerge w:val="restart"/>
            <w:tcBorders>
              <w:top w:val="single" w:color="auto" w:sz="4" w:space="0"/>
              <w:left w:val="single" w:color="auto" w:sz="4" w:space="0"/>
            </w:tcBorders>
            <w:shd w:val="clear" w:color="auto" w:fill="auto"/>
            <w:vAlign w:val="center"/>
          </w:tcPr>
          <w:p w14:paraId="1577AFBF">
            <w:pPr>
              <w:jc w:val="center"/>
              <w:rPr>
                <w:color w:val="auto"/>
                <w:highlight w:val="none"/>
              </w:rPr>
            </w:pPr>
            <w:r>
              <w:rPr>
                <w:rFonts w:hint="eastAsia"/>
                <w:color w:val="auto"/>
                <w:highlight w:val="none"/>
              </w:rPr>
              <w:t>联系方式</w:t>
            </w:r>
          </w:p>
        </w:tc>
        <w:tc>
          <w:tcPr>
            <w:tcW w:w="870" w:type="dxa"/>
            <w:tcBorders>
              <w:top w:val="single" w:color="auto" w:sz="4" w:space="0"/>
              <w:left w:val="single" w:color="auto" w:sz="4" w:space="0"/>
            </w:tcBorders>
            <w:shd w:val="clear" w:color="auto" w:fill="auto"/>
            <w:vAlign w:val="center"/>
          </w:tcPr>
          <w:p w14:paraId="3C9FBEB6">
            <w:pPr>
              <w:jc w:val="center"/>
              <w:rPr>
                <w:color w:val="auto"/>
                <w:highlight w:val="none"/>
              </w:rPr>
            </w:pPr>
            <w:r>
              <w:rPr>
                <w:rFonts w:hint="eastAsia"/>
                <w:color w:val="auto"/>
                <w:highlight w:val="none"/>
              </w:rPr>
              <w:t>联系人</w:t>
            </w:r>
          </w:p>
        </w:tc>
        <w:tc>
          <w:tcPr>
            <w:tcW w:w="3095" w:type="dxa"/>
            <w:gridSpan w:val="2"/>
            <w:tcBorders>
              <w:top w:val="single" w:color="auto" w:sz="4" w:space="0"/>
              <w:left w:val="single" w:color="auto" w:sz="4" w:space="0"/>
            </w:tcBorders>
            <w:shd w:val="clear" w:color="auto" w:fill="auto"/>
            <w:vAlign w:val="center"/>
          </w:tcPr>
          <w:p w14:paraId="64C52464">
            <w:pPr>
              <w:jc w:val="center"/>
              <w:rPr>
                <w:color w:val="auto"/>
                <w:highlight w:val="none"/>
              </w:rPr>
            </w:pPr>
          </w:p>
        </w:tc>
        <w:tc>
          <w:tcPr>
            <w:tcW w:w="1626" w:type="dxa"/>
            <w:gridSpan w:val="2"/>
            <w:tcBorders>
              <w:top w:val="single" w:color="auto" w:sz="4" w:space="0"/>
              <w:left w:val="single" w:color="auto" w:sz="4" w:space="0"/>
            </w:tcBorders>
            <w:shd w:val="clear" w:color="auto" w:fill="auto"/>
            <w:vAlign w:val="center"/>
          </w:tcPr>
          <w:p w14:paraId="2618F155">
            <w:pPr>
              <w:jc w:val="center"/>
              <w:rPr>
                <w:color w:val="auto"/>
                <w:highlight w:val="none"/>
              </w:rPr>
            </w:pPr>
            <w:r>
              <w:rPr>
                <w:rFonts w:hint="eastAsia"/>
                <w:color w:val="auto"/>
                <w:highlight w:val="none"/>
              </w:rPr>
              <w:t>电话</w:t>
            </w:r>
          </w:p>
        </w:tc>
        <w:tc>
          <w:tcPr>
            <w:tcW w:w="2791" w:type="dxa"/>
            <w:gridSpan w:val="2"/>
            <w:tcBorders>
              <w:top w:val="single" w:color="auto" w:sz="4" w:space="0"/>
              <w:left w:val="single" w:color="auto" w:sz="4" w:space="0"/>
              <w:right w:val="single" w:color="auto" w:sz="4" w:space="0"/>
            </w:tcBorders>
            <w:shd w:val="clear" w:color="auto" w:fill="auto"/>
            <w:vAlign w:val="center"/>
          </w:tcPr>
          <w:p w14:paraId="6BA1EB2F">
            <w:pPr>
              <w:jc w:val="center"/>
              <w:rPr>
                <w:color w:val="auto"/>
                <w:highlight w:val="none"/>
              </w:rPr>
            </w:pPr>
          </w:p>
        </w:tc>
      </w:tr>
      <w:tr w14:paraId="5EA81573">
        <w:tblPrEx>
          <w:tblCellMar>
            <w:top w:w="0" w:type="dxa"/>
            <w:left w:w="10" w:type="dxa"/>
            <w:bottom w:w="0" w:type="dxa"/>
            <w:right w:w="10" w:type="dxa"/>
          </w:tblCellMar>
        </w:tblPrEx>
        <w:trPr>
          <w:trHeight w:val="589" w:hRule="exact"/>
          <w:jc w:val="center"/>
        </w:trPr>
        <w:tc>
          <w:tcPr>
            <w:tcW w:w="2077" w:type="dxa"/>
            <w:vMerge w:val="continue"/>
            <w:tcBorders>
              <w:left w:val="single" w:color="auto" w:sz="4" w:space="0"/>
            </w:tcBorders>
            <w:shd w:val="clear" w:color="auto" w:fill="auto"/>
            <w:vAlign w:val="center"/>
          </w:tcPr>
          <w:p w14:paraId="5A3A8D10">
            <w:pPr>
              <w:jc w:val="center"/>
              <w:rPr>
                <w:color w:val="auto"/>
                <w:highlight w:val="none"/>
              </w:rPr>
            </w:pPr>
          </w:p>
        </w:tc>
        <w:tc>
          <w:tcPr>
            <w:tcW w:w="870" w:type="dxa"/>
            <w:tcBorders>
              <w:top w:val="single" w:color="auto" w:sz="4" w:space="0"/>
              <w:left w:val="single" w:color="auto" w:sz="4" w:space="0"/>
            </w:tcBorders>
            <w:shd w:val="clear" w:color="auto" w:fill="auto"/>
            <w:vAlign w:val="center"/>
          </w:tcPr>
          <w:p w14:paraId="633B5C98">
            <w:pPr>
              <w:jc w:val="center"/>
              <w:rPr>
                <w:color w:val="auto"/>
                <w:highlight w:val="none"/>
              </w:rPr>
            </w:pPr>
            <w:r>
              <w:rPr>
                <w:rFonts w:hint="eastAsia"/>
                <w:color w:val="auto"/>
                <w:highlight w:val="none"/>
              </w:rPr>
              <w:t>传真</w:t>
            </w:r>
          </w:p>
        </w:tc>
        <w:tc>
          <w:tcPr>
            <w:tcW w:w="3095" w:type="dxa"/>
            <w:gridSpan w:val="2"/>
            <w:tcBorders>
              <w:top w:val="single" w:color="auto" w:sz="4" w:space="0"/>
              <w:left w:val="single" w:color="auto" w:sz="4" w:space="0"/>
            </w:tcBorders>
            <w:shd w:val="clear" w:color="auto" w:fill="auto"/>
            <w:vAlign w:val="center"/>
          </w:tcPr>
          <w:p w14:paraId="14237CEC">
            <w:pPr>
              <w:jc w:val="center"/>
              <w:rPr>
                <w:color w:val="auto"/>
                <w:highlight w:val="none"/>
              </w:rPr>
            </w:pPr>
          </w:p>
        </w:tc>
        <w:tc>
          <w:tcPr>
            <w:tcW w:w="1626" w:type="dxa"/>
            <w:gridSpan w:val="2"/>
            <w:tcBorders>
              <w:top w:val="single" w:color="auto" w:sz="4" w:space="0"/>
              <w:left w:val="single" w:color="auto" w:sz="4" w:space="0"/>
            </w:tcBorders>
            <w:shd w:val="clear" w:color="auto" w:fill="auto"/>
            <w:vAlign w:val="center"/>
          </w:tcPr>
          <w:p w14:paraId="0C2A37FC">
            <w:pPr>
              <w:jc w:val="center"/>
              <w:rPr>
                <w:color w:val="auto"/>
                <w:highlight w:val="none"/>
              </w:rPr>
            </w:pPr>
            <w:r>
              <w:rPr>
                <w:rFonts w:hint="eastAsia"/>
                <w:color w:val="auto"/>
                <w:highlight w:val="none"/>
              </w:rPr>
              <w:t>网址</w:t>
            </w:r>
          </w:p>
        </w:tc>
        <w:tc>
          <w:tcPr>
            <w:tcW w:w="2791" w:type="dxa"/>
            <w:gridSpan w:val="2"/>
            <w:tcBorders>
              <w:top w:val="single" w:color="auto" w:sz="4" w:space="0"/>
              <w:left w:val="single" w:color="auto" w:sz="4" w:space="0"/>
              <w:right w:val="single" w:color="auto" w:sz="4" w:space="0"/>
            </w:tcBorders>
            <w:shd w:val="clear" w:color="auto" w:fill="auto"/>
            <w:vAlign w:val="center"/>
          </w:tcPr>
          <w:p w14:paraId="4D4B4276">
            <w:pPr>
              <w:jc w:val="center"/>
              <w:rPr>
                <w:color w:val="auto"/>
                <w:highlight w:val="none"/>
              </w:rPr>
            </w:pPr>
          </w:p>
        </w:tc>
      </w:tr>
      <w:tr w14:paraId="5F841B10">
        <w:tblPrEx>
          <w:tblCellMar>
            <w:top w:w="0" w:type="dxa"/>
            <w:left w:w="10" w:type="dxa"/>
            <w:bottom w:w="0" w:type="dxa"/>
            <w:right w:w="10" w:type="dxa"/>
          </w:tblCellMar>
        </w:tblPrEx>
        <w:trPr>
          <w:trHeight w:val="558" w:hRule="exact"/>
          <w:jc w:val="center"/>
        </w:trPr>
        <w:tc>
          <w:tcPr>
            <w:tcW w:w="2077" w:type="dxa"/>
            <w:tcBorders>
              <w:top w:val="single" w:color="auto" w:sz="4" w:space="0"/>
              <w:left w:val="single" w:color="auto" w:sz="4" w:space="0"/>
            </w:tcBorders>
            <w:shd w:val="clear" w:color="auto" w:fill="auto"/>
            <w:vAlign w:val="center"/>
          </w:tcPr>
          <w:p w14:paraId="3F8F3236">
            <w:pPr>
              <w:jc w:val="center"/>
              <w:rPr>
                <w:color w:val="auto"/>
                <w:highlight w:val="none"/>
              </w:rPr>
            </w:pPr>
            <w:r>
              <w:rPr>
                <w:rFonts w:hint="eastAsia"/>
                <w:color w:val="auto"/>
                <w:highlight w:val="none"/>
              </w:rPr>
              <w:t>法定代表人</w:t>
            </w:r>
          </w:p>
        </w:tc>
        <w:tc>
          <w:tcPr>
            <w:tcW w:w="870" w:type="dxa"/>
            <w:tcBorders>
              <w:top w:val="single" w:color="auto" w:sz="4" w:space="0"/>
              <w:left w:val="single" w:color="auto" w:sz="4" w:space="0"/>
            </w:tcBorders>
            <w:shd w:val="clear" w:color="auto" w:fill="auto"/>
            <w:vAlign w:val="center"/>
          </w:tcPr>
          <w:p w14:paraId="162F4CFE">
            <w:pPr>
              <w:jc w:val="center"/>
              <w:rPr>
                <w:color w:val="auto"/>
                <w:highlight w:val="none"/>
              </w:rPr>
            </w:pPr>
            <w:r>
              <w:rPr>
                <w:rFonts w:hint="eastAsia"/>
                <w:color w:val="auto"/>
                <w:highlight w:val="none"/>
              </w:rPr>
              <w:t>姓名</w:t>
            </w:r>
          </w:p>
        </w:tc>
        <w:tc>
          <w:tcPr>
            <w:tcW w:w="1531" w:type="dxa"/>
            <w:tcBorders>
              <w:top w:val="single" w:color="auto" w:sz="4" w:space="0"/>
              <w:left w:val="single" w:color="auto" w:sz="4" w:space="0"/>
            </w:tcBorders>
            <w:shd w:val="clear" w:color="auto" w:fill="auto"/>
            <w:vAlign w:val="center"/>
          </w:tcPr>
          <w:p w14:paraId="5BFCB08B">
            <w:pPr>
              <w:jc w:val="center"/>
              <w:rPr>
                <w:color w:val="auto"/>
                <w:highlight w:val="none"/>
              </w:rPr>
            </w:pPr>
          </w:p>
        </w:tc>
        <w:tc>
          <w:tcPr>
            <w:tcW w:w="1564" w:type="dxa"/>
            <w:tcBorders>
              <w:top w:val="single" w:color="auto" w:sz="4" w:space="0"/>
              <w:left w:val="single" w:color="auto" w:sz="4" w:space="0"/>
            </w:tcBorders>
            <w:shd w:val="clear" w:color="auto" w:fill="auto"/>
            <w:vAlign w:val="center"/>
          </w:tcPr>
          <w:p w14:paraId="045A4B9B">
            <w:pPr>
              <w:jc w:val="center"/>
              <w:rPr>
                <w:color w:val="auto"/>
                <w:highlight w:val="none"/>
              </w:rPr>
            </w:pPr>
            <w:r>
              <w:rPr>
                <w:rFonts w:hint="eastAsia"/>
                <w:color w:val="auto"/>
                <w:highlight w:val="none"/>
              </w:rPr>
              <w:t>技术职称</w:t>
            </w:r>
          </w:p>
        </w:tc>
        <w:tc>
          <w:tcPr>
            <w:tcW w:w="1626" w:type="dxa"/>
            <w:gridSpan w:val="2"/>
            <w:tcBorders>
              <w:top w:val="single" w:color="auto" w:sz="4" w:space="0"/>
              <w:left w:val="single" w:color="auto" w:sz="4" w:space="0"/>
            </w:tcBorders>
            <w:shd w:val="clear" w:color="auto" w:fill="auto"/>
            <w:vAlign w:val="center"/>
          </w:tcPr>
          <w:p w14:paraId="311CEB94">
            <w:pPr>
              <w:jc w:val="center"/>
              <w:rPr>
                <w:color w:val="auto"/>
                <w:highlight w:val="none"/>
              </w:rPr>
            </w:pPr>
          </w:p>
        </w:tc>
        <w:tc>
          <w:tcPr>
            <w:tcW w:w="1161" w:type="dxa"/>
            <w:tcBorders>
              <w:top w:val="single" w:color="auto" w:sz="4" w:space="0"/>
              <w:left w:val="single" w:color="auto" w:sz="4" w:space="0"/>
            </w:tcBorders>
            <w:shd w:val="clear" w:color="auto" w:fill="auto"/>
            <w:vAlign w:val="center"/>
          </w:tcPr>
          <w:p w14:paraId="0FE2D1D2">
            <w:pPr>
              <w:jc w:val="center"/>
              <w:rPr>
                <w:color w:val="auto"/>
                <w:highlight w:val="none"/>
              </w:rPr>
            </w:pPr>
            <w:r>
              <w:rPr>
                <w:rFonts w:hint="eastAsia"/>
                <w:color w:val="auto"/>
                <w:highlight w:val="none"/>
              </w:rPr>
              <w:t>电话</w:t>
            </w:r>
          </w:p>
        </w:tc>
        <w:tc>
          <w:tcPr>
            <w:tcW w:w="1630" w:type="dxa"/>
            <w:tcBorders>
              <w:top w:val="single" w:color="auto" w:sz="4" w:space="0"/>
              <w:left w:val="single" w:color="auto" w:sz="4" w:space="0"/>
              <w:right w:val="single" w:color="auto" w:sz="4" w:space="0"/>
            </w:tcBorders>
            <w:shd w:val="clear" w:color="auto" w:fill="auto"/>
            <w:vAlign w:val="center"/>
          </w:tcPr>
          <w:p w14:paraId="6A9E6B56">
            <w:pPr>
              <w:jc w:val="center"/>
              <w:rPr>
                <w:color w:val="auto"/>
                <w:highlight w:val="none"/>
              </w:rPr>
            </w:pPr>
          </w:p>
        </w:tc>
      </w:tr>
      <w:tr w14:paraId="41948A4D">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3765FE4A">
            <w:pPr>
              <w:jc w:val="center"/>
              <w:rPr>
                <w:color w:val="auto"/>
                <w:highlight w:val="none"/>
              </w:rPr>
            </w:pPr>
            <w:r>
              <w:rPr>
                <w:rFonts w:hint="eastAsia"/>
                <w:color w:val="auto"/>
                <w:highlight w:val="none"/>
              </w:rPr>
              <w:t>技术负责人</w:t>
            </w:r>
          </w:p>
        </w:tc>
        <w:tc>
          <w:tcPr>
            <w:tcW w:w="870" w:type="dxa"/>
            <w:tcBorders>
              <w:top w:val="single" w:color="auto" w:sz="4" w:space="0"/>
              <w:left w:val="single" w:color="auto" w:sz="4" w:space="0"/>
            </w:tcBorders>
            <w:shd w:val="clear" w:color="auto" w:fill="auto"/>
            <w:vAlign w:val="center"/>
          </w:tcPr>
          <w:p w14:paraId="697FFD62">
            <w:pPr>
              <w:jc w:val="center"/>
              <w:rPr>
                <w:color w:val="auto"/>
                <w:highlight w:val="none"/>
              </w:rPr>
            </w:pPr>
            <w:r>
              <w:rPr>
                <w:rFonts w:hint="eastAsia"/>
                <w:color w:val="auto"/>
                <w:highlight w:val="none"/>
              </w:rPr>
              <w:t>姓名</w:t>
            </w:r>
          </w:p>
        </w:tc>
        <w:tc>
          <w:tcPr>
            <w:tcW w:w="1531" w:type="dxa"/>
            <w:tcBorders>
              <w:top w:val="single" w:color="auto" w:sz="4" w:space="0"/>
              <w:left w:val="single" w:color="auto" w:sz="4" w:space="0"/>
            </w:tcBorders>
            <w:shd w:val="clear" w:color="auto" w:fill="auto"/>
            <w:vAlign w:val="center"/>
          </w:tcPr>
          <w:p w14:paraId="504C0862">
            <w:pPr>
              <w:jc w:val="center"/>
              <w:rPr>
                <w:color w:val="auto"/>
                <w:highlight w:val="none"/>
              </w:rPr>
            </w:pPr>
          </w:p>
        </w:tc>
        <w:tc>
          <w:tcPr>
            <w:tcW w:w="1564" w:type="dxa"/>
            <w:tcBorders>
              <w:top w:val="single" w:color="auto" w:sz="4" w:space="0"/>
              <w:left w:val="single" w:color="auto" w:sz="4" w:space="0"/>
            </w:tcBorders>
            <w:shd w:val="clear" w:color="auto" w:fill="auto"/>
            <w:vAlign w:val="center"/>
          </w:tcPr>
          <w:p w14:paraId="6D8C3808">
            <w:pPr>
              <w:jc w:val="center"/>
              <w:rPr>
                <w:color w:val="auto"/>
                <w:highlight w:val="none"/>
              </w:rPr>
            </w:pPr>
            <w:r>
              <w:rPr>
                <w:rFonts w:hint="eastAsia"/>
                <w:color w:val="auto"/>
                <w:highlight w:val="none"/>
              </w:rPr>
              <w:t>技术职称</w:t>
            </w:r>
          </w:p>
        </w:tc>
        <w:tc>
          <w:tcPr>
            <w:tcW w:w="1626" w:type="dxa"/>
            <w:gridSpan w:val="2"/>
            <w:tcBorders>
              <w:top w:val="single" w:color="auto" w:sz="4" w:space="0"/>
              <w:left w:val="single" w:color="auto" w:sz="4" w:space="0"/>
            </w:tcBorders>
            <w:shd w:val="clear" w:color="auto" w:fill="auto"/>
            <w:vAlign w:val="center"/>
          </w:tcPr>
          <w:p w14:paraId="2DBF7937">
            <w:pPr>
              <w:jc w:val="center"/>
              <w:rPr>
                <w:color w:val="auto"/>
                <w:highlight w:val="none"/>
              </w:rPr>
            </w:pPr>
          </w:p>
        </w:tc>
        <w:tc>
          <w:tcPr>
            <w:tcW w:w="1161" w:type="dxa"/>
            <w:tcBorders>
              <w:top w:val="single" w:color="auto" w:sz="4" w:space="0"/>
              <w:left w:val="single" w:color="auto" w:sz="4" w:space="0"/>
            </w:tcBorders>
            <w:shd w:val="clear" w:color="auto" w:fill="auto"/>
            <w:vAlign w:val="center"/>
          </w:tcPr>
          <w:p w14:paraId="1A439BD9">
            <w:pPr>
              <w:jc w:val="center"/>
              <w:rPr>
                <w:color w:val="auto"/>
                <w:highlight w:val="none"/>
              </w:rPr>
            </w:pPr>
            <w:r>
              <w:rPr>
                <w:rFonts w:hint="eastAsia"/>
                <w:color w:val="auto"/>
                <w:highlight w:val="none"/>
              </w:rPr>
              <w:t>电话</w:t>
            </w:r>
          </w:p>
        </w:tc>
        <w:tc>
          <w:tcPr>
            <w:tcW w:w="1630" w:type="dxa"/>
            <w:tcBorders>
              <w:top w:val="single" w:color="auto" w:sz="4" w:space="0"/>
              <w:left w:val="single" w:color="auto" w:sz="4" w:space="0"/>
              <w:right w:val="single" w:color="auto" w:sz="4" w:space="0"/>
            </w:tcBorders>
            <w:shd w:val="clear" w:color="auto" w:fill="auto"/>
            <w:vAlign w:val="center"/>
          </w:tcPr>
          <w:p w14:paraId="0D9F8CE3">
            <w:pPr>
              <w:jc w:val="center"/>
              <w:rPr>
                <w:color w:val="auto"/>
                <w:highlight w:val="none"/>
              </w:rPr>
            </w:pPr>
          </w:p>
        </w:tc>
      </w:tr>
      <w:tr w14:paraId="11A69F1D">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shd w:val="clear" w:color="auto" w:fill="auto"/>
            <w:vAlign w:val="center"/>
          </w:tcPr>
          <w:p w14:paraId="198C89A9">
            <w:pPr>
              <w:jc w:val="center"/>
              <w:rPr>
                <w:color w:val="auto"/>
                <w:highlight w:val="none"/>
              </w:rPr>
            </w:pPr>
            <w:r>
              <w:rPr>
                <w:rFonts w:hint="eastAsia"/>
                <w:color w:val="auto"/>
                <w:highlight w:val="none"/>
              </w:rPr>
              <w:t>企业设计资质证书</w:t>
            </w:r>
          </w:p>
        </w:tc>
        <w:tc>
          <w:tcPr>
            <w:tcW w:w="8382" w:type="dxa"/>
            <w:gridSpan w:val="7"/>
            <w:tcBorders>
              <w:top w:val="single" w:color="auto" w:sz="4" w:space="0"/>
              <w:left w:val="single" w:color="auto" w:sz="4" w:space="0"/>
              <w:right w:val="single" w:color="auto" w:sz="4" w:space="0"/>
            </w:tcBorders>
            <w:shd w:val="clear" w:color="auto" w:fill="auto"/>
            <w:vAlign w:val="center"/>
          </w:tcPr>
          <w:p w14:paraId="143C8BC3">
            <w:pPr>
              <w:jc w:val="center"/>
              <w:rPr>
                <w:color w:val="auto"/>
                <w:highlight w:val="none"/>
              </w:rPr>
            </w:pPr>
            <w:r>
              <w:rPr>
                <w:rFonts w:hint="eastAsia"/>
                <w:color w:val="auto"/>
                <w:highlight w:val="none"/>
              </w:rPr>
              <w:t>类型：</w:t>
            </w:r>
            <w:r>
              <w:rPr>
                <w:rFonts w:hint="eastAsia"/>
                <w:color w:val="auto"/>
                <w:highlight w:val="none"/>
                <w:lang w:val="en-US" w:eastAsia="zh-CN"/>
              </w:rPr>
              <w:t xml:space="preserve">     </w:t>
            </w:r>
            <w:r>
              <w:rPr>
                <w:rFonts w:hint="eastAsia"/>
                <w:color w:val="auto"/>
                <w:highlight w:val="none"/>
                <w:lang w:val="en-US"/>
              </w:rPr>
              <w:tab/>
            </w:r>
            <w:r>
              <w:rPr>
                <w:rFonts w:hint="eastAsia"/>
                <w:color w:val="auto"/>
                <w:highlight w:val="none"/>
              </w:rPr>
              <w:t>等级</w:t>
            </w:r>
            <w:r>
              <w:rPr>
                <w:rFonts w:hint="eastAsia"/>
                <w:color w:val="auto"/>
                <w:highlight w:val="none"/>
                <w:lang w:eastAsia="zh-CN"/>
              </w:rPr>
              <w:t>：</w:t>
            </w:r>
            <w:r>
              <w:rPr>
                <w:rFonts w:hint="eastAsia"/>
                <w:color w:val="auto"/>
                <w:highlight w:val="none"/>
                <w:lang w:val="en-US" w:eastAsia="zh-CN"/>
              </w:rPr>
              <w:t xml:space="preserve">        </w:t>
            </w:r>
            <w:r>
              <w:rPr>
                <w:rFonts w:hint="eastAsia"/>
                <w:color w:val="auto"/>
                <w:highlight w:val="none"/>
              </w:rPr>
              <w:tab/>
            </w:r>
            <w:r>
              <w:rPr>
                <w:rFonts w:hint="eastAsia"/>
                <w:color w:val="auto"/>
                <w:highlight w:val="none"/>
              </w:rPr>
              <w:t>证书号：</w:t>
            </w:r>
          </w:p>
        </w:tc>
      </w:tr>
      <w:tr w14:paraId="3A151BDF">
        <w:tblPrEx>
          <w:tblCellMar>
            <w:top w:w="0" w:type="dxa"/>
            <w:left w:w="10" w:type="dxa"/>
            <w:bottom w:w="0" w:type="dxa"/>
            <w:right w:w="10" w:type="dxa"/>
          </w:tblCellMar>
        </w:tblPrEx>
        <w:trPr>
          <w:trHeight w:val="848" w:hRule="exact"/>
          <w:jc w:val="center"/>
        </w:trPr>
        <w:tc>
          <w:tcPr>
            <w:tcW w:w="2077" w:type="dxa"/>
            <w:tcBorders>
              <w:top w:val="single" w:color="auto" w:sz="4" w:space="0"/>
              <w:left w:val="single" w:color="auto" w:sz="4" w:space="0"/>
            </w:tcBorders>
            <w:shd w:val="clear" w:color="auto" w:fill="auto"/>
            <w:vAlign w:val="center"/>
          </w:tcPr>
          <w:p w14:paraId="607A03C0">
            <w:pPr>
              <w:jc w:val="center"/>
              <w:rPr>
                <w:color w:val="auto"/>
                <w:highlight w:val="none"/>
              </w:rPr>
            </w:pPr>
            <w:r>
              <w:rPr>
                <w:rFonts w:hint="eastAsia"/>
                <w:color w:val="auto"/>
                <w:highlight w:val="none"/>
              </w:rPr>
              <w:t>质量管理体系证书（如有）</w:t>
            </w:r>
          </w:p>
        </w:tc>
        <w:tc>
          <w:tcPr>
            <w:tcW w:w="8382" w:type="dxa"/>
            <w:gridSpan w:val="7"/>
            <w:tcBorders>
              <w:top w:val="single" w:color="auto" w:sz="4" w:space="0"/>
              <w:left w:val="single" w:color="auto" w:sz="4" w:space="0"/>
              <w:right w:val="single" w:color="auto" w:sz="4" w:space="0"/>
            </w:tcBorders>
            <w:shd w:val="clear" w:color="auto" w:fill="auto"/>
            <w:vAlign w:val="center"/>
          </w:tcPr>
          <w:p w14:paraId="04C927DE">
            <w:pPr>
              <w:jc w:val="center"/>
              <w:rPr>
                <w:color w:val="auto"/>
                <w:highlight w:val="none"/>
              </w:rPr>
            </w:pPr>
            <w:r>
              <w:rPr>
                <w:rFonts w:hint="eastAsia"/>
                <w:color w:val="auto"/>
                <w:highlight w:val="none"/>
              </w:rPr>
              <w:t>类型：</w:t>
            </w:r>
            <w:r>
              <w:rPr>
                <w:rFonts w:hint="eastAsia"/>
                <w:color w:val="auto"/>
                <w:highlight w:val="none"/>
                <w:lang w:val="en-US" w:eastAsia="zh-CN"/>
              </w:rPr>
              <w:t xml:space="preserve">     </w:t>
            </w:r>
            <w:r>
              <w:rPr>
                <w:rFonts w:hint="eastAsia"/>
                <w:color w:val="auto"/>
                <w:highlight w:val="none"/>
                <w:lang w:val="en-US"/>
              </w:rPr>
              <w:tab/>
            </w:r>
            <w:r>
              <w:rPr>
                <w:rFonts w:hint="eastAsia"/>
                <w:color w:val="auto"/>
                <w:highlight w:val="none"/>
              </w:rPr>
              <w:t>等级</w:t>
            </w:r>
            <w:r>
              <w:rPr>
                <w:rFonts w:hint="eastAsia"/>
                <w:color w:val="auto"/>
                <w:highlight w:val="none"/>
                <w:lang w:eastAsia="zh-CN"/>
              </w:rPr>
              <w:t>：</w:t>
            </w:r>
            <w:r>
              <w:rPr>
                <w:rFonts w:hint="eastAsia"/>
                <w:color w:val="auto"/>
                <w:highlight w:val="none"/>
              </w:rPr>
              <w:tab/>
            </w:r>
            <w:r>
              <w:rPr>
                <w:rFonts w:hint="eastAsia"/>
                <w:color w:val="auto"/>
                <w:highlight w:val="none"/>
                <w:lang w:val="en-US" w:eastAsia="zh-CN"/>
              </w:rPr>
              <w:t xml:space="preserve">        </w:t>
            </w:r>
            <w:r>
              <w:rPr>
                <w:rFonts w:hint="eastAsia"/>
                <w:color w:val="auto"/>
                <w:highlight w:val="none"/>
              </w:rPr>
              <w:t>证书号：</w:t>
            </w:r>
          </w:p>
        </w:tc>
      </w:tr>
      <w:tr w14:paraId="4CCCF63C">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3D426159">
            <w:pPr>
              <w:jc w:val="center"/>
              <w:rPr>
                <w:color w:val="auto"/>
                <w:highlight w:val="none"/>
              </w:rPr>
            </w:pPr>
            <w:r>
              <w:rPr>
                <w:rFonts w:hint="eastAsia"/>
                <w:color w:val="auto"/>
                <w:highlight w:val="none"/>
              </w:rPr>
              <w:t>营业执照号</w:t>
            </w:r>
          </w:p>
        </w:tc>
        <w:tc>
          <w:tcPr>
            <w:tcW w:w="3965" w:type="dxa"/>
            <w:gridSpan w:val="3"/>
            <w:tcBorders>
              <w:top w:val="single" w:color="auto" w:sz="4" w:space="0"/>
              <w:left w:val="single" w:color="auto" w:sz="4" w:space="0"/>
            </w:tcBorders>
            <w:shd w:val="clear" w:color="auto" w:fill="auto"/>
            <w:vAlign w:val="center"/>
          </w:tcPr>
          <w:p w14:paraId="367D7089">
            <w:pPr>
              <w:jc w:val="center"/>
              <w:rPr>
                <w:color w:val="auto"/>
                <w:highlight w:val="none"/>
              </w:rPr>
            </w:pPr>
          </w:p>
        </w:tc>
        <w:tc>
          <w:tcPr>
            <w:tcW w:w="4417" w:type="dxa"/>
            <w:gridSpan w:val="4"/>
            <w:tcBorders>
              <w:top w:val="single" w:color="auto" w:sz="4" w:space="0"/>
              <w:left w:val="single" w:color="auto" w:sz="4" w:space="0"/>
              <w:right w:val="single" w:color="auto" w:sz="4" w:space="0"/>
            </w:tcBorders>
            <w:shd w:val="clear" w:color="auto" w:fill="auto"/>
            <w:vAlign w:val="center"/>
          </w:tcPr>
          <w:p w14:paraId="5D52BCA1">
            <w:pPr>
              <w:jc w:val="center"/>
              <w:rPr>
                <w:color w:val="auto"/>
                <w:highlight w:val="none"/>
              </w:rPr>
            </w:pPr>
            <w:r>
              <w:rPr>
                <w:rFonts w:hint="eastAsia"/>
                <w:color w:val="auto"/>
                <w:highlight w:val="none"/>
              </w:rPr>
              <w:t>员工总人数：</w:t>
            </w:r>
          </w:p>
        </w:tc>
      </w:tr>
      <w:tr w14:paraId="459DD923">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24E6FDFE">
            <w:pPr>
              <w:jc w:val="center"/>
              <w:rPr>
                <w:color w:val="auto"/>
                <w:highlight w:val="none"/>
              </w:rPr>
            </w:pPr>
            <w:r>
              <w:rPr>
                <w:rFonts w:hint="eastAsia"/>
                <w:color w:val="auto"/>
                <w:highlight w:val="none"/>
              </w:rPr>
              <w:t>注册资本</w:t>
            </w:r>
          </w:p>
        </w:tc>
        <w:tc>
          <w:tcPr>
            <w:tcW w:w="3965" w:type="dxa"/>
            <w:gridSpan w:val="3"/>
            <w:tcBorders>
              <w:top w:val="single" w:color="auto" w:sz="4" w:space="0"/>
              <w:left w:val="single" w:color="auto" w:sz="4" w:space="0"/>
            </w:tcBorders>
            <w:shd w:val="clear" w:color="auto" w:fill="auto"/>
            <w:vAlign w:val="center"/>
          </w:tcPr>
          <w:p w14:paraId="5BB1B753">
            <w:pPr>
              <w:jc w:val="center"/>
              <w:rPr>
                <w:color w:val="auto"/>
                <w:highlight w:val="none"/>
              </w:rPr>
            </w:pPr>
          </w:p>
        </w:tc>
        <w:tc>
          <w:tcPr>
            <w:tcW w:w="527" w:type="dxa"/>
            <w:vMerge w:val="restart"/>
            <w:tcBorders>
              <w:top w:val="single" w:color="auto" w:sz="4" w:space="0"/>
              <w:left w:val="single" w:color="auto" w:sz="4" w:space="0"/>
            </w:tcBorders>
            <w:shd w:val="clear" w:color="auto" w:fill="auto"/>
            <w:vAlign w:val="center"/>
          </w:tcPr>
          <w:p w14:paraId="08FAA3F7">
            <w:pPr>
              <w:jc w:val="center"/>
              <w:rPr>
                <w:color w:val="auto"/>
                <w:highlight w:val="none"/>
              </w:rPr>
            </w:pPr>
            <w:r>
              <w:rPr>
                <w:rFonts w:hint="eastAsia"/>
                <w:color w:val="auto"/>
                <w:highlight w:val="none"/>
              </w:rPr>
              <w:t>其中</w:t>
            </w:r>
          </w:p>
        </w:tc>
        <w:tc>
          <w:tcPr>
            <w:tcW w:w="2260" w:type="dxa"/>
            <w:gridSpan w:val="2"/>
            <w:tcBorders>
              <w:top w:val="single" w:color="auto" w:sz="4" w:space="0"/>
              <w:left w:val="single" w:color="auto" w:sz="4" w:space="0"/>
            </w:tcBorders>
            <w:shd w:val="clear" w:color="auto" w:fill="auto"/>
            <w:vAlign w:val="center"/>
          </w:tcPr>
          <w:p w14:paraId="03028158">
            <w:pPr>
              <w:jc w:val="center"/>
              <w:rPr>
                <w:color w:val="auto"/>
                <w:highlight w:val="none"/>
              </w:rPr>
            </w:pPr>
            <w:r>
              <w:rPr>
                <w:rFonts w:hint="eastAsia"/>
                <w:color w:val="auto"/>
                <w:highlight w:val="none"/>
              </w:rPr>
              <w:t>高级职称人员</w:t>
            </w:r>
          </w:p>
        </w:tc>
        <w:tc>
          <w:tcPr>
            <w:tcW w:w="1630" w:type="dxa"/>
            <w:tcBorders>
              <w:top w:val="single" w:color="auto" w:sz="4" w:space="0"/>
              <w:left w:val="single" w:color="auto" w:sz="4" w:space="0"/>
              <w:right w:val="single" w:color="auto" w:sz="4" w:space="0"/>
            </w:tcBorders>
            <w:shd w:val="clear" w:color="auto" w:fill="auto"/>
            <w:vAlign w:val="center"/>
          </w:tcPr>
          <w:p w14:paraId="17D6ED2C">
            <w:pPr>
              <w:jc w:val="center"/>
              <w:rPr>
                <w:color w:val="auto"/>
                <w:highlight w:val="none"/>
              </w:rPr>
            </w:pPr>
          </w:p>
        </w:tc>
      </w:tr>
      <w:tr w14:paraId="22E6984C">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54ACDCC4">
            <w:pPr>
              <w:jc w:val="center"/>
              <w:rPr>
                <w:color w:val="auto"/>
                <w:highlight w:val="none"/>
              </w:rPr>
            </w:pPr>
            <w:r>
              <w:rPr>
                <w:rFonts w:hint="eastAsia"/>
                <w:color w:val="auto"/>
                <w:highlight w:val="none"/>
              </w:rPr>
              <w:t>成立日期</w:t>
            </w:r>
          </w:p>
        </w:tc>
        <w:tc>
          <w:tcPr>
            <w:tcW w:w="3965" w:type="dxa"/>
            <w:gridSpan w:val="3"/>
            <w:tcBorders>
              <w:top w:val="single" w:color="auto" w:sz="4" w:space="0"/>
              <w:left w:val="single" w:color="auto" w:sz="4" w:space="0"/>
            </w:tcBorders>
            <w:shd w:val="clear" w:color="auto" w:fill="auto"/>
            <w:vAlign w:val="center"/>
          </w:tcPr>
          <w:p w14:paraId="70DD2A51">
            <w:pPr>
              <w:jc w:val="center"/>
              <w:rPr>
                <w:color w:val="auto"/>
                <w:highlight w:val="none"/>
              </w:rPr>
            </w:pPr>
          </w:p>
        </w:tc>
        <w:tc>
          <w:tcPr>
            <w:tcW w:w="527" w:type="dxa"/>
            <w:vMerge w:val="continue"/>
            <w:tcBorders>
              <w:left w:val="single" w:color="auto" w:sz="4" w:space="0"/>
            </w:tcBorders>
            <w:shd w:val="clear" w:color="auto" w:fill="auto"/>
            <w:vAlign w:val="center"/>
          </w:tcPr>
          <w:p w14:paraId="152F604B">
            <w:pPr>
              <w:jc w:val="center"/>
              <w:rPr>
                <w:color w:val="auto"/>
                <w:highlight w:val="none"/>
              </w:rPr>
            </w:pPr>
          </w:p>
        </w:tc>
        <w:tc>
          <w:tcPr>
            <w:tcW w:w="2260" w:type="dxa"/>
            <w:gridSpan w:val="2"/>
            <w:tcBorders>
              <w:top w:val="single" w:color="auto" w:sz="4" w:space="0"/>
              <w:left w:val="single" w:color="auto" w:sz="4" w:space="0"/>
            </w:tcBorders>
            <w:shd w:val="clear" w:color="auto" w:fill="auto"/>
            <w:vAlign w:val="center"/>
          </w:tcPr>
          <w:p w14:paraId="5B94EC27">
            <w:pPr>
              <w:jc w:val="center"/>
              <w:rPr>
                <w:color w:val="auto"/>
                <w:highlight w:val="none"/>
              </w:rPr>
            </w:pPr>
            <w:r>
              <w:rPr>
                <w:rFonts w:hint="eastAsia"/>
                <w:color w:val="auto"/>
                <w:highlight w:val="none"/>
              </w:rPr>
              <w:t>中级职称人员</w:t>
            </w:r>
          </w:p>
        </w:tc>
        <w:tc>
          <w:tcPr>
            <w:tcW w:w="1630" w:type="dxa"/>
            <w:tcBorders>
              <w:top w:val="single" w:color="auto" w:sz="4" w:space="0"/>
              <w:left w:val="single" w:color="auto" w:sz="4" w:space="0"/>
              <w:right w:val="single" w:color="auto" w:sz="4" w:space="0"/>
            </w:tcBorders>
            <w:shd w:val="clear" w:color="auto" w:fill="auto"/>
            <w:vAlign w:val="center"/>
          </w:tcPr>
          <w:p w14:paraId="6DDBF7FE">
            <w:pPr>
              <w:jc w:val="center"/>
              <w:rPr>
                <w:color w:val="auto"/>
                <w:highlight w:val="none"/>
              </w:rPr>
            </w:pPr>
          </w:p>
        </w:tc>
      </w:tr>
      <w:tr w14:paraId="572DFC72">
        <w:tblPrEx>
          <w:tblCellMar>
            <w:top w:w="0" w:type="dxa"/>
            <w:left w:w="10" w:type="dxa"/>
            <w:bottom w:w="0" w:type="dxa"/>
            <w:right w:w="10" w:type="dxa"/>
          </w:tblCellMar>
        </w:tblPrEx>
        <w:trPr>
          <w:trHeight w:val="738" w:hRule="exact"/>
          <w:jc w:val="center"/>
        </w:trPr>
        <w:tc>
          <w:tcPr>
            <w:tcW w:w="2077" w:type="dxa"/>
            <w:tcBorders>
              <w:top w:val="single" w:color="auto" w:sz="4" w:space="0"/>
              <w:left w:val="single" w:color="auto" w:sz="4" w:space="0"/>
            </w:tcBorders>
            <w:shd w:val="clear" w:color="auto" w:fill="auto"/>
            <w:vAlign w:val="center"/>
          </w:tcPr>
          <w:p w14:paraId="60634A52">
            <w:pPr>
              <w:jc w:val="center"/>
              <w:rPr>
                <w:color w:val="auto"/>
                <w:highlight w:val="none"/>
              </w:rPr>
            </w:pPr>
            <w:r>
              <w:rPr>
                <w:rFonts w:hint="eastAsia"/>
                <w:color w:val="auto"/>
                <w:highlight w:val="none"/>
              </w:rPr>
              <w:t>基本账户开户银行</w:t>
            </w:r>
          </w:p>
        </w:tc>
        <w:tc>
          <w:tcPr>
            <w:tcW w:w="3965" w:type="dxa"/>
            <w:gridSpan w:val="3"/>
            <w:tcBorders>
              <w:top w:val="single" w:color="auto" w:sz="4" w:space="0"/>
              <w:left w:val="single" w:color="auto" w:sz="4" w:space="0"/>
            </w:tcBorders>
            <w:shd w:val="clear" w:color="auto" w:fill="auto"/>
            <w:vAlign w:val="center"/>
          </w:tcPr>
          <w:p w14:paraId="261FD7AC">
            <w:pPr>
              <w:jc w:val="center"/>
              <w:rPr>
                <w:color w:val="auto"/>
                <w:highlight w:val="none"/>
              </w:rPr>
            </w:pPr>
          </w:p>
        </w:tc>
        <w:tc>
          <w:tcPr>
            <w:tcW w:w="527" w:type="dxa"/>
            <w:vMerge w:val="continue"/>
            <w:tcBorders>
              <w:left w:val="single" w:color="auto" w:sz="4" w:space="0"/>
            </w:tcBorders>
            <w:shd w:val="clear" w:color="auto" w:fill="auto"/>
            <w:vAlign w:val="center"/>
          </w:tcPr>
          <w:p w14:paraId="6FE28025">
            <w:pPr>
              <w:jc w:val="center"/>
              <w:rPr>
                <w:color w:val="auto"/>
                <w:highlight w:val="none"/>
              </w:rPr>
            </w:pPr>
          </w:p>
        </w:tc>
        <w:tc>
          <w:tcPr>
            <w:tcW w:w="2260" w:type="dxa"/>
            <w:gridSpan w:val="2"/>
            <w:tcBorders>
              <w:top w:val="single" w:color="auto" w:sz="4" w:space="0"/>
              <w:left w:val="single" w:color="auto" w:sz="4" w:space="0"/>
            </w:tcBorders>
            <w:shd w:val="clear" w:color="auto" w:fill="auto"/>
            <w:vAlign w:val="center"/>
          </w:tcPr>
          <w:p w14:paraId="7AD348F2">
            <w:pPr>
              <w:jc w:val="center"/>
              <w:rPr>
                <w:color w:val="auto"/>
                <w:highlight w:val="none"/>
              </w:rPr>
            </w:pPr>
            <w:r>
              <w:rPr>
                <w:rFonts w:hint="eastAsia"/>
                <w:color w:val="auto"/>
                <w:highlight w:val="none"/>
              </w:rPr>
              <w:t>技术人员数量</w:t>
            </w:r>
          </w:p>
        </w:tc>
        <w:tc>
          <w:tcPr>
            <w:tcW w:w="1630" w:type="dxa"/>
            <w:tcBorders>
              <w:top w:val="single" w:color="auto" w:sz="4" w:space="0"/>
              <w:left w:val="single" w:color="auto" w:sz="4" w:space="0"/>
              <w:right w:val="single" w:color="auto" w:sz="4" w:space="0"/>
            </w:tcBorders>
            <w:shd w:val="clear" w:color="auto" w:fill="auto"/>
            <w:vAlign w:val="center"/>
          </w:tcPr>
          <w:p w14:paraId="32E04195">
            <w:pPr>
              <w:jc w:val="center"/>
              <w:rPr>
                <w:color w:val="auto"/>
                <w:highlight w:val="none"/>
              </w:rPr>
            </w:pPr>
          </w:p>
        </w:tc>
      </w:tr>
      <w:tr w14:paraId="2B041A87">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shd w:val="clear" w:color="auto" w:fill="auto"/>
            <w:vAlign w:val="center"/>
          </w:tcPr>
          <w:p w14:paraId="20336A5B">
            <w:pPr>
              <w:jc w:val="center"/>
              <w:rPr>
                <w:color w:val="auto"/>
                <w:highlight w:val="none"/>
              </w:rPr>
            </w:pPr>
            <w:r>
              <w:rPr>
                <w:rFonts w:hint="eastAsia"/>
                <w:color w:val="auto"/>
                <w:highlight w:val="none"/>
              </w:rPr>
              <w:t>基本账户银行账号</w:t>
            </w:r>
          </w:p>
        </w:tc>
        <w:tc>
          <w:tcPr>
            <w:tcW w:w="3965" w:type="dxa"/>
            <w:gridSpan w:val="3"/>
            <w:tcBorders>
              <w:top w:val="single" w:color="auto" w:sz="4" w:space="0"/>
              <w:left w:val="single" w:color="auto" w:sz="4" w:space="0"/>
            </w:tcBorders>
            <w:shd w:val="clear" w:color="auto" w:fill="auto"/>
            <w:vAlign w:val="center"/>
          </w:tcPr>
          <w:p w14:paraId="6C633359">
            <w:pPr>
              <w:jc w:val="center"/>
              <w:rPr>
                <w:color w:val="auto"/>
                <w:highlight w:val="none"/>
              </w:rPr>
            </w:pPr>
          </w:p>
        </w:tc>
        <w:tc>
          <w:tcPr>
            <w:tcW w:w="527" w:type="dxa"/>
            <w:vMerge w:val="continue"/>
            <w:tcBorders>
              <w:left w:val="single" w:color="auto" w:sz="4" w:space="0"/>
            </w:tcBorders>
            <w:shd w:val="clear" w:color="auto" w:fill="auto"/>
            <w:vAlign w:val="center"/>
          </w:tcPr>
          <w:p w14:paraId="3FB5A1EE">
            <w:pPr>
              <w:jc w:val="center"/>
              <w:rPr>
                <w:color w:val="auto"/>
                <w:highlight w:val="none"/>
              </w:rPr>
            </w:pPr>
          </w:p>
        </w:tc>
        <w:tc>
          <w:tcPr>
            <w:tcW w:w="2260" w:type="dxa"/>
            <w:gridSpan w:val="2"/>
            <w:tcBorders>
              <w:top w:val="single" w:color="auto" w:sz="4" w:space="0"/>
              <w:left w:val="single" w:color="auto" w:sz="4" w:space="0"/>
            </w:tcBorders>
            <w:shd w:val="clear" w:color="auto" w:fill="auto"/>
            <w:vAlign w:val="center"/>
          </w:tcPr>
          <w:p w14:paraId="727A3951">
            <w:pPr>
              <w:jc w:val="center"/>
              <w:rPr>
                <w:color w:val="auto"/>
                <w:highlight w:val="none"/>
              </w:rPr>
            </w:pPr>
            <w:r>
              <w:rPr>
                <w:rFonts w:hint="eastAsia"/>
                <w:color w:val="auto"/>
                <w:highlight w:val="none"/>
              </w:rPr>
              <w:t>各类注册人员</w:t>
            </w:r>
          </w:p>
        </w:tc>
        <w:tc>
          <w:tcPr>
            <w:tcW w:w="1630" w:type="dxa"/>
            <w:tcBorders>
              <w:top w:val="single" w:color="auto" w:sz="4" w:space="0"/>
              <w:left w:val="single" w:color="auto" w:sz="4" w:space="0"/>
              <w:right w:val="single" w:color="auto" w:sz="4" w:space="0"/>
            </w:tcBorders>
            <w:shd w:val="clear" w:color="auto" w:fill="auto"/>
            <w:vAlign w:val="center"/>
          </w:tcPr>
          <w:p w14:paraId="54CE5B19">
            <w:pPr>
              <w:jc w:val="center"/>
              <w:rPr>
                <w:color w:val="auto"/>
                <w:highlight w:val="none"/>
              </w:rPr>
            </w:pPr>
          </w:p>
        </w:tc>
      </w:tr>
      <w:tr w14:paraId="5977BB8E">
        <w:tblPrEx>
          <w:tblCellMar>
            <w:top w:w="0" w:type="dxa"/>
            <w:left w:w="10" w:type="dxa"/>
            <w:bottom w:w="0" w:type="dxa"/>
            <w:right w:w="10" w:type="dxa"/>
          </w:tblCellMar>
        </w:tblPrEx>
        <w:trPr>
          <w:trHeight w:val="589" w:hRule="exact"/>
          <w:jc w:val="center"/>
        </w:trPr>
        <w:tc>
          <w:tcPr>
            <w:tcW w:w="2077" w:type="dxa"/>
            <w:tcBorders>
              <w:top w:val="single" w:color="auto" w:sz="4" w:space="0"/>
              <w:left w:val="single" w:color="auto" w:sz="4" w:space="0"/>
            </w:tcBorders>
            <w:shd w:val="clear" w:color="auto" w:fill="auto"/>
            <w:vAlign w:val="center"/>
          </w:tcPr>
          <w:p w14:paraId="028FC173">
            <w:pPr>
              <w:jc w:val="center"/>
              <w:rPr>
                <w:color w:val="auto"/>
                <w:highlight w:val="none"/>
              </w:rPr>
            </w:pPr>
            <w:r>
              <w:rPr>
                <w:rFonts w:hint="eastAsia"/>
                <w:color w:val="auto"/>
                <w:highlight w:val="none"/>
              </w:rPr>
              <w:t>经营范围</w:t>
            </w:r>
          </w:p>
        </w:tc>
        <w:tc>
          <w:tcPr>
            <w:tcW w:w="8382" w:type="dxa"/>
            <w:gridSpan w:val="7"/>
            <w:tcBorders>
              <w:top w:val="single" w:color="auto" w:sz="4" w:space="0"/>
              <w:left w:val="single" w:color="auto" w:sz="4" w:space="0"/>
              <w:right w:val="single" w:color="auto" w:sz="4" w:space="0"/>
            </w:tcBorders>
            <w:shd w:val="clear" w:color="auto" w:fill="auto"/>
            <w:vAlign w:val="center"/>
          </w:tcPr>
          <w:p w14:paraId="00304A61">
            <w:pPr>
              <w:rPr>
                <w:color w:val="auto"/>
                <w:highlight w:val="none"/>
              </w:rPr>
            </w:pPr>
          </w:p>
        </w:tc>
      </w:tr>
      <w:tr w14:paraId="33DD66F2">
        <w:tblPrEx>
          <w:tblCellMar>
            <w:top w:w="0" w:type="dxa"/>
            <w:left w:w="10" w:type="dxa"/>
            <w:bottom w:w="0" w:type="dxa"/>
            <w:right w:w="10" w:type="dxa"/>
          </w:tblCellMar>
        </w:tblPrEx>
        <w:trPr>
          <w:trHeight w:val="2861" w:hRule="exact"/>
          <w:jc w:val="center"/>
        </w:trPr>
        <w:tc>
          <w:tcPr>
            <w:tcW w:w="2077" w:type="dxa"/>
            <w:tcBorders>
              <w:top w:val="single" w:color="auto" w:sz="4" w:space="0"/>
              <w:left w:val="single" w:color="auto" w:sz="4" w:space="0"/>
            </w:tcBorders>
            <w:shd w:val="clear" w:color="auto" w:fill="auto"/>
            <w:vAlign w:val="center"/>
          </w:tcPr>
          <w:p w14:paraId="40B3AB4A">
            <w:pPr>
              <w:jc w:val="center"/>
              <w:rPr>
                <w:color w:val="auto"/>
                <w:highlight w:val="none"/>
              </w:rPr>
            </w:pPr>
            <w:r>
              <w:rPr>
                <w:rFonts w:hint="eastAsia"/>
                <w:color w:val="auto"/>
                <w:highlight w:val="none"/>
                <w:lang w:eastAsia="zh-CN"/>
              </w:rPr>
              <w:t>供应商</w:t>
            </w:r>
            <w:r>
              <w:rPr>
                <w:rFonts w:hint="eastAsia"/>
                <w:color w:val="auto"/>
                <w:highlight w:val="none"/>
              </w:rPr>
              <w:t>关联企业情况（包括但不限于与</w:t>
            </w:r>
            <w:r>
              <w:rPr>
                <w:rFonts w:hint="eastAsia"/>
                <w:color w:val="auto"/>
                <w:highlight w:val="none"/>
                <w:lang w:eastAsia="zh-CN"/>
              </w:rPr>
              <w:t>供应商</w:t>
            </w:r>
            <w:r>
              <w:rPr>
                <w:rFonts w:hint="eastAsia"/>
                <w:color w:val="auto"/>
                <w:highlight w:val="none"/>
              </w:rPr>
              <w:t>法定代表人为同一人或者存在控股、管理关系的不同单位）</w:t>
            </w:r>
          </w:p>
        </w:tc>
        <w:tc>
          <w:tcPr>
            <w:tcW w:w="8382" w:type="dxa"/>
            <w:gridSpan w:val="7"/>
            <w:tcBorders>
              <w:top w:val="single" w:color="auto" w:sz="4" w:space="0"/>
              <w:left w:val="single" w:color="auto" w:sz="4" w:space="0"/>
              <w:right w:val="single" w:color="auto" w:sz="4" w:space="0"/>
            </w:tcBorders>
            <w:shd w:val="clear" w:color="auto" w:fill="auto"/>
            <w:vAlign w:val="center"/>
          </w:tcPr>
          <w:p w14:paraId="030DE120">
            <w:pPr>
              <w:rPr>
                <w:color w:val="auto"/>
                <w:highlight w:val="none"/>
              </w:rPr>
            </w:pPr>
          </w:p>
        </w:tc>
      </w:tr>
      <w:tr w14:paraId="550E32C1">
        <w:tblPrEx>
          <w:tblCellMar>
            <w:top w:w="0" w:type="dxa"/>
            <w:left w:w="10" w:type="dxa"/>
            <w:bottom w:w="0" w:type="dxa"/>
            <w:right w:w="10" w:type="dxa"/>
          </w:tblCellMar>
        </w:tblPrEx>
        <w:trPr>
          <w:trHeight w:val="618" w:hRule="exact"/>
          <w:jc w:val="center"/>
        </w:trPr>
        <w:tc>
          <w:tcPr>
            <w:tcW w:w="2077" w:type="dxa"/>
            <w:tcBorders>
              <w:top w:val="single" w:color="auto" w:sz="4" w:space="0"/>
              <w:left w:val="single" w:color="auto" w:sz="4" w:space="0"/>
              <w:bottom w:val="single" w:color="auto" w:sz="4" w:space="0"/>
            </w:tcBorders>
            <w:shd w:val="clear" w:color="auto" w:fill="auto"/>
            <w:vAlign w:val="center"/>
          </w:tcPr>
          <w:p w14:paraId="677F7053">
            <w:pPr>
              <w:jc w:val="center"/>
              <w:rPr>
                <w:color w:val="auto"/>
                <w:highlight w:val="none"/>
              </w:rPr>
            </w:pPr>
            <w:r>
              <w:rPr>
                <w:rFonts w:hint="eastAsia"/>
                <w:color w:val="auto"/>
                <w:highlight w:val="none"/>
              </w:rPr>
              <w:t>备注</w:t>
            </w:r>
          </w:p>
        </w:tc>
        <w:tc>
          <w:tcPr>
            <w:tcW w:w="838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8394373">
            <w:pPr>
              <w:rPr>
                <w:color w:val="auto"/>
                <w:highlight w:val="none"/>
              </w:rPr>
            </w:pPr>
          </w:p>
        </w:tc>
      </w:tr>
    </w:tbl>
    <w:p w14:paraId="6C8F28CA">
      <w:pPr>
        <w:rPr>
          <w:rFonts w:hint="eastAsia"/>
          <w:b/>
          <w:color w:val="auto"/>
          <w:sz w:val="30"/>
          <w:szCs w:val="30"/>
          <w:highlight w:val="none"/>
        </w:rPr>
      </w:pPr>
      <w:r>
        <w:rPr>
          <w:rFonts w:hint="eastAsia" w:ascii="宋体" w:hAnsi="宋体" w:eastAsia="宋体" w:cs="宋体"/>
          <w:color w:val="auto"/>
          <w:sz w:val="24"/>
          <w:szCs w:val="24"/>
          <w:highlight w:val="none"/>
          <w:lang w:val="en-US" w:eastAsia="zh-CN" w:bidi="zh-CN"/>
        </w:rPr>
        <w:t>附：公司简介、营业执照等公司资质证明。</w:t>
      </w:r>
      <w:r>
        <w:rPr>
          <w:rFonts w:hint="eastAsia" w:ascii="宋体" w:hAnsi="宋体" w:eastAsia="宋体" w:cs="宋体"/>
          <w:b/>
          <w:color w:val="auto"/>
          <w:sz w:val="32"/>
          <w:szCs w:val="32"/>
          <w:highlight w:val="none"/>
        </w:rPr>
        <w:br w:type="page"/>
      </w:r>
    </w:p>
    <w:p w14:paraId="065EDDA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五、项目负责人简历表及拟投入本项目主要成员表</w:t>
      </w:r>
      <w:bookmarkEnd w:id="1542"/>
    </w:p>
    <w:p w14:paraId="00691148">
      <w:pPr>
        <w:numPr>
          <w:ilvl w:val="0"/>
          <w:numId w:val="13"/>
        </w:numPr>
        <w:spacing w:line="440" w:lineRule="exact"/>
        <w:ind w:left="720" w:leftChars="0" w:hanging="720" w:firstLineChars="0"/>
        <w:outlineLvl w:val="9"/>
        <w:rPr>
          <w:rFonts w:hint="eastAsia"/>
          <w:b/>
          <w:color w:val="auto"/>
          <w:highlight w:val="none"/>
        </w:rPr>
      </w:pPr>
      <w:bookmarkStart w:id="1543" w:name="_Toc6973"/>
      <w:r>
        <w:rPr>
          <w:rFonts w:hint="eastAsia"/>
          <w:b/>
          <w:color w:val="auto"/>
          <w:highlight w:val="none"/>
        </w:rPr>
        <w:t>项目负责人简历表</w:t>
      </w:r>
      <w:bookmarkEnd w:id="1543"/>
    </w:p>
    <w:tbl>
      <w:tblPr>
        <w:tblStyle w:val="34"/>
        <w:tblW w:w="10297" w:type="dxa"/>
        <w:jc w:val="center"/>
        <w:tblLayout w:type="fixed"/>
        <w:tblCellMar>
          <w:top w:w="0" w:type="dxa"/>
          <w:left w:w="108" w:type="dxa"/>
          <w:bottom w:w="0" w:type="dxa"/>
          <w:right w:w="108" w:type="dxa"/>
        </w:tblCellMar>
      </w:tblPr>
      <w:tblGrid>
        <w:gridCol w:w="1756"/>
        <w:gridCol w:w="2118"/>
        <w:gridCol w:w="1495"/>
        <w:gridCol w:w="1463"/>
        <w:gridCol w:w="1611"/>
        <w:gridCol w:w="1854"/>
      </w:tblGrid>
      <w:tr w14:paraId="1819AD54">
        <w:trPr>
          <w:trHeight w:val="793" w:hRule="atLeast"/>
          <w:jc w:val="center"/>
        </w:trPr>
        <w:tc>
          <w:tcPr>
            <w:tcW w:w="1756" w:type="dxa"/>
            <w:tcBorders>
              <w:top w:val="single" w:color="auto" w:sz="6" w:space="0"/>
              <w:left w:val="single" w:color="auto" w:sz="6" w:space="0"/>
              <w:bottom w:val="single" w:color="auto" w:sz="6" w:space="0"/>
              <w:right w:val="single" w:color="auto" w:sz="6" w:space="0"/>
            </w:tcBorders>
          </w:tcPr>
          <w:p w14:paraId="59C89593">
            <w:pPr>
              <w:spacing w:line="440" w:lineRule="exact"/>
              <w:jc w:val="center"/>
              <w:rPr>
                <w:rFonts w:hint="eastAsia"/>
                <w:color w:val="auto"/>
                <w:highlight w:val="none"/>
              </w:rPr>
            </w:pPr>
            <w:r>
              <w:rPr>
                <w:rFonts w:hint="eastAsia"/>
                <w:color w:val="auto"/>
                <w:highlight w:val="none"/>
              </w:rPr>
              <w:t>姓名</w:t>
            </w:r>
          </w:p>
        </w:tc>
        <w:tc>
          <w:tcPr>
            <w:tcW w:w="2118" w:type="dxa"/>
            <w:tcBorders>
              <w:top w:val="single" w:color="auto" w:sz="6" w:space="0"/>
              <w:left w:val="single" w:color="auto" w:sz="6" w:space="0"/>
              <w:bottom w:val="single" w:color="auto" w:sz="6" w:space="0"/>
              <w:right w:val="single" w:color="auto" w:sz="6" w:space="0"/>
            </w:tcBorders>
          </w:tcPr>
          <w:p w14:paraId="7F1F1EDD">
            <w:pPr>
              <w:spacing w:line="440" w:lineRule="exact"/>
              <w:rPr>
                <w:rFonts w:hint="eastAsia"/>
                <w:color w:val="auto"/>
                <w:highlight w:val="none"/>
              </w:rPr>
            </w:pPr>
          </w:p>
        </w:tc>
        <w:tc>
          <w:tcPr>
            <w:tcW w:w="1495" w:type="dxa"/>
            <w:tcBorders>
              <w:top w:val="single" w:color="auto" w:sz="6" w:space="0"/>
              <w:left w:val="single" w:color="auto" w:sz="6" w:space="0"/>
              <w:bottom w:val="single" w:color="auto" w:sz="6" w:space="0"/>
              <w:right w:val="single" w:color="auto" w:sz="6" w:space="0"/>
            </w:tcBorders>
          </w:tcPr>
          <w:p w14:paraId="67EFF32D">
            <w:pPr>
              <w:spacing w:line="440" w:lineRule="exact"/>
              <w:jc w:val="center"/>
              <w:rPr>
                <w:rFonts w:hint="eastAsia"/>
                <w:color w:val="auto"/>
                <w:highlight w:val="none"/>
              </w:rPr>
            </w:pPr>
            <w:r>
              <w:rPr>
                <w:rFonts w:hint="eastAsia"/>
                <w:color w:val="auto"/>
                <w:highlight w:val="none"/>
              </w:rPr>
              <w:t>年龄</w:t>
            </w:r>
          </w:p>
        </w:tc>
        <w:tc>
          <w:tcPr>
            <w:tcW w:w="1463" w:type="dxa"/>
            <w:tcBorders>
              <w:top w:val="single" w:color="auto" w:sz="6" w:space="0"/>
              <w:left w:val="single" w:color="auto" w:sz="6" w:space="0"/>
              <w:bottom w:val="single" w:color="auto" w:sz="6" w:space="0"/>
              <w:right w:val="single" w:color="auto" w:sz="6" w:space="0"/>
            </w:tcBorders>
          </w:tcPr>
          <w:p w14:paraId="7B50FEF4">
            <w:pPr>
              <w:spacing w:line="440" w:lineRule="exact"/>
              <w:jc w:val="center"/>
              <w:rPr>
                <w:rFonts w:hint="eastAsia"/>
                <w:color w:val="auto"/>
                <w:highlight w:val="none"/>
              </w:rPr>
            </w:pPr>
          </w:p>
        </w:tc>
        <w:tc>
          <w:tcPr>
            <w:tcW w:w="1611" w:type="dxa"/>
            <w:tcBorders>
              <w:top w:val="single" w:color="auto" w:sz="6" w:space="0"/>
              <w:left w:val="single" w:color="auto" w:sz="6" w:space="0"/>
              <w:bottom w:val="single" w:color="auto" w:sz="6" w:space="0"/>
              <w:right w:val="single" w:color="auto" w:sz="6" w:space="0"/>
            </w:tcBorders>
          </w:tcPr>
          <w:p w14:paraId="6D51CF46">
            <w:pPr>
              <w:spacing w:line="440" w:lineRule="exact"/>
              <w:jc w:val="center"/>
              <w:rPr>
                <w:rFonts w:hint="eastAsia"/>
                <w:color w:val="auto"/>
                <w:highlight w:val="none"/>
              </w:rPr>
            </w:pPr>
            <w:r>
              <w:rPr>
                <w:rFonts w:hint="eastAsia"/>
                <w:color w:val="auto"/>
                <w:highlight w:val="none"/>
              </w:rPr>
              <w:t>身份证号码</w:t>
            </w:r>
          </w:p>
        </w:tc>
        <w:tc>
          <w:tcPr>
            <w:tcW w:w="1854" w:type="dxa"/>
            <w:tcBorders>
              <w:top w:val="single" w:color="auto" w:sz="6" w:space="0"/>
              <w:left w:val="single" w:color="auto" w:sz="6" w:space="0"/>
              <w:bottom w:val="single" w:color="auto" w:sz="6" w:space="0"/>
              <w:right w:val="single" w:color="auto" w:sz="6" w:space="0"/>
            </w:tcBorders>
          </w:tcPr>
          <w:p w14:paraId="76899B59">
            <w:pPr>
              <w:spacing w:line="440" w:lineRule="exact"/>
              <w:rPr>
                <w:rFonts w:hint="eastAsia"/>
                <w:color w:val="auto"/>
                <w:highlight w:val="none"/>
              </w:rPr>
            </w:pPr>
          </w:p>
        </w:tc>
      </w:tr>
      <w:tr w14:paraId="3EF4D67A">
        <w:tblPrEx>
          <w:tblCellMar>
            <w:top w:w="0" w:type="dxa"/>
            <w:left w:w="108" w:type="dxa"/>
            <w:bottom w:w="0" w:type="dxa"/>
            <w:right w:w="108" w:type="dxa"/>
          </w:tblCellMar>
        </w:tblPrEx>
        <w:trPr>
          <w:trHeight w:val="793" w:hRule="atLeast"/>
          <w:jc w:val="center"/>
        </w:trPr>
        <w:tc>
          <w:tcPr>
            <w:tcW w:w="1756" w:type="dxa"/>
            <w:tcBorders>
              <w:top w:val="single" w:color="auto" w:sz="6" w:space="0"/>
              <w:left w:val="single" w:color="auto" w:sz="6" w:space="0"/>
              <w:bottom w:val="single" w:color="auto" w:sz="6" w:space="0"/>
              <w:right w:val="single" w:color="auto" w:sz="6" w:space="0"/>
            </w:tcBorders>
          </w:tcPr>
          <w:p w14:paraId="2C1B3D11">
            <w:pPr>
              <w:spacing w:line="440" w:lineRule="exact"/>
              <w:jc w:val="center"/>
              <w:rPr>
                <w:rFonts w:hint="eastAsia"/>
                <w:color w:val="auto"/>
                <w:highlight w:val="none"/>
              </w:rPr>
            </w:pPr>
            <w:r>
              <w:rPr>
                <w:rFonts w:hint="eastAsia"/>
                <w:color w:val="auto"/>
                <w:highlight w:val="none"/>
              </w:rPr>
              <w:t>毕业学校</w:t>
            </w:r>
          </w:p>
        </w:tc>
        <w:tc>
          <w:tcPr>
            <w:tcW w:w="5076" w:type="dxa"/>
            <w:gridSpan w:val="3"/>
            <w:tcBorders>
              <w:top w:val="single" w:color="auto" w:sz="6" w:space="0"/>
              <w:left w:val="single" w:color="auto" w:sz="6" w:space="0"/>
              <w:bottom w:val="single" w:color="auto" w:sz="6" w:space="0"/>
              <w:right w:val="single" w:color="auto" w:sz="6" w:space="0"/>
            </w:tcBorders>
          </w:tcPr>
          <w:p w14:paraId="2C028EF1">
            <w:pPr>
              <w:spacing w:line="440" w:lineRule="exact"/>
              <w:jc w:val="center"/>
              <w:rPr>
                <w:rFonts w:hint="eastAsia"/>
                <w:color w:val="auto"/>
                <w:highlight w:val="none"/>
              </w:rPr>
            </w:pPr>
          </w:p>
        </w:tc>
        <w:tc>
          <w:tcPr>
            <w:tcW w:w="1611" w:type="dxa"/>
            <w:tcBorders>
              <w:top w:val="single" w:color="auto" w:sz="6" w:space="0"/>
              <w:left w:val="single" w:color="auto" w:sz="6" w:space="0"/>
              <w:bottom w:val="single" w:color="auto" w:sz="6" w:space="0"/>
              <w:right w:val="single" w:color="auto" w:sz="6" w:space="0"/>
            </w:tcBorders>
          </w:tcPr>
          <w:p w14:paraId="79327E40">
            <w:pPr>
              <w:spacing w:line="440" w:lineRule="exact"/>
              <w:jc w:val="center"/>
              <w:rPr>
                <w:rFonts w:hint="eastAsia"/>
                <w:color w:val="auto"/>
                <w:highlight w:val="none"/>
              </w:rPr>
            </w:pPr>
            <w:r>
              <w:rPr>
                <w:rFonts w:hint="eastAsia"/>
                <w:color w:val="auto"/>
                <w:highlight w:val="none"/>
              </w:rPr>
              <w:t>专业</w:t>
            </w:r>
          </w:p>
        </w:tc>
        <w:tc>
          <w:tcPr>
            <w:tcW w:w="1854" w:type="dxa"/>
            <w:tcBorders>
              <w:top w:val="single" w:color="auto" w:sz="6" w:space="0"/>
              <w:left w:val="single" w:color="auto" w:sz="6" w:space="0"/>
              <w:bottom w:val="single" w:color="auto" w:sz="6" w:space="0"/>
              <w:right w:val="single" w:color="auto" w:sz="6" w:space="0"/>
            </w:tcBorders>
          </w:tcPr>
          <w:p w14:paraId="21226120">
            <w:pPr>
              <w:spacing w:line="440" w:lineRule="exact"/>
              <w:rPr>
                <w:rFonts w:hint="eastAsia"/>
                <w:color w:val="auto"/>
                <w:highlight w:val="none"/>
              </w:rPr>
            </w:pPr>
          </w:p>
        </w:tc>
      </w:tr>
      <w:tr w14:paraId="769D6678">
        <w:tblPrEx>
          <w:tblCellMar>
            <w:top w:w="0" w:type="dxa"/>
            <w:left w:w="108" w:type="dxa"/>
            <w:bottom w:w="0" w:type="dxa"/>
            <w:right w:w="108" w:type="dxa"/>
          </w:tblCellMar>
        </w:tblPrEx>
        <w:trPr>
          <w:trHeight w:val="793" w:hRule="atLeast"/>
          <w:jc w:val="center"/>
        </w:trPr>
        <w:tc>
          <w:tcPr>
            <w:tcW w:w="1756" w:type="dxa"/>
            <w:tcBorders>
              <w:top w:val="single" w:color="auto" w:sz="6" w:space="0"/>
              <w:left w:val="single" w:color="auto" w:sz="6" w:space="0"/>
              <w:bottom w:val="single" w:color="auto" w:sz="6" w:space="0"/>
              <w:right w:val="single" w:color="auto" w:sz="6" w:space="0"/>
            </w:tcBorders>
          </w:tcPr>
          <w:p w14:paraId="51D4D598">
            <w:pPr>
              <w:spacing w:line="440" w:lineRule="exact"/>
              <w:jc w:val="center"/>
              <w:rPr>
                <w:rFonts w:hint="eastAsia"/>
                <w:color w:val="auto"/>
                <w:highlight w:val="none"/>
              </w:rPr>
            </w:pPr>
            <w:r>
              <w:rPr>
                <w:rFonts w:hint="eastAsia"/>
                <w:color w:val="auto"/>
                <w:highlight w:val="none"/>
              </w:rPr>
              <w:t>学位</w:t>
            </w:r>
          </w:p>
        </w:tc>
        <w:tc>
          <w:tcPr>
            <w:tcW w:w="2118" w:type="dxa"/>
            <w:tcBorders>
              <w:top w:val="single" w:color="auto" w:sz="6" w:space="0"/>
              <w:left w:val="single" w:color="auto" w:sz="6" w:space="0"/>
              <w:bottom w:val="single" w:color="auto" w:sz="6" w:space="0"/>
              <w:right w:val="single" w:color="auto" w:sz="6" w:space="0"/>
            </w:tcBorders>
          </w:tcPr>
          <w:p w14:paraId="6D1308CD">
            <w:pPr>
              <w:spacing w:line="440" w:lineRule="exact"/>
              <w:rPr>
                <w:rFonts w:hint="eastAsia"/>
                <w:color w:val="auto"/>
                <w:highlight w:val="none"/>
              </w:rPr>
            </w:pPr>
          </w:p>
        </w:tc>
        <w:tc>
          <w:tcPr>
            <w:tcW w:w="1495" w:type="dxa"/>
            <w:tcBorders>
              <w:top w:val="single" w:color="auto" w:sz="6" w:space="0"/>
              <w:left w:val="single" w:color="auto" w:sz="6" w:space="0"/>
              <w:bottom w:val="single" w:color="auto" w:sz="6" w:space="0"/>
              <w:right w:val="single" w:color="auto" w:sz="6" w:space="0"/>
            </w:tcBorders>
          </w:tcPr>
          <w:p w14:paraId="0E457F7C">
            <w:pPr>
              <w:spacing w:line="440" w:lineRule="exact"/>
              <w:jc w:val="center"/>
              <w:rPr>
                <w:rFonts w:hint="eastAsia"/>
                <w:color w:val="auto"/>
                <w:highlight w:val="none"/>
              </w:rPr>
            </w:pPr>
            <w:r>
              <w:rPr>
                <w:rFonts w:hint="eastAsia"/>
                <w:color w:val="auto"/>
                <w:highlight w:val="none"/>
              </w:rPr>
              <w:t>职称</w:t>
            </w:r>
          </w:p>
        </w:tc>
        <w:tc>
          <w:tcPr>
            <w:tcW w:w="1463" w:type="dxa"/>
            <w:tcBorders>
              <w:top w:val="single" w:color="auto" w:sz="6" w:space="0"/>
              <w:left w:val="single" w:color="auto" w:sz="6" w:space="0"/>
              <w:bottom w:val="single" w:color="auto" w:sz="6" w:space="0"/>
              <w:right w:val="single" w:color="auto" w:sz="6" w:space="0"/>
            </w:tcBorders>
          </w:tcPr>
          <w:p w14:paraId="1B3877D0">
            <w:pPr>
              <w:spacing w:line="440" w:lineRule="exact"/>
              <w:jc w:val="center"/>
              <w:rPr>
                <w:rFonts w:hint="eastAsia"/>
                <w:color w:val="auto"/>
                <w:highlight w:val="none"/>
              </w:rPr>
            </w:pPr>
          </w:p>
        </w:tc>
        <w:tc>
          <w:tcPr>
            <w:tcW w:w="1611" w:type="dxa"/>
            <w:tcBorders>
              <w:top w:val="single" w:color="auto" w:sz="6" w:space="0"/>
              <w:left w:val="single" w:color="auto" w:sz="6" w:space="0"/>
              <w:bottom w:val="single" w:color="auto" w:sz="6" w:space="0"/>
              <w:right w:val="single" w:color="auto" w:sz="6" w:space="0"/>
            </w:tcBorders>
          </w:tcPr>
          <w:p w14:paraId="60593024">
            <w:pPr>
              <w:spacing w:line="440" w:lineRule="exact"/>
              <w:jc w:val="center"/>
              <w:rPr>
                <w:rFonts w:hint="eastAsia"/>
                <w:color w:val="auto"/>
                <w:highlight w:val="none"/>
              </w:rPr>
            </w:pPr>
            <w:r>
              <w:rPr>
                <w:rFonts w:hint="eastAsia"/>
                <w:color w:val="auto"/>
                <w:highlight w:val="none"/>
              </w:rPr>
              <w:t>职务</w:t>
            </w:r>
          </w:p>
        </w:tc>
        <w:tc>
          <w:tcPr>
            <w:tcW w:w="1854" w:type="dxa"/>
            <w:tcBorders>
              <w:top w:val="single" w:color="auto" w:sz="6" w:space="0"/>
              <w:left w:val="single" w:color="auto" w:sz="6" w:space="0"/>
              <w:bottom w:val="single" w:color="auto" w:sz="6" w:space="0"/>
              <w:right w:val="single" w:color="auto" w:sz="6" w:space="0"/>
            </w:tcBorders>
          </w:tcPr>
          <w:p w14:paraId="5898BD27">
            <w:pPr>
              <w:spacing w:line="440" w:lineRule="exact"/>
              <w:rPr>
                <w:rFonts w:hint="eastAsia"/>
                <w:color w:val="auto"/>
                <w:highlight w:val="none"/>
              </w:rPr>
            </w:pPr>
          </w:p>
        </w:tc>
      </w:tr>
      <w:tr w14:paraId="61AABA7C">
        <w:tblPrEx>
          <w:tblCellMar>
            <w:top w:w="0" w:type="dxa"/>
            <w:left w:w="108" w:type="dxa"/>
            <w:bottom w:w="0" w:type="dxa"/>
            <w:right w:w="108" w:type="dxa"/>
          </w:tblCellMar>
        </w:tblPrEx>
        <w:trPr>
          <w:trHeight w:val="1560" w:hRule="atLeast"/>
          <w:jc w:val="center"/>
        </w:trPr>
        <w:tc>
          <w:tcPr>
            <w:tcW w:w="1756" w:type="dxa"/>
            <w:tcBorders>
              <w:top w:val="single" w:color="auto" w:sz="6" w:space="0"/>
              <w:left w:val="single" w:color="auto" w:sz="6" w:space="0"/>
              <w:bottom w:val="single" w:color="auto" w:sz="6" w:space="0"/>
              <w:right w:val="single" w:color="auto" w:sz="6" w:space="0"/>
            </w:tcBorders>
          </w:tcPr>
          <w:p w14:paraId="0F70F99D">
            <w:pPr>
              <w:spacing w:line="440" w:lineRule="exact"/>
              <w:jc w:val="center"/>
              <w:rPr>
                <w:rFonts w:hint="eastAsia"/>
                <w:color w:val="auto"/>
                <w:highlight w:val="none"/>
              </w:rPr>
            </w:pPr>
            <w:r>
              <w:rPr>
                <w:rFonts w:hint="eastAsia"/>
                <w:color w:val="auto"/>
                <w:highlight w:val="none"/>
              </w:rPr>
              <w:t>现所在机构或部门</w:t>
            </w:r>
          </w:p>
        </w:tc>
        <w:tc>
          <w:tcPr>
            <w:tcW w:w="5076" w:type="dxa"/>
            <w:gridSpan w:val="3"/>
            <w:tcBorders>
              <w:top w:val="single" w:color="auto" w:sz="6" w:space="0"/>
              <w:left w:val="single" w:color="auto" w:sz="6" w:space="0"/>
              <w:bottom w:val="single" w:color="auto" w:sz="6" w:space="0"/>
              <w:right w:val="single" w:color="auto" w:sz="6" w:space="0"/>
            </w:tcBorders>
          </w:tcPr>
          <w:p w14:paraId="7C24C4CA">
            <w:pPr>
              <w:spacing w:line="440" w:lineRule="exact"/>
              <w:jc w:val="center"/>
              <w:rPr>
                <w:rFonts w:hint="eastAsia"/>
                <w:color w:val="auto"/>
                <w:highlight w:val="none"/>
              </w:rPr>
            </w:pPr>
          </w:p>
        </w:tc>
        <w:tc>
          <w:tcPr>
            <w:tcW w:w="1611" w:type="dxa"/>
            <w:tcBorders>
              <w:top w:val="single" w:color="auto" w:sz="6" w:space="0"/>
              <w:left w:val="single" w:color="auto" w:sz="6" w:space="0"/>
              <w:bottom w:val="single" w:color="auto" w:sz="6" w:space="0"/>
              <w:right w:val="single" w:color="auto" w:sz="6" w:space="0"/>
            </w:tcBorders>
            <w:vAlign w:val="center"/>
          </w:tcPr>
          <w:p w14:paraId="299E6189">
            <w:pPr>
              <w:spacing w:line="440" w:lineRule="exact"/>
              <w:jc w:val="center"/>
              <w:rPr>
                <w:rFonts w:hint="eastAsia"/>
                <w:color w:val="auto"/>
                <w:highlight w:val="none"/>
              </w:rPr>
            </w:pPr>
            <w:r>
              <w:rPr>
                <w:rFonts w:hint="eastAsia"/>
                <w:color w:val="auto"/>
                <w:highlight w:val="none"/>
              </w:rPr>
              <w:t>服务时间</w:t>
            </w:r>
          </w:p>
        </w:tc>
        <w:tc>
          <w:tcPr>
            <w:tcW w:w="1854" w:type="dxa"/>
            <w:tcBorders>
              <w:top w:val="single" w:color="auto" w:sz="6" w:space="0"/>
              <w:left w:val="single" w:color="auto" w:sz="6" w:space="0"/>
              <w:bottom w:val="single" w:color="auto" w:sz="6" w:space="0"/>
              <w:right w:val="single" w:color="auto" w:sz="6" w:space="0"/>
            </w:tcBorders>
          </w:tcPr>
          <w:p w14:paraId="3C108AD4">
            <w:pPr>
              <w:spacing w:line="440" w:lineRule="exact"/>
              <w:rPr>
                <w:rFonts w:hint="eastAsia"/>
                <w:color w:val="auto"/>
                <w:highlight w:val="none"/>
              </w:rPr>
            </w:pPr>
          </w:p>
        </w:tc>
      </w:tr>
      <w:tr w14:paraId="4A150094">
        <w:tblPrEx>
          <w:tblCellMar>
            <w:top w:w="0" w:type="dxa"/>
            <w:left w:w="108" w:type="dxa"/>
            <w:bottom w:w="0" w:type="dxa"/>
            <w:right w:w="108" w:type="dxa"/>
          </w:tblCellMar>
        </w:tblPrEx>
        <w:trPr>
          <w:trHeight w:val="2327" w:hRule="atLeast"/>
          <w:jc w:val="center"/>
        </w:trPr>
        <w:tc>
          <w:tcPr>
            <w:tcW w:w="1756" w:type="dxa"/>
            <w:tcBorders>
              <w:top w:val="single" w:color="auto" w:sz="6" w:space="0"/>
              <w:left w:val="single" w:color="auto" w:sz="6" w:space="0"/>
              <w:bottom w:val="single" w:color="auto" w:sz="6" w:space="0"/>
              <w:right w:val="single" w:color="auto" w:sz="6" w:space="0"/>
            </w:tcBorders>
            <w:vAlign w:val="center"/>
          </w:tcPr>
          <w:p w14:paraId="6DC10E38">
            <w:pPr>
              <w:spacing w:line="440" w:lineRule="exact"/>
              <w:jc w:val="center"/>
              <w:rPr>
                <w:rFonts w:hint="eastAsia"/>
                <w:color w:val="auto"/>
                <w:highlight w:val="none"/>
              </w:rPr>
            </w:pPr>
          </w:p>
          <w:p w14:paraId="224B7F1E">
            <w:pPr>
              <w:spacing w:line="440" w:lineRule="exact"/>
              <w:jc w:val="center"/>
              <w:rPr>
                <w:rFonts w:hint="eastAsia"/>
                <w:color w:val="auto"/>
                <w:highlight w:val="none"/>
              </w:rPr>
            </w:pPr>
            <w:r>
              <w:rPr>
                <w:rFonts w:hint="eastAsia"/>
                <w:color w:val="auto"/>
                <w:highlight w:val="none"/>
              </w:rPr>
              <w:t>主要经历</w:t>
            </w:r>
          </w:p>
          <w:p w14:paraId="455876A4">
            <w:pPr>
              <w:spacing w:line="440" w:lineRule="exact"/>
              <w:jc w:val="center"/>
              <w:rPr>
                <w:rFonts w:hint="eastAsia"/>
                <w:color w:val="auto"/>
                <w:highlight w:val="none"/>
              </w:rPr>
            </w:pPr>
          </w:p>
        </w:tc>
        <w:tc>
          <w:tcPr>
            <w:tcW w:w="8541" w:type="dxa"/>
            <w:gridSpan w:val="5"/>
            <w:tcBorders>
              <w:top w:val="single" w:color="auto" w:sz="6" w:space="0"/>
              <w:left w:val="single" w:color="auto" w:sz="6" w:space="0"/>
              <w:bottom w:val="single" w:color="auto" w:sz="6" w:space="0"/>
              <w:right w:val="single" w:color="auto" w:sz="6" w:space="0"/>
            </w:tcBorders>
          </w:tcPr>
          <w:p w14:paraId="6DCC5C20">
            <w:pPr>
              <w:spacing w:line="440" w:lineRule="exact"/>
              <w:rPr>
                <w:rFonts w:hint="eastAsia"/>
                <w:color w:val="auto"/>
                <w:highlight w:val="none"/>
              </w:rPr>
            </w:pPr>
          </w:p>
          <w:p w14:paraId="53F71CB4">
            <w:pPr>
              <w:spacing w:line="440" w:lineRule="exact"/>
              <w:rPr>
                <w:rFonts w:hint="eastAsia"/>
                <w:color w:val="auto"/>
                <w:highlight w:val="none"/>
              </w:rPr>
            </w:pPr>
          </w:p>
        </w:tc>
      </w:tr>
      <w:tr w14:paraId="6A8646F0">
        <w:tblPrEx>
          <w:tblCellMar>
            <w:top w:w="0" w:type="dxa"/>
            <w:left w:w="108" w:type="dxa"/>
            <w:bottom w:w="0" w:type="dxa"/>
            <w:right w:w="108" w:type="dxa"/>
          </w:tblCellMar>
        </w:tblPrEx>
        <w:trPr>
          <w:trHeight w:val="793" w:hRule="atLeast"/>
          <w:jc w:val="center"/>
        </w:trPr>
        <w:tc>
          <w:tcPr>
            <w:tcW w:w="1756" w:type="dxa"/>
            <w:tcBorders>
              <w:top w:val="single" w:color="auto" w:sz="6" w:space="0"/>
              <w:left w:val="single" w:color="auto" w:sz="6" w:space="0"/>
              <w:bottom w:val="single" w:color="auto" w:sz="6" w:space="0"/>
              <w:right w:val="single" w:color="auto" w:sz="6" w:space="0"/>
            </w:tcBorders>
          </w:tcPr>
          <w:p w14:paraId="22C409C8">
            <w:pPr>
              <w:spacing w:line="440" w:lineRule="exact"/>
              <w:jc w:val="center"/>
              <w:rPr>
                <w:rFonts w:hint="eastAsia"/>
                <w:color w:val="auto"/>
                <w:highlight w:val="none"/>
              </w:rPr>
            </w:pPr>
            <w:r>
              <w:rPr>
                <w:rFonts w:hint="eastAsia"/>
                <w:color w:val="auto"/>
                <w:highlight w:val="none"/>
              </w:rPr>
              <w:t>日期</w:t>
            </w:r>
          </w:p>
        </w:tc>
        <w:tc>
          <w:tcPr>
            <w:tcW w:w="3613" w:type="dxa"/>
            <w:gridSpan w:val="2"/>
            <w:tcBorders>
              <w:top w:val="single" w:color="auto" w:sz="6" w:space="0"/>
              <w:left w:val="single" w:color="auto" w:sz="6" w:space="0"/>
              <w:bottom w:val="single" w:color="auto" w:sz="6" w:space="0"/>
              <w:right w:val="single" w:color="auto" w:sz="6" w:space="0"/>
            </w:tcBorders>
          </w:tcPr>
          <w:p w14:paraId="55B7F33B">
            <w:pPr>
              <w:spacing w:line="440" w:lineRule="exact"/>
              <w:jc w:val="center"/>
              <w:rPr>
                <w:rFonts w:hint="eastAsia"/>
                <w:color w:val="auto"/>
                <w:highlight w:val="none"/>
              </w:rPr>
            </w:pPr>
            <w:r>
              <w:rPr>
                <w:rFonts w:hint="eastAsia"/>
                <w:color w:val="auto"/>
                <w:highlight w:val="none"/>
              </w:rPr>
              <w:t>参加过的项目名称</w:t>
            </w:r>
          </w:p>
        </w:tc>
        <w:tc>
          <w:tcPr>
            <w:tcW w:w="3074" w:type="dxa"/>
            <w:gridSpan w:val="2"/>
            <w:tcBorders>
              <w:top w:val="single" w:color="auto" w:sz="6" w:space="0"/>
              <w:left w:val="single" w:color="auto" w:sz="6" w:space="0"/>
              <w:bottom w:val="single" w:color="auto" w:sz="6" w:space="0"/>
              <w:right w:val="single" w:color="auto" w:sz="6" w:space="0"/>
            </w:tcBorders>
          </w:tcPr>
          <w:p w14:paraId="0CFAF368">
            <w:pPr>
              <w:spacing w:line="440" w:lineRule="exact"/>
              <w:jc w:val="center"/>
              <w:rPr>
                <w:rFonts w:hint="eastAsia"/>
                <w:color w:val="auto"/>
                <w:highlight w:val="none"/>
              </w:rPr>
            </w:pPr>
            <w:r>
              <w:rPr>
                <w:rFonts w:hint="eastAsia"/>
                <w:color w:val="auto"/>
                <w:highlight w:val="none"/>
              </w:rPr>
              <w:t>担任何职务</w:t>
            </w:r>
          </w:p>
        </w:tc>
        <w:tc>
          <w:tcPr>
            <w:tcW w:w="1854" w:type="dxa"/>
            <w:tcBorders>
              <w:top w:val="single" w:color="auto" w:sz="6" w:space="0"/>
              <w:left w:val="single" w:color="auto" w:sz="6" w:space="0"/>
              <w:bottom w:val="single" w:color="auto" w:sz="6" w:space="0"/>
              <w:right w:val="single" w:color="auto" w:sz="6" w:space="0"/>
            </w:tcBorders>
          </w:tcPr>
          <w:p w14:paraId="12588F83">
            <w:pPr>
              <w:spacing w:line="440" w:lineRule="exact"/>
              <w:jc w:val="center"/>
              <w:rPr>
                <w:rFonts w:hint="eastAsia"/>
                <w:color w:val="auto"/>
                <w:highlight w:val="none"/>
              </w:rPr>
            </w:pPr>
            <w:r>
              <w:rPr>
                <w:rFonts w:hint="eastAsia"/>
                <w:color w:val="auto"/>
                <w:highlight w:val="none"/>
              </w:rPr>
              <w:t>备注</w:t>
            </w:r>
          </w:p>
        </w:tc>
      </w:tr>
      <w:tr w14:paraId="27293D26">
        <w:tblPrEx>
          <w:tblCellMar>
            <w:top w:w="0" w:type="dxa"/>
            <w:left w:w="108" w:type="dxa"/>
            <w:bottom w:w="0" w:type="dxa"/>
            <w:right w:w="108" w:type="dxa"/>
          </w:tblCellMar>
        </w:tblPrEx>
        <w:trPr>
          <w:trHeight w:val="793" w:hRule="atLeast"/>
          <w:jc w:val="center"/>
        </w:trPr>
        <w:tc>
          <w:tcPr>
            <w:tcW w:w="1756" w:type="dxa"/>
            <w:tcBorders>
              <w:top w:val="single" w:color="auto" w:sz="6" w:space="0"/>
              <w:left w:val="single" w:color="auto" w:sz="6" w:space="0"/>
              <w:bottom w:val="single" w:color="auto" w:sz="6" w:space="0"/>
              <w:right w:val="single" w:color="auto" w:sz="6" w:space="0"/>
            </w:tcBorders>
          </w:tcPr>
          <w:p w14:paraId="3C5C67CA">
            <w:pPr>
              <w:spacing w:line="440" w:lineRule="exact"/>
              <w:rPr>
                <w:rFonts w:hint="eastAsia"/>
                <w:color w:val="auto"/>
                <w:highlight w:val="none"/>
              </w:rPr>
            </w:pPr>
          </w:p>
        </w:tc>
        <w:tc>
          <w:tcPr>
            <w:tcW w:w="3613" w:type="dxa"/>
            <w:gridSpan w:val="2"/>
            <w:tcBorders>
              <w:top w:val="single" w:color="auto" w:sz="6" w:space="0"/>
              <w:left w:val="single" w:color="auto" w:sz="6" w:space="0"/>
              <w:bottom w:val="single" w:color="auto" w:sz="6" w:space="0"/>
              <w:right w:val="single" w:color="auto" w:sz="6" w:space="0"/>
            </w:tcBorders>
          </w:tcPr>
          <w:p w14:paraId="40067ADD">
            <w:pPr>
              <w:spacing w:line="440" w:lineRule="exact"/>
              <w:rPr>
                <w:rFonts w:hint="eastAsia"/>
                <w:color w:val="auto"/>
                <w:highlight w:val="none"/>
              </w:rPr>
            </w:pPr>
          </w:p>
        </w:tc>
        <w:tc>
          <w:tcPr>
            <w:tcW w:w="3074" w:type="dxa"/>
            <w:gridSpan w:val="2"/>
            <w:tcBorders>
              <w:top w:val="single" w:color="auto" w:sz="6" w:space="0"/>
              <w:left w:val="single" w:color="auto" w:sz="6" w:space="0"/>
              <w:bottom w:val="single" w:color="auto" w:sz="6" w:space="0"/>
              <w:right w:val="single" w:color="auto" w:sz="6" w:space="0"/>
            </w:tcBorders>
          </w:tcPr>
          <w:p w14:paraId="53A438E4">
            <w:pPr>
              <w:spacing w:line="440" w:lineRule="exact"/>
              <w:rPr>
                <w:rFonts w:hint="eastAsia"/>
                <w:color w:val="auto"/>
                <w:highlight w:val="none"/>
              </w:rPr>
            </w:pPr>
          </w:p>
        </w:tc>
        <w:tc>
          <w:tcPr>
            <w:tcW w:w="1854" w:type="dxa"/>
            <w:tcBorders>
              <w:top w:val="single" w:color="auto" w:sz="6" w:space="0"/>
              <w:left w:val="single" w:color="auto" w:sz="6" w:space="0"/>
              <w:bottom w:val="single" w:color="auto" w:sz="6" w:space="0"/>
              <w:right w:val="single" w:color="auto" w:sz="6" w:space="0"/>
            </w:tcBorders>
          </w:tcPr>
          <w:p w14:paraId="5E275D0A">
            <w:pPr>
              <w:spacing w:line="440" w:lineRule="exact"/>
              <w:rPr>
                <w:rFonts w:hint="eastAsia"/>
                <w:color w:val="auto"/>
                <w:highlight w:val="none"/>
              </w:rPr>
            </w:pPr>
          </w:p>
        </w:tc>
      </w:tr>
      <w:tr w14:paraId="177B2F9C">
        <w:tblPrEx>
          <w:tblCellMar>
            <w:top w:w="0" w:type="dxa"/>
            <w:left w:w="108" w:type="dxa"/>
            <w:bottom w:w="0" w:type="dxa"/>
            <w:right w:w="108" w:type="dxa"/>
          </w:tblCellMar>
        </w:tblPrEx>
        <w:trPr>
          <w:trHeight w:val="793" w:hRule="atLeast"/>
          <w:jc w:val="center"/>
        </w:trPr>
        <w:tc>
          <w:tcPr>
            <w:tcW w:w="1756" w:type="dxa"/>
            <w:tcBorders>
              <w:top w:val="single" w:color="auto" w:sz="6" w:space="0"/>
              <w:left w:val="single" w:color="auto" w:sz="6" w:space="0"/>
              <w:bottom w:val="single" w:color="auto" w:sz="6" w:space="0"/>
              <w:right w:val="single" w:color="auto" w:sz="6" w:space="0"/>
            </w:tcBorders>
          </w:tcPr>
          <w:p w14:paraId="741B9F96">
            <w:pPr>
              <w:spacing w:line="440" w:lineRule="exact"/>
              <w:rPr>
                <w:rFonts w:hint="eastAsia"/>
                <w:color w:val="auto"/>
                <w:highlight w:val="none"/>
              </w:rPr>
            </w:pPr>
          </w:p>
        </w:tc>
        <w:tc>
          <w:tcPr>
            <w:tcW w:w="3613" w:type="dxa"/>
            <w:gridSpan w:val="2"/>
            <w:tcBorders>
              <w:top w:val="single" w:color="auto" w:sz="6" w:space="0"/>
              <w:left w:val="single" w:color="auto" w:sz="6" w:space="0"/>
              <w:bottom w:val="single" w:color="auto" w:sz="6" w:space="0"/>
              <w:right w:val="single" w:color="auto" w:sz="6" w:space="0"/>
            </w:tcBorders>
          </w:tcPr>
          <w:p w14:paraId="62C633F4">
            <w:pPr>
              <w:spacing w:line="440" w:lineRule="exact"/>
              <w:rPr>
                <w:rFonts w:hint="eastAsia"/>
                <w:color w:val="auto"/>
                <w:highlight w:val="none"/>
              </w:rPr>
            </w:pPr>
          </w:p>
        </w:tc>
        <w:tc>
          <w:tcPr>
            <w:tcW w:w="3074" w:type="dxa"/>
            <w:gridSpan w:val="2"/>
            <w:tcBorders>
              <w:top w:val="single" w:color="auto" w:sz="6" w:space="0"/>
              <w:left w:val="single" w:color="auto" w:sz="6" w:space="0"/>
              <w:bottom w:val="single" w:color="auto" w:sz="6" w:space="0"/>
              <w:right w:val="single" w:color="auto" w:sz="6" w:space="0"/>
            </w:tcBorders>
          </w:tcPr>
          <w:p w14:paraId="68C3F839">
            <w:pPr>
              <w:spacing w:line="440" w:lineRule="exact"/>
              <w:rPr>
                <w:rFonts w:hint="eastAsia"/>
                <w:color w:val="auto"/>
                <w:highlight w:val="none"/>
              </w:rPr>
            </w:pPr>
          </w:p>
        </w:tc>
        <w:tc>
          <w:tcPr>
            <w:tcW w:w="1854" w:type="dxa"/>
            <w:tcBorders>
              <w:top w:val="single" w:color="auto" w:sz="6" w:space="0"/>
              <w:left w:val="single" w:color="auto" w:sz="6" w:space="0"/>
              <w:bottom w:val="single" w:color="auto" w:sz="6" w:space="0"/>
              <w:right w:val="single" w:color="auto" w:sz="6" w:space="0"/>
            </w:tcBorders>
          </w:tcPr>
          <w:p w14:paraId="411681B7">
            <w:pPr>
              <w:spacing w:line="440" w:lineRule="exact"/>
              <w:rPr>
                <w:rFonts w:hint="eastAsia"/>
                <w:color w:val="auto"/>
                <w:highlight w:val="none"/>
              </w:rPr>
            </w:pPr>
          </w:p>
        </w:tc>
      </w:tr>
      <w:tr w14:paraId="2BD12678">
        <w:tblPrEx>
          <w:tblCellMar>
            <w:top w:w="0" w:type="dxa"/>
            <w:left w:w="108" w:type="dxa"/>
            <w:bottom w:w="0" w:type="dxa"/>
            <w:right w:w="108" w:type="dxa"/>
          </w:tblCellMar>
        </w:tblPrEx>
        <w:trPr>
          <w:trHeight w:val="819" w:hRule="atLeast"/>
          <w:jc w:val="center"/>
        </w:trPr>
        <w:tc>
          <w:tcPr>
            <w:tcW w:w="1756" w:type="dxa"/>
            <w:tcBorders>
              <w:top w:val="single" w:color="auto" w:sz="6" w:space="0"/>
              <w:left w:val="single" w:color="auto" w:sz="6" w:space="0"/>
              <w:bottom w:val="single" w:color="auto" w:sz="6" w:space="0"/>
              <w:right w:val="single" w:color="auto" w:sz="6" w:space="0"/>
            </w:tcBorders>
          </w:tcPr>
          <w:p w14:paraId="6BDE3D40">
            <w:pPr>
              <w:spacing w:line="440" w:lineRule="exact"/>
              <w:rPr>
                <w:rFonts w:hint="eastAsia"/>
                <w:color w:val="auto"/>
                <w:highlight w:val="none"/>
              </w:rPr>
            </w:pPr>
          </w:p>
        </w:tc>
        <w:tc>
          <w:tcPr>
            <w:tcW w:w="3613" w:type="dxa"/>
            <w:gridSpan w:val="2"/>
            <w:tcBorders>
              <w:top w:val="single" w:color="auto" w:sz="6" w:space="0"/>
              <w:left w:val="single" w:color="auto" w:sz="6" w:space="0"/>
              <w:bottom w:val="single" w:color="auto" w:sz="6" w:space="0"/>
              <w:right w:val="single" w:color="auto" w:sz="6" w:space="0"/>
            </w:tcBorders>
          </w:tcPr>
          <w:p w14:paraId="47E0A853">
            <w:pPr>
              <w:spacing w:line="440" w:lineRule="exact"/>
              <w:rPr>
                <w:rFonts w:hint="eastAsia"/>
                <w:color w:val="auto"/>
                <w:highlight w:val="none"/>
              </w:rPr>
            </w:pPr>
          </w:p>
        </w:tc>
        <w:tc>
          <w:tcPr>
            <w:tcW w:w="3074" w:type="dxa"/>
            <w:gridSpan w:val="2"/>
            <w:tcBorders>
              <w:top w:val="single" w:color="auto" w:sz="6" w:space="0"/>
              <w:left w:val="single" w:color="auto" w:sz="6" w:space="0"/>
              <w:bottom w:val="single" w:color="auto" w:sz="6" w:space="0"/>
              <w:right w:val="single" w:color="auto" w:sz="6" w:space="0"/>
            </w:tcBorders>
          </w:tcPr>
          <w:p w14:paraId="10A65D89">
            <w:pPr>
              <w:spacing w:line="440" w:lineRule="exact"/>
              <w:rPr>
                <w:rFonts w:hint="eastAsia"/>
                <w:color w:val="auto"/>
                <w:highlight w:val="none"/>
              </w:rPr>
            </w:pPr>
          </w:p>
        </w:tc>
        <w:tc>
          <w:tcPr>
            <w:tcW w:w="1854" w:type="dxa"/>
            <w:tcBorders>
              <w:top w:val="single" w:color="auto" w:sz="6" w:space="0"/>
              <w:left w:val="single" w:color="auto" w:sz="6" w:space="0"/>
              <w:bottom w:val="single" w:color="auto" w:sz="6" w:space="0"/>
              <w:right w:val="single" w:color="auto" w:sz="6" w:space="0"/>
            </w:tcBorders>
          </w:tcPr>
          <w:p w14:paraId="595EFB07">
            <w:pPr>
              <w:spacing w:line="440" w:lineRule="exact"/>
              <w:rPr>
                <w:rFonts w:hint="eastAsia"/>
                <w:color w:val="auto"/>
                <w:highlight w:val="none"/>
              </w:rPr>
            </w:pPr>
          </w:p>
        </w:tc>
      </w:tr>
    </w:tbl>
    <w:p w14:paraId="3B0EC4A3">
      <w:pPr>
        <w:spacing w:line="440" w:lineRule="exact"/>
        <w:rPr>
          <w:rFonts w:hint="eastAsia"/>
          <w:color w:val="auto"/>
          <w:highlight w:val="none"/>
          <w:u w:val="single"/>
        </w:rPr>
      </w:pPr>
      <w:r>
        <w:rPr>
          <w:rFonts w:hint="eastAsia"/>
          <w:color w:val="auto"/>
          <w:highlight w:val="none"/>
        </w:rPr>
        <w:t>供应商名称（公章）：</w:t>
      </w:r>
      <w:r>
        <w:rPr>
          <w:rFonts w:hint="eastAsia"/>
          <w:color w:val="auto"/>
          <w:highlight w:val="none"/>
          <w:u w:val="single"/>
        </w:rPr>
        <w:t xml:space="preserve">　　　　　         </w:t>
      </w:r>
    </w:p>
    <w:p w14:paraId="409A7549">
      <w:pPr>
        <w:spacing w:line="440" w:lineRule="exact"/>
        <w:rPr>
          <w:rFonts w:hint="eastAsia"/>
          <w:color w:val="auto"/>
          <w:highlight w:val="none"/>
        </w:rPr>
      </w:pPr>
      <w:r>
        <w:rPr>
          <w:rFonts w:hint="eastAsia"/>
          <w:color w:val="auto"/>
          <w:highlight w:val="none"/>
        </w:rPr>
        <w:t>法定代表人或其委托代理人</w:t>
      </w:r>
      <w:r>
        <w:rPr>
          <w:rFonts w:hint="eastAsia"/>
          <w:color w:val="auto"/>
          <w:highlight w:val="none"/>
          <w:lang w:eastAsia="zh-CN"/>
        </w:rPr>
        <w:t>：（</w:t>
      </w:r>
      <w:r>
        <w:rPr>
          <w:rFonts w:hint="eastAsia"/>
          <w:color w:val="auto"/>
          <w:highlight w:val="none"/>
        </w:rPr>
        <w:t>签字或盖章）</w:t>
      </w:r>
    </w:p>
    <w:p w14:paraId="009243B8">
      <w:pPr>
        <w:spacing w:line="440" w:lineRule="exact"/>
        <w:rPr>
          <w:rFonts w:hint="eastAsia"/>
          <w:color w:val="auto"/>
          <w:highlight w:val="none"/>
        </w:rPr>
      </w:pPr>
      <w:r>
        <w:rPr>
          <w:rFonts w:hint="eastAsia"/>
          <w:color w:val="auto"/>
          <w:highlight w:val="none"/>
        </w:rPr>
        <w:t>日期：</w:t>
      </w:r>
      <w:r>
        <w:rPr>
          <w:color w:val="auto"/>
          <w:highlight w:val="none"/>
        </w:rPr>
        <w:t>20</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　</w:t>
      </w:r>
    </w:p>
    <w:p w14:paraId="0B39175A">
      <w:pPr>
        <w:adjustRightInd w:val="0"/>
        <w:snapToGrid w:val="0"/>
        <w:spacing w:line="440" w:lineRule="exact"/>
        <w:rPr>
          <w:rFonts w:hint="eastAsia"/>
          <w:b/>
          <w:color w:val="auto"/>
          <w:highlight w:val="none"/>
        </w:rPr>
      </w:pPr>
    </w:p>
    <w:p w14:paraId="0528BB86">
      <w:pPr>
        <w:rPr>
          <w:rFonts w:hint="eastAsia" w:cs="宋体"/>
          <w:b/>
          <w:color w:val="auto"/>
          <w:sz w:val="28"/>
          <w:szCs w:val="28"/>
          <w:highlight w:val="none"/>
          <w:lang w:val="en-US" w:eastAsia="zh-CN"/>
        </w:rPr>
      </w:pPr>
      <w:r>
        <w:rPr>
          <w:rFonts w:hint="eastAsia" w:cs="宋体"/>
          <w:b/>
          <w:color w:val="auto"/>
          <w:sz w:val="28"/>
          <w:szCs w:val="28"/>
          <w:highlight w:val="none"/>
          <w:lang w:val="en-US" w:eastAsia="zh-CN"/>
        </w:rPr>
        <w:br w:type="page"/>
      </w:r>
    </w:p>
    <w:p w14:paraId="5435E4F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lang w:val="en-US" w:eastAsia="zh-CN"/>
        </w:rPr>
      </w:pPr>
      <w:r>
        <w:rPr>
          <w:rFonts w:hint="eastAsia" w:cs="宋体"/>
          <w:b/>
          <w:color w:val="auto"/>
          <w:sz w:val="28"/>
          <w:szCs w:val="28"/>
          <w:highlight w:val="none"/>
          <w:lang w:val="en-US" w:eastAsia="zh-CN"/>
        </w:rPr>
        <w:t>六</w:t>
      </w:r>
      <w:r>
        <w:rPr>
          <w:rFonts w:hint="eastAsia" w:ascii="宋体" w:hAnsi="宋体" w:eastAsia="宋体" w:cs="宋体"/>
          <w:b/>
          <w:color w:val="auto"/>
          <w:sz w:val="28"/>
          <w:szCs w:val="28"/>
          <w:highlight w:val="none"/>
          <w:lang w:val="en-US" w:eastAsia="zh-CN"/>
        </w:rPr>
        <w:t>、项目管理机构组成表</w:t>
      </w:r>
    </w:p>
    <w:tbl>
      <w:tblPr>
        <w:tblStyle w:val="35"/>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234"/>
        <w:gridCol w:w="1235"/>
        <w:gridCol w:w="1235"/>
        <w:gridCol w:w="1235"/>
        <w:gridCol w:w="1235"/>
        <w:gridCol w:w="1236"/>
        <w:gridCol w:w="1235"/>
      </w:tblGrid>
      <w:tr w14:paraId="692A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34" w:type="dxa"/>
            <w:vMerge w:val="restart"/>
            <w:vAlign w:val="center"/>
          </w:tcPr>
          <w:p w14:paraId="399A35B7">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职务</w:t>
            </w:r>
          </w:p>
        </w:tc>
        <w:tc>
          <w:tcPr>
            <w:tcW w:w="1234" w:type="dxa"/>
            <w:vMerge w:val="restart"/>
            <w:vAlign w:val="center"/>
          </w:tcPr>
          <w:p w14:paraId="074F6963">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姓名</w:t>
            </w:r>
          </w:p>
        </w:tc>
        <w:tc>
          <w:tcPr>
            <w:tcW w:w="1235" w:type="dxa"/>
            <w:vMerge w:val="restart"/>
            <w:vAlign w:val="center"/>
          </w:tcPr>
          <w:p w14:paraId="7C094757">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职称</w:t>
            </w:r>
          </w:p>
        </w:tc>
        <w:tc>
          <w:tcPr>
            <w:tcW w:w="4941" w:type="dxa"/>
            <w:gridSpan w:val="4"/>
            <w:vAlign w:val="center"/>
          </w:tcPr>
          <w:p w14:paraId="1849FBDE">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执业或职业资格证明</w:t>
            </w:r>
          </w:p>
        </w:tc>
        <w:tc>
          <w:tcPr>
            <w:tcW w:w="1235" w:type="dxa"/>
            <w:vAlign w:val="center"/>
          </w:tcPr>
          <w:p w14:paraId="18BDE79F">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备注</w:t>
            </w:r>
          </w:p>
        </w:tc>
      </w:tr>
      <w:tr w14:paraId="2BE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34" w:type="dxa"/>
            <w:vMerge w:val="continue"/>
            <w:vAlign w:val="center"/>
          </w:tcPr>
          <w:p w14:paraId="73FEAB31">
            <w:pPr>
              <w:pStyle w:val="43"/>
              <w:jc w:val="center"/>
              <w:rPr>
                <w:rFonts w:hint="eastAsia"/>
                <w:b w:val="0"/>
                <w:bCs/>
                <w:color w:val="auto"/>
                <w:sz w:val="24"/>
                <w:szCs w:val="24"/>
                <w:highlight w:val="none"/>
                <w:vertAlign w:val="baseline"/>
                <w:lang w:val="en-US" w:eastAsia="zh-CN"/>
              </w:rPr>
            </w:pPr>
          </w:p>
        </w:tc>
        <w:tc>
          <w:tcPr>
            <w:tcW w:w="1234" w:type="dxa"/>
            <w:vMerge w:val="continue"/>
            <w:vAlign w:val="center"/>
          </w:tcPr>
          <w:p w14:paraId="48BFC461">
            <w:pPr>
              <w:pStyle w:val="43"/>
              <w:jc w:val="center"/>
              <w:rPr>
                <w:rFonts w:hint="eastAsia"/>
                <w:b w:val="0"/>
                <w:bCs/>
                <w:color w:val="auto"/>
                <w:sz w:val="24"/>
                <w:szCs w:val="24"/>
                <w:highlight w:val="none"/>
                <w:vertAlign w:val="baseline"/>
                <w:lang w:val="en-US" w:eastAsia="zh-CN"/>
              </w:rPr>
            </w:pPr>
          </w:p>
        </w:tc>
        <w:tc>
          <w:tcPr>
            <w:tcW w:w="1235" w:type="dxa"/>
            <w:vMerge w:val="continue"/>
            <w:vAlign w:val="center"/>
          </w:tcPr>
          <w:p w14:paraId="7D8D1585">
            <w:pPr>
              <w:pStyle w:val="43"/>
              <w:jc w:val="center"/>
              <w:rPr>
                <w:rFonts w:hint="eastAsia"/>
                <w:b w:val="0"/>
                <w:bCs/>
                <w:color w:val="auto"/>
                <w:sz w:val="24"/>
                <w:szCs w:val="24"/>
                <w:highlight w:val="none"/>
                <w:vertAlign w:val="baseline"/>
                <w:lang w:val="en-US" w:eastAsia="zh-CN"/>
              </w:rPr>
            </w:pPr>
          </w:p>
        </w:tc>
        <w:tc>
          <w:tcPr>
            <w:tcW w:w="1235" w:type="dxa"/>
            <w:vAlign w:val="center"/>
          </w:tcPr>
          <w:p w14:paraId="7AD5EB0F">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证书名称</w:t>
            </w:r>
          </w:p>
        </w:tc>
        <w:tc>
          <w:tcPr>
            <w:tcW w:w="1235" w:type="dxa"/>
            <w:vAlign w:val="center"/>
          </w:tcPr>
          <w:p w14:paraId="15B54C9A">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级别</w:t>
            </w:r>
          </w:p>
        </w:tc>
        <w:tc>
          <w:tcPr>
            <w:tcW w:w="1235" w:type="dxa"/>
            <w:vAlign w:val="center"/>
          </w:tcPr>
          <w:p w14:paraId="3D75DB93">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证号</w:t>
            </w:r>
          </w:p>
        </w:tc>
        <w:tc>
          <w:tcPr>
            <w:tcW w:w="1236" w:type="dxa"/>
            <w:vAlign w:val="center"/>
          </w:tcPr>
          <w:p w14:paraId="43BAED20">
            <w:pPr>
              <w:pStyle w:val="43"/>
              <w:jc w:val="center"/>
              <w:rPr>
                <w:rFonts w:hint="default"/>
                <w:b w:val="0"/>
                <w:bCs/>
                <w:color w:val="auto"/>
                <w:sz w:val="24"/>
                <w:szCs w:val="24"/>
                <w:highlight w:val="none"/>
                <w:vertAlign w:val="baseline"/>
                <w:lang w:val="en-US" w:eastAsia="zh-CN"/>
              </w:rPr>
            </w:pPr>
            <w:r>
              <w:rPr>
                <w:rFonts w:hint="eastAsia"/>
                <w:b w:val="0"/>
                <w:bCs/>
                <w:color w:val="auto"/>
                <w:sz w:val="24"/>
                <w:szCs w:val="24"/>
                <w:highlight w:val="none"/>
                <w:vertAlign w:val="baseline"/>
                <w:lang w:val="en-US" w:eastAsia="zh-CN"/>
              </w:rPr>
              <w:t>专业</w:t>
            </w:r>
          </w:p>
        </w:tc>
        <w:tc>
          <w:tcPr>
            <w:tcW w:w="1235" w:type="dxa"/>
            <w:vAlign w:val="center"/>
          </w:tcPr>
          <w:p w14:paraId="1DAF5061">
            <w:pPr>
              <w:pStyle w:val="43"/>
              <w:jc w:val="center"/>
              <w:rPr>
                <w:rFonts w:hint="eastAsia"/>
                <w:b w:val="0"/>
                <w:bCs/>
                <w:color w:val="auto"/>
                <w:sz w:val="24"/>
                <w:szCs w:val="24"/>
                <w:highlight w:val="none"/>
                <w:vertAlign w:val="baseline"/>
                <w:lang w:val="en-US" w:eastAsia="zh-CN"/>
              </w:rPr>
            </w:pPr>
          </w:p>
        </w:tc>
      </w:tr>
      <w:tr w14:paraId="3DEE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34" w:type="dxa"/>
            <w:vAlign w:val="center"/>
          </w:tcPr>
          <w:p w14:paraId="2707B394">
            <w:pPr>
              <w:pStyle w:val="43"/>
              <w:jc w:val="center"/>
              <w:rPr>
                <w:rFonts w:hint="eastAsia"/>
                <w:b w:val="0"/>
                <w:bCs/>
                <w:color w:val="auto"/>
                <w:sz w:val="24"/>
                <w:szCs w:val="24"/>
                <w:highlight w:val="none"/>
                <w:vertAlign w:val="baseline"/>
                <w:lang w:val="en-US" w:eastAsia="zh-CN"/>
              </w:rPr>
            </w:pPr>
          </w:p>
        </w:tc>
        <w:tc>
          <w:tcPr>
            <w:tcW w:w="1234" w:type="dxa"/>
            <w:vAlign w:val="center"/>
          </w:tcPr>
          <w:p w14:paraId="5CF3060A">
            <w:pPr>
              <w:pStyle w:val="43"/>
              <w:jc w:val="center"/>
              <w:rPr>
                <w:rFonts w:hint="eastAsia"/>
                <w:b w:val="0"/>
                <w:bCs/>
                <w:color w:val="auto"/>
                <w:sz w:val="24"/>
                <w:szCs w:val="24"/>
                <w:highlight w:val="none"/>
                <w:vertAlign w:val="baseline"/>
                <w:lang w:val="en-US" w:eastAsia="zh-CN"/>
              </w:rPr>
            </w:pPr>
          </w:p>
        </w:tc>
        <w:tc>
          <w:tcPr>
            <w:tcW w:w="1235" w:type="dxa"/>
            <w:vAlign w:val="center"/>
          </w:tcPr>
          <w:p w14:paraId="2D073C75">
            <w:pPr>
              <w:pStyle w:val="43"/>
              <w:jc w:val="center"/>
              <w:rPr>
                <w:rFonts w:hint="eastAsia"/>
                <w:b w:val="0"/>
                <w:bCs/>
                <w:color w:val="auto"/>
                <w:sz w:val="24"/>
                <w:szCs w:val="24"/>
                <w:highlight w:val="none"/>
                <w:vertAlign w:val="baseline"/>
                <w:lang w:val="en-US" w:eastAsia="zh-CN"/>
              </w:rPr>
            </w:pPr>
          </w:p>
        </w:tc>
        <w:tc>
          <w:tcPr>
            <w:tcW w:w="1235" w:type="dxa"/>
            <w:vAlign w:val="center"/>
          </w:tcPr>
          <w:p w14:paraId="7001A9F9">
            <w:pPr>
              <w:pStyle w:val="43"/>
              <w:jc w:val="center"/>
              <w:rPr>
                <w:rFonts w:hint="eastAsia"/>
                <w:b w:val="0"/>
                <w:bCs/>
                <w:color w:val="auto"/>
                <w:sz w:val="24"/>
                <w:szCs w:val="24"/>
                <w:highlight w:val="none"/>
                <w:vertAlign w:val="baseline"/>
                <w:lang w:val="en-US" w:eastAsia="zh-CN"/>
              </w:rPr>
            </w:pPr>
          </w:p>
        </w:tc>
        <w:tc>
          <w:tcPr>
            <w:tcW w:w="1235" w:type="dxa"/>
            <w:vAlign w:val="center"/>
          </w:tcPr>
          <w:p w14:paraId="2B6F1516">
            <w:pPr>
              <w:pStyle w:val="43"/>
              <w:jc w:val="center"/>
              <w:rPr>
                <w:rFonts w:hint="eastAsia"/>
                <w:b w:val="0"/>
                <w:bCs/>
                <w:color w:val="auto"/>
                <w:sz w:val="24"/>
                <w:szCs w:val="24"/>
                <w:highlight w:val="none"/>
                <w:vertAlign w:val="baseline"/>
                <w:lang w:val="en-US" w:eastAsia="zh-CN"/>
              </w:rPr>
            </w:pPr>
          </w:p>
        </w:tc>
        <w:tc>
          <w:tcPr>
            <w:tcW w:w="1235" w:type="dxa"/>
            <w:vAlign w:val="center"/>
          </w:tcPr>
          <w:p w14:paraId="078F3066">
            <w:pPr>
              <w:pStyle w:val="43"/>
              <w:jc w:val="center"/>
              <w:rPr>
                <w:rFonts w:hint="eastAsia"/>
                <w:b w:val="0"/>
                <w:bCs/>
                <w:color w:val="auto"/>
                <w:sz w:val="24"/>
                <w:szCs w:val="24"/>
                <w:highlight w:val="none"/>
                <w:vertAlign w:val="baseline"/>
                <w:lang w:val="en-US" w:eastAsia="zh-CN"/>
              </w:rPr>
            </w:pPr>
          </w:p>
        </w:tc>
        <w:tc>
          <w:tcPr>
            <w:tcW w:w="1236" w:type="dxa"/>
            <w:vAlign w:val="center"/>
          </w:tcPr>
          <w:p w14:paraId="100F139F">
            <w:pPr>
              <w:pStyle w:val="43"/>
              <w:jc w:val="center"/>
              <w:rPr>
                <w:rFonts w:hint="eastAsia"/>
                <w:b w:val="0"/>
                <w:bCs/>
                <w:color w:val="auto"/>
                <w:sz w:val="24"/>
                <w:szCs w:val="24"/>
                <w:highlight w:val="none"/>
                <w:vertAlign w:val="baseline"/>
                <w:lang w:val="en-US" w:eastAsia="zh-CN"/>
              </w:rPr>
            </w:pPr>
          </w:p>
        </w:tc>
        <w:tc>
          <w:tcPr>
            <w:tcW w:w="1235" w:type="dxa"/>
            <w:vAlign w:val="center"/>
          </w:tcPr>
          <w:p w14:paraId="5DB71BE5">
            <w:pPr>
              <w:pStyle w:val="43"/>
              <w:jc w:val="center"/>
              <w:rPr>
                <w:rFonts w:hint="eastAsia"/>
                <w:b w:val="0"/>
                <w:bCs/>
                <w:color w:val="auto"/>
                <w:sz w:val="24"/>
                <w:szCs w:val="24"/>
                <w:highlight w:val="none"/>
                <w:vertAlign w:val="baseline"/>
                <w:lang w:val="en-US" w:eastAsia="zh-CN"/>
              </w:rPr>
            </w:pPr>
          </w:p>
        </w:tc>
      </w:tr>
      <w:tr w14:paraId="3BD1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34" w:type="dxa"/>
            <w:vAlign w:val="center"/>
          </w:tcPr>
          <w:p w14:paraId="4CAFAAE1">
            <w:pPr>
              <w:pStyle w:val="43"/>
              <w:jc w:val="center"/>
              <w:rPr>
                <w:rFonts w:hint="eastAsia"/>
                <w:b w:val="0"/>
                <w:bCs/>
                <w:color w:val="auto"/>
                <w:sz w:val="24"/>
                <w:szCs w:val="24"/>
                <w:highlight w:val="none"/>
                <w:vertAlign w:val="baseline"/>
                <w:lang w:val="en-US" w:eastAsia="zh-CN"/>
              </w:rPr>
            </w:pPr>
          </w:p>
        </w:tc>
        <w:tc>
          <w:tcPr>
            <w:tcW w:w="1234" w:type="dxa"/>
            <w:vAlign w:val="center"/>
          </w:tcPr>
          <w:p w14:paraId="125F4940">
            <w:pPr>
              <w:pStyle w:val="43"/>
              <w:jc w:val="center"/>
              <w:rPr>
                <w:rFonts w:hint="eastAsia"/>
                <w:b w:val="0"/>
                <w:bCs/>
                <w:color w:val="auto"/>
                <w:sz w:val="24"/>
                <w:szCs w:val="24"/>
                <w:highlight w:val="none"/>
                <w:vertAlign w:val="baseline"/>
                <w:lang w:val="en-US" w:eastAsia="zh-CN"/>
              </w:rPr>
            </w:pPr>
          </w:p>
        </w:tc>
        <w:tc>
          <w:tcPr>
            <w:tcW w:w="1235" w:type="dxa"/>
            <w:vAlign w:val="center"/>
          </w:tcPr>
          <w:p w14:paraId="1534ACEC">
            <w:pPr>
              <w:pStyle w:val="43"/>
              <w:jc w:val="center"/>
              <w:rPr>
                <w:rFonts w:hint="eastAsia"/>
                <w:b w:val="0"/>
                <w:bCs/>
                <w:color w:val="auto"/>
                <w:sz w:val="24"/>
                <w:szCs w:val="24"/>
                <w:highlight w:val="none"/>
                <w:vertAlign w:val="baseline"/>
                <w:lang w:val="en-US" w:eastAsia="zh-CN"/>
              </w:rPr>
            </w:pPr>
          </w:p>
        </w:tc>
        <w:tc>
          <w:tcPr>
            <w:tcW w:w="1235" w:type="dxa"/>
            <w:vAlign w:val="center"/>
          </w:tcPr>
          <w:p w14:paraId="760B53E7">
            <w:pPr>
              <w:pStyle w:val="43"/>
              <w:jc w:val="center"/>
              <w:rPr>
                <w:rFonts w:hint="eastAsia"/>
                <w:b w:val="0"/>
                <w:bCs/>
                <w:color w:val="auto"/>
                <w:sz w:val="24"/>
                <w:szCs w:val="24"/>
                <w:highlight w:val="none"/>
                <w:vertAlign w:val="baseline"/>
                <w:lang w:val="en-US" w:eastAsia="zh-CN"/>
              </w:rPr>
            </w:pPr>
          </w:p>
        </w:tc>
        <w:tc>
          <w:tcPr>
            <w:tcW w:w="1235" w:type="dxa"/>
            <w:vAlign w:val="center"/>
          </w:tcPr>
          <w:p w14:paraId="58E4C077">
            <w:pPr>
              <w:pStyle w:val="43"/>
              <w:jc w:val="center"/>
              <w:rPr>
                <w:rFonts w:hint="eastAsia"/>
                <w:b w:val="0"/>
                <w:bCs/>
                <w:color w:val="auto"/>
                <w:sz w:val="24"/>
                <w:szCs w:val="24"/>
                <w:highlight w:val="none"/>
                <w:vertAlign w:val="baseline"/>
                <w:lang w:val="en-US" w:eastAsia="zh-CN"/>
              </w:rPr>
            </w:pPr>
          </w:p>
        </w:tc>
        <w:tc>
          <w:tcPr>
            <w:tcW w:w="1235" w:type="dxa"/>
            <w:vAlign w:val="center"/>
          </w:tcPr>
          <w:p w14:paraId="60ABF970">
            <w:pPr>
              <w:pStyle w:val="43"/>
              <w:jc w:val="center"/>
              <w:rPr>
                <w:rFonts w:hint="eastAsia"/>
                <w:b w:val="0"/>
                <w:bCs/>
                <w:color w:val="auto"/>
                <w:sz w:val="24"/>
                <w:szCs w:val="24"/>
                <w:highlight w:val="none"/>
                <w:vertAlign w:val="baseline"/>
                <w:lang w:val="en-US" w:eastAsia="zh-CN"/>
              </w:rPr>
            </w:pPr>
          </w:p>
        </w:tc>
        <w:tc>
          <w:tcPr>
            <w:tcW w:w="1236" w:type="dxa"/>
            <w:vAlign w:val="center"/>
          </w:tcPr>
          <w:p w14:paraId="26A30DD6">
            <w:pPr>
              <w:pStyle w:val="43"/>
              <w:jc w:val="center"/>
              <w:rPr>
                <w:rFonts w:hint="eastAsia"/>
                <w:b w:val="0"/>
                <w:bCs/>
                <w:color w:val="auto"/>
                <w:sz w:val="24"/>
                <w:szCs w:val="24"/>
                <w:highlight w:val="none"/>
                <w:vertAlign w:val="baseline"/>
                <w:lang w:val="en-US" w:eastAsia="zh-CN"/>
              </w:rPr>
            </w:pPr>
          </w:p>
        </w:tc>
        <w:tc>
          <w:tcPr>
            <w:tcW w:w="1235" w:type="dxa"/>
            <w:vAlign w:val="center"/>
          </w:tcPr>
          <w:p w14:paraId="30D577AC">
            <w:pPr>
              <w:pStyle w:val="43"/>
              <w:jc w:val="center"/>
              <w:rPr>
                <w:rFonts w:hint="eastAsia"/>
                <w:b w:val="0"/>
                <w:bCs/>
                <w:color w:val="auto"/>
                <w:sz w:val="24"/>
                <w:szCs w:val="24"/>
                <w:highlight w:val="none"/>
                <w:vertAlign w:val="baseline"/>
                <w:lang w:val="en-US" w:eastAsia="zh-CN"/>
              </w:rPr>
            </w:pPr>
          </w:p>
        </w:tc>
      </w:tr>
      <w:tr w14:paraId="7193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34" w:type="dxa"/>
            <w:vAlign w:val="center"/>
          </w:tcPr>
          <w:p w14:paraId="65E88E33">
            <w:pPr>
              <w:pStyle w:val="43"/>
              <w:jc w:val="center"/>
              <w:rPr>
                <w:rFonts w:hint="eastAsia"/>
                <w:b w:val="0"/>
                <w:bCs/>
                <w:color w:val="auto"/>
                <w:sz w:val="24"/>
                <w:szCs w:val="24"/>
                <w:highlight w:val="none"/>
                <w:vertAlign w:val="baseline"/>
                <w:lang w:val="en-US" w:eastAsia="zh-CN"/>
              </w:rPr>
            </w:pPr>
          </w:p>
        </w:tc>
        <w:tc>
          <w:tcPr>
            <w:tcW w:w="1234" w:type="dxa"/>
            <w:vAlign w:val="center"/>
          </w:tcPr>
          <w:p w14:paraId="250CC379">
            <w:pPr>
              <w:pStyle w:val="43"/>
              <w:jc w:val="center"/>
              <w:rPr>
                <w:rFonts w:hint="eastAsia"/>
                <w:b w:val="0"/>
                <w:bCs/>
                <w:color w:val="auto"/>
                <w:sz w:val="24"/>
                <w:szCs w:val="24"/>
                <w:highlight w:val="none"/>
                <w:vertAlign w:val="baseline"/>
                <w:lang w:val="en-US" w:eastAsia="zh-CN"/>
              </w:rPr>
            </w:pPr>
          </w:p>
        </w:tc>
        <w:tc>
          <w:tcPr>
            <w:tcW w:w="1235" w:type="dxa"/>
            <w:vAlign w:val="center"/>
          </w:tcPr>
          <w:p w14:paraId="6D12277D">
            <w:pPr>
              <w:pStyle w:val="43"/>
              <w:jc w:val="center"/>
              <w:rPr>
                <w:rFonts w:hint="eastAsia"/>
                <w:b w:val="0"/>
                <w:bCs/>
                <w:color w:val="auto"/>
                <w:sz w:val="24"/>
                <w:szCs w:val="24"/>
                <w:highlight w:val="none"/>
                <w:vertAlign w:val="baseline"/>
                <w:lang w:val="en-US" w:eastAsia="zh-CN"/>
              </w:rPr>
            </w:pPr>
          </w:p>
        </w:tc>
        <w:tc>
          <w:tcPr>
            <w:tcW w:w="1235" w:type="dxa"/>
            <w:vAlign w:val="center"/>
          </w:tcPr>
          <w:p w14:paraId="422B6171">
            <w:pPr>
              <w:pStyle w:val="43"/>
              <w:jc w:val="center"/>
              <w:rPr>
                <w:rFonts w:hint="eastAsia"/>
                <w:b w:val="0"/>
                <w:bCs/>
                <w:color w:val="auto"/>
                <w:sz w:val="24"/>
                <w:szCs w:val="24"/>
                <w:highlight w:val="none"/>
                <w:vertAlign w:val="baseline"/>
                <w:lang w:val="en-US" w:eastAsia="zh-CN"/>
              </w:rPr>
            </w:pPr>
          </w:p>
        </w:tc>
        <w:tc>
          <w:tcPr>
            <w:tcW w:w="1235" w:type="dxa"/>
            <w:vAlign w:val="center"/>
          </w:tcPr>
          <w:p w14:paraId="46DD1BEB">
            <w:pPr>
              <w:pStyle w:val="43"/>
              <w:jc w:val="center"/>
              <w:rPr>
                <w:rFonts w:hint="eastAsia"/>
                <w:b w:val="0"/>
                <w:bCs/>
                <w:color w:val="auto"/>
                <w:sz w:val="24"/>
                <w:szCs w:val="24"/>
                <w:highlight w:val="none"/>
                <w:vertAlign w:val="baseline"/>
                <w:lang w:val="en-US" w:eastAsia="zh-CN"/>
              </w:rPr>
            </w:pPr>
          </w:p>
        </w:tc>
        <w:tc>
          <w:tcPr>
            <w:tcW w:w="1235" w:type="dxa"/>
            <w:vAlign w:val="center"/>
          </w:tcPr>
          <w:p w14:paraId="120EBDFD">
            <w:pPr>
              <w:pStyle w:val="43"/>
              <w:jc w:val="center"/>
              <w:rPr>
                <w:rFonts w:hint="eastAsia"/>
                <w:b w:val="0"/>
                <w:bCs/>
                <w:color w:val="auto"/>
                <w:sz w:val="24"/>
                <w:szCs w:val="24"/>
                <w:highlight w:val="none"/>
                <w:vertAlign w:val="baseline"/>
                <w:lang w:val="en-US" w:eastAsia="zh-CN"/>
              </w:rPr>
            </w:pPr>
          </w:p>
        </w:tc>
        <w:tc>
          <w:tcPr>
            <w:tcW w:w="1236" w:type="dxa"/>
            <w:vAlign w:val="center"/>
          </w:tcPr>
          <w:p w14:paraId="72A8307C">
            <w:pPr>
              <w:pStyle w:val="43"/>
              <w:jc w:val="center"/>
              <w:rPr>
                <w:rFonts w:hint="eastAsia"/>
                <w:b w:val="0"/>
                <w:bCs/>
                <w:color w:val="auto"/>
                <w:sz w:val="24"/>
                <w:szCs w:val="24"/>
                <w:highlight w:val="none"/>
                <w:vertAlign w:val="baseline"/>
                <w:lang w:val="en-US" w:eastAsia="zh-CN"/>
              </w:rPr>
            </w:pPr>
          </w:p>
        </w:tc>
        <w:tc>
          <w:tcPr>
            <w:tcW w:w="1235" w:type="dxa"/>
            <w:vAlign w:val="center"/>
          </w:tcPr>
          <w:p w14:paraId="54016826">
            <w:pPr>
              <w:pStyle w:val="43"/>
              <w:jc w:val="center"/>
              <w:rPr>
                <w:rFonts w:hint="eastAsia"/>
                <w:b w:val="0"/>
                <w:bCs/>
                <w:color w:val="auto"/>
                <w:sz w:val="24"/>
                <w:szCs w:val="24"/>
                <w:highlight w:val="none"/>
                <w:vertAlign w:val="baseline"/>
                <w:lang w:val="en-US" w:eastAsia="zh-CN"/>
              </w:rPr>
            </w:pPr>
          </w:p>
        </w:tc>
      </w:tr>
      <w:tr w14:paraId="755C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trPr>
        <w:tc>
          <w:tcPr>
            <w:tcW w:w="1234" w:type="dxa"/>
            <w:vAlign w:val="center"/>
          </w:tcPr>
          <w:p w14:paraId="5C8D672D">
            <w:pPr>
              <w:pStyle w:val="43"/>
              <w:jc w:val="center"/>
              <w:rPr>
                <w:rFonts w:hint="eastAsia"/>
                <w:b w:val="0"/>
                <w:bCs/>
                <w:color w:val="auto"/>
                <w:sz w:val="24"/>
                <w:szCs w:val="24"/>
                <w:highlight w:val="none"/>
                <w:vertAlign w:val="baseline"/>
                <w:lang w:val="en-US" w:eastAsia="zh-CN"/>
              </w:rPr>
            </w:pPr>
          </w:p>
        </w:tc>
        <w:tc>
          <w:tcPr>
            <w:tcW w:w="1234" w:type="dxa"/>
            <w:vAlign w:val="center"/>
          </w:tcPr>
          <w:p w14:paraId="508A81B3">
            <w:pPr>
              <w:pStyle w:val="43"/>
              <w:jc w:val="center"/>
              <w:rPr>
                <w:rFonts w:hint="eastAsia"/>
                <w:b w:val="0"/>
                <w:bCs/>
                <w:color w:val="auto"/>
                <w:sz w:val="24"/>
                <w:szCs w:val="24"/>
                <w:highlight w:val="none"/>
                <w:vertAlign w:val="baseline"/>
                <w:lang w:val="en-US" w:eastAsia="zh-CN"/>
              </w:rPr>
            </w:pPr>
          </w:p>
        </w:tc>
        <w:tc>
          <w:tcPr>
            <w:tcW w:w="1235" w:type="dxa"/>
            <w:vAlign w:val="center"/>
          </w:tcPr>
          <w:p w14:paraId="6E2B1681">
            <w:pPr>
              <w:pStyle w:val="43"/>
              <w:jc w:val="center"/>
              <w:rPr>
                <w:rFonts w:hint="eastAsia"/>
                <w:b w:val="0"/>
                <w:bCs/>
                <w:color w:val="auto"/>
                <w:sz w:val="24"/>
                <w:szCs w:val="24"/>
                <w:highlight w:val="none"/>
                <w:vertAlign w:val="baseline"/>
                <w:lang w:val="en-US" w:eastAsia="zh-CN"/>
              </w:rPr>
            </w:pPr>
          </w:p>
        </w:tc>
        <w:tc>
          <w:tcPr>
            <w:tcW w:w="1235" w:type="dxa"/>
            <w:vAlign w:val="center"/>
          </w:tcPr>
          <w:p w14:paraId="07B03797">
            <w:pPr>
              <w:pStyle w:val="43"/>
              <w:jc w:val="center"/>
              <w:rPr>
                <w:rFonts w:hint="eastAsia"/>
                <w:b w:val="0"/>
                <w:bCs/>
                <w:color w:val="auto"/>
                <w:sz w:val="24"/>
                <w:szCs w:val="24"/>
                <w:highlight w:val="none"/>
                <w:vertAlign w:val="baseline"/>
                <w:lang w:val="en-US" w:eastAsia="zh-CN"/>
              </w:rPr>
            </w:pPr>
          </w:p>
        </w:tc>
        <w:tc>
          <w:tcPr>
            <w:tcW w:w="1235" w:type="dxa"/>
            <w:vAlign w:val="center"/>
          </w:tcPr>
          <w:p w14:paraId="43A55115">
            <w:pPr>
              <w:pStyle w:val="43"/>
              <w:jc w:val="center"/>
              <w:rPr>
                <w:rFonts w:hint="eastAsia"/>
                <w:b w:val="0"/>
                <w:bCs/>
                <w:color w:val="auto"/>
                <w:sz w:val="24"/>
                <w:szCs w:val="24"/>
                <w:highlight w:val="none"/>
                <w:vertAlign w:val="baseline"/>
                <w:lang w:val="en-US" w:eastAsia="zh-CN"/>
              </w:rPr>
            </w:pPr>
          </w:p>
        </w:tc>
        <w:tc>
          <w:tcPr>
            <w:tcW w:w="1235" w:type="dxa"/>
            <w:vAlign w:val="center"/>
          </w:tcPr>
          <w:p w14:paraId="173EF546">
            <w:pPr>
              <w:pStyle w:val="43"/>
              <w:jc w:val="center"/>
              <w:rPr>
                <w:rFonts w:hint="eastAsia"/>
                <w:b w:val="0"/>
                <w:bCs/>
                <w:color w:val="auto"/>
                <w:sz w:val="24"/>
                <w:szCs w:val="24"/>
                <w:highlight w:val="none"/>
                <w:vertAlign w:val="baseline"/>
                <w:lang w:val="en-US" w:eastAsia="zh-CN"/>
              </w:rPr>
            </w:pPr>
          </w:p>
        </w:tc>
        <w:tc>
          <w:tcPr>
            <w:tcW w:w="1236" w:type="dxa"/>
            <w:vAlign w:val="center"/>
          </w:tcPr>
          <w:p w14:paraId="7F58248E">
            <w:pPr>
              <w:pStyle w:val="43"/>
              <w:jc w:val="center"/>
              <w:rPr>
                <w:rFonts w:hint="eastAsia"/>
                <w:b w:val="0"/>
                <w:bCs/>
                <w:color w:val="auto"/>
                <w:sz w:val="24"/>
                <w:szCs w:val="24"/>
                <w:highlight w:val="none"/>
                <w:vertAlign w:val="baseline"/>
                <w:lang w:val="en-US" w:eastAsia="zh-CN"/>
              </w:rPr>
            </w:pPr>
          </w:p>
        </w:tc>
        <w:tc>
          <w:tcPr>
            <w:tcW w:w="1235" w:type="dxa"/>
            <w:vAlign w:val="center"/>
          </w:tcPr>
          <w:p w14:paraId="5C0216BD">
            <w:pPr>
              <w:pStyle w:val="43"/>
              <w:jc w:val="center"/>
              <w:rPr>
                <w:rFonts w:hint="eastAsia"/>
                <w:b w:val="0"/>
                <w:bCs/>
                <w:color w:val="auto"/>
                <w:sz w:val="24"/>
                <w:szCs w:val="24"/>
                <w:highlight w:val="none"/>
                <w:vertAlign w:val="baseline"/>
                <w:lang w:val="en-US" w:eastAsia="zh-CN"/>
              </w:rPr>
            </w:pPr>
          </w:p>
        </w:tc>
      </w:tr>
      <w:tr w14:paraId="1E62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34" w:type="dxa"/>
            <w:vAlign w:val="center"/>
          </w:tcPr>
          <w:p w14:paraId="5A461143">
            <w:pPr>
              <w:pStyle w:val="43"/>
              <w:jc w:val="center"/>
              <w:rPr>
                <w:rFonts w:hint="eastAsia"/>
                <w:b w:val="0"/>
                <w:bCs/>
                <w:color w:val="auto"/>
                <w:sz w:val="24"/>
                <w:szCs w:val="24"/>
                <w:highlight w:val="none"/>
                <w:vertAlign w:val="baseline"/>
                <w:lang w:val="en-US" w:eastAsia="zh-CN"/>
              </w:rPr>
            </w:pPr>
          </w:p>
        </w:tc>
        <w:tc>
          <w:tcPr>
            <w:tcW w:w="1234" w:type="dxa"/>
            <w:vAlign w:val="center"/>
          </w:tcPr>
          <w:p w14:paraId="507BE74E">
            <w:pPr>
              <w:pStyle w:val="43"/>
              <w:jc w:val="center"/>
              <w:rPr>
                <w:rFonts w:hint="eastAsia"/>
                <w:b w:val="0"/>
                <w:bCs/>
                <w:color w:val="auto"/>
                <w:sz w:val="24"/>
                <w:szCs w:val="24"/>
                <w:highlight w:val="none"/>
                <w:vertAlign w:val="baseline"/>
                <w:lang w:val="en-US" w:eastAsia="zh-CN"/>
              </w:rPr>
            </w:pPr>
          </w:p>
        </w:tc>
        <w:tc>
          <w:tcPr>
            <w:tcW w:w="1235" w:type="dxa"/>
            <w:vAlign w:val="center"/>
          </w:tcPr>
          <w:p w14:paraId="4BCD2580">
            <w:pPr>
              <w:pStyle w:val="43"/>
              <w:jc w:val="center"/>
              <w:rPr>
                <w:rFonts w:hint="eastAsia"/>
                <w:b w:val="0"/>
                <w:bCs/>
                <w:color w:val="auto"/>
                <w:sz w:val="24"/>
                <w:szCs w:val="24"/>
                <w:highlight w:val="none"/>
                <w:vertAlign w:val="baseline"/>
                <w:lang w:val="en-US" w:eastAsia="zh-CN"/>
              </w:rPr>
            </w:pPr>
          </w:p>
        </w:tc>
        <w:tc>
          <w:tcPr>
            <w:tcW w:w="1235" w:type="dxa"/>
            <w:vAlign w:val="center"/>
          </w:tcPr>
          <w:p w14:paraId="4CBA8A36">
            <w:pPr>
              <w:pStyle w:val="43"/>
              <w:jc w:val="center"/>
              <w:rPr>
                <w:rFonts w:hint="eastAsia"/>
                <w:b w:val="0"/>
                <w:bCs/>
                <w:color w:val="auto"/>
                <w:sz w:val="24"/>
                <w:szCs w:val="24"/>
                <w:highlight w:val="none"/>
                <w:vertAlign w:val="baseline"/>
                <w:lang w:val="en-US" w:eastAsia="zh-CN"/>
              </w:rPr>
            </w:pPr>
          </w:p>
        </w:tc>
        <w:tc>
          <w:tcPr>
            <w:tcW w:w="1235" w:type="dxa"/>
            <w:vAlign w:val="center"/>
          </w:tcPr>
          <w:p w14:paraId="215B08D2">
            <w:pPr>
              <w:pStyle w:val="43"/>
              <w:jc w:val="center"/>
              <w:rPr>
                <w:rFonts w:hint="eastAsia"/>
                <w:b w:val="0"/>
                <w:bCs/>
                <w:color w:val="auto"/>
                <w:sz w:val="24"/>
                <w:szCs w:val="24"/>
                <w:highlight w:val="none"/>
                <w:vertAlign w:val="baseline"/>
                <w:lang w:val="en-US" w:eastAsia="zh-CN"/>
              </w:rPr>
            </w:pPr>
          </w:p>
        </w:tc>
        <w:tc>
          <w:tcPr>
            <w:tcW w:w="1235" w:type="dxa"/>
            <w:vAlign w:val="center"/>
          </w:tcPr>
          <w:p w14:paraId="76F142C1">
            <w:pPr>
              <w:pStyle w:val="43"/>
              <w:jc w:val="center"/>
              <w:rPr>
                <w:rFonts w:hint="eastAsia"/>
                <w:b w:val="0"/>
                <w:bCs/>
                <w:color w:val="auto"/>
                <w:sz w:val="24"/>
                <w:szCs w:val="24"/>
                <w:highlight w:val="none"/>
                <w:vertAlign w:val="baseline"/>
                <w:lang w:val="en-US" w:eastAsia="zh-CN"/>
              </w:rPr>
            </w:pPr>
          </w:p>
        </w:tc>
        <w:tc>
          <w:tcPr>
            <w:tcW w:w="1236" w:type="dxa"/>
            <w:vAlign w:val="center"/>
          </w:tcPr>
          <w:p w14:paraId="35124C3D">
            <w:pPr>
              <w:pStyle w:val="43"/>
              <w:jc w:val="center"/>
              <w:rPr>
                <w:rFonts w:hint="eastAsia"/>
                <w:b w:val="0"/>
                <w:bCs/>
                <w:color w:val="auto"/>
                <w:sz w:val="24"/>
                <w:szCs w:val="24"/>
                <w:highlight w:val="none"/>
                <w:vertAlign w:val="baseline"/>
                <w:lang w:val="en-US" w:eastAsia="zh-CN"/>
              </w:rPr>
            </w:pPr>
          </w:p>
        </w:tc>
        <w:tc>
          <w:tcPr>
            <w:tcW w:w="1235" w:type="dxa"/>
            <w:vAlign w:val="center"/>
          </w:tcPr>
          <w:p w14:paraId="4059A927">
            <w:pPr>
              <w:pStyle w:val="43"/>
              <w:jc w:val="center"/>
              <w:rPr>
                <w:rFonts w:hint="eastAsia"/>
                <w:b w:val="0"/>
                <w:bCs/>
                <w:color w:val="auto"/>
                <w:sz w:val="24"/>
                <w:szCs w:val="24"/>
                <w:highlight w:val="none"/>
                <w:vertAlign w:val="baseline"/>
                <w:lang w:val="en-US" w:eastAsia="zh-CN"/>
              </w:rPr>
            </w:pPr>
          </w:p>
        </w:tc>
      </w:tr>
      <w:tr w14:paraId="3BA3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34" w:type="dxa"/>
            <w:vAlign w:val="center"/>
          </w:tcPr>
          <w:p w14:paraId="168F3063">
            <w:pPr>
              <w:pStyle w:val="43"/>
              <w:jc w:val="center"/>
              <w:rPr>
                <w:rFonts w:hint="eastAsia"/>
                <w:b w:val="0"/>
                <w:bCs/>
                <w:color w:val="auto"/>
                <w:sz w:val="24"/>
                <w:szCs w:val="24"/>
                <w:highlight w:val="none"/>
                <w:vertAlign w:val="baseline"/>
                <w:lang w:val="en-US" w:eastAsia="zh-CN"/>
              </w:rPr>
            </w:pPr>
          </w:p>
        </w:tc>
        <w:tc>
          <w:tcPr>
            <w:tcW w:w="1234" w:type="dxa"/>
            <w:vAlign w:val="center"/>
          </w:tcPr>
          <w:p w14:paraId="55925281">
            <w:pPr>
              <w:pStyle w:val="43"/>
              <w:jc w:val="center"/>
              <w:rPr>
                <w:rFonts w:hint="eastAsia"/>
                <w:b w:val="0"/>
                <w:bCs/>
                <w:color w:val="auto"/>
                <w:sz w:val="24"/>
                <w:szCs w:val="24"/>
                <w:highlight w:val="none"/>
                <w:vertAlign w:val="baseline"/>
                <w:lang w:val="en-US" w:eastAsia="zh-CN"/>
              </w:rPr>
            </w:pPr>
          </w:p>
        </w:tc>
        <w:tc>
          <w:tcPr>
            <w:tcW w:w="1235" w:type="dxa"/>
            <w:vAlign w:val="center"/>
          </w:tcPr>
          <w:p w14:paraId="68CB4EAE">
            <w:pPr>
              <w:pStyle w:val="43"/>
              <w:jc w:val="center"/>
              <w:rPr>
                <w:rFonts w:hint="eastAsia"/>
                <w:b w:val="0"/>
                <w:bCs/>
                <w:color w:val="auto"/>
                <w:sz w:val="24"/>
                <w:szCs w:val="24"/>
                <w:highlight w:val="none"/>
                <w:vertAlign w:val="baseline"/>
                <w:lang w:val="en-US" w:eastAsia="zh-CN"/>
              </w:rPr>
            </w:pPr>
          </w:p>
        </w:tc>
        <w:tc>
          <w:tcPr>
            <w:tcW w:w="1235" w:type="dxa"/>
            <w:vAlign w:val="center"/>
          </w:tcPr>
          <w:p w14:paraId="041BECDE">
            <w:pPr>
              <w:pStyle w:val="43"/>
              <w:jc w:val="center"/>
              <w:rPr>
                <w:rFonts w:hint="eastAsia"/>
                <w:b w:val="0"/>
                <w:bCs/>
                <w:color w:val="auto"/>
                <w:sz w:val="24"/>
                <w:szCs w:val="24"/>
                <w:highlight w:val="none"/>
                <w:vertAlign w:val="baseline"/>
                <w:lang w:val="en-US" w:eastAsia="zh-CN"/>
              </w:rPr>
            </w:pPr>
          </w:p>
        </w:tc>
        <w:tc>
          <w:tcPr>
            <w:tcW w:w="1235" w:type="dxa"/>
            <w:vAlign w:val="center"/>
          </w:tcPr>
          <w:p w14:paraId="3ACAF74C">
            <w:pPr>
              <w:pStyle w:val="43"/>
              <w:jc w:val="center"/>
              <w:rPr>
                <w:rFonts w:hint="eastAsia"/>
                <w:b w:val="0"/>
                <w:bCs/>
                <w:color w:val="auto"/>
                <w:sz w:val="24"/>
                <w:szCs w:val="24"/>
                <w:highlight w:val="none"/>
                <w:vertAlign w:val="baseline"/>
                <w:lang w:val="en-US" w:eastAsia="zh-CN"/>
              </w:rPr>
            </w:pPr>
          </w:p>
        </w:tc>
        <w:tc>
          <w:tcPr>
            <w:tcW w:w="1235" w:type="dxa"/>
            <w:vAlign w:val="center"/>
          </w:tcPr>
          <w:p w14:paraId="41B9A6DB">
            <w:pPr>
              <w:pStyle w:val="43"/>
              <w:jc w:val="center"/>
              <w:rPr>
                <w:rFonts w:hint="eastAsia"/>
                <w:b w:val="0"/>
                <w:bCs/>
                <w:color w:val="auto"/>
                <w:sz w:val="24"/>
                <w:szCs w:val="24"/>
                <w:highlight w:val="none"/>
                <w:vertAlign w:val="baseline"/>
                <w:lang w:val="en-US" w:eastAsia="zh-CN"/>
              </w:rPr>
            </w:pPr>
          </w:p>
        </w:tc>
        <w:tc>
          <w:tcPr>
            <w:tcW w:w="1236" w:type="dxa"/>
            <w:vAlign w:val="center"/>
          </w:tcPr>
          <w:p w14:paraId="572AAC3D">
            <w:pPr>
              <w:pStyle w:val="43"/>
              <w:jc w:val="center"/>
              <w:rPr>
                <w:rFonts w:hint="eastAsia"/>
                <w:b w:val="0"/>
                <w:bCs/>
                <w:color w:val="auto"/>
                <w:sz w:val="24"/>
                <w:szCs w:val="24"/>
                <w:highlight w:val="none"/>
                <w:vertAlign w:val="baseline"/>
                <w:lang w:val="en-US" w:eastAsia="zh-CN"/>
              </w:rPr>
            </w:pPr>
          </w:p>
        </w:tc>
        <w:tc>
          <w:tcPr>
            <w:tcW w:w="1235" w:type="dxa"/>
            <w:vAlign w:val="center"/>
          </w:tcPr>
          <w:p w14:paraId="0C6A3E2F">
            <w:pPr>
              <w:pStyle w:val="43"/>
              <w:jc w:val="center"/>
              <w:rPr>
                <w:rFonts w:hint="eastAsia"/>
                <w:b w:val="0"/>
                <w:bCs/>
                <w:color w:val="auto"/>
                <w:sz w:val="24"/>
                <w:szCs w:val="24"/>
                <w:highlight w:val="none"/>
                <w:vertAlign w:val="baseline"/>
                <w:lang w:val="en-US" w:eastAsia="zh-CN"/>
              </w:rPr>
            </w:pPr>
          </w:p>
        </w:tc>
      </w:tr>
      <w:tr w14:paraId="5D1A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34" w:type="dxa"/>
            <w:vAlign w:val="center"/>
          </w:tcPr>
          <w:p w14:paraId="3648DF66">
            <w:pPr>
              <w:pStyle w:val="43"/>
              <w:jc w:val="center"/>
              <w:rPr>
                <w:rFonts w:hint="eastAsia"/>
                <w:b w:val="0"/>
                <w:bCs/>
                <w:color w:val="auto"/>
                <w:sz w:val="24"/>
                <w:szCs w:val="24"/>
                <w:highlight w:val="none"/>
                <w:vertAlign w:val="baseline"/>
                <w:lang w:val="en-US" w:eastAsia="zh-CN"/>
              </w:rPr>
            </w:pPr>
          </w:p>
        </w:tc>
        <w:tc>
          <w:tcPr>
            <w:tcW w:w="1234" w:type="dxa"/>
            <w:vAlign w:val="center"/>
          </w:tcPr>
          <w:p w14:paraId="23258F0D">
            <w:pPr>
              <w:pStyle w:val="43"/>
              <w:jc w:val="center"/>
              <w:rPr>
                <w:rFonts w:hint="eastAsia"/>
                <w:b w:val="0"/>
                <w:bCs/>
                <w:color w:val="auto"/>
                <w:sz w:val="24"/>
                <w:szCs w:val="24"/>
                <w:highlight w:val="none"/>
                <w:vertAlign w:val="baseline"/>
                <w:lang w:val="en-US" w:eastAsia="zh-CN"/>
              </w:rPr>
            </w:pPr>
          </w:p>
        </w:tc>
        <w:tc>
          <w:tcPr>
            <w:tcW w:w="1235" w:type="dxa"/>
            <w:vAlign w:val="center"/>
          </w:tcPr>
          <w:p w14:paraId="4A411A78">
            <w:pPr>
              <w:pStyle w:val="43"/>
              <w:jc w:val="center"/>
              <w:rPr>
                <w:rFonts w:hint="eastAsia"/>
                <w:b w:val="0"/>
                <w:bCs/>
                <w:color w:val="auto"/>
                <w:sz w:val="24"/>
                <w:szCs w:val="24"/>
                <w:highlight w:val="none"/>
                <w:vertAlign w:val="baseline"/>
                <w:lang w:val="en-US" w:eastAsia="zh-CN"/>
              </w:rPr>
            </w:pPr>
          </w:p>
        </w:tc>
        <w:tc>
          <w:tcPr>
            <w:tcW w:w="1235" w:type="dxa"/>
            <w:vAlign w:val="center"/>
          </w:tcPr>
          <w:p w14:paraId="6DDE3315">
            <w:pPr>
              <w:pStyle w:val="43"/>
              <w:jc w:val="center"/>
              <w:rPr>
                <w:rFonts w:hint="eastAsia"/>
                <w:b w:val="0"/>
                <w:bCs/>
                <w:color w:val="auto"/>
                <w:sz w:val="24"/>
                <w:szCs w:val="24"/>
                <w:highlight w:val="none"/>
                <w:vertAlign w:val="baseline"/>
                <w:lang w:val="en-US" w:eastAsia="zh-CN"/>
              </w:rPr>
            </w:pPr>
          </w:p>
        </w:tc>
        <w:tc>
          <w:tcPr>
            <w:tcW w:w="1235" w:type="dxa"/>
            <w:vAlign w:val="center"/>
          </w:tcPr>
          <w:p w14:paraId="46117C9B">
            <w:pPr>
              <w:pStyle w:val="43"/>
              <w:jc w:val="center"/>
              <w:rPr>
                <w:rFonts w:hint="eastAsia"/>
                <w:b w:val="0"/>
                <w:bCs/>
                <w:color w:val="auto"/>
                <w:sz w:val="24"/>
                <w:szCs w:val="24"/>
                <w:highlight w:val="none"/>
                <w:vertAlign w:val="baseline"/>
                <w:lang w:val="en-US" w:eastAsia="zh-CN"/>
              </w:rPr>
            </w:pPr>
          </w:p>
        </w:tc>
        <w:tc>
          <w:tcPr>
            <w:tcW w:w="1235" w:type="dxa"/>
            <w:vAlign w:val="center"/>
          </w:tcPr>
          <w:p w14:paraId="1CB32ABE">
            <w:pPr>
              <w:pStyle w:val="43"/>
              <w:jc w:val="center"/>
              <w:rPr>
                <w:rFonts w:hint="eastAsia"/>
                <w:b w:val="0"/>
                <w:bCs/>
                <w:color w:val="auto"/>
                <w:sz w:val="24"/>
                <w:szCs w:val="24"/>
                <w:highlight w:val="none"/>
                <w:vertAlign w:val="baseline"/>
                <w:lang w:val="en-US" w:eastAsia="zh-CN"/>
              </w:rPr>
            </w:pPr>
          </w:p>
        </w:tc>
        <w:tc>
          <w:tcPr>
            <w:tcW w:w="1236" w:type="dxa"/>
            <w:vAlign w:val="center"/>
          </w:tcPr>
          <w:p w14:paraId="6FDBC4AE">
            <w:pPr>
              <w:pStyle w:val="43"/>
              <w:jc w:val="center"/>
              <w:rPr>
                <w:rFonts w:hint="eastAsia"/>
                <w:b w:val="0"/>
                <w:bCs/>
                <w:color w:val="auto"/>
                <w:sz w:val="24"/>
                <w:szCs w:val="24"/>
                <w:highlight w:val="none"/>
                <w:vertAlign w:val="baseline"/>
                <w:lang w:val="en-US" w:eastAsia="zh-CN"/>
              </w:rPr>
            </w:pPr>
          </w:p>
        </w:tc>
        <w:tc>
          <w:tcPr>
            <w:tcW w:w="1235" w:type="dxa"/>
            <w:vAlign w:val="center"/>
          </w:tcPr>
          <w:p w14:paraId="076159A5">
            <w:pPr>
              <w:pStyle w:val="43"/>
              <w:jc w:val="center"/>
              <w:rPr>
                <w:rFonts w:hint="eastAsia"/>
                <w:b w:val="0"/>
                <w:bCs/>
                <w:color w:val="auto"/>
                <w:sz w:val="24"/>
                <w:szCs w:val="24"/>
                <w:highlight w:val="none"/>
                <w:vertAlign w:val="baseline"/>
                <w:lang w:val="en-US" w:eastAsia="zh-CN"/>
              </w:rPr>
            </w:pPr>
          </w:p>
        </w:tc>
      </w:tr>
      <w:tr w14:paraId="1113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34" w:type="dxa"/>
            <w:vAlign w:val="center"/>
          </w:tcPr>
          <w:p w14:paraId="1A433B72">
            <w:pPr>
              <w:pStyle w:val="43"/>
              <w:jc w:val="center"/>
              <w:rPr>
                <w:rFonts w:hint="eastAsia"/>
                <w:b w:val="0"/>
                <w:bCs/>
                <w:color w:val="auto"/>
                <w:sz w:val="24"/>
                <w:szCs w:val="24"/>
                <w:highlight w:val="none"/>
                <w:vertAlign w:val="baseline"/>
                <w:lang w:val="en-US" w:eastAsia="zh-CN"/>
              </w:rPr>
            </w:pPr>
          </w:p>
        </w:tc>
        <w:tc>
          <w:tcPr>
            <w:tcW w:w="1234" w:type="dxa"/>
            <w:vAlign w:val="center"/>
          </w:tcPr>
          <w:p w14:paraId="3AEE8168">
            <w:pPr>
              <w:pStyle w:val="43"/>
              <w:jc w:val="center"/>
              <w:rPr>
                <w:rFonts w:hint="eastAsia"/>
                <w:b w:val="0"/>
                <w:bCs/>
                <w:color w:val="auto"/>
                <w:sz w:val="24"/>
                <w:szCs w:val="24"/>
                <w:highlight w:val="none"/>
                <w:vertAlign w:val="baseline"/>
                <w:lang w:val="en-US" w:eastAsia="zh-CN"/>
              </w:rPr>
            </w:pPr>
          </w:p>
        </w:tc>
        <w:tc>
          <w:tcPr>
            <w:tcW w:w="1235" w:type="dxa"/>
            <w:vAlign w:val="center"/>
          </w:tcPr>
          <w:p w14:paraId="1F04D94C">
            <w:pPr>
              <w:pStyle w:val="43"/>
              <w:jc w:val="center"/>
              <w:rPr>
                <w:rFonts w:hint="eastAsia"/>
                <w:b w:val="0"/>
                <w:bCs/>
                <w:color w:val="auto"/>
                <w:sz w:val="24"/>
                <w:szCs w:val="24"/>
                <w:highlight w:val="none"/>
                <w:vertAlign w:val="baseline"/>
                <w:lang w:val="en-US" w:eastAsia="zh-CN"/>
              </w:rPr>
            </w:pPr>
          </w:p>
        </w:tc>
        <w:tc>
          <w:tcPr>
            <w:tcW w:w="1235" w:type="dxa"/>
            <w:vAlign w:val="center"/>
          </w:tcPr>
          <w:p w14:paraId="5F672ED9">
            <w:pPr>
              <w:pStyle w:val="43"/>
              <w:jc w:val="center"/>
              <w:rPr>
                <w:rFonts w:hint="eastAsia"/>
                <w:b w:val="0"/>
                <w:bCs/>
                <w:color w:val="auto"/>
                <w:sz w:val="24"/>
                <w:szCs w:val="24"/>
                <w:highlight w:val="none"/>
                <w:vertAlign w:val="baseline"/>
                <w:lang w:val="en-US" w:eastAsia="zh-CN"/>
              </w:rPr>
            </w:pPr>
          </w:p>
        </w:tc>
        <w:tc>
          <w:tcPr>
            <w:tcW w:w="1235" w:type="dxa"/>
            <w:vAlign w:val="center"/>
          </w:tcPr>
          <w:p w14:paraId="2E5DFB87">
            <w:pPr>
              <w:pStyle w:val="43"/>
              <w:jc w:val="center"/>
              <w:rPr>
                <w:rFonts w:hint="eastAsia"/>
                <w:b w:val="0"/>
                <w:bCs/>
                <w:color w:val="auto"/>
                <w:sz w:val="24"/>
                <w:szCs w:val="24"/>
                <w:highlight w:val="none"/>
                <w:vertAlign w:val="baseline"/>
                <w:lang w:val="en-US" w:eastAsia="zh-CN"/>
              </w:rPr>
            </w:pPr>
          </w:p>
        </w:tc>
        <w:tc>
          <w:tcPr>
            <w:tcW w:w="1235" w:type="dxa"/>
            <w:vAlign w:val="center"/>
          </w:tcPr>
          <w:p w14:paraId="64B6C7B7">
            <w:pPr>
              <w:pStyle w:val="43"/>
              <w:jc w:val="center"/>
              <w:rPr>
                <w:rFonts w:hint="eastAsia"/>
                <w:b w:val="0"/>
                <w:bCs/>
                <w:color w:val="auto"/>
                <w:sz w:val="24"/>
                <w:szCs w:val="24"/>
                <w:highlight w:val="none"/>
                <w:vertAlign w:val="baseline"/>
                <w:lang w:val="en-US" w:eastAsia="zh-CN"/>
              </w:rPr>
            </w:pPr>
          </w:p>
        </w:tc>
        <w:tc>
          <w:tcPr>
            <w:tcW w:w="1236" w:type="dxa"/>
            <w:vAlign w:val="center"/>
          </w:tcPr>
          <w:p w14:paraId="1BE20EED">
            <w:pPr>
              <w:pStyle w:val="43"/>
              <w:jc w:val="center"/>
              <w:rPr>
                <w:rFonts w:hint="eastAsia"/>
                <w:b w:val="0"/>
                <w:bCs/>
                <w:color w:val="auto"/>
                <w:sz w:val="24"/>
                <w:szCs w:val="24"/>
                <w:highlight w:val="none"/>
                <w:vertAlign w:val="baseline"/>
                <w:lang w:val="en-US" w:eastAsia="zh-CN"/>
              </w:rPr>
            </w:pPr>
          </w:p>
        </w:tc>
        <w:tc>
          <w:tcPr>
            <w:tcW w:w="1235" w:type="dxa"/>
            <w:vAlign w:val="center"/>
          </w:tcPr>
          <w:p w14:paraId="5E2DBBAA">
            <w:pPr>
              <w:pStyle w:val="43"/>
              <w:jc w:val="center"/>
              <w:rPr>
                <w:rFonts w:hint="eastAsia"/>
                <w:b w:val="0"/>
                <w:bCs/>
                <w:color w:val="auto"/>
                <w:sz w:val="24"/>
                <w:szCs w:val="24"/>
                <w:highlight w:val="none"/>
                <w:vertAlign w:val="baseline"/>
                <w:lang w:val="en-US" w:eastAsia="zh-CN"/>
              </w:rPr>
            </w:pPr>
          </w:p>
        </w:tc>
      </w:tr>
      <w:tr w14:paraId="1E98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34" w:type="dxa"/>
            <w:vAlign w:val="center"/>
          </w:tcPr>
          <w:p w14:paraId="5EDC05C4">
            <w:pPr>
              <w:pStyle w:val="43"/>
              <w:jc w:val="center"/>
              <w:rPr>
                <w:rFonts w:hint="eastAsia"/>
                <w:b w:val="0"/>
                <w:bCs/>
                <w:color w:val="auto"/>
                <w:sz w:val="24"/>
                <w:szCs w:val="24"/>
                <w:highlight w:val="none"/>
                <w:vertAlign w:val="baseline"/>
                <w:lang w:val="en-US" w:eastAsia="zh-CN"/>
              </w:rPr>
            </w:pPr>
          </w:p>
        </w:tc>
        <w:tc>
          <w:tcPr>
            <w:tcW w:w="1234" w:type="dxa"/>
            <w:vAlign w:val="center"/>
          </w:tcPr>
          <w:p w14:paraId="3467C81B">
            <w:pPr>
              <w:pStyle w:val="43"/>
              <w:jc w:val="center"/>
              <w:rPr>
                <w:rFonts w:hint="eastAsia"/>
                <w:b w:val="0"/>
                <w:bCs/>
                <w:color w:val="auto"/>
                <w:sz w:val="24"/>
                <w:szCs w:val="24"/>
                <w:highlight w:val="none"/>
                <w:vertAlign w:val="baseline"/>
                <w:lang w:val="en-US" w:eastAsia="zh-CN"/>
              </w:rPr>
            </w:pPr>
          </w:p>
        </w:tc>
        <w:tc>
          <w:tcPr>
            <w:tcW w:w="1235" w:type="dxa"/>
            <w:vAlign w:val="center"/>
          </w:tcPr>
          <w:p w14:paraId="18FA01DA">
            <w:pPr>
              <w:pStyle w:val="43"/>
              <w:jc w:val="center"/>
              <w:rPr>
                <w:rFonts w:hint="eastAsia"/>
                <w:b w:val="0"/>
                <w:bCs/>
                <w:color w:val="auto"/>
                <w:sz w:val="24"/>
                <w:szCs w:val="24"/>
                <w:highlight w:val="none"/>
                <w:vertAlign w:val="baseline"/>
                <w:lang w:val="en-US" w:eastAsia="zh-CN"/>
              </w:rPr>
            </w:pPr>
          </w:p>
        </w:tc>
        <w:tc>
          <w:tcPr>
            <w:tcW w:w="1235" w:type="dxa"/>
            <w:vAlign w:val="center"/>
          </w:tcPr>
          <w:p w14:paraId="79DFF2C7">
            <w:pPr>
              <w:pStyle w:val="43"/>
              <w:jc w:val="center"/>
              <w:rPr>
                <w:rFonts w:hint="eastAsia"/>
                <w:b w:val="0"/>
                <w:bCs/>
                <w:color w:val="auto"/>
                <w:sz w:val="24"/>
                <w:szCs w:val="24"/>
                <w:highlight w:val="none"/>
                <w:vertAlign w:val="baseline"/>
                <w:lang w:val="en-US" w:eastAsia="zh-CN"/>
              </w:rPr>
            </w:pPr>
          </w:p>
        </w:tc>
        <w:tc>
          <w:tcPr>
            <w:tcW w:w="1235" w:type="dxa"/>
            <w:vAlign w:val="center"/>
          </w:tcPr>
          <w:p w14:paraId="3C14AE4B">
            <w:pPr>
              <w:pStyle w:val="43"/>
              <w:jc w:val="center"/>
              <w:rPr>
                <w:rFonts w:hint="eastAsia"/>
                <w:b w:val="0"/>
                <w:bCs/>
                <w:color w:val="auto"/>
                <w:sz w:val="24"/>
                <w:szCs w:val="24"/>
                <w:highlight w:val="none"/>
                <w:vertAlign w:val="baseline"/>
                <w:lang w:val="en-US" w:eastAsia="zh-CN"/>
              </w:rPr>
            </w:pPr>
          </w:p>
        </w:tc>
        <w:tc>
          <w:tcPr>
            <w:tcW w:w="1235" w:type="dxa"/>
            <w:vAlign w:val="center"/>
          </w:tcPr>
          <w:p w14:paraId="591B8BEA">
            <w:pPr>
              <w:pStyle w:val="43"/>
              <w:jc w:val="center"/>
              <w:rPr>
                <w:rFonts w:hint="eastAsia"/>
                <w:b w:val="0"/>
                <w:bCs/>
                <w:color w:val="auto"/>
                <w:sz w:val="24"/>
                <w:szCs w:val="24"/>
                <w:highlight w:val="none"/>
                <w:vertAlign w:val="baseline"/>
                <w:lang w:val="en-US" w:eastAsia="zh-CN"/>
              </w:rPr>
            </w:pPr>
          </w:p>
        </w:tc>
        <w:tc>
          <w:tcPr>
            <w:tcW w:w="1236" w:type="dxa"/>
            <w:vAlign w:val="center"/>
          </w:tcPr>
          <w:p w14:paraId="4E4696AE">
            <w:pPr>
              <w:pStyle w:val="43"/>
              <w:jc w:val="center"/>
              <w:rPr>
                <w:rFonts w:hint="eastAsia"/>
                <w:b w:val="0"/>
                <w:bCs/>
                <w:color w:val="auto"/>
                <w:sz w:val="24"/>
                <w:szCs w:val="24"/>
                <w:highlight w:val="none"/>
                <w:vertAlign w:val="baseline"/>
                <w:lang w:val="en-US" w:eastAsia="zh-CN"/>
              </w:rPr>
            </w:pPr>
          </w:p>
        </w:tc>
        <w:tc>
          <w:tcPr>
            <w:tcW w:w="1235" w:type="dxa"/>
            <w:vAlign w:val="center"/>
          </w:tcPr>
          <w:p w14:paraId="103352A4">
            <w:pPr>
              <w:pStyle w:val="43"/>
              <w:jc w:val="center"/>
              <w:rPr>
                <w:rFonts w:hint="eastAsia"/>
                <w:b w:val="0"/>
                <w:bCs/>
                <w:color w:val="auto"/>
                <w:sz w:val="24"/>
                <w:szCs w:val="24"/>
                <w:highlight w:val="none"/>
                <w:vertAlign w:val="baseline"/>
                <w:lang w:val="en-US" w:eastAsia="zh-CN"/>
              </w:rPr>
            </w:pPr>
          </w:p>
        </w:tc>
      </w:tr>
      <w:tr w14:paraId="2582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34" w:type="dxa"/>
            <w:vAlign w:val="center"/>
          </w:tcPr>
          <w:p w14:paraId="7CB6C926">
            <w:pPr>
              <w:pStyle w:val="43"/>
              <w:jc w:val="center"/>
              <w:rPr>
                <w:rFonts w:hint="eastAsia"/>
                <w:b w:val="0"/>
                <w:bCs/>
                <w:color w:val="auto"/>
                <w:sz w:val="24"/>
                <w:szCs w:val="24"/>
                <w:highlight w:val="none"/>
                <w:vertAlign w:val="baseline"/>
                <w:lang w:val="en-US" w:eastAsia="zh-CN"/>
              </w:rPr>
            </w:pPr>
          </w:p>
        </w:tc>
        <w:tc>
          <w:tcPr>
            <w:tcW w:w="1234" w:type="dxa"/>
            <w:vAlign w:val="center"/>
          </w:tcPr>
          <w:p w14:paraId="2671C094">
            <w:pPr>
              <w:pStyle w:val="43"/>
              <w:jc w:val="center"/>
              <w:rPr>
                <w:rFonts w:hint="eastAsia"/>
                <w:b w:val="0"/>
                <w:bCs/>
                <w:color w:val="auto"/>
                <w:sz w:val="24"/>
                <w:szCs w:val="24"/>
                <w:highlight w:val="none"/>
                <w:vertAlign w:val="baseline"/>
                <w:lang w:val="en-US" w:eastAsia="zh-CN"/>
              </w:rPr>
            </w:pPr>
          </w:p>
        </w:tc>
        <w:tc>
          <w:tcPr>
            <w:tcW w:w="1235" w:type="dxa"/>
            <w:vAlign w:val="center"/>
          </w:tcPr>
          <w:p w14:paraId="11C5DCB2">
            <w:pPr>
              <w:pStyle w:val="43"/>
              <w:jc w:val="center"/>
              <w:rPr>
                <w:rFonts w:hint="eastAsia"/>
                <w:b w:val="0"/>
                <w:bCs/>
                <w:color w:val="auto"/>
                <w:sz w:val="24"/>
                <w:szCs w:val="24"/>
                <w:highlight w:val="none"/>
                <w:vertAlign w:val="baseline"/>
                <w:lang w:val="en-US" w:eastAsia="zh-CN"/>
              </w:rPr>
            </w:pPr>
          </w:p>
        </w:tc>
        <w:tc>
          <w:tcPr>
            <w:tcW w:w="1235" w:type="dxa"/>
            <w:vAlign w:val="center"/>
          </w:tcPr>
          <w:p w14:paraId="55E47FA9">
            <w:pPr>
              <w:pStyle w:val="43"/>
              <w:jc w:val="center"/>
              <w:rPr>
                <w:rFonts w:hint="eastAsia"/>
                <w:b w:val="0"/>
                <w:bCs/>
                <w:color w:val="auto"/>
                <w:sz w:val="24"/>
                <w:szCs w:val="24"/>
                <w:highlight w:val="none"/>
                <w:vertAlign w:val="baseline"/>
                <w:lang w:val="en-US" w:eastAsia="zh-CN"/>
              </w:rPr>
            </w:pPr>
          </w:p>
        </w:tc>
        <w:tc>
          <w:tcPr>
            <w:tcW w:w="1235" w:type="dxa"/>
            <w:vAlign w:val="center"/>
          </w:tcPr>
          <w:p w14:paraId="56CD5CE4">
            <w:pPr>
              <w:pStyle w:val="43"/>
              <w:jc w:val="center"/>
              <w:rPr>
                <w:rFonts w:hint="eastAsia"/>
                <w:b w:val="0"/>
                <w:bCs/>
                <w:color w:val="auto"/>
                <w:sz w:val="24"/>
                <w:szCs w:val="24"/>
                <w:highlight w:val="none"/>
                <w:vertAlign w:val="baseline"/>
                <w:lang w:val="en-US" w:eastAsia="zh-CN"/>
              </w:rPr>
            </w:pPr>
          </w:p>
        </w:tc>
        <w:tc>
          <w:tcPr>
            <w:tcW w:w="1235" w:type="dxa"/>
            <w:vAlign w:val="center"/>
          </w:tcPr>
          <w:p w14:paraId="58AAE0E9">
            <w:pPr>
              <w:pStyle w:val="43"/>
              <w:jc w:val="center"/>
              <w:rPr>
                <w:rFonts w:hint="eastAsia"/>
                <w:b w:val="0"/>
                <w:bCs/>
                <w:color w:val="auto"/>
                <w:sz w:val="24"/>
                <w:szCs w:val="24"/>
                <w:highlight w:val="none"/>
                <w:vertAlign w:val="baseline"/>
                <w:lang w:val="en-US" w:eastAsia="zh-CN"/>
              </w:rPr>
            </w:pPr>
          </w:p>
        </w:tc>
        <w:tc>
          <w:tcPr>
            <w:tcW w:w="1236" w:type="dxa"/>
            <w:vAlign w:val="center"/>
          </w:tcPr>
          <w:p w14:paraId="2EE0C7F2">
            <w:pPr>
              <w:pStyle w:val="43"/>
              <w:jc w:val="center"/>
              <w:rPr>
                <w:rFonts w:hint="eastAsia"/>
                <w:b w:val="0"/>
                <w:bCs/>
                <w:color w:val="auto"/>
                <w:sz w:val="24"/>
                <w:szCs w:val="24"/>
                <w:highlight w:val="none"/>
                <w:vertAlign w:val="baseline"/>
                <w:lang w:val="en-US" w:eastAsia="zh-CN"/>
              </w:rPr>
            </w:pPr>
          </w:p>
        </w:tc>
        <w:tc>
          <w:tcPr>
            <w:tcW w:w="1235" w:type="dxa"/>
            <w:vAlign w:val="center"/>
          </w:tcPr>
          <w:p w14:paraId="71D279F4">
            <w:pPr>
              <w:pStyle w:val="43"/>
              <w:jc w:val="center"/>
              <w:rPr>
                <w:rFonts w:hint="eastAsia"/>
                <w:b w:val="0"/>
                <w:bCs/>
                <w:color w:val="auto"/>
                <w:sz w:val="24"/>
                <w:szCs w:val="24"/>
                <w:highlight w:val="none"/>
                <w:vertAlign w:val="baseline"/>
                <w:lang w:val="en-US" w:eastAsia="zh-CN"/>
              </w:rPr>
            </w:pPr>
          </w:p>
        </w:tc>
      </w:tr>
    </w:tbl>
    <w:p w14:paraId="0D27779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lang w:val="en-US" w:eastAsia="zh-CN"/>
        </w:rPr>
      </w:pPr>
    </w:p>
    <w:p w14:paraId="48C83819">
      <w:pPr>
        <w:pStyle w:val="43"/>
        <w:rPr>
          <w:rFonts w:hint="eastAsia"/>
          <w:b w:val="0"/>
          <w:bCs/>
          <w:color w:val="auto"/>
          <w:highlight w:val="none"/>
          <w:lang w:val="en-US" w:eastAsia="zh-CN"/>
        </w:rPr>
      </w:pPr>
      <w:r>
        <w:rPr>
          <w:rFonts w:hint="eastAsia"/>
          <w:b w:val="0"/>
          <w:bCs/>
          <w:color w:val="auto"/>
          <w:highlight w:val="none"/>
          <w:lang w:val="en-US" w:eastAsia="zh-CN"/>
        </w:rPr>
        <w:t>说明：要求项目负责人注册证、资格证、安全生产考核证合格证，技术负责人职称证，施工员上岗证，质量检查员上岗证，安全员上岗证、安全考核合格证，注册造价师证（均不少于1人），并且要求持证上岗的专业技术人员需提供资格证书清晰扫描件。</w:t>
      </w:r>
    </w:p>
    <w:p w14:paraId="402B5D02">
      <w:pPr>
        <w:rPr>
          <w:rFonts w:hint="eastAsia"/>
          <w:b/>
          <w:color w:val="auto"/>
          <w:sz w:val="30"/>
          <w:szCs w:val="30"/>
          <w:highlight w:val="none"/>
        </w:rPr>
      </w:pPr>
      <w:bookmarkStart w:id="1544" w:name="_Toc12477"/>
      <w:r>
        <w:rPr>
          <w:rFonts w:hint="eastAsia"/>
          <w:b/>
          <w:color w:val="auto"/>
          <w:sz w:val="30"/>
          <w:szCs w:val="30"/>
          <w:highlight w:val="none"/>
        </w:rPr>
        <w:br w:type="page"/>
      </w:r>
    </w:p>
    <w:p w14:paraId="28419E4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lang w:val="en-US" w:eastAsia="zh-CN"/>
        </w:rPr>
      </w:pPr>
      <w:r>
        <w:rPr>
          <w:rFonts w:hint="eastAsia" w:cs="宋体"/>
          <w:b/>
          <w:color w:val="auto"/>
          <w:sz w:val="28"/>
          <w:szCs w:val="28"/>
          <w:highlight w:val="none"/>
          <w:lang w:val="en-US" w:eastAsia="zh-CN"/>
        </w:rPr>
        <w:t>七</w:t>
      </w:r>
      <w:r>
        <w:rPr>
          <w:rFonts w:hint="eastAsia" w:ascii="宋体" w:hAnsi="宋体" w:eastAsia="宋体" w:cs="宋体"/>
          <w:b/>
          <w:color w:val="auto"/>
          <w:sz w:val="28"/>
          <w:szCs w:val="28"/>
          <w:highlight w:val="none"/>
          <w:lang w:val="en-US" w:eastAsia="zh-CN"/>
        </w:rPr>
        <w:t>、近年完成的类似项目情况表</w:t>
      </w:r>
      <w:bookmarkEnd w:id="1544"/>
    </w:p>
    <w:tbl>
      <w:tblPr>
        <w:tblStyle w:val="34"/>
        <w:tblW w:w="969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385"/>
        <w:gridCol w:w="1385"/>
        <w:gridCol w:w="1385"/>
        <w:gridCol w:w="1385"/>
        <w:gridCol w:w="1385"/>
        <w:gridCol w:w="1385"/>
      </w:tblGrid>
      <w:tr w14:paraId="1D36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2D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C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B7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s="宋体"/>
                <w:i w:val="0"/>
                <w:iCs w:val="0"/>
                <w:color w:val="auto"/>
                <w:kern w:val="0"/>
                <w:sz w:val="24"/>
                <w:szCs w:val="24"/>
                <w:highlight w:val="none"/>
                <w:u w:val="none"/>
                <w:lang w:val="en-US" w:eastAsia="zh-CN" w:bidi="ar"/>
              </w:rPr>
              <w:t>项目</w:t>
            </w:r>
            <w:r>
              <w:rPr>
                <w:rFonts w:hint="eastAsia" w:ascii="宋体" w:hAnsi="宋体" w:eastAsia="宋体" w:cs="宋体"/>
                <w:i w:val="0"/>
                <w:iCs w:val="0"/>
                <w:color w:val="auto"/>
                <w:kern w:val="0"/>
                <w:sz w:val="24"/>
                <w:szCs w:val="24"/>
                <w:highlight w:val="none"/>
                <w:u w:val="none"/>
                <w:lang w:val="en-US" w:eastAsia="zh-CN" w:bidi="ar"/>
              </w:rPr>
              <w:t>单位</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7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服务内容</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486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合同金额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F6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验收时间</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E6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3A55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B4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72F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89D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5B8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71E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13F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29D1">
            <w:pPr>
              <w:jc w:val="center"/>
              <w:rPr>
                <w:rFonts w:hint="eastAsia" w:ascii="宋体" w:hAnsi="宋体" w:eastAsia="宋体" w:cs="宋体"/>
                <w:i w:val="0"/>
                <w:iCs w:val="0"/>
                <w:color w:val="auto"/>
                <w:sz w:val="24"/>
                <w:szCs w:val="24"/>
                <w:highlight w:val="none"/>
                <w:u w:val="none"/>
              </w:rPr>
            </w:pPr>
          </w:p>
        </w:tc>
      </w:tr>
      <w:tr w14:paraId="2C2B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50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407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E7F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E96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98E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4A5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AD8C">
            <w:pPr>
              <w:jc w:val="center"/>
              <w:rPr>
                <w:rFonts w:hint="eastAsia" w:ascii="宋体" w:hAnsi="宋体" w:eastAsia="宋体" w:cs="宋体"/>
                <w:i w:val="0"/>
                <w:iCs w:val="0"/>
                <w:color w:val="auto"/>
                <w:sz w:val="24"/>
                <w:szCs w:val="24"/>
                <w:highlight w:val="none"/>
                <w:u w:val="none"/>
              </w:rPr>
            </w:pPr>
          </w:p>
        </w:tc>
      </w:tr>
      <w:tr w14:paraId="651C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6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127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3B4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61D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BF75">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E56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D0BC">
            <w:pPr>
              <w:jc w:val="center"/>
              <w:rPr>
                <w:rFonts w:hint="eastAsia" w:ascii="宋体" w:hAnsi="宋体" w:eastAsia="宋体" w:cs="宋体"/>
                <w:i w:val="0"/>
                <w:iCs w:val="0"/>
                <w:color w:val="auto"/>
                <w:sz w:val="24"/>
                <w:szCs w:val="24"/>
                <w:highlight w:val="none"/>
                <w:u w:val="none"/>
              </w:rPr>
            </w:pPr>
          </w:p>
        </w:tc>
      </w:tr>
      <w:tr w14:paraId="68D5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09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03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87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5A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E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7C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E9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bl>
    <w:p w14:paraId="3625D6F5">
      <w:pPr>
        <w:spacing w:line="440" w:lineRule="exact"/>
        <w:rPr>
          <w:rFonts w:hint="eastAsia"/>
          <w:b/>
          <w:color w:val="auto"/>
          <w:highlight w:val="none"/>
        </w:rPr>
      </w:pPr>
    </w:p>
    <w:p w14:paraId="78662A03">
      <w:pPr>
        <w:spacing w:line="440" w:lineRule="exact"/>
        <w:rPr>
          <w:rFonts w:hint="eastAsia"/>
          <w:b/>
          <w:color w:val="auto"/>
          <w:highlight w:val="none"/>
        </w:rPr>
      </w:pPr>
      <w:r>
        <w:rPr>
          <w:rFonts w:hint="eastAsia"/>
          <w:b/>
          <w:color w:val="auto"/>
          <w:highlight w:val="none"/>
        </w:rPr>
        <w:t>须附</w:t>
      </w:r>
      <w:r>
        <w:rPr>
          <w:rFonts w:hint="eastAsia"/>
          <w:b/>
          <w:color w:val="auto"/>
          <w:highlight w:val="none"/>
          <w:lang w:eastAsia="zh-CN"/>
        </w:rPr>
        <w:t>成交</w:t>
      </w:r>
      <w:r>
        <w:rPr>
          <w:rFonts w:hint="eastAsia"/>
          <w:b/>
          <w:color w:val="auto"/>
          <w:highlight w:val="none"/>
        </w:rPr>
        <w:t>（成交）通知书或合同复印件关键页并加盖供应商公章。</w:t>
      </w:r>
    </w:p>
    <w:p w14:paraId="0266BF56">
      <w:pPr>
        <w:spacing w:line="440" w:lineRule="exact"/>
        <w:rPr>
          <w:rFonts w:hint="eastAsia"/>
          <w:b/>
          <w:color w:val="auto"/>
          <w:highlight w:val="none"/>
        </w:rPr>
      </w:pPr>
      <w:r>
        <w:rPr>
          <w:rFonts w:hint="eastAsia"/>
          <w:b/>
          <w:color w:val="auto"/>
          <w:highlight w:val="none"/>
        </w:rPr>
        <w:t>供应商名称</w:t>
      </w:r>
      <w:r>
        <w:rPr>
          <w:rFonts w:hint="eastAsia"/>
          <w:b/>
          <w:color w:val="auto"/>
          <w:highlight w:val="none"/>
          <w:lang w:eastAsia="zh-CN"/>
        </w:rPr>
        <w:t>：</w:t>
      </w:r>
      <w:r>
        <w:rPr>
          <w:rFonts w:hint="eastAsia"/>
          <w:b/>
          <w:color w:val="auto"/>
          <w:highlight w:val="none"/>
        </w:rPr>
        <w:t>（盖章）</w:t>
      </w:r>
    </w:p>
    <w:p w14:paraId="3AC6FEAA">
      <w:pPr>
        <w:spacing w:line="440" w:lineRule="exact"/>
        <w:rPr>
          <w:rFonts w:hint="eastAsia"/>
          <w:b/>
          <w:color w:val="auto"/>
          <w:highlight w:val="none"/>
        </w:rPr>
      </w:pPr>
      <w:r>
        <w:rPr>
          <w:rFonts w:hint="eastAsia"/>
          <w:b/>
          <w:color w:val="auto"/>
          <w:highlight w:val="none"/>
        </w:rPr>
        <w:t>法定代表人或其委托代理人：（签字或盖章）</w:t>
      </w:r>
    </w:p>
    <w:p w14:paraId="7F2490FB">
      <w:pPr>
        <w:spacing w:line="440" w:lineRule="exact"/>
        <w:rPr>
          <w:rFonts w:hint="eastAsia"/>
          <w:b/>
          <w:color w:val="auto"/>
          <w:highlight w:val="none"/>
        </w:rPr>
      </w:pPr>
      <w:r>
        <w:rPr>
          <w:rFonts w:hint="eastAsia"/>
          <w:b/>
          <w:color w:val="auto"/>
          <w:highlight w:val="none"/>
        </w:rPr>
        <w:t>日期：    年   月  日</w:t>
      </w:r>
    </w:p>
    <w:p w14:paraId="09B2D1BC">
      <w:pPr>
        <w:spacing w:line="440" w:lineRule="exact"/>
        <w:rPr>
          <w:rFonts w:hint="eastAsia"/>
          <w:b/>
          <w:color w:val="auto"/>
          <w:highlight w:val="none"/>
        </w:rPr>
      </w:pPr>
      <w:r>
        <w:rPr>
          <w:rFonts w:hint="eastAsia"/>
          <w:color w:val="auto"/>
          <w:highlight w:val="none"/>
        </w:rPr>
        <w:br w:type="page"/>
      </w:r>
    </w:p>
    <w:p w14:paraId="54803AA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cs="宋体"/>
          <w:b/>
          <w:color w:val="auto"/>
          <w:sz w:val="28"/>
          <w:szCs w:val="28"/>
          <w:highlight w:val="none"/>
          <w:lang w:val="en-US" w:eastAsia="zh-CN"/>
        </w:rPr>
      </w:pPr>
      <w:r>
        <w:rPr>
          <w:rFonts w:hint="eastAsia" w:cs="宋体"/>
          <w:b/>
          <w:color w:val="auto"/>
          <w:sz w:val="28"/>
          <w:szCs w:val="28"/>
          <w:highlight w:val="none"/>
          <w:lang w:val="en-US" w:eastAsia="zh-CN" w:bidi="ar-SA"/>
        </w:rPr>
        <w:t>八</w:t>
      </w:r>
      <w:r>
        <w:rPr>
          <w:rFonts w:hint="eastAsia" w:ascii="宋体" w:hAnsi="宋体" w:eastAsia="宋体" w:cs="宋体"/>
          <w:b/>
          <w:color w:val="auto"/>
          <w:sz w:val="28"/>
          <w:szCs w:val="28"/>
          <w:highlight w:val="none"/>
          <w:lang w:val="en-US" w:eastAsia="zh-CN" w:bidi="ar-SA"/>
        </w:rPr>
        <w:t>、</w:t>
      </w:r>
      <w:r>
        <w:rPr>
          <w:rFonts w:hint="eastAsia" w:cs="宋体"/>
          <w:b/>
          <w:color w:val="auto"/>
          <w:sz w:val="28"/>
          <w:szCs w:val="28"/>
          <w:highlight w:val="none"/>
          <w:lang w:val="en-US" w:eastAsia="zh-CN"/>
        </w:rPr>
        <w:t>施工组织设计</w:t>
      </w:r>
    </w:p>
    <w:p w14:paraId="317C3E6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请供应商根据评审标准自行编制内容</w:t>
      </w:r>
    </w:p>
    <w:p w14:paraId="1D8668BC">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default" w:cs="宋体"/>
          <w:b w:val="0"/>
          <w:bCs/>
          <w:color w:val="auto"/>
          <w:sz w:val="22"/>
          <w:szCs w:val="22"/>
          <w:highlight w:val="none"/>
          <w:lang w:val="en-US" w:eastAsia="zh-CN"/>
        </w:rPr>
      </w:pPr>
      <w:r>
        <w:rPr>
          <w:rFonts w:hint="eastAsia" w:cs="宋体"/>
          <w:b w:val="0"/>
          <w:bCs/>
          <w:color w:val="auto"/>
          <w:sz w:val="22"/>
          <w:szCs w:val="22"/>
          <w:highlight w:val="none"/>
          <w:lang w:val="en-US" w:eastAsia="zh-CN"/>
        </w:rPr>
        <w:t>1.</w:t>
      </w:r>
      <w:r>
        <w:rPr>
          <w:rFonts w:hint="default" w:cs="宋体"/>
          <w:b w:val="0"/>
          <w:bCs/>
          <w:color w:val="auto"/>
          <w:sz w:val="22"/>
          <w:szCs w:val="22"/>
          <w:highlight w:val="none"/>
          <w:lang w:val="en-US" w:eastAsia="zh-CN"/>
        </w:rPr>
        <w:t>施工技术方案；</w:t>
      </w:r>
    </w:p>
    <w:p w14:paraId="4EBB0FBD">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default" w:cs="宋体"/>
          <w:b w:val="0"/>
          <w:bCs/>
          <w:color w:val="auto"/>
          <w:sz w:val="22"/>
          <w:szCs w:val="22"/>
          <w:highlight w:val="none"/>
          <w:lang w:val="en-US" w:eastAsia="zh-CN"/>
        </w:rPr>
      </w:pPr>
      <w:r>
        <w:rPr>
          <w:rFonts w:hint="eastAsia" w:cs="宋体"/>
          <w:b w:val="0"/>
          <w:bCs/>
          <w:color w:val="auto"/>
          <w:sz w:val="22"/>
          <w:szCs w:val="22"/>
          <w:highlight w:val="none"/>
          <w:lang w:val="en-US" w:eastAsia="zh-CN"/>
        </w:rPr>
        <w:t>2.</w:t>
      </w:r>
      <w:r>
        <w:rPr>
          <w:rFonts w:hint="default" w:cs="宋体"/>
          <w:b w:val="0"/>
          <w:bCs/>
          <w:color w:val="auto"/>
          <w:sz w:val="22"/>
          <w:szCs w:val="22"/>
          <w:highlight w:val="none"/>
          <w:lang w:val="en-US" w:eastAsia="zh-CN"/>
        </w:rPr>
        <w:t>管理人员投入情况；</w:t>
      </w:r>
    </w:p>
    <w:p w14:paraId="61BEED8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default" w:cs="宋体"/>
          <w:b w:val="0"/>
          <w:bCs/>
          <w:color w:val="auto"/>
          <w:sz w:val="22"/>
          <w:szCs w:val="22"/>
          <w:highlight w:val="none"/>
          <w:lang w:val="en-US" w:eastAsia="zh-CN"/>
        </w:rPr>
      </w:pPr>
      <w:r>
        <w:rPr>
          <w:rFonts w:hint="eastAsia" w:cs="宋体"/>
          <w:b w:val="0"/>
          <w:bCs/>
          <w:color w:val="auto"/>
          <w:sz w:val="22"/>
          <w:szCs w:val="22"/>
          <w:highlight w:val="none"/>
          <w:lang w:val="en-US" w:eastAsia="zh-CN"/>
        </w:rPr>
        <w:t>3.</w:t>
      </w:r>
      <w:r>
        <w:rPr>
          <w:rFonts w:hint="default" w:cs="宋体"/>
          <w:b w:val="0"/>
          <w:bCs/>
          <w:color w:val="auto"/>
          <w:sz w:val="22"/>
          <w:szCs w:val="22"/>
          <w:highlight w:val="none"/>
          <w:lang w:val="en-US" w:eastAsia="zh-CN"/>
        </w:rPr>
        <w:t>施工进度计划与措施；</w:t>
      </w:r>
    </w:p>
    <w:p w14:paraId="46AC215D">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default" w:cs="宋体"/>
          <w:b w:val="0"/>
          <w:bCs/>
          <w:color w:val="auto"/>
          <w:sz w:val="22"/>
          <w:szCs w:val="22"/>
          <w:highlight w:val="none"/>
          <w:lang w:val="en-US" w:eastAsia="zh-CN"/>
        </w:rPr>
      </w:pPr>
      <w:r>
        <w:rPr>
          <w:rFonts w:hint="eastAsia" w:cs="宋体"/>
          <w:b w:val="0"/>
          <w:bCs/>
          <w:color w:val="auto"/>
          <w:sz w:val="22"/>
          <w:szCs w:val="22"/>
          <w:highlight w:val="none"/>
          <w:lang w:val="en-US" w:eastAsia="zh-CN"/>
        </w:rPr>
        <w:t>4.</w:t>
      </w:r>
      <w:r>
        <w:rPr>
          <w:rFonts w:hint="default" w:cs="宋体"/>
          <w:b w:val="0"/>
          <w:bCs/>
          <w:color w:val="auto"/>
          <w:sz w:val="22"/>
          <w:szCs w:val="22"/>
          <w:highlight w:val="none"/>
          <w:lang w:val="en-US" w:eastAsia="zh-CN"/>
        </w:rPr>
        <w:t>安全生产保证措施；</w:t>
      </w:r>
    </w:p>
    <w:p w14:paraId="3E9392B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default" w:cs="宋体"/>
          <w:b w:val="0"/>
          <w:bCs/>
          <w:color w:val="auto"/>
          <w:sz w:val="22"/>
          <w:szCs w:val="22"/>
          <w:highlight w:val="none"/>
          <w:lang w:val="en-US" w:eastAsia="zh-CN"/>
        </w:rPr>
      </w:pPr>
      <w:r>
        <w:rPr>
          <w:rFonts w:hint="eastAsia" w:cs="宋体"/>
          <w:b w:val="0"/>
          <w:bCs/>
          <w:color w:val="auto"/>
          <w:sz w:val="22"/>
          <w:szCs w:val="22"/>
          <w:highlight w:val="none"/>
          <w:lang w:val="en-US" w:eastAsia="zh-CN"/>
        </w:rPr>
        <w:t>5.</w:t>
      </w:r>
      <w:r>
        <w:rPr>
          <w:rFonts w:hint="default" w:cs="宋体"/>
          <w:b w:val="0"/>
          <w:bCs/>
          <w:color w:val="auto"/>
          <w:sz w:val="22"/>
          <w:szCs w:val="22"/>
          <w:highlight w:val="none"/>
          <w:lang w:val="en-US" w:eastAsia="zh-CN"/>
        </w:rPr>
        <w:t>工程质量目标及质量保证措施；</w:t>
      </w:r>
    </w:p>
    <w:p w14:paraId="68BEB08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default" w:cs="宋体"/>
          <w:b w:val="0"/>
          <w:bCs/>
          <w:color w:val="auto"/>
          <w:sz w:val="22"/>
          <w:szCs w:val="22"/>
          <w:highlight w:val="none"/>
          <w:lang w:val="en-US" w:eastAsia="zh-CN"/>
        </w:rPr>
      </w:pPr>
      <w:r>
        <w:rPr>
          <w:rFonts w:hint="eastAsia" w:cs="宋体"/>
          <w:b w:val="0"/>
          <w:bCs/>
          <w:color w:val="auto"/>
          <w:sz w:val="22"/>
          <w:szCs w:val="22"/>
          <w:highlight w:val="none"/>
          <w:lang w:val="en-US" w:eastAsia="zh-CN"/>
        </w:rPr>
        <w:t>6.</w:t>
      </w:r>
      <w:r>
        <w:rPr>
          <w:rFonts w:hint="default" w:cs="宋体"/>
          <w:b w:val="0"/>
          <w:bCs/>
          <w:color w:val="auto"/>
          <w:sz w:val="22"/>
          <w:szCs w:val="22"/>
          <w:highlight w:val="none"/>
          <w:lang w:val="en-US" w:eastAsia="zh-CN"/>
        </w:rPr>
        <w:t>安全文明施工保证措施；</w:t>
      </w:r>
    </w:p>
    <w:p w14:paraId="77CA134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default" w:cs="宋体"/>
          <w:b w:val="0"/>
          <w:bCs/>
          <w:color w:val="auto"/>
          <w:sz w:val="22"/>
          <w:szCs w:val="22"/>
          <w:highlight w:val="none"/>
          <w:lang w:val="en-US" w:eastAsia="zh-CN"/>
        </w:rPr>
      </w:pPr>
      <w:r>
        <w:rPr>
          <w:rFonts w:hint="eastAsia" w:cs="宋体"/>
          <w:b w:val="0"/>
          <w:bCs/>
          <w:color w:val="auto"/>
          <w:sz w:val="22"/>
          <w:szCs w:val="22"/>
          <w:highlight w:val="none"/>
          <w:lang w:val="en-US" w:eastAsia="zh-CN"/>
        </w:rPr>
        <w:t>7.</w:t>
      </w:r>
      <w:r>
        <w:rPr>
          <w:rFonts w:hint="default" w:cs="宋体"/>
          <w:b w:val="0"/>
          <w:bCs/>
          <w:color w:val="auto"/>
          <w:sz w:val="22"/>
          <w:szCs w:val="22"/>
          <w:highlight w:val="none"/>
          <w:lang w:val="en-US" w:eastAsia="zh-CN"/>
        </w:rPr>
        <w:t>技术难点及相应解决方案</w:t>
      </w:r>
    </w:p>
    <w:p w14:paraId="030FEE0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rPr>
          <w:rFonts w:hint="default" w:cs="宋体"/>
          <w:b w:val="0"/>
          <w:bCs/>
          <w:color w:val="auto"/>
          <w:sz w:val="22"/>
          <w:szCs w:val="22"/>
          <w:highlight w:val="none"/>
          <w:lang w:val="en-US" w:eastAsia="zh-CN"/>
        </w:rPr>
      </w:pPr>
      <w:r>
        <w:rPr>
          <w:rFonts w:hint="eastAsia" w:cs="宋体"/>
          <w:b w:val="0"/>
          <w:bCs/>
          <w:color w:val="auto"/>
          <w:sz w:val="22"/>
          <w:szCs w:val="22"/>
          <w:highlight w:val="none"/>
          <w:lang w:val="en-US" w:eastAsia="zh-CN"/>
        </w:rPr>
        <w:t>8.</w:t>
      </w:r>
      <w:r>
        <w:rPr>
          <w:rFonts w:hint="default" w:cs="宋体"/>
          <w:b w:val="0"/>
          <w:bCs/>
          <w:color w:val="auto"/>
          <w:sz w:val="22"/>
          <w:szCs w:val="22"/>
          <w:highlight w:val="none"/>
          <w:lang w:val="en-US" w:eastAsia="zh-CN"/>
        </w:rPr>
        <w:t>有必要说明的其他内容。</w:t>
      </w:r>
    </w:p>
    <w:p w14:paraId="3472F6CF">
      <w:pPr>
        <w:rPr>
          <w:rFonts w:hint="eastAsia" w:cs="宋体"/>
          <w:b/>
          <w:color w:val="auto"/>
          <w:sz w:val="28"/>
          <w:szCs w:val="28"/>
          <w:highlight w:val="none"/>
          <w:lang w:val="en-US" w:eastAsia="zh-CN"/>
        </w:rPr>
      </w:pPr>
      <w:r>
        <w:rPr>
          <w:rFonts w:hint="eastAsia" w:cs="宋体"/>
          <w:b/>
          <w:color w:val="auto"/>
          <w:sz w:val="28"/>
          <w:szCs w:val="28"/>
          <w:highlight w:val="none"/>
          <w:lang w:val="en-US" w:eastAsia="zh-CN"/>
        </w:rPr>
        <w:br w:type="page"/>
      </w:r>
    </w:p>
    <w:p w14:paraId="6FF02FE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b/>
          <w:color w:val="auto"/>
          <w:sz w:val="28"/>
          <w:szCs w:val="28"/>
          <w:highlight w:val="none"/>
          <w:lang w:val="en-US" w:eastAsia="zh-CN"/>
        </w:rPr>
      </w:pPr>
      <w:r>
        <w:rPr>
          <w:rFonts w:hint="eastAsia" w:cs="宋体"/>
          <w:b/>
          <w:color w:val="auto"/>
          <w:sz w:val="28"/>
          <w:szCs w:val="28"/>
          <w:highlight w:val="none"/>
          <w:lang w:val="en-US" w:eastAsia="zh-CN"/>
        </w:rPr>
        <w:t>九</w:t>
      </w:r>
      <w:r>
        <w:rPr>
          <w:rFonts w:hint="eastAsia" w:ascii="宋体" w:hAnsi="宋体" w:eastAsia="宋体" w:cs="宋体"/>
          <w:b/>
          <w:color w:val="auto"/>
          <w:sz w:val="28"/>
          <w:szCs w:val="28"/>
          <w:highlight w:val="none"/>
          <w:lang w:val="en-US" w:eastAsia="zh-CN"/>
        </w:rPr>
        <w:t>、售后服务</w:t>
      </w:r>
      <w:r>
        <w:rPr>
          <w:rFonts w:hint="eastAsia" w:cs="宋体"/>
          <w:b/>
          <w:color w:val="auto"/>
          <w:sz w:val="28"/>
          <w:szCs w:val="28"/>
          <w:highlight w:val="none"/>
          <w:lang w:val="en-US" w:eastAsia="zh-CN"/>
        </w:rPr>
        <w:t>方案</w:t>
      </w:r>
    </w:p>
    <w:p w14:paraId="28EFE7D8">
      <w:pPr>
        <w:pStyle w:val="43"/>
        <w:jc w:val="center"/>
        <w:rPr>
          <w:rFonts w:hint="default"/>
          <w:b/>
          <w:bCs/>
          <w:color w:val="auto"/>
          <w:highlight w:val="none"/>
          <w:lang w:val="en-US" w:eastAsia="zh-CN"/>
        </w:rPr>
      </w:pPr>
      <w:r>
        <w:rPr>
          <w:rFonts w:hint="eastAsia"/>
          <w:b/>
          <w:bCs/>
          <w:color w:val="auto"/>
          <w:highlight w:val="none"/>
          <w:lang w:val="en-US" w:eastAsia="zh-CN"/>
        </w:rPr>
        <w:t>请供应商根据评审标准自行编制内容。</w:t>
      </w:r>
    </w:p>
    <w:p w14:paraId="7E3DEC7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8"/>
          <w:szCs w:val="28"/>
          <w:highlight w:val="none"/>
          <w:lang w:val="en-US" w:eastAsia="zh-CN"/>
        </w:rPr>
      </w:pPr>
    </w:p>
    <w:p w14:paraId="37E677B5">
      <w:pPr>
        <w:pStyle w:val="43"/>
        <w:numPr>
          <w:ilvl w:val="0"/>
          <w:numId w:val="0"/>
        </w:numPr>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kern w:val="2"/>
          <w:sz w:val="28"/>
          <w:szCs w:val="28"/>
          <w:highlight w:val="none"/>
          <w:lang w:val="en-US" w:eastAsia="zh-CN" w:bidi="ar-SA"/>
        </w:rPr>
        <w:t>十、</w:t>
      </w:r>
      <w:r>
        <w:rPr>
          <w:rFonts w:hint="eastAsia" w:ascii="宋体" w:hAnsi="宋体" w:eastAsia="宋体" w:cs="宋体"/>
          <w:b/>
          <w:color w:val="auto"/>
          <w:sz w:val="28"/>
          <w:szCs w:val="28"/>
          <w:highlight w:val="none"/>
          <w:lang w:val="en-US" w:eastAsia="zh-CN"/>
        </w:rPr>
        <w:t>供应商认为需要提供的</w:t>
      </w:r>
      <w:r>
        <w:rPr>
          <w:rFonts w:hint="eastAsia" w:ascii="宋体" w:hAnsi="宋体" w:cs="宋体"/>
          <w:b/>
          <w:color w:val="auto"/>
          <w:sz w:val="28"/>
          <w:szCs w:val="28"/>
          <w:highlight w:val="none"/>
          <w:lang w:val="en-US" w:eastAsia="zh-CN"/>
        </w:rPr>
        <w:t>其他</w:t>
      </w:r>
      <w:r>
        <w:rPr>
          <w:rFonts w:hint="eastAsia" w:ascii="宋体" w:hAnsi="宋体" w:eastAsia="宋体" w:cs="宋体"/>
          <w:b/>
          <w:color w:val="auto"/>
          <w:sz w:val="28"/>
          <w:szCs w:val="28"/>
          <w:highlight w:val="none"/>
          <w:lang w:val="en-US" w:eastAsia="zh-CN"/>
        </w:rPr>
        <w:t>说明和资料。</w:t>
      </w:r>
    </w:p>
    <w:p w14:paraId="21C4987D">
      <w:pPr>
        <w:pStyle w:val="43"/>
        <w:numPr>
          <w:ilvl w:val="0"/>
          <w:numId w:val="0"/>
        </w:numPr>
        <w:jc w:val="center"/>
        <w:rPr>
          <w:rFonts w:hint="default"/>
          <w:b/>
          <w:bCs/>
          <w:color w:val="auto"/>
          <w:highlight w:val="none"/>
          <w:lang w:val="en-US" w:eastAsia="zh-CN"/>
        </w:rPr>
      </w:pPr>
      <w:r>
        <w:rPr>
          <w:rFonts w:hint="eastAsia"/>
          <w:b/>
          <w:bCs/>
          <w:color w:val="auto"/>
          <w:highlight w:val="none"/>
          <w:lang w:val="en-US" w:eastAsia="zh-CN"/>
        </w:rPr>
        <w:t>请供应商根据评审标准自行编制内容。</w:t>
      </w:r>
    </w:p>
    <w:p w14:paraId="76BA3B72">
      <w:pPr>
        <w:rPr>
          <w:rFonts w:hint="default"/>
          <w:b/>
          <w:bCs/>
          <w:color w:val="auto"/>
          <w:highlight w:val="none"/>
          <w:lang w:val="en-US" w:eastAsia="zh-CN"/>
        </w:rPr>
      </w:pPr>
      <w:r>
        <w:rPr>
          <w:rFonts w:hint="eastAsia"/>
          <w:b/>
          <w:bCs/>
          <w:color w:val="auto"/>
          <w:highlight w:val="none"/>
          <w:lang w:val="en-US" w:eastAsia="zh-CN"/>
        </w:rPr>
        <w:br w:type="page"/>
      </w:r>
    </w:p>
    <w:p w14:paraId="001AD388">
      <w:pPr>
        <w:keepNext w:val="0"/>
        <w:keepLines w:val="0"/>
        <w:widowControl/>
        <w:suppressLineNumbers w:val="0"/>
        <w:wordWrap w:val="0"/>
        <w:spacing w:before="38" w:beforeAutospacing="0" w:after="38" w:afterAutospacing="0"/>
        <w:ind w:left="0" w:right="0" w:firstLine="0"/>
        <w:jc w:val="center"/>
        <w:rPr>
          <w:rFonts w:hint="eastAsia"/>
          <w:b/>
          <w:bCs/>
          <w:color w:val="auto"/>
          <w:sz w:val="32"/>
          <w:szCs w:val="40"/>
          <w:highlight w:val="none"/>
          <w:lang w:val="en-US" w:eastAsia="zh-CN"/>
        </w:rPr>
      </w:pPr>
      <w:r>
        <w:rPr>
          <w:rFonts w:hint="eastAsia"/>
          <w:b/>
          <w:bCs/>
          <w:color w:val="auto"/>
          <w:sz w:val="32"/>
          <w:szCs w:val="40"/>
          <w:highlight w:val="none"/>
          <w:lang w:val="en-US" w:eastAsia="zh-CN"/>
        </w:rPr>
        <w:t>附件：关于推动解决政府采购异常低价问题的通知</w:t>
      </w:r>
    </w:p>
    <w:p w14:paraId="014B2ABA">
      <w:pPr>
        <w:keepNext w:val="0"/>
        <w:keepLines w:val="0"/>
        <w:widowControl/>
        <w:suppressLineNumbers w:val="0"/>
        <w:wordWrap w:val="0"/>
        <w:spacing w:before="38" w:beforeAutospacing="0" w:after="38" w:afterAutospacing="0"/>
        <w:ind w:left="0" w:right="0" w:firstLine="0"/>
        <w:jc w:val="center"/>
        <w:rPr>
          <w:rFonts w:hint="default" w:ascii="Times New Roman" w:hAnsi="Times New Roman" w:cs="Times New Roman"/>
          <w:i w:val="0"/>
          <w:iCs w:val="0"/>
          <w:caps w:val="0"/>
          <w:color w:val="auto"/>
          <w:spacing w:val="0"/>
          <w:sz w:val="27"/>
          <w:szCs w:val="27"/>
          <w:highlight w:val="none"/>
        </w:rPr>
      </w:pPr>
      <w:r>
        <w:rPr>
          <w:rFonts w:hint="default" w:ascii="Times New Roman" w:hAnsi="Times New Roman" w:cs="Times New Roman"/>
          <w:i w:val="0"/>
          <w:iCs w:val="0"/>
          <w:caps w:val="0"/>
          <w:color w:val="auto"/>
          <w:spacing w:val="0"/>
          <w:sz w:val="27"/>
          <w:szCs w:val="27"/>
          <w:highlight w:val="none"/>
        </w:rPr>
        <w:t>财库〔2026〕2号</w:t>
      </w:r>
    </w:p>
    <w:p w14:paraId="3C6B5A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8" w:lineRule="atLeast"/>
        <w:ind w:left="0" w:right="0" w:firstLine="0"/>
        <w:jc w:val="both"/>
        <w:rPr>
          <w:rFonts w:ascii="Calibri" w:hAnsi="Calibri" w:cs="Calibri"/>
          <w:i w:val="0"/>
          <w:iCs w:val="0"/>
          <w:caps w:val="0"/>
          <w:color w:val="auto"/>
          <w:spacing w:val="0"/>
          <w:sz w:val="27"/>
          <w:szCs w:val="27"/>
          <w:highlight w:val="none"/>
        </w:rPr>
      </w:pPr>
      <w:r>
        <w:rPr>
          <w:rFonts w:hint="default" w:ascii="Calibri" w:hAnsi="Calibri" w:cs="Calibri"/>
          <w:i w:val="0"/>
          <w:iCs w:val="0"/>
          <w:caps w:val="0"/>
          <w:color w:val="auto"/>
          <w:spacing w:val="0"/>
          <w:sz w:val="27"/>
          <w:szCs w:val="27"/>
          <w:highlight w:val="none"/>
        </w:rPr>
        <w:t> </w:t>
      </w:r>
    </w:p>
    <w:p w14:paraId="20C9F7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0"/>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各中央预算单位，各省、自治区、直辖市、计划单列市财政厅（局），新疆生产建设兵团财政局：</w:t>
      </w:r>
    </w:p>
    <w:p w14:paraId="54AF5A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为整治政府采购领域“内卷式”竞争，形成优质优价、良性竞争的市场秩序，现就推动解决政府采购异常低价问题有关事项通知如下：</w:t>
      </w:r>
    </w:p>
    <w:p w14:paraId="6BBD17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一、加强政府采购需求管理</w:t>
      </w:r>
    </w:p>
    <w:p w14:paraId="0BDA5A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采购人应当根据实际工作需要，综合考虑同类项目</w:t>
      </w:r>
      <w:r>
        <w:rPr>
          <w:rFonts w:hint="eastAsia" w:cs="宋体"/>
          <w:i w:val="0"/>
          <w:iCs w:val="0"/>
          <w:caps w:val="0"/>
          <w:color w:val="auto"/>
          <w:spacing w:val="0"/>
          <w:sz w:val="24"/>
          <w:szCs w:val="24"/>
          <w:highlight w:val="none"/>
          <w:lang w:eastAsia="zh-CN"/>
        </w:rPr>
        <w:t>成交</w:t>
      </w:r>
      <w:r>
        <w:rPr>
          <w:rFonts w:hint="eastAsia" w:ascii="宋体" w:hAnsi="宋体" w:eastAsia="宋体" w:cs="宋体"/>
          <w:i w:val="0"/>
          <w:iCs w:val="0"/>
          <w:caps w:val="0"/>
          <w:color w:val="auto"/>
          <w:spacing w:val="0"/>
          <w:sz w:val="24"/>
          <w:szCs w:val="24"/>
          <w:highlight w:val="none"/>
        </w:rPr>
        <w:t>（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4997C7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24A49F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3FE11C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二、强化政府采购异常低价审查</w:t>
      </w:r>
    </w:p>
    <w:p w14:paraId="38ECCC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（一）采购人应当在采购文件中明确</w:t>
      </w:r>
      <w:r>
        <w:rPr>
          <w:rFonts w:hint="eastAsia" w:cs="宋体"/>
          <w:i w:val="0"/>
          <w:iCs w:val="0"/>
          <w:caps w:val="0"/>
          <w:color w:val="auto"/>
          <w:spacing w:val="0"/>
          <w:sz w:val="24"/>
          <w:szCs w:val="24"/>
          <w:highlight w:val="none"/>
          <w:lang w:eastAsia="zh-CN"/>
        </w:rPr>
        <w:t>，在</w:t>
      </w:r>
      <w:r>
        <w:rPr>
          <w:rFonts w:hint="eastAsia" w:ascii="宋体" w:hAnsi="宋体" w:eastAsia="宋体" w:cs="宋体"/>
          <w:i w:val="0"/>
          <w:iCs w:val="0"/>
          <w:caps w:val="0"/>
          <w:color w:val="auto"/>
          <w:spacing w:val="0"/>
          <w:sz w:val="24"/>
          <w:szCs w:val="24"/>
          <w:highlight w:val="none"/>
        </w:rPr>
        <w:t>政府采购评审中出现下列情形之一的，评审委员会应当启动异常低价投标（响应）审查程序：</w:t>
      </w:r>
    </w:p>
    <w:p w14:paraId="4ADF52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1.投标（响应）报价低于全部通过符合性审查供应商投标（响应）报价平均值50%的，即投标（响应）报价&lt;全部通过符合性审查供应商投标（响应）报价平均值×50%；</w:t>
      </w:r>
    </w:p>
    <w:p w14:paraId="60BF45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2.投标（响应）报价低于通过符合性审查的次低报价供应商投标（响应）报价50%的，即投标（响应）报价&lt;通过符合性审查的次低报价供应商投标（响应）报价×50%；</w:t>
      </w:r>
    </w:p>
    <w:p w14:paraId="044DBA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3.投标（响应）报价低于采购项目最高限价45%的，即投标（响应）报价&lt;采购项目最高限价×45%；</w:t>
      </w:r>
    </w:p>
    <w:p w14:paraId="75E794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4.评审委员会基于专业判断，认为供应商报价过低，有可能影响产品质量或者不能诚信履约的其他情形。</w:t>
      </w:r>
    </w:p>
    <w:p w14:paraId="3F029F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采购人可以结合具体项目实际情况，提高上述第1项至第3项中启动异常低价投标（响应）审查的数值标准，但是最高不得超过65%。</w:t>
      </w:r>
    </w:p>
    <w:p w14:paraId="1E2B0D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相关法律法规对供应商报价有规定的，从其规定。</w:t>
      </w:r>
    </w:p>
    <w:p w14:paraId="7B569A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1309A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评审委员会依据专业经验，参考同类项目</w:t>
      </w:r>
      <w:r>
        <w:rPr>
          <w:rFonts w:hint="eastAsia" w:cs="宋体"/>
          <w:i w:val="0"/>
          <w:iCs w:val="0"/>
          <w:caps w:val="0"/>
          <w:color w:val="auto"/>
          <w:spacing w:val="0"/>
          <w:sz w:val="24"/>
          <w:szCs w:val="24"/>
          <w:highlight w:val="none"/>
          <w:lang w:eastAsia="zh-CN"/>
        </w:rPr>
        <w:t>成交</w:t>
      </w:r>
      <w:r>
        <w:rPr>
          <w:rFonts w:hint="eastAsia" w:ascii="宋体" w:hAnsi="宋体" w:eastAsia="宋体" w:cs="宋体"/>
          <w:i w:val="0"/>
          <w:iCs w:val="0"/>
          <w:caps w:val="0"/>
          <w:color w:val="auto"/>
          <w:spacing w:val="0"/>
          <w:sz w:val="24"/>
          <w:szCs w:val="24"/>
          <w:highlight w:val="none"/>
        </w:rPr>
        <w:t>（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87776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采购人、采购代理机构应当为评审委员会在评审现场及时获取同类项目</w:t>
      </w:r>
      <w:r>
        <w:rPr>
          <w:rFonts w:hint="eastAsia" w:cs="宋体"/>
          <w:i w:val="0"/>
          <w:iCs w:val="0"/>
          <w:caps w:val="0"/>
          <w:color w:val="auto"/>
          <w:spacing w:val="0"/>
          <w:sz w:val="24"/>
          <w:szCs w:val="24"/>
          <w:highlight w:val="none"/>
          <w:lang w:eastAsia="zh-CN"/>
        </w:rPr>
        <w:t>成交</w:t>
      </w:r>
      <w:r>
        <w:rPr>
          <w:rFonts w:hint="eastAsia" w:ascii="宋体" w:hAnsi="宋体" w:eastAsia="宋体" w:cs="宋体"/>
          <w:i w:val="0"/>
          <w:iCs w:val="0"/>
          <w:caps w:val="0"/>
          <w:color w:val="auto"/>
          <w:spacing w:val="0"/>
          <w:sz w:val="24"/>
          <w:szCs w:val="24"/>
          <w:highlight w:val="none"/>
        </w:rPr>
        <w:t>（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C2E10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60164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6C9CB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三、加强政府采购履约验收管理</w:t>
      </w:r>
    </w:p>
    <w:p w14:paraId="1EAB0E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采购人应当落实履约验收责任，依法组织履约验收工作，验收内容要包括每一项技术和商务要求的履约情况。对报价触发异常低价投标（响应）审查程序后仍</w:t>
      </w:r>
      <w:r>
        <w:rPr>
          <w:rFonts w:hint="eastAsia" w:cs="宋体"/>
          <w:i w:val="0"/>
          <w:iCs w:val="0"/>
          <w:caps w:val="0"/>
          <w:color w:val="auto"/>
          <w:spacing w:val="0"/>
          <w:sz w:val="24"/>
          <w:szCs w:val="24"/>
          <w:highlight w:val="none"/>
          <w:lang w:eastAsia="zh-CN"/>
        </w:rPr>
        <w:t>成交</w:t>
      </w:r>
      <w:r>
        <w:rPr>
          <w:rFonts w:hint="eastAsia" w:ascii="宋体" w:hAnsi="宋体" w:eastAsia="宋体" w:cs="宋体"/>
          <w:i w:val="0"/>
          <w:iCs w:val="0"/>
          <w:caps w:val="0"/>
          <w:color w:val="auto"/>
          <w:spacing w:val="0"/>
          <w:sz w:val="24"/>
          <w:szCs w:val="24"/>
          <w:highlight w:val="none"/>
        </w:rPr>
        <w:t>（成交）的供应商，采购人要重点关注其履约承诺、实际履约情况等。对可以分期实施的采购项目，实行分期考核、分期验收、分期支付，及时掌握供应商履约进展。如供应商</w:t>
      </w:r>
      <w:r>
        <w:rPr>
          <w:rFonts w:hint="eastAsia" w:cs="宋体"/>
          <w:i w:val="0"/>
          <w:iCs w:val="0"/>
          <w:caps w:val="0"/>
          <w:color w:val="auto"/>
          <w:spacing w:val="0"/>
          <w:sz w:val="24"/>
          <w:szCs w:val="24"/>
          <w:highlight w:val="none"/>
          <w:lang w:eastAsia="zh-CN"/>
        </w:rPr>
        <w:t>成交</w:t>
      </w:r>
      <w:r>
        <w:rPr>
          <w:rFonts w:hint="eastAsia" w:ascii="宋体" w:hAnsi="宋体" w:eastAsia="宋体" w:cs="宋体"/>
          <w:i w:val="0"/>
          <w:iCs w:val="0"/>
          <w:caps w:val="0"/>
          <w:color w:val="auto"/>
          <w:spacing w:val="0"/>
          <w:sz w:val="24"/>
          <w:szCs w:val="24"/>
          <w:highlight w:val="none"/>
        </w:rPr>
        <w:t>（成交）后无正当理由拒不签订政府采购合同的，依法予以处理；如供应商不履行合同或者未按合同约定履行合同导致验收不合格的，采购人应当依法追究其违约责任。</w:t>
      </w:r>
    </w:p>
    <w:p w14:paraId="3F91E9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5C7A4B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40" w:lineRule="atLeast"/>
        <w:ind w:left="0" w:right="0" w:firstLine="323"/>
        <w:jc w:val="both"/>
        <w:rPr>
          <w:rFonts w:hint="default" w:ascii="Calibri" w:hAnsi="Calibri" w:cs="Calibri"/>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本通知自2026年2月1日起施行。</w:t>
      </w:r>
    </w:p>
    <w:p w14:paraId="42EA55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93" w:lineRule="atLeast"/>
        <w:ind w:left="0" w:right="0" w:firstLine="323"/>
        <w:jc w:val="both"/>
        <w:rPr>
          <w:rFonts w:hint="default" w:ascii="Times New Roman" w:hAnsi="Times New Roman" w:cs="Times New Roman"/>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w:t>
      </w:r>
    </w:p>
    <w:p w14:paraId="6C6711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8" w:beforeAutospacing="0" w:after="38" w:afterAutospacing="0" w:line="293" w:lineRule="atLeast"/>
        <w:ind w:left="0" w:right="0" w:firstLine="323"/>
        <w:jc w:val="both"/>
        <w:rPr>
          <w:rFonts w:hint="default" w:ascii="Times New Roman" w:hAnsi="Times New Roman" w:cs="Times New Roman"/>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w:t>
      </w:r>
    </w:p>
    <w:p w14:paraId="4BA632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75" w:afterAutospacing="0" w:line="13" w:lineRule="atLeast"/>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财政部</w:t>
      </w:r>
    </w:p>
    <w:p w14:paraId="512F1C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75" w:afterAutospacing="0" w:line="13" w:lineRule="atLeast"/>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2026年1月14日</w:t>
      </w:r>
    </w:p>
    <w:p w14:paraId="51D70F75">
      <w:pPr>
        <w:pStyle w:val="43"/>
        <w:rPr>
          <w:rFonts w:hint="eastAsia"/>
          <w:color w:val="auto"/>
          <w:highlight w:val="none"/>
          <w:lang w:val="en-US" w:eastAsia="zh-CN"/>
        </w:rPr>
      </w:pPr>
    </w:p>
    <w:sectPr>
      <w:headerReference r:id="rId8" w:type="default"/>
      <w:footerReference r:id="rId9" w:type="default"/>
      <w:pgSz w:w="11906" w:h="16838"/>
      <w:pgMar w:top="1134" w:right="1134"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C76D">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C4AFF">
                          <w:pPr>
                            <w:pStyle w:val="2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EC4AFF">
                    <w:pPr>
                      <w:pStyle w:val="2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DDAA">
    <w:pPr>
      <w:pStyle w:val="23"/>
      <w:rPr>
        <w:rFonts w:ascii="Times New Roman" w:hAnsi="Times New Roman"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E541">
                          <w:pPr>
                            <w:pStyle w:val="2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CCE541">
                    <w:pPr>
                      <w:pStyle w:val="2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169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7F2E">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05FC4">
                          <w:pPr>
                            <w:pStyle w:val="2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F05FC4">
                    <w:pPr>
                      <w:pStyle w:val="2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7E99D">
    <w:pPr>
      <w:rPr>
        <w:rFonts w:hint="eastAsi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54893">
                          <w:pPr>
                            <w:pStyle w:val="2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854893">
                    <w:pPr>
                      <w:pStyle w:val="2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169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A3855">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983A8">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3983A8">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A0AF">
    <w:pPr>
      <w:pStyle w:val="13"/>
      <w:spacing w:line="14" w:lineRule="auto"/>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AB448">
                          <w:pPr>
                            <w:pStyle w:val="23"/>
                          </w:pPr>
                          <w:r>
                            <w:t xml:space="preserve">第 </w:t>
                          </w:r>
                          <w:r>
                            <w:fldChar w:fldCharType="begin"/>
                          </w:r>
                          <w:r>
                            <w:instrText xml:space="preserve"> PAGE  \* MERGEFORMAT </w:instrText>
                          </w:r>
                          <w:r>
                            <w:fldChar w:fldCharType="separate"/>
                          </w:r>
                          <w:r>
                            <w:t>159</w:t>
                          </w:r>
                          <w:r>
                            <w:fldChar w:fldCharType="end"/>
                          </w:r>
                          <w:r>
                            <w:t xml:space="preserve"> 页 共 </w:t>
                          </w:r>
                          <w:r>
                            <w:fldChar w:fldCharType="begin"/>
                          </w:r>
                          <w:r>
                            <w:instrText xml:space="preserve"> NUMPAGES  \* MERGEFORMAT </w:instrText>
                          </w:r>
                          <w:r>
                            <w:fldChar w:fldCharType="separate"/>
                          </w:r>
                          <w:r>
                            <w:t>169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D2AB448">
                    <w:pPr>
                      <w:pStyle w:val="23"/>
                    </w:pPr>
                    <w:r>
                      <w:t xml:space="preserve">第 </w:t>
                    </w:r>
                    <w:r>
                      <w:fldChar w:fldCharType="begin"/>
                    </w:r>
                    <w:r>
                      <w:instrText xml:space="preserve"> PAGE  \* MERGEFORMAT </w:instrText>
                    </w:r>
                    <w:r>
                      <w:fldChar w:fldCharType="separate"/>
                    </w:r>
                    <w:r>
                      <w:t>159</w:t>
                    </w:r>
                    <w:r>
                      <w:fldChar w:fldCharType="end"/>
                    </w:r>
                    <w:r>
                      <w:t xml:space="preserve"> 页 共 </w:t>
                    </w:r>
                    <w:r>
                      <w:fldChar w:fldCharType="begin"/>
                    </w:r>
                    <w:r>
                      <w:instrText xml:space="preserve"> NUMPAGES  \* MERGEFORMAT </w:instrText>
                    </w:r>
                    <w:r>
                      <w:fldChar w:fldCharType="separate"/>
                    </w:r>
                    <w:r>
                      <w:t>169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106C">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3C56F"/>
    <w:multiLevelType w:val="singleLevel"/>
    <w:tmpl w:val="9573C56F"/>
    <w:lvl w:ilvl="0" w:tentative="0">
      <w:start w:val="2"/>
      <w:numFmt w:val="decimal"/>
      <w:suff w:val="nothing"/>
      <w:lvlText w:val="（%1）"/>
      <w:lvlJc w:val="left"/>
    </w:lvl>
  </w:abstractNum>
  <w:abstractNum w:abstractNumId="1">
    <w:nsid w:val="00000008"/>
    <w:multiLevelType w:val="singleLevel"/>
    <w:tmpl w:val="00000008"/>
    <w:lvl w:ilvl="0" w:tentative="0">
      <w:start w:val="1"/>
      <w:numFmt w:val="decimal"/>
      <w:suff w:val="nothing"/>
      <w:lvlText w:val="（%1）"/>
      <w:lvlJc w:val="left"/>
    </w:lvl>
  </w:abstractNum>
  <w:abstractNum w:abstractNumId="2">
    <w:nsid w:val="0BCE43CA"/>
    <w:multiLevelType w:val="singleLevel"/>
    <w:tmpl w:val="0BCE43CA"/>
    <w:lvl w:ilvl="0" w:tentative="0">
      <w:start w:val="1"/>
      <w:numFmt w:val="decimal"/>
      <w:suff w:val="nothing"/>
      <w:lvlText w:val="（%1）"/>
      <w:lvlJc w:val="left"/>
    </w:lvl>
  </w:abstractNum>
  <w:abstractNum w:abstractNumId="3">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F84E101"/>
    <w:multiLevelType w:val="singleLevel"/>
    <w:tmpl w:val="1F84E101"/>
    <w:lvl w:ilvl="0" w:tentative="0">
      <w:start w:val="2"/>
      <w:numFmt w:val="chineseCounting"/>
      <w:suff w:val="nothing"/>
      <w:lvlText w:val="%1、"/>
      <w:lvlJc w:val="left"/>
      <w:rPr>
        <w:rFonts w:hint="eastAsia"/>
      </w:rPr>
    </w:lvl>
  </w:abstractNum>
  <w:abstractNum w:abstractNumId="5">
    <w:nsid w:val="22138058"/>
    <w:multiLevelType w:val="singleLevel"/>
    <w:tmpl w:val="22138058"/>
    <w:lvl w:ilvl="0" w:tentative="0">
      <w:start w:val="1"/>
      <w:numFmt w:val="decimal"/>
      <w:suff w:val="space"/>
      <w:lvlText w:val="%1."/>
      <w:lvlJc w:val="left"/>
    </w:lvl>
  </w:abstractNum>
  <w:abstractNum w:abstractNumId="6">
    <w:nsid w:val="23B23B92"/>
    <w:multiLevelType w:val="singleLevel"/>
    <w:tmpl w:val="23B23B92"/>
    <w:lvl w:ilvl="0" w:tentative="0">
      <w:start w:val="4"/>
      <w:numFmt w:val="chineseCounting"/>
      <w:suff w:val="space"/>
      <w:lvlText w:val="第%1章"/>
      <w:lvlJc w:val="left"/>
      <w:rPr>
        <w:rFonts w:hint="eastAsia"/>
      </w:rPr>
    </w:lvl>
  </w:abstractNum>
  <w:abstractNum w:abstractNumId="7">
    <w:nsid w:val="4EE97EC9"/>
    <w:multiLevelType w:val="singleLevel"/>
    <w:tmpl w:val="4EE97EC9"/>
    <w:lvl w:ilvl="0" w:tentative="0">
      <w:start w:val="2"/>
      <w:numFmt w:val="decimal"/>
      <w:lvlText w:val="%1."/>
      <w:lvlJc w:val="left"/>
      <w:pPr>
        <w:tabs>
          <w:tab w:val="left" w:pos="312"/>
        </w:tabs>
      </w:pPr>
    </w:lvl>
  </w:abstractNum>
  <w:abstractNum w:abstractNumId="8">
    <w:nsid w:val="5015C742"/>
    <w:multiLevelType w:val="singleLevel"/>
    <w:tmpl w:val="5015C742"/>
    <w:lvl w:ilvl="0" w:tentative="0">
      <w:start w:val="3"/>
      <w:numFmt w:val="decimal"/>
      <w:lvlText w:val="%1."/>
      <w:lvlJc w:val="left"/>
      <w:pPr>
        <w:tabs>
          <w:tab w:val="left" w:pos="312"/>
        </w:tabs>
      </w:pPr>
    </w:lvl>
  </w:abstractNum>
  <w:abstractNum w:abstractNumId="9">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93"/>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1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57ED0B0"/>
    <w:multiLevelType w:val="singleLevel"/>
    <w:tmpl w:val="757ED0B0"/>
    <w:lvl w:ilvl="0" w:tentative="0">
      <w:start w:val="2"/>
      <w:numFmt w:val="chineseCounting"/>
      <w:suff w:val="nothing"/>
      <w:lvlText w:val="%1、"/>
      <w:lvlJc w:val="left"/>
      <w:rPr>
        <w:rFonts w:hint="eastAsia"/>
      </w:rPr>
    </w:lvl>
  </w:abstractNum>
  <w:num w:numId="1">
    <w:abstractNumId w:val="3"/>
  </w:num>
  <w:num w:numId="2">
    <w:abstractNumId w:val="10"/>
  </w:num>
  <w:num w:numId="3">
    <w:abstractNumId w:val="9"/>
  </w:num>
  <w:num w:numId="4">
    <w:abstractNumId w:val="8"/>
  </w:num>
  <w:num w:numId="5">
    <w:abstractNumId w:val="0"/>
  </w:num>
  <w:num w:numId="6">
    <w:abstractNumId w:val="5"/>
  </w:num>
  <w:num w:numId="7">
    <w:abstractNumId w:val="12"/>
  </w:num>
  <w:num w:numId="8">
    <w:abstractNumId w:val="7"/>
  </w:num>
  <w:num w:numId="9">
    <w:abstractNumId w:val="2"/>
  </w:num>
  <w:num w:numId="10">
    <w:abstractNumId w:val="4"/>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20"/>
  <w:drawingGridVerticalSpacing w:val="33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OWE0YzQ3ZmM2YjY4NjgwYWMwZjUyMTViMzQ5YmQifQ=="/>
  </w:docVars>
  <w:rsids>
    <w:rsidRoot w:val="004178D5"/>
    <w:rsid w:val="000007CA"/>
    <w:rsid w:val="00000946"/>
    <w:rsid w:val="000010C1"/>
    <w:rsid w:val="00001422"/>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1C0"/>
    <w:rsid w:val="000065C3"/>
    <w:rsid w:val="00006823"/>
    <w:rsid w:val="000069AD"/>
    <w:rsid w:val="000075D1"/>
    <w:rsid w:val="00010054"/>
    <w:rsid w:val="00010334"/>
    <w:rsid w:val="0001135D"/>
    <w:rsid w:val="000119AC"/>
    <w:rsid w:val="00011BD2"/>
    <w:rsid w:val="0001243B"/>
    <w:rsid w:val="000132BE"/>
    <w:rsid w:val="000140C4"/>
    <w:rsid w:val="00014240"/>
    <w:rsid w:val="00014915"/>
    <w:rsid w:val="000149C7"/>
    <w:rsid w:val="00014C79"/>
    <w:rsid w:val="00014D10"/>
    <w:rsid w:val="000155A1"/>
    <w:rsid w:val="00015752"/>
    <w:rsid w:val="00016851"/>
    <w:rsid w:val="00016ED1"/>
    <w:rsid w:val="00017272"/>
    <w:rsid w:val="000200EF"/>
    <w:rsid w:val="00020F99"/>
    <w:rsid w:val="000211DE"/>
    <w:rsid w:val="000214E5"/>
    <w:rsid w:val="00021580"/>
    <w:rsid w:val="00021826"/>
    <w:rsid w:val="00021D4C"/>
    <w:rsid w:val="00021DD1"/>
    <w:rsid w:val="00022402"/>
    <w:rsid w:val="0002253E"/>
    <w:rsid w:val="00022556"/>
    <w:rsid w:val="00022C5E"/>
    <w:rsid w:val="00023C04"/>
    <w:rsid w:val="00024672"/>
    <w:rsid w:val="00024867"/>
    <w:rsid w:val="00024A4B"/>
    <w:rsid w:val="00024FFD"/>
    <w:rsid w:val="00025182"/>
    <w:rsid w:val="00025333"/>
    <w:rsid w:val="000253B0"/>
    <w:rsid w:val="00025AE3"/>
    <w:rsid w:val="00025BB7"/>
    <w:rsid w:val="0002600E"/>
    <w:rsid w:val="000262D0"/>
    <w:rsid w:val="00026679"/>
    <w:rsid w:val="000272EA"/>
    <w:rsid w:val="00027866"/>
    <w:rsid w:val="00027C23"/>
    <w:rsid w:val="0003001C"/>
    <w:rsid w:val="000300F5"/>
    <w:rsid w:val="00030427"/>
    <w:rsid w:val="000311D6"/>
    <w:rsid w:val="0003147A"/>
    <w:rsid w:val="00031EF1"/>
    <w:rsid w:val="0003210C"/>
    <w:rsid w:val="000321FA"/>
    <w:rsid w:val="000322ED"/>
    <w:rsid w:val="0003265E"/>
    <w:rsid w:val="00032AC7"/>
    <w:rsid w:val="00033760"/>
    <w:rsid w:val="00033897"/>
    <w:rsid w:val="00033B35"/>
    <w:rsid w:val="00033E26"/>
    <w:rsid w:val="000343F9"/>
    <w:rsid w:val="00034506"/>
    <w:rsid w:val="00034A16"/>
    <w:rsid w:val="00034BB1"/>
    <w:rsid w:val="000350BD"/>
    <w:rsid w:val="000359A8"/>
    <w:rsid w:val="00035DC5"/>
    <w:rsid w:val="0003607E"/>
    <w:rsid w:val="00036B10"/>
    <w:rsid w:val="00037343"/>
    <w:rsid w:val="00037572"/>
    <w:rsid w:val="0003795A"/>
    <w:rsid w:val="00037BB5"/>
    <w:rsid w:val="00037CD6"/>
    <w:rsid w:val="000401EE"/>
    <w:rsid w:val="00040D7D"/>
    <w:rsid w:val="00040D81"/>
    <w:rsid w:val="00040F2D"/>
    <w:rsid w:val="00041479"/>
    <w:rsid w:val="000421FE"/>
    <w:rsid w:val="000424DB"/>
    <w:rsid w:val="00042621"/>
    <w:rsid w:val="00042901"/>
    <w:rsid w:val="000429C4"/>
    <w:rsid w:val="00042CE4"/>
    <w:rsid w:val="00043704"/>
    <w:rsid w:val="00043BF6"/>
    <w:rsid w:val="00044290"/>
    <w:rsid w:val="000449EE"/>
    <w:rsid w:val="00044B70"/>
    <w:rsid w:val="00044D57"/>
    <w:rsid w:val="0004516B"/>
    <w:rsid w:val="00045BD3"/>
    <w:rsid w:val="0004638E"/>
    <w:rsid w:val="00046583"/>
    <w:rsid w:val="00046D90"/>
    <w:rsid w:val="00046F97"/>
    <w:rsid w:val="0004705F"/>
    <w:rsid w:val="00047902"/>
    <w:rsid w:val="00050527"/>
    <w:rsid w:val="000505FF"/>
    <w:rsid w:val="0005094D"/>
    <w:rsid w:val="00050BA5"/>
    <w:rsid w:val="00051638"/>
    <w:rsid w:val="00051A99"/>
    <w:rsid w:val="00051D1F"/>
    <w:rsid w:val="00052C72"/>
    <w:rsid w:val="00052C96"/>
    <w:rsid w:val="0005343A"/>
    <w:rsid w:val="00053500"/>
    <w:rsid w:val="00053D48"/>
    <w:rsid w:val="00054621"/>
    <w:rsid w:val="0005521A"/>
    <w:rsid w:val="000554A7"/>
    <w:rsid w:val="00055D55"/>
    <w:rsid w:val="0005650E"/>
    <w:rsid w:val="00056B3D"/>
    <w:rsid w:val="00057081"/>
    <w:rsid w:val="0005777E"/>
    <w:rsid w:val="000578F4"/>
    <w:rsid w:val="00057E72"/>
    <w:rsid w:val="00057FEA"/>
    <w:rsid w:val="00060BC8"/>
    <w:rsid w:val="00060CAB"/>
    <w:rsid w:val="00061327"/>
    <w:rsid w:val="0006223C"/>
    <w:rsid w:val="00062523"/>
    <w:rsid w:val="000632F5"/>
    <w:rsid w:val="000634D5"/>
    <w:rsid w:val="000637E8"/>
    <w:rsid w:val="00063B26"/>
    <w:rsid w:val="00063DCB"/>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370"/>
    <w:rsid w:val="00071F67"/>
    <w:rsid w:val="000720A6"/>
    <w:rsid w:val="000721BF"/>
    <w:rsid w:val="00072CAF"/>
    <w:rsid w:val="00073399"/>
    <w:rsid w:val="000734B0"/>
    <w:rsid w:val="000738D6"/>
    <w:rsid w:val="000739FA"/>
    <w:rsid w:val="000741BF"/>
    <w:rsid w:val="00074525"/>
    <w:rsid w:val="000746DD"/>
    <w:rsid w:val="000750D5"/>
    <w:rsid w:val="00075235"/>
    <w:rsid w:val="0007548F"/>
    <w:rsid w:val="00075A7C"/>
    <w:rsid w:val="000761CC"/>
    <w:rsid w:val="0007769C"/>
    <w:rsid w:val="00077B0A"/>
    <w:rsid w:val="00077DCF"/>
    <w:rsid w:val="00077FD2"/>
    <w:rsid w:val="0008015F"/>
    <w:rsid w:val="0008069C"/>
    <w:rsid w:val="0008073B"/>
    <w:rsid w:val="000808F2"/>
    <w:rsid w:val="00080C86"/>
    <w:rsid w:val="00081762"/>
    <w:rsid w:val="00082761"/>
    <w:rsid w:val="0008290B"/>
    <w:rsid w:val="000829D6"/>
    <w:rsid w:val="0008303D"/>
    <w:rsid w:val="0008377B"/>
    <w:rsid w:val="00083E84"/>
    <w:rsid w:val="000843CC"/>
    <w:rsid w:val="000852C4"/>
    <w:rsid w:val="00086248"/>
    <w:rsid w:val="00086608"/>
    <w:rsid w:val="000876E0"/>
    <w:rsid w:val="00087AC0"/>
    <w:rsid w:val="00090989"/>
    <w:rsid w:val="00090A09"/>
    <w:rsid w:val="00090C90"/>
    <w:rsid w:val="00090C9C"/>
    <w:rsid w:val="00090FCA"/>
    <w:rsid w:val="0009324F"/>
    <w:rsid w:val="00093325"/>
    <w:rsid w:val="0009350F"/>
    <w:rsid w:val="00093540"/>
    <w:rsid w:val="0009380D"/>
    <w:rsid w:val="00093EDC"/>
    <w:rsid w:val="000949D5"/>
    <w:rsid w:val="00094BED"/>
    <w:rsid w:val="00094F63"/>
    <w:rsid w:val="00095A0D"/>
    <w:rsid w:val="00095BA1"/>
    <w:rsid w:val="00095DC7"/>
    <w:rsid w:val="00095FE0"/>
    <w:rsid w:val="0009611B"/>
    <w:rsid w:val="000961A3"/>
    <w:rsid w:val="00096CBA"/>
    <w:rsid w:val="00096D65"/>
    <w:rsid w:val="00097196"/>
    <w:rsid w:val="00097658"/>
    <w:rsid w:val="00097A28"/>
    <w:rsid w:val="00097FAD"/>
    <w:rsid w:val="000A0708"/>
    <w:rsid w:val="000A0749"/>
    <w:rsid w:val="000A0EBD"/>
    <w:rsid w:val="000A0EE4"/>
    <w:rsid w:val="000A1943"/>
    <w:rsid w:val="000A1DC7"/>
    <w:rsid w:val="000A1E2E"/>
    <w:rsid w:val="000A21A1"/>
    <w:rsid w:val="000A28E1"/>
    <w:rsid w:val="000A2A3D"/>
    <w:rsid w:val="000A3331"/>
    <w:rsid w:val="000A3400"/>
    <w:rsid w:val="000A411F"/>
    <w:rsid w:val="000A4261"/>
    <w:rsid w:val="000A4B04"/>
    <w:rsid w:val="000A5144"/>
    <w:rsid w:val="000A5177"/>
    <w:rsid w:val="000A52F5"/>
    <w:rsid w:val="000A530A"/>
    <w:rsid w:val="000A5763"/>
    <w:rsid w:val="000A581D"/>
    <w:rsid w:val="000A5A40"/>
    <w:rsid w:val="000A5F9F"/>
    <w:rsid w:val="000A5FBA"/>
    <w:rsid w:val="000A6785"/>
    <w:rsid w:val="000A6A56"/>
    <w:rsid w:val="000A6B6A"/>
    <w:rsid w:val="000A726E"/>
    <w:rsid w:val="000A7520"/>
    <w:rsid w:val="000A779D"/>
    <w:rsid w:val="000A7DBF"/>
    <w:rsid w:val="000A7E5F"/>
    <w:rsid w:val="000B090D"/>
    <w:rsid w:val="000B0AB7"/>
    <w:rsid w:val="000B10DE"/>
    <w:rsid w:val="000B134C"/>
    <w:rsid w:val="000B158E"/>
    <w:rsid w:val="000B1691"/>
    <w:rsid w:val="000B1776"/>
    <w:rsid w:val="000B1F22"/>
    <w:rsid w:val="000B2247"/>
    <w:rsid w:val="000B2E47"/>
    <w:rsid w:val="000B3363"/>
    <w:rsid w:val="000B374D"/>
    <w:rsid w:val="000B3CB5"/>
    <w:rsid w:val="000B4208"/>
    <w:rsid w:val="000B4583"/>
    <w:rsid w:val="000B45BE"/>
    <w:rsid w:val="000B4970"/>
    <w:rsid w:val="000B4974"/>
    <w:rsid w:val="000B4DB0"/>
    <w:rsid w:val="000B50CC"/>
    <w:rsid w:val="000B5270"/>
    <w:rsid w:val="000B556A"/>
    <w:rsid w:val="000B5CCA"/>
    <w:rsid w:val="000B6191"/>
    <w:rsid w:val="000B64FB"/>
    <w:rsid w:val="000B7503"/>
    <w:rsid w:val="000B78B2"/>
    <w:rsid w:val="000B7D7D"/>
    <w:rsid w:val="000C025D"/>
    <w:rsid w:val="000C02AC"/>
    <w:rsid w:val="000C0522"/>
    <w:rsid w:val="000C0ABB"/>
    <w:rsid w:val="000C122B"/>
    <w:rsid w:val="000C133D"/>
    <w:rsid w:val="000C1669"/>
    <w:rsid w:val="000C1835"/>
    <w:rsid w:val="000C1B36"/>
    <w:rsid w:val="000C1E06"/>
    <w:rsid w:val="000C1F07"/>
    <w:rsid w:val="000C22CB"/>
    <w:rsid w:val="000C2563"/>
    <w:rsid w:val="000C2B67"/>
    <w:rsid w:val="000C3C9C"/>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25E"/>
    <w:rsid w:val="000D148E"/>
    <w:rsid w:val="000D1C0A"/>
    <w:rsid w:val="000D1E09"/>
    <w:rsid w:val="000D218A"/>
    <w:rsid w:val="000D2298"/>
    <w:rsid w:val="000D3976"/>
    <w:rsid w:val="000D3FB7"/>
    <w:rsid w:val="000D40D3"/>
    <w:rsid w:val="000D4363"/>
    <w:rsid w:val="000D528A"/>
    <w:rsid w:val="000D556E"/>
    <w:rsid w:val="000D575C"/>
    <w:rsid w:val="000D5841"/>
    <w:rsid w:val="000D6560"/>
    <w:rsid w:val="000D658A"/>
    <w:rsid w:val="000D6C43"/>
    <w:rsid w:val="000D6E3C"/>
    <w:rsid w:val="000D6EA4"/>
    <w:rsid w:val="000D78EA"/>
    <w:rsid w:val="000D7F9D"/>
    <w:rsid w:val="000E0701"/>
    <w:rsid w:val="000E08E4"/>
    <w:rsid w:val="000E0AD9"/>
    <w:rsid w:val="000E10F1"/>
    <w:rsid w:val="000E1D4A"/>
    <w:rsid w:val="000E1F3C"/>
    <w:rsid w:val="000E2ADB"/>
    <w:rsid w:val="000E2DE4"/>
    <w:rsid w:val="000E2E3D"/>
    <w:rsid w:val="000E2EEF"/>
    <w:rsid w:val="000E3E6E"/>
    <w:rsid w:val="000E4136"/>
    <w:rsid w:val="000E4697"/>
    <w:rsid w:val="000E4D45"/>
    <w:rsid w:val="000E4F82"/>
    <w:rsid w:val="000E535C"/>
    <w:rsid w:val="000E5B36"/>
    <w:rsid w:val="000E5EAC"/>
    <w:rsid w:val="000E6A61"/>
    <w:rsid w:val="000E73A7"/>
    <w:rsid w:val="000E76E8"/>
    <w:rsid w:val="000E76F1"/>
    <w:rsid w:val="000E787A"/>
    <w:rsid w:val="000E7A62"/>
    <w:rsid w:val="000E7B86"/>
    <w:rsid w:val="000E7C05"/>
    <w:rsid w:val="000E7D31"/>
    <w:rsid w:val="000F01A0"/>
    <w:rsid w:val="000F0506"/>
    <w:rsid w:val="000F0592"/>
    <w:rsid w:val="000F1577"/>
    <w:rsid w:val="000F1C0D"/>
    <w:rsid w:val="000F23E7"/>
    <w:rsid w:val="000F2998"/>
    <w:rsid w:val="000F3166"/>
    <w:rsid w:val="000F3431"/>
    <w:rsid w:val="000F35F1"/>
    <w:rsid w:val="000F3A54"/>
    <w:rsid w:val="000F3C67"/>
    <w:rsid w:val="000F3D04"/>
    <w:rsid w:val="000F3DD1"/>
    <w:rsid w:val="000F3E0A"/>
    <w:rsid w:val="000F404B"/>
    <w:rsid w:val="000F4270"/>
    <w:rsid w:val="000F45F2"/>
    <w:rsid w:val="000F5295"/>
    <w:rsid w:val="000F5349"/>
    <w:rsid w:val="000F5499"/>
    <w:rsid w:val="000F56DD"/>
    <w:rsid w:val="000F56E3"/>
    <w:rsid w:val="000F58A7"/>
    <w:rsid w:val="000F5B6C"/>
    <w:rsid w:val="000F66AE"/>
    <w:rsid w:val="000F6AB8"/>
    <w:rsid w:val="000F72A5"/>
    <w:rsid w:val="000F74E7"/>
    <w:rsid w:val="000F75DB"/>
    <w:rsid w:val="000F7BAF"/>
    <w:rsid w:val="00100702"/>
    <w:rsid w:val="001007D9"/>
    <w:rsid w:val="00100D1A"/>
    <w:rsid w:val="00101031"/>
    <w:rsid w:val="001012EC"/>
    <w:rsid w:val="00101459"/>
    <w:rsid w:val="00101636"/>
    <w:rsid w:val="0010166E"/>
    <w:rsid w:val="00101678"/>
    <w:rsid w:val="00102470"/>
    <w:rsid w:val="00102507"/>
    <w:rsid w:val="00102883"/>
    <w:rsid w:val="00102A9B"/>
    <w:rsid w:val="00102C4E"/>
    <w:rsid w:val="00103995"/>
    <w:rsid w:val="00103C20"/>
    <w:rsid w:val="00103CB6"/>
    <w:rsid w:val="0010407D"/>
    <w:rsid w:val="00105ED1"/>
    <w:rsid w:val="0010670B"/>
    <w:rsid w:val="00107261"/>
    <w:rsid w:val="00107689"/>
    <w:rsid w:val="00107B23"/>
    <w:rsid w:val="0011007F"/>
    <w:rsid w:val="001107DE"/>
    <w:rsid w:val="00110CF1"/>
    <w:rsid w:val="00110D2A"/>
    <w:rsid w:val="00111195"/>
    <w:rsid w:val="001123F1"/>
    <w:rsid w:val="00112654"/>
    <w:rsid w:val="00112AD8"/>
    <w:rsid w:val="00113D2B"/>
    <w:rsid w:val="00114050"/>
    <w:rsid w:val="001148A2"/>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91A"/>
    <w:rsid w:val="00123DE1"/>
    <w:rsid w:val="00123DFF"/>
    <w:rsid w:val="00123E14"/>
    <w:rsid w:val="00123E6D"/>
    <w:rsid w:val="00124409"/>
    <w:rsid w:val="00124669"/>
    <w:rsid w:val="00125498"/>
    <w:rsid w:val="0012646F"/>
    <w:rsid w:val="0012649E"/>
    <w:rsid w:val="00126E7B"/>
    <w:rsid w:val="00126F36"/>
    <w:rsid w:val="00126FFB"/>
    <w:rsid w:val="001274EF"/>
    <w:rsid w:val="00127DE9"/>
    <w:rsid w:val="0013017D"/>
    <w:rsid w:val="001304E9"/>
    <w:rsid w:val="00130AAE"/>
    <w:rsid w:val="00130DAF"/>
    <w:rsid w:val="00130F08"/>
    <w:rsid w:val="001310BA"/>
    <w:rsid w:val="00131A58"/>
    <w:rsid w:val="00131A67"/>
    <w:rsid w:val="00131B4B"/>
    <w:rsid w:val="00131BAF"/>
    <w:rsid w:val="00131E9F"/>
    <w:rsid w:val="00132146"/>
    <w:rsid w:val="00132CBE"/>
    <w:rsid w:val="0013333E"/>
    <w:rsid w:val="00133840"/>
    <w:rsid w:val="0013422C"/>
    <w:rsid w:val="001343FB"/>
    <w:rsid w:val="00134991"/>
    <w:rsid w:val="00135110"/>
    <w:rsid w:val="00135533"/>
    <w:rsid w:val="0013556E"/>
    <w:rsid w:val="00135B63"/>
    <w:rsid w:val="00135BFC"/>
    <w:rsid w:val="0013642F"/>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2FED"/>
    <w:rsid w:val="001432EF"/>
    <w:rsid w:val="00143459"/>
    <w:rsid w:val="00143C9A"/>
    <w:rsid w:val="00143EC3"/>
    <w:rsid w:val="001443A5"/>
    <w:rsid w:val="0014503C"/>
    <w:rsid w:val="00145272"/>
    <w:rsid w:val="001459B1"/>
    <w:rsid w:val="00145E39"/>
    <w:rsid w:val="001467ED"/>
    <w:rsid w:val="00146E5E"/>
    <w:rsid w:val="00146FE4"/>
    <w:rsid w:val="0014701B"/>
    <w:rsid w:val="00147677"/>
    <w:rsid w:val="00147752"/>
    <w:rsid w:val="00147CF0"/>
    <w:rsid w:val="00150000"/>
    <w:rsid w:val="001500A3"/>
    <w:rsid w:val="001509D2"/>
    <w:rsid w:val="001513FB"/>
    <w:rsid w:val="00152AB5"/>
    <w:rsid w:val="001540D5"/>
    <w:rsid w:val="00154974"/>
    <w:rsid w:val="001549EB"/>
    <w:rsid w:val="00154AD0"/>
    <w:rsid w:val="0015507E"/>
    <w:rsid w:val="001551D1"/>
    <w:rsid w:val="00155220"/>
    <w:rsid w:val="001553B4"/>
    <w:rsid w:val="00155AD7"/>
    <w:rsid w:val="00155D70"/>
    <w:rsid w:val="00155DA6"/>
    <w:rsid w:val="00155DFF"/>
    <w:rsid w:val="00156157"/>
    <w:rsid w:val="001567EB"/>
    <w:rsid w:val="00156C57"/>
    <w:rsid w:val="001572E8"/>
    <w:rsid w:val="00157449"/>
    <w:rsid w:val="00157A9A"/>
    <w:rsid w:val="0016051A"/>
    <w:rsid w:val="00160FD8"/>
    <w:rsid w:val="00161297"/>
    <w:rsid w:val="00161D22"/>
    <w:rsid w:val="0016224C"/>
    <w:rsid w:val="0016363D"/>
    <w:rsid w:val="00163DF0"/>
    <w:rsid w:val="00165271"/>
    <w:rsid w:val="0016532E"/>
    <w:rsid w:val="00165603"/>
    <w:rsid w:val="001662A9"/>
    <w:rsid w:val="001662FB"/>
    <w:rsid w:val="001665E6"/>
    <w:rsid w:val="00166749"/>
    <w:rsid w:val="00166FD1"/>
    <w:rsid w:val="00167245"/>
    <w:rsid w:val="001679F1"/>
    <w:rsid w:val="00167B25"/>
    <w:rsid w:val="0017038C"/>
    <w:rsid w:val="00170480"/>
    <w:rsid w:val="001708BB"/>
    <w:rsid w:val="001715DF"/>
    <w:rsid w:val="00171E05"/>
    <w:rsid w:val="001720F2"/>
    <w:rsid w:val="00172588"/>
    <w:rsid w:val="00173415"/>
    <w:rsid w:val="00173791"/>
    <w:rsid w:val="001739E7"/>
    <w:rsid w:val="00173AFC"/>
    <w:rsid w:val="00174151"/>
    <w:rsid w:val="00174167"/>
    <w:rsid w:val="001745C5"/>
    <w:rsid w:val="00174631"/>
    <w:rsid w:val="001758E4"/>
    <w:rsid w:val="001762F3"/>
    <w:rsid w:val="00176718"/>
    <w:rsid w:val="00176C93"/>
    <w:rsid w:val="00176F1D"/>
    <w:rsid w:val="0017756B"/>
    <w:rsid w:val="00177A39"/>
    <w:rsid w:val="00177CD6"/>
    <w:rsid w:val="0018029D"/>
    <w:rsid w:val="00180FEE"/>
    <w:rsid w:val="00182926"/>
    <w:rsid w:val="00182DB5"/>
    <w:rsid w:val="00182FC2"/>
    <w:rsid w:val="001831E9"/>
    <w:rsid w:val="0018381A"/>
    <w:rsid w:val="00183AC0"/>
    <w:rsid w:val="00183B2C"/>
    <w:rsid w:val="00184225"/>
    <w:rsid w:val="001843E7"/>
    <w:rsid w:val="00184DAA"/>
    <w:rsid w:val="0018522C"/>
    <w:rsid w:val="0018563B"/>
    <w:rsid w:val="00185842"/>
    <w:rsid w:val="00185A3F"/>
    <w:rsid w:val="00185C18"/>
    <w:rsid w:val="0018609B"/>
    <w:rsid w:val="001863FE"/>
    <w:rsid w:val="00186DAF"/>
    <w:rsid w:val="00187035"/>
    <w:rsid w:val="0018785E"/>
    <w:rsid w:val="00187FDF"/>
    <w:rsid w:val="0019057E"/>
    <w:rsid w:val="001906F3"/>
    <w:rsid w:val="00190897"/>
    <w:rsid w:val="00190BAC"/>
    <w:rsid w:val="001911FC"/>
    <w:rsid w:val="001917CC"/>
    <w:rsid w:val="001920A3"/>
    <w:rsid w:val="00192634"/>
    <w:rsid w:val="00192760"/>
    <w:rsid w:val="001928EC"/>
    <w:rsid w:val="0019302D"/>
    <w:rsid w:val="001938CC"/>
    <w:rsid w:val="00193F6C"/>
    <w:rsid w:val="00193F77"/>
    <w:rsid w:val="00194297"/>
    <w:rsid w:val="001944AA"/>
    <w:rsid w:val="001949A8"/>
    <w:rsid w:val="00194A8B"/>
    <w:rsid w:val="00194B5A"/>
    <w:rsid w:val="00194D27"/>
    <w:rsid w:val="00194E25"/>
    <w:rsid w:val="001958D6"/>
    <w:rsid w:val="00195963"/>
    <w:rsid w:val="00195BA9"/>
    <w:rsid w:val="00195C30"/>
    <w:rsid w:val="00195C7A"/>
    <w:rsid w:val="00195D34"/>
    <w:rsid w:val="00195E1E"/>
    <w:rsid w:val="0019618D"/>
    <w:rsid w:val="00196684"/>
    <w:rsid w:val="00197082"/>
    <w:rsid w:val="0019779D"/>
    <w:rsid w:val="001A001B"/>
    <w:rsid w:val="001A03E7"/>
    <w:rsid w:val="001A0B55"/>
    <w:rsid w:val="001A0F83"/>
    <w:rsid w:val="001A22D5"/>
    <w:rsid w:val="001A22F3"/>
    <w:rsid w:val="001A3643"/>
    <w:rsid w:val="001A37F6"/>
    <w:rsid w:val="001A3B7C"/>
    <w:rsid w:val="001A3BBD"/>
    <w:rsid w:val="001A3DE4"/>
    <w:rsid w:val="001A4115"/>
    <w:rsid w:val="001A4AF9"/>
    <w:rsid w:val="001A4D75"/>
    <w:rsid w:val="001A4DB6"/>
    <w:rsid w:val="001A5074"/>
    <w:rsid w:val="001A57AC"/>
    <w:rsid w:val="001A5C4C"/>
    <w:rsid w:val="001A5C6F"/>
    <w:rsid w:val="001A7CAD"/>
    <w:rsid w:val="001B04CF"/>
    <w:rsid w:val="001B0BF3"/>
    <w:rsid w:val="001B1176"/>
    <w:rsid w:val="001B15B2"/>
    <w:rsid w:val="001B1D9D"/>
    <w:rsid w:val="001B424D"/>
    <w:rsid w:val="001B4ACF"/>
    <w:rsid w:val="001B4E01"/>
    <w:rsid w:val="001B55E0"/>
    <w:rsid w:val="001B67BB"/>
    <w:rsid w:val="001B67EA"/>
    <w:rsid w:val="001B693E"/>
    <w:rsid w:val="001B6FAA"/>
    <w:rsid w:val="001B702F"/>
    <w:rsid w:val="001C0130"/>
    <w:rsid w:val="001C0150"/>
    <w:rsid w:val="001C0480"/>
    <w:rsid w:val="001C159B"/>
    <w:rsid w:val="001C1EC2"/>
    <w:rsid w:val="001C2747"/>
    <w:rsid w:val="001C3D41"/>
    <w:rsid w:val="001C443D"/>
    <w:rsid w:val="001C447A"/>
    <w:rsid w:val="001C4BA1"/>
    <w:rsid w:val="001C4DD6"/>
    <w:rsid w:val="001C4E2C"/>
    <w:rsid w:val="001C579F"/>
    <w:rsid w:val="001C58EF"/>
    <w:rsid w:val="001C595E"/>
    <w:rsid w:val="001C5AB4"/>
    <w:rsid w:val="001C6190"/>
    <w:rsid w:val="001C7073"/>
    <w:rsid w:val="001C748E"/>
    <w:rsid w:val="001C7728"/>
    <w:rsid w:val="001C7BAF"/>
    <w:rsid w:val="001D02A0"/>
    <w:rsid w:val="001D04A5"/>
    <w:rsid w:val="001D074B"/>
    <w:rsid w:val="001D0EF8"/>
    <w:rsid w:val="001D0F59"/>
    <w:rsid w:val="001D1698"/>
    <w:rsid w:val="001D17C5"/>
    <w:rsid w:val="001D1909"/>
    <w:rsid w:val="001D1CA7"/>
    <w:rsid w:val="001D2283"/>
    <w:rsid w:val="001D23E2"/>
    <w:rsid w:val="001D240B"/>
    <w:rsid w:val="001D2525"/>
    <w:rsid w:val="001D314A"/>
    <w:rsid w:val="001D3441"/>
    <w:rsid w:val="001D35F6"/>
    <w:rsid w:val="001D3917"/>
    <w:rsid w:val="001D3B33"/>
    <w:rsid w:val="001D3BC0"/>
    <w:rsid w:val="001D4AF9"/>
    <w:rsid w:val="001D4CD1"/>
    <w:rsid w:val="001D5EFF"/>
    <w:rsid w:val="001D6290"/>
    <w:rsid w:val="001D62BC"/>
    <w:rsid w:val="001D65FC"/>
    <w:rsid w:val="001D6E1B"/>
    <w:rsid w:val="001D6FDA"/>
    <w:rsid w:val="001D7771"/>
    <w:rsid w:val="001E001B"/>
    <w:rsid w:val="001E0931"/>
    <w:rsid w:val="001E0A9A"/>
    <w:rsid w:val="001E0F59"/>
    <w:rsid w:val="001E101F"/>
    <w:rsid w:val="001E128F"/>
    <w:rsid w:val="001E1810"/>
    <w:rsid w:val="001E1B51"/>
    <w:rsid w:val="001E2B5E"/>
    <w:rsid w:val="001E2F1F"/>
    <w:rsid w:val="001E3178"/>
    <w:rsid w:val="001E34ED"/>
    <w:rsid w:val="001E3AA0"/>
    <w:rsid w:val="001E3CDF"/>
    <w:rsid w:val="001E439C"/>
    <w:rsid w:val="001E5064"/>
    <w:rsid w:val="001E513E"/>
    <w:rsid w:val="001E5753"/>
    <w:rsid w:val="001E5CCE"/>
    <w:rsid w:val="001E61D7"/>
    <w:rsid w:val="001E68C5"/>
    <w:rsid w:val="001E6989"/>
    <w:rsid w:val="001E6F2B"/>
    <w:rsid w:val="001E6FAE"/>
    <w:rsid w:val="001E72FF"/>
    <w:rsid w:val="001E75AE"/>
    <w:rsid w:val="001E78DE"/>
    <w:rsid w:val="001E7A5F"/>
    <w:rsid w:val="001E7B08"/>
    <w:rsid w:val="001E7BC6"/>
    <w:rsid w:val="001E7C2F"/>
    <w:rsid w:val="001F02B7"/>
    <w:rsid w:val="001F074E"/>
    <w:rsid w:val="001F1186"/>
    <w:rsid w:val="001F1694"/>
    <w:rsid w:val="001F1990"/>
    <w:rsid w:val="001F19DB"/>
    <w:rsid w:val="001F1E7B"/>
    <w:rsid w:val="001F217A"/>
    <w:rsid w:val="001F2955"/>
    <w:rsid w:val="001F30D5"/>
    <w:rsid w:val="001F36EA"/>
    <w:rsid w:val="001F3959"/>
    <w:rsid w:val="001F3D15"/>
    <w:rsid w:val="001F42B9"/>
    <w:rsid w:val="001F4807"/>
    <w:rsid w:val="001F4843"/>
    <w:rsid w:val="001F4CBF"/>
    <w:rsid w:val="001F5C7C"/>
    <w:rsid w:val="001F6229"/>
    <w:rsid w:val="001F631E"/>
    <w:rsid w:val="001F65B8"/>
    <w:rsid w:val="001F69A3"/>
    <w:rsid w:val="001F70EF"/>
    <w:rsid w:val="001F7347"/>
    <w:rsid w:val="001F7A61"/>
    <w:rsid w:val="0020014C"/>
    <w:rsid w:val="00200D9D"/>
    <w:rsid w:val="0020183D"/>
    <w:rsid w:val="0020190B"/>
    <w:rsid w:val="002021D9"/>
    <w:rsid w:val="00202602"/>
    <w:rsid w:val="002028CF"/>
    <w:rsid w:val="002030AC"/>
    <w:rsid w:val="00203F5F"/>
    <w:rsid w:val="002042D4"/>
    <w:rsid w:val="002044E6"/>
    <w:rsid w:val="00204859"/>
    <w:rsid w:val="00205BB7"/>
    <w:rsid w:val="00205BCB"/>
    <w:rsid w:val="00205C29"/>
    <w:rsid w:val="00206190"/>
    <w:rsid w:val="00207476"/>
    <w:rsid w:val="00207F31"/>
    <w:rsid w:val="00210267"/>
    <w:rsid w:val="00210B14"/>
    <w:rsid w:val="00211020"/>
    <w:rsid w:val="0021114C"/>
    <w:rsid w:val="002113FB"/>
    <w:rsid w:val="002120AC"/>
    <w:rsid w:val="0021276E"/>
    <w:rsid w:val="002129E6"/>
    <w:rsid w:val="00212D38"/>
    <w:rsid w:val="00212DC1"/>
    <w:rsid w:val="0021312B"/>
    <w:rsid w:val="002135E5"/>
    <w:rsid w:val="0021379A"/>
    <w:rsid w:val="00213D6C"/>
    <w:rsid w:val="0021417A"/>
    <w:rsid w:val="002142A7"/>
    <w:rsid w:val="002149FB"/>
    <w:rsid w:val="002151DA"/>
    <w:rsid w:val="002156C1"/>
    <w:rsid w:val="00215A95"/>
    <w:rsid w:val="00215B8F"/>
    <w:rsid w:val="00215DE0"/>
    <w:rsid w:val="00216523"/>
    <w:rsid w:val="0021682B"/>
    <w:rsid w:val="0021753E"/>
    <w:rsid w:val="002176D8"/>
    <w:rsid w:val="00217928"/>
    <w:rsid w:val="00220835"/>
    <w:rsid w:val="00220E23"/>
    <w:rsid w:val="002210F0"/>
    <w:rsid w:val="00221729"/>
    <w:rsid w:val="0022181E"/>
    <w:rsid w:val="00221AA3"/>
    <w:rsid w:val="00221EF2"/>
    <w:rsid w:val="00221FE1"/>
    <w:rsid w:val="002222B9"/>
    <w:rsid w:val="002233E3"/>
    <w:rsid w:val="00223704"/>
    <w:rsid w:val="00223BD4"/>
    <w:rsid w:val="00223F76"/>
    <w:rsid w:val="002245F9"/>
    <w:rsid w:val="002253B8"/>
    <w:rsid w:val="0022558A"/>
    <w:rsid w:val="002259CD"/>
    <w:rsid w:val="00225E89"/>
    <w:rsid w:val="00226930"/>
    <w:rsid w:val="00226D62"/>
    <w:rsid w:val="00226E55"/>
    <w:rsid w:val="00230167"/>
    <w:rsid w:val="00230ED0"/>
    <w:rsid w:val="00232335"/>
    <w:rsid w:val="00232613"/>
    <w:rsid w:val="0023278C"/>
    <w:rsid w:val="002328DC"/>
    <w:rsid w:val="00232C82"/>
    <w:rsid w:val="00233E3E"/>
    <w:rsid w:val="00234664"/>
    <w:rsid w:val="002349B4"/>
    <w:rsid w:val="00234C6C"/>
    <w:rsid w:val="00235D45"/>
    <w:rsid w:val="00235E2A"/>
    <w:rsid w:val="002365C4"/>
    <w:rsid w:val="00236BDA"/>
    <w:rsid w:val="00236EA2"/>
    <w:rsid w:val="00237398"/>
    <w:rsid w:val="00240BD6"/>
    <w:rsid w:val="002413C0"/>
    <w:rsid w:val="00242E09"/>
    <w:rsid w:val="00243325"/>
    <w:rsid w:val="00243C04"/>
    <w:rsid w:val="00243ECB"/>
    <w:rsid w:val="00243F60"/>
    <w:rsid w:val="002440DA"/>
    <w:rsid w:val="00244253"/>
    <w:rsid w:val="002442FB"/>
    <w:rsid w:val="0024490B"/>
    <w:rsid w:val="00245078"/>
    <w:rsid w:val="002450F8"/>
    <w:rsid w:val="00245233"/>
    <w:rsid w:val="00246058"/>
    <w:rsid w:val="002460BE"/>
    <w:rsid w:val="00246A84"/>
    <w:rsid w:val="0025022F"/>
    <w:rsid w:val="00250917"/>
    <w:rsid w:val="00251772"/>
    <w:rsid w:val="00251AB8"/>
    <w:rsid w:val="00251CD2"/>
    <w:rsid w:val="00252661"/>
    <w:rsid w:val="00253125"/>
    <w:rsid w:val="00254410"/>
    <w:rsid w:val="00254458"/>
    <w:rsid w:val="00254888"/>
    <w:rsid w:val="00254A0A"/>
    <w:rsid w:val="00254B5B"/>
    <w:rsid w:val="00254E35"/>
    <w:rsid w:val="0025508B"/>
    <w:rsid w:val="0025525D"/>
    <w:rsid w:val="00255396"/>
    <w:rsid w:val="002557D3"/>
    <w:rsid w:val="00255F08"/>
    <w:rsid w:val="002567FC"/>
    <w:rsid w:val="00256E7C"/>
    <w:rsid w:val="00257A86"/>
    <w:rsid w:val="00257F5C"/>
    <w:rsid w:val="002605A6"/>
    <w:rsid w:val="002606C6"/>
    <w:rsid w:val="00260885"/>
    <w:rsid w:val="00260D0A"/>
    <w:rsid w:val="00261DD9"/>
    <w:rsid w:val="00261F26"/>
    <w:rsid w:val="0026251C"/>
    <w:rsid w:val="00263246"/>
    <w:rsid w:val="00263BBB"/>
    <w:rsid w:val="00263CC0"/>
    <w:rsid w:val="00263DA9"/>
    <w:rsid w:val="002641A0"/>
    <w:rsid w:val="00264773"/>
    <w:rsid w:val="0026482B"/>
    <w:rsid w:val="00264C25"/>
    <w:rsid w:val="0026652F"/>
    <w:rsid w:val="002674A6"/>
    <w:rsid w:val="002675EC"/>
    <w:rsid w:val="00267CB9"/>
    <w:rsid w:val="0027030D"/>
    <w:rsid w:val="00270420"/>
    <w:rsid w:val="002710C8"/>
    <w:rsid w:val="00271F77"/>
    <w:rsid w:val="002724C4"/>
    <w:rsid w:val="00272842"/>
    <w:rsid w:val="00273017"/>
    <w:rsid w:val="002731FA"/>
    <w:rsid w:val="002734D3"/>
    <w:rsid w:val="00273AAB"/>
    <w:rsid w:val="00273AFB"/>
    <w:rsid w:val="002740D3"/>
    <w:rsid w:val="00275020"/>
    <w:rsid w:val="00275291"/>
    <w:rsid w:val="00275811"/>
    <w:rsid w:val="00275819"/>
    <w:rsid w:val="00275AEB"/>
    <w:rsid w:val="00275EDC"/>
    <w:rsid w:val="002762A0"/>
    <w:rsid w:val="00276441"/>
    <w:rsid w:val="00277574"/>
    <w:rsid w:val="00277814"/>
    <w:rsid w:val="00277819"/>
    <w:rsid w:val="00280125"/>
    <w:rsid w:val="00280DB6"/>
    <w:rsid w:val="00281240"/>
    <w:rsid w:val="0028133F"/>
    <w:rsid w:val="0028147F"/>
    <w:rsid w:val="0028171F"/>
    <w:rsid w:val="0028183B"/>
    <w:rsid w:val="002819BD"/>
    <w:rsid w:val="00281CFB"/>
    <w:rsid w:val="00281D60"/>
    <w:rsid w:val="0028276C"/>
    <w:rsid w:val="002837E3"/>
    <w:rsid w:val="002838AD"/>
    <w:rsid w:val="002847FD"/>
    <w:rsid w:val="002848B9"/>
    <w:rsid w:val="00284A74"/>
    <w:rsid w:val="00284BF8"/>
    <w:rsid w:val="00284D05"/>
    <w:rsid w:val="00285460"/>
    <w:rsid w:val="00285B86"/>
    <w:rsid w:val="002860A7"/>
    <w:rsid w:val="0028649C"/>
    <w:rsid w:val="002864AC"/>
    <w:rsid w:val="00286D33"/>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BBE"/>
    <w:rsid w:val="00294CDE"/>
    <w:rsid w:val="002955D2"/>
    <w:rsid w:val="00295AC9"/>
    <w:rsid w:val="002960C4"/>
    <w:rsid w:val="002961D5"/>
    <w:rsid w:val="00297148"/>
    <w:rsid w:val="002971EE"/>
    <w:rsid w:val="00297651"/>
    <w:rsid w:val="00297C40"/>
    <w:rsid w:val="00297C77"/>
    <w:rsid w:val="002A0BDA"/>
    <w:rsid w:val="002A0C47"/>
    <w:rsid w:val="002A0D2B"/>
    <w:rsid w:val="002A129C"/>
    <w:rsid w:val="002A1AB2"/>
    <w:rsid w:val="002A3036"/>
    <w:rsid w:val="002A332A"/>
    <w:rsid w:val="002A3E87"/>
    <w:rsid w:val="002A423C"/>
    <w:rsid w:val="002A441D"/>
    <w:rsid w:val="002A4C23"/>
    <w:rsid w:val="002A4E1A"/>
    <w:rsid w:val="002A518A"/>
    <w:rsid w:val="002A56A8"/>
    <w:rsid w:val="002A56F8"/>
    <w:rsid w:val="002A6011"/>
    <w:rsid w:val="002A641F"/>
    <w:rsid w:val="002A72B8"/>
    <w:rsid w:val="002A7495"/>
    <w:rsid w:val="002A78B7"/>
    <w:rsid w:val="002A7B5A"/>
    <w:rsid w:val="002B02F7"/>
    <w:rsid w:val="002B0495"/>
    <w:rsid w:val="002B09F8"/>
    <w:rsid w:val="002B1865"/>
    <w:rsid w:val="002B1B4E"/>
    <w:rsid w:val="002B1DC9"/>
    <w:rsid w:val="002B1F1B"/>
    <w:rsid w:val="002B1FE5"/>
    <w:rsid w:val="002B20DD"/>
    <w:rsid w:val="002B2307"/>
    <w:rsid w:val="002B2327"/>
    <w:rsid w:val="002B24DF"/>
    <w:rsid w:val="002B2B08"/>
    <w:rsid w:val="002B3FCA"/>
    <w:rsid w:val="002B421B"/>
    <w:rsid w:val="002B4527"/>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718"/>
    <w:rsid w:val="002C06AC"/>
    <w:rsid w:val="002C127A"/>
    <w:rsid w:val="002C14F1"/>
    <w:rsid w:val="002C1952"/>
    <w:rsid w:val="002C2195"/>
    <w:rsid w:val="002C2316"/>
    <w:rsid w:val="002C2410"/>
    <w:rsid w:val="002C2BC7"/>
    <w:rsid w:val="002C4962"/>
    <w:rsid w:val="002C4B63"/>
    <w:rsid w:val="002C4FC5"/>
    <w:rsid w:val="002C5167"/>
    <w:rsid w:val="002C51AF"/>
    <w:rsid w:val="002C51E3"/>
    <w:rsid w:val="002C524E"/>
    <w:rsid w:val="002C5720"/>
    <w:rsid w:val="002C6B57"/>
    <w:rsid w:val="002C6E69"/>
    <w:rsid w:val="002C733C"/>
    <w:rsid w:val="002C747C"/>
    <w:rsid w:val="002C7728"/>
    <w:rsid w:val="002D1091"/>
    <w:rsid w:val="002D11AF"/>
    <w:rsid w:val="002D2732"/>
    <w:rsid w:val="002D2738"/>
    <w:rsid w:val="002D2939"/>
    <w:rsid w:val="002D2A2D"/>
    <w:rsid w:val="002D2A92"/>
    <w:rsid w:val="002D2D30"/>
    <w:rsid w:val="002D2FB7"/>
    <w:rsid w:val="002D31B8"/>
    <w:rsid w:val="002D387C"/>
    <w:rsid w:val="002D4142"/>
    <w:rsid w:val="002D4637"/>
    <w:rsid w:val="002D49EE"/>
    <w:rsid w:val="002D4A6D"/>
    <w:rsid w:val="002D4C3F"/>
    <w:rsid w:val="002D58FC"/>
    <w:rsid w:val="002D5976"/>
    <w:rsid w:val="002D5A0A"/>
    <w:rsid w:val="002D5BA2"/>
    <w:rsid w:val="002D5D0D"/>
    <w:rsid w:val="002D631B"/>
    <w:rsid w:val="002D6836"/>
    <w:rsid w:val="002D6B84"/>
    <w:rsid w:val="002D6D2E"/>
    <w:rsid w:val="002D743E"/>
    <w:rsid w:val="002E00D8"/>
    <w:rsid w:val="002E0284"/>
    <w:rsid w:val="002E0748"/>
    <w:rsid w:val="002E0BDA"/>
    <w:rsid w:val="002E0D6E"/>
    <w:rsid w:val="002E0DD5"/>
    <w:rsid w:val="002E0EC4"/>
    <w:rsid w:val="002E1146"/>
    <w:rsid w:val="002E1672"/>
    <w:rsid w:val="002E1EF0"/>
    <w:rsid w:val="002E22CE"/>
    <w:rsid w:val="002E2922"/>
    <w:rsid w:val="002E3506"/>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A29"/>
    <w:rsid w:val="002E7F6F"/>
    <w:rsid w:val="002F1514"/>
    <w:rsid w:val="002F1B9C"/>
    <w:rsid w:val="002F21B2"/>
    <w:rsid w:val="002F25A8"/>
    <w:rsid w:val="002F26FC"/>
    <w:rsid w:val="002F27D2"/>
    <w:rsid w:val="002F3018"/>
    <w:rsid w:val="002F32B2"/>
    <w:rsid w:val="002F34D8"/>
    <w:rsid w:val="002F3650"/>
    <w:rsid w:val="002F382D"/>
    <w:rsid w:val="002F394A"/>
    <w:rsid w:val="002F3C2F"/>
    <w:rsid w:val="002F3CA1"/>
    <w:rsid w:val="002F400C"/>
    <w:rsid w:val="002F408E"/>
    <w:rsid w:val="002F4250"/>
    <w:rsid w:val="002F49D7"/>
    <w:rsid w:val="002F51CC"/>
    <w:rsid w:val="002F528B"/>
    <w:rsid w:val="002F5675"/>
    <w:rsid w:val="002F59D6"/>
    <w:rsid w:val="002F5AA3"/>
    <w:rsid w:val="002F72BA"/>
    <w:rsid w:val="002F7529"/>
    <w:rsid w:val="002F752C"/>
    <w:rsid w:val="002F756E"/>
    <w:rsid w:val="002F7626"/>
    <w:rsid w:val="002F7811"/>
    <w:rsid w:val="002F7A6B"/>
    <w:rsid w:val="002F7FEE"/>
    <w:rsid w:val="0030033A"/>
    <w:rsid w:val="0030044D"/>
    <w:rsid w:val="003005BD"/>
    <w:rsid w:val="0030061C"/>
    <w:rsid w:val="00300CB1"/>
    <w:rsid w:val="0030136D"/>
    <w:rsid w:val="00301416"/>
    <w:rsid w:val="00302A6F"/>
    <w:rsid w:val="00302ED5"/>
    <w:rsid w:val="003031F4"/>
    <w:rsid w:val="0030369D"/>
    <w:rsid w:val="00303794"/>
    <w:rsid w:val="00304457"/>
    <w:rsid w:val="003047B3"/>
    <w:rsid w:val="00304E20"/>
    <w:rsid w:val="00304E41"/>
    <w:rsid w:val="00305547"/>
    <w:rsid w:val="003061CF"/>
    <w:rsid w:val="003069BA"/>
    <w:rsid w:val="00306A8E"/>
    <w:rsid w:val="00306DF1"/>
    <w:rsid w:val="00306F6F"/>
    <w:rsid w:val="003072C3"/>
    <w:rsid w:val="0030732F"/>
    <w:rsid w:val="0030744E"/>
    <w:rsid w:val="0030776C"/>
    <w:rsid w:val="00307894"/>
    <w:rsid w:val="00307CCD"/>
    <w:rsid w:val="003100F3"/>
    <w:rsid w:val="0031034C"/>
    <w:rsid w:val="0031093B"/>
    <w:rsid w:val="00311034"/>
    <w:rsid w:val="0031117C"/>
    <w:rsid w:val="0031142B"/>
    <w:rsid w:val="00311D12"/>
    <w:rsid w:val="00312128"/>
    <w:rsid w:val="0031240B"/>
    <w:rsid w:val="003125DD"/>
    <w:rsid w:val="003128DE"/>
    <w:rsid w:val="003129A2"/>
    <w:rsid w:val="0031397B"/>
    <w:rsid w:val="00313C3B"/>
    <w:rsid w:val="00314006"/>
    <w:rsid w:val="00314337"/>
    <w:rsid w:val="00314E6D"/>
    <w:rsid w:val="0031545A"/>
    <w:rsid w:val="00315D65"/>
    <w:rsid w:val="00316332"/>
    <w:rsid w:val="0031658C"/>
    <w:rsid w:val="00316EAD"/>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48B"/>
    <w:rsid w:val="00322619"/>
    <w:rsid w:val="00322623"/>
    <w:rsid w:val="00322F1E"/>
    <w:rsid w:val="00322F5E"/>
    <w:rsid w:val="00323190"/>
    <w:rsid w:val="00323B98"/>
    <w:rsid w:val="003241FB"/>
    <w:rsid w:val="00324A26"/>
    <w:rsid w:val="00324DFC"/>
    <w:rsid w:val="00325289"/>
    <w:rsid w:val="0032625E"/>
    <w:rsid w:val="0032649F"/>
    <w:rsid w:val="00326830"/>
    <w:rsid w:val="00326BB3"/>
    <w:rsid w:val="00327318"/>
    <w:rsid w:val="00330087"/>
    <w:rsid w:val="00330345"/>
    <w:rsid w:val="0033092D"/>
    <w:rsid w:val="00330AC4"/>
    <w:rsid w:val="003332C4"/>
    <w:rsid w:val="003332E3"/>
    <w:rsid w:val="00333AEA"/>
    <w:rsid w:val="00333FF5"/>
    <w:rsid w:val="00334555"/>
    <w:rsid w:val="00334589"/>
    <w:rsid w:val="003349CF"/>
    <w:rsid w:val="00334BE4"/>
    <w:rsid w:val="00335357"/>
    <w:rsid w:val="0033546C"/>
    <w:rsid w:val="00336635"/>
    <w:rsid w:val="003366F0"/>
    <w:rsid w:val="00336E80"/>
    <w:rsid w:val="00337338"/>
    <w:rsid w:val="00337779"/>
    <w:rsid w:val="00337A3D"/>
    <w:rsid w:val="00337B64"/>
    <w:rsid w:val="00337D02"/>
    <w:rsid w:val="00337DD8"/>
    <w:rsid w:val="0034038A"/>
    <w:rsid w:val="003405BA"/>
    <w:rsid w:val="003405C4"/>
    <w:rsid w:val="00340B27"/>
    <w:rsid w:val="00341516"/>
    <w:rsid w:val="00341685"/>
    <w:rsid w:val="00341824"/>
    <w:rsid w:val="00341B6B"/>
    <w:rsid w:val="0034271A"/>
    <w:rsid w:val="00342984"/>
    <w:rsid w:val="00342A29"/>
    <w:rsid w:val="00342D26"/>
    <w:rsid w:val="00342F4C"/>
    <w:rsid w:val="003438EA"/>
    <w:rsid w:val="00343C0B"/>
    <w:rsid w:val="0034406E"/>
    <w:rsid w:val="003442C9"/>
    <w:rsid w:val="003445E4"/>
    <w:rsid w:val="00344635"/>
    <w:rsid w:val="00344726"/>
    <w:rsid w:val="00344CCF"/>
    <w:rsid w:val="0034528A"/>
    <w:rsid w:val="0034550A"/>
    <w:rsid w:val="00345A4A"/>
    <w:rsid w:val="00345F5B"/>
    <w:rsid w:val="0034645F"/>
    <w:rsid w:val="003465B3"/>
    <w:rsid w:val="00346EDC"/>
    <w:rsid w:val="00347053"/>
    <w:rsid w:val="003472C0"/>
    <w:rsid w:val="003474FD"/>
    <w:rsid w:val="003478B0"/>
    <w:rsid w:val="003479FD"/>
    <w:rsid w:val="00347D03"/>
    <w:rsid w:val="00347EF8"/>
    <w:rsid w:val="0035075E"/>
    <w:rsid w:val="0035094D"/>
    <w:rsid w:val="003518A8"/>
    <w:rsid w:val="003526F2"/>
    <w:rsid w:val="00352CDA"/>
    <w:rsid w:val="00352F34"/>
    <w:rsid w:val="00353081"/>
    <w:rsid w:val="003534CF"/>
    <w:rsid w:val="003538EF"/>
    <w:rsid w:val="003548DF"/>
    <w:rsid w:val="00354903"/>
    <w:rsid w:val="0035533B"/>
    <w:rsid w:val="0035568C"/>
    <w:rsid w:val="00355864"/>
    <w:rsid w:val="00355974"/>
    <w:rsid w:val="0035599A"/>
    <w:rsid w:val="00356502"/>
    <w:rsid w:val="00357FE7"/>
    <w:rsid w:val="00360273"/>
    <w:rsid w:val="00360331"/>
    <w:rsid w:val="003606F3"/>
    <w:rsid w:val="00360D81"/>
    <w:rsid w:val="00360D9A"/>
    <w:rsid w:val="00360E67"/>
    <w:rsid w:val="00361702"/>
    <w:rsid w:val="0036186D"/>
    <w:rsid w:val="003618C1"/>
    <w:rsid w:val="003619C2"/>
    <w:rsid w:val="003621C7"/>
    <w:rsid w:val="003622DD"/>
    <w:rsid w:val="00363235"/>
    <w:rsid w:val="003633AF"/>
    <w:rsid w:val="00363944"/>
    <w:rsid w:val="00364915"/>
    <w:rsid w:val="00364D4A"/>
    <w:rsid w:val="00364E6E"/>
    <w:rsid w:val="00365BCA"/>
    <w:rsid w:val="0036601D"/>
    <w:rsid w:val="003663C2"/>
    <w:rsid w:val="0036649F"/>
    <w:rsid w:val="00366586"/>
    <w:rsid w:val="00366CD1"/>
    <w:rsid w:val="003670F9"/>
    <w:rsid w:val="003674BE"/>
    <w:rsid w:val="0036763B"/>
    <w:rsid w:val="00367DDB"/>
    <w:rsid w:val="00367E76"/>
    <w:rsid w:val="003719A8"/>
    <w:rsid w:val="003738A4"/>
    <w:rsid w:val="003740E7"/>
    <w:rsid w:val="0037452F"/>
    <w:rsid w:val="003747BD"/>
    <w:rsid w:val="0037488E"/>
    <w:rsid w:val="0037488F"/>
    <w:rsid w:val="00374ABA"/>
    <w:rsid w:val="00374B1E"/>
    <w:rsid w:val="0037520A"/>
    <w:rsid w:val="00375657"/>
    <w:rsid w:val="003758CD"/>
    <w:rsid w:val="00375D46"/>
    <w:rsid w:val="00380106"/>
    <w:rsid w:val="0038047D"/>
    <w:rsid w:val="003805AE"/>
    <w:rsid w:val="00380730"/>
    <w:rsid w:val="00381295"/>
    <w:rsid w:val="003814A7"/>
    <w:rsid w:val="0038183E"/>
    <w:rsid w:val="00381946"/>
    <w:rsid w:val="00382CB4"/>
    <w:rsid w:val="003834D1"/>
    <w:rsid w:val="003841D8"/>
    <w:rsid w:val="003846C9"/>
    <w:rsid w:val="00384773"/>
    <w:rsid w:val="003856EC"/>
    <w:rsid w:val="0038603C"/>
    <w:rsid w:val="00386188"/>
    <w:rsid w:val="003868B8"/>
    <w:rsid w:val="00390532"/>
    <w:rsid w:val="0039070C"/>
    <w:rsid w:val="00390C65"/>
    <w:rsid w:val="00391022"/>
    <w:rsid w:val="0039256D"/>
    <w:rsid w:val="00392C07"/>
    <w:rsid w:val="00392DB3"/>
    <w:rsid w:val="00393E68"/>
    <w:rsid w:val="003942B3"/>
    <w:rsid w:val="0039448A"/>
    <w:rsid w:val="0039448C"/>
    <w:rsid w:val="003944E8"/>
    <w:rsid w:val="00394563"/>
    <w:rsid w:val="00394E90"/>
    <w:rsid w:val="00395146"/>
    <w:rsid w:val="00395317"/>
    <w:rsid w:val="00395474"/>
    <w:rsid w:val="003957F5"/>
    <w:rsid w:val="00396709"/>
    <w:rsid w:val="003977B5"/>
    <w:rsid w:val="003A01CA"/>
    <w:rsid w:val="003A065C"/>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6EA1"/>
    <w:rsid w:val="003A72EC"/>
    <w:rsid w:val="003B0279"/>
    <w:rsid w:val="003B03C7"/>
    <w:rsid w:val="003B067D"/>
    <w:rsid w:val="003B0DD4"/>
    <w:rsid w:val="003B0FA7"/>
    <w:rsid w:val="003B17E8"/>
    <w:rsid w:val="003B1896"/>
    <w:rsid w:val="003B19EF"/>
    <w:rsid w:val="003B1C86"/>
    <w:rsid w:val="003B1E8F"/>
    <w:rsid w:val="003B27FA"/>
    <w:rsid w:val="003B2855"/>
    <w:rsid w:val="003B2D48"/>
    <w:rsid w:val="003B2DC5"/>
    <w:rsid w:val="003B3526"/>
    <w:rsid w:val="003B354C"/>
    <w:rsid w:val="003B381F"/>
    <w:rsid w:val="003B38C1"/>
    <w:rsid w:val="003B3D77"/>
    <w:rsid w:val="003B3F62"/>
    <w:rsid w:val="003B487A"/>
    <w:rsid w:val="003B4C24"/>
    <w:rsid w:val="003B4CDF"/>
    <w:rsid w:val="003B4D8D"/>
    <w:rsid w:val="003B4FE5"/>
    <w:rsid w:val="003B5B55"/>
    <w:rsid w:val="003B662E"/>
    <w:rsid w:val="003B778E"/>
    <w:rsid w:val="003B7923"/>
    <w:rsid w:val="003B7933"/>
    <w:rsid w:val="003B7C23"/>
    <w:rsid w:val="003C00D0"/>
    <w:rsid w:val="003C04F1"/>
    <w:rsid w:val="003C09EC"/>
    <w:rsid w:val="003C0CC7"/>
    <w:rsid w:val="003C0D11"/>
    <w:rsid w:val="003C180D"/>
    <w:rsid w:val="003C18E7"/>
    <w:rsid w:val="003C19BA"/>
    <w:rsid w:val="003C1F5F"/>
    <w:rsid w:val="003C20EA"/>
    <w:rsid w:val="003C2301"/>
    <w:rsid w:val="003C2584"/>
    <w:rsid w:val="003C2CC4"/>
    <w:rsid w:val="003C306B"/>
    <w:rsid w:val="003C3701"/>
    <w:rsid w:val="003C3DCA"/>
    <w:rsid w:val="003C450E"/>
    <w:rsid w:val="003C45F2"/>
    <w:rsid w:val="003C4818"/>
    <w:rsid w:val="003C5392"/>
    <w:rsid w:val="003C541E"/>
    <w:rsid w:val="003C57BC"/>
    <w:rsid w:val="003C5A2F"/>
    <w:rsid w:val="003C5D43"/>
    <w:rsid w:val="003C657C"/>
    <w:rsid w:val="003C6D0B"/>
    <w:rsid w:val="003C6DCE"/>
    <w:rsid w:val="003C7D16"/>
    <w:rsid w:val="003C7F5D"/>
    <w:rsid w:val="003D0129"/>
    <w:rsid w:val="003D1128"/>
    <w:rsid w:val="003D1495"/>
    <w:rsid w:val="003D160F"/>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132"/>
    <w:rsid w:val="003F1345"/>
    <w:rsid w:val="003F16DA"/>
    <w:rsid w:val="003F1A98"/>
    <w:rsid w:val="003F260F"/>
    <w:rsid w:val="003F2B8D"/>
    <w:rsid w:val="003F2E53"/>
    <w:rsid w:val="003F2FD3"/>
    <w:rsid w:val="003F37EE"/>
    <w:rsid w:val="003F3AC4"/>
    <w:rsid w:val="003F4685"/>
    <w:rsid w:val="003F4A37"/>
    <w:rsid w:val="003F4E8E"/>
    <w:rsid w:val="003F4EB3"/>
    <w:rsid w:val="003F5704"/>
    <w:rsid w:val="003F5711"/>
    <w:rsid w:val="003F6E06"/>
    <w:rsid w:val="003F7397"/>
    <w:rsid w:val="003F74CD"/>
    <w:rsid w:val="003F7840"/>
    <w:rsid w:val="003F7E7B"/>
    <w:rsid w:val="003F7ED0"/>
    <w:rsid w:val="003F7FB3"/>
    <w:rsid w:val="004000AE"/>
    <w:rsid w:val="00400DF1"/>
    <w:rsid w:val="00400F56"/>
    <w:rsid w:val="00401AB6"/>
    <w:rsid w:val="00402817"/>
    <w:rsid w:val="00402BCF"/>
    <w:rsid w:val="00402FAA"/>
    <w:rsid w:val="00403527"/>
    <w:rsid w:val="004040DD"/>
    <w:rsid w:val="004042DE"/>
    <w:rsid w:val="00404646"/>
    <w:rsid w:val="0040518B"/>
    <w:rsid w:val="00405217"/>
    <w:rsid w:val="00405E62"/>
    <w:rsid w:val="00405EF8"/>
    <w:rsid w:val="00406C20"/>
    <w:rsid w:val="004072ED"/>
    <w:rsid w:val="004100DF"/>
    <w:rsid w:val="004104A1"/>
    <w:rsid w:val="00411244"/>
    <w:rsid w:val="004115E9"/>
    <w:rsid w:val="00411E04"/>
    <w:rsid w:val="004124AF"/>
    <w:rsid w:val="004128C2"/>
    <w:rsid w:val="004129AB"/>
    <w:rsid w:val="0041324B"/>
    <w:rsid w:val="00413976"/>
    <w:rsid w:val="00413AA7"/>
    <w:rsid w:val="00413B8F"/>
    <w:rsid w:val="00413D20"/>
    <w:rsid w:val="0041422C"/>
    <w:rsid w:val="004143A6"/>
    <w:rsid w:val="0041451F"/>
    <w:rsid w:val="00414ABB"/>
    <w:rsid w:val="00414E2F"/>
    <w:rsid w:val="004151A6"/>
    <w:rsid w:val="0041672B"/>
    <w:rsid w:val="00416BC0"/>
    <w:rsid w:val="00416FE6"/>
    <w:rsid w:val="00417094"/>
    <w:rsid w:val="004178D5"/>
    <w:rsid w:val="00420793"/>
    <w:rsid w:val="00420BE4"/>
    <w:rsid w:val="004211BA"/>
    <w:rsid w:val="0042125E"/>
    <w:rsid w:val="0042149C"/>
    <w:rsid w:val="00421570"/>
    <w:rsid w:val="00421AA7"/>
    <w:rsid w:val="00421DFA"/>
    <w:rsid w:val="00422373"/>
    <w:rsid w:val="0042256A"/>
    <w:rsid w:val="00422BFD"/>
    <w:rsid w:val="00422F36"/>
    <w:rsid w:val="004236FF"/>
    <w:rsid w:val="004238EE"/>
    <w:rsid w:val="00423D6A"/>
    <w:rsid w:val="00423DCF"/>
    <w:rsid w:val="004250CC"/>
    <w:rsid w:val="004253D1"/>
    <w:rsid w:val="0042570F"/>
    <w:rsid w:val="004258D4"/>
    <w:rsid w:val="00425C98"/>
    <w:rsid w:val="0042645B"/>
    <w:rsid w:val="0042698D"/>
    <w:rsid w:val="00426A18"/>
    <w:rsid w:val="00426A5E"/>
    <w:rsid w:val="004278AA"/>
    <w:rsid w:val="00427D72"/>
    <w:rsid w:val="00430008"/>
    <w:rsid w:val="00430C40"/>
    <w:rsid w:val="00431F8E"/>
    <w:rsid w:val="00431FFE"/>
    <w:rsid w:val="0043236C"/>
    <w:rsid w:val="00432860"/>
    <w:rsid w:val="004331B5"/>
    <w:rsid w:val="004331DF"/>
    <w:rsid w:val="004333C1"/>
    <w:rsid w:val="00433B31"/>
    <w:rsid w:val="00433CF1"/>
    <w:rsid w:val="00433DE9"/>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4E91"/>
    <w:rsid w:val="00445410"/>
    <w:rsid w:val="0044578C"/>
    <w:rsid w:val="004465C1"/>
    <w:rsid w:val="00446820"/>
    <w:rsid w:val="00446AB7"/>
    <w:rsid w:val="00447396"/>
    <w:rsid w:val="0044745A"/>
    <w:rsid w:val="00447669"/>
    <w:rsid w:val="0044782F"/>
    <w:rsid w:val="004479F6"/>
    <w:rsid w:val="00447FE2"/>
    <w:rsid w:val="00450860"/>
    <w:rsid w:val="004508C5"/>
    <w:rsid w:val="00450A17"/>
    <w:rsid w:val="00450B06"/>
    <w:rsid w:val="00450C67"/>
    <w:rsid w:val="00451D3C"/>
    <w:rsid w:val="00452DA6"/>
    <w:rsid w:val="00453533"/>
    <w:rsid w:val="004536AF"/>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2BA"/>
    <w:rsid w:val="004623B2"/>
    <w:rsid w:val="00463542"/>
    <w:rsid w:val="00463C3A"/>
    <w:rsid w:val="00463DE2"/>
    <w:rsid w:val="00464270"/>
    <w:rsid w:val="00464746"/>
    <w:rsid w:val="0046480A"/>
    <w:rsid w:val="00464D00"/>
    <w:rsid w:val="0046504C"/>
    <w:rsid w:val="004656C0"/>
    <w:rsid w:val="0046604E"/>
    <w:rsid w:val="00466378"/>
    <w:rsid w:val="004668D0"/>
    <w:rsid w:val="00466A76"/>
    <w:rsid w:val="0046708B"/>
    <w:rsid w:val="004672DE"/>
    <w:rsid w:val="004672F9"/>
    <w:rsid w:val="00467A2A"/>
    <w:rsid w:val="00467BB6"/>
    <w:rsid w:val="0047035C"/>
    <w:rsid w:val="004708E7"/>
    <w:rsid w:val="00470958"/>
    <w:rsid w:val="004710EE"/>
    <w:rsid w:val="00471373"/>
    <w:rsid w:val="004720F4"/>
    <w:rsid w:val="0047217C"/>
    <w:rsid w:val="00473CEC"/>
    <w:rsid w:val="00475E1A"/>
    <w:rsid w:val="004761E0"/>
    <w:rsid w:val="00476A05"/>
    <w:rsid w:val="00477D57"/>
    <w:rsid w:val="0048029E"/>
    <w:rsid w:val="0048069A"/>
    <w:rsid w:val="00481116"/>
    <w:rsid w:val="0048121F"/>
    <w:rsid w:val="00481719"/>
    <w:rsid w:val="00481F2D"/>
    <w:rsid w:val="00481F9C"/>
    <w:rsid w:val="004831C0"/>
    <w:rsid w:val="00483576"/>
    <w:rsid w:val="0048378A"/>
    <w:rsid w:val="00484617"/>
    <w:rsid w:val="004846E3"/>
    <w:rsid w:val="00484CE2"/>
    <w:rsid w:val="0048547E"/>
    <w:rsid w:val="0048549E"/>
    <w:rsid w:val="00485E05"/>
    <w:rsid w:val="004861E5"/>
    <w:rsid w:val="00486436"/>
    <w:rsid w:val="004866D6"/>
    <w:rsid w:val="00486BB7"/>
    <w:rsid w:val="00486E76"/>
    <w:rsid w:val="00487750"/>
    <w:rsid w:val="00487B68"/>
    <w:rsid w:val="00487B71"/>
    <w:rsid w:val="00487E66"/>
    <w:rsid w:val="00490A0B"/>
    <w:rsid w:val="004913C4"/>
    <w:rsid w:val="00491D1C"/>
    <w:rsid w:val="0049237C"/>
    <w:rsid w:val="004926D3"/>
    <w:rsid w:val="00492706"/>
    <w:rsid w:val="00492A3F"/>
    <w:rsid w:val="0049319C"/>
    <w:rsid w:val="004936AA"/>
    <w:rsid w:val="00493A85"/>
    <w:rsid w:val="00494237"/>
    <w:rsid w:val="0049514D"/>
    <w:rsid w:val="004959A5"/>
    <w:rsid w:val="00495A07"/>
    <w:rsid w:val="00496308"/>
    <w:rsid w:val="00496647"/>
    <w:rsid w:val="00496DD1"/>
    <w:rsid w:val="004971CE"/>
    <w:rsid w:val="004976C9"/>
    <w:rsid w:val="00497A0B"/>
    <w:rsid w:val="004A0965"/>
    <w:rsid w:val="004A09EB"/>
    <w:rsid w:val="004A1056"/>
    <w:rsid w:val="004A17E9"/>
    <w:rsid w:val="004A1CC7"/>
    <w:rsid w:val="004A20D5"/>
    <w:rsid w:val="004A23D9"/>
    <w:rsid w:val="004A2648"/>
    <w:rsid w:val="004A377B"/>
    <w:rsid w:val="004A3F58"/>
    <w:rsid w:val="004A422A"/>
    <w:rsid w:val="004A4693"/>
    <w:rsid w:val="004A4952"/>
    <w:rsid w:val="004A4D22"/>
    <w:rsid w:val="004A50F4"/>
    <w:rsid w:val="004A5237"/>
    <w:rsid w:val="004A5330"/>
    <w:rsid w:val="004A5C6F"/>
    <w:rsid w:val="004A5CED"/>
    <w:rsid w:val="004A5CF7"/>
    <w:rsid w:val="004A6782"/>
    <w:rsid w:val="004A6EE7"/>
    <w:rsid w:val="004A76A2"/>
    <w:rsid w:val="004A7E49"/>
    <w:rsid w:val="004B07A5"/>
    <w:rsid w:val="004B0A75"/>
    <w:rsid w:val="004B0C10"/>
    <w:rsid w:val="004B1898"/>
    <w:rsid w:val="004B1AF3"/>
    <w:rsid w:val="004B1D5A"/>
    <w:rsid w:val="004B2417"/>
    <w:rsid w:val="004B269D"/>
    <w:rsid w:val="004B2983"/>
    <w:rsid w:val="004B2CB2"/>
    <w:rsid w:val="004B317A"/>
    <w:rsid w:val="004B3DBA"/>
    <w:rsid w:val="004B48BA"/>
    <w:rsid w:val="004B4B4C"/>
    <w:rsid w:val="004B5162"/>
    <w:rsid w:val="004B542C"/>
    <w:rsid w:val="004B5695"/>
    <w:rsid w:val="004B58B6"/>
    <w:rsid w:val="004B6B88"/>
    <w:rsid w:val="004B6F0F"/>
    <w:rsid w:val="004B75F7"/>
    <w:rsid w:val="004B7980"/>
    <w:rsid w:val="004B7C14"/>
    <w:rsid w:val="004B7CCC"/>
    <w:rsid w:val="004C020B"/>
    <w:rsid w:val="004C0437"/>
    <w:rsid w:val="004C05F3"/>
    <w:rsid w:val="004C0B8D"/>
    <w:rsid w:val="004C1683"/>
    <w:rsid w:val="004C2302"/>
    <w:rsid w:val="004C2A9B"/>
    <w:rsid w:val="004C2FB4"/>
    <w:rsid w:val="004C3280"/>
    <w:rsid w:val="004C3713"/>
    <w:rsid w:val="004C37CE"/>
    <w:rsid w:val="004C3F22"/>
    <w:rsid w:val="004C433C"/>
    <w:rsid w:val="004C4CAE"/>
    <w:rsid w:val="004C4EEC"/>
    <w:rsid w:val="004C500D"/>
    <w:rsid w:val="004C5210"/>
    <w:rsid w:val="004C5278"/>
    <w:rsid w:val="004C5564"/>
    <w:rsid w:val="004C563F"/>
    <w:rsid w:val="004C5CE3"/>
    <w:rsid w:val="004C6AA7"/>
    <w:rsid w:val="004C6F56"/>
    <w:rsid w:val="004C7ABE"/>
    <w:rsid w:val="004C7E68"/>
    <w:rsid w:val="004D03E9"/>
    <w:rsid w:val="004D07B2"/>
    <w:rsid w:val="004D0A05"/>
    <w:rsid w:val="004D0D86"/>
    <w:rsid w:val="004D17E7"/>
    <w:rsid w:val="004D1B93"/>
    <w:rsid w:val="004D1EBB"/>
    <w:rsid w:val="004D1EBE"/>
    <w:rsid w:val="004D277E"/>
    <w:rsid w:val="004D3277"/>
    <w:rsid w:val="004D33AA"/>
    <w:rsid w:val="004D35BF"/>
    <w:rsid w:val="004D3A1D"/>
    <w:rsid w:val="004D4099"/>
    <w:rsid w:val="004D412C"/>
    <w:rsid w:val="004D4467"/>
    <w:rsid w:val="004D48CA"/>
    <w:rsid w:val="004D4B66"/>
    <w:rsid w:val="004D4BFE"/>
    <w:rsid w:val="004D5099"/>
    <w:rsid w:val="004D5340"/>
    <w:rsid w:val="004D5C44"/>
    <w:rsid w:val="004D5CEB"/>
    <w:rsid w:val="004D697A"/>
    <w:rsid w:val="004D7360"/>
    <w:rsid w:val="004D75FC"/>
    <w:rsid w:val="004D7624"/>
    <w:rsid w:val="004D7727"/>
    <w:rsid w:val="004E0356"/>
    <w:rsid w:val="004E0456"/>
    <w:rsid w:val="004E06E9"/>
    <w:rsid w:val="004E0C6D"/>
    <w:rsid w:val="004E0D6F"/>
    <w:rsid w:val="004E12F2"/>
    <w:rsid w:val="004E15BE"/>
    <w:rsid w:val="004E19CA"/>
    <w:rsid w:val="004E1E34"/>
    <w:rsid w:val="004E1E7B"/>
    <w:rsid w:val="004E220E"/>
    <w:rsid w:val="004E28B1"/>
    <w:rsid w:val="004E2DC7"/>
    <w:rsid w:val="004E2E1F"/>
    <w:rsid w:val="004E2F31"/>
    <w:rsid w:val="004E3A59"/>
    <w:rsid w:val="004E3C86"/>
    <w:rsid w:val="004E3EA2"/>
    <w:rsid w:val="004E427C"/>
    <w:rsid w:val="004E45BD"/>
    <w:rsid w:val="004E45D7"/>
    <w:rsid w:val="004E4779"/>
    <w:rsid w:val="004E4912"/>
    <w:rsid w:val="004E4A1E"/>
    <w:rsid w:val="004E4BE5"/>
    <w:rsid w:val="004E4C21"/>
    <w:rsid w:val="004E4EF1"/>
    <w:rsid w:val="004E4FD4"/>
    <w:rsid w:val="004E509E"/>
    <w:rsid w:val="004E50B2"/>
    <w:rsid w:val="004E5A10"/>
    <w:rsid w:val="004E5FBF"/>
    <w:rsid w:val="004E6093"/>
    <w:rsid w:val="004E64AE"/>
    <w:rsid w:val="004E6A0F"/>
    <w:rsid w:val="004E6E66"/>
    <w:rsid w:val="004E6F8C"/>
    <w:rsid w:val="004E71EF"/>
    <w:rsid w:val="004F0026"/>
    <w:rsid w:val="004F042C"/>
    <w:rsid w:val="004F0609"/>
    <w:rsid w:val="004F0719"/>
    <w:rsid w:val="004F09A4"/>
    <w:rsid w:val="004F0A15"/>
    <w:rsid w:val="004F0C9C"/>
    <w:rsid w:val="004F177D"/>
    <w:rsid w:val="004F179B"/>
    <w:rsid w:val="004F1D43"/>
    <w:rsid w:val="004F2654"/>
    <w:rsid w:val="004F2713"/>
    <w:rsid w:val="004F2842"/>
    <w:rsid w:val="004F2A33"/>
    <w:rsid w:val="004F3D81"/>
    <w:rsid w:val="004F420E"/>
    <w:rsid w:val="004F4236"/>
    <w:rsid w:val="004F427C"/>
    <w:rsid w:val="004F4882"/>
    <w:rsid w:val="004F51C7"/>
    <w:rsid w:val="004F528B"/>
    <w:rsid w:val="004F5929"/>
    <w:rsid w:val="004F71AE"/>
    <w:rsid w:val="004F722F"/>
    <w:rsid w:val="004F7DDF"/>
    <w:rsid w:val="0050003D"/>
    <w:rsid w:val="00500322"/>
    <w:rsid w:val="00500C52"/>
    <w:rsid w:val="005010B8"/>
    <w:rsid w:val="005010ED"/>
    <w:rsid w:val="00501143"/>
    <w:rsid w:val="00501BFA"/>
    <w:rsid w:val="0050208A"/>
    <w:rsid w:val="00502E47"/>
    <w:rsid w:val="005030D9"/>
    <w:rsid w:val="00503AD6"/>
    <w:rsid w:val="00504615"/>
    <w:rsid w:val="0050473E"/>
    <w:rsid w:val="00505411"/>
    <w:rsid w:val="00505ADB"/>
    <w:rsid w:val="00506624"/>
    <w:rsid w:val="005066ED"/>
    <w:rsid w:val="005069E4"/>
    <w:rsid w:val="0050730E"/>
    <w:rsid w:val="00507356"/>
    <w:rsid w:val="00507ACB"/>
    <w:rsid w:val="00507B30"/>
    <w:rsid w:val="0051047C"/>
    <w:rsid w:val="005106B8"/>
    <w:rsid w:val="005106F2"/>
    <w:rsid w:val="005107EC"/>
    <w:rsid w:val="0051167E"/>
    <w:rsid w:val="00511AE5"/>
    <w:rsid w:val="0051278C"/>
    <w:rsid w:val="00513D15"/>
    <w:rsid w:val="00513D1A"/>
    <w:rsid w:val="00514267"/>
    <w:rsid w:val="005144A7"/>
    <w:rsid w:val="00514A63"/>
    <w:rsid w:val="00514C0B"/>
    <w:rsid w:val="00514E01"/>
    <w:rsid w:val="00514E85"/>
    <w:rsid w:val="005156F2"/>
    <w:rsid w:val="00515AFB"/>
    <w:rsid w:val="00516213"/>
    <w:rsid w:val="005164B5"/>
    <w:rsid w:val="00516520"/>
    <w:rsid w:val="005165A5"/>
    <w:rsid w:val="00516615"/>
    <w:rsid w:val="0051664F"/>
    <w:rsid w:val="005168CE"/>
    <w:rsid w:val="00516917"/>
    <w:rsid w:val="00517C0E"/>
    <w:rsid w:val="00520111"/>
    <w:rsid w:val="005201E4"/>
    <w:rsid w:val="005201F0"/>
    <w:rsid w:val="00520A7E"/>
    <w:rsid w:val="00520E3F"/>
    <w:rsid w:val="00521998"/>
    <w:rsid w:val="00521BC0"/>
    <w:rsid w:val="00522F38"/>
    <w:rsid w:val="005230E0"/>
    <w:rsid w:val="00523B37"/>
    <w:rsid w:val="00523C7D"/>
    <w:rsid w:val="00525C79"/>
    <w:rsid w:val="00525DA4"/>
    <w:rsid w:val="0052608A"/>
    <w:rsid w:val="005264CF"/>
    <w:rsid w:val="00526FFB"/>
    <w:rsid w:val="005272C8"/>
    <w:rsid w:val="00527336"/>
    <w:rsid w:val="00527360"/>
    <w:rsid w:val="00527F08"/>
    <w:rsid w:val="005301D8"/>
    <w:rsid w:val="005305A7"/>
    <w:rsid w:val="005310E2"/>
    <w:rsid w:val="00531439"/>
    <w:rsid w:val="0053181C"/>
    <w:rsid w:val="005321D4"/>
    <w:rsid w:val="00532688"/>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5CF"/>
    <w:rsid w:val="005416A1"/>
    <w:rsid w:val="005426E8"/>
    <w:rsid w:val="00542F18"/>
    <w:rsid w:val="0054304E"/>
    <w:rsid w:val="00543308"/>
    <w:rsid w:val="0054341E"/>
    <w:rsid w:val="00543427"/>
    <w:rsid w:val="00543726"/>
    <w:rsid w:val="00543822"/>
    <w:rsid w:val="005440BA"/>
    <w:rsid w:val="00544366"/>
    <w:rsid w:val="005445F7"/>
    <w:rsid w:val="00545257"/>
    <w:rsid w:val="00545ACC"/>
    <w:rsid w:val="00545D06"/>
    <w:rsid w:val="005469BE"/>
    <w:rsid w:val="005470D8"/>
    <w:rsid w:val="00547110"/>
    <w:rsid w:val="00547497"/>
    <w:rsid w:val="00547B66"/>
    <w:rsid w:val="00547F98"/>
    <w:rsid w:val="0055002A"/>
    <w:rsid w:val="0055075F"/>
    <w:rsid w:val="00550DEA"/>
    <w:rsid w:val="00551468"/>
    <w:rsid w:val="00551AAC"/>
    <w:rsid w:val="00551EDC"/>
    <w:rsid w:val="00552DEB"/>
    <w:rsid w:val="005530A2"/>
    <w:rsid w:val="00553291"/>
    <w:rsid w:val="00553375"/>
    <w:rsid w:val="0055354A"/>
    <w:rsid w:val="005538A6"/>
    <w:rsid w:val="005538CF"/>
    <w:rsid w:val="00553CFE"/>
    <w:rsid w:val="00553EE6"/>
    <w:rsid w:val="00554178"/>
    <w:rsid w:val="00554D5D"/>
    <w:rsid w:val="00554EFC"/>
    <w:rsid w:val="00554F87"/>
    <w:rsid w:val="00555A2F"/>
    <w:rsid w:val="00555D32"/>
    <w:rsid w:val="00556B89"/>
    <w:rsid w:val="00556D9D"/>
    <w:rsid w:val="005575F9"/>
    <w:rsid w:val="00560866"/>
    <w:rsid w:val="005609F1"/>
    <w:rsid w:val="0056136D"/>
    <w:rsid w:val="0056158D"/>
    <w:rsid w:val="005616FA"/>
    <w:rsid w:val="00561AB7"/>
    <w:rsid w:val="00561CDA"/>
    <w:rsid w:val="00562050"/>
    <w:rsid w:val="005620FC"/>
    <w:rsid w:val="0056236D"/>
    <w:rsid w:val="00562867"/>
    <w:rsid w:val="00562E84"/>
    <w:rsid w:val="00562EE9"/>
    <w:rsid w:val="00563157"/>
    <w:rsid w:val="00563283"/>
    <w:rsid w:val="005633D8"/>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7F1"/>
    <w:rsid w:val="005728CD"/>
    <w:rsid w:val="00572E1F"/>
    <w:rsid w:val="005730AD"/>
    <w:rsid w:val="00573237"/>
    <w:rsid w:val="00573BE0"/>
    <w:rsid w:val="00573CC8"/>
    <w:rsid w:val="00574229"/>
    <w:rsid w:val="0057450E"/>
    <w:rsid w:val="005745EF"/>
    <w:rsid w:val="00574C03"/>
    <w:rsid w:val="00574CA0"/>
    <w:rsid w:val="00575306"/>
    <w:rsid w:val="0057593B"/>
    <w:rsid w:val="00575BB1"/>
    <w:rsid w:val="00575D61"/>
    <w:rsid w:val="00575DC2"/>
    <w:rsid w:val="00576087"/>
    <w:rsid w:val="005761C8"/>
    <w:rsid w:val="00576224"/>
    <w:rsid w:val="0057670D"/>
    <w:rsid w:val="00576A3F"/>
    <w:rsid w:val="00576DC8"/>
    <w:rsid w:val="0057777B"/>
    <w:rsid w:val="0057795C"/>
    <w:rsid w:val="00577D1D"/>
    <w:rsid w:val="00580191"/>
    <w:rsid w:val="00580580"/>
    <w:rsid w:val="00580F9D"/>
    <w:rsid w:val="005811EF"/>
    <w:rsid w:val="005811F8"/>
    <w:rsid w:val="0058122A"/>
    <w:rsid w:val="005816D3"/>
    <w:rsid w:val="00581A73"/>
    <w:rsid w:val="00581AB2"/>
    <w:rsid w:val="00582E47"/>
    <w:rsid w:val="00582F8B"/>
    <w:rsid w:val="00583945"/>
    <w:rsid w:val="00583B6D"/>
    <w:rsid w:val="00584065"/>
    <w:rsid w:val="0058443C"/>
    <w:rsid w:val="0058458B"/>
    <w:rsid w:val="00584AF3"/>
    <w:rsid w:val="00584B88"/>
    <w:rsid w:val="00585389"/>
    <w:rsid w:val="005858FB"/>
    <w:rsid w:val="0058635E"/>
    <w:rsid w:val="005863C2"/>
    <w:rsid w:val="00586B45"/>
    <w:rsid w:val="00586FE9"/>
    <w:rsid w:val="00587389"/>
    <w:rsid w:val="00587A0E"/>
    <w:rsid w:val="00587D7B"/>
    <w:rsid w:val="00590919"/>
    <w:rsid w:val="00590C24"/>
    <w:rsid w:val="0059126E"/>
    <w:rsid w:val="005912D9"/>
    <w:rsid w:val="0059146F"/>
    <w:rsid w:val="0059162E"/>
    <w:rsid w:val="005916F2"/>
    <w:rsid w:val="00591B9C"/>
    <w:rsid w:val="00591C33"/>
    <w:rsid w:val="005925C6"/>
    <w:rsid w:val="0059262E"/>
    <w:rsid w:val="00592738"/>
    <w:rsid w:val="00593B60"/>
    <w:rsid w:val="00593B77"/>
    <w:rsid w:val="0059407F"/>
    <w:rsid w:val="00594261"/>
    <w:rsid w:val="005949F7"/>
    <w:rsid w:val="00594C16"/>
    <w:rsid w:val="005953DF"/>
    <w:rsid w:val="0059567F"/>
    <w:rsid w:val="0059613A"/>
    <w:rsid w:val="00596512"/>
    <w:rsid w:val="0059655E"/>
    <w:rsid w:val="005965FB"/>
    <w:rsid w:val="00596850"/>
    <w:rsid w:val="005972C7"/>
    <w:rsid w:val="005973D1"/>
    <w:rsid w:val="005975D2"/>
    <w:rsid w:val="00597954"/>
    <w:rsid w:val="005A056D"/>
    <w:rsid w:val="005A05F1"/>
    <w:rsid w:val="005A13CD"/>
    <w:rsid w:val="005A14B8"/>
    <w:rsid w:val="005A1817"/>
    <w:rsid w:val="005A23AC"/>
    <w:rsid w:val="005A291A"/>
    <w:rsid w:val="005A2A52"/>
    <w:rsid w:val="005A37D9"/>
    <w:rsid w:val="005A3B06"/>
    <w:rsid w:val="005A400A"/>
    <w:rsid w:val="005A4293"/>
    <w:rsid w:val="005A441E"/>
    <w:rsid w:val="005A51CF"/>
    <w:rsid w:val="005A53F8"/>
    <w:rsid w:val="005A5B86"/>
    <w:rsid w:val="005A6110"/>
    <w:rsid w:val="005A6543"/>
    <w:rsid w:val="005A6F06"/>
    <w:rsid w:val="005A7998"/>
    <w:rsid w:val="005A7A22"/>
    <w:rsid w:val="005B0251"/>
    <w:rsid w:val="005B11D4"/>
    <w:rsid w:val="005B1764"/>
    <w:rsid w:val="005B20D2"/>
    <w:rsid w:val="005B21E9"/>
    <w:rsid w:val="005B22A0"/>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1CA"/>
    <w:rsid w:val="005B557A"/>
    <w:rsid w:val="005B59A7"/>
    <w:rsid w:val="005B5C03"/>
    <w:rsid w:val="005B5E67"/>
    <w:rsid w:val="005B6731"/>
    <w:rsid w:val="005B72F0"/>
    <w:rsid w:val="005B7341"/>
    <w:rsid w:val="005B7973"/>
    <w:rsid w:val="005C01FD"/>
    <w:rsid w:val="005C0C2C"/>
    <w:rsid w:val="005C11B7"/>
    <w:rsid w:val="005C1F3E"/>
    <w:rsid w:val="005C260A"/>
    <w:rsid w:val="005C350E"/>
    <w:rsid w:val="005C378C"/>
    <w:rsid w:val="005C3829"/>
    <w:rsid w:val="005C3A93"/>
    <w:rsid w:val="005C3ED4"/>
    <w:rsid w:val="005C3F3C"/>
    <w:rsid w:val="005C4884"/>
    <w:rsid w:val="005C503F"/>
    <w:rsid w:val="005C6936"/>
    <w:rsid w:val="005C745C"/>
    <w:rsid w:val="005D0629"/>
    <w:rsid w:val="005D0DD0"/>
    <w:rsid w:val="005D10C2"/>
    <w:rsid w:val="005D131C"/>
    <w:rsid w:val="005D1D3B"/>
    <w:rsid w:val="005D1D94"/>
    <w:rsid w:val="005D2456"/>
    <w:rsid w:val="005D28A0"/>
    <w:rsid w:val="005D2B76"/>
    <w:rsid w:val="005D2C6E"/>
    <w:rsid w:val="005D2D9A"/>
    <w:rsid w:val="005D2E6B"/>
    <w:rsid w:val="005D3396"/>
    <w:rsid w:val="005D3A03"/>
    <w:rsid w:val="005D3B48"/>
    <w:rsid w:val="005D3D7E"/>
    <w:rsid w:val="005D3E2A"/>
    <w:rsid w:val="005D3FB0"/>
    <w:rsid w:val="005D5310"/>
    <w:rsid w:val="005D5480"/>
    <w:rsid w:val="005D5A92"/>
    <w:rsid w:val="005D5D68"/>
    <w:rsid w:val="005D62BC"/>
    <w:rsid w:val="005D73C6"/>
    <w:rsid w:val="005D7988"/>
    <w:rsid w:val="005D7AB3"/>
    <w:rsid w:val="005D7B1A"/>
    <w:rsid w:val="005D7BBA"/>
    <w:rsid w:val="005D7F8B"/>
    <w:rsid w:val="005E03CE"/>
    <w:rsid w:val="005E0E04"/>
    <w:rsid w:val="005E0FC5"/>
    <w:rsid w:val="005E144C"/>
    <w:rsid w:val="005E1522"/>
    <w:rsid w:val="005E1923"/>
    <w:rsid w:val="005E1DB4"/>
    <w:rsid w:val="005E2268"/>
    <w:rsid w:val="005E2AFC"/>
    <w:rsid w:val="005E34F8"/>
    <w:rsid w:val="005E391E"/>
    <w:rsid w:val="005E3AAC"/>
    <w:rsid w:val="005E3ED4"/>
    <w:rsid w:val="005E3F54"/>
    <w:rsid w:val="005E4889"/>
    <w:rsid w:val="005E4C8A"/>
    <w:rsid w:val="005E4FF6"/>
    <w:rsid w:val="005E5745"/>
    <w:rsid w:val="005E583B"/>
    <w:rsid w:val="005E624E"/>
    <w:rsid w:val="005E6FAD"/>
    <w:rsid w:val="005E7B89"/>
    <w:rsid w:val="005F0106"/>
    <w:rsid w:val="005F06FA"/>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68C4"/>
    <w:rsid w:val="005F7437"/>
    <w:rsid w:val="005F7FF0"/>
    <w:rsid w:val="006002E8"/>
    <w:rsid w:val="0060085F"/>
    <w:rsid w:val="006009BF"/>
    <w:rsid w:val="00600E8C"/>
    <w:rsid w:val="0060114F"/>
    <w:rsid w:val="006015CB"/>
    <w:rsid w:val="00601E66"/>
    <w:rsid w:val="00601EB6"/>
    <w:rsid w:val="006020B4"/>
    <w:rsid w:val="0060316D"/>
    <w:rsid w:val="00603473"/>
    <w:rsid w:val="0060370F"/>
    <w:rsid w:val="00603B2C"/>
    <w:rsid w:val="00603CA0"/>
    <w:rsid w:val="00603F91"/>
    <w:rsid w:val="0060432B"/>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8BD"/>
    <w:rsid w:val="00611A9E"/>
    <w:rsid w:val="00611CAA"/>
    <w:rsid w:val="0061216C"/>
    <w:rsid w:val="006136C9"/>
    <w:rsid w:val="006138B3"/>
    <w:rsid w:val="00613B32"/>
    <w:rsid w:val="00613CD9"/>
    <w:rsid w:val="00614127"/>
    <w:rsid w:val="00614442"/>
    <w:rsid w:val="00614A4E"/>
    <w:rsid w:val="00615178"/>
    <w:rsid w:val="006159F3"/>
    <w:rsid w:val="00615BDA"/>
    <w:rsid w:val="00615CB4"/>
    <w:rsid w:val="00616127"/>
    <w:rsid w:val="00616465"/>
    <w:rsid w:val="00616EE7"/>
    <w:rsid w:val="0061727E"/>
    <w:rsid w:val="00617308"/>
    <w:rsid w:val="006173F4"/>
    <w:rsid w:val="00617776"/>
    <w:rsid w:val="0061795C"/>
    <w:rsid w:val="0062009C"/>
    <w:rsid w:val="006202E5"/>
    <w:rsid w:val="006207C8"/>
    <w:rsid w:val="006208C7"/>
    <w:rsid w:val="006213F6"/>
    <w:rsid w:val="00623DC5"/>
    <w:rsid w:val="00623F02"/>
    <w:rsid w:val="006250B7"/>
    <w:rsid w:val="006257CD"/>
    <w:rsid w:val="006259E7"/>
    <w:rsid w:val="00626500"/>
    <w:rsid w:val="006266E5"/>
    <w:rsid w:val="00626859"/>
    <w:rsid w:val="00626A58"/>
    <w:rsid w:val="00626F2B"/>
    <w:rsid w:val="00630AE7"/>
    <w:rsid w:val="00630D9B"/>
    <w:rsid w:val="00631E52"/>
    <w:rsid w:val="0063254F"/>
    <w:rsid w:val="00632B69"/>
    <w:rsid w:val="00633121"/>
    <w:rsid w:val="00633569"/>
    <w:rsid w:val="00633702"/>
    <w:rsid w:val="00633F06"/>
    <w:rsid w:val="006341A5"/>
    <w:rsid w:val="006348F5"/>
    <w:rsid w:val="00634B0A"/>
    <w:rsid w:val="00634E1C"/>
    <w:rsid w:val="00635113"/>
    <w:rsid w:val="00635F8A"/>
    <w:rsid w:val="00636086"/>
    <w:rsid w:val="006365A4"/>
    <w:rsid w:val="00636823"/>
    <w:rsid w:val="0063755A"/>
    <w:rsid w:val="00640A3C"/>
    <w:rsid w:val="006416A1"/>
    <w:rsid w:val="00641754"/>
    <w:rsid w:val="00641B51"/>
    <w:rsid w:val="00641D43"/>
    <w:rsid w:val="00641F40"/>
    <w:rsid w:val="0064234A"/>
    <w:rsid w:val="00642351"/>
    <w:rsid w:val="00642574"/>
    <w:rsid w:val="00643120"/>
    <w:rsid w:val="006436FD"/>
    <w:rsid w:val="00643F0C"/>
    <w:rsid w:val="0064430F"/>
    <w:rsid w:val="006444EF"/>
    <w:rsid w:val="00644744"/>
    <w:rsid w:val="00644FC7"/>
    <w:rsid w:val="006453F7"/>
    <w:rsid w:val="0064562E"/>
    <w:rsid w:val="0064569F"/>
    <w:rsid w:val="00645CB6"/>
    <w:rsid w:val="00646123"/>
    <w:rsid w:val="00646269"/>
    <w:rsid w:val="00646678"/>
    <w:rsid w:val="006468F2"/>
    <w:rsid w:val="00646DB4"/>
    <w:rsid w:val="006503E2"/>
    <w:rsid w:val="00650A38"/>
    <w:rsid w:val="00650C31"/>
    <w:rsid w:val="00650C6D"/>
    <w:rsid w:val="006514CE"/>
    <w:rsid w:val="00651DA6"/>
    <w:rsid w:val="00651E23"/>
    <w:rsid w:val="006521DA"/>
    <w:rsid w:val="00652545"/>
    <w:rsid w:val="00652A86"/>
    <w:rsid w:val="00653993"/>
    <w:rsid w:val="00654D37"/>
    <w:rsid w:val="00654D64"/>
    <w:rsid w:val="006552D6"/>
    <w:rsid w:val="006563CE"/>
    <w:rsid w:val="00656560"/>
    <w:rsid w:val="00657049"/>
    <w:rsid w:val="00657174"/>
    <w:rsid w:val="00657667"/>
    <w:rsid w:val="00657C40"/>
    <w:rsid w:val="00657F18"/>
    <w:rsid w:val="006601DF"/>
    <w:rsid w:val="0066020C"/>
    <w:rsid w:val="00660618"/>
    <w:rsid w:val="00660F4F"/>
    <w:rsid w:val="0066147F"/>
    <w:rsid w:val="00661D33"/>
    <w:rsid w:val="006626E1"/>
    <w:rsid w:val="00662AE9"/>
    <w:rsid w:val="00663429"/>
    <w:rsid w:val="00663515"/>
    <w:rsid w:val="0066375B"/>
    <w:rsid w:val="00663CCD"/>
    <w:rsid w:val="00664031"/>
    <w:rsid w:val="00664072"/>
    <w:rsid w:val="0066437F"/>
    <w:rsid w:val="0066533B"/>
    <w:rsid w:val="00665A35"/>
    <w:rsid w:val="006663CD"/>
    <w:rsid w:val="00666BFA"/>
    <w:rsid w:val="00666DA4"/>
    <w:rsid w:val="006670B7"/>
    <w:rsid w:val="00667999"/>
    <w:rsid w:val="00667D7B"/>
    <w:rsid w:val="00667DEF"/>
    <w:rsid w:val="00667E93"/>
    <w:rsid w:val="00670212"/>
    <w:rsid w:val="00670A44"/>
    <w:rsid w:val="00670C23"/>
    <w:rsid w:val="0067111A"/>
    <w:rsid w:val="00671DA3"/>
    <w:rsid w:val="006727DF"/>
    <w:rsid w:val="006727F3"/>
    <w:rsid w:val="006734D9"/>
    <w:rsid w:val="00673C6F"/>
    <w:rsid w:val="0067410F"/>
    <w:rsid w:val="00674395"/>
    <w:rsid w:val="006743FE"/>
    <w:rsid w:val="006752C8"/>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7DD"/>
    <w:rsid w:val="00682E40"/>
    <w:rsid w:val="0068345F"/>
    <w:rsid w:val="00684282"/>
    <w:rsid w:val="006847D2"/>
    <w:rsid w:val="00684F7F"/>
    <w:rsid w:val="00685091"/>
    <w:rsid w:val="0068512F"/>
    <w:rsid w:val="00685382"/>
    <w:rsid w:val="006857FE"/>
    <w:rsid w:val="00685C6C"/>
    <w:rsid w:val="00685ED9"/>
    <w:rsid w:val="006864BB"/>
    <w:rsid w:val="006865E6"/>
    <w:rsid w:val="006865F0"/>
    <w:rsid w:val="0068705B"/>
    <w:rsid w:val="00687061"/>
    <w:rsid w:val="00687C00"/>
    <w:rsid w:val="00690015"/>
    <w:rsid w:val="00690298"/>
    <w:rsid w:val="00690FDF"/>
    <w:rsid w:val="006919B6"/>
    <w:rsid w:val="00691AEF"/>
    <w:rsid w:val="00691C2C"/>
    <w:rsid w:val="00691E72"/>
    <w:rsid w:val="0069208F"/>
    <w:rsid w:val="00692EA9"/>
    <w:rsid w:val="006937FE"/>
    <w:rsid w:val="006939E3"/>
    <w:rsid w:val="00693F4C"/>
    <w:rsid w:val="006944F9"/>
    <w:rsid w:val="00694CD5"/>
    <w:rsid w:val="00694DA2"/>
    <w:rsid w:val="00694E7B"/>
    <w:rsid w:val="00695054"/>
    <w:rsid w:val="006953E2"/>
    <w:rsid w:val="006955C2"/>
    <w:rsid w:val="0069578B"/>
    <w:rsid w:val="00695915"/>
    <w:rsid w:val="006959B6"/>
    <w:rsid w:val="00695F71"/>
    <w:rsid w:val="006967DF"/>
    <w:rsid w:val="00696AA2"/>
    <w:rsid w:val="00696F65"/>
    <w:rsid w:val="00697008"/>
    <w:rsid w:val="0069799C"/>
    <w:rsid w:val="00697A4B"/>
    <w:rsid w:val="006A0188"/>
    <w:rsid w:val="006A04DA"/>
    <w:rsid w:val="006A0695"/>
    <w:rsid w:val="006A0CDD"/>
    <w:rsid w:val="006A109B"/>
    <w:rsid w:val="006A133E"/>
    <w:rsid w:val="006A1678"/>
    <w:rsid w:val="006A1AF0"/>
    <w:rsid w:val="006A1B53"/>
    <w:rsid w:val="006A2339"/>
    <w:rsid w:val="006A23E7"/>
    <w:rsid w:val="006A2401"/>
    <w:rsid w:val="006A282A"/>
    <w:rsid w:val="006A2CED"/>
    <w:rsid w:val="006A3A04"/>
    <w:rsid w:val="006A3AC4"/>
    <w:rsid w:val="006A400A"/>
    <w:rsid w:val="006A412F"/>
    <w:rsid w:val="006A46CB"/>
    <w:rsid w:val="006A539F"/>
    <w:rsid w:val="006A5A39"/>
    <w:rsid w:val="006A5A81"/>
    <w:rsid w:val="006A6BE2"/>
    <w:rsid w:val="006A7856"/>
    <w:rsid w:val="006A794E"/>
    <w:rsid w:val="006A79A1"/>
    <w:rsid w:val="006A7F49"/>
    <w:rsid w:val="006B014C"/>
    <w:rsid w:val="006B0559"/>
    <w:rsid w:val="006B06B5"/>
    <w:rsid w:val="006B11C2"/>
    <w:rsid w:val="006B11FD"/>
    <w:rsid w:val="006B1631"/>
    <w:rsid w:val="006B2079"/>
    <w:rsid w:val="006B2E3F"/>
    <w:rsid w:val="006B2F19"/>
    <w:rsid w:val="006B3867"/>
    <w:rsid w:val="006B3EF1"/>
    <w:rsid w:val="006B3F0B"/>
    <w:rsid w:val="006B4A48"/>
    <w:rsid w:val="006B581B"/>
    <w:rsid w:val="006B5A07"/>
    <w:rsid w:val="006B60C1"/>
    <w:rsid w:val="006B611B"/>
    <w:rsid w:val="006B6F4E"/>
    <w:rsid w:val="006C04C8"/>
    <w:rsid w:val="006C057F"/>
    <w:rsid w:val="006C07B1"/>
    <w:rsid w:val="006C139C"/>
    <w:rsid w:val="006C1430"/>
    <w:rsid w:val="006C2188"/>
    <w:rsid w:val="006C21B8"/>
    <w:rsid w:val="006C2474"/>
    <w:rsid w:val="006C2908"/>
    <w:rsid w:val="006C2CE2"/>
    <w:rsid w:val="006C3598"/>
    <w:rsid w:val="006C375C"/>
    <w:rsid w:val="006C375E"/>
    <w:rsid w:val="006C3D70"/>
    <w:rsid w:val="006C3DE2"/>
    <w:rsid w:val="006C3F98"/>
    <w:rsid w:val="006C496E"/>
    <w:rsid w:val="006C5DC4"/>
    <w:rsid w:val="006C60B0"/>
    <w:rsid w:val="006C6580"/>
    <w:rsid w:val="006C669E"/>
    <w:rsid w:val="006C6E6D"/>
    <w:rsid w:val="006C725A"/>
    <w:rsid w:val="006C7BAA"/>
    <w:rsid w:val="006D0043"/>
    <w:rsid w:val="006D0643"/>
    <w:rsid w:val="006D0939"/>
    <w:rsid w:val="006D0A2E"/>
    <w:rsid w:val="006D17BB"/>
    <w:rsid w:val="006D1E6B"/>
    <w:rsid w:val="006D2BC4"/>
    <w:rsid w:val="006D2C52"/>
    <w:rsid w:val="006D2CC4"/>
    <w:rsid w:val="006D2EFE"/>
    <w:rsid w:val="006D33A3"/>
    <w:rsid w:val="006D3499"/>
    <w:rsid w:val="006D38B5"/>
    <w:rsid w:val="006D39E5"/>
    <w:rsid w:val="006D3DA3"/>
    <w:rsid w:val="006D4888"/>
    <w:rsid w:val="006D48FF"/>
    <w:rsid w:val="006D4F4D"/>
    <w:rsid w:val="006D5FA3"/>
    <w:rsid w:val="006D6625"/>
    <w:rsid w:val="006D68AB"/>
    <w:rsid w:val="006D69DD"/>
    <w:rsid w:val="006D6D94"/>
    <w:rsid w:val="006D6F71"/>
    <w:rsid w:val="006D6FD8"/>
    <w:rsid w:val="006D7458"/>
    <w:rsid w:val="006D76ED"/>
    <w:rsid w:val="006E02B3"/>
    <w:rsid w:val="006E0B43"/>
    <w:rsid w:val="006E0FD9"/>
    <w:rsid w:val="006E10FC"/>
    <w:rsid w:val="006E1872"/>
    <w:rsid w:val="006E324D"/>
    <w:rsid w:val="006E33EF"/>
    <w:rsid w:val="006E3CED"/>
    <w:rsid w:val="006E3E0F"/>
    <w:rsid w:val="006E43BB"/>
    <w:rsid w:val="006E4700"/>
    <w:rsid w:val="006E4AD6"/>
    <w:rsid w:val="006E580F"/>
    <w:rsid w:val="006E601B"/>
    <w:rsid w:val="006E65BD"/>
    <w:rsid w:val="006E67BF"/>
    <w:rsid w:val="006E6DD7"/>
    <w:rsid w:val="006E76F0"/>
    <w:rsid w:val="006E7991"/>
    <w:rsid w:val="006F008F"/>
    <w:rsid w:val="006F02C5"/>
    <w:rsid w:val="006F0B89"/>
    <w:rsid w:val="006F1123"/>
    <w:rsid w:val="006F113B"/>
    <w:rsid w:val="006F1C4A"/>
    <w:rsid w:val="006F243B"/>
    <w:rsid w:val="006F24B7"/>
    <w:rsid w:val="006F252C"/>
    <w:rsid w:val="006F258E"/>
    <w:rsid w:val="006F27B4"/>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DCA"/>
    <w:rsid w:val="006F65EE"/>
    <w:rsid w:val="006F663A"/>
    <w:rsid w:val="006F6660"/>
    <w:rsid w:val="006F76AA"/>
    <w:rsid w:val="006F7766"/>
    <w:rsid w:val="006F7773"/>
    <w:rsid w:val="006F7CCE"/>
    <w:rsid w:val="00700630"/>
    <w:rsid w:val="0070098F"/>
    <w:rsid w:val="00701619"/>
    <w:rsid w:val="007020AC"/>
    <w:rsid w:val="00703213"/>
    <w:rsid w:val="00703660"/>
    <w:rsid w:val="00703A61"/>
    <w:rsid w:val="00703D9B"/>
    <w:rsid w:val="00703ECF"/>
    <w:rsid w:val="00704053"/>
    <w:rsid w:val="00705082"/>
    <w:rsid w:val="0070594E"/>
    <w:rsid w:val="007059E8"/>
    <w:rsid w:val="007066CC"/>
    <w:rsid w:val="00707127"/>
    <w:rsid w:val="007073B1"/>
    <w:rsid w:val="00707F7A"/>
    <w:rsid w:val="007107F7"/>
    <w:rsid w:val="007110E6"/>
    <w:rsid w:val="00711347"/>
    <w:rsid w:val="00711492"/>
    <w:rsid w:val="007115B3"/>
    <w:rsid w:val="007115BB"/>
    <w:rsid w:val="00711DA5"/>
    <w:rsid w:val="0071294D"/>
    <w:rsid w:val="00712B28"/>
    <w:rsid w:val="00713381"/>
    <w:rsid w:val="0071366F"/>
    <w:rsid w:val="00713F50"/>
    <w:rsid w:val="00713FC9"/>
    <w:rsid w:val="00714449"/>
    <w:rsid w:val="0071515B"/>
    <w:rsid w:val="00715773"/>
    <w:rsid w:val="00715D93"/>
    <w:rsid w:val="0071611B"/>
    <w:rsid w:val="00716154"/>
    <w:rsid w:val="00716781"/>
    <w:rsid w:val="00716830"/>
    <w:rsid w:val="00716969"/>
    <w:rsid w:val="00717315"/>
    <w:rsid w:val="0071749C"/>
    <w:rsid w:val="00717895"/>
    <w:rsid w:val="00717A77"/>
    <w:rsid w:val="00717A94"/>
    <w:rsid w:val="00717CA5"/>
    <w:rsid w:val="0072031B"/>
    <w:rsid w:val="007203ED"/>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4"/>
    <w:rsid w:val="007252F1"/>
    <w:rsid w:val="00725EF5"/>
    <w:rsid w:val="00725F1A"/>
    <w:rsid w:val="0072609B"/>
    <w:rsid w:val="0072617D"/>
    <w:rsid w:val="007267D0"/>
    <w:rsid w:val="00726CCC"/>
    <w:rsid w:val="007270D1"/>
    <w:rsid w:val="00727132"/>
    <w:rsid w:val="0072744D"/>
    <w:rsid w:val="007305F3"/>
    <w:rsid w:val="007306B7"/>
    <w:rsid w:val="00730846"/>
    <w:rsid w:val="00730AB4"/>
    <w:rsid w:val="00730DC6"/>
    <w:rsid w:val="00731101"/>
    <w:rsid w:val="00731503"/>
    <w:rsid w:val="007319EB"/>
    <w:rsid w:val="00731B72"/>
    <w:rsid w:val="00731D3F"/>
    <w:rsid w:val="00731E73"/>
    <w:rsid w:val="00731EAF"/>
    <w:rsid w:val="00732DD1"/>
    <w:rsid w:val="00733A6D"/>
    <w:rsid w:val="00733B3B"/>
    <w:rsid w:val="007348DE"/>
    <w:rsid w:val="00735474"/>
    <w:rsid w:val="00735701"/>
    <w:rsid w:val="00735DA8"/>
    <w:rsid w:val="00736075"/>
    <w:rsid w:val="007362A3"/>
    <w:rsid w:val="00736DB1"/>
    <w:rsid w:val="0073729B"/>
    <w:rsid w:val="0073745C"/>
    <w:rsid w:val="00737603"/>
    <w:rsid w:val="00737B47"/>
    <w:rsid w:val="00737F3F"/>
    <w:rsid w:val="007402B4"/>
    <w:rsid w:val="00740606"/>
    <w:rsid w:val="0074084D"/>
    <w:rsid w:val="00741236"/>
    <w:rsid w:val="007416CC"/>
    <w:rsid w:val="00741784"/>
    <w:rsid w:val="0074195D"/>
    <w:rsid w:val="007423B9"/>
    <w:rsid w:val="007426B3"/>
    <w:rsid w:val="00742701"/>
    <w:rsid w:val="00742BCA"/>
    <w:rsid w:val="00743829"/>
    <w:rsid w:val="00743A49"/>
    <w:rsid w:val="00743E53"/>
    <w:rsid w:val="00744032"/>
    <w:rsid w:val="0074437E"/>
    <w:rsid w:val="00744A00"/>
    <w:rsid w:val="00744E64"/>
    <w:rsid w:val="007455F7"/>
    <w:rsid w:val="00745A7F"/>
    <w:rsid w:val="00745E4D"/>
    <w:rsid w:val="0074623B"/>
    <w:rsid w:val="00746660"/>
    <w:rsid w:val="00746F91"/>
    <w:rsid w:val="007472E3"/>
    <w:rsid w:val="007475BD"/>
    <w:rsid w:val="007476BA"/>
    <w:rsid w:val="00747FC6"/>
    <w:rsid w:val="0075023F"/>
    <w:rsid w:val="00750B7B"/>
    <w:rsid w:val="00750B7D"/>
    <w:rsid w:val="00750F4C"/>
    <w:rsid w:val="007512A3"/>
    <w:rsid w:val="00752917"/>
    <w:rsid w:val="0075307F"/>
    <w:rsid w:val="00753518"/>
    <w:rsid w:val="00753799"/>
    <w:rsid w:val="007538AE"/>
    <w:rsid w:val="007538C1"/>
    <w:rsid w:val="00753912"/>
    <w:rsid w:val="0075434C"/>
    <w:rsid w:val="007550BF"/>
    <w:rsid w:val="00755245"/>
    <w:rsid w:val="007557A0"/>
    <w:rsid w:val="0075657B"/>
    <w:rsid w:val="0075687F"/>
    <w:rsid w:val="00756941"/>
    <w:rsid w:val="00756DC7"/>
    <w:rsid w:val="0075716A"/>
    <w:rsid w:val="007600DE"/>
    <w:rsid w:val="0076087C"/>
    <w:rsid w:val="00761151"/>
    <w:rsid w:val="007612EC"/>
    <w:rsid w:val="00761862"/>
    <w:rsid w:val="00761E59"/>
    <w:rsid w:val="00761E8C"/>
    <w:rsid w:val="00761F33"/>
    <w:rsid w:val="0076255D"/>
    <w:rsid w:val="00763B71"/>
    <w:rsid w:val="00763FDD"/>
    <w:rsid w:val="00764895"/>
    <w:rsid w:val="007648D0"/>
    <w:rsid w:val="00764981"/>
    <w:rsid w:val="007650F6"/>
    <w:rsid w:val="0076525E"/>
    <w:rsid w:val="00766326"/>
    <w:rsid w:val="007664E3"/>
    <w:rsid w:val="00766820"/>
    <w:rsid w:val="0076682D"/>
    <w:rsid w:val="00766A41"/>
    <w:rsid w:val="007670FD"/>
    <w:rsid w:val="007703CB"/>
    <w:rsid w:val="00770827"/>
    <w:rsid w:val="00770D92"/>
    <w:rsid w:val="00770F03"/>
    <w:rsid w:val="00771842"/>
    <w:rsid w:val="0077274A"/>
    <w:rsid w:val="00772E2E"/>
    <w:rsid w:val="00772F43"/>
    <w:rsid w:val="0077315F"/>
    <w:rsid w:val="00773874"/>
    <w:rsid w:val="00773E45"/>
    <w:rsid w:val="00774158"/>
    <w:rsid w:val="007743C5"/>
    <w:rsid w:val="007747D2"/>
    <w:rsid w:val="007748BF"/>
    <w:rsid w:val="0077545C"/>
    <w:rsid w:val="007754DD"/>
    <w:rsid w:val="0077570E"/>
    <w:rsid w:val="00775DB7"/>
    <w:rsid w:val="00775E11"/>
    <w:rsid w:val="0077623F"/>
    <w:rsid w:val="00776450"/>
    <w:rsid w:val="007766E5"/>
    <w:rsid w:val="0077743F"/>
    <w:rsid w:val="00777894"/>
    <w:rsid w:val="00777BE4"/>
    <w:rsid w:val="007800EE"/>
    <w:rsid w:val="00780A30"/>
    <w:rsid w:val="00780C33"/>
    <w:rsid w:val="007813FC"/>
    <w:rsid w:val="00781ED7"/>
    <w:rsid w:val="007820D4"/>
    <w:rsid w:val="007828F2"/>
    <w:rsid w:val="00782DFE"/>
    <w:rsid w:val="00782F90"/>
    <w:rsid w:val="007831C7"/>
    <w:rsid w:val="00783E2C"/>
    <w:rsid w:val="00784C44"/>
    <w:rsid w:val="00784EEC"/>
    <w:rsid w:val="00785136"/>
    <w:rsid w:val="007857C4"/>
    <w:rsid w:val="00786C5C"/>
    <w:rsid w:val="007879FA"/>
    <w:rsid w:val="00787C53"/>
    <w:rsid w:val="00790824"/>
    <w:rsid w:val="00790AC8"/>
    <w:rsid w:val="00790D73"/>
    <w:rsid w:val="00791BD7"/>
    <w:rsid w:val="00791C1C"/>
    <w:rsid w:val="007921AF"/>
    <w:rsid w:val="007923A4"/>
    <w:rsid w:val="0079258F"/>
    <w:rsid w:val="00792B0B"/>
    <w:rsid w:val="00792EF5"/>
    <w:rsid w:val="00792FE1"/>
    <w:rsid w:val="00793199"/>
    <w:rsid w:val="007931B2"/>
    <w:rsid w:val="00793545"/>
    <w:rsid w:val="00793EE2"/>
    <w:rsid w:val="00794264"/>
    <w:rsid w:val="00794A23"/>
    <w:rsid w:val="00794FE4"/>
    <w:rsid w:val="00795FDB"/>
    <w:rsid w:val="0079684C"/>
    <w:rsid w:val="00796CB2"/>
    <w:rsid w:val="007A007C"/>
    <w:rsid w:val="007A0121"/>
    <w:rsid w:val="007A022D"/>
    <w:rsid w:val="007A0519"/>
    <w:rsid w:val="007A06D6"/>
    <w:rsid w:val="007A09F2"/>
    <w:rsid w:val="007A0BB9"/>
    <w:rsid w:val="007A0FB9"/>
    <w:rsid w:val="007A1040"/>
    <w:rsid w:val="007A1586"/>
    <w:rsid w:val="007A312C"/>
    <w:rsid w:val="007A357B"/>
    <w:rsid w:val="007A3596"/>
    <w:rsid w:val="007A386C"/>
    <w:rsid w:val="007A3A1E"/>
    <w:rsid w:val="007A46CD"/>
    <w:rsid w:val="007A4D97"/>
    <w:rsid w:val="007A5390"/>
    <w:rsid w:val="007A5BCC"/>
    <w:rsid w:val="007A6031"/>
    <w:rsid w:val="007A6343"/>
    <w:rsid w:val="007A6490"/>
    <w:rsid w:val="007A65FE"/>
    <w:rsid w:val="007A6ACE"/>
    <w:rsid w:val="007A6B79"/>
    <w:rsid w:val="007A76F8"/>
    <w:rsid w:val="007A7C2B"/>
    <w:rsid w:val="007A7D0D"/>
    <w:rsid w:val="007A7D16"/>
    <w:rsid w:val="007B0235"/>
    <w:rsid w:val="007B15A8"/>
    <w:rsid w:val="007B17B2"/>
    <w:rsid w:val="007B1CF4"/>
    <w:rsid w:val="007B1CFC"/>
    <w:rsid w:val="007B212F"/>
    <w:rsid w:val="007B251D"/>
    <w:rsid w:val="007B2A56"/>
    <w:rsid w:val="007B2D04"/>
    <w:rsid w:val="007B2FBF"/>
    <w:rsid w:val="007B37C4"/>
    <w:rsid w:val="007B37D1"/>
    <w:rsid w:val="007B3C9B"/>
    <w:rsid w:val="007B3E9C"/>
    <w:rsid w:val="007B4BA1"/>
    <w:rsid w:val="007B5456"/>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85E"/>
    <w:rsid w:val="007C2BB0"/>
    <w:rsid w:val="007C2D3A"/>
    <w:rsid w:val="007C2EEC"/>
    <w:rsid w:val="007C38A9"/>
    <w:rsid w:val="007C41C5"/>
    <w:rsid w:val="007C6054"/>
    <w:rsid w:val="007C6196"/>
    <w:rsid w:val="007C63B5"/>
    <w:rsid w:val="007C6F32"/>
    <w:rsid w:val="007C7043"/>
    <w:rsid w:val="007C7311"/>
    <w:rsid w:val="007C73CE"/>
    <w:rsid w:val="007C780B"/>
    <w:rsid w:val="007C7942"/>
    <w:rsid w:val="007C7B44"/>
    <w:rsid w:val="007D0B43"/>
    <w:rsid w:val="007D0E92"/>
    <w:rsid w:val="007D1058"/>
    <w:rsid w:val="007D14DA"/>
    <w:rsid w:val="007D2252"/>
    <w:rsid w:val="007D2638"/>
    <w:rsid w:val="007D281C"/>
    <w:rsid w:val="007D2A8B"/>
    <w:rsid w:val="007D2B3D"/>
    <w:rsid w:val="007D2E37"/>
    <w:rsid w:val="007D31F8"/>
    <w:rsid w:val="007D32F7"/>
    <w:rsid w:val="007D3458"/>
    <w:rsid w:val="007D3794"/>
    <w:rsid w:val="007D380C"/>
    <w:rsid w:val="007D3852"/>
    <w:rsid w:val="007D3929"/>
    <w:rsid w:val="007D3C26"/>
    <w:rsid w:val="007D4574"/>
    <w:rsid w:val="007D463A"/>
    <w:rsid w:val="007D4C47"/>
    <w:rsid w:val="007D4E67"/>
    <w:rsid w:val="007D4F32"/>
    <w:rsid w:val="007D5264"/>
    <w:rsid w:val="007D5385"/>
    <w:rsid w:val="007D5389"/>
    <w:rsid w:val="007D5E53"/>
    <w:rsid w:val="007D61F4"/>
    <w:rsid w:val="007D6FFD"/>
    <w:rsid w:val="007D7D2F"/>
    <w:rsid w:val="007E093A"/>
    <w:rsid w:val="007E0AC3"/>
    <w:rsid w:val="007E15DC"/>
    <w:rsid w:val="007E15E8"/>
    <w:rsid w:val="007E1947"/>
    <w:rsid w:val="007E1F5C"/>
    <w:rsid w:val="007E22E6"/>
    <w:rsid w:val="007E2B9C"/>
    <w:rsid w:val="007E2C9B"/>
    <w:rsid w:val="007E3DA3"/>
    <w:rsid w:val="007E411D"/>
    <w:rsid w:val="007E48BC"/>
    <w:rsid w:val="007E565A"/>
    <w:rsid w:val="007E6189"/>
    <w:rsid w:val="007E6227"/>
    <w:rsid w:val="007E6382"/>
    <w:rsid w:val="007E66C2"/>
    <w:rsid w:val="007E6941"/>
    <w:rsid w:val="007E6AC0"/>
    <w:rsid w:val="007E7068"/>
    <w:rsid w:val="007E7950"/>
    <w:rsid w:val="007E7A34"/>
    <w:rsid w:val="007F02AC"/>
    <w:rsid w:val="007F059C"/>
    <w:rsid w:val="007F074E"/>
    <w:rsid w:val="007F0D91"/>
    <w:rsid w:val="007F0DCC"/>
    <w:rsid w:val="007F16A2"/>
    <w:rsid w:val="007F2225"/>
    <w:rsid w:val="007F2B0C"/>
    <w:rsid w:val="007F34FD"/>
    <w:rsid w:val="007F3E98"/>
    <w:rsid w:val="007F4510"/>
    <w:rsid w:val="007F45C6"/>
    <w:rsid w:val="007F4660"/>
    <w:rsid w:val="007F4768"/>
    <w:rsid w:val="007F49C2"/>
    <w:rsid w:val="007F4A31"/>
    <w:rsid w:val="007F4E01"/>
    <w:rsid w:val="007F4ED3"/>
    <w:rsid w:val="007F5605"/>
    <w:rsid w:val="007F5A97"/>
    <w:rsid w:val="007F5CFC"/>
    <w:rsid w:val="007F610D"/>
    <w:rsid w:val="007F6AC6"/>
    <w:rsid w:val="007F6C6F"/>
    <w:rsid w:val="007F6E8D"/>
    <w:rsid w:val="007F78A4"/>
    <w:rsid w:val="007F7A8D"/>
    <w:rsid w:val="007F7AE3"/>
    <w:rsid w:val="00801649"/>
    <w:rsid w:val="00801879"/>
    <w:rsid w:val="00801C03"/>
    <w:rsid w:val="008028E8"/>
    <w:rsid w:val="00802A65"/>
    <w:rsid w:val="00802ABF"/>
    <w:rsid w:val="00803386"/>
    <w:rsid w:val="0080356C"/>
    <w:rsid w:val="00803D95"/>
    <w:rsid w:val="008041EA"/>
    <w:rsid w:val="0080448B"/>
    <w:rsid w:val="008045D4"/>
    <w:rsid w:val="008047B5"/>
    <w:rsid w:val="00804984"/>
    <w:rsid w:val="00805534"/>
    <w:rsid w:val="00805932"/>
    <w:rsid w:val="00805E53"/>
    <w:rsid w:val="00805F44"/>
    <w:rsid w:val="008065DE"/>
    <w:rsid w:val="008103B9"/>
    <w:rsid w:val="008111B8"/>
    <w:rsid w:val="00811FDD"/>
    <w:rsid w:val="008126D8"/>
    <w:rsid w:val="00812811"/>
    <w:rsid w:val="00813805"/>
    <w:rsid w:val="00813914"/>
    <w:rsid w:val="00813FC6"/>
    <w:rsid w:val="008140FC"/>
    <w:rsid w:val="00814C5D"/>
    <w:rsid w:val="00815420"/>
    <w:rsid w:val="0081669C"/>
    <w:rsid w:val="008203D7"/>
    <w:rsid w:val="008209F6"/>
    <w:rsid w:val="00820A60"/>
    <w:rsid w:val="00820B67"/>
    <w:rsid w:val="00820BB5"/>
    <w:rsid w:val="00820F0A"/>
    <w:rsid w:val="008214EC"/>
    <w:rsid w:val="00821B1D"/>
    <w:rsid w:val="00821CFD"/>
    <w:rsid w:val="0082259F"/>
    <w:rsid w:val="00823DF2"/>
    <w:rsid w:val="00823E12"/>
    <w:rsid w:val="00824694"/>
    <w:rsid w:val="00824A62"/>
    <w:rsid w:val="00824E80"/>
    <w:rsid w:val="008254F2"/>
    <w:rsid w:val="008258D5"/>
    <w:rsid w:val="00825C19"/>
    <w:rsid w:val="00825DF9"/>
    <w:rsid w:val="00826319"/>
    <w:rsid w:val="00826917"/>
    <w:rsid w:val="00827964"/>
    <w:rsid w:val="00827ED9"/>
    <w:rsid w:val="00830130"/>
    <w:rsid w:val="00830146"/>
    <w:rsid w:val="008303EA"/>
    <w:rsid w:val="00830D44"/>
    <w:rsid w:val="00831C20"/>
    <w:rsid w:val="00832195"/>
    <w:rsid w:val="008325BC"/>
    <w:rsid w:val="00832CF7"/>
    <w:rsid w:val="00832F73"/>
    <w:rsid w:val="00832F89"/>
    <w:rsid w:val="0083300E"/>
    <w:rsid w:val="00833690"/>
    <w:rsid w:val="00833CBB"/>
    <w:rsid w:val="00833CE1"/>
    <w:rsid w:val="00833D40"/>
    <w:rsid w:val="008340DB"/>
    <w:rsid w:val="008346E0"/>
    <w:rsid w:val="00834E25"/>
    <w:rsid w:val="00835AD7"/>
    <w:rsid w:val="00835CE6"/>
    <w:rsid w:val="00836329"/>
    <w:rsid w:val="008363CF"/>
    <w:rsid w:val="00837224"/>
    <w:rsid w:val="00837D1D"/>
    <w:rsid w:val="00840353"/>
    <w:rsid w:val="008406C8"/>
    <w:rsid w:val="008409C6"/>
    <w:rsid w:val="00840B76"/>
    <w:rsid w:val="00841221"/>
    <w:rsid w:val="00841659"/>
    <w:rsid w:val="008422AD"/>
    <w:rsid w:val="00842650"/>
    <w:rsid w:val="00842CFD"/>
    <w:rsid w:val="008430BB"/>
    <w:rsid w:val="0084457D"/>
    <w:rsid w:val="00844718"/>
    <w:rsid w:val="0084586B"/>
    <w:rsid w:val="00845B6D"/>
    <w:rsid w:val="0084605E"/>
    <w:rsid w:val="008465DD"/>
    <w:rsid w:val="008472EE"/>
    <w:rsid w:val="00847733"/>
    <w:rsid w:val="0084774F"/>
    <w:rsid w:val="00847EB4"/>
    <w:rsid w:val="00847F40"/>
    <w:rsid w:val="008503D8"/>
    <w:rsid w:val="00850443"/>
    <w:rsid w:val="00850600"/>
    <w:rsid w:val="0085064F"/>
    <w:rsid w:val="00851329"/>
    <w:rsid w:val="0085174F"/>
    <w:rsid w:val="00851814"/>
    <w:rsid w:val="00851B38"/>
    <w:rsid w:val="00851EDF"/>
    <w:rsid w:val="008521F8"/>
    <w:rsid w:val="008526F8"/>
    <w:rsid w:val="00852D02"/>
    <w:rsid w:val="00853269"/>
    <w:rsid w:val="00853401"/>
    <w:rsid w:val="00853FE8"/>
    <w:rsid w:val="00854353"/>
    <w:rsid w:val="0085486A"/>
    <w:rsid w:val="00854B1F"/>
    <w:rsid w:val="008555B8"/>
    <w:rsid w:val="0085669D"/>
    <w:rsid w:val="00856884"/>
    <w:rsid w:val="00856A20"/>
    <w:rsid w:val="00856E5D"/>
    <w:rsid w:val="00857014"/>
    <w:rsid w:val="008570FA"/>
    <w:rsid w:val="00857A42"/>
    <w:rsid w:val="008603C3"/>
    <w:rsid w:val="00860984"/>
    <w:rsid w:val="00861412"/>
    <w:rsid w:val="00861C68"/>
    <w:rsid w:val="00861E8B"/>
    <w:rsid w:val="008628A2"/>
    <w:rsid w:val="0086296B"/>
    <w:rsid w:val="00863391"/>
    <w:rsid w:val="00863904"/>
    <w:rsid w:val="0086410E"/>
    <w:rsid w:val="00864244"/>
    <w:rsid w:val="00864BF5"/>
    <w:rsid w:val="008655EF"/>
    <w:rsid w:val="00865E7D"/>
    <w:rsid w:val="0086644C"/>
    <w:rsid w:val="00866480"/>
    <w:rsid w:val="0086678C"/>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CC0"/>
    <w:rsid w:val="00871E7A"/>
    <w:rsid w:val="00871FBB"/>
    <w:rsid w:val="00872093"/>
    <w:rsid w:val="00872619"/>
    <w:rsid w:val="008726D6"/>
    <w:rsid w:val="00872E30"/>
    <w:rsid w:val="00872EDF"/>
    <w:rsid w:val="00873855"/>
    <w:rsid w:val="00873FC4"/>
    <w:rsid w:val="00874010"/>
    <w:rsid w:val="008740B1"/>
    <w:rsid w:val="008744B9"/>
    <w:rsid w:val="00874BB3"/>
    <w:rsid w:val="00874C97"/>
    <w:rsid w:val="008756AB"/>
    <w:rsid w:val="008756AD"/>
    <w:rsid w:val="00876029"/>
    <w:rsid w:val="0087637C"/>
    <w:rsid w:val="00876E45"/>
    <w:rsid w:val="00877953"/>
    <w:rsid w:val="008779BD"/>
    <w:rsid w:val="008801E9"/>
    <w:rsid w:val="00880461"/>
    <w:rsid w:val="00880C5B"/>
    <w:rsid w:val="008813A1"/>
    <w:rsid w:val="00881D05"/>
    <w:rsid w:val="00882258"/>
    <w:rsid w:val="0088252C"/>
    <w:rsid w:val="00882722"/>
    <w:rsid w:val="00882852"/>
    <w:rsid w:val="00882895"/>
    <w:rsid w:val="0088316F"/>
    <w:rsid w:val="008833D3"/>
    <w:rsid w:val="00883771"/>
    <w:rsid w:val="00883876"/>
    <w:rsid w:val="00883A27"/>
    <w:rsid w:val="00883DD9"/>
    <w:rsid w:val="00883DFA"/>
    <w:rsid w:val="00884172"/>
    <w:rsid w:val="00884EBD"/>
    <w:rsid w:val="00885B97"/>
    <w:rsid w:val="00885C4E"/>
    <w:rsid w:val="00885D92"/>
    <w:rsid w:val="00885EF4"/>
    <w:rsid w:val="00886876"/>
    <w:rsid w:val="00886973"/>
    <w:rsid w:val="00887BC4"/>
    <w:rsid w:val="00887DEB"/>
    <w:rsid w:val="00887EAB"/>
    <w:rsid w:val="00890528"/>
    <w:rsid w:val="008909DA"/>
    <w:rsid w:val="00890EAD"/>
    <w:rsid w:val="008910E0"/>
    <w:rsid w:val="00891342"/>
    <w:rsid w:val="008923F0"/>
    <w:rsid w:val="00892B5C"/>
    <w:rsid w:val="008930D9"/>
    <w:rsid w:val="0089337E"/>
    <w:rsid w:val="0089374E"/>
    <w:rsid w:val="00893C91"/>
    <w:rsid w:val="008944AD"/>
    <w:rsid w:val="0089472E"/>
    <w:rsid w:val="008952C8"/>
    <w:rsid w:val="008953EA"/>
    <w:rsid w:val="00895F33"/>
    <w:rsid w:val="008966F2"/>
    <w:rsid w:val="0089679D"/>
    <w:rsid w:val="008968E8"/>
    <w:rsid w:val="00897234"/>
    <w:rsid w:val="0089724B"/>
    <w:rsid w:val="0089764D"/>
    <w:rsid w:val="008A037A"/>
    <w:rsid w:val="008A0755"/>
    <w:rsid w:val="008A0813"/>
    <w:rsid w:val="008A0B3F"/>
    <w:rsid w:val="008A0EF5"/>
    <w:rsid w:val="008A154D"/>
    <w:rsid w:val="008A199D"/>
    <w:rsid w:val="008A1D94"/>
    <w:rsid w:val="008A22DA"/>
    <w:rsid w:val="008A2EEB"/>
    <w:rsid w:val="008A3655"/>
    <w:rsid w:val="008A37AA"/>
    <w:rsid w:val="008A3AFB"/>
    <w:rsid w:val="008A3D16"/>
    <w:rsid w:val="008A4DE7"/>
    <w:rsid w:val="008A5B1E"/>
    <w:rsid w:val="008A5BC5"/>
    <w:rsid w:val="008A5F1D"/>
    <w:rsid w:val="008A5FC0"/>
    <w:rsid w:val="008A6011"/>
    <w:rsid w:val="008A63AF"/>
    <w:rsid w:val="008A6509"/>
    <w:rsid w:val="008A65AA"/>
    <w:rsid w:val="008A6A1C"/>
    <w:rsid w:val="008A6BFB"/>
    <w:rsid w:val="008A773F"/>
    <w:rsid w:val="008A79E7"/>
    <w:rsid w:val="008B0AC2"/>
    <w:rsid w:val="008B11B9"/>
    <w:rsid w:val="008B1273"/>
    <w:rsid w:val="008B1404"/>
    <w:rsid w:val="008B145A"/>
    <w:rsid w:val="008B1DA3"/>
    <w:rsid w:val="008B2271"/>
    <w:rsid w:val="008B4CB0"/>
    <w:rsid w:val="008B50A1"/>
    <w:rsid w:val="008B5114"/>
    <w:rsid w:val="008B64CB"/>
    <w:rsid w:val="008B6D48"/>
    <w:rsid w:val="008B6F53"/>
    <w:rsid w:val="008B6FCC"/>
    <w:rsid w:val="008B7170"/>
    <w:rsid w:val="008B7446"/>
    <w:rsid w:val="008C12E9"/>
    <w:rsid w:val="008C180D"/>
    <w:rsid w:val="008C1B42"/>
    <w:rsid w:val="008C1E87"/>
    <w:rsid w:val="008C22CF"/>
    <w:rsid w:val="008C26FF"/>
    <w:rsid w:val="008C28B2"/>
    <w:rsid w:val="008C3270"/>
    <w:rsid w:val="008C3412"/>
    <w:rsid w:val="008C3474"/>
    <w:rsid w:val="008C40FF"/>
    <w:rsid w:val="008C4417"/>
    <w:rsid w:val="008C55BB"/>
    <w:rsid w:val="008C5E97"/>
    <w:rsid w:val="008C6450"/>
    <w:rsid w:val="008C74D6"/>
    <w:rsid w:val="008C75CB"/>
    <w:rsid w:val="008D1837"/>
    <w:rsid w:val="008D1F12"/>
    <w:rsid w:val="008D1FCF"/>
    <w:rsid w:val="008D22B1"/>
    <w:rsid w:val="008D2A7F"/>
    <w:rsid w:val="008D2B70"/>
    <w:rsid w:val="008D3128"/>
    <w:rsid w:val="008D3216"/>
    <w:rsid w:val="008D33A9"/>
    <w:rsid w:val="008D34A3"/>
    <w:rsid w:val="008D36F6"/>
    <w:rsid w:val="008D3DC6"/>
    <w:rsid w:val="008D4557"/>
    <w:rsid w:val="008D4578"/>
    <w:rsid w:val="008D4943"/>
    <w:rsid w:val="008D4A9A"/>
    <w:rsid w:val="008D4C43"/>
    <w:rsid w:val="008D50DF"/>
    <w:rsid w:val="008D5655"/>
    <w:rsid w:val="008D5C8A"/>
    <w:rsid w:val="008D5FD6"/>
    <w:rsid w:val="008D61A7"/>
    <w:rsid w:val="008D6381"/>
    <w:rsid w:val="008D6539"/>
    <w:rsid w:val="008D6949"/>
    <w:rsid w:val="008D6C1B"/>
    <w:rsid w:val="008D710B"/>
    <w:rsid w:val="008D710E"/>
    <w:rsid w:val="008D7199"/>
    <w:rsid w:val="008D72F5"/>
    <w:rsid w:val="008D7ACA"/>
    <w:rsid w:val="008D7B3C"/>
    <w:rsid w:val="008E02A6"/>
    <w:rsid w:val="008E0971"/>
    <w:rsid w:val="008E0A1B"/>
    <w:rsid w:val="008E1870"/>
    <w:rsid w:val="008E2013"/>
    <w:rsid w:val="008E25B6"/>
    <w:rsid w:val="008E2949"/>
    <w:rsid w:val="008E2BB0"/>
    <w:rsid w:val="008E2DAA"/>
    <w:rsid w:val="008E2F37"/>
    <w:rsid w:val="008E315A"/>
    <w:rsid w:val="008E317C"/>
    <w:rsid w:val="008E356C"/>
    <w:rsid w:val="008E4193"/>
    <w:rsid w:val="008E4871"/>
    <w:rsid w:val="008E4A6D"/>
    <w:rsid w:val="008E4B29"/>
    <w:rsid w:val="008E4D50"/>
    <w:rsid w:val="008E5B4B"/>
    <w:rsid w:val="008E60AB"/>
    <w:rsid w:val="008E63D8"/>
    <w:rsid w:val="008E6601"/>
    <w:rsid w:val="008E6673"/>
    <w:rsid w:val="008E6AF2"/>
    <w:rsid w:val="008E7609"/>
    <w:rsid w:val="008F040F"/>
    <w:rsid w:val="008F0EE3"/>
    <w:rsid w:val="008F17A7"/>
    <w:rsid w:val="008F18C5"/>
    <w:rsid w:val="008F1FFE"/>
    <w:rsid w:val="008F2031"/>
    <w:rsid w:val="008F2A11"/>
    <w:rsid w:val="008F2AC4"/>
    <w:rsid w:val="008F50C9"/>
    <w:rsid w:val="008F556A"/>
    <w:rsid w:val="008F5F12"/>
    <w:rsid w:val="008F6046"/>
    <w:rsid w:val="008F641A"/>
    <w:rsid w:val="008F6E8D"/>
    <w:rsid w:val="008F722C"/>
    <w:rsid w:val="00900833"/>
    <w:rsid w:val="00900DDD"/>
    <w:rsid w:val="00901128"/>
    <w:rsid w:val="00901A07"/>
    <w:rsid w:val="00901B6D"/>
    <w:rsid w:val="00901CE4"/>
    <w:rsid w:val="00902034"/>
    <w:rsid w:val="00902114"/>
    <w:rsid w:val="009022D9"/>
    <w:rsid w:val="009024AC"/>
    <w:rsid w:val="00902693"/>
    <w:rsid w:val="00902931"/>
    <w:rsid w:val="00902961"/>
    <w:rsid w:val="009034C1"/>
    <w:rsid w:val="00903AB4"/>
    <w:rsid w:val="00903BDC"/>
    <w:rsid w:val="00903E74"/>
    <w:rsid w:val="0090439A"/>
    <w:rsid w:val="00904EE6"/>
    <w:rsid w:val="009052EF"/>
    <w:rsid w:val="009053E9"/>
    <w:rsid w:val="00905712"/>
    <w:rsid w:val="0090586C"/>
    <w:rsid w:val="0090596C"/>
    <w:rsid w:val="009068E1"/>
    <w:rsid w:val="00906E2B"/>
    <w:rsid w:val="00907671"/>
    <w:rsid w:val="00907ACF"/>
    <w:rsid w:val="00910A8D"/>
    <w:rsid w:val="00910C40"/>
    <w:rsid w:val="00910D38"/>
    <w:rsid w:val="00910D8A"/>
    <w:rsid w:val="0091105D"/>
    <w:rsid w:val="0091168D"/>
    <w:rsid w:val="0091168F"/>
    <w:rsid w:val="00912179"/>
    <w:rsid w:val="009122D6"/>
    <w:rsid w:val="00912374"/>
    <w:rsid w:val="00912C03"/>
    <w:rsid w:val="00912C95"/>
    <w:rsid w:val="00914CE0"/>
    <w:rsid w:val="009151AE"/>
    <w:rsid w:val="009153CE"/>
    <w:rsid w:val="0091558B"/>
    <w:rsid w:val="00915C50"/>
    <w:rsid w:val="009164FA"/>
    <w:rsid w:val="00916508"/>
    <w:rsid w:val="009166E8"/>
    <w:rsid w:val="00916CD3"/>
    <w:rsid w:val="00916DFF"/>
    <w:rsid w:val="0091713C"/>
    <w:rsid w:val="009176AF"/>
    <w:rsid w:val="00917A22"/>
    <w:rsid w:val="00917BD3"/>
    <w:rsid w:val="00921295"/>
    <w:rsid w:val="00921DF4"/>
    <w:rsid w:val="0092259E"/>
    <w:rsid w:val="00922C97"/>
    <w:rsid w:val="00923060"/>
    <w:rsid w:val="00923273"/>
    <w:rsid w:val="009242F4"/>
    <w:rsid w:val="00924B58"/>
    <w:rsid w:val="00924F2C"/>
    <w:rsid w:val="0092575E"/>
    <w:rsid w:val="0092580A"/>
    <w:rsid w:val="00925B69"/>
    <w:rsid w:val="00925DA5"/>
    <w:rsid w:val="00925FF4"/>
    <w:rsid w:val="009264FB"/>
    <w:rsid w:val="00927320"/>
    <w:rsid w:val="0092770A"/>
    <w:rsid w:val="00927AA0"/>
    <w:rsid w:val="00930303"/>
    <w:rsid w:val="00931041"/>
    <w:rsid w:val="00931D6C"/>
    <w:rsid w:val="009325E3"/>
    <w:rsid w:val="00932A19"/>
    <w:rsid w:val="0093314B"/>
    <w:rsid w:val="00933D66"/>
    <w:rsid w:val="009341E1"/>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159"/>
    <w:rsid w:val="00944D61"/>
    <w:rsid w:val="00945541"/>
    <w:rsid w:val="00946A46"/>
    <w:rsid w:val="00946AAC"/>
    <w:rsid w:val="00946F46"/>
    <w:rsid w:val="00947110"/>
    <w:rsid w:val="00947726"/>
    <w:rsid w:val="00947C91"/>
    <w:rsid w:val="00950420"/>
    <w:rsid w:val="00950682"/>
    <w:rsid w:val="00950862"/>
    <w:rsid w:val="00950C04"/>
    <w:rsid w:val="00950E3A"/>
    <w:rsid w:val="00950FE4"/>
    <w:rsid w:val="009513A2"/>
    <w:rsid w:val="009520F6"/>
    <w:rsid w:val="00952C84"/>
    <w:rsid w:val="00952D0F"/>
    <w:rsid w:val="00953021"/>
    <w:rsid w:val="009532DD"/>
    <w:rsid w:val="009547EF"/>
    <w:rsid w:val="00954BA3"/>
    <w:rsid w:val="009555D3"/>
    <w:rsid w:val="00955725"/>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C9B"/>
    <w:rsid w:val="00962D10"/>
    <w:rsid w:val="00962E94"/>
    <w:rsid w:val="00963560"/>
    <w:rsid w:val="00963620"/>
    <w:rsid w:val="00963A2C"/>
    <w:rsid w:val="0096446E"/>
    <w:rsid w:val="00964A61"/>
    <w:rsid w:val="00964F04"/>
    <w:rsid w:val="009651DF"/>
    <w:rsid w:val="00965AA2"/>
    <w:rsid w:val="009667E8"/>
    <w:rsid w:val="00966A63"/>
    <w:rsid w:val="009677CB"/>
    <w:rsid w:val="00970369"/>
    <w:rsid w:val="00970A67"/>
    <w:rsid w:val="00970F37"/>
    <w:rsid w:val="00971A16"/>
    <w:rsid w:val="00971BDA"/>
    <w:rsid w:val="00972169"/>
    <w:rsid w:val="009724CF"/>
    <w:rsid w:val="00972EDB"/>
    <w:rsid w:val="00972F08"/>
    <w:rsid w:val="00973C47"/>
    <w:rsid w:val="00973F4A"/>
    <w:rsid w:val="00974228"/>
    <w:rsid w:val="00974580"/>
    <w:rsid w:val="00974C34"/>
    <w:rsid w:val="0097503C"/>
    <w:rsid w:val="009751B8"/>
    <w:rsid w:val="00975D66"/>
    <w:rsid w:val="00976592"/>
    <w:rsid w:val="00976712"/>
    <w:rsid w:val="00976D18"/>
    <w:rsid w:val="00976FD1"/>
    <w:rsid w:val="0097734A"/>
    <w:rsid w:val="009776B0"/>
    <w:rsid w:val="0097788E"/>
    <w:rsid w:val="00977EE2"/>
    <w:rsid w:val="009801E0"/>
    <w:rsid w:val="0098024E"/>
    <w:rsid w:val="009802FB"/>
    <w:rsid w:val="0098041A"/>
    <w:rsid w:val="00980748"/>
    <w:rsid w:val="00980C19"/>
    <w:rsid w:val="00980CA4"/>
    <w:rsid w:val="00980F27"/>
    <w:rsid w:val="009818BA"/>
    <w:rsid w:val="009819A6"/>
    <w:rsid w:val="00981DDD"/>
    <w:rsid w:val="0098210F"/>
    <w:rsid w:val="00982397"/>
    <w:rsid w:val="00982783"/>
    <w:rsid w:val="00984A23"/>
    <w:rsid w:val="00984BDB"/>
    <w:rsid w:val="00984CF8"/>
    <w:rsid w:val="00984F14"/>
    <w:rsid w:val="009853DC"/>
    <w:rsid w:val="00985A8A"/>
    <w:rsid w:val="00985E05"/>
    <w:rsid w:val="00985ECE"/>
    <w:rsid w:val="0098601F"/>
    <w:rsid w:val="00986569"/>
    <w:rsid w:val="009870DC"/>
    <w:rsid w:val="009875DE"/>
    <w:rsid w:val="00987D6C"/>
    <w:rsid w:val="00987F0E"/>
    <w:rsid w:val="00990422"/>
    <w:rsid w:val="00990576"/>
    <w:rsid w:val="009911B5"/>
    <w:rsid w:val="009911E1"/>
    <w:rsid w:val="009916AD"/>
    <w:rsid w:val="009918FC"/>
    <w:rsid w:val="00991EB4"/>
    <w:rsid w:val="0099264C"/>
    <w:rsid w:val="00992DA5"/>
    <w:rsid w:val="00993435"/>
    <w:rsid w:val="00993B50"/>
    <w:rsid w:val="00994111"/>
    <w:rsid w:val="00994586"/>
    <w:rsid w:val="0099465D"/>
    <w:rsid w:val="00994761"/>
    <w:rsid w:val="00994AE2"/>
    <w:rsid w:val="00994B21"/>
    <w:rsid w:val="00994C56"/>
    <w:rsid w:val="00995382"/>
    <w:rsid w:val="00995536"/>
    <w:rsid w:val="009959ED"/>
    <w:rsid w:val="00995AD5"/>
    <w:rsid w:val="009963F6"/>
    <w:rsid w:val="00996D45"/>
    <w:rsid w:val="00997120"/>
    <w:rsid w:val="00997171"/>
    <w:rsid w:val="0099746A"/>
    <w:rsid w:val="0099750A"/>
    <w:rsid w:val="009976E3"/>
    <w:rsid w:val="00997C2F"/>
    <w:rsid w:val="00997D61"/>
    <w:rsid w:val="009A0FF0"/>
    <w:rsid w:val="009A1D30"/>
    <w:rsid w:val="009A1F3B"/>
    <w:rsid w:val="009A27F1"/>
    <w:rsid w:val="009A2A5C"/>
    <w:rsid w:val="009A37F9"/>
    <w:rsid w:val="009A3C64"/>
    <w:rsid w:val="009A409F"/>
    <w:rsid w:val="009A4295"/>
    <w:rsid w:val="009A4339"/>
    <w:rsid w:val="009A48D4"/>
    <w:rsid w:val="009A4BD8"/>
    <w:rsid w:val="009A5580"/>
    <w:rsid w:val="009A5885"/>
    <w:rsid w:val="009A5ACE"/>
    <w:rsid w:val="009A5D1B"/>
    <w:rsid w:val="009A5D8C"/>
    <w:rsid w:val="009A7881"/>
    <w:rsid w:val="009A79ED"/>
    <w:rsid w:val="009A7D6C"/>
    <w:rsid w:val="009A7E98"/>
    <w:rsid w:val="009A7FFE"/>
    <w:rsid w:val="009B0183"/>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67"/>
    <w:rsid w:val="009B66B6"/>
    <w:rsid w:val="009B6B41"/>
    <w:rsid w:val="009B7435"/>
    <w:rsid w:val="009B79A4"/>
    <w:rsid w:val="009B7C74"/>
    <w:rsid w:val="009B7DFF"/>
    <w:rsid w:val="009C001D"/>
    <w:rsid w:val="009C1196"/>
    <w:rsid w:val="009C19CD"/>
    <w:rsid w:val="009C2996"/>
    <w:rsid w:val="009C2BA6"/>
    <w:rsid w:val="009C3316"/>
    <w:rsid w:val="009C33FF"/>
    <w:rsid w:val="009C371F"/>
    <w:rsid w:val="009C3C62"/>
    <w:rsid w:val="009C4501"/>
    <w:rsid w:val="009C459A"/>
    <w:rsid w:val="009C48D6"/>
    <w:rsid w:val="009C5703"/>
    <w:rsid w:val="009C588E"/>
    <w:rsid w:val="009C5AA5"/>
    <w:rsid w:val="009C5F3B"/>
    <w:rsid w:val="009C6034"/>
    <w:rsid w:val="009C66DD"/>
    <w:rsid w:val="009C6EA6"/>
    <w:rsid w:val="009C73EC"/>
    <w:rsid w:val="009C7500"/>
    <w:rsid w:val="009C7929"/>
    <w:rsid w:val="009C7DD4"/>
    <w:rsid w:val="009C7F73"/>
    <w:rsid w:val="009D0041"/>
    <w:rsid w:val="009D07D6"/>
    <w:rsid w:val="009D0D08"/>
    <w:rsid w:val="009D18BC"/>
    <w:rsid w:val="009D19A2"/>
    <w:rsid w:val="009D2014"/>
    <w:rsid w:val="009D222C"/>
    <w:rsid w:val="009D2556"/>
    <w:rsid w:val="009D2601"/>
    <w:rsid w:val="009D2ABC"/>
    <w:rsid w:val="009D2E14"/>
    <w:rsid w:val="009D48FA"/>
    <w:rsid w:val="009D4FF8"/>
    <w:rsid w:val="009D5063"/>
    <w:rsid w:val="009D51BE"/>
    <w:rsid w:val="009D542A"/>
    <w:rsid w:val="009D58C6"/>
    <w:rsid w:val="009D5C14"/>
    <w:rsid w:val="009D5F1B"/>
    <w:rsid w:val="009D5FAF"/>
    <w:rsid w:val="009D61F4"/>
    <w:rsid w:val="009D666D"/>
    <w:rsid w:val="009D69BA"/>
    <w:rsid w:val="009D6A78"/>
    <w:rsid w:val="009D6CC3"/>
    <w:rsid w:val="009D773A"/>
    <w:rsid w:val="009D7922"/>
    <w:rsid w:val="009D7A28"/>
    <w:rsid w:val="009E0092"/>
    <w:rsid w:val="009E0724"/>
    <w:rsid w:val="009E0966"/>
    <w:rsid w:val="009E13BF"/>
    <w:rsid w:val="009E29AA"/>
    <w:rsid w:val="009E2AA7"/>
    <w:rsid w:val="009E2F3C"/>
    <w:rsid w:val="009E3167"/>
    <w:rsid w:val="009E3351"/>
    <w:rsid w:val="009E41CB"/>
    <w:rsid w:val="009E4972"/>
    <w:rsid w:val="009E50F5"/>
    <w:rsid w:val="009E5418"/>
    <w:rsid w:val="009E5893"/>
    <w:rsid w:val="009E6CAE"/>
    <w:rsid w:val="009E6D65"/>
    <w:rsid w:val="009E7777"/>
    <w:rsid w:val="009E7C4B"/>
    <w:rsid w:val="009E7CAA"/>
    <w:rsid w:val="009E7FFD"/>
    <w:rsid w:val="009F0166"/>
    <w:rsid w:val="009F0441"/>
    <w:rsid w:val="009F1531"/>
    <w:rsid w:val="009F1B96"/>
    <w:rsid w:val="009F2367"/>
    <w:rsid w:val="009F23EB"/>
    <w:rsid w:val="009F2B76"/>
    <w:rsid w:val="009F2C60"/>
    <w:rsid w:val="009F2DED"/>
    <w:rsid w:val="009F49F3"/>
    <w:rsid w:val="009F4B0E"/>
    <w:rsid w:val="009F4C03"/>
    <w:rsid w:val="009F4D8A"/>
    <w:rsid w:val="009F5603"/>
    <w:rsid w:val="009F5BF5"/>
    <w:rsid w:val="009F65F9"/>
    <w:rsid w:val="009F6D19"/>
    <w:rsid w:val="009F6D1B"/>
    <w:rsid w:val="009F6E94"/>
    <w:rsid w:val="009F74B8"/>
    <w:rsid w:val="009F78A4"/>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C24"/>
    <w:rsid w:val="00A04EE1"/>
    <w:rsid w:val="00A050C9"/>
    <w:rsid w:val="00A05835"/>
    <w:rsid w:val="00A05E57"/>
    <w:rsid w:val="00A05EC6"/>
    <w:rsid w:val="00A0689A"/>
    <w:rsid w:val="00A06BDB"/>
    <w:rsid w:val="00A06C12"/>
    <w:rsid w:val="00A071D6"/>
    <w:rsid w:val="00A1020D"/>
    <w:rsid w:val="00A10384"/>
    <w:rsid w:val="00A10B43"/>
    <w:rsid w:val="00A10F8D"/>
    <w:rsid w:val="00A113A5"/>
    <w:rsid w:val="00A11BF4"/>
    <w:rsid w:val="00A11F1C"/>
    <w:rsid w:val="00A12288"/>
    <w:rsid w:val="00A12A90"/>
    <w:rsid w:val="00A13071"/>
    <w:rsid w:val="00A13474"/>
    <w:rsid w:val="00A138AD"/>
    <w:rsid w:val="00A138F0"/>
    <w:rsid w:val="00A14904"/>
    <w:rsid w:val="00A14DF2"/>
    <w:rsid w:val="00A14ECC"/>
    <w:rsid w:val="00A1571F"/>
    <w:rsid w:val="00A16E5D"/>
    <w:rsid w:val="00A16FD3"/>
    <w:rsid w:val="00A17024"/>
    <w:rsid w:val="00A17567"/>
    <w:rsid w:val="00A17681"/>
    <w:rsid w:val="00A20280"/>
    <w:rsid w:val="00A20487"/>
    <w:rsid w:val="00A2057A"/>
    <w:rsid w:val="00A20768"/>
    <w:rsid w:val="00A20AE8"/>
    <w:rsid w:val="00A20E49"/>
    <w:rsid w:val="00A21033"/>
    <w:rsid w:val="00A21A78"/>
    <w:rsid w:val="00A2210A"/>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7106"/>
    <w:rsid w:val="00A3077D"/>
    <w:rsid w:val="00A31680"/>
    <w:rsid w:val="00A31DAB"/>
    <w:rsid w:val="00A32C1F"/>
    <w:rsid w:val="00A32EB0"/>
    <w:rsid w:val="00A335DA"/>
    <w:rsid w:val="00A339CA"/>
    <w:rsid w:val="00A33FEB"/>
    <w:rsid w:val="00A3471C"/>
    <w:rsid w:val="00A35111"/>
    <w:rsid w:val="00A354F1"/>
    <w:rsid w:val="00A35565"/>
    <w:rsid w:val="00A3600B"/>
    <w:rsid w:val="00A368BA"/>
    <w:rsid w:val="00A36CF1"/>
    <w:rsid w:val="00A36EA4"/>
    <w:rsid w:val="00A370FB"/>
    <w:rsid w:val="00A375A8"/>
    <w:rsid w:val="00A37797"/>
    <w:rsid w:val="00A37A2B"/>
    <w:rsid w:val="00A401A2"/>
    <w:rsid w:val="00A406C9"/>
    <w:rsid w:val="00A40A0C"/>
    <w:rsid w:val="00A40B80"/>
    <w:rsid w:val="00A4120A"/>
    <w:rsid w:val="00A41264"/>
    <w:rsid w:val="00A4126E"/>
    <w:rsid w:val="00A41BFB"/>
    <w:rsid w:val="00A41F59"/>
    <w:rsid w:val="00A42298"/>
    <w:rsid w:val="00A425EB"/>
    <w:rsid w:val="00A427D2"/>
    <w:rsid w:val="00A4296B"/>
    <w:rsid w:val="00A42D4E"/>
    <w:rsid w:val="00A42E4D"/>
    <w:rsid w:val="00A42E6C"/>
    <w:rsid w:val="00A43F51"/>
    <w:rsid w:val="00A4474A"/>
    <w:rsid w:val="00A44AF9"/>
    <w:rsid w:val="00A44FA3"/>
    <w:rsid w:val="00A45A52"/>
    <w:rsid w:val="00A45E97"/>
    <w:rsid w:val="00A46385"/>
    <w:rsid w:val="00A46A76"/>
    <w:rsid w:val="00A46B49"/>
    <w:rsid w:val="00A46C84"/>
    <w:rsid w:val="00A46DCA"/>
    <w:rsid w:val="00A46EBC"/>
    <w:rsid w:val="00A47027"/>
    <w:rsid w:val="00A4711D"/>
    <w:rsid w:val="00A47578"/>
    <w:rsid w:val="00A47735"/>
    <w:rsid w:val="00A50E50"/>
    <w:rsid w:val="00A51F46"/>
    <w:rsid w:val="00A5272F"/>
    <w:rsid w:val="00A5295E"/>
    <w:rsid w:val="00A53007"/>
    <w:rsid w:val="00A534A4"/>
    <w:rsid w:val="00A5433C"/>
    <w:rsid w:val="00A546F6"/>
    <w:rsid w:val="00A54AD5"/>
    <w:rsid w:val="00A54B90"/>
    <w:rsid w:val="00A55450"/>
    <w:rsid w:val="00A558B0"/>
    <w:rsid w:val="00A55904"/>
    <w:rsid w:val="00A55EDD"/>
    <w:rsid w:val="00A55F6C"/>
    <w:rsid w:val="00A5624C"/>
    <w:rsid w:val="00A5665D"/>
    <w:rsid w:val="00A5669B"/>
    <w:rsid w:val="00A5697B"/>
    <w:rsid w:val="00A5749A"/>
    <w:rsid w:val="00A576E7"/>
    <w:rsid w:val="00A57D01"/>
    <w:rsid w:val="00A57D25"/>
    <w:rsid w:val="00A57E38"/>
    <w:rsid w:val="00A57F38"/>
    <w:rsid w:val="00A6044B"/>
    <w:rsid w:val="00A607C4"/>
    <w:rsid w:val="00A6085F"/>
    <w:rsid w:val="00A60B3B"/>
    <w:rsid w:val="00A60B91"/>
    <w:rsid w:val="00A60D49"/>
    <w:rsid w:val="00A60E46"/>
    <w:rsid w:val="00A61CA5"/>
    <w:rsid w:val="00A61F4A"/>
    <w:rsid w:val="00A620F5"/>
    <w:rsid w:val="00A62C60"/>
    <w:rsid w:val="00A62DDC"/>
    <w:rsid w:val="00A62F48"/>
    <w:rsid w:val="00A63085"/>
    <w:rsid w:val="00A6329A"/>
    <w:rsid w:val="00A633A3"/>
    <w:rsid w:val="00A63416"/>
    <w:rsid w:val="00A63818"/>
    <w:rsid w:val="00A63B54"/>
    <w:rsid w:val="00A6491B"/>
    <w:rsid w:val="00A64EFA"/>
    <w:rsid w:val="00A65093"/>
    <w:rsid w:val="00A65D1C"/>
    <w:rsid w:val="00A6655A"/>
    <w:rsid w:val="00A67520"/>
    <w:rsid w:val="00A6774B"/>
    <w:rsid w:val="00A67A70"/>
    <w:rsid w:val="00A67FDE"/>
    <w:rsid w:val="00A70045"/>
    <w:rsid w:val="00A709DD"/>
    <w:rsid w:val="00A7161A"/>
    <w:rsid w:val="00A72107"/>
    <w:rsid w:val="00A72154"/>
    <w:rsid w:val="00A721EF"/>
    <w:rsid w:val="00A7310D"/>
    <w:rsid w:val="00A7369C"/>
    <w:rsid w:val="00A73A7C"/>
    <w:rsid w:val="00A74533"/>
    <w:rsid w:val="00A745A0"/>
    <w:rsid w:val="00A749F7"/>
    <w:rsid w:val="00A74DE6"/>
    <w:rsid w:val="00A75169"/>
    <w:rsid w:val="00A752F6"/>
    <w:rsid w:val="00A76099"/>
    <w:rsid w:val="00A76379"/>
    <w:rsid w:val="00A76C53"/>
    <w:rsid w:val="00A7728A"/>
    <w:rsid w:val="00A7749F"/>
    <w:rsid w:val="00A775BF"/>
    <w:rsid w:val="00A77658"/>
    <w:rsid w:val="00A8050B"/>
    <w:rsid w:val="00A81C77"/>
    <w:rsid w:val="00A81CCC"/>
    <w:rsid w:val="00A8260E"/>
    <w:rsid w:val="00A830A2"/>
    <w:rsid w:val="00A83494"/>
    <w:rsid w:val="00A83864"/>
    <w:rsid w:val="00A83B2C"/>
    <w:rsid w:val="00A8406E"/>
    <w:rsid w:val="00A841C7"/>
    <w:rsid w:val="00A846BB"/>
    <w:rsid w:val="00A85549"/>
    <w:rsid w:val="00A85976"/>
    <w:rsid w:val="00A85D3F"/>
    <w:rsid w:val="00A85D8F"/>
    <w:rsid w:val="00A868CE"/>
    <w:rsid w:val="00A87530"/>
    <w:rsid w:val="00A877D6"/>
    <w:rsid w:val="00A879B3"/>
    <w:rsid w:val="00A87BD4"/>
    <w:rsid w:val="00A87CA0"/>
    <w:rsid w:val="00A900AE"/>
    <w:rsid w:val="00A906F0"/>
    <w:rsid w:val="00A92725"/>
    <w:rsid w:val="00A931CF"/>
    <w:rsid w:val="00A93F1E"/>
    <w:rsid w:val="00A94008"/>
    <w:rsid w:val="00A943BA"/>
    <w:rsid w:val="00A94867"/>
    <w:rsid w:val="00A94F08"/>
    <w:rsid w:val="00A94F45"/>
    <w:rsid w:val="00A95199"/>
    <w:rsid w:val="00A951AA"/>
    <w:rsid w:val="00A95F3F"/>
    <w:rsid w:val="00A96107"/>
    <w:rsid w:val="00A968B6"/>
    <w:rsid w:val="00A96B48"/>
    <w:rsid w:val="00A97FBB"/>
    <w:rsid w:val="00AA00C8"/>
    <w:rsid w:val="00AA09D8"/>
    <w:rsid w:val="00AA0A8C"/>
    <w:rsid w:val="00AA0D31"/>
    <w:rsid w:val="00AA0D91"/>
    <w:rsid w:val="00AA0EB3"/>
    <w:rsid w:val="00AA10F7"/>
    <w:rsid w:val="00AA14D0"/>
    <w:rsid w:val="00AA1C29"/>
    <w:rsid w:val="00AA3C7C"/>
    <w:rsid w:val="00AA40B2"/>
    <w:rsid w:val="00AA4268"/>
    <w:rsid w:val="00AA4CD8"/>
    <w:rsid w:val="00AA4D41"/>
    <w:rsid w:val="00AA4FB1"/>
    <w:rsid w:val="00AA5265"/>
    <w:rsid w:val="00AA5CA0"/>
    <w:rsid w:val="00AA5CBE"/>
    <w:rsid w:val="00AA6607"/>
    <w:rsid w:val="00AA6E37"/>
    <w:rsid w:val="00AA7231"/>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5DA"/>
    <w:rsid w:val="00AB5650"/>
    <w:rsid w:val="00AB56C5"/>
    <w:rsid w:val="00AB681A"/>
    <w:rsid w:val="00AB6D6F"/>
    <w:rsid w:val="00AB6E55"/>
    <w:rsid w:val="00AB6FEF"/>
    <w:rsid w:val="00AB72F7"/>
    <w:rsid w:val="00AB77A5"/>
    <w:rsid w:val="00AB7FAF"/>
    <w:rsid w:val="00AC00F9"/>
    <w:rsid w:val="00AC043B"/>
    <w:rsid w:val="00AC05A3"/>
    <w:rsid w:val="00AC0626"/>
    <w:rsid w:val="00AC0DEF"/>
    <w:rsid w:val="00AC1787"/>
    <w:rsid w:val="00AC1CF4"/>
    <w:rsid w:val="00AC22CF"/>
    <w:rsid w:val="00AC2304"/>
    <w:rsid w:val="00AC2E4A"/>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0D1F"/>
    <w:rsid w:val="00AD1040"/>
    <w:rsid w:val="00AD1303"/>
    <w:rsid w:val="00AD14B0"/>
    <w:rsid w:val="00AD1A6F"/>
    <w:rsid w:val="00AD2686"/>
    <w:rsid w:val="00AD275A"/>
    <w:rsid w:val="00AD2A24"/>
    <w:rsid w:val="00AD36DD"/>
    <w:rsid w:val="00AD39AB"/>
    <w:rsid w:val="00AD41E6"/>
    <w:rsid w:val="00AD4460"/>
    <w:rsid w:val="00AD46A9"/>
    <w:rsid w:val="00AD5349"/>
    <w:rsid w:val="00AD5431"/>
    <w:rsid w:val="00AD5901"/>
    <w:rsid w:val="00AD625B"/>
    <w:rsid w:val="00AD70F7"/>
    <w:rsid w:val="00AD75F5"/>
    <w:rsid w:val="00AD7F56"/>
    <w:rsid w:val="00AE06AF"/>
    <w:rsid w:val="00AE08E2"/>
    <w:rsid w:val="00AE096A"/>
    <w:rsid w:val="00AE103F"/>
    <w:rsid w:val="00AE166C"/>
    <w:rsid w:val="00AE189C"/>
    <w:rsid w:val="00AE2012"/>
    <w:rsid w:val="00AE271A"/>
    <w:rsid w:val="00AE2FF6"/>
    <w:rsid w:val="00AE3415"/>
    <w:rsid w:val="00AE373B"/>
    <w:rsid w:val="00AE378F"/>
    <w:rsid w:val="00AE384F"/>
    <w:rsid w:val="00AE3A2E"/>
    <w:rsid w:val="00AE3B67"/>
    <w:rsid w:val="00AE40A5"/>
    <w:rsid w:val="00AE41B7"/>
    <w:rsid w:val="00AE4688"/>
    <w:rsid w:val="00AE4815"/>
    <w:rsid w:val="00AE4A4A"/>
    <w:rsid w:val="00AE55A7"/>
    <w:rsid w:val="00AE55AA"/>
    <w:rsid w:val="00AE5E58"/>
    <w:rsid w:val="00AE6012"/>
    <w:rsid w:val="00AE6159"/>
    <w:rsid w:val="00AE6204"/>
    <w:rsid w:val="00AF02C6"/>
    <w:rsid w:val="00AF0568"/>
    <w:rsid w:val="00AF065F"/>
    <w:rsid w:val="00AF08F2"/>
    <w:rsid w:val="00AF09BE"/>
    <w:rsid w:val="00AF09E8"/>
    <w:rsid w:val="00AF0B87"/>
    <w:rsid w:val="00AF0C1D"/>
    <w:rsid w:val="00AF1019"/>
    <w:rsid w:val="00AF10A8"/>
    <w:rsid w:val="00AF1647"/>
    <w:rsid w:val="00AF1718"/>
    <w:rsid w:val="00AF1804"/>
    <w:rsid w:val="00AF1D02"/>
    <w:rsid w:val="00AF200C"/>
    <w:rsid w:val="00AF214A"/>
    <w:rsid w:val="00AF2A89"/>
    <w:rsid w:val="00AF2AD7"/>
    <w:rsid w:val="00AF2EA7"/>
    <w:rsid w:val="00AF3484"/>
    <w:rsid w:val="00AF3C95"/>
    <w:rsid w:val="00AF438D"/>
    <w:rsid w:val="00AF452E"/>
    <w:rsid w:val="00AF480C"/>
    <w:rsid w:val="00AF512F"/>
    <w:rsid w:val="00AF57EC"/>
    <w:rsid w:val="00AF5987"/>
    <w:rsid w:val="00AF5B45"/>
    <w:rsid w:val="00AF6036"/>
    <w:rsid w:val="00AF6432"/>
    <w:rsid w:val="00AF7595"/>
    <w:rsid w:val="00AF7898"/>
    <w:rsid w:val="00B002C1"/>
    <w:rsid w:val="00B00BA7"/>
    <w:rsid w:val="00B010DA"/>
    <w:rsid w:val="00B01F36"/>
    <w:rsid w:val="00B02169"/>
    <w:rsid w:val="00B02B55"/>
    <w:rsid w:val="00B03212"/>
    <w:rsid w:val="00B0340E"/>
    <w:rsid w:val="00B03F5F"/>
    <w:rsid w:val="00B040CA"/>
    <w:rsid w:val="00B04456"/>
    <w:rsid w:val="00B04BD8"/>
    <w:rsid w:val="00B04F10"/>
    <w:rsid w:val="00B04F9C"/>
    <w:rsid w:val="00B058D9"/>
    <w:rsid w:val="00B05A49"/>
    <w:rsid w:val="00B0704C"/>
    <w:rsid w:val="00B07A1F"/>
    <w:rsid w:val="00B07D87"/>
    <w:rsid w:val="00B1004B"/>
    <w:rsid w:val="00B10134"/>
    <w:rsid w:val="00B10CCA"/>
    <w:rsid w:val="00B10D8D"/>
    <w:rsid w:val="00B11941"/>
    <w:rsid w:val="00B11E77"/>
    <w:rsid w:val="00B12043"/>
    <w:rsid w:val="00B124CC"/>
    <w:rsid w:val="00B12F2A"/>
    <w:rsid w:val="00B12FE9"/>
    <w:rsid w:val="00B135FE"/>
    <w:rsid w:val="00B13751"/>
    <w:rsid w:val="00B13F09"/>
    <w:rsid w:val="00B14774"/>
    <w:rsid w:val="00B15285"/>
    <w:rsid w:val="00B15715"/>
    <w:rsid w:val="00B1572D"/>
    <w:rsid w:val="00B160FD"/>
    <w:rsid w:val="00B1663B"/>
    <w:rsid w:val="00B16753"/>
    <w:rsid w:val="00B2021B"/>
    <w:rsid w:val="00B20905"/>
    <w:rsid w:val="00B209A6"/>
    <w:rsid w:val="00B209C0"/>
    <w:rsid w:val="00B20AA2"/>
    <w:rsid w:val="00B20D90"/>
    <w:rsid w:val="00B20DDB"/>
    <w:rsid w:val="00B21444"/>
    <w:rsid w:val="00B21607"/>
    <w:rsid w:val="00B221C2"/>
    <w:rsid w:val="00B2244B"/>
    <w:rsid w:val="00B232AD"/>
    <w:rsid w:val="00B237F3"/>
    <w:rsid w:val="00B23B4A"/>
    <w:rsid w:val="00B23B9A"/>
    <w:rsid w:val="00B23D0B"/>
    <w:rsid w:val="00B23F8E"/>
    <w:rsid w:val="00B24454"/>
    <w:rsid w:val="00B24554"/>
    <w:rsid w:val="00B24A41"/>
    <w:rsid w:val="00B24ECC"/>
    <w:rsid w:val="00B25331"/>
    <w:rsid w:val="00B25780"/>
    <w:rsid w:val="00B2595E"/>
    <w:rsid w:val="00B25E22"/>
    <w:rsid w:val="00B26C64"/>
    <w:rsid w:val="00B26CD5"/>
    <w:rsid w:val="00B26E2F"/>
    <w:rsid w:val="00B2709B"/>
    <w:rsid w:val="00B27364"/>
    <w:rsid w:val="00B2736F"/>
    <w:rsid w:val="00B274F7"/>
    <w:rsid w:val="00B27532"/>
    <w:rsid w:val="00B3078A"/>
    <w:rsid w:val="00B30D6B"/>
    <w:rsid w:val="00B30F0A"/>
    <w:rsid w:val="00B31E45"/>
    <w:rsid w:val="00B3326F"/>
    <w:rsid w:val="00B3333E"/>
    <w:rsid w:val="00B3421A"/>
    <w:rsid w:val="00B342DD"/>
    <w:rsid w:val="00B342FF"/>
    <w:rsid w:val="00B344D8"/>
    <w:rsid w:val="00B3537F"/>
    <w:rsid w:val="00B35659"/>
    <w:rsid w:val="00B35B55"/>
    <w:rsid w:val="00B35CE0"/>
    <w:rsid w:val="00B35D0E"/>
    <w:rsid w:val="00B35E8A"/>
    <w:rsid w:val="00B36272"/>
    <w:rsid w:val="00B365D7"/>
    <w:rsid w:val="00B365EB"/>
    <w:rsid w:val="00B3709A"/>
    <w:rsid w:val="00B3737C"/>
    <w:rsid w:val="00B37425"/>
    <w:rsid w:val="00B3763E"/>
    <w:rsid w:val="00B3784B"/>
    <w:rsid w:val="00B37850"/>
    <w:rsid w:val="00B378AC"/>
    <w:rsid w:val="00B37D62"/>
    <w:rsid w:val="00B401C2"/>
    <w:rsid w:val="00B403A5"/>
    <w:rsid w:val="00B4061D"/>
    <w:rsid w:val="00B40696"/>
    <w:rsid w:val="00B40E9B"/>
    <w:rsid w:val="00B415F0"/>
    <w:rsid w:val="00B418C4"/>
    <w:rsid w:val="00B418CB"/>
    <w:rsid w:val="00B41A06"/>
    <w:rsid w:val="00B41D16"/>
    <w:rsid w:val="00B42006"/>
    <w:rsid w:val="00B425C9"/>
    <w:rsid w:val="00B426FC"/>
    <w:rsid w:val="00B42896"/>
    <w:rsid w:val="00B430E4"/>
    <w:rsid w:val="00B437DC"/>
    <w:rsid w:val="00B43957"/>
    <w:rsid w:val="00B43A2F"/>
    <w:rsid w:val="00B43A93"/>
    <w:rsid w:val="00B43D6C"/>
    <w:rsid w:val="00B43F20"/>
    <w:rsid w:val="00B43F8D"/>
    <w:rsid w:val="00B44010"/>
    <w:rsid w:val="00B441D5"/>
    <w:rsid w:val="00B442BC"/>
    <w:rsid w:val="00B447E7"/>
    <w:rsid w:val="00B4497D"/>
    <w:rsid w:val="00B44C88"/>
    <w:rsid w:val="00B452E3"/>
    <w:rsid w:val="00B452E8"/>
    <w:rsid w:val="00B457B3"/>
    <w:rsid w:val="00B45BD7"/>
    <w:rsid w:val="00B4639C"/>
    <w:rsid w:val="00B467ED"/>
    <w:rsid w:val="00B475E4"/>
    <w:rsid w:val="00B47FA1"/>
    <w:rsid w:val="00B5045E"/>
    <w:rsid w:val="00B50A0A"/>
    <w:rsid w:val="00B50BFA"/>
    <w:rsid w:val="00B50C59"/>
    <w:rsid w:val="00B51389"/>
    <w:rsid w:val="00B51580"/>
    <w:rsid w:val="00B51BCB"/>
    <w:rsid w:val="00B52104"/>
    <w:rsid w:val="00B5253A"/>
    <w:rsid w:val="00B52615"/>
    <w:rsid w:val="00B52BD8"/>
    <w:rsid w:val="00B52F6D"/>
    <w:rsid w:val="00B5363D"/>
    <w:rsid w:val="00B538A6"/>
    <w:rsid w:val="00B538FD"/>
    <w:rsid w:val="00B53974"/>
    <w:rsid w:val="00B542AF"/>
    <w:rsid w:val="00B54FCF"/>
    <w:rsid w:val="00B5566A"/>
    <w:rsid w:val="00B5572D"/>
    <w:rsid w:val="00B55987"/>
    <w:rsid w:val="00B55C21"/>
    <w:rsid w:val="00B55DB6"/>
    <w:rsid w:val="00B56538"/>
    <w:rsid w:val="00B56C8B"/>
    <w:rsid w:val="00B56DCC"/>
    <w:rsid w:val="00B56F8D"/>
    <w:rsid w:val="00B571AC"/>
    <w:rsid w:val="00B576CB"/>
    <w:rsid w:val="00B57A36"/>
    <w:rsid w:val="00B60408"/>
    <w:rsid w:val="00B6062E"/>
    <w:rsid w:val="00B621A2"/>
    <w:rsid w:val="00B629D8"/>
    <w:rsid w:val="00B63899"/>
    <w:rsid w:val="00B638B8"/>
    <w:rsid w:val="00B63CD4"/>
    <w:rsid w:val="00B645E0"/>
    <w:rsid w:val="00B64BB2"/>
    <w:rsid w:val="00B64CB6"/>
    <w:rsid w:val="00B66447"/>
    <w:rsid w:val="00B664DB"/>
    <w:rsid w:val="00B66AA2"/>
    <w:rsid w:val="00B67CEC"/>
    <w:rsid w:val="00B705C2"/>
    <w:rsid w:val="00B70D87"/>
    <w:rsid w:val="00B71880"/>
    <w:rsid w:val="00B72278"/>
    <w:rsid w:val="00B73284"/>
    <w:rsid w:val="00B73AEF"/>
    <w:rsid w:val="00B743BB"/>
    <w:rsid w:val="00B74536"/>
    <w:rsid w:val="00B7492B"/>
    <w:rsid w:val="00B74BAA"/>
    <w:rsid w:val="00B7563A"/>
    <w:rsid w:val="00B75750"/>
    <w:rsid w:val="00B75A6C"/>
    <w:rsid w:val="00B76410"/>
    <w:rsid w:val="00B768E9"/>
    <w:rsid w:val="00B76EAA"/>
    <w:rsid w:val="00B775F7"/>
    <w:rsid w:val="00B808A5"/>
    <w:rsid w:val="00B80B46"/>
    <w:rsid w:val="00B80D0F"/>
    <w:rsid w:val="00B8100F"/>
    <w:rsid w:val="00B811FC"/>
    <w:rsid w:val="00B8124D"/>
    <w:rsid w:val="00B8146F"/>
    <w:rsid w:val="00B817B3"/>
    <w:rsid w:val="00B81F29"/>
    <w:rsid w:val="00B8209A"/>
    <w:rsid w:val="00B82D11"/>
    <w:rsid w:val="00B830BD"/>
    <w:rsid w:val="00B832F7"/>
    <w:rsid w:val="00B83B77"/>
    <w:rsid w:val="00B84059"/>
    <w:rsid w:val="00B84379"/>
    <w:rsid w:val="00B8473B"/>
    <w:rsid w:val="00B85D1D"/>
    <w:rsid w:val="00B86326"/>
    <w:rsid w:val="00B86377"/>
    <w:rsid w:val="00B8729A"/>
    <w:rsid w:val="00B8730D"/>
    <w:rsid w:val="00B87408"/>
    <w:rsid w:val="00B87713"/>
    <w:rsid w:val="00B87AE1"/>
    <w:rsid w:val="00B87F02"/>
    <w:rsid w:val="00B914BC"/>
    <w:rsid w:val="00B91E91"/>
    <w:rsid w:val="00B9273B"/>
    <w:rsid w:val="00B9287B"/>
    <w:rsid w:val="00B92887"/>
    <w:rsid w:val="00B92E77"/>
    <w:rsid w:val="00B93090"/>
    <w:rsid w:val="00B93FBD"/>
    <w:rsid w:val="00B93FE2"/>
    <w:rsid w:val="00B94084"/>
    <w:rsid w:val="00B94946"/>
    <w:rsid w:val="00B949FA"/>
    <w:rsid w:val="00B94A66"/>
    <w:rsid w:val="00B94F7D"/>
    <w:rsid w:val="00B953C9"/>
    <w:rsid w:val="00B95713"/>
    <w:rsid w:val="00B95AB7"/>
    <w:rsid w:val="00B9799B"/>
    <w:rsid w:val="00B97C68"/>
    <w:rsid w:val="00B97EE3"/>
    <w:rsid w:val="00BA083C"/>
    <w:rsid w:val="00BA0B93"/>
    <w:rsid w:val="00BA0D49"/>
    <w:rsid w:val="00BA10F8"/>
    <w:rsid w:val="00BA1604"/>
    <w:rsid w:val="00BA1921"/>
    <w:rsid w:val="00BA1EC8"/>
    <w:rsid w:val="00BA2400"/>
    <w:rsid w:val="00BA26BF"/>
    <w:rsid w:val="00BA295F"/>
    <w:rsid w:val="00BA2D0C"/>
    <w:rsid w:val="00BA2F9B"/>
    <w:rsid w:val="00BA39F3"/>
    <w:rsid w:val="00BA3CB4"/>
    <w:rsid w:val="00BA417E"/>
    <w:rsid w:val="00BA453C"/>
    <w:rsid w:val="00BA4C90"/>
    <w:rsid w:val="00BA4E6D"/>
    <w:rsid w:val="00BA5A5D"/>
    <w:rsid w:val="00BA5BAD"/>
    <w:rsid w:val="00BA6E5A"/>
    <w:rsid w:val="00BA7451"/>
    <w:rsid w:val="00BA7456"/>
    <w:rsid w:val="00BB051D"/>
    <w:rsid w:val="00BB0B6A"/>
    <w:rsid w:val="00BB0D4B"/>
    <w:rsid w:val="00BB0E72"/>
    <w:rsid w:val="00BB1903"/>
    <w:rsid w:val="00BB2372"/>
    <w:rsid w:val="00BB2A83"/>
    <w:rsid w:val="00BB2B7E"/>
    <w:rsid w:val="00BB2E37"/>
    <w:rsid w:val="00BB3600"/>
    <w:rsid w:val="00BB3B3F"/>
    <w:rsid w:val="00BB3DB6"/>
    <w:rsid w:val="00BB417B"/>
    <w:rsid w:val="00BB42B0"/>
    <w:rsid w:val="00BB44BA"/>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091B"/>
    <w:rsid w:val="00BC17BC"/>
    <w:rsid w:val="00BC23D7"/>
    <w:rsid w:val="00BC2A5E"/>
    <w:rsid w:val="00BC2ED9"/>
    <w:rsid w:val="00BC2F64"/>
    <w:rsid w:val="00BC3002"/>
    <w:rsid w:val="00BC30DA"/>
    <w:rsid w:val="00BC3AFA"/>
    <w:rsid w:val="00BC3C2D"/>
    <w:rsid w:val="00BC4D09"/>
    <w:rsid w:val="00BC5023"/>
    <w:rsid w:val="00BC524A"/>
    <w:rsid w:val="00BC54ED"/>
    <w:rsid w:val="00BC59F1"/>
    <w:rsid w:val="00BC5B4C"/>
    <w:rsid w:val="00BC6E87"/>
    <w:rsid w:val="00BC7915"/>
    <w:rsid w:val="00BC79AE"/>
    <w:rsid w:val="00BD0C1B"/>
    <w:rsid w:val="00BD1A74"/>
    <w:rsid w:val="00BD1ECA"/>
    <w:rsid w:val="00BD22AC"/>
    <w:rsid w:val="00BD27CD"/>
    <w:rsid w:val="00BD3049"/>
    <w:rsid w:val="00BD39F1"/>
    <w:rsid w:val="00BD3B52"/>
    <w:rsid w:val="00BD3FA5"/>
    <w:rsid w:val="00BD4159"/>
    <w:rsid w:val="00BD42C5"/>
    <w:rsid w:val="00BD487C"/>
    <w:rsid w:val="00BD4A78"/>
    <w:rsid w:val="00BD4D0D"/>
    <w:rsid w:val="00BD5424"/>
    <w:rsid w:val="00BD59A4"/>
    <w:rsid w:val="00BD59C6"/>
    <w:rsid w:val="00BD5A15"/>
    <w:rsid w:val="00BD6772"/>
    <w:rsid w:val="00BD7598"/>
    <w:rsid w:val="00BD77F7"/>
    <w:rsid w:val="00BD781C"/>
    <w:rsid w:val="00BD7B27"/>
    <w:rsid w:val="00BD7CF3"/>
    <w:rsid w:val="00BE027B"/>
    <w:rsid w:val="00BE0714"/>
    <w:rsid w:val="00BE0B5D"/>
    <w:rsid w:val="00BE0DFF"/>
    <w:rsid w:val="00BE189B"/>
    <w:rsid w:val="00BE25B9"/>
    <w:rsid w:val="00BE2A29"/>
    <w:rsid w:val="00BE2AC6"/>
    <w:rsid w:val="00BE3740"/>
    <w:rsid w:val="00BE3974"/>
    <w:rsid w:val="00BE3BA8"/>
    <w:rsid w:val="00BE41C7"/>
    <w:rsid w:val="00BE4242"/>
    <w:rsid w:val="00BE42DA"/>
    <w:rsid w:val="00BE4820"/>
    <w:rsid w:val="00BE4BBD"/>
    <w:rsid w:val="00BE4D38"/>
    <w:rsid w:val="00BE516D"/>
    <w:rsid w:val="00BE602C"/>
    <w:rsid w:val="00BE6FE5"/>
    <w:rsid w:val="00BE7B0A"/>
    <w:rsid w:val="00BE7D0D"/>
    <w:rsid w:val="00BF00B7"/>
    <w:rsid w:val="00BF06E6"/>
    <w:rsid w:val="00BF06FE"/>
    <w:rsid w:val="00BF08C2"/>
    <w:rsid w:val="00BF0DFF"/>
    <w:rsid w:val="00BF2038"/>
    <w:rsid w:val="00BF2280"/>
    <w:rsid w:val="00BF2458"/>
    <w:rsid w:val="00BF2C40"/>
    <w:rsid w:val="00BF2E3E"/>
    <w:rsid w:val="00BF458C"/>
    <w:rsid w:val="00BF4EF7"/>
    <w:rsid w:val="00BF4F79"/>
    <w:rsid w:val="00BF4F81"/>
    <w:rsid w:val="00BF544D"/>
    <w:rsid w:val="00BF5629"/>
    <w:rsid w:val="00BF6107"/>
    <w:rsid w:val="00BF6561"/>
    <w:rsid w:val="00BF6626"/>
    <w:rsid w:val="00BF7C03"/>
    <w:rsid w:val="00C00246"/>
    <w:rsid w:val="00C00EFD"/>
    <w:rsid w:val="00C01781"/>
    <w:rsid w:val="00C01F6D"/>
    <w:rsid w:val="00C01FB8"/>
    <w:rsid w:val="00C023C8"/>
    <w:rsid w:val="00C02868"/>
    <w:rsid w:val="00C02971"/>
    <w:rsid w:val="00C02EB7"/>
    <w:rsid w:val="00C02F74"/>
    <w:rsid w:val="00C03137"/>
    <w:rsid w:val="00C04743"/>
    <w:rsid w:val="00C05953"/>
    <w:rsid w:val="00C066DD"/>
    <w:rsid w:val="00C06D0E"/>
    <w:rsid w:val="00C071A9"/>
    <w:rsid w:val="00C073DD"/>
    <w:rsid w:val="00C07C10"/>
    <w:rsid w:val="00C07DF1"/>
    <w:rsid w:val="00C07F7F"/>
    <w:rsid w:val="00C116A2"/>
    <w:rsid w:val="00C11A04"/>
    <w:rsid w:val="00C11A38"/>
    <w:rsid w:val="00C12ECB"/>
    <w:rsid w:val="00C1334F"/>
    <w:rsid w:val="00C1357F"/>
    <w:rsid w:val="00C13A80"/>
    <w:rsid w:val="00C1430A"/>
    <w:rsid w:val="00C14460"/>
    <w:rsid w:val="00C1492C"/>
    <w:rsid w:val="00C15307"/>
    <w:rsid w:val="00C1534E"/>
    <w:rsid w:val="00C153BD"/>
    <w:rsid w:val="00C1549A"/>
    <w:rsid w:val="00C155EF"/>
    <w:rsid w:val="00C158F4"/>
    <w:rsid w:val="00C15D17"/>
    <w:rsid w:val="00C161E6"/>
    <w:rsid w:val="00C16386"/>
    <w:rsid w:val="00C1651E"/>
    <w:rsid w:val="00C16836"/>
    <w:rsid w:val="00C16CE3"/>
    <w:rsid w:val="00C1783E"/>
    <w:rsid w:val="00C17890"/>
    <w:rsid w:val="00C17BFA"/>
    <w:rsid w:val="00C17FD8"/>
    <w:rsid w:val="00C20FAE"/>
    <w:rsid w:val="00C21BC0"/>
    <w:rsid w:val="00C220C9"/>
    <w:rsid w:val="00C2293D"/>
    <w:rsid w:val="00C232DC"/>
    <w:rsid w:val="00C237D5"/>
    <w:rsid w:val="00C23968"/>
    <w:rsid w:val="00C24688"/>
    <w:rsid w:val="00C24D7B"/>
    <w:rsid w:val="00C2576B"/>
    <w:rsid w:val="00C26715"/>
    <w:rsid w:val="00C271FA"/>
    <w:rsid w:val="00C272B6"/>
    <w:rsid w:val="00C2752C"/>
    <w:rsid w:val="00C303EC"/>
    <w:rsid w:val="00C305D9"/>
    <w:rsid w:val="00C30634"/>
    <w:rsid w:val="00C30D3D"/>
    <w:rsid w:val="00C3138C"/>
    <w:rsid w:val="00C315CD"/>
    <w:rsid w:val="00C31814"/>
    <w:rsid w:val="00C31AB0"/>
    <w:rsid w:val="00C32039"/>
    <w:rsid w:val="00C327DB"/>
    <w:rsid w:val="00C3403C"/>
    <w:rsid w:val="00C34766"/>
    <w:rsid w:val="00C34D53"/>
    <w:rsid w:val="00C3568C"/>
    <w:rsid w:val="00C35912"/>
    <w:rsid w:val="00C35C3A"/>
    <w:rsid w:val="00C35ECA"/>
    <w:rsid w:val="00C36104"/>
    <w:rsid w:val="00C3636E"/>
    <w:rsid w:val="00C36C47"/>
    <w:rsid w:val="00C36FE0"/>
    <w:rsid w:val="00C37416"/>
    <w:rsid w:val="00C3793A"/>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458"/>
    <w:rsid w:val="00C45F2B"/>
    <w:rsid w:val="00C4617B"/>
    <w:rsid w:val="00C46F8F"/>
    <w:rsid w:val="00C47C5F"/>
    <w:rsid w:val="00C50428"/>
    <w:rsid w:val="00C510F2"/>
    <w:rsid w:val="00C51199"/>
    <w:rsid w:val="00C5194E"/>
    <w:rsid w:val="00C5219E"/>
    <w:rsid w:val="00C526F6"/>
    <w:rsid w:val="00C539CF"/>
    <w:rsid w:val="00C53D2D"/>
    <w:rsid w:val="00C53E0C"/>
    <w:rsid w:val="00C54CD9"/>
    <w:rsid w:val="00C55185"/>
    <w:rsid w:val="00C55CAF"/>
    <w:rsid w:val="00C55DDD"/>
    <w:rsid w:val="00C55FFF"/>
    <w:rsid w:val="00C5728A"/>
    <w:rsid w:val="00C573C2"/>
    <w:rsid w:val="00C57C06"/>
    <w:rsid w:val="00C6000C"/>
    <w:rsid w:val="00C603F8"/>
    <w:rsid w:val="00C616D3"/>
    <w:rsid w:val="00C6189B"/>
    <w:rsid w:val="00C6190B"/>
    <w:rsid w:val="00C61EE3"/>
    <w:rsid w:val="00C628B2"/>
    <w:rsid w:val="00C62ADF"/>
    <w:rsid w:val="00C62E99"/>
    <w:rsid w:val="00C632BE"/>
    <w:rsid w:val="00C635C6"/>
    <w:rsid w:val="00C635FD"/>
    <w:rsid w:val="00C63ED6"/>
    <w:rsid w:val="00C63FAC"/>
    <w:rsid w:val="00C643C0"/>
    <w:rsid w:val="00C65DFF"/>
    <w:rsid w:val="00C6695A"/>
    <w:rsid w:val="00C669C2"/>
    <w:rsid w:val="00C66CB3"/>
    <w:rsid w:val="00C66D1F"/>
    <w:rsid w:val="00C66DF1"/>
    <w:rsid w:val="00C66EC9"/>
    <w:rsid w:val="00C67153"/>
    <w:rsid w:val="00C678E7"/>
    <w:rsid w:val="00C67B67"/>
    <w:rsid w:val="00C70039"/>
    <w:rsid w:val="00C70B47"/>
    <w:rsid w:val="00C712EE"/>
    <w:rsid w:val="00C7150A"/>
    <w:rsid w:val="00C71C66"/>
    <w:rsid w:val="00C71E8E"/>
    <w:rsid w:val="00C71EDA"/>
    <w:rsid w:val="00C73C68"/>
    <w:rsid w:val="00C73D25"/>
    <w:rsid w:val="00C7483E"/>
    <w:rsid w:val="00C74990"/>
    <w:rsid w:val="00C74A5D"/>
    <w:rsid w:val="00C75565"/>
    <w:rsid w:val="00C7579F"/>
    <w:rsid w:val="00C7599B"/>
    <w:rsid w:val="00C75AD3"/>
    <w:rsid w:val="00C75D90"/>
    <w:rsid w:val="00C7659B"/>
    <w:rsid w:val="00C77839"/>
    <w:rsid w:val="00C779FF"/>
    <w:rsid w:val="00C805F0"/>
    <w:rsid w:val="00C80707"/>
    <w:rsid w:val="00C808E1"/>
    <w:rsid w:val="00C80B36"/>
    <w:rsid w:val="00C80B59"/>
    <w:rsid w:val="00C80B5E"/>
    <w:rsid w:val="00C81353"/>
    <w:rsid w:val="00C81455"/>
    <w:rsid w:val="00C8215D"/>
    <w:rsid w:val="00C82A01"/>
    <w:rsid w:val="00C83458"/>
    <w:rsid w:val="00C83A03"/>
    <w:rsid w:val="00C83F22"/>
    <w:rsid w:val="00C84C79"/>
    <w:rsid w:val="00C84DD4"/>
    <w:rsid w:val="00C84E9B"/>
    <w:rsid w:val="00C852FF"/>
    <w:rsid w:val="00C856AB"/>
    <w:rsid w:val="00C85B09"/>
    <w:rsid w:val="00C861EE"/>
    <w:rsid w:val="00C86A5F"/>
    <w:rsid w:val="00C870DC"/>
    <w:rsid w:val="00C875BB"/>
    <w:rsid w:val="00C87D14"/>
    <w:rsid w:val="00C90058"/>
    <w:rsid w:val="00C90475"/>
    <w:rsid w:val="00C9058C"/>
    <w:rsid w:val="00C92C55"/>
    <w:rsid w:val="00C92EB8"/>
    <w:rsid w:val="00C93860"/>
    <w:rsid w:val="00C939A3"/>
    <w:rsid w:val="00C93BCC"/>
    <w:rsid w:val="00C9434A"/>
    <w:rsid w:val="00C9436D"/>
    <w:rsid w:val="00C94861"/>
    <w:rsid w:val="00C951D4"/>
    <w:rsid w:val="00C95268"/>
    <w:rsid w:val="00C956A2"/>
    <w:rsid w:val="00C95AB3"/>
    <w:rsid w:val="00C963EE"/>
    <w:rsid w:val="00C964C4"/>
    <w:rsid w:val="00C964C6"/>
    <w:rsid w:val="00C96921"/>
    <w:rsid w:val="00C96946"/>
    <w:rsid w:val="00C96B4B"/>
    <w:rsid w:val="00C96BBD"/>
    <w:rsid w:val="00C97D7E"/>
    <w:rsid w:val="00CA123F"/>
    <w:rsid w:val="00CA1259"/>
    <w:rsid w:val="00CA1660"/>
    <w:rsid w:val="00CA1BFB"/>
    <w:rsid w:val="00CA1DC6"/>
    <w:rsid w:val="00CA3276"/>
    <w:rsid w:val="00CA34DE"/>
    <w:rsid w:val="00CA3567"/>
    <w:rsid w:val="00CA3B91"/>
    <w:rsid w:val="00CA4606"/>
    <w:rsid w:val="00CA53EC"/>
    <w:rsid w:val="00CA5AE3"/>
    <w:rsid w:val="00CA5C2D"/>
    <w:rsid w:val="00CA60A4"/>
    <w:rsid w:val="00CA6BB5"/>
    <w:rsid w:val="00CA756B"/>
    <w:rsid w:val="00CA7CE7"/>
    <w:rsid w:val="00CB02D1"/>
    <w:rsid w:val="00CB06B0"/>
    <w:rsid w:val="00CB08EA"/>
    <w:rsid w:val="00CB0AB2"/>
    <w:rsid w:val="00CB1066"/>
    <w:rsid w:val="00CB10D6"/>
    <w:rsid w:val="00CB1221"/>
    <w:rsid w:val="00CB12FE"/>
    <w:rsid w:val="00CB18AA"/>
    <w:rsid w:val="00CB1C92"/>
    <w:rsid w:val="00CB2144"/>
    <w:rsid w:val="00CB240A"/>
    <w:rsid w:val="00CB2DC7"/>
    <w:rsid w:val="00CB4B23"/>
    <w:rsid w:val="00CB4CB5"/>
    <w:rsid w:val="00CB5180"/>
    <w:rsid w:val="00CB5423"/>
    <w:rsid w:val="00CB550A"/>
    <w:rsid w:val="00CB5663"/>
    <w:rsid w:val="00CB61CF"/>
    <w:rsid w:val="00CB62A8"/>
    <w:rsid w:val="00CB6420"/>
    <w:rsid w:val="00CB6DFF"/>
    <w:rsid w:val="00CB7D9E"/>
    <w:rsid w:val="00CC0C36"/>
    <w:rsid w:val="00CC11FD"/>
    <w:rsid w:val="00CC19BB"/>
    <w:rsid w:val="00CC1BA8"/>
    <w:rsid w:val="00CC22C1"/>
    <w:rsid w:val="00CC2373"/>
    <w:rsid w:val="00CC263C"/>
    <w:rsid w:val="00CC27EA"/>
    <w:rsid w:val="00CC2BF4"/>
    <w:rsid w:val="00CC2E4F"/>
    <w:rsid w:val="00CC2F02"/>
    <w:rsid w:val="00CC369C"/>
    <w:rsid w:val="00CC3EE3"/>
    <w:rsid w:val="00CC42F9"/>
    <w:rsid w:val="00CC542D"/>
    <w:rsid w:val="00CC547F"/>
    <w:rsid w:val="00CC5857"/>
    <w:rsid w:val="00CC6820"/>
    <w:rsid w:val="00CC6876"/>
    <w:rsid w:val="00CC6D75"/>
    <w:rsid w:val="00CC70C7"/>
    <w:rsid w:val="00CC74DE"/>
    <w:rsid w:val="00CD01DA"/>
    <w:rsid w:val="00CD06A6"/>
    <w:rsid w:val="00CD11B2"/>
    <w:rsid w:val="00CD123E"/>
    <w:rsid w:val="00CD12A7"/>
    <w:rsid w:val="00CD187C"/>
    <w:rsid w:val="00CD24E6"/>
    <w:rsid w:val="00CD362C"/>
    <w:rsid w:val="00CD39C8"/>
    <w:rsid w:val="00CD3E5A"/>
    <w:rsid w:val="00CD4447"/>
    <w:rsid w:val="00CD4452"/>
    <w:rsid w:val="00CD47A8"/>
    <w:rsid w:val="00CD4E81"/>
    <w:rsid w:val="00CD563F"/>
    <w:rsid w:val="00CD5AB2"/>
    <w:rsid w:val="00CD69E8"/>
    <w:rsid w:val="00CD7491"/>
    <w:rsid w:val="00CD76B9"/>
    <w:rsid w:val="00CD7DFA"/>
    <w:rsid w:val="00CD7F13"/>
    <w:rsid w:val="00CE002E"/>
    <w:rsid w:val="00CE0167"/>
    <w:rsid w:val="00CE020D"/>
    <w:rsid w:val="00CE039B"/>
    <w:rsid w:val="00CE05E9"/>
    <w:rsid w:val="00CE0844"/>
    <w:rsid w:val="00CE0CFD"/>
    <w:rsid w:val="00CE0F60"/>
    <w:rsid w:val="00CE1931"/>
    <w:rsid w:val="00CE1C4E"/>
    <w:rsid w:val="00CE1DF0"/>
    <w:rsid w:val="00CE1E0B"/>
    <w:rsid w:val="00CE246E"/>
    <w:rsid w:val="00CE24B9"/>
    <w:rsid w:val="00CE27B0"/>
    <w:rsid w:val="00CE2AEC"/>
    <w:rsid w:val="00CE2E14"/>
    <w:rsid w:val="00CE34EE"/>
    <w:rsid w:val="00CE374B"/>
    <w:rsid w:val="00CE38BB"/>
    <w:rsid w:val="00CE40CD"/>
    <w:rsid w:val="00CE43EF"/>
    <w:rsid w:val="00CE44F2"/>
    <w:rsid w:val="00CE5976"/>
    <w:rsid w:val="00CE5C9B"/>
    <w:rsid w:val="00CE5F02"/>
    <w:rsid w:val="00CE5F33"/>
    <w:rsid w:val="00CE63A3"/>
    <w:rsid w:val="00CE78DF"/>
    <w:rsid w:val="00CF0ABF"/>
    <w:rsid w:val="00CF0F13"/>
    <w:rsid w:val="00CF1343"/>
    <w:rsid w:val="00CF1823"/>
    <w:rsid w:val="00CF2859"/>
    <w:rsid w:val="00CF2CCE"/>
    <w:rsid w:val="00CF3467"/>
    <w:rsid w:val="00CF3C52"/>
    <w:rsid w:val="00CF4A5F"/>
    <w:rsid w:val="00CF546B"/>
    <w:rsid w:val="00CF5695"/>
    <w:rsid w:val="00CF57D5"/>
    <w:rsid w:val="00CF5ED9"/>
    <w:rsid w:val="00CF68B9"/>
    <w:rsid w:val="00CF7073"/>
    <w:rsid w:val="00CF739A"/>
    <w:rsid w:val="00CF7866"/>
    <w:rsid w:val="00CF788E"/>
    <w:rsid w:val="00CF7D0D"/>
    <w:rsid w:val="00D00215"/>
    <w:rsid w:val="00D0068E"/>
    <w:rsid w:val="00D00CD0"/>
    <w:rsid w:val="00D00F88"/>
    <w:rsid w:val="00D01484"/>
    <w:rsid w:val="00D01F00"/>
    <w:rsid w:val="00D02286"/>
    <w:rsid w:val="00D022B3"/>
    <w:rsid w:val="00D0253A"/>
    <w:rsid w:val="00D02F01"/>
    <w:rsid w:val="00D03A72"/>
    <w:rsid w:val="00D03F5D"/>
    <w:rsid w:val="00D05685"/>
    <w:rsid w:val="00D05B81"/>
    <w:rsid w:val="00D05CBC"/>
    <w:rsid w:val="00D05EEF"/>
    <w:rsid w:val="00D0669C"/>
    <w:rsid w:val="00D06BE4"/>
    <w:rsid w:val="00D06E28"/>
    <w:rsid w:val="00D07BA5"/>
    <w:rsid w:val="00D100FA"/>
    <w:rsid w:val="00D10D2C"/>
    <w:rsid w:val="00D10E21"/>
    <w:rsid w:val="00D11051"/>
    <w:rsid w:val="00D1147E"/>
    <w:rsid w:val="00D12428"/>
    <w:rsid w:val="00D13209"/>
    <w:rsid w:val="00D1335D"/>
    <w:rsid w:val="00D133FC"/>
    <w:rsid w:val="00D139DA"/>
    <w:rsid w:val="00D13CDE"/>
    <w:rsid w:val="00D13EBE"/>
    <w:rsid w:val="00D13F35"/>
    <w:rsid w:val="00D1451C"/>
    <w:rsid w:val="00D15CAC"/>
    <w:rsid w:val="00D16647"/>
    <w:rsid w:val="00D167B7"/>
    <w:rsid w:val="00D16B4F"/>
    <w:rsid w:val="00D16B7E"/>
    <w:rsid w:val="00D17079"/>
    <w:rsid w:val="00D17304"/>
    <w:rsid w:val="00D17385"/>
    <w:rsid w:val="00D1777D"/>
    <w:rsid w:val="00D1783F"/>
    <w:rsid w:val="00D178B4"/>
    <w:rsid w:val="00D17E0E"/>
    <w:rsid w:val="00D201D7"/>
    <w:rsid w:val="00D20396"/>
    <w:rsid w:val="00D20427"/>
    <w:rsid w:val="00D20646"/>
    <w:rsid w:val="00D20AF5"/>
    <w:rsid w:val="00D2154E"/>
    <w:rsid w:val="00D21676"/>
    <w:rsid w:val="00D21A2B"/>
    <w:rsid w:val="00D21BCC"/>
    <w:rsid w:val="00D21EB9"/>
    <w:rsid w:val="00D2233A"/>
    <w:rsid w:val="00D22F99"/>
    <w:rsid w:val="00D23160"/>
    <w:rsid w:val="00D231B6"/>
    <w:rsid w:val="00D236FB"/>
    <w:rsid w:val="00D2384F"/>
    <w:rsid w:val="00D23910"/>
    <w:rsid w:val="00D23AF7"/>
    <w:rsid w:val="00D24654"/>
    <w:rsid w:val="00D247E9"/>
    <w:rsid w:val="00D24A4E"/>
    <w:rsid w:val="00D24FF0"/>
    <w:rsid w:val="00D25439"/>
    <w:rsid w:val="00D25F91"/>
    <w:rsid w:val="00D264BE"/>
    <w:rsid w:val="00D267AA"/>
    <w:rsid w:val="00D268DD"/>
    <w:rsid w:val="00D2722D"/>
    <w:rsid w:val="00D2791B"/>
    <w:rsid w:val="00D27BFB"/>
    <w:rsid w:val="00D27DD5"/>
    <w:rsid w:val="00D27FCA"/>
    <w:rsid w:val="00D31453"/>
    <w:rsid w:val="00D31D7B"/>
    <w:rsid w:val="00D3227A"/>
    <w:rsid w:val="00D324D4"/>
    <w:rsid w:val="00D325B3"/>
    <w:rsid w:val="00D32ACB"/>
    <w:rsid w:val="00D33900"/>
    <w:rsid w:val="00D3399D"/>
    <w:rsid w:val="00D33B44"/>
    <w:rsid w:val="00D33FA6"/>
    <w:rsid w:val="00D33FB7"/>
    <w:rsid w:val="00D343F3"/>
    <w:rsid w:val="00D347F7"/>
    <w:rsid w:val="00D354C8"/>
    <w:rsid w:val="00D35526"/>
    <w:rsid w:val="00D36E52"/>
    <w:rsid w:val="00D371F2"/>
    <w:rsid w:val="00D3723D"/>
    <w:rsid w:val="00D37282"/>
    <w:rsid w:val="00D3784D"/>
    <w:rsid w:val="00D3796B"/>
    <w:rsid w:val="00D404D8"/>
    <w:rsid w:val="00D40A93"/>
    <w:rsid w:val="00D419F2"/>
    <w:rsid w:val="00D42993"/>
    <w:rsid w:val="00D4347E"/>
    <w:rsid w:val="00D4369C"/>
    <w:rsid w:val="00D437BF"/>
    <w:rsid w:val="00D43825"/>
    <w:rsid w:val="00D4393A"/>
    <w:rsid w:val="00D43E31"/>
    <w:rsid w:val="00D44302"/>
    <w:rsid w:val="00D44572"/>
    <w:rsid w:val="00D44724"/>
    <w:rsid w:val="00D44881"/>
    <w:rsid w:val="00D45EFA"/>
    <w:rsid w:val="00D4618E"/>
    <w:rsid w:val="00D466F0"/>
    <w:rsid w:val="00D46709"/>
    <w:rsid w:val="00D46B90"/>
    <w:rsid w:val="00D47226"/>
    <w:rsid w:val="00D476E6"/>
    <w:rsid w:val="00D4780A"/>
    <w:rsid w:val="00D50669"/>
    <w:rsid w:val="00D508E2"/>
    <w:rsid w:val="00D52D5D"/>
    <w:rsid w:val="00D52D83"/>
    <w:rsid w:val="00D5353F"/>
    <w:rsid w:val="00D535C2"/>
    <w:rsid w:val="00D5362F"/>
    <w:rsid w:val="00D536B5"/>
    <w:rsid w:val="00D541A1"/>
    <w:rsid w:val="00D5456A"/>
    <w:rsid w:val="00D548B2"/>
    <w:rsid w:val="00D54961"/>
    <w:rsid w:val="00D55080"/>
    <w:rsid w:val="00D55149"/>
    <w:rsid w:val="00D554D7"/>
    <w:rsid w:val="00D557B3"/>
    <w:rsid w:val="00D55AC2"/>
    <w:rsid w:val="00D55ADE"/>
    <w:rsid w:val="00D55C66"/>
    <w:rsid w:val="00D56830"/>
    <w:rsid w:val="00D57013"/>
    <w:rsid w:val="00D5703B"/>
    <w:rsid w:val="00D5725A"/>
    <w:rsid w:val="00D57D65"/>
    <w:rsid w:val="00D60B01"/>
    <w:rsid w:val="00D60BA1"/>
    <w:rsid w:val="00D60D96"/>
    <w:rsid w:val="00D60E42"/>
    <w:rsid w:val="00D61166"/>
    <w:rsid w:val="00D61F91"/>
    <w:rsid w:val="00D62136"/>
    <w:rsid w:val="00D62652"/>
    <w:rsid w:val="00D626FF"/>
    <w:rsid w:val="00D62918"/>
    <w:rsid w:val="00D62A0E"/>
    <w:rsid w:val="00D634A8"/>
    <w:rsid w:val="00D635C1"/>
    <w:rsid w:val="00D64009"/>
    <w:rsid w:val="00D64010"/>
    <w:rsid w:val="00D643C7"/>
    <w:rsid w:val="00D645F1"/>
    <w:rsid w:val="00D64881"/>
    <w:rsid w:val="00D64BE4"/>
    <w:rsid w:val="00D64D68"/>
    <w:rsid w:val="00D64FC5"/>
    <w:rsid w:val="00D654E4"/>
    <w:rsid w:val="00D65B6A"/>
    <w:rsid w:val="00D66D8B"/>
    <w:rsid w:val="00D6790F"/>
    <w:rsid w:val="00D67B63"/>
    <w:rsid w:val="00D70090"/>
    <w:rsid w:val="00D704A7"/>
    <w:rsid w:val="00D70650"/>
    <w:rsid w:val="00D70981"/>
    <w:rsid w:val="00D70E52"/>
    <w:rsid w:val="00D71152"/>
    <w:rsid w:val="00D71258"/>
    <w:rsid w:val="00D71651"/>
    <w:rsid w:val="00D7177C"/>
    <w:rsid w:val="00D71788"/>
    <w:rsid w:val="00D72607"/>
    <w:rsid w:val="00D726F1"/>
    <w:rsid w:val="00D733A1"/>
    <w:rsid w:val="00D733C5"/>
    <w:rsid w:val="00D73567"/>
    <w:rsid w:val="00D73982"/>
    <w:rsid w:val="00D73D59"/>
    <w:rsid w:val="00D749FC"/>
    <w:rsid w:val="00D74B7E"/>
    <w:rsid w:val="00D74D91"/>
    <w:rsid w:val="00D75E15"/>
    <w:rsid w:val="00D75E7A"/>
    <w:rsid w:val="00D76414"/>
    <w:rsid w:val="00D7649B"/>
    <w:rsid w:val="00D76B6F"/>
    <w:rsid w:val="00D76C6B"/>
    <w:rsid w:val="00D76F75"/>
    <w:rsid w:val="00D77481"/>
    <w:rsid w:val="00D7788D"/>
    <w:rsid w:val="00D779AA"/>
    <w:rsid w:val="00D801F5"/>
    <w:rsid w:val="00D806AA"/>
    <w:rsid w:val="00D80995"/>
    <w:rsid w:val="00D80B54"/>
    <w:rsid w:val="00D80BEE"/>
    <w:rsid w:val="00D80EF0"/>
    <w:rsid w:val="00D816D1"/>
    <w:rsid w:val="00D81D06"/>
    <w:rsid w:val="00D81DBC"/>
    <w:rsid w:val="00D81E73"/>
    <w:rsid w:val="00D827A4"/>
    <w:rsid w:val="00D82C3A"/>
    <w:rsid w:val="00D83A4E"/>
    <w:rsid w:val="00D84436"/>
    <w:rsid w:val="00D84694"/>
    <w:rsid w:val="00D848F2"/>
    <w:rsid w:val="00D84ADC"/>
    <w:rsid w:val="00D84D96"/>
    <w:rsid w:val="00D8522A"/>
    <w:rsid w:val="00D852EA"/>
    <w:rsid w:val="00D85D7E"/>
    <w:rsid w:val="00D86317"/>
    <w:rsid w:val="00D86EE2"/>
    <w:rsid w:val="00D86F7C"/>
    <w:rsid w:val="00D86FE3"/>
    <w:rsid w:val="00D87B9E"/>
    <w:rsid w:val="00D87E95"/>
    <w:rsid w:val="00D902A6"/>
    <w:rsid w:val="00D90488"/>
    <w:rsid w:val="00D906C7"/>
    <w:rsid w:val="00D9107B"/>
    <w:rsid w:val="00D91600"/>
    <w:rsid w:val="00D91810"/>
    <w:rsid w:val="00D91875"/>
    <w:rsid w:val="00D918B4"/>
    <w:rsid w:val="00D918CE"/>
    <w:rsid w:val="00D91A66"/>
    <w:rsid w:val="00D91D1B"/>
    <w:rsid w:val="00D93678"/>
    <w:rsid w:val="00D93C06"/>
    <w:rsid w:val="00D9478F"/>
    <w:rsid w:val="00D948BE"/>
    <w:rsid w:val="00D94BE5"/>
    <w:rsid w:val="00D95AA8"/>
    <w:rsid w:val="00D95D1B"/>
    <w:rsid w:val="00D95D2F"/>
    <w:rsid w:val="00D95E72"/>
    <w:rsid w:val="00DA0257"/>
    <w:rsid w:val="00DA0891"/>
    <w:rsid w:val="00DA14ED"/>
    <w:rsid w:val="00DA26B9"/>
    <w:rsid w:val="00DA2849"/>
    <w:rsid w:val="00DA2B8E"/>
    <w:rsid w:val="00DA2D63"/>
    <w:rsid w:val="00DA39D6"/>
    <w:rsid w:val="00DA3BBF"/>
    <w:rsid w:val="00DA4FCE"/>
    <w:rsid w:val="00DA5A95"/>
    <w:rsid w:val="00DA60E1"/>
    <w:rsid w:val="00DA610E"/>
    <w:rsid w:val="00DA73E4"/>
    <w:rsid w:val="00DA761F"/>
    <w:rsid w:val="00DB03B0"/>
    <w:rsid w:val="00DB0483"/>
    <w:rsid w:val="00DB0CF9"/>
    <w:rsid w:val="00DB0EF4"/>
    <w:rsid w:val="00DB1037"/>
    <w:rsid w:val="00DB255D"/>
    <w:rsid w:val="00DB2D10"/>
    <w:rsid w:val="00DB2E6F"/>
    <w:rsid w:val="00DB319E"/>
    <w:rsid w:val="00DB334F"/>
    <w:rsid w:val="00DB35BF"/>
    <w:rsid w:val="00DB36F3"/>
    <w:rsid w:val="00DB3B7B"/>
    <w:rsid w:val="00DB3D6C"/>
    <w:rsid w:val="00DB3FF9"/>
    <w:rsid w:val="00DB48FC"/>
    <w:rsid w:val="00DB51D8"/>
    <w:rsid w:val="00DB54AC"/>
    <w:rsid w:val="00DB5B1C"/>
    <w:rsid w:val="00DB6B98"/>
    <w:rsid w:val="00DB6E8A"/>
    <w:rsid w:val="00DB6E9A"/>
    <w:rsid w:val="00DB6FF3"/>
    <w:rsid w:val="00DB6FFD"/>
    <w:rsid w:val="00DB7AB2"/>
    <w:rsid w:val="00DB7EDE"/>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714"/>
    <w:rsid w:val="00DC5FEA"/>
    <w:rsid w:val="00DC677D"/>
    <w:rsid w:val="00DC6805"/>
    <w:rsid w:val="00DC6959"/>
    <w:rsid w:val="00DC70EC"/>
    <w:rsid w:val="00DC7E0D"/>
    <w:rsid w:val="00DD0017"/>
    <w:rsid w:val="00DD0555"/>
    <w:rsid w:val="00DD0AE1"/>
    <w:rsid w:val="00DD1A49"/>
    <w:rsid w:val="00DD2A9A"/>
    <w:rsid w:val="00DD3347"/>
    <w:rsid w:val="00DD3698"/>
    <w:rsid w:val="00DD4320"/>
    <w:rsid w:val="00DD481C"/>
    <w:rsid w:val="00DD49A6"/>
    <w:rsid w:val="00DD4A7A"/>
    <w:rsid w:val="00DD4DCE"/>
    <w:rsid w:val="00DD573B"/>
    <w:rsid w:val="00DD57AF"/>
    <w:rsid w:val="00DD5CCA"/>
    <w:rsid w:val="00DD63B1"/>
    <w:rsid w:val="00DD64BA"/>
    <w:rsid w:val="00DD686A"/>
    <w:rsid w:val="00DD727E"/>
    <w:rsid w:val="00DE0127"/>
    <w:rsid w:val="00DE0AFD"/>
    <w:rsid w:val="00DE115C"/>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6FB7"/>
    <w:rsid w:val="00DE747C"/>
    <w:rsid w:val="00DE7C1E"/>
    <w:rsid w:val="00DE7E08"/>
    <w:rsid w:val="00DE7F61"/>
    <w:rsid w:val="00DF09BC"/>
    <w:rsid w:val="00DF0A51"/>
    <w:rsid w:val="00DF100D"/>
    <w:rsid w:val="00DF1104"/>
    <w:rsid w:val="00DF110A"/>
    <w:rsid w:val="00DF14BE"/>
    <w:rsid w:val="00DF1889"/>
    <w:rsid w:val="00DF1D86"/>
    <w:rsid w:val="00DF2E02"/>
    <w:rsid w:val="00DF3258"/>
    <w:rsid w:val="00DF33E6"/>
    <w:rsid w:val="00DF4677"/>
    <w:rsid w:val="00DF4695"/>
    <w:rsid w:val="00DF47A8"/>
    <w:rsid w:val="00DF47C5"/>
    <w:rsid w:val="00DF4D0C"/>
    <w:rsid w:val="00DF55D9"/>
    <w:rsid w:val="00DF5A35"/>
    <w:rsid w:val="00DF5CEB"/>
    <w:rsid w:val="00DF625C"/>
    <w:rsid w:val="00DF65D4"/>
    <w:rsid w:val="00DF6BE1"/>
    <w:rsid w:val="00DF6D99"/>
    <w:rsid w:val="00DF6E2D"/>
    <w:rsid w:val="00DF71AB"/>
    <w:rsid w:val="00DF76AC"/>
    <w:rsid w:val="00DF7718"/>
    <w:rsid w:val="00E00E7E"/>
    <w:rsid w:val="00E027E5"/>
    <w:rsid w:val="00E03B7D"/>
    <w:rsid w:val="00E03FBB"/>
    <w:rsid w:val="00E041E7"/>
    <w:rsid w:val="00E04618"/>
    <w:rsid w:val="00E04629"/>
    <w:rsid w:val="00E049BC"/>
    <w:rsid w:val="00E04DBD"/>
    <w:rsid w:val="00E04F07"/>
    <w:rsid w:val="00E04F2B"/>
    <w:rsid w:val="00E059B4"/>
    <w:rsid w:val="00E059F1"/>
    <w:rsid w:val="00E05C01"/>
    <w:rsid w:val="00E05EEC"/>
    <w:rsid w:val="00E062F1"/>
    <w:rsid w:val="00E0716B"/>
    <w:rsid w:val="00E07974"/>
    <w:rsid w:val="00E07B32"/>
    <w:rsid w:val="00E07D8E"/>
    <w:rsid w:val="00E10737"/>
    <w:rsid w:val="00E117D4"/>
    <w:rsid w:val="00E119A0"/>
    <w:rsid w:val="00E11D0B"/>
    <w:rsid w:val="00E11FEC"/>
    <w:rsid w:val="00E12113"/>
    <w:rsid w:val="00E12849"/>
    <w:rsid w:val="00E128E2"/>
    <w:rsid w:val="00E12B5D"/>
    <w:rsid w:val="00E12EE2"/>
    <w:rsid w:val="00E1382D"/>
    <w:rsid w:val="00E142F7"/>
    <w:rsid w:val="00E14D3D"/>
    <w:rsid w:val="00E152B2"/>
    <w:rsid w:val="00E1534F"/>
    <w:rsid w:val="00E15A11"/>
    <w:rsid w:val="00E15DC0"/>
    <w:rsid w:val="00E15F19"/>
    <w:rsid w:val="00E16152"/>
    <w:rsid w:val="00E16987"/>
    <w:rsid w:val="00E16A14"/>
    <w:rsid w:val="00E17312"/>
    <w:rsid w:val="00E17611"/>
    <w:rsid w:val="00E176BD"/>
    <w:rsid w:val="00E17976"/>
    <w:rsid w:val="00E17CF4"/>
    <w:rsid w:val="00E202ED"/>
    <w:rsid w:val="00E2036C"/>
    <w:rsid w:val="00E205AC"/>
    <w:rsid w:val="00E2074B"/>
    <w:rsid w:val="00E212BE"/>
    <w:rsid w:val="00E2189E"/>
    <w:rsid w:val="00E2254C"/>
    <w:rsid w:val="00E22634"/>
    <w:rsid w:val="00E228FA"/>
    <w:rsid w:val="00E22A71"/>
    <w:rsid w:val="00E233DD"/>
    <w:rsid w:val="00E238C1"/>
    <w:rsid w:val="00E238C7"/>
    <w:rsid w:val="00E23917"/>
    <w:rsid w:val="00E23F9C"/>
    <w:rsid w:val="00E250E8"/>
    <w:rsid w:val="00E2542E"/>
    <w:rsid w:val="00E25E80"/>
    <w:rsid w:val="00E260EE"/>
    <w:rsid w:val="00E264E6"/>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892"/>
    <w:rsid w:val="00E34A57"/>
    <w:rsid w:val="00E351F6"/>
    <w:rsid w:val="00E355EF"/>
    <w:rsid w:val="00E36208"/>
    <w:rsid w:val="00E36353"/>
    <w:rsid w:val="00E36C6C"/>
    <w:rsid w:val="00E40187"/>
    <w:rsid w:val="00E402F3"/>
    <w:rsid w:val="00E40985"/>
    <w:rsid w:val="00E418EA"/>
    <w:rsid w:val="00E41A8F"/>
    <w:rsid w:val="00E41E62"/>
    <w:rsid w:val="00E420AF"/>
    <w:rsid w:val="00E4219B"/>
    <w:rsid w:val="00E42A10"/>
    <w:rsid w:val="00E42C59"/>
    <w:rsid w:val="00E430FA"/>
    <w:rsid w:val="00E4325F"/>
    <w:rsid w:val="00E438DE"/>
    <w:rsid w:val="00E439DB"/>
    <w:rsid w:val="00E43E2C"/>
    <w:rsid w:val="00E44C6C"/>
    <w:rsid w:val="00E450EF"/>
    <w:rsid w:val="00E451E0"/>
    <w:rsid w:val="00E45FB6"/>
    <w:rsid w:val="00E46699"/>
    <w:rsid w:val="00E46839"/>
    <w:rsid w:val="00E46DEE"/>
    <w:rsid w:val="00E474FB"/>
    <w:rsid w:val="00E50251"/>
    <w:rsid w:val="00E503B1"/>
    <w:rsid w:val="00E50A41"/>
    <w:rsid w:val="00E50CAE"/>
    <w:rsid w:val="00E51061"/>
    <w:rsid w:val="00E5171F"/>
    <w:rsid w:val="00E525AC"/>
    <w:rsid w:val="00E52631"/>
    <w:rsid w:val="00E52F93"/>
    <w:rsid w:val="00E53478"/>
    <w:rsid w:val="00E53D0E"/>
    <w:rsid w:val="00E53FB1"/>
    <w:rsid w:val="00E54BE4"/>
    <w:rsid w:val="00E558D8"/>
    <w:rsid w:val="00E55B34"/>
    <w:rsid w:val="00E55C06"/>
    <w:rsid w:val="00E55C6A"/>
    <w:rsid w:val="00E55C75"/>
    <w:rsid w:val="00E56298"/>
    <w:rsid w:val="00E5703A"/>
    <w:rsid w:val="00E57287"/>
    <w:rsid w:val="00E576CB"/>
    <w:rsid w:val="00E57B8F"/>
    <w:rsid w:val="00E604B2"/>
    <w:rsid w:val="00E6071B"/>
    <w:rsid w:val="00E608BB"/>
    <w:rsid w:val="00E6099E"/>
    <w:rsid w:val="00E60F8D"/>
    <w:rsid w:val="00E61281"/>
    <w:rsid w:val="00E61289"/>
    <w:rsid w:val="00E61674"/>
    <w:rsid w:val="00E6203C"/>
    <w:rsid w:val="00E62239"/>
    <w:rsid w:val="00E62A35"/>
    <w:rsid w:val="00E62A82"/>
    <w:rsid w:val="00E62BCC"/>
    <w:rsid w:val="00E6338F"/>
    <w:rsid w:val="00E63535"/>
    <w:rsid w:val="00E63DDD"/>
    <w:rsid w:val="00E6404D"/>
    <w:rsid w:val="00E645C9"/>
    <w:rsid w:val="00E64658"/>
    <w:rsid w:val="00E64835"/>
    <w:rsid w:val="00E64C3F"/>
    <w:rsid w:val="00E65B9F"/>
    <w:rsid w:val="00E65C8C"/>
    <w:rsid w:val="00E65F67"/>
    <w:rsid w:val="00E66206"/>
    <w:rsid w:val="00E66B92"/>
    <w:rsid w:val="00E66EA5"/>
    <w:rsid w:val="00E67193"/>
    <w:rsid w:val="00E677BE"/>
    <w:rsid w:val="00E70117"/>
    <w:rsid w:val="00E7014E"/>
    <w:rsid w:val="00E70919"/>
    <w:rsid w:val="00E7091D"/>
    <w:rsid w:val="00E70E1F"/>
    <w:rsid w:val="00E7188F"/>
    <w:rsid w:val="00E71CF4"/>
    <w:rsid w:val="00E724B1"/>
    <w:rsid w:val="00E726F8"/>
    <w:rsid w:val="00E72D54"/>
    <w:rsid w:val="00E73834"/>
    <w:rsid w:val="00E73F0A"/>
    <w:rsid w:val="00E741ED"/>
    <w:rsid w:val="00E747E3"/>
    <w:rsid w:val="00E74AA4"/>
    <w:rsid w:val="00E75125"/>
    <w:rsid w:val="00E75171"/>
    <w:rsid w:val="00E7521D"/>
    <w:rsid w:val="00E75B03"/>
    <w:rsid w:val="00E75EF2"/>
    <w:rsid w:val="00E76A0E"/>
    <w:rsid w:val="00E76C24"/>
    <w:rsid w:val="00E77B7F"/>
    <w:rsid w:val="00E80044"/>
    <w:rsid w:val="00E80160"/>
    <w:rsid w:val="00E807DC"/>
    <w:rsid w:val="00E80D08"/>
    <w:rsid w:val="00E81B82"/>
    <w:rsid w:val="00E81BAA"/>
    <w:rsid w:val="00E81D65"/>
    <w:rsid w:val="00E82B27"/>
    <w:rsid w:val="00E83406"/>
    <w:rsid w:val="00E835C3"/>
    <w:rsid w:val="00E83E27"/>
    <w:rsid w:val="00E84796"/>
    <w:rsid w:val="00E847B6"/>
    <w:rsid w:val="00E84C3F"/>
    <w:rsid w:val="00E85506"/>
    <w:rsid w:val="00E85ADF"/>
    <w:rsid w:val="00E85BC2"/>
    <w:rsid w:val="00E85BDC"/>
    <w:rsid w:val="00E85D5E"/>
    <w:rsid w:val="00E85D77"/>
    <w:rsid w:val="00E86127"/>
    <w:rsid w:val="00E864B7"/>
    <w:rsid w:val="00E86579"/>
    <w:rsid w:val="00E86D5D"/>
    <w:rsid w:val="00E87105"/>
    <w:rsid w:val="00E8779D"/>
    <w:rsid w:val="00E87A43"/>
    <w:rsid w:val="00E87CDE"/>
    <w:rsid w:val="00E87D0F"/>
    <w:rsid w:val="00E87E8E"/>
    <w:rsid w:val="00E87EC0"/>
    <w:rsid w:val="00E902F3"/>
    <w:rsid w:val="00E90715"/>
    <w:rsid w:val="00E907AA"/>
    <w:rsid w:val="00E90989"/>
    <w:rsid w:val="00E909F3"/>
    <w:rsid w:val="00E90CCD"/>
    <w:rsid w:val="00E919E3"/>
    <w:rsid w:val="00E91AE2"/>
    <w:rsid w:val="00E91D47"/>
    <w:rsid w:val="00E92020"/>
    <w:rsid w:val="00E92813"/>
    <w:rsid w:val="00E93088"/>
    <w:rsid w:val="00E9355E"/>
    <w:rsid w:val="00E93FA3"/>
    <w:rsid w:val="00E941BA"/>
    <w:rsid w:val="00E94C2B"/>
    <w:rsid w:val="00E94DB3"/>
    <w:rsid w:val="00E94F29"/>
    <w:rsid w:val="00E95671"/>
    <w:rsid w:val="00E958C7"/>
    <w:rsid w:val="00E958C8"/>
    <w:rsid w:val="00E959B3"/>
    <w:rsid w:val="00E95E52"/>
    <w:rsid w:val="00E963EA"/>
    <w:rsid w:val="00E96815"/>
    <w:rsid w:val="00E96A0B"/>
    <w:rsid w:val="00E96B40"/>
    <w:rsid w:val="00E96D43"/>
    <w:rsid w:val="00E97DBD"/>
    <w:rsid w:val="00EA03ED"/>
    <w:rsid w:val="00EA0764"/>
    <w:rsid w:val="00EA108A"/>
    <w:rsid w:val="00EA168D"/>
    <w:rsid w:val="00EA1719"/>
    <w:rsid w:val="00EA1DAD"/>
    <w:rsid w:val="00EA28CD"/>
    <w:rsid w:val="00EA420A"/>
    <w:rsid w:val="00EA48B2"/>
    <w:rsid w:val="00EA55D0"/>
    <w:rsid w:val="00EA685A"/>
    <w:rsid w:val="00EA72CB"/>
    <w:rsid w:val="00EA765A"/>
    <w:rsid w:val="00EA76BE"/>
    <w:rsid w:val="00EA779E"/>
    <w:rsid w:val="00EA7B45"/>
    <w:rsid w:val="00EA7D78"/>
    <w:rsid w:val="00EA7E09"/>
    <w:rsid w:val="00EB0565"/>
    <w:rsid w:val="00EB1EC1"/>
    <w:rsid w:val="00EB2036"/>
    <w:rsid w:val="00EB2B60"/>
    <w:rsid w:val="00EB2C3D"/>
    <w:rsid w:val="00EB2CD4"/>
    <w:rsid w:val="00EB3331"/>
    <w:rsid w:val="00EB4606"/>
    <w:rsid w:val="00EB51AF"/>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EC0"/>
    <w:rsid w:val="00EC2489"/>
    <w:rsid w:val="00EC24B2"/>
    <w:rsid w:val="00EC2635"/>
    <w:rsid w:val="00EC2A7E"/>
    <w:rsid w:val="00EC3375"/>
    <w:rsid w:val="00EC3BA2"/>
    <w:rsid w:val="00EC3BDE"/>
    <w:rsid w:val="00EC3EE2"/>
    <w:rsid w:val="00EC42DE"/>
    <w:rsid w:val="00EC476A"/>
    <w:rsid w:val="00EC60B9"/>
    <w:rsid w:val="00EC66DA"/>
    <w:rsid w:val="00EC68FA"/>
    <w:rsid w:val="00EC7370"/>
    <w:rsid w:val="00EC74D0"/>
    <w:rsid w:val="00EC7B89"/>
    <w:rsid w:val="00EC7F67"/>
    <w:rsid w:val="00ED05AD"/>
    <w:rsid w:val="00ED0A81"/>
    <w:rsid w:val="00ED1690"/>
    <w:rsid w:val="00ED1D30"/>
    <w:rsid w:val="00ED2744"/>
    <w:rsid w:val="00ED2B32"/>
    <w:rsid w:val="00ED3F69"/>
    <w:rsid w:val="00ED4172"/>
    <w:rsid w:val="00ED4416"/>
    <w:rsid w:val="00ED483D"/>
    <w:rsid w:val="00ED485F"/>
    <w:rsid w:val="00ED58AD"/>
    <w:rsid w:val="00ED5940"/>
    <w:rsid w:val="00ED71B4"/>
    <w:rsid w:val="00EE0A39"/>
    <w:rsid w:val="00EE0D08"/>
    <w:rsid w:val="00EE1D89"/>
    <w:rsid w:val="00EE213A"/>
    <w:rsid w:val="00EE2428"/>
    <w:rsid w:val="00EE2719"/>
    <w:rsid w:val="00EE28A1"/>
    <w:rsid w:val="00EE2DF4"/>
    <w:rsid w:val="00EE2FCD"/>
    <w:rsid w:val="00EE343F"/>
    <w:rsid w:val="00EE4069"/>
    <w:rsid w:val="00EE4295"/>
    <w:rsid w:val="00EE52D0"/>
    <w:rsid w:val="00EE5407"/>
    <w:rsid w:val="00EE5B22"/>
    <w:rsid w:val="00EE69D2"/>
    <w:rsid w:val="00EE6DF7"/>
    <w:rsid w:val="00EE6FCD"/>
    <w:rsid w:val="00EE7143"/>
    <w:rsid w:val="00EE7250"/>
    <w:rsid w:val="00EE72D1"/>
    <w:rsid w:val="00EE737B"/>
    <w:rsid w:val="00EE745A"/>
    <w:rsid w:val="00EE7534"/>
    <w:rsid w:val="00EE762D"/>
    <w:rsid w:val="00EF00CE"/>
    <w:rsid w:val="00EF03B1"/>
    <w:rsid w:val="00EF0C17"/>
    <w:rsid w:val="00EF1785"/>
    <w:rsid w:val="00EF1B67"/>
    <w:rsid w:val="00EF1CC1"/>
    <w:rsid w:val="00EF1D55"/>
    <w:rsid w:val="00EF1E2A"/>
    <w:rsid w:val="00EF21F2"/>
    <w:rsid w:val="00EF2541"/>
    <w:rsid w:val="00EF28C6"/>
    <w:rsid w:val="00EF2B9F"/>
    <w:rsid w:val="00EF305D"/>
    <w:rsid w:val="00EF3647"/>
    <w:rsid w:val="00EF3661"/>
    <w:rsid w:val="00EF49CC"/>
    <w:rsid w:val="00EF4C6E"/>
    <w:rsid w:val="00EF5068"/>
    <w:rsid w:val="00EF50F7"/>
    <w:rsid w:val="00EF522B"/>
    <w:rsid w:val="00EF5ED0"/>
    <w:rsid w:val="00EF67BC"/>
    <w:rsid w:val="00EF6C0E"/>
    <w:rsid w:val="00EF6C18"/>
    <w:rsid w:val="00EF6ECB"/>
    <w:rsid w:val="00EF6FAD"/>
    <w:rsid w:val="00EF7094"/>
    <w:rsid w:val="00EF710C"/>
    <w:rsid w:val="00EF754B"/>
    <w:rsid w:val="00EF7CD3"/>
    <w:rsid w:val="00EF7E4E"/>
    <w:rsid w:val="00F00021"/>
    <w:rsid w:val="00F00103"/>
    <w:rsid w:val="00F00418"/>
    <w:rsid w:val="00F005B1"/>
    <w:rsid w:val="00F00893"/>
    <w:rsid w:val="00F00A53"/>
    <w:rsid w:val="00F00AD6"/>
    <w:rsid w:val="00F00F73"/>
    <w:rsid w:val="00F0274C"/>
    <w:rsid w:val="00F02A18"/>
    <w:rsid w:val="00F02AEE"/>
    <w:rsid w:val="00F02ED9"/>
    <w:rsid w:val="00F03617"/>
    <w:rsid w:val="00F038F6"/>
    <w:rsid w:val="00F03943"/>
    <w:rsid w:val="00F03988"/>
    <w:rsid w:val="00F03C90"/>
    <w:rsid w:val="00F03CD9"/>
    <w:rsid w:val="00F04614"/>
    <w:rsid w:val="00F0466E"/>
    <w:rsid w:val="00F04753"/>
    <w:rsid w:val="00F04A3A"/>
    <w:rsid w:val="00F04CC7"/>
    <w:rsid w:val="00F0592A"/>
    <w:rsid w:val="00F05FFB"/>
    <w:rsid w:val="00F063BC"/>
    <w:rsid w:val="00F06867"/>
    <w:rsid w:val="00F0748A"/>
    <w:rsid w:val="00F07F5B"/>
    <w:rsid w:val="00F116EC"/>
    <w:rsid w:val="00F11BCC"/>
    <w:rsid w:val="00F121CC"/>
    <w:rsid w:val="00F12C3C"/>
    <w:rsid w:val="00F134CA"/>
    <w:rsid w:val="00F1359C"/>
    <w:rsid w:val="00F1364C"/>
    <w:rsid w:val="00F13C54"/>
    <w:rsid w:val="00F13EB4"/>
    <w:rsid w:val="00F13FEA"/>
    <w:rsid w:val="00F1444B"/>
    <w:rsid w:val="00F1508E"/>
    <w:rsid w:val="00F158F5"/>
    <w:rsid w:val="00F1629E"/>
    <w:rsid w:val="00F17D5F"/>
    <w:rsid w:val="00F20291"/>
    <w:rsid w:val="00F20819"/>
    <w:rsid w:val="00F20F66"/>
    <w:rsid w:val="00F210AE"/>
    <w:rsid w:val="00F21B26"/>
    <w:rsid w:val="00F21DF4"/>
    <w:rsid w:val="00F21F3A"/>
    <w:rsid w:val="00F21FFA"/>
    <w:rsid w:val="00F220D7"/>
    <w:rsid w:val="00F22262"/>
    <w:rsid w:val="00F228A1"/>
    <w:rsid w:val="00F24504"/>
    <w:rsid w:val="00F246B3"/>
    <w:rsid w:val="00F24C2F"/>
    <w:rsid w:val="00F25038"/>
    <w:rsid w:val="00F25DDD"/>
    <w:rsid w:val="00F25F4E"/>
    <w:rsid w:val="00F276FB"/>
    <w:rsid w:val="00F27EDC"/>
    <w:rsid w:val="00F30470"/>
    <w:rsid w:val="00F305E6"/>
    <w:rsid w:val="00F3128C"/>
    <w:rsid w:val="00F314B8"/>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110"/>
    <w:rsid w:val="00F36389"/>
    <w:rsid w:val="00F36675"/>
    <w:rsid w:val="00F368F0"/>
    <w:rsid w:val="00F369FC"/>
    <w:rsid w:val="00F36B8A"/>
    <w:rsid w:val="00F37090"/>
    <w:rsid w:val="00F37EF3"/>
    <w:rsid w:val="00F37F54"/>
    <w:rsid w:val="00F4037C"/>
    <w:rsid w:val="00F410DA"/>
    <w:rsid w:val="00F418A9"/>
    <w:rsid w:val="00F41ABB"/>
    <w:rsid w:val="00F424BE"/>
    <w:rsid w:val="00F42CF2"/>
    <w:rsid w:val="00F42CF7"/>
    <w:rsid w:val="00F43559"/>
    <w:rsid w:val="00F436FF"/>
    <w:rsid w:val="00F45141"/>
    <w:rsid w:val="00F45F2A"/>
    <w:rsid w:val="00F4614F"/>
    <w:rsid w:val="00F468ED"/>
    <w:rsid w:val="00F475B2"/>
    <w:rsid w:val="00F475D8"/>
    <w:rsid w:val="00F47EBF"/>
    <w:rsid w:val="00F50F6F"/>
    <w:rsid w:val="00F52324"/>
    <w:rsid w:val="00F52C22"/>
    <w:rsid w:val="00F53217"/>
    <w:rsid w:val="00F53249"/>
    <w:rsid w:val="00F535EA"/>
    <w:rsid w:val="00F537BF"/>
    <w:rsid w:val="00F53D1F"/>
    <w:rsid w:val="00F54921"/>
    <w:rsid w:val="00F5593D"/>
    <w:rsid w:val="00F55CDB"/>
    <w:rsid w:val="00F55E87"/>
    <w:rsid w:val="00F5613F"/>
    <w:rsid w:val="00F562FC"/>
    <w:rsid w:val="00F56427"/>
    <w:rsid w:val="00F5654C"/>
    <w:rsid w:val="00F5745C"/>
    <w:rsid w:val="00F60577"/>
    <w:rsid w:val="00F60989"/>
    <w:rsid w:val="00F60D06"/>
    <w:rsid w:val="00F60EFB"/>
    <w:rsid w:val="00F614DF"/>
    <w:rsid w:val="00F615D4"/>
    <w:rsid w:val="00F61D28"/>
    <w:rsid w:val="00F6355C"/>
    <w:rsid w:val="00F63FCC"/>
    <w:rsid w:val="00F64D9D"/>
    <w:rsid w:val="00F64E27"/>
    <w:rsid w:val="00F64FFD"/>
    <w:rsid w:val="00F65285"/>
    <w:rsid w:val="00F655CF"/>
    <w:rsid w:val="00F65AC3"/>
    <w:rsid w:val="00F667AF"/>
    <w:rsid w:val="00F67310"/>
    <w:rsid w:val="00F67740"/>
    <w:rsid w:val="00F67805"/>
    <w:rsid w:val="00F67888"/>
    <w:rsid w:val="00F6798F"/>
    <w:rsid w:val="00F70096"/>
    <w:rsid w:val="00F704BF"/>
    <w:rsid w:val="00F706E7"/>
    <w:rsid w:val="00F71280"/>
    <w:rsid w:val="00F72306"/>
    <w:rsid w:val="00F72759"/>
    <w:rsid w:val="00F72CA1"/>
    <w:rsid w:val="00F72F37"/>
    <w:rsid w:val="00F73756"/>
    <w:rsid w:val="00F73BBD"/>
    <w:rsid w:val="00F73EAB"/>
    <w:rsid w:val="00F7426D"/>
    <w:rsid w:val="00F746C2"/>
    <w:rsid w:val="00F746DB"/>
    <w:rsid w:val="00F747DD"/>
    <w:rsid w:val="00F752DE"/>
    <w:rsid w:val="00F753AA"/>
    <w:rsid w:val="00F75D34"/>
    <w:rsid w:val="00F75F02"/>
    <w:rsid w:val="00F7681E"/>
    <w:rsid w:val="00F768C9"/>
    <w:rsid w:val="00F76A22"/>
    <w:rsid w:val="00F77519"/>
    <w:rsid w:val="00F77F66"/>
    <w:rsid w:val="00F80371"/>
    <w:rsid w:val="00F806FF"/>
    <w:rsid w:val="00F80D0E"/>
    <w:rsid w:val="00F80D13"/>
    <w:rsid w:val="00F80D49"/>
    <w:rsid w:val="00F80F0D"/>
    <w:rsid w:val="00F8134E"/>
    <w:rsid w:val="00F81C79"/>
    <w:rsid w:val="00F81E1F"/>
    <w:rsid w:val="00F82D2A"/>
    <w:rsid w:val="00F82D6A"/>
    <w:rsid w:val="00F83160"/>
    <w:rsid w:val="00F8379E"/>
    <w:rsid w:val="00F8438C"/>
    <w:rsid w:val="00F844DB"/>
    <w:rsid w:val="00F84EC2"/>
    <w:rsid w:val="00F84ECF"/>
    <w:rsid w:val="00F85045"/>
    <w:rsid w:val="00F861B3"/>
    <w:rsid w:val="00F86495"/>
    <w:rsid w:val="00F86F6B"/>
    <w:rsid w:val="00F86F89"/>
    <w:rsid w:val="00F87516"/>
    <w:rsid w:val="00F87682"/>
    <w:rsid w:val="00F87D66"/>
    <w:rsid w:val="00F9041F"/>
    <w:rsid w:val="00F90D94"/>
    <w:rsid w:val="00F90E73"/>
    <w:rsid w:val="00F91279"/>
    <w:rsid w:val="00F9132B"/>
    <w:rsid w:val="00F91426"/>
    <w:rsid w:val="00F922E4"/>
    <w:rsid w:val="00F92638"/>
    <w:rsid w:val="00F927EE"/>
    <w:rsid w:val="00F92C95"/>
    <w:rsid w:val="00F931B9"/>
    <w:rsid w:val="00F93742"/>
    <w:rsid w:val="00F94CAD"/>
    <w:rsid w:val="00F95063"/>
    <w:rsid w:val="00F9509F"/>
    <w:rsid w:val="00F95551"/>
    <w:rsid w:val="00F9629D"/>
    <w:rsid w:val="00F96AC6"/>
    <w:rsid w:val="00F96F92"/>
    <w:rsid w:val="00F96F93"/>
    <w:rsid w:val="00F970C6"/>
    <w:rsid w:val="00F97754"/>
    <w:rsid w:val="00F97931"/>
    <w:rsid w:val="00F97A23"/>
    <w:rsid w:val="00F97BC2"/>
    <w:rsid w:val="00FA0891"/>
    <w:rsid w:val="00FA1851"/>
    <w:rsid w:val="00FA230C"/>
    <w:rsid w:val="00FA26CB"/>
    <w:rsid w:val="00FA2BE3"/>
    <w:rsid w:val="00FA3109"/>
    <w:rsid w:val="00FA32B7"/>
    <w:rsid w:val="00FA3706"/>
    <w:rsid w:val="00FA3766"/>
    <w:rsid w:val="00FA3851"/>
    <w:rsid w:val="00FA3A2E"/>
    <w:rsid w:val="00FA3A3A"/>
    <w:rsid w:val="00FA3CAC"/>
    <w:rsid w:val="00FA464E"/>
    <w:rsid w:val="00FA491D"/>
    <w:rsid w:val="00FA4BC0"/>
    <w:rsid w:val="00FA55D7"/>
    <w:rsid w:val="00FA56C1"/>
    <w:rsid w:val="00FA572F"/>
    <w:rsid w:val="00FA6356"/>
    <w:rsid w:val="00FA64D6"/>
    <w:rsid w:val="00FA66CE"/>
    <w:rsid w:val="00FA6F09"/>
    <w:rsid w:val="00FA70A9"/>
    <w:rsid w:val="00FA74A4"/>
    <w:rsid w:val="00FA772E"/>
    <w:rsid w:val="00FA78CE"/>
    <w:rsid w:val="00FA7F45"/>
    <w:rsid w:val="00FB04C0"/>
    <w:rsid w:val="00FB063F"/>
    <w:rsid w:val="00FB0A82"/>
    <w:rsid w:val="00FB0E63"/>
    <w:rsid w:val="00FB184E"/>
    <w:rsid w:val="00FB1A8A"/>
    <w:rsid w:val="00FB1ADF"/>
    <w:rsid w:val="00FB1ECE"/>
    <w:rsid w:val="00FB2855"/>
    <w:rsid w:val="00FB3672"/>
    <w:rsid w:val="00FB384E"/>
    <w:rsid w:val="00FB3900"/>
    <w:rsid w:val="00FB3B6A"/>
    <w:rsid w:val="00FB3E62"/>
    <w:rsid w:val="00FB3F1F"/>
    <w:rsid w:val="00FB440E"/>
    <w:rsid w:val="00FB4557"/>
    <w:rsid w:val="00FB4C9C"/>
    <w:rsid w:val="00FB4D66"/>
    <w:rsid w:val="00FB4E2E"/>
    <w:rsid w:val="00FB4E4A"/>
    <w:rsid w:val="00FB52E8"/>
    <w:rsid w:val="00FB5B5A"/>
    <w:rsid w:val="00FB631B"/>
    <w:rsid w:val="00FB69E9"/>
    <w:rsid w:val="00FB72B4"/>
    <w:rsid w:val="00FB747D"/>
    <w:rsid w:val="00FC0606"/>
    <w:rsid w:val="00FC06C4"/>
    <w:rsid w:val="00FC0BDC"/>
    <w:rsid w:val="00FC0D58"/>
    <w:rsid w:val="00FC145A"/>
    <w:rsid w:val="00FC14AB"/>
    <w:rsid w:val="00FC18C4"/>
    <w:rsid w:val="00FC1AFC"/>
    <w:rsid w:val="00FC1CC1"/>
    <w:rsid w:val="00FC38D9"/>
    <w:rsid w:val="00FC3BAC"/>
    <w:rsid w:val="00FC402D"/>
    <w:rsid w:val="00FC4116"/>
    <w:rsid w:val="00FC414A"/>
    <w:rsid w:val="00FC42E5"/>
    <w:rsid w:val="00FC4B56"/>
    <w:rsid w:val="00FC4C8B"/>
    <w:rsid w:val="00FC5215"/>
    <w:rsid w:val="00FC5741"/>
    <w:rsid w:val="00FC5873"/>
    <w:rsid w:val="00FC598F"/>
    <w:rsid w:val="00FC5C37"/>
    <w:rsid w:val="00FC5C3E"/>
    <w:rsid w:val="00FC5C8E"/>
    <w:rsid w:val="00FC6571"/>
    <w:rsid w:val="00FC67B0"/>
    <w:rsid w:val="00FC6A45"/>
    <w:rsid w:val="00FC7512"/>
    <w:rsid w:val="00FC7833"/>
    <w:rsid w:val="00FD09E8"/>
    <w:rsid w:val="00FD138D"/>
    <w:rsid w:val="00FD1615"/>
    <w:rsid w:val="00FD1731"/>
    <w:rsid w:val="00FD1798"/>
    <w:rsid w:val="00FD1AAD"/>
    <w:rsid w:val="00FD1AD2"/>
    <w:rsid w:val="00FD2540"/>
    <w:rsid w:val="00FD2A79"/>
    <w:rsid w:val="00FD2BDB"/>
    <w:rsid w:val="00FD2D8A"/>
    <w:rsid w:val="00FD2DC5"/>
    <w:rsid w:val="00FD331F"/>
    <w:rsid w:val="00FD338B"/>
    <w:rsid w:val="00FD34B1"/>
    <w:rsid w:val="00FD37A1"/>
    <w:rsid w:val="00FD436B"/>
    <w:rsid w:val="00FD469B"/>
    <w:rsid w:val="00FD46BF"/>
    <w:rsid w:val="00FD5695"/>
    <w:rsid w:val="00FD62EE"/>
    <w:rsid w:val="00FD6BD7"/>
    <w:rsid w:val="00FD7082"/>
    <w:rsid w:val="00FD708C"/>
    <w:rsid w:val="00FD7390"/>
    <w:rsid w:val="00FD76B8"/>
    <w:rsid w:val="00FD7734"/>
    <w:rsid w:val="00FE1707"/>
    <w:rsid w:val="00FE1B33"/>
    <w:rsid w:val="00FE1CAA"/>
    <w:rsid w:val="00FE1D4B"/>
    <w:rsid w:val="00FE2B13"/>
    <w:rsid w:val="00FE30AE"/>
    <w:rsid w:val="00FE33D5"/>
    <w:rsid w:val="00FE3561"/>
    <w:rsid w:val="00FE3578"/>
    <w:rsid w:val="00FE38CB"/>
    <w:rsid w:val="00FE3902"/>
    <w:rsid w:val="00FE3C50"/>
    <w:rsid w:val="00FE3FFE"/>
    <w:rsid w:val="00FE4060"/>
    <w:rsid w:val="00FE427F"/>
    <w:rsid w:val="00FE439F"/>
    <w:rsid w:val="00FE4540"/>
    <w:rsid w:val="00FE4B5A"/>
    <w:rsid w:val="00FE4BC4"/>
    <w:rsid w:val="00FE5594"/>
    <w:rsid w:val="00FE578B"/>
    <w:rsid w:val="00FE5EB3"/>
    <w:rsid w:val="00FE6268"/>
    <w:rsid w:val="00FE643C"/>
    <w:rsid w:val="00FE680D"/>
    <w:rsid w:val="00FE69A6"/>
    <w:rsid w:val="00FE71DB"/>
    <w:rsid w:val="00FE7200"/>
    <w:rsid w:val="00FE7800"/>
    <w:rsid w:val="00FE7DED"/>
    <w:rsid w:val="00FF00C3"/>
    <w:rsid w:val="00FF0980"/>
    <w:rsid w:val="00FF0E8B"/>
    <w:rsid w:val="00FF1999"/>
    <w:rsid w:val="00FF1B69"/>
    <w:rsid w:val="00FF1D0E"/>
    <w:rsid w:val="00FF1E00"/>
    <w:rsid w:val="00FF2288"/>
    <w:rsid w:val="00FF22D4"/>
    <w:rsid w:val="00FF22E3"/>
    <w:rsid w:val="00FF24E7"/>
    <w:rsid w:val="00FF258A"/>
    <w:rsid w:val="00FF2A39"/>
    <w:rsid w:val="00FF2BC4"/>
    <w:rsid w:val="00FF3E08"/>
    <w:rsid w:val="00FF48E5"/>
    <w:rsid w:val="00FF4D22"/>
    <w:rsid w:val="00FF5AF5"/>
    <w:rsid w:val="00FF5C09"/>
    <w:rsid w:val="00FF664A"/>
    <w:rsid w:val="00FF67F1"/>
    <w:rsid w:val="00FF6C0B"/>
    <w:rsid w:val="00FF6D56"/>
    <w:rsid w:val="00FF7393"/>
    <w:rsid w:val="00FF78D1"/>
    <w:rsid w:val="00FF7CD8"/>
    <w:rsid w:val="01176EA7"/>
    <w:rsid w:val="012364C0"/>
    <w:rsid w:val="01261DF4"/>
    <w:rsid w:val="01282AC9"/>
    <w:rsid w:val="012C20C2"/>
    <w:rsid w:val="012F63B3"/>
    <w:rsid w:val="01307EB3"/>
    <w:rsid w:val="014C1835"/>
    <w:rsid w:val="0154579F"/>
    <w:rsid w:val="01545C7A"/>
    <w:rsid w:val="015D72CF"/>
    <w:rsid w:val="017E34AF"/>
    <w:rsid w:val="01823E2F"/>
    <w:rsid w:val="018E528C"/>
    <w:rsid w:val="019D73AC"/>
    <w:rsid w:val="01B05BEC"/>
    <w:rsid w:val="01C71BCB"/>
    <w:rsid w:val="01C76DD0"/>
    <w:rsid w:val="01D3575B"/>
    <w:rsid w:val="01D61AD0"/>
    <w:rsid w:val="01EC181B"/>
    <w:rsid w:val="01FD2BD3"/>
    <w:rsid w:val="020642DF"/>
    <w:rsid w:val="020A74DC"/>
    <w:rsid w:val="021F6013"/>
    <w:rsid w:val="02477318"/>
    <w:rsid w:val="025B66B0"/>
    <w:rsid w:val="02694276"/>
    <w:rsid w:val="026A48A0"/>
    <w:rsid w:val="026F0EF3"/>
    <w:rsid w:val="02843866"/>
    <w:rsid w:val="02885E3F"/>
    <w:rsid w:val="029F5482"/>
    <w:rsid w:val="02B01D8B"/>
    <w:rsid w:val="02C34C32"/>
    <w:rsid w:val="02DC5C6E"/>
    <w:rsid w:val="02E56273"/>
    <w:rsid w:val="02F3329B"/>
    <w:rsid w:val="030A3E8E"/>
    <w:rsid w:val="032A3E24"/>
    <w:rsid w:val="035632B5"/>
    <w:rsid w:val="036A090C"/>
    <w:rsid w:val="03922815"/>
    <w:rsid w:val="039E011B"/>
    <w:rsid w:val="03B918CD"/>
    <w:rsid w:val="03C705D1"/>
    <w:rsid w:val="03D746CC"/>
    <w:rsid w:val="03D930DC"/>
    <w:rsid w:val="03EF6AFF"/>
    <w:rsid w:val="03FA61DE"/>
    <w:rsid w:val="040D16F1"/>
    <w:rsid w:val="044B7BFD"/>
    <w:rsid w:val="045252D6"/>
    <w:rsid w:val="04564960"/>
    <w:rsid w:val="04665C3A"/>
    <w:rsid w:val="047250EC"/>
    <w:rsid w:val="047D13CF"/>
    <w:rsid w:val="049E4585"/>
    <w:rsid w:val="04A62A1C"/>
    <w:rsid w:val="04B541C1"/>
    <w:rsid w:val="04BF3AE0"/>
    <w:rsid w:val="04C55DF6"/>
    <w:rsid w:val="04C74AFA"/>
    <w:rsid w:val="04E109C1"/>
    <w:rsid w:val="04EC7BDB"/>
    <w:rsid w:val="0519043B"/>
    <w:rsid w:val="052149F2"/>
    <w:rsid w:val="0538081D"/>
    <w:rsid w:val="054B3BAF"/>
    <w:rsid w:val="054D112F"/>
    <w:rsid w:val="05583DCD"/>
    <w:rsid w:val="05642A90"/>
    <w:rsid w:val="056B5EA8"/>
    <w:rsid w:val="056F4B14"/>
    <w:rsid w:val="05732D59"/>
    <w:rsid w:val="057C5715"/>
    <w:rsid w:val="058553A7"/>
    <w:rsid w:val="059C5BCD"/>
    <w:rsid w:val="05A0746B"/>
    <w:rsid w:val="05A520C4"/>
    <w:rsid w:val="05B90DCA"/>
    <w:rsid w:val="05C50BAC"/>
    <w:rsid w:val="05C519E7"/>
    <w:rsid w:val="05E037E5"/>
    <w:rsid w:val="05E727A2"/>
    <w:rsid w:val="06027AF8"/>
    <w:rsid w:val="06041440"/>
    <w:rsid w:val="060D42B3"/>
    <w:rsid w:val="06717654"/>
    <w:rsid w:val="067526A6"/>
    <w:rsid w:val="06A32593"/>
    <w:rsid w:val="06A62830"/>
    <w:rsid w:val="06B24041"/>
    <w:rsid w:val="06BE2160"/>
    <w:rsid w:val="06D52905"/>
    <w:rsid w:val="06D927B0"/>
    <w:rsid w:val="06E07F64"/>
    <w:rsid w:val="06FC5FDB"/>
    <w:rsid w:val="07150D27"/>
    <w:rsid w:val="0717375D"/>
    <w:rsid w:val="071A19A8"/>
    <w:rsid w:val="071C6ABF"/>
    <w:rsid w:val="07247761"/>
    <w:rsid w:val="07336968"/>
    <w:rsid w:val="07345668"/>
    <w:rsid w:val="073C7668"/>
    <w:rsid w:val="075458AE"/>
    <w:rsid w:val="075C17CC"/>
    <w:rsid w:val="077944B2"/>
    <w:rsid w:val="0785361D"/>
    <w:rsid w:val="07895ED1"/>
    <w:rsid w:val="078A46B0"/>
    <w:rsid w:val="07924C4B"/>
    <w:rsid w:val="07991CB6"/>
    <w:rsid w:val="079A7D2C"/>
    <w:rsid w:val="079F19D2"/>
    <w:rsid w:val="07AF70B7"/>
    <w:rsid w:val="07B84256"/>
    <w:rsid w:val="07C00067"/>
    <w:rsid w:val="07C04DAB"/>
    <w:rsid w:val="07C56682"/>
    <w:rsid w:val="07D93028"/>
    <w:rsid w:val="07DD321B"/>
    <w:rsid w:val="080B577B"/>
    <w:rsid w:val="08161C67"/>
    <w:rsid w:val="084747A1"/>
    <w:rsid w:val="08572CA3"/>
    <w:rsid w:val="085A5B41"/>
    <w:rsid w:val="086329D2"/>
    <w:rsid w:val="08636FD1"/>
    <w:rsid w:val="08B368E0"/>
    <w:rsid w:val="08B601FC"/>
    <w:rsid w:val="08BC7C00"/>
    <w:rsid w:val="08D079C2"/>
    <w:rsid w:val="08D80EA8"/>
    <w:rsid w:val="08E5320F"/>
    <w:rsid w:val="08E95466"/>
    <w:rsid w:val="09024423"/>
    <w:rsid w:val="0909653C"/>
    <w:rsid w:val="090C4D29"/>
    <w:rsid w:val="09216DE3"/>
    <w:rsid w:val="092F65C5"/>
    <w:rsid w:val="09306D58"/>
    <w:rsid w:val="09336C26"/>
    <w:rsid w:val="09361C78"/>
    <w:rsid w:val="093C1DC8"/>
    <w:rsid w:val="094969F7"/>
    <w:rsid w:val="09644C54"/>
    <w:rsid w:val="09873A46"/>
    <w:rsid w:val="0997570E"/>
    <w:rsid w:val="09A100F4"/>
    <w:rsid w:val="09E92DA7"/>
    <w:rsid w:val="09FE10BE"/>
    <w:rsid w:val="0A020F0E"/>
    <w:rsid w:val="0A1C4694"/>
    <w:rsid w:val="0A463B01"/>
    <w:rsid w:val="0A4F45AA"/>
    <w:rsid w:val="0A6C1AB8"/>
    <w:rsid w:val="0A8B1F94"/>
    <w:rsid w:val="0A9B408E"/>
    <w:rsid w:val="0AA76432"/>
    <w:rsid w:val="0AAC55DC"/>
    <w:rsid w:val="0AC322D0"/>
    <w:rsid w:val="0AC91212"/>
    <w:rsid w:val="0AD50A25"/>
    <w:rsid w:val="0ADD6A6C"/>
    <w:rsid w:val="0AF55441"/>
    <w:rsid w:val="0AFF02E3"/>
    <w:rsid w:val="0B2B491D"/>
    <w:rsid w:val="0B49775C"/>
    <w:rsid w:val="0B5821EF"/>
    <w:rsid w:val="0B711092"/>
    <w:rsid w:val="0B904371"/>
    <w:rsid w:val="0B9335CE"/>
    <w:rsid w:val="0BA7412C"/>
    <w:rsid w:val="0BBB552C"/>
    <w:rsid w:val="0BC01EEC"/>
    <w:rsid w:val="0BC62D73"/>
    <w:rsid w:val="0BE64483"/>
    <w:rsid w:val="0BEB1BE2"/>
    <w:rsid w:val="0BF24052"/>
    <w:rsid w:val="0C29520D"/>
    <w:rsid w:val="0C4452AF"/>
    <w:rsid w:val="0C6041D7"/>
    <w:rsid w:val="0C9646E6"/>
    <w:rsid w:val="0CA21D1B"/>
    <w:rsid w:val="0CB11A6E"/>
    <w:rsid w:val="0CC5444A"/>
    <w:rsid w:val="0CCD50C2"/>
    <w:rsid w:val="0CCE2357"/>
    <w:rsid w:val="0CD176A9"/>
    <w:rsid w:val="0CD2583A"/>
    <w:rsid w:val="0CE02B10"/>
    <w:rsid w:val="0CF81F94"/>
    <w:rsid w:val="0D006F28"/>
    <w:rsid w:val="0D0425E8"/>
    <w:rsid w:val="0D0B2D8B"/>
    <w:rsid w:val="0D100489"/>
    <w:rsid w:val="0D215336"/>
    <w:rsid w:val="0D4E0435"/>
    <w:rsid w:val="0D570D57"/>
    <w:rsid w:val="0D576367"/>
    <w:rsid w:val="0D5B77B4"/>
    <w:rsid w:val="0D63594E"/>
    <w:rsid w:val="0D6425A0"/>
    <w:rsid w:val="0D760F3D"/>
    <w:rsid w:val="0DC05222"/>
    <w:rsid w:val="0DD53C22"/>
    <w:rsid w:val="0DE7731A"/>
    <w:rsid w:val="0DFA45C0"/>
    <w:rsid w:val="0E092BAA"/>
    <w:rsid w:val="0E1A3B33"/>
    <w:rsid w:val="0E227310"/>
    <w:rsid w:val="0E250E55"/>
    <w:rsid w:val="0E3C4A15"/>
    <w:rsid w:val="0E400BA7"/>
    <w:rsid w:val="0E43255A"/>
    <w:rsid w:val="0E48519E"/>
    <w:rsid w:val="0E4B72F0"/>
    <w:rsid w:val="0E681C61"/>
    <w:rsid w:val="0E7874BD"/>
    <w:rsid w:val="0E873F25"/>
    <w:rsid w:val="0EA17CF6"/>
    <w:rsid w:val="0EAE6AF9"/>
    <w:rsid w:val="0EB67D00"/>
    <w:rsid w:val="0EB93716"/>
    <w:rsid w:val="0EBF1D67"/>
    <w:rsid w:val="0EC11897"/>
    <w:rsid w:val="0ECF52BA"/>
    <w:rsid w:val="0ED11AE2"/>
    <w:rsid w:val="0ED168E7"/>
    <w:rsid w:val="0EF31BA3"/>
    <w:rsid w:val="0F00644B"/>
    <w:rsid w:val="0F0D6E3B"/>
    <w:rsid w:val="0F153488"/>
    <w:rsid w:val="0F2B0758"/>
    <w:rsid w:val="0F316BF8"/>
    <w:rsid w:val="0F3518AE"/>
    <w:rsid w:val="0F5F46C6"/>
    <w:rsid w:val="0F8C599A"/>
    <w:rsid w:val="0F8C7FC3"/>
    <w:rsid w:val="0F9851A1"/>
    <w:rsid w:val="0FA55EF4"/>
    <w:rsid w:val="0FC95811"/>
    <w:rsid w:val="0FCC35F8"/>
    <w:rsid w:val="0FF0519C"/>
    <w:rsid w:val="100C000E"/>
    <w:rsid w:val="10204914"/>
    <w:rsid w:val="102155E7"/>
    <w:rsid w:val="103477D8"/>
    <w:rsid w:val="105B5567"/>
    <w:rsid w:val="1075164B"/>
    <w:rsid w:val="1076073D"/>
    <w:rsid w:val="10892D4C"/>
    <w:rsid w:val="108F1247"/>
    <w:rsid w:val="10900FB4"/>
    <w:rsid w:val="10997FA0"/>
    <w:rsid w:val="109A38A1"/>
    <w:rsid w:val="10A95C97"/>
    <w:rsid w:val="10DE3231"/>
    <w:rsid w:val="10EA0134"/>
    <w:rsid w:val="10FA4868"/>
    <w:rsid w:val="11142556"/>
    <w:rsid w:val="112204FD"/>
    <w:rsid w:val="1123072D"/>
    <w:rsid w:val="112A6783"/>
    <w:rsid w:val="113E5F4E"/>
    <w:rsid w:val="11437FAA"/>
    <w:rsid w:val="11566600"/>
    <w:rsid w:val="11703917"/>
    <w:rsid w:val="117D7500"/>
    <w:rsid w:val="117F372B"/>
    <w:rsid w:val="1191134C"/>
    <w:rsid w:val="11974CDA"/>
    <w:rsid w:val="11A924C3"/>
    <w:rsid w:val="11B81FE1"/>
    <w:rsid w:val="11BA5AED"/>
    <w:rsid w:val="11BA660F"/>
    <w:rsid w:val="11C41A8B"/>
    <w:rsid w:val="11FD295C"/>
    <w:rsid w:val="11FF7687"/>
    <w:rsid w:val="12091A56"/>
    <w:rsid w:val="122A7647"/>
    <w:rsid w:val="12315C07"/>
    <w:rsid w:val="123861CF"/>
    <w:rsid w:val="12441522"/>
    <w:rsid w:val="12567919"/>
    <w:rsid w:val="126F67BB"/>
    <w:rsid w:val="12A35B94"/>
    <w:rsid w:val="12AB31BE"/>
    <w:rsid w:val="12AC5B5E"/>
    <w:rsid w:val="12B92BE2"/>
    <w:rsid w:val="12BE214C"/>
    <w:rsid w:val="12C83AF2"/>
    <w:rsid w:val="12E7492B"/>
    <w:rsid w:val="12EA33B0"/>
    <w:rsid w:val="12EF6816"/>
    <w:rsid w:val="12F66918"/>
    <w:rsid w:val="130B428D"/>
    <w:rsid w:val="131720F5"/>
    <w:rsid w:val="13175349"/>
    <w:rsid w:val="13186551"/>
    <w:rsid w:val="131D19D2"/>
    <w:rsid w:val="13210C75"/>
    <w:rsid w:val="13302411"/>
    <w:rsid w:val="13313B1F"/>
    <w:rsid w:val="1372255A"/>
    <w:rsid w:val="138C6D10"/>
    <w:rsid w:val="138E124B"/>
    <w:rsid w:val="139B5526"/>
    <w:rsid w:val="13B36968"/>
    <w:rsid w:val="13BD38DE"/>
    <w:rsid w:val="13D43164"/>
    <w:rsid w:val="13D81B1B"/>
    <w:rsid w:val="13D83FA3"/>
    <w:rsid w:val="13D86FB5"/>
    <w:rsid w:val="13E94124"/>
    <w:rsid w:val="140A7915"/>
    <w:rsid w:val="141B2DFD"/>
    <w:rsid w:val="141F3619"/>
    <w:rsid w:val="14234480"/>
    <w:rsid w:val="144A442B"/>
    <w:rsid w:val="144B713C"/>
    <w:rsid w:val="144C7774"/>
    <w:rsid w:val="144F60D5"/>
    <w:rsid w:val="14525264"/>
    <w:rsid w:val="14552585"/>
    <w:rsid w:val="145F58B7"/>
    <w:rsid w:val="14611295"/>
    <w:rsid w:val="14691370"/>
    <w:rsid w:val="14733F9D"/>
    <w:rsid w:val="14AF753B"/>
    <w:rsid w:val="14B7032D"/>
    <w:rsid w:val="14B70FA6"/>
    <w:rsid w:val="14F902C4"/>
    <w:rsid w:val="1501671E"/>
    <w:rsid w:val="15155E8D"/>
    <w:rsid w:val="15346BF9"/>
    <w:rsid w:val="154233AB"/>
    <w:rsid w:val="154B7996"/>
    <w:rsid w:val="154D5449"/>
    <w:rsid w:val="15530EA1"/>
    <w:rsid w:val="15734C41"/>
    <w:rsid w:val="158E1C7F"/>
    <w:rsid w:val="158F4387"/>
    <w:rsid w:val="15993CD6"/>
    <w:rsid w:val="159F5618"/>
    <w:rsid w:val="15A532F4"/>
    <w:rsid w:val="15AF0A97"/>
    <w:rsid w:val="15B61E4D"/>
    <w:rsid w:val="15B659D1"/>
    <w:rsid w:val="15D020F7"/>
    <w:rsid w:val="15D56B63"/>
    <w:rsid w:val="15DF6355"/>
    <w:rsid w:val="15F45A28"/>
    <w:rsid w:val="15F64F4F"/>
    <w:rsid w:val="15F86E50"/>
    <w:rsid w:val="160B3ACD"/>
    <w:rsid w:val="160E0421"/>
    <w:rsid w:val="161A6097"/>
    <w:rsid w:val="16293788"/>
    <w:rsid w:val="16293958"/>
    <w:rsid w:val="16455959"/>
    <w:rsid w:val="164E01C4"/>
    <w:rsid w:val="16520905"/>
    <w:rsid w:val="16561D62"/>
    <w:rsid w:val="165F41E8"/>
    <w:rsid w:val="166A683C"/>
    <w:rsid w:val="166E7112"/>
    <w:rsid w:val="167A7FCF"/>
    <w:rsid w:val="167E0008"/>
    <w:rsid w:val="167E55A7"/>
    <w:rsid w:val="1682519A"/>
    <w:rsid w:val="16886596"/>
    <w:rsid w:val="16893923"/>
    <w:rsid w:val="16925F32"/>
    <w:rsid w:val="169A3D27"/>
    <w:rsid w:val="16B470F6"/>
    <w:rsid w:val="16BC78A7"/>
    <w:rsid w:val="16F455B8"/>
    <w:rsid w:val="16F93A36"/>
    <w:rsid w:val="1711335A"/>
    <w:rsid w:val="171657DF"/>
    <w:rsid w:val="173673FB"/>
    <w:rsid w:val="174D4192"/>
    <w:rsid w:val="1751583C"/>
    <w:rsid w:val="17593529"/>
    <w:rsid w:val="175A5714"/>
    <w:rsid w:val="176C00A9"/>
    <w:rsid w:val="177A5B4D"/>
    <w:rsid w:val="177C0E0D"/>
    <w:rsid w:val="17932E8D"/>
    <w:rsid w:val="17984F13"/>
    <w:rsid w:val="179F1F5F"/>
    <w:rsid w:val="17AE5734"/>
    <w:rsid w:val="17B21F05"/>
    <w:rsid w:val="17CE79E0"/>
    <w:rsid w:val="17CF5769"/>
    <w:rsid w:val="17EB1734"/>
    <w:rsid w:val="17F53F70"/>
    <w:rsid w:val="17FC632A"/>
    <w:rsid w:val="18047D2E"/>
    <w:rsid w:val="180D3276"/>
    <w:rsid w:val="18356E46"/>
    <w:rsid w:val="1836548E"/>
    <w:rsid w:val="1865431D"/>
    <w:rsid w:val="18687698"/>
    <w:rsid w:val="18705C65"/>
    <w:rsid w:val="18733984"/>
    <w:rsid w:val="18856EF4"/>
    <w:rsid w:val="188C2D86"/>
    <w:rsid w:val="18945EC6"/>
    <w:rsid w:val="18B01FB1"/>
    <w:rsid w:val="18BC33AF"/>
    <w:rsid w:val="18BE1E46"/>
    <w:rsid w:val="18C03177"/>
    <w:rsid w:val="18D42B86"/>
    <w:rsid w:val="18E1425F"/>
    <w:rsid w:val="18F85838"/>
    <w:rsid w:val="191726EF"/>
    <w:rsid w:val="19191807"/>
    <w:rsid w:val="191C4D3D"/>
    <w:rsid w:val="19270E66"/>
    <w:rsid w:val="192A3F5F"/>
    <w:rsid w:val="193041A6"/>
    <w:rsid w:val="193825F3"/>
    <w:rsid w:val="19436634"/>
    <w:rsid w:val="19471213"/>
    <w:rsid w:val="19496598"/>
    <w:rsid w:val="19575A59"/>
    <w:rsid w:val="195D25EA"/>
    <w:rsid w:val="195F2D42"/>
    <w:rsid w:val="19696C70"/>
    <w:rsid w:val="198E3E8D"/>
    <w:rsid w:val="199610E2"/>
    <w:rsid w:val="19962C07"/>
    <w:rsid w:val="1997072D"/>
    <w:rsid w:val="19A86D33"/>
    <w:rsid w:val="19BB20AC"/>
    <w:rsid w:val="19C254CC"/>
    <w:rsid w:val="19C345CE"/>
    <w:rsid w:val="19E75799"/>
    <w:rsid w:val="19EC047C"/>
    <w:rsid w:val="19FF1DD7"/>
    <w:rsid w:val="1A031A5B"/>
    <w:rsid w:val="1A092452"/>
    <w:rsid w:val="1A1845B2"/>
    <w:rsid w:val="1A1A4BE8"/>
    <w:rsid w:val="1A524D25"/>
    <w:rsid w:val="1A5D4669"/>
    <w:rsid w:val="1A740579"/>
    <w:rsid w:val="1A7928BB"/>
    <w:rsid w:val="1A917586"/>
    <w:rsid w:val="1A9D09F7"/>
    <w:rsid w:val="1AA2252A"/>
    <w:rsid w:val="1AAB69C1"/>
    <w:rsid w:val="1AB1581F"/>
    <w:rsid w:val="1AFC5B3B"/>
    <w:rsid w:val="1AFE75E7"/>
    <w:rsid w:val="1B023B85"/>
    <w:rsid w:val="1B041579"/>
    <w:rsid w:val="1B0C32F4"/>
    <w:rsid w:val="1B0D03FF"/>
    <w:rsid w:val="1B280433"/>
    <w:rsid w:val="1B2E6E70"/>
    <w:rsid w:val="1B481CDF"/>
    <w:rsid w:val="1B497B97"/>
    <w:rsid w:val="1B6932B2"/>
    <w:rsid w:val="1B90704D"/>
    <w:rsid w:val="1B9C412D"/>
    <w:rsid w:val="1BA417FD"/>
    <w:rsid w:val="1BB328A2"/>
    <w:rsid w:val="1BC80D3E"/>
    <w:rsid w:val="1BDA0D0E"/>
    <w:rsid w:val="1BDC1FDC"/>
    <w:rsid w:val="1BE70D01"/>
    <w:rsid w:val="1BED0061"/>
    <w:rsid w:val="1BEE2CA0"/>
    <w:rsid w:val="1BF956CF"/>
    <w:rsid w:val="1C0B157D"/>
    <w:rsid w:val="1C1330FC"/>
    <w:rsid w:val="1C1639D1"/>
    <w:rsid w:val="1C1C078A"/>
    <w:rsid w:val="1C1D3C23"/>
    <w:rsid w:val="1C20601B"/>
    <w:rsid w:val="1C212035"/>
    <w:rsid w:val="1C2A348E"/>
    <w:rsid w:val="1C4908BE"/>
    <w:rsid w:val="1C4E2B50"/>
    <w:rsid w:val="1C5E5533"/>
    <w:rsid w:val="1C67619F"/>
    <w:rsid w:val="1C74182F"/>
    <w:rsid w:val="1C8C31EA"/>
    <w:rsid w:val="1CA176D3"/>
    <w:rsid w:val="1CA631C0"/>
    <w:rsid w:val="1CB62F1E"/>
    <w:rsid w:val="1CB663FF"/>
    <w:rsid w:val="1CBB75C1"/>
    <w:rsid w:val="1CBB75F4"/>
    <w:rsid w:val="1CBC04BE"/>
    <w:rsid w:val="1CC23D13"/>
    <w:rsid w:val="1CD42FEA"/>
    <w:rsid w:val="1CD51C99"/>
    <w:rsid w:val="1CD86A66"/>
    <w:rsid w:val="1CF437FC"/>
    <w:rsid w:val="1D0B1FD1"/>
    <w:rsid w:val="1D1C619B"/>
    <w:rsid w:val="1D1F4CC2"/>
    <w:rsid w:val="1D20453B"/>
    <w:rsid w:val="1D2C37A6"/>
    <w:rsid w:val="1D397DA4"/>
    <w:rsid w:val="1D4961E3"/>
    <w:rsid w:val="1D5F7976"/>
    <w:rsid w:val="1D7272C4"/>
    <w:rsid w:val="1D7414B2"/>
    <w:rsid w:val="1D7D5933"/>
    <w:rsid w:val="1D853B81"/>
    <w:rsid w:val="1D9E1F6B"/>
    <w:rsid w:val="1DA13A44"/>
    <w:rsid w:val="1DA40988"/>
    <w:rsid w:val="1DA51B09"/>
    <w:rsid w:val="1DBE3095"/>
    <w:rsid w:val="1DC15D79"/>
    <w:rsid w:val="1DE0233F"/>
    <w:rsid w:val="1DFC609F"/>
    <w:rsid w:val="1E2F4B2E"/>
    <w:rsid w:val="1E322924"/>
    <w:rsid w:val="1E330118"/>
    <w:rsid w:val="1E344191"/>
    <w:rsid w:val="1E3E7A89"/>
    <w:rsid w:val="1E441BE0"/>
    <w:rsid w:val="1E4A2212"/>
    <w:rsid w:val="1E894975"/>
    <w:rsid w:val="1E91399D"/>
    <w:rsid w:val="1E932086"/>
    <w:rsid w:val="1E991BE3"/>
    <w:rsid w:val="1E9F255E"/>
    <w:rsid w:val="1EA23DFC"/>
    <w:rsid w:val="1EA768CB"/>
    <w:rsid w:val="1EC24432"/>
    <w:rsid w:val="1ECA4751"/>
    <w:rsid w:val="1EF45FD8"/>
    <w:rsid w:val="1EF52C4F"/>
    <w:rsid w:val="1F151F89"/>
    <w:rsid w:val="1F2175F8"/>
    <w:rsid w:val="1F2454AE"/>
    <w:rsid w:val="1F2730A0"/>
    <w:rsid w:val="1F290EB1"/>
    <w:rsid w:val="1F301408"/>
    <w:rsid w:val="1F6979E7"/>
    <w:rsid w:val="1F6D440A"/>
    <w:rsid w:val="1F750A08"/>
    <w:rsid w:val="1F967D7C"/>
    <w:rsid w:val="1FA244B0"/>
    <w:rsid w:val="1FA328F8"/>
    <w:rsid w:val="1FA642C4"/>
    <w:rsid w:val="1FA772D7"/>
    <w:rsid w:val="1FAF67D1"/>
    <w:rsid w:val="1FB17124"/>
    <w:rsid w:val="1FCE6A96"/>
    <w:rsid w:val="1FD93C9C"/>
    <w:rsid w:val="1FDA60AB"/>
    <w:rsid w:val="1FE25FB2"/>
    <w:rsid w:val="1FE86F66"/>
    <w:rsid w:val="1FFB537F"/>
    <w:rsid w:val="200E6725"/>
    <w:rsid w:val="20101323"/>
    <w:rsid w:val="201802C8"/>
    <w:rsid w:val="20185CB3"/>
    <w:rsid w:val="20193933"/>
    <w:rsid w:val="203057FA"/>
    <w:rsid w:val="203942EC"/>
    <w:rsid w:val="20572ABF"/>
    <w:rsid w:val="20785B47"/>
    <w:rsid w:val="207C5CB0"/>
    <w:rsid w:val="207E43F5"/>
    <w:rsid w:val="20847244"/>
    <w:rsid w:val="20C924EF"/>
    <w:rsid w:val="20E81797"/>
    <w:rsid w:val="20F579AE"/>
    <w:rsid w:val="20FE78BC"/>
    <w:rsid w:val="2111797A"/>
    <w:rsid w:val="21135FB9"/>
    <w:rsid w:val="21146FE2"/>
    <w:rsid w:val="21390F39"/>
    <w:rsid w:val="214E0604"/>
    <w:rsid w:val="215964F0"/>
    <w:rsid w:val="21773215"/>
    <w:rsid w:val="21790498"/>
    <w:rsid w:val="21936CA6"/>
    <w:rsid w:val="21A50C86"/>
    <w:rsid w:val="21A76CC7"/>
    <w:rsid w:val="21CD43B4"/>
    <w:rsid w:val="21E42FCC"/>
    <w:rsid w:val="21E863F5"/>
    <w:rsid w:val="21FF50C2"/>
    <w:rsid w:val="220620E3"/>
    <w:rsid w:val="221435F7"/>
    <w:rsid w:val="223E208E"/>
    <w:rsid w:val="22500EBE"/>
    <w:rsid w:val="22502B2A"/>
    <w:rsid w:val="225932F2"/>
    <w:rsid w:val="226700F4"/>
    <w:rsid w:val="226811A2"/>
    <w:rsid w:val="226D3609"/>
    <w:rsid w:val="22914175"/>
    <w:rsid w:val="22946AD2"/>
    <w:rsid w:val="22A83BA9"/>
    <w:rsid w:val="22B429D5"/>
    <w:rsid w:val="22C14F31"/>
    <w:rsid w:val="22C94426"/>
    <w:rsid w:val="22CC2F6D"/>
    <w:rsid w:val="22D07767"/>
    <w:rsid w:val="22DD01BB"/>
    <w:rsid w:val="22E33556"/>
    <w:rsid w:val="22E43639"/>
    <w:rsid w:val="23051183"/>
    <w:rsid w:val="230E7CB2"/>
    <w:rsid w:val="231231EE"/>
    <w:rsid w:val="232F021E"/>
    <w:rsid w:val="2331282E"/>
    <w:rsid w:val="234562F1"/>
    <w:rsid w:val="23486D36"/>
    <w:rsid w:val="234E5CB7"/>
    <w:rsid w:val="235A1CD8"/>
    <w:rsid w:val="23720241"/>
    <w:rsid w:val="23876C72"/>
    <w:rsid w:val="23891729"/>
    <w:rsid w:val="23921869"/>
    <w:rsid w:val="23C5158E"/>
    <w:rsid w:val="23D3233D"/>
    <w:rsid w:val="23D50586"/>
    <w:rsid w:val="23DB4E2F"/>
    <w:rsid w:val="23DF7FD7"/>
    <w:rsid w:val="23E43860"/>
    <w:rsid w:val="23E5549E"/>
    <w:rsid w:val="23E71412"/>
    <w:rsid w:val="23EF304F"/>
    <w:rsid w:val="23FF0E40"/>
    <w:rsid w:val="240208DB"/>
    <w:rsid w:val="240F68C8"/>
    <w:rsid w:val="241402C2"/>
    <w:rsid w:val="241F3F92"/>
    <w:rsid w:val="243139AD"/>
    <w:rsid w:val="24457704"/>
    <w:rsid w:val="244E3D1D"/>
    <w:rsid w:val="245B624B"/>
    <w:rsid w:val="245F0141"/>
    <w:rsid w:val="245F335F"/>
    <w:rsid w:val="246A78E6"/>
    <w:rsid w:val="246E2507"/>
    <w:rsid w:val="247F3D0C"/>
    <w:rsid w:val="24885842"/>
    <w:rsid w:val="24887B76"/>
    <w:rsid w:val="249A4DDB"/>
    <w:rsid w:val="24A36EFF"/>
    <w:rsid w:val="24A86547"/>
    <w:rsid w:val="24BB5441"/>
    <w:rsid w:val="24BF7F92"/>
    <w:rsid w:val="24D40F20"/>
    <w:rsid w:val="24D978A4"/>
    <w:rsid w:val="24DB1E16"/>
    <w:rsid w:val="24E333C6"/>
    <w:rsid w:val="24E56E85"/>
    <w:rsid w:val="24EB561C"/>
    <w:rsid w:val="24F353B2"/>
    <w:rsid w:val="2500362B"/>
    <w:rsid w:val="2504140C"/>
    <w:rsid w:val="25463823"/>
    <w:rsid w:val="254A257D"/>
    <w:rsid w:val="25612DE4"/>
    <w:rsid w:val="258256A6"/>
    <w:rsid w:val="25853F3A"/>
    <w:rsid w:val="25872E62"/>
    <w:rsid w:val="25873D4C"/>
    <w:rsid w:val="259F0776"/>
    <w:rsid w:val="25A03F9F"/>
    <w:rsid w:val="25B23C6B"/>
    <w:rsid w:val="25BD2AAB"/>
    <w:rsid w:val="25C10F8D"/>
    <w:rsid w:val="25DC42C5"/>
    <w:rsid w:val="25DD2180"/>
    <w:rsid w:val="25FC2044"/>
    <w:rsid w:val="2607160F"/>
    <w:rsid w:val="26097847"/>
    <w:rsid w:val="260A5A93"/>
    <w:rsid w:val="260D1935"/>
    <w:rsid w:val="26142CF6"/>
    <w:rsid w:val="262810FE"/>
    <w:rsid w:val="262E23AE"/>
    <w:rsid w:val="262E7F2A"/>
    <w:rsid w:val="263B3A3D"/>
    <w:rsid w:val="263F18AE"/>
    <w:rsid w:val="2641772D"/>
    <w:rsid w:val="265956E8"/>
    <w:rsid w:val="26621AA6"/>
    <w:rsid w:val="26795443"/>
    <w:rsid w:val="269F6BAF"/>
    <w:rsid w:val="26B91CCC"/>
    <w:rsid w:val="26C47F67"/>
    <w:rsid w:val="26C731FF"/>
    <w:rsid w:val="26D201D7"/>
    <w:rsid w:val="26DB7EAB"/>
    <w:rsid w:val="26EC030B"/>
    <w:rsid w:val="26EF0006"/>
    <w:rsid w:val="26F03C43"/>
    <w:rsid w:val="26FE2B53"/>
    <w:rsid w:val="27286FB7"/>
    <w:rsid w:val="272E6E29"/>
    <w:rsid w:val="27507456"/>
    <w:rsid w:val="276E2D59"/>
    <w:rsid w:val="278609DD"/>
    <w:rsid w:val="279803ED"/>
    <w:rsid w:val="27AA1A6E"/>
    <w:rsid w:val="27AC786C"/>
    <w:rsid w:val="27AF714A"/>
    <w:rsid w:val="27B212DD"/>
    <w:rsid w:val="27C9064C"/>
    <w:rsid w:val="27E15995"/>
    <w:rsid w:val="27E809A9"/>
    <w:rsid w:val="28147F8F"/>
    <w:rsid w:val="281A59A3"/>
    <w:rsid w:val="28212E22"/>
    <w:rsid w:val="28217C2E"/>
    <w:rsid w:val="2829733C"/>
    <w:rsid w:val="28712EEB"/>
    <w:rsid w:val="2874419E"/>
    <w:rsid w:val="288A498F"/>
    <w:rsid w:val="288D1E6A"/>
    <w:rsid w:val="289C1B6F"/>
    <w:rsid w:val="28BA7F95"/>
    <w:rsid w:val="28D03B04"/>
    <w:rsid w:val="28F14F66"/>
    <w:rsid w:val="290D291B"/>
    <w:rsid w:val="291017C1"/>
    <w:rsid w:val="29266367"/>
    <w:rsid w:val="29365433"/>
    <w:rsid w:val="29387837"/>
    <w:rsid w:val="294C1054"/>
    <w:rsid w:val="295A6FEB"/>
    <w:rsid w:val="295E42C2"/>
    <w:rsid w:val="29762802"/>
    <w:rsid w:val="29950374"/>
    <w:rsid w:val="29A2407B"/>
    <w:rsid w:val="29BA46F0"/>
    <w:rsid w:val="29CE019B"/>
    <w:rsid w:val="29F456B3"/>
    <w:rsid w:val="2A187669"/>
    <w:rsid w:val="2A2131CB"/>
    <w:rsid w:val="2A247E66"/>
    <w:rsid w:val="2A265B00"/>
    <w:rsid w:val="2A337FFE"/>
    <w:rsid w:val="2A41396A"/>
    <w:rsid w:val="2A4A5C57"/>
    <w:rsid w:val="2A4B59F6"/>
    <w:rsid w:val="2A6A1E08"/>
    <w:rsid w:val="2A6A38F4"/>
    <w:rsid w:val="2A732EBC"/>
    <w:rsid w:val="2A992FD3"/>
    <w:rsid w:val="2AA76CB7"/>
    <w:rsid w:val="2AB05831"/>
    <w:rsid w:val="2AB86B60"/>
    <w:rsid w:val="2ABA2946"/>
    <w:rsid w:val="2AC444DE"/>
    <w:rsid w:val="2AC526B5"/>
    <w:rsid w:val="2ADB2B70"/>
    <w:rsid w:val="2AE64553"/>
    <w:rsid w:val="2AEF34B7"/>
    <w:rsid w:val="2AF668CA"/>
    <w:rsid w:val="2AF915A0"/>
    <w:rsid w:val="2B1B2656"/>
    <w:rsid w:val="2B1E6E7A"/>
    <w:rsid w:val="2B203F1D"/>
    <w:rsid w:val="2B220DB0"/>
    <w:rsid w:val="2B2F508E"/>
    <w:rsid w:val="2B35697F"/>
    <w:rsid w:val="2B3846B6"/>
    <w:rsid w:val="2B475C62"/>
    <w:rsid w:val="2B4F44FF"/>
    <w:rsid w:val="2B506A3E"/>
    <w:rsid w:val="2B56796D"/>
    <w:rsid w:val="2B5C50BE"/>
    <w:rsid w:val="2B5E56EA"/>
    <w:rsid w:val="2B7679D2"/>
    <w:rsid w:val="2B7A53A6"/>
    <w:rsid w:val="2B9427F4"/>
    <w:rsid w:val="2BA218CA"/>
    <w:rsid w:val="2BC94A03"/>
    <w:rsid w:val="2BCD1D0F"/>
    <w:rsid w:val="2BEA79C9"/>
    <w:rsid w:val="2C063A2C"/>
    <w:rsid w:val="2C096623"/>
    <w:rsid w:val="2C0C3BED"/>
    <w:rsid w:val="2C144DE1"/>
    <w:rsid w:val="2C1C3440"/>
    <w:rsid w:val="2C3306E6"/>
    <w:rsid w:val="2C3E1E2A"/>
    <w:rsid w:val="2C401FD2"/>
    <w:rsid w:val="2C5D7C5E"/>
    <w:rsid w:val="2C60361F"/>
    <w:rsid w:val="2C683B4E"/>
    <w:rsid w:val="2C8310B8"/>
    <w:rsid w:val="2C8B6B6C"/>
    <w:rsid w:val="2C932114"/>
    <w:rsid w:val="2CA84CD4"/>
    <w:rsid w:val="2CD0422B"/>
    <w:rsid w:val="2CE416FA"/>
    <w:rsid w:val="2CF83235"/>
    <w:rsid w:val="2CFB185B"/>
    <w:rsid w:val="2D064E55"/>
    <w:rsid w:val="2D114F87"/>
    <w:rsid w:val="2D1F5542"/>
    <w:rsid w:val="2D293BE4"/>
    <w:rsid w:val="2D311C05"/>
    <w:rsid w:val="2D410C84"/>
    <w:rsid w:val="2D446F31"/>
    <w:rsid w:val="2D532463"/>
    <w:rsid w:val="2D894935"/>
    <w:rsid w:val="2D8E6186"/>
    <w:rsid w:val="2D9D677F"/>
    <w:rsid w:val="2DA15DC0"/>
    <w:rsid w:val="2DA502A0"/>
    <w:rsid w:val="2DC86383"/>
    <w:rsid w:val="2DDD5FBB"/>
    <w:rsid w:val="2DE169D1"/>
    <w:rsid w:val="2E07760A"/>
    <w:rsid w:val="2E1027A6"/>
    <w:rsid w:val="2E222864"/>
    <w:rsid w:val="2E2F7D36"/>
    <w:rsid w:val="2E505D63"/>
    <w:rsid w:val="2E6F4914"/>
    <w:rsid w:val="2E7715BC"/>
    <w:rsid w:val="2E804D84"/>
    <w:rsid w:val="2E8807F2"/>
    <w:rsid w:val="2E8A342B"/>
    <w:rsid w:val="2E8D3E69"/>
    <w:rsid w:val="2EA9088F"/>
    <w:rsid w:val="2EAC07E4"/>
    <w:rsid w:val="2EB060C2"/>
    <w:rsid w:val="2EB551DE"/>
    <w:rsid w:val="2EBC64B1"/>
    <w:rsid w:val="2ECB21A5"/>
    <w:rsid w:val="2ECB2DF5"/>
    <w:rsid w:val="2EEB2EDF"/>
    <w:rsid w:val="2EEB70FA"/>
    <w:rsid w:val="2EEC2C79"/>
    <w:rsid w:val="2EEE0998"/>
    <w:rsid w:val="2F01691D"/>
    <w:rsid w:val="2F022A12"/>
    <w:rsid w:val="2F245485"/>
    <w:rsid w:val="2F394E77"/>
    <w:rsid w:val="2F492B7F"/>
    <w:rsid w:val="2F496FDA"/>
    <w:rsid w:val="2F4F3FB1"/>
    <w:rsid w:val="2F5E1713"/>
    <w:rsid w:val="2F6F7F88"/>
    <w:rsid w:val="2F930E45"/>
    <w:rsid w:val="2FA41E72"/>
    <w:rsid w:val="2FA5374C"/>
    <w:rsid w:val="2FA8323D"/>
    <w:rsid w:val="2FBC1458"/>
    <w:rsid w:val="2FCA4F61"/>
    <w:rsid w:val="2FD71F56"/>
    <w:rsid w:val="2FDE5A18"/>
    <w:rsid w:val="2FF62D4B"/>
    <w:rsid w:val="30017A92"/>
    <w:rsid w:val="3027114F"/>
    <w:rsid w:val="302952A0"/>
    <w:rsid w:val="30485C58"/>
    <w:rsid w:val="304A60A2"/>
    <w:rsid w:val="305E7F6B"/>
    <w:rsid w:val="30711881"/>
    <w:rsid w:val="30953952"/>
    <w:rsid w:val="30AC30EB"/>
    <w:rsid w:val="30B4526C"/>
    <w:rsid w:val="30C45BA8"/>
    <w:rsid w:val="30CA204C"/>
    <w:rsid w:val="30CF5403"/>
    <w:rsid w:val="30D061CB"/>
    <w:rsid w:val="30E97669"/>
    <w:rsid w:val="3104177B"/>
    <w:rsid w:val="310A72C9"/>
    <w:rsid w:val="31271F3F"/>
    <w:rsid w:val="3140197F"/>
    <w:rsid w:val="31471D12"/>
    <w:rsid w:val="31504453"/>
    <w:rsid w:val="31630FF4"/>
    <w:rsid w:val="31653193"/>
    <w:rsid w:val="31825227"/>
    <w:rsid w:val="319C5DF0"/>
    <w:rsid w:val="31B27E74"/>
    <w:rsid w:val="31BC000C"/>
    <w:rsid w:val="320A67AD"/>
    <w:rsid w:val="322E73BC"/>
    <w:rsid w:val="3245283E"/>
    <w:rsid w:val="32471520"/>
    <w:rsid w:val="325A75B2"/>
    <w:rsid w:val="32834F3D"/>
    <w:rsid w:val="328F681A"/>
    <w:rsid w:val="329426D1"/>
    <w:rsid w:val="329A4722"/>
    <w:rsid w:val="32A24DB8"/>
    <w:rsid w:val="32BB49C7"/>
    <w:rsid w:val="32C125DE"/>
    <w:rsid w:val="32D07243"/>
    <w:rsid w:val="32D914DA"/>
    <w:rsid w:val="32DD144F"/>
    <w:rsid w:val="32E350C4"/>
    <w:rsid w:val="32F553A9"/>
    <w:rsid w:val="32F84244"/>
    <w:rsid w:val="32F95E2F"/>
    <w:rsid w:val="32FD2F62"/>
    <w:rsid w:val="32FE4155"/>
    <w:rsid w:val="33286A58"/>
    <w:rsid w:val="332D4488"/>
    <w:rsid w:val="33387A80"/>
    <w:rsid w:val="334B2072"/>
    <w:rsid w:val="3359184A"/>
    <w:rsid w:val="33664CA0"/>
    <w:rsid w:val="33807E59"/>
    <w:rsid w:val="33A82684"/>
    <w:rsid w:val="33C96253"/>
    <w:rsid w:val="33D11142"/>
    <w:rsid w:val="33D11A1E"/>
    <w:rsid w:val="33E91882"/>
    <w:rsid w:val="33F24A86"/>
    <w:rsid w:val="33F8070C"/>
    <w:rsid w:val="3404068C"/>
    <w:rsid w:val="340C3D9A"/>
    <w:rsid w:val="342310E4"/>
    <w:rsid w:val="343C24E1"/>
    <w:rsid w:val="34457564"/>
    <w:rsid w:val="34553D29"/>
    <w:rsid w:val="346A0AC1"/>
    <w:rsid w:val="346C2AF7"/>
    <w:rsid w:val="34811922"/>
    <w:rsid w:val="34917CAB"/>
    <w:rsid w:val="349B0265"/>
    <w:rsid w:val="34A25135"/>
    <w:rsid w:val="34A36B6F"/>
    <w:rsid w:val="34B13DF2"/>
    <w:rsid w:val="34B96BDC"/>
    <w:rsid w:val="34D203FA"/>
    <w:rsid w:val="34D348B8"/>
    <w:rsid w:val="34D6134E"/>
    <w:rsid w:val="34D813D8"/>
    <w:rsid w:val="34DB685E"/>
    <w:rsid w:val="34E658C5"/>
    <w:rsid w:val="34EC1397"/>
    <w:rsid w:val="34FA72AC"/>
    <w:rsid w:val="350E11D3"/>
    <w:rsid w:val="3512485D"/>
    <w:rsid w:val="35207836"/>
    <w:rsid w:val="352B46F4"/>
    <w:rsid w:val="353A2099"/>
    <w:rsid w:val="353B53F1"/>
    <w:rsid w:val="353D61D5"/>
    <w:rsid w:val="35511EF0"/>
    <w:rsid w:val="355C6381"/>
    <w:rsid w:val="356B2D42"/>
    <w:rsid w:val="356C4852"/>
    <w:rsid w:val="35773495"/>
    <w:rsid w:val="36184525"/>
    <w:rsid w:val="361A0FA2"/>
    <w:rsid w:val="36655CAB"/>
    <w:rsid w:val="366E244F"/>
    <w:rsid w:val="36727CC7"/>
    <w:rsid w:val="36740F40"/>
    <w:rsid w:val="369055B0"/>
    <w:rsid w:val="369B18B9"/>
    <w:rsid w:val="36A26C14"/>
    <w:rsid w:val="36A93383"/>
    <w:rsid w:val="36AA5201"/>
    <w:rsid w:val="36AC5AB1"/>
    <w:rsid w:val="36BC5B6B"/>
    <w:rsid w:val="36D34894"/>
    <w:rsid w:val="36DD737D"/>
    <w:rsid w:val="36E63C98"/>
    <w:rsid w:val="36F4428E"/>
    <w:rsid w:val="37011180"/>
    <w:rsid w:val="37011845"/>
    <w:rsid w:val="3709016E"/>
    <w:rsid w:val="3715322A"/>
    <w:rsid w:val="37153B3A"/>
    <w:rsid w:val="37166D54"/>
    <w:rsid w:val="3727419D"/>
    <w:rsid w:val="372C13D9"/>
    <w:rsid w:val="37463FF3"/>
    <w:rsid w:val="374E715A"/>
    <w:rsid w:val="376527CB"/>
    <w:rsid w:val="376A2CC1"/>
    <w:rsid w:val="37812B9D"/>
    <w:rsid w:val="37884EA7"/>
    <w:rsid w:val="378B76CC"/>
    <w:rsid w:val="3795570B"/>
    <w:rsid w:val="37A500F2"/>
    <w:rsid w:val="37E62B54"/>
    <w:rsid w:val="37F46DA2"/>
    <w:rsid w:val="380217E9"/>
    <w:rsid w:val="3805642C"/>
    <w:rsid w:val="382656F6"/>
    <w:rsid w:val="3852030E"/>
    <w:rsid w:val="38545F3D"/>
    <w:rsid w:val="385639A3"/>
    <w:rsid w:val="38710670"/>
    <w:rsid w:val="38872AC5"/>
    <w:rsid w:val="38AF73EA"/>
    <w:rsid w:val="38B03021"/>
    <w:rsid w:val="38C519CF"/>
    <w:rsid w:val="38D6757A"/>
    <w:rsid w:val="392E366E"/>
    <w:rsid w:val="39371642"/>
    <w:rsid w:val="393A417B"/>
    <w:rsid w:val="394C1291"/>
    <w:rsid w:val="39567866"/>
    <w:rsid w:val="39580E43"/>
    <w:rsid w:val="395D0BF4"/>
    <w:rsid w:val="399565E0"/>
    <w:rsid w:val="399824E9"/>
    <w:rsid w:val="399D57D2"/>
    <w:rsid w:val="39A22631"/>
    <w:rsid w:val="39A6412A"/>
    <w:rsid w:val="39A66232"/>
    <w:rsid w:val="39D80EDC"/>
    <w:rsid w:val="39DE6AFE"/>
    <w:rsid w:val="39E07271"/>
    <w:rsid w:val="39E724B2"/>
    <w:rsid w:val="39FD348B"/>
    <w:rsid w:val="3A1E6E1F"/>
    <w:rsid w:val="3A2160C5"/>
    <w:rsid w:val="3A2B0C62"/>
    <w:rsid w:val="3A3A12F7"/>
    <w:rsid w:val="3A404C6B"/>
    <w:rsid w:val="3A557B1D"/>
    <w:rsid w:val="3A8B6D97"/>
    <w:rsid w:val="3A8E088F"/>
    <w:rsid w:val="3A9613AE"/>
    <w:rsid w:val="3AA80595"/>
    <w:rsid w:val="3AB74334"/>
    <w:rsid w:val="3AC46B2F"/>
    <w:rsid w:val="3ADA0F97"/>
    <w:rsid w:val="3ADA4E5D"/>
    <w:rsid w:val="3B041523"/>
    <w:rsid w:val="3B0F0176"/>
    <w:rsid w:val="3B102846"/>
    <w:rsid w:val="3B2F65C0"/>
    <w:rsid w:val="3B4712F0"/>
    <w:rsid w:val="3B4C7454"/>
    <w:rsid w:val="3B516F33"/>
    <w:rsid w:val="3B572FA7"/>
    <w:rsid w:val="3B64270E"/>
    <w:rsid w:val="3B787F67"/>
    <w:rsid w:val="3B916482"/>
    <w:rsid w:val="3B95144C"/>
    <w:rsid w:val="3BB275DB"/>
    <w:rsid w:val="3BB358D4"/>
    <w:rsid w:val="3BB74D38"/>
    <w:rsid w:val="3BB96CDC"/>
    <w:rsid w:val="3BBF0321"/>
    <w:rsid w:val="3BD02D4C"/>
    <w:rsid w:val="3BDF73F8"/>
    <w:rsid w:val="3BF027DE"/>
    <w:rsid w:val="3BFA6BCE"/>
    <w:rsid w:val="3C4165AB"/>
    <w:rsid w:val="3C4960AA"/>
    <w:rsid w:val="3C566572"/>
    <w:rsid w:val="3C62760B"/>
    <w:rsid w:val="3C651E77"/>
    <w:rsid w:val="3C7559B6"/>
    <w:rsid w:val="3C767C8E"/>
    <w:rsid w:val="3C8574F8"/>
    <w:rsid w:val="3C8C6973"/>
    <w:rsid w:val="3C9E39FD"/>
    <w:rsid w:val="3CA26136"/>
    <w:rsid w:val="3CCF7E30"/>
    <w:rsid w:val="3CD05BA2"/>
    <w:rsid w:val="3CE70BE7"/>
    <w:rsid w:val="3CE75975"/>
    <w:rsid w:val="3CFA4AC8"/>
    <w:rsid w:val="3CFE26EE"/>
    <w:rsid w:val="3D091EED"/>
    <w:rsid w:val="3D17730C"/>
    <w:rsid w:val="3D1C42B4"/>
    <w:rsid w:val="3D3046CF"/>
    <w:rsid w:val="3D332398"/>
    <w:rsid w:val="3D432C51"/>
    <w:rsid w:val="3D5E0746"/>
    <w:rsid w:val="3D96772E"/>
    <w:rsid w:val="3D9F5DA2"/>
    <w:rsid w:val="3DA71D61"/>
    <w:rsid w:val="3DEA460C"/>
    <w:rsid w:val="3DF956F9"/>
    <w:rsid w:val="3E0569D8"/>
    <w:rsid w:val="3E0B372D"/>
    <w:rsid w:val="3E22580F"/>
    <w:rsid w:val="3E4608B3"/>
    <w:rsid w:val="3E646DF3"/>
    <w:rsid w:val="3E6D18D9"/>
    <w:rsid w:val="3E6F5651"/>
    <w:rsid w:val="3E7013C9"/>
    <w:rsid w:val="3E7036C1"/>
    <w:rsid w:val="3E805F39"/>
    <w:rsid w:val="3E8D1F7B"/>
    <w:rsid w:val="3E8D60F8"/>
    <w:rsid w:val="3E9A5CCE"/>
    <w:rsid w:val="3E9C5AA9"/>
    <w:rsid w:val="3EA044E7"/>
    <w:rsid w:val="3EA370A9"/>
    <w:rsid w:val="3EAD7215"/>
    <w:rsid w:val="3EBD28FC"/>
    <w:rsid w:val="3ECB22DC"/>
    <w:rsid w:val="3ED71A22"/>
    <w:rsid w:val="3EE11BF9"/>
    <w:rsid w:val="3EEE74A7"/>
    <w:rsid w:val="3F005F77"/>
    <w:rsid w:val="3F0A48B4"/>
    <w:rsid w:val="3F150776"/>
    <w:rsid w:val="3F475C17"/>
    <w:rsid w:val="3F484CE3"/>
    <w:rsid w:val="3F572D6A"/>
    <w:rsid w:val="3F665E1E"/>
    <w:rsid w:val="3F6E4AFF"/>
    <w:rsid w:val="3F744824"/>
    <w:rsid w:val="3F786788"/>
    <w:rsid w:val="3F7C6630"/>
    <w:rsid w:val="3F8811D3"/>
    <w:rsid w:val="3F896A3F"/>
    <w:rsid w:val="3FA22F1C"/>
    <w:rsid w:val="3FB51764"/>
    <w:rsid w:val="3FCE4814"/>
    <w:rsid w:val="3FDA3396"/>
    <w:rsid w:val="3FE60119"/>
    <w:rsid w:val="400010CF"/>
    <w:rsid w:val="4007456B"/>
    <w:rsid w:val="400C6A15"/>
    <w:rsid w:val="401914D7"/>
    <w:rsid w:val="40216F18"/>
    <w:rsid w:val="4022617C"/>
    <w:rsid w:val="402C3E5F"/>
    <w:rsid w:val="40441617"/>
    <w:rsid w:val="405B30E2"/>
    <w:rsid w:val="4066762F"/>
    <w:rsid w:val="40687C0A"/>
    <w:rsid w:val="406C4F6B"/>
    <w:rsid w:val="406E215E"/>
    <w:rsid w:val="407077FC"/>
    <w:rsid w:val="40885CFC"/>
    <w:rsid w:val="408A04C2"/>
    <w:rsid w:val="40972C3D"/>
    <w:rsid w:val="409F5F96"/>
    <w:rsid w:val="40A11D0E"/>
    <w:rsid w:val="40A66866"/>
    <w:rsid w:val="40A92971"/>
    <w:rsid w:val="40B50BA7"/>
    <w:rsid w:val="40C34607"/>
    <w:rsid w:val="40C444AC"/>
    <w:rsid w:val="40C8729B"/>
    <w:rsid w:val="40CB7559"/>
    <w:rsid w:val="40D8005F"/>
    <w:rsid w:val="40D81BCC"/>
    <w:rsid w:val="40E3605B"/>
    <w:rsid w:val="40E816EB"/>
    <w:rsid w:val="40EA2AC6"/>
    <w:rsid w:val="40F301A1"/>
    <w:rsid w:val="412070D7"/>
    <w:rsid w:val="4125649B"/>
    <w:rsid w:val="412935A8"/>
    <w:rsid w:val="413E65A9"/>
    <w:rsid w:val="414002E4"/>
    <w:rsid w:val="41523008"/>
    <w:rsid w:val="41600FE2"/>
    <w:rsid w:val="41601239"/>
    <w:rsid w:val="41625FC0"/>
    <w:rsid w:val="416C18D4"/>
    <w:rsid w:val="416D0FF6"/>
    <w:rsid w:val="418C2B90"/>
    <w:rsid w:val="41923943"/>
    <w:rsid w:val="41A55381"/>
    <w:rsid w:val="41A945C9"/>
    <w:rsid w:val="41C85B0C"/>
    <w:rsid w:val="41CD0A97"/>
    <w:rsid w:val="41D20116"/>
    <w:rsid w:val="41E24694"/>
    <w:rsid w:val="420E6542"/>
    <w:rsid w:val="420F5F84"/>
    <w:rsid w:val="42106CC9"/>
    <w:rsid w:val="4212697D"/>
    <w:rsid w:val="42235F66"/>
    <w:rsid w:val="425655B2"/>
    <w:rsid w:val="425F3C2F"/>
    <w:rsid w:val="42620EA3"/>
    <w:rsid w:val="427054CC"/>
    <w:rsid w:val="42731488"/>
    <w:rsid w:val="427767A6"/>
    <w:rsid w:val="42A130FB"/>
    <w:rsid w:val="42A62905"/>
    <w:rsid w:val="42B2542B"/>
    <w:rsid w:val="42C82D73"/>
    <w:rsid w:val="42D15918"/>
    <w:rsid w:val="42D77676"/>
    <w:rsid w:val="42D97164"/>
    <w:rsid w:val="42DB29E8"/>
    <w:rsid w:val="42DD5DF7"/>
    <w:rsid w:val="42DE01FF"/>
    <w:rsid w:val="42E53166"/>
    <w:rsid w:val="42E629D6"/>
    <w:rsid w:val="42F00837"/>
    <w:rsid w:val="42F73E67"/>
    <w:rsid w:val="430171B0"/>
    <w:rsid w:val="4308107D"/>
    <w:rsid w:val="43137895"/>
    <w:rsid w:val="4319202D"/>
    <w:rsid w:val="432423CA"/>
    <w:rsid w:val="43306B09"/>
    <w:rsid w:val="43317C5A"/>
    <w:rsid w:val="433A234A"/>
    <w:rsid w:val="433C7294"/>
    <w:rsid w:val="43450E3B"/>
    <w:rsid w:val="43471255"/>
    <w:rsid w:val="43492730"/>
    <w:rsid w:val="43612C17"/>
    <w:rsid w:val="436335C1"/>
    <w:rsid w:val="437A03B0"/>
    <w:rsid w:val="43A309ED"/>
    <w:rsid w:val="43B104BA"/>
    <w:rsid w:val="43B52EB0"/>
    <w:rsid w:val="43BC74FF"/>
    <w:rsid w:val="43C505C7"/>
    <w:rsid w:val="43D50AAC"/>
    <w:rsid w:val="43FA3C0F"/>
    <w:rsid w:val="43FB34E3"/>
    <w:rsid w:val="4403419F"/>
    <w:rsid w:val="440D3DE2"/>
    <w:rsid w:val="441311AD"/>
    <w:rsid w:val="44184399"/>
    <w:rsid w:val="441B033A"/>
    <w:rsid w:val="441B2290"/>
    <w:rsid w:val="441F48E6"/>
    <w:rsid w:val="44206DF4"/>
    <w:rsid w:val="44316F05"/>
    <w:rsid w:val="445631E2"/>
    <w:rsid w:val="44687E01"/>
    <w:rsid w:val="44800C70"/>
    <w:rsid w:val="44866B62"/>
    <w:rsid w:val="448A0CEA"/>
    <w:rsid w:val="44911E58"/>
    <w:rsid w:val="44A1314C"/>
    <w:rsid w:val="44BA2889"/>
    <w:rsid w:val="44D00F78"/>
    <w:rsid w:val="44D9608F"/>
    <w:rsid w:val="44DD79AD"/>
    <w:rsid w:val="44F6411C"/>
    <w:rsid w:val="44FB7075"/>
    <w:rsid w:val="44FE579E"/>
    <w:rsid w:val="45095F8B"/>
    <w:rsid w:val="45177397"/>
    <w:rsid w:val="451C7A07"/>
    <w:rsid w:val="451D3D48"/>
    <w:rsid w:val="452F6DA5"/>
    <w:rsid w:val="45326C04"/>
    <w:rsid w:val="453D0A05"/>
    <w:rsid w:val="45433394"/>
    <w:rsid w:val="45470A25"/>
    <w:rsid w:val="455117BC"/>
    <w:rsid w:val="45826D5F"/>
    <w:rsid w:val="45921C25"/>
    <w:rsid w:val="45922F2E"/>
    <w:rsid w:val="459C154F"/>
    <w:rsid w:val="459C379E"/>
    <w:rsid w:val="45AA3413"/>
    <w:rsid w:val="45B730F5"/>
    <w:rsid w:val="45DF0041"/>
    <w:rsid w:val="45ED14D1"/>
    <w:rsid w:val="46054AED"/>
    <w:rsid w:val="460F4C9E"/>
    <w:rsid w:val="46183AC4"/>
    <w:rsid w:val="461865CE"/>
    <w:rsid w:val="461B1C1B"/>
    <w:rsid w:val="461F626B"/>
    <w:rsid w:val="46233ABA"/>
    <w:rsid w:val="4624161A"/>
    <w:rsid w:val="46314F59"/>
    <w:rsid w:val="46325936"/>
    <w:rsid w:val="463D6EAB"/>
    <w:rsid w:val="464A0179"/>
    <w:rsid w:val="464C6278"/>
    <w:rsid w:val="467852BF"/>
    <w:rsid w:val="467A0A80"/>
    <w:rsid w:val="468C783F"/>
    <w:rsid w:val="469E0B1C"/>
    <w:rsid w:val="46C43DFD"/>
    <w:rsid w:val="46C658DD"/>
    <w:rsid w:val="46F71572"/>
    <w:rsid w:val="46FC7C9E"/>
    <w:rsid w:val="46FD7572"/>
    <w:rsid w:val="470003BA"/>
    <w:rsid w:val="47231559"/>
    <w:rsid w:val="472E6612"/>
    <w:rsid w:val="47336D14"/>
    <w:rsid w:val="474C15B1"/>
    <w:rsid w:val="4759118F"/>
    <w:rsid w:val="475C70B8"/>
    <w:rsid w:val="47854E26"/>
    <w:rsid w:val="4786218B"/>
    <w:rsid w:val="4789404B"/>
    <w:rsid w:val="478A66E1"/>
    <w:rsid w:val="478B0235"/>
    <w:rsid w:val="479B31C4"/>
    <w:rsid w:val="479D2478"/>
    <w:rsid w:val="47AD4BE7"/>
    <w:rsid w:val="47C014D4"/>
    <w:rsid w:val="47C912A4"/>
    <w:rsid w:val="47EC0B8D"/>
    <w:rsid w:val="47F14A01"/>
    <w:rsid w:val="48147D66"/>
    <w:rsid w:val="481B1237"/>
    <w:rsid w:val="481F46B4"/>
    <w:rsid w:val="482D61EC"/>
    <w:rsid w:val="48453119"/>
    <w:rsid w:val="48684EBF"/>
    <w:rsid w:val="48692623"/>
    <w:rsid w:val="486C5637"/>
    <w:rsid w:val="487440EF"/>
    <w:rsid w:val="487D1316"/>
    <w:rsid w:val="48930CED"/>
    <w:rsid w:val="48B53457"/>
    <w:rsid w:val="48D163DC"/>
    <w:rsid w:val="48D502BA"/>
    <w:rsid w:val="48DB397A"/>
    <w:rsid w:val="48F13107"/>
    <w:rsid w:val="490512C2"/>
    <w:rsid w:val="490E6F34"/>
    <w:rsid w:val="490F253E"/>
    <w:rsid w:val="491B39F4"/>
    <w:rsid w:val="49305983"/>
    <w:rsid w:val="49393C16"/>
    <w:rsid w:val="4960577A"/>
    <w:rsid w:val="496F29A9"/>
    <w:rsid w:val="497118A5"/>
    <w:rsid w:val="49714FD0"/>
    <w:rsid w:val="497B202F"/>
    <w:rsid w:val="497B6643"/>
    <w:rsid w:val="49983070"/>
    <w:rsid w:val="49AD60D6"/>
    <w:rsid w:val="49D96D5F"/>
    <w:rsid w:val="49E13CAB"/>
    <w:rsid w:val="4A2B69D7"/>
    <w:rsid w:val="4A3B0DB6"/>
    <w:rsid w:val="4A413409"/>
    <w:rsid w:val="4A432B78"/>
    <w:rsid w:val="4A4F3F6E"/>
    <w:rsid w:val="4A510770"/>
    <w:rsid w:val="4A5D6850"/>
    <w:rsid w:val="4A6C14BA"/>
    <w:rsid w:val="4A6F4ABD"/>
    <w:rsid w:val="4A7F6351"/>
    <w:rsid w:val="4A7F7F08"/>
    <w:rsid w:val="4A8A0B14"/>
    <w:rsid w:val="4AA159FA"/>
    <w:rsid w:val="4AA30431"/>
    <w:rsid w:val="4AA8740F"/>
    <w:rsid w:val="4ABD0B17"/>
    <w:rsid w:val="4AC77230"/>
    <w:rsid w:val="4ACF1E78"/>
    <w:rsid w:val="4B035255"/>
    <w:rsid w:val="4B044DE2"/>
    <w:rsid w:val="4B061E6B"/>
    <w:rsid w:val="4B062BFE"/>
    <w:rsid w:val="4B421A54"/>
    <w:rsid w:val="4B431732"/>
    <w:rsid w:val="4B4E04D0"/>
    <w:rsid w:val="4B4F0BFF"/>
    <w:rsid w:val="4B6D1217"/>
    <w:rsid w:val="4B7E0D23"/>
    <w:rsid w:val="4B9E6EE0"/>
    <w:rsid w:val="4BA546C2"/>
    <w:rsid w:val="4BA54A8E"/>
    <w:rsid w:val="4BBD05CA"/>
    <w:rsid w:val="4BC46989"/>
    <w:rsid w:val="4BE90A20"/>
    <w:rsid w:val="4C015B4F"/>
    <w:rsid w:val="4C0356AB"/>
    <w:rsid w:val="4C085377"/>
    <w:rsid w:val="4C2757BD"/>
    <w:rsid w:val="4C385C4C"/>
    <w:rsid w:val="4C4C72A5"/>
    <w:rsid w:val="4C61748B"/>
    <w:rsid w:val="4C763CF9"/>
    <w:rsid w:val="4C8D502F"/>
    <w:rsid w:val="4C8E0C2E"/>
    <w:rsid w:val="4CA36A56"/>
    <w:rsid w:val="4CA55CB8"/>
    <w:rsid w:val="4CAD452A"/>
    <w:rsid w:val="4CB21034"/>
    <w:rsid w:val="4CC03C95"/>
    <w:rsid w:val="4CD06E80"/>
    <w:rsid w:val="4CE639B0"/>
    <w:rsid w:val="4CEF5BAF"/>
    <w:rsid w:val="4CF748BC"/>
    <w:rsid w:val="4CFC6875"/>
    <w:rsid w:val="4D0E3C26"/>
    <w:rsid w:val="4D104631"/>
    <w:rsid w:val="4D1566DC"/>
    <w:rsid w:val="4D357D25"/>
    <w:rsid w:val="4D3A3E8E"/>
    <w:rsid w:val="4D5511F8"/>
    <w:rsid w:val="4D6B51CA"/>
    <w:rsid w:val="4D6E11CA"/>
    <w:rsid w:val="4D8551EB"/>
    <w:rsid w:val="4D8834DB"/>
    <w:rsid w:val="4DA1334D"/>
    <w:rsid w:val="4DA53207"/>
    <w:rsid w:val="4DB071FA"/>
    <w:rsid w:val="4DC64B94"/>
    <w:rsid w:val="4DC96B69"/>
    <w:rsid w:val="4DF07467"/>
    <w:rsid w:val="4DF456D0"/>
    <w:rsid w:val="4DF711BF"/>
    <w:rsid w:val="4E1124EE"/>
    <w:rsid w:val="4E1847E7"/>
    <w:rsid w:val="4E193BF2"/>
    <w:rsid w:val="4E26294E"/>
    <w:rsid w:val="4E2A1640"/>
    <w:rsid w:val="4E586596"/>
    <w:rsid w:val="4E865377"/>
    <w:rsid w:val="4E8866DA"/>
    <w:rsid w:val="4E9F3141"/>
    <w:rsid w:val="4EBC274F"/>
    <w:rsid w:val="4EBF1486"/>
    <w:rsid w:val="4EC062D0"/>
    <w:rsid w:val="4EC460E2"/>
    <w:rsid w:val="4ECB68D5"/>
    <w:rsid w:val="4EE346C3"/>
    <w:rsid w:val="4EED234D"/>
    <w:rsid w:val="4F0168BF"/>
    <w:rsid w:val="4F1A3BDC"/>
    <w:rsid w:val="4F332BAD"/>
    <w:rsid w:val="4F36695D"/>
    <w:rsid w:val="4F39238A"/>
    <w:rsid w:val="4F3E5630"/>
    <w:rsid w:val="4F5D32A4"/>
    <w:rsid w:val="4F632C03"/>
    <w:rsid w:val="4F8D40DB"/>
    <w:rsid w:val="4F8E16AF"/>
    <w:rsid w:val="4F9273F2"/>
    <w:rsid w:val="4F977ABB"/>
    <w:rsid w:val="4FA5315B"/>
    <w:rsid w:val="4FB04568"/>
    <w:rsid w:val="4FBC72F1"/>
    <w:rsid w:val="4FC1002A"/>
    <w:rsid w:val="4FC7054C"/>
    <w:rsid w:val="4FD25A40"/>
    <w:rsid w:val="4FF87792"/>
    <w:rsid w:val="501620F3"/>
    <w:rsid w:val="504C0A3B"/>
    <w:rsid w:val="50753D27"/>
    <w:rsid w:val="507A3DB4"/>
    <w:rsid w:val="509542A0"/>
    <w:rsid w:val="509B22D6"/>
    <w:rsid w:val="50A845CE"/>
    <w:rsid w:val="50AE5BBD"/>
    <w:rsid w:val="50BD7E7B"/>
    <w:rsid w:val="50C25AB5"/>
    <w:rsid w:val="50F85490"/>
    <w:rsid w:val="511621A9"/>
    <w:rsid w:val="511D7CAD"/>
    <w:rsid w:val="51295B34"/>
    <w:rsid w:val="512A7764"/>
    <w:rsid w:val="513D6936"/>
    <w:rsid w:val="513D7062"/>
    <w:rsid w:val="51431C53"/>
    <w:rsid w:val="516C6A0D"/>
    <w:rsid w:val="517A634E"/>
    <w:rsid w:val="5181771E"/>
    <w:rsid w:val="51AD129E"/>
    <w:rsid w:val="51C70402"/>
    <w:rsid w:val="51F467CB"/>
    <w:rsid w:val="52096BB8"/>
    <w:rsid w:val="52120A08"/>
    <w:rsid w:val="521F007E"/>
    <w:rsid w:val="523367C5"/>
    <w:rsid w:val="523F1E03"/>
    <w:rsid w:val="525E3EEE"/>
    <w:rsid w:val="5261734A"/>
    <w:rsid w:val="52B20616"/>
    <w:rsid w:val="52BA5F77"/>
    <w:rsid w:val="52C726B0"/>
    <w:rsid w:val="52DF533E"/>
    <w:rsid w:val="52E066CA"/>
    <w:rsid w:val="52E62FCC"/>
    <w:rsid w:val="53023555"/>
    <w:rsid w:val="531766E5"/>
    <w:rsid w:val="5318425C"/>
    <w:rsid w:val="533508A0"/>
    <w:rsid w:val="534D02EF"/>
    <w:rsid w:val="534D53DE"/>
    <w:rsid w:val="53533B18"/>
    <w:rsid w:val="53591993"/>
    <w:rsid w:val="535F0552"/>
    <w:rsid w:val="53630835"/>
    <w:rsid w:val="5370018E"/>
    <w:rsid w:val="53801621"/>
    <w:rsid w:val="538B0BC7"/>
    <w:rsid w:val="538B40CF"/>
    <w:rsid w:val="53B51196"/>
    <w:rsid w:val="53D119A7"/>
    <w:rsid w:val="53E06DED"/>
    <w:rsid w:val="540C56E6"/>
    <w:rsid w:val="54177F2A"/>
    <w:rsid w:val="542E67D7"/>
    <w:rsid w:val="54305749"/>
    <w:rsid w:val="54401F05"/>
    <w:rsid w:val="546D6E4F"/>
    <w:rsid w:val="54997919"/>
    <w:rsid w:val="54B425B4"/>
    <w:rsid w:val="54BB65B7"/>
    <w:rsid w:val="54BD22F6"/>
    <w:rsid w:val="54C65448"/>
    <w:rsid w:val="54CD2479"/>
    <w:rsid w:val="54CD2A46"/>
    <w:rsid w:val="54E310D2"/>
    <w:rsid w:val="54ED446D"/>
    <w:rsid w:val="54EE3D97"/>
    <w:rsid w:val="54F104AF"/>
    <w:rsid w:val="54FD6CAA"/>
    <w:rsid w:val="551D59AF"/>
    <w:rsid w:val="55345D87"/>
    <w:rsid w:val="556526ED"/>
    <w:rsid w:val="55A60FB5"/>
    <w:rsid w:val="55A76503"/>
    <w:rsid w:val="55A87A53"/>
    <w:rsid w:val="55B670AB"/>
    <w:rsid w:val="55D41DE6"/>
    <w:rsid w:val="55D56DC0"/>
    <w:rsid w:val="55D81FF1"/>
    <w:rsid w:val="56062000"/>
    <w:rsid w:val="560C7765"/>
    <w:rsid w:val="56166407"/>
    <w:rsid w:val="56182109"/>
    <w:rsid w:val="56193E1A"/>
    <w:rsid w:val="562123F5"/>
    <w:rsid w:val="56242D6E"/>
    <w:rsid w:val="562855F0"/>
    <w:rsid w:val="56361813"/>
    <w:rsid w:val="56467A8D"/>
    <w:rsid w:val="564B7885"/>
    <w:rsid w:val="56530BFB"/>
    <w:rsid w:val="56557F2A"/>
    <w:rsid w:val="5664269D"/>
    <w:rsid w:val="56652877"/>
    <w:rsid w:val="566C2061"/>
    <w:rsid w:val="566E5C93"/>
    <w:rsid w:val="5680063F"/>
    <w:rsid w:val="568216F5"/>
    <w:rsid w:val="568F468B"/>
    <w:rsid w:val="56944FF7"/>
    <w:rsid w:val="56955A19"/>
    <w:rsid w:val="569C2904"/>
    <w:rsid w:val="569C78AC"/>
    <w:rsid w:val="56A40851"/>
    <w:rsid w:val="56A53E28"/>
    <w:rsid w:val="56B3209D"/>
    <w:rsid w:val="56B50B18"/>
    <w:rsid w:val="56D730D8"/>
    <w:rsid w:val="56D872FE"/>
    <w:rsid w:val="56E524FD"/>
    <w:rsid w:val="56EF559C"/>
    <w:rsid w:val="57007337"/>
    <w:rsid w:val="572B6068"/>
    <w:rsid w:val="572C75A3"/>
    <w:rsid w:val="575572FA"/>
    <w:rsid w:val="57585553"/>
    <w:rsid w:val="57813D4D"/>
    <w:rsid w:val="57884098"/>
    <w:rsid w:val="578B2830"/>
    <w:rsid w:val="578F038A"/>
    <w:rsid w:val="579B51E2"/>
    <w:rsid w:val="57A71098"/>
    <w:rsid w:val="57A96060"/>
    <w:rsid w:val="57AC622D"/>
    <w:rsid w:val="57C55E8A"/>
    <w:rsid w:val="57E12249"/>
    <w:rsid w:val="57E75E01"/>
    <w:rsid w:val="57EE3AD2"/>
    <w:rsid w:val="57F81EB5"/>
    <w:rsid w:val="5813309A"/>
    <w:rsid w:val="5820641F"/>
    <w:rsid w:val="58367653"/>
    <w:rsid w:val="584F7701"/>
    <w:rsid w:val="585A1E2F"/>
    <w:rsid w:val="589950B6"/>
    <w:rsid w:val="58A1428B"/>
    <w:rsid w:val="58A36AD4"/>
    <w:rsid w:val="58B12520"/>
    <w:rsid w:val="58B303D9"/>
    <w:rsid w:val="58C04415"/>
    <w:rsid w:val="58CA7BFC"/>
    <w:rsid w:val="58EE5B7D"/>
    <w:rsid w:val="58F453D4"/>
    <w:rsid w:val="58FF103C"/>
    <w:rsid w:val="58FF12EC"/>
    <w:rsid w:val="59182A41"/>
    <w:rsid w:val="591A273A"/>
    <w:rsid w:val="59321999"/>
    <w:rsid w:val="594F1EAF"/>
    <w:rsid w:val="596610AC"/>
    <w:rsid w:val="59670D9F"/>
    <w:rsid w:val="597441DC"/>
    <w:rsid w:val="59974B92"/>
    <w:rsid w:val="599C6F14"/>
    <w:rsid w:val="59A55F73"/>
    <w:rsid w:val="59BB461D"/>
    <w:rsid w:val="59DF580C"/>
    <w:rsid w:val="59E04C73"/>
    <w:rsid w:val="59E26AC7"/>
    <w:rsid w:val="59E834B0"/>
    <w:rsid w:val="59EF059B"/>
    <w:rsid w:val="59F24B99"/>
    <w:rsid w:val="59FC23B2"/>
    <w:rsid w:val="5A0C1B4F"/>
    <w:rsid w:val="5A36511C"/>
    <w:rsid w:val="5A416DDE"/>
    <w:rsid w:val="5A4246F1"/>
    <w:rsid w:val="5A4969BC"/>
    <w:rsid w:val="5A517EA9"/>
    <w:rsid w:val="5A962961"/>
    <w:rsid w:val="5A9D308F"/>
    <w:rsid w:val="5AA84DCF"/>
    <w:rsid w:val="5AB3646E"/>
    <w:rsid w:val="5ABF4E13"/>
    <w:rsid w:val="5ABF7882"/>
    <w:rsid w:val="5AD3593E"/>
    <w:rsid w:val="5AE54EB9"/>
    <w:rsid w:val="5AEA5B1B"/>
    <w:rsid w:val="5AFD6FDA"/>
    <w:rsid w:val="5B0B0058"/>
    <w:rsid w:val="5B0C17A4"/>
    <w:rsid w:val="5B2714AA"/>
    <w:rsid w:val="5B337221"/>
    <w:rsid w:val="5B4938C7"/>
    <w:rsid w:val="5B5A58B4"/>
    <w:rsid w:val="5B62245C"/>
    <w:rsid w:val="5B637E94"/>
    <w:rsid w:val="5B73308B"/>
    <w:rsid w:val="5B786E37"/>
    <w:rsid w:val="5B8322E4"/>
    <w:rsid w:val="5B881FF3"/>
    <w:rsid w:val="5B9849BD"/>
    <w:rsid w:val="5BCD355F"/>
    <w:rsid w:val="5BD668B8"/>
    <w:rsid w:val="5BE54CA1"/>
    <w:rsid w:val="5BEA432A"/>
    <w:rsid w:val="5C0C3140"/>
    <w:rsid w:val="5C1543A0"/>
    <w:rsid w:val="5C194941"/>
    <w:rsid w:val="5C197DE1"/>
    <w:rsid w:val="5C237623"/>
    <w:rsid w:val="5C2B4F30"/>
    <w:rsid w:val="5C5E233B"/>
    <w:rsid w:val="5C637FF5"/>
    <w:rsid w:val="5C6778DA"/>
    <w:rsid w:val="5C807DFE"/>
    <w:rsid w:val="5C822DE4"/>
    <w:rsid w:val="5C887487"/>
    <w:rsid w:val="5C960217"/>
    <w:rsid w:val="5C9A2DCD"/>
    <w:rsid w:val="5C9C75B0"/>
    <w:rsid w:val="5CA32680"/>
    <w:rsid w:val="5CA52976"/>
    <w:rsid w:val="5CBA121E"/>
    <w:rsid w:val="5CC17175"/>
    <w:rsid w:val="5CCE5B09"/>
    <w:rsid w:val="5CD40AD7"/>
    <w:rsid w:val="5CE0071B"/>
    <w:rsid w:val="5CF33FCE"/>
    <w:rsid w:val="5CFA704D"/>
    <w:rsid w:val="5D0D0126"/>
    <w:rsid w:val="5D186C36"/>
    <w:rsid w:val="5D1D26EC"/>
    <w:rsid w:val="5D1E00BD"/>
    <w:rsid w:val="5D1F1498"/>
    <w:rsid w:val="5D4E75ED"/>
    <w:rsid w:val="5D55562F"/>
    <w:rsid w:val="5D573BC5"/>
    <w:rsid w:val="5D5B768C"/>
    <w:rsid w:val="5D6F0C92"/>
    <w:rsid w:val="5D723A12"/>
    <w:rsid w:val="5D881E89"/>
    <w:rsid w:val="5D8F42F6"/>
    <w:rsid w:val="5DA50A7F"/>
    <w:rsid w:val="5DBE58B9"/>
    <w:rsid w:val="5DC2330E"/>
    <w:rsid w:val="5DC2343A"/>
    <w:rsid w:val="5DCE7DB0"/>
    <w:rsid w:val="5DDA01AF"/>
    <w:rsid w:val="5DDF3501"/>
    <w:rsid w:val="5DFA4C08"/>
    <w:rsid w:val="5E2B7E4B"/>
    <w:rsid w:val="5E392107"/>
    <w:rsid w:val="5E4D08AF"/>
    <w:rsid w:val="5E4F2952"/>
    <w:rsid w:val="5E696A39"/>
    <w:rsid w:val="5E6C52B2"/>
    <w:rsid w:val="5E714572"/>
    <w:rsid w:val="5E856C09"/>
    <w:rsid w:val="5E8B6D01"/>
    <w:rsid w:val="5EAD16FA"/>
    <w:rsid w:val="5EAE3550"/>
    <w:rsid w:val="5ECA608F"/>
    <w:rsid w:val="5ED517DA"/>
    <w:rsid w:val="5EE77A68"/>
    <w:rsid w:val="5EEE3F19"/>
    <w:rsid w:val="5EF138BE"/>
    <w:rsid w:val="5F046678"/>
    <w:rsid w:val="5F155949"/>
    <w:rsid w:val="5F1871E8"/>
    <w:rsid w:val="5F2D65DF"/>
    <w:rsid w:val="5F3B175D"/>
    <w:rsid w:val="5F3D0F4D"/>
    <w:rsid w:val="5F4366D9"/>
    <w:rsid w:val="5F494F25"/>
    <w:rsid w:val="5F4960EB"/>
    <w:rsid w:val="5F540F75"/>
    <w:rsid w:val="5F5D012D"/>
    <w:rsid w:val="5F622211"/>
    <w:rsid w:val="5F681F1D"/>
    <w:rsid w:val="5F7A657A"/>
    <w:rsid w:val="5F7B6664"/>
    <w:rsid w:val="5F816B3B"/>
    <w:rsid w:val="5F922B50"/>
    <w:rsid w:val="5F977F6F"/>
    <w:rsid w:val="5FA21AE6"/>
    <w:rsid w:val="5FB23198"/>
    <w:rsid w:val="5FBA69EA"/>
    <w:rsid w:val="5FDA18C8"/>
    <w:rsid w:val="5FE265EC"/>
    <w:rsid w:val="5FF75C40"/>
    <w:rsid w:val="5FFB2605"/>
    <w:rsid w:val="601278F7"/>
    <w:rsid w:val="601C4D80"/>
    <w:rsid w:val="60216DC4"/>
    <w:rsid w:val="602A0293"/>
    <w:rsid w:val="60342CC3"/>
    <w:rsid w:val="60364739"/>
    <w:rsid w:val="603B5FDD"/>
    <w:rsid w:val="60415BBE"/>
    <w:rsid w:val="605D3104"/>
    <w:rsid w:val="605E171C"/>
    <w:rsid w:val="606325BD"/>
    <w:rsid w:val="606975D5"/>
    <w:rsid w:val="606F3BD7"/>
    <w:rsid w:val="6077748F"/>
    <w:rsid w:val="608A5EC3"/>
    <w:rsid w:val="60A145E6"/>
    <w:rsid w:val="60AA20C1"/>
    <w:rsid w:val="60B07978"/>
    <w:rsid w:val="60B54DEB"/>
    <w:rsid w:val="60C1235D"/>
    <w:rsid w:val="60D70F73"/>
    <w:rsid w:val="60D96503"/>
    <w:rsid w:val="60DF7711"/>
    <w:rsid w:val="60E9018A"/>
    <w:rsid w:val="60F566C0"/>
    <w:rsid w:val="610466BA"/>
    <w:rsid w:val="611F37ED"/>
    <w:rsid w:val="61266A8A"/>
    <w:rsid w:val="613C2129"/>
    <w:rsid w:val="61466780"/>
    <w:rsid w:val="614D4202"/>
    <w:rsid w:val="6158338D"/>
    <w:rsid w:val="615F10FE"/>
    <w:rsid w:val="61826B9A"/>
    <w:rsid w:val="618B5A4F"/>
    <w:rsid w:val="61AE6F66"/>
    <w:rsid w:val="61B53C02"/>
    <w:rsid w:val="61B81119"/>
    <w:rsid w:val="61C34ED2"/>
    <w:rsid w:val="61CE33AD"/>
    <w:rsid w:val="61EF0DEA"/>
    <w:rsid w:val="621E2D67"/>
    <w:rsid w:val="622321E7"/>
    <w:rsid w:val="622A50E5"/>
    <w:rsid w:val="625F4B1E"/>
    <w:rsid w:val="627073D3"/>
    <w:rsid w:val="62AF53E2"/>
    <w:rsid w:val="62C77975"/>
    <w:rsid w:val="62DF77D7"/>
    <w:rsid w:val="62EA7212"/>
    <w:rsid w:val="63046813"/>
    <w:rsid w:val="63070E9E"/>
    <w:rsid w:val="631204B6"/>
    <w:rsid w:val="6313722F"/>
    <w:rsid w:val="63170E8C"/>
    <w:rsid w:val="6329733C"/>
    <w:rsid w:val="63360512"/>
    <w:rsid w:val="63477CB5"/>
    <w:rsid w:val="63525D02"/>
    <w:rsid w:val="636F6295"/>
    <w:rsid w:val="63703B3A"/>
    <w:rsid w:val="638D2401"/>
    <w:rsid w:val="63C74863"/>
    <w:rsid w:val="63CC090D"/>
    <w:rsid w:val="64004E9D"/>
    <w:rsid w:val="64184044"/>
    <w:rsid w:val="642204A6"/>
    <w:rsid w:val="64265F03"/>
    <w:rsid w:val="64273725"/>
    <w:rsid w:val="644545DB"/>
    <w:rsid w:val="647F701D"/>
    <w:rsid w:val="64806903"/>
    <w:rsid w:val="64895B6A"/>
    <w:rsid w:val="64955AF1"/>
    <w:rsid w:val="649E1243"/>
    <w:rsid w:val="64A93764"/>
    <w:rsid w:val="64AE7CC1"/>
    <w:rsid w:val="64B235A1"/>
    <w:rsid w:val="64CF659A"/>
    <w:rsid w:val="64DA0078"/>
    <w:rsid w:val="64DF291C"/>
    <w:rsid w:val="64FD3107"/>
    <w:rsid w:val="65190F15"/>
    <w:rsid w:val="65295CAB"/>
    <w:rsid w:val="654B6900"/>
    <w:rsid w:val="654B7F90"/>
    <w:rsid w:val="65537BAD"/>
    <w:rsid w:val="6554040F"/>
    <w:rsid w:val="657D1B52"/>
    <w:rsid w:val="659747BC"/>
    <w:rsid w:val="659A297A"/>
    <w:rsid w:val="65A04FC1"/>
    <w:rsid w:val="65A06F70"/>
    <w:rsid w:val="65A56818"/>
    <w:rsid w:val="65B732B6"/>
    <w:rsid w:val="65BE1C41"/>
    <w:rsid w:val="65BF482E"/>
    <w:rsid w:val="65C8588F"/>
    <w:rsid w:val="65DB18AB"/>
    <w:rsid w:val="65E848A4"/>
    <w:rsid w:val="65F52031"/>
    <w:rsid w:val="660A5D1F"/>
    <w:rsid w:val="660A7E9D"/>
    <w:rsid w:val="660E6469"/>
    <w:rsid w:val="663E127E"/>
    <w:rsid w:val="665E593F"/>
    <w:rsid w:val="66630D48"/>
    <w:rsid w:val="66706BBF"/>
    <w:rsid w:val="66794BD4"/>
    <w:rsid w:val="668D3420"/>
    <w:rsid w:val="668E14E8"/>
    <w:rsid w:val="66975A5D"/>
    <w:rsid w:val="669A771F"/>
    <w:rsid w:val="669B2BD8"/>
    <w:rsid w:val="66A741D3"/>
    <w:rsid w:val="66A93337"/>
    <w:rsid w:val="66A94687"/>
    <w:rsid w:val="66C043ED"/>
    <w:rsid w:val="66CA30F0"/>
    <w:rsid w:val="66CC6C3E"/>
    <w:rsid w:val="66D159E2"/>
    <w:rsid w:val="66D9647B"/>
    <w:rsid w:val="66DC2EB5"/>
    <w:rsid w:val="66E225B5"/>
    <w:rsid w:val="66E53EED"/>
    <w:rsid w:val="66EB2A4D"/>
    <w:rsid w:val="66F44096"/>
    <w:rsid w:val="670A18CB"/>
    <w:rsid w:val="672359CC"/>
    <w:rsid w:val="672B2964"/>
    <w:rsid w:val="6736552B"/>
    <w:rsid w:val="674C7B54"/>
    <w:rsid w:val="67775419"/>
    <w:rsid w:val="67B55745"/>
    <w:rsid w:val="67C9559A"/>
    <w:rsid w:val="67E05341"/>
    <w:rsid w:val="6808604B"/>
    <w:rsid w:val="680C1862"/>
    <w:rsid w:val="681F32D6"/>
    <w:rsid w:val="68314B08"/>
    <w:rsid w:val="68384926"/>
    <w:rsid w:val="683A0669"/>
    <w:rsid w:val="6845444C"/>
    <w:rsid w:val="684A4382"/>
    <w:rsid w:val="685D33B6"/>
    <w:rsid w:val="68937C8E"/>
    <w:rsid w:val="689515AF"/>
    <w:rsid w:val="689C7A68"/>
    <w:rsid w:val="68A73BCC"/>
    <w:rsid w:val="68A82714"/>
    <w:rsid w:val="68BF0F67"/>
    <w:rsid w:val="68D15539"/>
    <w:rsid w:val="68D369A9"/>
    <w:rsid w:val="68E24D47"/>
    <w:rsid w:val="68EA5751"/>
    <w:rsid w:val="68F91E38"/>
    <w:rsid w:val="690752FD"/>
    <w:rsid w:val="69112CDD"/>
    <w:rsid w:val="691C0834"/>
    <w:rsid w:val="692847E5"/>
    <w:rsid w:val="692B3234"/>
    <w:rsid w:val="69301D54"/>
    <w:rsid w:val="69342E70"/>
    <w:rsid w:val="69390362"/>
    <w:rsid w:val="693929E7"/>
    <w:rsid w:val="69457B4F"/>
    <w:rsid w:val="6959726F"/>
    <w:rsid w:val="695A1B59"/>
    <w:rsid w:val="695B242B"/>
    <w:rsid w:val="69612943"/>
    <w:rsid w:val="69692B50"/>
    <w:rsid w:val="69AB1384"/>
    <w:rsid w:val="69B4572C"/>
    <w:rsid w:val="69B71BB3"/>
    <w:rsid w:val="69B90741"/>
    <w:rsid w:val="69C85E70"/>
    <w:rsid w:val="69DB4916"/>
    <w:rsid w:val="69DC4E32"/>
    <w:rsid w:val="69DD4149"/>
    <w:rsid w:val="69DF0998"/>
    <w:rsid w:val="69ED61B3"/>
    <w:rsid w:val="69FB18C4"/>
    <w:rsid w:val="6A074546"/>
    <w:rsid w:val="6A0D2AE1"/>
    <w:rsid w:val="6A101BBF"/>
    <w:rsid w:val="6A3203AA"/>
    <w:rsid w:val="6A4F638F"/>
    <w:rsid w:val="6A537BB9"/>
    <w:rsid w:val="6A7225D6"/>
    <w:rsid w:val="6A7A54D2"/>
    <w:rsid w:val="6A7E5B95"/>
    <w:rsid w:val="6A9852BA"/>
    <w:rsid w:val="6AAF488C"/>
    <w:rsid w:val="6AB61B89"/>
    <w:rsid w:val="6AD766C4"/>
    <w:rsid w:val="6AF1726A"/>
    <w:rsid w:val="6B1603AC"/>
    <w:rsid w:val="6B22027F"/>
    <w:rsid w:val="6B235CC5"/>
    <w:rsid w:val="6B252A70"/>
    <w:rsid w:val="6B3B477B"/>
    <w:rsid w:val="6B3D5797"/>
    <w:rsid w:val="6B402405"/>
    <w:rsid w:val="6B75439B"/>
    <w:rsid w:val="6B790AC3"/>
    <w:rsid w:val="6BAB4F7E"/>
    <w:rsid w:val="6BB21E96"/>
    <w:rsid w:val="6BB805D1"/>
    <w:rsid w:val="6BDA710A"/>
    <w:rsid w:val="6BE0669F"/>
    <w:rsid w:val="6BE30CAD"/>
    <w:rsid w:val="6BF22B79"/>
    <w:rsid w:val="6C006D65"/>
    <w:rsid w:val="6C0079BC"/>
    <w:rsid w:val="6C0A02CC"/>
    <w:rsid w:val="6C1D1142"/>
    <w:rsid w:val="6C1F721A"/>
    <w:rsid w:val="6C2471CC"/>
    <w:rsid w:val="6C5246E2"/>
    <w:rsid w:val="6C533A14"/>
    <w:rsid w:val="6C5E099A"/>
    <w:rsid w:val="6C8E6D3B"/>
    <w:rsid w:val="6CA5434E"/>
    <w:rsid w:val="6CC13AB5"/>
    <w:rsid w:val="6CCC5030"/>
    <w:rsid w:val="6CD22E0C"/>
    <w:rsid w:val="6CE94789"/>
    <w:rsid w:val="6CEC2DC5"/>
    <w:rsid w:val="6D06419C"/>
    <w:rsid w:val="6D0B4266"/>
    <w:rsid w:val="6D1D6CAA"/>
    <w:rsid w:val="6D2732D1"/>
    <w:rsid w:val="6D2A2539"/>
    <w:rsid w:val="6D2B1EBD"/>
    <w:rsid w:val="6D341E16"/>
    <w:rsid w:val="6D4718E5"/>
    <w:rsid w:val="6D4B0788"/>
    <w:rsid w:val="6D51468F"/>
    <w:rsid w:val="6D5A0950"/>
    <w:rsid w:val="6D5B61B5"/>
    <w:rsid w:val="6D5D0B1B"/>
    <w:rsid w:val="6D7666D7"/>
    <w:rsid w:val="6D804E9C"/>
    <w:rsid w:val="6D8B377D"/>
    <w:rsid w:val="6D9967C3"/>
    <w:rsid w:val="6DBB3B69"/>
    <w:rsid w:val="6DD31ABA"/>
    <w:rsid w:val="6DE3151D"/>
    <w:rsid w:val="6DE55E1E"/>
    <w:rsid w:val="6DF433CA"/>
    <w:rsid w:val="6DF50BB5"/>
    <w:rsid w:val="6E027991"/>
    <w:rsid w:val="6E05419B"/>
    <w:rsid w:val="6E084776"/>
    <w:rsid w:val="6E4D16C2"/>
    <w:rsid w:val="6E945FAA"/>
    <w:rsid w:val="6E9466F2"/>
    <w:rsid w:val="6E970129"/>
    <w:rsid w:val="6E9F2F12"/>
    <w:rsid w:val="6EB6244A"/>
    <w:rsid w:val="6EE93066"/>
    <w:rsid w:val="6F0F23A5"/>
    <w:rsid w:val="6F3323B6"/>
    <w:rsid w:val="6F601648"/>
    <w:rsid w:val="6F6325CC"/>
    <w:rsid w:val="6F71208D"/>
    <w:rsid w:val="6F8B486A"/>
    <w:rsid w:val="6F8D3411"/>
    <w:rsid w:val="6FB47548"/>
    <w:rsid w:val="6FBE16E5"/>
    <w:rsid w:val="6FC1380D"/>
    <w:rsid w:val="6FCC6779"/>
    <w:rsid w:val="6FCF4500"/>
    <w:rsid w:val="6FDB0845"/>
    <w:rsid w:val="6FE609DE"/>
    <w:rsid w:val="70117A67"/>
    <w:rsid w:val="702A0B29"/>
    <w:rsid w:val="70495453"/>
    <w:rsid w:val="70633D8A"/>
    <w:rsid w:val="70692127"/>
    <w:rsid w:val="70785D38"/>
    <w:rsid w:val="70B56644"/>
    <w:rsid w:val="70BE10E3"/>
    <w:rsid w:val="70BF3836"/>
    <w:rsid w:val="70D74143"/>
    <w:rsid w:val="70DC48F6"/>
    <w:rsid w:val="70E518FD"/>
    <w:rsid w:val="70F1652D"/>
    <w:rsid w:val="70FF65BA"/>
    <w:rsid w:val="7119570C"/>
    <w:rsid w:val="71381023"/>
    <w:rsid w:val="713F4630"/>
    <w:rsid w:val="714902CF"/>
    <w:rsid w:val="71605F43"/>
    <w:rsid w:val="7165112A"/>
    <w:rsid w:val="716B0037"/>
    <w:rsid w:val="71706FA5"/>
    <w:rsid w:val="71766319"/>
    <w:rsid w:val="717F2180"/>
    <w:rsid w:val="718970FD"/>
    <w:rsid w:val="7190209C"/>
    <w:rsid w:val="71A053FA"/>
    <w:rsid w:val="71B52622"/>
    <w:rsid w:val="71C06E4D"/>
    <w:rsid w:val="71C203D6"/>
    <w:rsid w:val="71EB194C"/>
    <w:rsid w:val="72085522"/>
    <w:rsid w:val="720B00EB"/>
    <w:rsid w:val="720B4242"/>
    <w:rsid w:val="720E5B23"/>
    <w:rsid w:val="721970A7"/>
    <w:rsid w:val="721E3A1D"/>
    <w:rsid w:val="722717C4"/>
    <w:rsid w:val="724C453E"/>
    <w:rsid w:val="7267428F"/>
    <w:rsid w:val="726C1982"/>
    <w:rsid w:val="72891276"/>
    <w:rsid w:val="728958FF"/>
    <w:rsid w:val="72AE2CC2"/>
    <w:rsid w:val="72B33F37"/>
    <w:rsid w:val="72BC737C"/>
    <w:rsid w:val="72D57684"/>
    <w:rsid w:val="72DA273B"/>
    <w:rsid w:val="72F8158D"/>
    <w:rsid w:val="730978F7"/>
    <w:rsid w:val="730F28E3"/>
    <w:rsid w:val="731062CF"/>
    <w:rsid w:val="731B4952"/>
    <w:rsid w:val="731D363B"/>
    <w:rsid w:val="73263700"/>
    <w:rsid w:val="733910D4"/>
    <w:rsid w:val="733F2B3D"/>
    <w:rsid w:val="734939BC"/>
    <w:rsid w:val="734B61C7"/>
    <w:rsid w:val="73583909"/>
    <w:rsid w:val="735F1462"/>
    <w:rsid w:val="735F55B9"/>
    <w:rsid w:val="7365703A"/>
    <w:rsid w:val="737607CF"/>
    <w:rsid w:val="73797119"/>
    <w:rsid w:val="73797DFD"/>
    <w:rsid w:val="73946613"/>
    <w:rsid w:val="739B263D"/>
    <w:rsid w:val="739D5609"/>
    <w:rsid w:val="73CD50B4"/>
    <w:rsid w:val="73D15BEA"/>
    <w:rsid w:val="73E0625D"/>
    <w:rsid w:val="73E066D1"/>
    <w:rsid w:val="73EF00BF"/>
    <w:rsid w:val="73FA4018"/>
    <w:rsid w:val="745032CB"/>
    <w:rsid w:val="747319F0"/>
    <w:rsid w:val="74765304"/>
    <w:rsid w:val="747E5C62"/>
    <w:rsid w:val="748A5F46"/>
    <w:rsid w:val="748C68F6"/>
    <w:rsid w:val="74A36984"/>
    <w:rsid w:val="74A970EA"/>
    <w:rsid w:val="74CA1ECD"/>
    <w:rsid w:val="74E90FB2"/>
    <w:rsid w:val="751F65C6"/>
    <w:rsid w:val="75243D99"/>
    <w:rsid w:val="757604F5"/>
    <w:rsid w:val="757C1E26"/>
    <w:rsid w:val="758953DE"/>
    <w:rsid w:val="75962108"/>
    <w:rsid w:val="75B94E29"/>
    <w:rsid w:val="75D21A46"/>
    <w:rsid w:val="75DC6F20"/>
    <w:rsid w:val="75EB43D9"/>
    <w:rsid w:val="75ED2F6B"/>
    <w:rsid w:val="75F23E97"/>
    <w:rsid w:val="75F34139"/>
    <w:rsid w:val="75FE0A8D"/>
    <w:rsid w:val="76046FA0"/>
    <w:rsid w:val="760D5704"/>
    <w:rsid w:val="760E16C9"/>
    <w:rsid w:val="762322A2"/>
    <w:rsid w:val="762F11A7"/>
    <w:rsid w:val="7632699E"/>
    <w:rsid w:val="765663C5"/>
    <w:rsid w:val="765D14BF"/>
    <w:rsid w:val="765F132E"/>
    <w:rsid w:val="76676633"/>
    <w:rsid w:val="76741C80"/>
    <w:rsid w:val="767F76FC"/>
    <w:rsid w:val="76805946"/>
    <w:rsid w:val="768426B8"/>
    <w:rsid w:val="7698261F"/>
    <w:rsid w:val="76AB29FA"/>
    <w:rsid w:val="76AD50E0"/>
    <w:rsid w:val="76B55226"/>
    <w:rsid w:val="76B73B3C"/>
    <w:rsid w:val="76BA06C1"/>
    <w:rsid w:val="76CC515E"/>
    <w:rsid w:val="76EC2476"/>
    <w:rsid w:val="77170059"/>
    <w:rsid w:val="77212C85"/>
    <w:rsid w:val="772C6881"/>
    <w:rsid w:val="775D78F8"/>
    <w:rsid w:val="776542B9"/>
    <w:rsid w:val="776C5C24"/>
    <w:rsid w:val="777347E3"/>
    <w:rsid w:val="777905A1"/>
    <w:rsid w:val="77842EE5"/>
    <w:rsid w:val="7798707D"/>
    <w:rsid w:val="77A143A8"/>
    <w:rsid w:val="77AB7B50"/>
    <w:rsid w:val="77B55006"/>
    <w:rsid w:val="77B57B7F"/>
    <w:rsid w:val="77C07203"/>
    <w:rsid w:val="77C23DE8"/>
    <w:rsid w:val="77C83738"/>
    <w:rsid w:val="77E05A47"/>
    <w:rsid w:val="77E46236"/>
    <w:rsid w:val="77EE43BD"/>
    <w:rsid w:val="78090E1B"/>
    <w:rsid w:val="78157D47"/>
    <w:rsid w:val="78173C4D"/>
    <w:rsid w:val="782109E6"/>
    <w:rsid w:val="782761A7"/>
    <w:rsid w:val="78457910"/>
    <w:rsid w:val="784E798A"/>
    <w:rsid w:val="785034EF"/>
    <w:rsid w:val="78504319"/>
    <w:rsid w:val="786A377A"/>
    <w:rsid w:val="786E2B2A"/>
    <w:rsid w:val="78774EF8"/>
    <w:rsid w:val="78884EAA"/>
    <w:rsid w:val="7891176D"/>
    <w:rsid w:val="789574FE"/>
    <w:rsid w:val="789B1F8F"/>
    <w:rsid w:val="78A93894"/>
    <w:rsid w:val="78BB045C"/>
    <w:rsid w:val="78BC336B"/>
    <w:rsid w:val="78C74C7B"/>
    <w:rsid w:val="78DE5352"/>
    <w:rsid w:val="78DE7370"/>
    <w:rsid w:val="7907622C"/>
    <w:rsid w:val="790C3192"/>
    <w:rsid w:val="792702FB"/>
    <w:rsid w:val="79464C25"/>
    <w:rsid w:val="794F0A18"/>
    <w:rsid w:val="795137A9"/>
    <w:rsid w:val="7972072A"/>
    <w:rsid w:val="797A1559"/>
    <w:rsid w:val="797E4D4C"/>
    <w:rsid w:val="79F32939"/>
    <w:rsid w:val="7A0954CF"/>
    <w:rsid w:val="7A184A3A"/>
    <w:rsid w:val="7A1A1E8C"/>
    <w:rsid w:val="7A293C54"/>
    <w:rsid w:val="7A2E48EE"/>
    <w:rsid w:val="7A323FBD"/>
    <w:rsid w:val="7A357810"/>
    <w:rsid w:val="7A3909ED"/>
    <w:rsid w:val="7A3D10D0"/>
    <w:rsid w:val="7A627DA8"/>
    <w:rsid w:val="7A682EC6"/>
    <w:rsid w:val="7A6D5E2E"/>
    <w:rsid w:val="7A805F15"/>
    <w:rsid w:val="7A8A3819"/>
    <w:rsid w:val="7A8B30C7"/>
    <w:rsid w:val="7AA17661"/>
    <w:rsid w:val="7AA65250"/>
    <w:rsid w:val="7B044E14"/>
    <w:rsid w:val="7B10410F"/>
    <w:rsid w:val="7B3676A2"/>
    <w:rsid w:val="7B497194"/>
    <w:rsid w:val="7B4F763A"/>
    <w:rsid w:val="7B52292A"/>
    <w:rsid w:val="7B555510"/>
    <w:rsid w:val="7B615D46"/>
    <w:rsid w:val="7B6D5D26"/>
    <w:rsid w:val="7B724867"/>
    <w:rsid w:val="7B804440"/>
    <w:rsid w:val="7BAD23D9"/>
    <w:rsid w:val="7BB2430D"/>
    <w:rsid w:val="7BCA7B8D"/>
    <w:rsid w:val="7BD302C6"/>
    <w:rsid w:val="7BE002A5"/>
    <w:rsid w:val="7BE54C28"/>
    <w:rsid w:val="7BE979FE"/>
    <w:rsid w:val="7BEA38CA"/>
    <w:rsid w:val="7BFE5868"/>
    <w:rsid w:val="7C04043D"/>
    <w:rsid w:val="7C0E57A2"/>
    <w:rsid w:val="7C1B2C50"/>
    <w:rsid w:val="7C203F33"/>
    <w:rsid w:val="7C53562A"/>
    <w:rsid w:val="7C5C153A"/>
    <w:rsid w:val="7C653614"/>
    <w:rsid w:val="7C660C1B"/>
    <w:rsid w:val="7C776D68"/>
    <w:rsid w:val="7C80688E"/>
    <w:rsid w:val="7C9B47B2"/>
    <w:rsid w:val="7CA50AAA"/>
    <w:rsid w:val="7CAC259A"/>
    <w:rsid w:val="7CAE0A0F"/>
    <w:rsid w:val="7CBB3364"/>
    <w:rsid w:val="7CFC2730"/>
    <w:rsid w:val="7D1924C1"/>
    <w:rsid w:val="7D1E01AA"/>
    <w:rsid w:val="7D2F3E0A"/>
    <w:rsid w:val="7D3035F3"/>
    <w:rsid w:val="7D360E0D"/>
    <w:rsid w:val="7D474AC8"/>
    <w:rsid w:val="7D902D92"/>
    <w:rsid w:val="7D951CD7"/>
    <w:rsid w:val="7D9926E7"/>
    <w:rsid w:val="7D9C5444"/>
    <w:rsid w:val="7DA0067C"/>
    <w:rsid w:val="7DBA210A"/>
    <w:rsid w:val="7DDC7906"/>
    <w:rsid w:val="7DFA3120"/>
    <w:rsid w:val="7DFD433F"/>
    <w:rsid w:val="7E007EB0"/>
    <w:rsid w:val="7E18353D"/>
    <w:rsid w:val="7E1E1F19"/>
    <w:rsid w:val="7E2D328F"/>
    <w:rsid w:val="7E3234F7"/>
    <w:rsid w:val="7E334B6A"/>
    <w:rsid w:val="7E394D59"/>
    <w:rsid w:val="7E7A3A8F"/>
    <w:rsid w:val="7E876220"/>
    <w:rsid w:val="7E9A05A6"/>
    <w:rsid w:val="7E9A27AF"/>
    <w:rsid w:val="7E9A45D3"/>
    <w:rsid w:val="7EA75B1D"/>
    <w:rsid w:val="7EA8311F"/>
    <w:rsid w:val="7EB57675"/>
    <w:rsid w:val="7EBF74C0"/>
    <w:rsid w:val="7EC13AEA"/>
    <w:rsid w:val="7ED531B1"/>
    <w:rsid w:val="7ED62E26"/>
    <w:rsid w:val="7ED63080"/>
    <w:rsid w:val="7F143802"/>
    <w:rsid w:val="7F2D0230"/>
    <w:rsid w:val="7F2F64CE"/>
    <w:rsid w:val="7F357714"/>
    <w:rsid w:val="7F822F3C"/>
    <w:rsid w:val="7F937FB5"/>
    <w:rsid w:val="7FA5005E"/>
    <w:rsid w:val="7FB37AB4"/>
    <w:rsid w:val="7FE42AA2"/>
    <w:rsid w:val="7FE71E8D"/>
    <w:rsid w:val="7FFE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0" w:semiHidden="0" w:name="toc 3" w:locked="1"/>
    <w:lsdException w:qFormat="1"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99"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qFormat="1"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qFormat="1"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ocked="1"/>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5"/>
    <w:qFormat/>
    <w:uiPriority w:val="0"/>
    <w:pPr>
      <w:keepNext/>
      <w:numPr>
        <w:ilvl w:val="0"/>
        <w:numId w:val="1"/>
      </w:numPr>
      <w:outlineLvl w:val="0"/>
    </w:pPr>
    <w:rPr>
      <w:rFonts w:ascii="Times New Roman" w:hAnsi="Times New Roman" w:cs="Times New Roman"/>
      <w:b/>
      <w:kern w:val="44"/>
      <w:sz w:val="44"/>
      <w:szCs w:val="20"/>
    </w:rPr>
  </w:style>
  <w:style w:type="paragraph" w:styleId="3">
    <w:name w:val="heading 2"/>
    <w:basedOn w:val="1"/>
    <w:next w:val="4"/>
    <w:link w:val="46"/>
    <w:qFormat/>
    <w:uiPriority w:val="0"/>
    <w:pPr>
      <w:keepNext/>
      <w:keepLines/>
      <w:spacing w:before="260" w:after="260" w:line="416" w:lineRule="auto"/>
      <w:outlineLvl w:val="1"/>
    </w:pPr>
    <w:rPr>
      <w:rFonts w:ascii="Cambria" w:hAnsi="Cambria" w:cs="Times New Roman"/>
      <w:b/>
      <w:sz w:val="32"/>
      <w:szCs w:val="20"/>
    </w:rPr>
  </w:style>
  <w:style w:type="paragraph" w:styleId="5">
    <w:name w:val="heading 3"/>
    <w:basedOn w:val="1"/>
    <w:next w:val="1"/>
    <w:link w:val="47"/>
    <w:qFormat/>
    <w:uiPriority w:val="0"/>
    <w:pPr>
      <w:keepNext/>
      <w:keepLines/>
      <w:spacing w:before="260" w:after="260" w:line="416" w:lineRule="auto"/>
      <w:outlineLvl w:val="2"/>
    </w:pPr>
    <w:rPr>
      <w:rFonts w:ascii="Times New Roman" w:hAnsi="Times New Roman" w:cs="Times New Roman"/>
      <w:b/>
      <w:sz w:val="32"/>
      <w:szCs w:val="20"/>
    </w:rPr>
  </w:style>
  <w:style w:type="paragraph" w:styleId="6">
    <w:name w:val="heading 4"/>
    <w:basedOn w:val="1"/>
    <w:next w:val="1"/>
    <w:qFormat/>
    <w:locked/>
    <w:uiPriority w:val="0"/>
    <w:pPr>
      <w:keepNext/>
      <w:keepLines/>
      <w:numPr>
        <w:ilvl w:val="3"/>
        <w:numId w:val="2"/>
      </w:numPr>
      <w:adjustRightInd w:val="0"/>
      <w:spacing w:before="280" w:after="290" w:line="376" w:lineRule="atLeast"/>
      <w:textAlignment w:val="baseline"/>
      <w:outlineLvl w:val="3"/>
    </w:pPr>
    <w:rPr>
      <w:rFonts w:ascii="Arial" w:hAnsi="Arial" w:eastAsia="黑体"/>
      <w:b/>
      <w:bCs/>
      <w:sz w:val="28"/>
      <w:szCs w:val="28"/>
    </w:rPr>
  </w:style>
  <w:style w:type="paragraph" w:styleId="7">
    <w:name w:val="heading 5"/>
    <w:basedOn w:val="1"/>
    <w:next w:val="1"/>
    <w:qFormat/>
    <w:locked/>
    <w:uiPriority w:val="0"/>
    <w:pPr>
      <w:keepNext/>
      <w:keepLines/>
      <w:spacing w:before="280" w:beforeLines="0" w:after="290" w:afterLines="0" w:line="372" w:lineRule="auto"/>
      <w:outlineLvl w:val="4"/>
    </w:pPr>
    <w:rPr>
      <w:b/>
      <w:bCs/>
      <w:kern w:val="2"/>
      <w:sz w:val="28"/>
      <w:szCs w:val="28"/>
    </w:rPr>
  </w:style>
  <w:style w:type="paragraph" w:styleId="8">
    <w:name w:val="heading 6"/>
    <w:basedOn w:val="1"/>
    <w:next w:val="1"/>
    <w:link w:val="48"/>
    <w:qFormat/>
    <w:locked/>
    <w:uiPriority w:val="0"/>
    <w:pPr>
      <w:keepNext/>
      <w:keepLines/>
      <w:spacing w:before="240" w:after="64" w:line="320" w:lineRule="auto"/>
      <w:outlineLvl w:val="5"/>
    </w:pPr>
    <w:rPr>
      <w:rFonts w:ascii="等线 Light" w:hAnsi="等线 Light" w:eastAsia="等线 Light" w:cs="Times New Roman"/>
      <w:b/>
      <w:bCs/>
      <w:kern w:val="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4">
    <w:name w:val="正文-标"/>
    <w:basedOn w:val="1"/>
    <w:qFormat/>
    <w:uiPriority w:val="0"/>
    <w:pPr>
      <w:spacing w:line="360" w:lineRule="auto"/>
      <w:ind w:firstLine="200" w:firstLineChars="200"/>
    </w:pPr>
  </w:style>
  <w:style w:type="paragraph" w:styleId="9">
    <w:name w:val="Normal Indent"/>
    <w:basedOn w:val="1"/>
    <w:qFormat/>
    <w:locked/>
    <w:uiPriority w:val="0"/>
    <w:pPr>
      <w:widowControl w:val="0"/>
      <w:ind w:firstLine="420" w:firstLineChars="200"/>
      <w:jc w:val="both"/>
    </w:pPr>
    <w:rPr>
      <w:rFonts w:ascii="Times New Roman" w:hAnsi="Times New Roman" w:cs="Times New Roman"/>
      <w:kern w:val="2"/>
      <w:sz w:val="21"/>
      <w:szCs w:val="20"/>
    </w:rPr>
  </w:style>
  <w:style w:type="paragraph" w:styleId="10">
    <w:name w:val="Document Map"/>
    <w:basedOn w:val="1"/>
    <w:link w:val="49"/>
    <w:semiHidden/>
    <w:qFormat/>
    <w:uiPriority w:val="0"/>
    <w:pPr>
      <w:shd w:val="clear" w:color="auto" w:fill="000080"/>
    </w:pPr>
    <w:rPr>
      <w:rFonts w:ascii="Times New Roman" w:hAnsi="Times New Roman" w:cs="Times New Roman"/>
      <w:sz w:val="2"/>
      <w:szCs w:val="20"/>
    </w:rPr>
  </w:style>
  <w:style w:type="paragraph" w:styleId="11">
    <w:name w:val="toa heading"/>
    <w:basedOn w:val="1"/>
    <w:next w:val="1"/>
    <w:qFormat/>
    <w:locked/>
    <w:uiPriority w:val="0"/>
    <w:pPr>
      <w:widowControl w:val="0"/>
      <w:spacing w:before="120"/>
      <w:jc w:val="both"/>
    </w:pPr>
    <w:rPr>
      <w:rFonts w:ascii="Arial" w:hAnsi="Arial" w:eastAsia="微软雅黑" w:cs="Times New Roman"/>
      <w:kern w:val="2"/>
      <w:szCs w:val="21"/>
    </w:rPr>
  </w:style>
  <w:style w:type="paragraph" w:styleId="12">
    <w:name w:val="annotation text"/>
    <w:basedOn w:val="1"/>
    <w:link w:val="50"/>
    <w:qFormat/>
    <w:uiPriority w:val="99"/>
    <w:rPr>
      <w:rFonts w:ascii="Times New Roman" w:hAnsi="Times New Roman" w:cs="Times New Roman"/>
      <w:kern w:val="2"/>
      <w:sz w:val="28"/>
      <w:szCs w:val="20"/>
    </w:rPr>
  </w:style>
  <w:style w:type="paragraph" w:styleId="13">
    <w:name w:val="Body Text"/>
    <w:basedOn w:val="1"/>
    <w:link w:val="51"/>
    <w:semiHidden/>
    <w:qFormat/>
    <w:uiPriority w:val="0"/>
    <w:pPr>
      <w:spacing w:before="100" w:beforeAutospacing="1" w:after="100" w:afterAutospacing="1" w:line="600" w:lineRule="auto"/>
    </w:pPr>
    <w:rPr>
      <w:rFonts w:ascii="Times New Roman" w:hAnsi="Times New Roman" w:cs="Times New Roman"/>
      <w:sz w:val="20"/>
      <w:szCs w:val="20"/>
    </w:rPr>
  </w:style>
  <w:style w:type="paragraph" w:styleId="14">
    <w:name w:val="Body Text Indent"/>
    <w:basedOn w:val="1"/>
    <w:next w:val="15"/>
    <w:link w:val="52"/>
    <w:qFormat/>
    <w:uiPriority w:val="0"/>
    <w:pPr>
      <w:spacing w:after="120"/>
      <w:ind w:left="420" w:leftChars="200"/>
    </w:pPr>
    <w:rPr>
      <w:rFonts w:ascii="Times New Roman" w:hAnsi="Times New Roman" w:cs="Times New Roman"/>
      <w:sz w:val="20"/>
      <w:szCs w:val="20"/>
    </w:rPr>
  </w:style>
  <w:style w:type="paragraph" w:styleId="15">
    <w:name w:val="Body Text First Indent"/>
    <w:basedOn w:val="13"/>
    <w:next w:val="1"/>
    <w:qFormat/>
    <w:locked/>
    <w:uiPriority w:val="99"/>
    <w:pPr>
      <w:spacing w:after="120"/>
      <w:ind w:firstLine="420" w:firstLineChars="100"/>
    </w:pPr>
  </w:style>
  <w:style w:type="paragraph" w:styleId="16">
    <w:name w:val="Block Text"/>
    <w:basedOn w:val="1"/>
    <w:qFormat/>
    <w:locked/>
    <w:uiPriority w:val="0"/>
    <w:pPr>
      <w:spacing w:after="120"/>
      <w:ind w:left="1440" w:leftChars="700" w:right="1440" w:rightChars="700"/>
    </w:pPr>
    <w:rPr>
      <w:rFonts w:ascii="Times New Roman" w:hAnsi="Times New Roman"/>
    </w:rPr>
  </w:style>
  <w:style w:type="paragraph" w:styleId="17">
    <w:name w:val="toc 5"/>
    <w:basedOn w:val="1"/>
    <w:next w:val="1"/>
    <w:qFormat/>
    <w:locked/>
    <w:uiPriority w:val="0"/>
    <w:pPr>
      <w:tabs>
        <w:tab w:val="right" w:leader="dot" w:pos="8296"/>
      </w:tabs>
      <w:ind w:left="1050" w:leftChars="500"/>
    </w:pPr>
  </w:style>
  <w:style w:type="paragraph" w:styleId="18">
    <w:name w:val="toc 3"/>
    <w:basedOn w:val="1"/>
    <w:next w:val="1"/>
    <w:qFormat/>
    <w:locked/>
    <w:uiPriority w:val="0"/>
    <w:pPr>
      <w:ind w:left="840" w:leftChars="400"/>
    </w:pPr>
  </w:style>
  <w:style w:type="paragraph" w:styleId="19">
    <w:name w:val="Plain Text"/>
    <w:basedOn w:val="1"/>
    <w:link w:val="53"/>
    <w:qFormat/>
    <w:uiPriority w:val="99"/>
    <w:rPr>
      <w:rFonts w:hAnsi="Courier New" w:cs="Times New Roman"/>
      <w:kern w:val="2"/>
      <w:sz w:val="21"/>
      <w:szCs w:val="20"/>
    </w:rPr>
  </w:style>
  <w:style w:type="paragraph" w:styleId="20">
    <w:name w:val="Date"/>
    <w:basedOn w:val="1"/>
    <w:next w:val="1"/>
    <w:link w:val="54"/>
    <w:qFormat/>
    <w:uiPriority w:val="0"/>
    <w:pPr>
      <w:adjustRightInd w:val="0"/>
      <w:spacing w:line="360" w:lineRule="atLeast"/>
      <w:ind w:firstLine="454"/>
      <w:textAlignment w:val="baseline"/>
    </w:pPr>
    <w:rPr>
      <w:rFonts w:ascii="Times New Roman" w:hAnsi="Times New Roman" w:cs="Times New Roman"/>
      <w:sz w:val="20"/>
      <w:szCs w:val="20"/>
    </w:rPr>
  </w:style>
  <w:style w:type="paragraph" w:styleId="21">
    <w:name w:val="Body Text Indent 2"/>
    <w:basedOn w:val="1"/>
    <w:link w:val="55"/>
    <w:qFormat/>
    <w:uiPriority w:val="0"/>
    <w:pPr>
      <w:ind w:firstLine="480"/>
    </w:pPr>
    <w:rPr>
      <w:rFonts w:ascii="Times New Roman" w:hAnsi="Times New Roman" w:cs="Times New Roman"/>
      <w:sz w:val="20"/>
      <w:szCs w:val="20"/>
    </w:rPr>
  </w:style>
  <w:style w:type="paragraph" w:styleId="22">
    <w:name w:val="Balloon Text"/>
    <w:basedOn w:val="1"/>
    <w:link w:val="56"/>
    <w:qFormat/>
    <w:locked/>
    <w:uiPriority w:val="0"/>
    <w:rPr>
      <w:sz w:val="18"/>
      <w:szCs w:val="18"/>
    </w:rPr>
  </w:style>
  <w:style w:type="paragraph" w:styleId="23">
    <w:name w:val="footer"/>
    <w:basedOn w:val="1"/>
    <w:link w:val="57"/>
    <w:qFormat/>
    <w:uiPriority w:val="0"/>
    <w:pPr>
      <w:tabs>
        <w:tab w:val="center" w:pos="4153"/>
        <w:tab w:val="right" w:pos="8306"/>
      </w:tabs>
      <w:snapToGrid w:val="0"/>
    </w:pPr>
    <w:rPr>
      <w:rFonts w:ascii="Times New Roman" w:hAnsi="Times New Roman" w:cs="Times New Roman"/>
      <w:sz w:val="18"/>
      <w:szCs w:val="20"/>
    </w:rPr>
  </w:style>
  <w:style w:type="paragraph" w:styleId="24">
    <w:name w:val="header"/>
    <w:basedOn w:val="1"/>
    <w:link w:val="58"/>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5">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6">
    <w:name w:val="toc 4"/>
    <w:basedOn w:val="1"/>
    <w:next w:val="1"/>
    <w:qFormat/>
    <w:locked/>
    <w:uiPriority w:val="0"/>
    <w:pPr>
      <w:tabs>
        <w:tab w:val="left" w:pos="1890"/>
        <w:tab w:val="right" w:leader="dot" w:pos="8296"/>
      </w:tabs>
      <w:ind w:left="630" w:leftChars="300"/>
    </w:pPr>
  </w:style>
  <w:style w:type="paragraph" w:styleId="27">
    <w:name w:val="footnote text"/>
    <w:basedOn w:val="1"/>
    <w:link w:val="59"/>
    <w:qFormat/>
    <w:locked/>
    <w:uiPriority w:val="0"/>
    <w:pPr>
      <w:widowControl w:val="0"/>
      <w:snapToGrid w:val="0"/>
    </w:pPr>
    <w:rPr>
      <w:rFonts w:ascii="Times New Roman" w:hAnsi="Times New Roman" w:cs="Times New Roman"/>
      <w:kern w:val="2"/>
      <w:sz w:val="18"/>
      <w:szCs w:val="21"/>
    </w:rPr>
  </w:style>
  <w:style w:type="paragraph" w:styleId="28">
    <w:name w:val="toc 2"/>
    <w:basedOn w:val="1"/>
    <w:next w:val="1"/>
    <w:qFormat/>
    <w:uiPriority w:val="39"/>
    <w:pPr>
      <w:tabs>
        <w:tab w:val="right" w:leader="dot" w:pos="9628"/>
      </w:tabs>
      <w:ind w:left="420" w:leftChars="200"/>
    </w:pPr>
  </w:style>
  <w:style w:type="paragraph" w:styleId="29">
    <w:name w:val="HTML Preformatted"/>
    <w:basedOn w:val="1"/>
    <w:qFormat/>
    <w:locked/>
    <w:uiPriority w:val="0"/>
    <w:pPr>
      <w:spacing w:line="360" w:lineRule="auto"/>
    </w:pPr>
    <w:rPr>
      <w:rFonts w:ascii="Courier New" w:hAnsi="Courier New"/>
      <w:sz w:val="20"/>
      <w:szCs w:val="20"/>
    </w:rPr>
  </w:style>
  <w:style w:type="paragraph" w:styleId="30">
    <w:name w:val="Normal (Web)"/>
    <w:basedOn w:val="1"/>
    <w:link w:val="60"/>
    <w:qFormat/>
    <w:locked/>
    <w:uiPriority w:val="99"/>
    <w:pPr>
      <w:spacing w:before="100" w:beforeAutospacing="1" w:after="100" w:afterAutospacing="1"/>
    </w:pPr>
  </w:style>
  <w:style w:type="paragraph" w:styleId="31">
    <w:name w:val="Title"/>
    <w:basedOn w:val="1"/>
    <w:qFormat/>
    <w:locked/>
    <w:uiPriority w:val="0"/>
    <w:pPr>
      <w:spacing w:before="240" w:after="60"/>
      <w:jc w:val="center"/>
      <w:outlineLvl w:val="0"/>
    </w:pPr>
    <w:rPr>
      <w:rFonts w:ascii="Arial" w:hAnsi="Arial"/>
      <w:b/>
      <w:sz w:val="32"/>
    </w:rPr>
  </w:style>
  <w:style w:type="paragraph" w:styleId="32">
    <w:name w:val="annotation subject"/>
    <w:basedOn w:val="12"/>
    <w:next w:val="12"/>
    <w:link w:val="61"/>
    <w:qFormat/>
    <w:locked/>
    <w:uiPriority w:val="0"/>
    <w:rPr>
      <w:b/>
      <w:bCs/>
    </w:rPr>
  </w:style>
  <w:style w:type="paragraph" w:styleId="33">
    <w:name w:val="Body Text First Indent 2"/>
    <w:basedOn w:val="14"/>
    <w:next w:val="1"/>
    <w:qFormat/>
    <w:locked/>
    <w:uiPriority w:val="0"/>
    <w:pPr>
      <w:spacing w:after="120"/>
      <w:ind w:left="420" w:leftChars="200" w:firstLine="420" w:firstLineChars="200"/>
    </w:pPr>
    <w:rPr>
      <w:sz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locked/>
    <w:uiPriority w:val="22"/>
    <w:rPr>
      <w:b/>
      <w:bCs/>
    </w:rPr>
  </w:style>
  <w:style w:type="character" w:styleId="38">
    <w:name w:val="page number"/>
    <w:basedOn w:val="36"/>
    <w:qFormat/>
    <w:uiPriority w:val="0"/>
    <w:rPr>
      <w:rFonts w:cs="Times New Roman"/>
    </w:rPr>
  </w:style>
  <w:style w:type="character" w:styleId="39">
    <w:name w:val="FollowedHyperlink"/>
    <w:qFormat/>
    <w:locked/>
    <w:uiPriority w:val="0"/>
    <w:rPr>
      <w:color w:val="800080"/>
      <w:u w:val="single"/>
    </w:rPr>
  </w:style>
  <w:style w:type="character" w:styleId="40">
    <w:name w:val="Hyperlink"/>
    <w:qFormat/>
    <w:uiPriority w:val="99"/>
    <w:rPr>
      <w:rFonts w:cs="Times New Roman"/>
      <w:color w:val="0000FF"/>
      <w:u w:val="single"/>
    </w:rPr>
  </w:style>
  <w:style w:type="character" w:styleId="41">
    <w:name w:val="annotation reference"/>
    <w:qFormat/>
    <w:uiPriority w:val="99"/>
    <w:rPr>
      <w:rFonts w:cs="Times New Roman"/>
      <w:sz w:val="21"/>
      <w:szCs w:val="21"/>
    </w:rPr>
  </w:style>
  <w:style w:type="character" w:styleId="42">
    <w:name w:val="HTML Sample"/>
    <w:basedOn w:val="36"/>
    <w:qFormat/>
    <w:locked/>
    <w:uiPriority w:val="0"/>
    <w:rPr>
      <w:rFonts w:ascii="Courier New" w:hAnsi="Courier New"/>
    </w:rPr>
  </w:style>
  <w:style w:type="paragraph" w:customStyle="1" w:styleId="43">
    <w:name w:val="BodyText"/>
    <w:basedOn w:val="1"/>
    <w:qFormat/>
    <w:uiPriority w:val="0"/>
    <w:pPr>
      <w:widowControl w:val="0"/>
      <w:spacing w:after="120"/>
      <w:jc w:val="both"/>
    </w:pPr>
    <w:rPr>
      <w:rFonts w:ascii="Times New Roman" w:hAnsi="Times New Roman" w:cs="Times New Roman"/>
      <w:kern w:val="2"/>
      <w:sz w:val="21"/>
    </w:rPr>
  </w:style>
  <w:style w:type="paragraph" w:customStyle="1" w:styleId="44">
    <w:name w:val="样式3"/>
    <w:basedOn w:val="19"/>
    <w:qFormat/>
    <w:uiPriority w:val="0"/>
    <w:pPr>
      <w:spacing w:line="240" w:lineRule="atLeast"/>
      <w:outlineLvl w:val="0"/>
    </w:pPr>
    <w:rPr>
      <w:sz w:val="28"/>
      <w:szCs w:val="24"/>
    </w:rPr>
  </w:style>
  <w:style w:type="character" w:customStyle="1" w:styleId="45">
    <w:name w:val="标题 1 字符"/>
    <w:link w:val="2"/>
    <w:qFormat/>
    <w:locked/>
    <w:uiPriority w:val="0"/>
    <w:rPr>
      <w:b/>
      <w:kern w:val="44"/>
      <w:sz w:val="44"/>
    </w:rPr>
  </w:style>
  <w:style w:type="character" w:customStyle="1" w:styleId="46">
    <w:name w:val="标题 2 字符"/>
    <w:link w:val="3"/>
    <w:semiHidden/>
    <w:qFormat/>
    <w:locked/>
    <w:uiPriority w:val="0"/>
    <w:rPr>
      <w:rFonts w:ascii="Cambria" w:hAnsi="Cambria" w:eastAsia="宋体"/>
      <w:b/>
      <w:sz w:val="32"/>
    </w:rPr>
  </w:style>
  <w:style w:type="character" w:customStyle="1" w:styleId="47">
    <w:name w:val="标题 3 字符"/>
    <w:link w:val="5"/>
    <w:semiHidden/>
    <w:qFormat/>
    <w:locked/>
    <w:uiPriority w:val="0"/>
    <w:rPr>
      <w:b/>
      <w:sz w:val="32"/>
    </w:rPr>
  </w:style>
  <w:style w:type="character" w:customStyle="1" w:styleId="48">
    <w:name w:val="标题 6 字符"/>
    <w:link w:val="8"/>
    <w:semiHidden/>
    <w:qFormat/>
    <w:uiPriority w:val="0"/>
    <w:rPr>
      <w:rFonts w:ascii="等线 Light" w:hAnsi="等线 Light" w:eastAsia="等线 Light" w:cs="Times New Roman"/>
      <w:b/>
      <w:bCs/>
      <w:kern w:val="2"/>
      <w:sz w:val="24"/>
      <w:szCs w:val="24"/>
    </w:rPr>
  </w:style>
  <w:style w:type="character" w:customStyle="1" w:styleId="49">
    <w:name w:val="文档结构图 字符"/>
    <w:link w:val="10"/>
    <w:semiHidden/>
    <w:qFormat/>
    <w:locked/>
    <w:uiPriority w:val="0"/>
    <w:rPr>
      <w:sz w:val="2"/>
    </w:rPr>
  </w:style>
  <w:style w:type="character" w:customStyle="1" w:styleId="50">
    <w:name w:val="批注文字 字符"/>
    <w:link w:val="12"/>
    <w:qFormat/>
    <w:locked/>
    <w:uiPriority w:val="99"/>
    <w:rPr>
      <w:rFonts w:eastAsia="宋体" w:cs="Times New Roman"/>
      <w:kern w:val="2"/>
      <w:sz w:val="28"/>
      <w:lang w:val="en-US" w:eastAsia="zh-CN" w:bidi="ar-SA"/>
    </w:rPr>
  </w:style>
  <w:style w:type="character" w:customStyle="1" w:styleId="51">
    <w:name w:val="正文文本 字符"/>
    <w:link w:val="13"/>
    <w:semiHidden/>
    <w:qFormat/>
    <w:locked/>
    <w:uiPriority w:val="0"/>
    <w:rPr>
      <w:sz w:val="20"/>
    </w:rPr>
  </w:style>
  <w:style w:type="character" w:customStyle="1" w:styleId="52">
    <w:name w:val="正文文本缩进 字符"/>
    <w:link w:val="14"/>
    <w:semiHidden/>
    <w:qFormat/>
    <w:locked/>
    <w:uiPriority w:val="0"/>
    <w:rPr>
      <w:sz w:val="20"/>
    </w:rPr>
  </w:style>
  <w:style w:type="character" w:customStyle="1" w:styleId="53">
    <w:name w:val="纯文本 字符"/>
    <w:link w:val="19"/>
    <w:qFormat/>
    <w:locked/>
    <w:uiPriority w:val="99"/>
    <w:rPr>
      <w:rFonts w:ascii="宋体" w:hAnsi="Courier New" w:eastAsia="宋体"/>
      <w:kern w:val="2"/>
      <w:sz w:val="21"/>
      <w:lang w:val="en-US" w:eastAsia="zh-CN"/>
    </w:rPr>
  </w:style>
  <w:style w:type="character" w:customStyle="1" w:styleId="54">
    <w:name w:val="日期 字符"/>
    <w:link w:val="20"/>
    <w:semiHidden/>
    <w:qFormat/>
    <w:locked/>
    <w:uiPriority w:val="0"/>
    <w:rPr>
      <w:sz w:val="20"/>
    </w:rPr>
  </w:style>
  <w:style w:type="character" w:customStyle="1" w:styleId="55">
    <w:name w:val="正文文本缩进 2 字符"/>
    <w:link w:val="21"/>
    <w:semiHidden/>
    <w:qFormat/>
    <w:locked/>
    <w:uiPriority w:val="0"/>
    <w:rPr>
      <w:sz w:val="20"/>
    </w:rPr>
  </w:style>
  <w:style w:type="character" w:customStyle="1" w:styleId="56">
    <w:name w:val="批注框文本 字符"/>
    <w:link w:val="22"/>
    <w:qFormat/>
    <w:uiPriority w:val="0"/>
    <w:rPr>
      <w:rFonts w:ascii="宋体" w:hAnsi="宋体" w:cs="宋体"/>
      <w:sz w:val="18"/>
      <w:szCs w:val="18"/>
    </w:rPr>
  </w:style>
  <w:style w:type="character" w:customStyle="1" w:styleId="57">
    <w:name w:val="页脚 字符"/>
    <w:link w:val="23"/>
    <w:qFormat/>
    <w:locked/>
    <w:uiPriority w:val="0"/>
    <w:rPr>
      <w:sz w:val="18"/>
    </w:rPr>
  </w:style>
  <w:style w:type="character" w:customStyle="1" w:styleId="58">
    <w:name w:val="页眉 字符"/>
    <w:link w:val="24"/>
    <w:qFormat/>
    <w:locked/>
    <w:uiPriority w:val="0"/>
    <w:rPr>
      <w:sz w:val="18"/>
    </w:rPr>
  </w:style>
  <w:style w:type="character" w:customStyle="1" w:styleId="59">
    <w:name w:val="脚注文本 字符"/>
    <w:link w:val="27"/>
    <w:qFormat/>
    <w:uiPriority w:val="0"/>
    <w:rPr>
      <w:kern w:val="2"/>
      <w:sz w:val="18"/>
      <w:szCs w:val="21"/>
    </w:rPr>
  </w:style>
  <w:style w:type="character" w:customStyle="1" w:styleId="60">
    <w:name w:val="普通(网站) 字符"/>
    <w:link w:val="30"/>
    <w:qFormat/>
    <w:uiPriority w:val="99"/>
    <w:rPr>
      <w:rFonts w:ascii="宋体" w:hAnsi="宋体"/>
      <w:kern w:val="0"/>
      <w:sz w:val="24"/>
      <w:szCs w:val="24"/>
    </w:rPr>
  </w:style>
  <w:style w:type="character" w:customStyle="1" w:styleId="61">
    <w:name w:val="批注主题 字符"/>
    <w:link w:val="32"/>
    <w:qFormat/>
    <w:uiPriority w:val="0"/>
    <w:rPr>
      <w:b/>
      <w:bCs/>
      <w:kern w:val="2"/>
      <w:sz w:val="28"/>
    </w:rPr>
  </w:style>
  <w:style w:type="character" w:customStyle="1" w:styleId="62">
    <w:name w:val="bookmark-item uuid-1536114730799 code-00016"/>
    <w:qFormat/>
    <w:uiPriority w:val="0"/>
  </w:style>
  <w:style w:type="character" w:customStyle="1" w:styleId="63">
    <w:name w:val="bookmark-item uuid-1536114230642 code-00004"/>
    <w:qFormat/>
    <w:uiPriority w:val="0"/>
  </w:style>
  <w:style w:type="character" w:customStyle="1" w:styleId="64">
    <w:name w:val="bookmark-item uuid-1536114722887 code-00015"/>
    <w:qFormat/>
    <w:uiPriority w:val="0"/>
  </w:style>
  <w:style w:type="character" w:customStyle="1" w:styleId="65">
    <w:name w:val="纯文本 字符1"/>
    <w:qFormat/>
    <w:locked/>
    <w:uiPriority w:val="99"/>
    <w:rPr>
      <w:rFonts w:ascii="宋体" w:eastAsia="宋体"/>
    </w:rPr>
  </w:style>
  <w:style w:type="character" w:customStyle="1" w:styleId="66">
    <w:name w:val="bookmark-item uuid-1536114744629 code-00018"/>
    <w:qFormat/>
    <w:uiPriority w:val="0"/>
  </w:style>
  <w:style w:type="character" w:customStyle="1" w:styleId="67">
    <w:name w:val="bookmark-item uuid-1536114237662 code-00006"/>
    <w:qFormat/>
    <w:uiPriority w:val="0"/>
  </w:style>
  <w:style w:type="character" w:customStyle="1" w:styleId="68">
    <w:name w:val="fontstyle01"/>
    <w:qFormat/>
    <w:uiPriority w:val="0"/>
    <w:rPr>
      <w:rFonts w:hint="eastAsia" w:ascii="宋体" w:hAnsi="宋体" w:eastAsia="宋体" w:cs="宋体"/>
      <w:color w:val="000000"/>
      <w:sz w:val="44"/>
      <w:szCs w:val="44"/>
    </w:rPr>
  </w:style>
  <w:style w:type="character" w:customStyle="1" w:styleId="69">
    <w:name w:val="bookmark-item uuid-1536114769643 code-00021"/>
    <w:qFormat/>
    <w:uiPriority w:val="0"/>
  </w:style>
  <w:style w:type="character" w:customStyle="1" w:styleId="70">
    <w:name w:val="bookmark-item uuid-1536114367028 code-23012"/>
    <w:qFormat/>
    <w:uiPriority w:val="0"/>
  </w:style>
  <w:style w:type="character" w:customStyle="1" w:styleId="71">
    <w:name w:val="bookmark-item uuid-1536114708792 code-00013"/>
    <w:qFormat/>
    <w:uiPriority w:val="0"/>
  </w:style>
  <w:style w:type="character" w:customStyle="1" w:styleId="72">
    <w:name w:val="bookmark-item uuid-1541657111286 code-23008"/>
    <w:qFormat/>
    <w:uiPriority w:val="0"/>
  </w:style>
  <w:style w:type="character" w:customStyle="1" w:styleId="73">
    <w:name w:val="Char Char"/>
    <w:qFormat/>
    <w:uiPriority w:val="0"/>
    <w:rPr>
      <w:rFonts w:ascii="宋体" w:hAnsi="Courier New" w:eastAsia="宋体" w:cs="Times New Roman"/>
      <w:kern w:val="2"/>
      <w:sz w:val="21"/>
      <w:lang w:val="en-US" w:eastAsia="zh-CN" w:bidi="ar-SA"/>
    </w:rPr>
  </w:style>
  <w:style w:type="character" w:customStyle="1" w:styleId="74">
    <w:name w:val="bookmark-item uuid-1536114797846 code-23002"/>
    <w:qFormat/>
    <w:uiPriority w:val="0"/>
  </w:style>
  <w:style w:type="character" w:customStyle="1" w:styleId="75">
    <w:name w:val="bookmark-item uuid-1536325460878 code-23001"/>
    <w:qFormat/>
    <w:uiPriority w:val="0"/>
  </w:style>
  <w:style w:type="character" w:customStyle="1" w:styleId="76">
    <w:name w:val="bookmark-item uuid-1536114761735 code-00020"/>
    <w:qFormat/>
    <w:uiPriority w:val="0"/>
  </w:style>
  <w:style w:type="character" w:customStyle="1" w:styleId="77">
    <w:name w:val="bookmark-item uuid-1536114308002 code-23005"/>
    <w:qFormat/>
    <w:uiPriority w:val="0"/>
  </w:style>
  <w:style w:type="character" w:customStyle="1" w:styleId="78">
    <w:name w:val="bookmark-item uuid-1536114681261 code-00009"/>
    <w:qFormat/>
    <w:uiPriority w:val="0"/>
  </w:style>
  <w:style w:type="character" w:customStyle="1" w:styleId="79">
    <w:name w:val="bookmark-item uuid-1536114326115 code-23007"/>
    <w:qFormat/>
    <w:uiPriority w:val="0"/>
  </w:style>
  <w:style w:type="character" w:customStyle="1" w:styleId="80">
    <w:name w:val="bookmark-item uuid-1536114672385 code-23021"/>
    <w:qFormat/>
    <w:uiPriority w:val="0"/>
  </w:style>
  <w:style w:type="character" w:customStyle="1" w:styleId="81">
    <w:name w:val="bookmark-item uuid-1536114351935 code-23009"/>
    <w:qFormat/>
    <w:uiPriority w:val="0"/>
  </w:style>
  <w:style w:type="character" w:customStyle="1" w:styleId="82">
    <w:name w:val="apple-converted-space"/>
    <w:qFormat/>
    <w:uiPriority w:val="0"/>
    <w:rPr>
      <w:rFonts w:cs="Times New Roman"/>
    </w:rPr>
  </w:style>
  <w:style w:type="character" w:customStyle="1" w:styleId="83">
    <w:name w:val="bookmark-item uuid-1536114715836 code-00014"/>
    <w:qFormat/>
    <w:uiPriority w:val="0"/>
  </w:style>
  <w:style w:type="character" w:customStyle="1" w:styleId="84">
    <w:name w:val="Char Char4"/>
    <w:qFormat/>
    <w:uiPriority w:val="0"/>
    <w:rPr>
      <w:rFonts w:eastAsia="宋体" w:cs="Times New Roman"/>
      <w:kern w:val="2"/>
      <w:sz w:val="18"/>
      <w:szCs w:val="18"/>
      <w:lang w:val="en-US" w:eastAsia="zh-CN" w:bidi="ar-SA"/>
    </w:rPr>
  </w:style>
  <w:style w:type="character" w:customStyle="1" w:styleId="85">
    <w:name w:val="tpc_content1"/>
    <w:qFormat/>
    <w:uiPriority w:val="0"/>
    <w:rPr>
      <w:sz w:val="20"/>
    </w:rPr>
  </w:style>
  <w:style w:type="character" w:customStyle="1" w:styleId="86">
    <w:name w:val="bookmark-item uuid-1536114752958 code-00019"/>
    <w:qFormat/>
    <w:uiPriority w:val="0"/>
  </w:style>
  <w:style w:type="character" w:customStyle="1" w:styleId="87">
    <w:name w:val="bookmark-item uuid-1536114315631 code-23006"/>
    <w:qFormat/>
    <w:uiPriority w:val="0"/>
  </w:style>
  <w:style w:type="character" w:customStyle="1" w:styleId="88">
    <w:name w:val="sub"/>
    <w:qFormat/>
    <w:uiPriority w:val="0"/>
  </w:style>
  <w:style w:type="character" w:customStyle="1" w:styleId="89">
    <w:name w:val="bookmark-item uuid-1536114381259 code-23015"/>
    <w:qFormat/>
    <w:uiPriority w:val="0"/>
  </w:style>
  <w:style w:type="character" w:customStyle="1" w:styleId="90">
    <w:name w:val="bookmark-item uuid-1536114695490 code-00011"/>
    <w:qFormat/>
    <w:uiPriority w:val="0"/>
  </w:style>
  <w:style w:type="character" w:customStyle="1" w:styleId="91">
    <w:name w:val="bookmark-item uuid-1536114688571 code-00010"/>
    <w:qFormat/>
    <w:uiPriority w:val="0"/>
  </w:style>
  <w:style w:type="character" w:customStyle="1" w:styleId="92">
    <w:name w:val="wj"/>
    <w:qFormat/>
    <w:uiPriority w:val="0"/>
  </w:style>
  <w:style w:type="paragraph" w:customStyle="1" w:styleId="93">
    <w:name w:val="三级标题"/>
    <w:basedOn w:val="1"/>
    <w:next w:val="1"/>
    <w:qFormat/>
    <w:uiPriority w:val="0"/>
    <w:pPr>
      <w:numPr>
        <w:ilvl w:val="2"/>
        <w:numId w:val="3"/>
      </w:numPr>
      <w:outlineLvl w:val="3"/>
    </w:pPr>
    <w:rPr>
      <w:b/>
    </w:rPr>
  </w:style>
  <w:style w:type="paragraph" w:customStyle="1" w:styleId="94">
    <w:name w:val="正文_6_0"/>
    <w:qFormat/>
    <w:uiPriority w:val="0"/>
    <w:pPr>
      <w:widowControl w:val="0"/>
      <w:jc w:val="both"/>
    </w:pPr>
    <w:rPr>
      <w:rFonts w:ascii="Calibri" w:hAnsi="Calibri" w:eastAsia="宋体" w:cs="Calibri"/>
      <w:kern w:val="2"/>
      <w:sz w:val="21"/>
      <w:szCs w:val="22"/>
      <w:lang w:val="en-US" w:eastAsia="zh-CN" w:bidi="ar-SA"/>
    </w:rPr>
  </w:style>
  <w:style w:type="paragraph" w:customStyle="1" w:styleId="95">
    <w:name w:val="样式 宋体 五号 两端对齐 行距: 单倍行距"/>
    <w:basedOn w:val="1"/>
    <w:qFormat/>
    <w:uiPriority w:val="0"/>
    <w:pPr>
      <w:adjustRightInd w:val="0"/>
      <w:textAlignment w:val="baseline"/>
    </w:pPr>
  </w:style>
  <w:style w:type="paragraph" w:customStyle="1" w:styleId="96">
    <w:name w:val="缺省文本"/>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97">
    <w:name w:val="Char"/>
    <w:basedOn w:val="10"/>
    <w:semiHidden/>
    <w:qFormat/>
    <w:uiPriority w:val="0"/>
    <w:rPr>
      <w:rFonts w:ascii="Tahoma" w:hAnsi="Tahoma"/>
      <w:sz w:val="24"/>
      <w:szCs w:val="24"/>
    </w:rPr>
  </w:style>
  <w:style w:type="paragraph" w:customStyle="1" w:styleId="98">
    <w:name w:val="Default Text:1"/>
    <w:basedOn w:val="1"/>
    <w:qFormat/>
    <w:uiPriority w:val="0"/>
    <w:pPr>
      <w:overflowPunct w:val="0"/>
      <w:autoSpaceDE w:val="0"/>
      <w:autoSpaceDN w:val="0"/>
      <w:adjustRightInd w:val="0"/>
      <w:textAlignment w:val="baseline"/>
    </w:pPr>
  </w:style>
  <w:style w:type="paragraph" w:customStyle="1" w:styleId="99">
    <w:name w:val="正文_29_3_4"/>
    <w:qFormat/>
    <w:uiPriority w:val="0"/>
    <w:pPr>
      <w:widowControl w:val="0"/>
      <w:jc w:val="both"/>
    </w:pPr>
    <w:rPr>
      <w:rFonts w:ascii="Calibri" w:hAnsi="Calibri" w:eastAsia="宋体" w:cs="Calibri"/>
      <w:kern w:val="2"/>
      <w:sz w:val="21"/>
      <w:szCs w:val="24"/>
      <w:lang w:val="en-US" w:eastAsia="zh-CN" w:bidi="ar-SA"/>
    </w:rPr>
  </w:style>
  <w:style w:type="paragraph" w:customStyle="1" w:styleId="100">
    <w:name w:val="Normal_9"/>
    <w:qFormat/>
    <w:uiPriority w:val="0"/>
    <w:rPr>
      <w:rFonts w:ascii="黑体" w:hAnsi="黑体" w:eastAsia="黑体" w:cs="Calibri"/>
      <w:b/>
      <w:sz w:val="32"/>
      <w:szCs w:val="24"/>
      <w:lang w:val="en-US" w:eastAsia="zh-CN" w:bidi="ar-SA"/>
    </w:rPr>
  </w:style>
  <w:style w:type="paragraph" w:customStyle="1" w:styleId="101">
    <w:name w:val="Char1"/>
    <w:basedOn w:val="1"/>
    <w:qFormat/>
    <w:uiPriority w:val="0"/>
    <w:rPr>
      <w:rFonts w:ascii="Tahoma" w:hAnsi="Tahoma"/>
    </w:rPr>
  </w:style>
  <w:style w:type="paragraph" w:customStyle="1" w:styleId="102">
    <w:name w:val="正文_2_0_0_0"/>
    <w:qFormat/>
    <w:uiPriority w:val="0"/>
    <w:pPr>
      <w:widowControl w:val="0"/>
      <w:jc w:val="both"/>
    </w:pPr>
    <w:rPr>
      <w:rFonts w:ascii="Calibri" w:hAnsi="Calibri" w:eastAsia="宋体" w:cs="Calibri"/>
      <w:kern w:val="2"/>
      <w:sz w:val="21"/>
      <w:szCs w:val="24"/>
      <w:lang w:val="en-US" w:eastAsia="zh-CN" w:bidi="ar-SA"/>
    </w:rPr>
  </w:style>
  <w:style w:type="paragraph" w:customStyle="1" w:styleId="103">
    <w:name w:val="样式 宋体 五号 行距: 单倍行距"/>
    <w:basedOn w:val="1"/>
    <w:qFormat/>
    <w:uiPriority w:val="0"/>
    <w:pPr>
      <w:adjustRightInd w:val="0"/>
      <w:textAlignment w:val="baseline"/>
    </w:pPr>
  </w:style>
  <w:style w:type="paragraph" w:customStyle="1" w:styleId="104">
    <w:name w:val="List Paragraph2"/>
    <w:basedOn w:val="1"/>
    <w:qFormat/>
    <w:uiPriority w:val="0"/>
    <w:pPr>
      <w:ind w:firstLine="420" w:firstLineChars="200"/>
    </w:pPr>
    <w:rPr>
      <w:rFonts w:ascii="Calibri" w:hAnsi="Calibri"/>
      <w:szCs w:val="22"/>
    </w:rPr>
  </w:style>
  <w:style w:type="paragraph" w:customStyle="1" w:styleId="105">
    <w:name w:val="List Paragraph1"/>
    <w:basedOn w:val="1"/>
    <w:qFormat/>
    <w:uiPriority w:val="0"/>
    <w:pPr>
      <w:ind w:firstLine="420" w:firstLineChars="200"/>
    </w:pPr>
    <w:rPr>
      <w:rFonts w:ascii="Calibri" w:hAnsi="Calibri"/>
      <w:szCs w:val="22"/>
    </w:rPr>
  </w:style>
  <w:style w:type="paragraph" w:customStyle="1" w:styleId="106">
    <w:name w:val="Default Tex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07">
    <w:name w:val="font6"/>
    <w:basedOn w:val="1"/>
    <w:qFormat/>
    <w:uiPriority w:val="0"/>
    <w:pPr>
      <w:spacing w:before="100" w:beforeAutospacing="1" w:after="100" w:afterAutospacing="1"/>
    </w:pPr>
    <w:rPr>
      <w:sz w:val="18"/>
      <w:szCs w:val="18"/>
    </w:rPr>
  </w:style>
  <w:style w:type="paragraph" w:customStyle="1" w:styleId="108">
    <w:name w:val="reader-word-layer"/>
    <w:basedOn w:val="1"/>
    <w:qFormat/>
    <w:uiPriority w:val="0"/>
    <w:pPr>
      <w:spacing w:before="100" w:beforeAutospacing="1" w:after="100" w:afterAutospacing="1"/>
    </w:pPr>
  </w:style>
  <w:style w:type="paragraph" w:customStyle="1" w:styleId="10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b/>
      <w:bCs/>
    </w:rPr>
  </w:style>
  <w:style w:type="paragraph" w:customStyle="1" w:styleId="110">
    <w:name w:val="Normal_10_0"/>
    <w:qFormat/>
    <w:uiPriority w:val="0"/>
    <w:rPr>
      <w:rFonts w:ascii="黑体" w:hAnsi="黑体" w:eastAsia="黑体" w:cs="Calibri"/>
      <w:b/>
      <w:sz w:val="32"/>
      <w:szCs w:val="24"/>
      <w:lang w:val="en-US" w:eastAsia="zh-CN" w:bidi="ar-SA"/>
    </w:rPr>
  </w:style>
  <w:style w:type="paragraph" w:customStyle="1" w:styleId="111">
    <w:name w:val="Definition Term"/>
    <w:basedOn w:val="1"/>
    <w:next w:val="1"/>
    <w:qFormat/>
    <w:uiPriority w:val="0"/>
    <w:pPr>
      <w:autoSpaceDE w:val="0"/>
      <w:autoSpaceDN w:val="0"/>
      <w:adjustRightInd w:val="0"/>
    </w:pPr>
  </w:style>
  <w:style w:type="paragraph" w:customStyle="1" w:styleId="112">
    <w:name w:val="p15"/>
    <w:basedOn w:val="1"/>
    <w:qFormat/>
    <w:uiPriority w:val="0"/>
    <w:rPr>
      <w:szCs w:val="21"/>
    </w:rPr>
  </w:style>
  <w:style w:type="paragraph" w:customStyle="1" w:styleId="113">
    <w:name w:val="样式1"/>
    <w:basedOn w:val="1"/>
    <w:qFormat/>
    <w:uiPriority w:val="0"/>
    <w:pPr>
      <w:tabs>
        <w:tab w:val="left" w:pos="480"/>
      </w:tabs>
      <w:adjustRightInd w:val="0"/>
      <w:ind w:left="480" w:hanging="480"/>
      <w:textAlignment w:val="baseline"/>
    </w:pPr>
    <w:rPr>
      <w:szCs w:val="21"/>
    </w:rPr>
  </w:style>
  <w:style w:type="paragraph" w:customStyle="1" w:styleId="114">
    <w:name w:val="样式 样式 样式 左侧:  2 字符1 + 首行缩进:  2 字符1 + 首行缩进:  2 字符"/>
    <w:basedOn w:val="1"/>
    <w:qFormat/>
    <w:uiPriority w:val="0"/>
    <w:pPr>
      <w:adjustRightInd w:val="0"/>
      <w:spacing w:before="60" w:after="120" w:line="440" w:lineRule="atLeast"/>
      <w:ind w:firstLine="480"/>
      <w:textAlignment w:val="baseline"/>
    </w:pPr>
  </w:style>
  <w:style w:type="paragraph" w:customStyle="1" w:styleId="1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6">
    <w:name w:val="Char Char Char Char Char Char Char"/>
    <w:basedOn w:val="1"/>
    <w:qFormat/>
    <w:uiPriority w:val="0"/>
    <w:pPr>
      <w:tabs>
        <w:tab w:val="left" w:pos="432"/>
      </w:tabs>
      <w:ind w:left="432" w:hanging="432"/>
    </w:pPr>
    <w:rPr>
      <w:rFonts w:ascii="Tahoma" w:hAnsi="Tahoma"/>
    </w:rPr>
  </w:style>
  <w:style w:type="paragraph" w:customStyle="1" w:styleId="117">
    <w:name w:val="正文_0_3_0"/>
    <w:qFormat/>
    <w:uiPriority w:val="0"/>
    <w:pPr>
      <w:widowControl w:val="0"/>
      <w:jc w:val="both"/>
    </w:pPr>
    <w:rPr>
      <w:rFonts w:ascii="Calibri" w:hAnsi="Calibri" w:eastAsia="宋体" w:cs="Calibri"/>
      <w:kern w:val="2"/>
      <w:sz w:val="21"/>
      <w:szCs w:val="22"/>
      <w:lang w:val="en-US" w:eastAsia="zh-CN" w:bidi="ar-SA"/>
    </w:rPr>
  </w:style>
  <w:style w:type="paragraph" w:customStyle="1" w:styleId="118">
    <w:name w:val="正文_5_1"/>
    <w:qFormat/>
    <w:uiPriority w:val="0"/>
    <w:pPr>
      <w:widowControl w:val="0"/>
      <w:jc w:val="both"/>
    </w:pPr>
    <w:rPr>
      <w:rFonts w:ascii="Calibri" w:hAnsi="Calibri" w:eastAsia="宋体" w:cs="Calibri"/>
      <w:kern w:val="2"/>
      <w:sz w:val="21"/>
      <w:szCs w:val="22"/>
      <w:lang w:val="en-US" w:eastAsia="zh-CN" w:bidi="ar-SA"/>
    </w:rPr>
  </w:style>
  <w:style w:type="character" w:customStyle="1" w:styleId="119">
    <w:name w:val="NormalCharacter"/>
    <w:qFormat/>
    <w:uiPriority w:val="0"/>
  </w:style>
  <w:style w:type="paragraph" w:styleId="120">
    <w:name w:val="List Paragraph"/>
    <w:basedOn w:val="1"/>
    <w:qFormat/>
    <w:uiPriority w:val="34"/>
    <w:pPr>
      <w:ind w:firstLine="420" w:firstLineChars="200"/>
    </w:pPr>
  </w:style>
  <w:style w:type="paragraph" w:customStyle="1" w:styleId="121">
    <w:name w:val="样式 样式4+ + 首行缩进:  2 字符"/>
    <w:basedOn w:val="1"/>
    <w:qFormat/>
    <w:uiPriority w:val="0"/>
    <w:pPr>
      <w:ind w:firstLine="200" w:firstLineChars="200"/>
    </w:pPr>
    <w:rPr>
      <w:sz w:val="28"/>
      <w:szCs w:val="28"/>
    </w:rPr>
  </w:style>
  <w:style w:type="character" w:customStyle="1" w:styleId="122">
    <w:name w:val="font01"/>
    <w:qFormat/>
    <w:uiPriority w:val="0"/>
    <w:rPr>
      <w:rFonts w:hint="eastAsia" w:ascii="仿宋_GB2312" w:eastAsia="仿宋_GB2312" w:cs="仿宋_GB2312"/>
      <w:color w:val="000000"/>
      <w:sz w:val="20"/>
      <w:szCs w:val="20"/>
      <w:u w:val="none"/>
    </w:rPr>
  </w:style>
  <w:style w:type="character" w:customStyle="1" w:styleId="123">
    <w:name w:val="font51"/>
    <w:qFormat/>
    <w:uiPriority w:val="0"/>
    <w:rPr>
      <w:rFonts w:hint="eastAsia" w:ascii="仿宋_GB2312" w:eastAsia="仿宋_GB2312" w:cs="仿宋_GB2312"/>
      <w:b/>
      <w:bCs/>
      <w:color w:val="000000"/>
      <w:sz w:val="20"/>
      <w:szCs w:val="20"/>
      <w:u w:val="none"/>
    </w:rPr>
  </w:style>
  <w:style w:type="character" w:customStyle="1" w:styleId="124">
    <w:name w:val="font21"/>
    <w:qFormat/>
    <w:uiPriority w:val="0"/>
    <w:rPr>
      <w:rFonts w:hint="eastAsia" w:ascii="宋体" w:hAnsi="宋体" w:eastAsia="宋体" w:cs="宋体"/>
      <w:color w:val="000000"/>
      <w:sz w:val="20"/>
      <w:szCs w:val="20"/>
      <w:u w:val="none"/>
    </w:rPr>
  </w:style>
  <w:style w:type="paragraph" w:customStyle="1" w:styleId="125">
    <w:name w:val="_Style 113"/>
    <w:unhideWhenUsed/>
    <w:qFormat/>
    <w:uiPriority w:val="99"/>
    <w:rPr>
      <w:rFonts w:ascii="宋体" w:hAnsi="宋体" w:eastAsia="宋体" w:cs="宋体"/>
      <w:sz w:val="24"/>
      <w:szCs w:val="24"/>
      <w:lang w:val="en-US" w:eastAsia="zh-CN" w:bidi="ar-SA"/>
    </w:rPr>
  </w:style>
  <w:style w:type="character" w:customStyle="1" w:styleId="126">
    <w:name w:val="标题 1 Char"/>
    <w:qFormat/>
    <w:locked/>
    <w:uiPriority w:val="0"/>
    <w:rPr>
      <w:b/>
      <w:kern w:val="44"/>
      <w:sz w:val="44"/>
    </w:rPr>
  </w:style>
  <w:style w:type="character" w:customStyle="1" w:styleId="127">
    <w:name w:val="纯文本 Char"/>
    <w:qFormat/>
    <w:locked/>
    <w:uiPriority w:val="99"/>
    <w:rPr>
      <w:rFonts w:ascii="宋体" w:hAnsi="Courier New" w:eastAsia="宋体"/>
      <w:kern w:val="2"/>
      <w:sz w:val="21"/>
      <w:lang w:val="en-US" w:eastAsia="zh-CN"/>
    </w:rPr>
  </w:style>
  <w:style w:type="character" w:customStyle="1" w:styleId="128">
    <w:name w:val="页脚 Char"/>
    <w:qFormat/>
    <w:locked/>
    <w:uiPriority w:val="99"/>
    <w:rPr>
      <w:sz w:val="18"/>
    </w:rPr>
  </w:style>
  <w:style w:type="paragraph" w:customStyle="1" w:styleId="129">
    <w:name w:val="_Style 117"/>
    <w:basedOn w:val="1"/>
    <w:next w:val="120"/>
    <w:qFormat/>
    <w:uiPriority w:val="34"/>
    <w:pPr>
      <w:ind w:firstLine="420" w:firstLineChars="200"/>
    </w:pPr>
  </w:style>
  <w:style w:type="character" w:customStyle="1" w:styleId="130">
    <w:name w:val="medium_text1"/>
    <w:qFormat/>
    <w:uiPriority w:val="0"/>
    <w:rPr>
      <w:sz w:val="24"/>
      <w:szCs w:val="24"/>
    </w:rPr>
  </w:style>
  <w:style w:type="paragraph" w:customStyle="1" w:styleId="13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32">
    <w:name w:val="页眉 Char"/>
    <w:qFormat/>
    <w:uiPriority w:val="99"/>
    <w:rPr>
      <w:kern w:val="2"/>
      <w:sz w:val="18"/>
      <w:szCs w:val="18"/>
    </w:rPr>
  </w:style>
  <w:style w:type="character" w:customStyle="1" w:styleId="133">
    <w:name w:val="书籍标题1"/>
    <w:qFormat/>
    <w:uiPriority w:val="0"/>
    <w:rPr>
      <w:rFonts w:cs="Times New Roman"/>
      <w:b/>
      <w:bCs/>
      <w:smallCaps/>
      <w:spacing w:val="5"/>
    </w:rPr>
  </w:style>
  <w:style w:type="character" w:customStyle="1" w:styleId="134">
    <w:name w:val="font11"/>
    <w:qFormat/>
    <w:uiPriority w:val="0"/>
    <w:rPr>
      <w:rFonts w:hint="eastAsia" w:ascii="宋体" w:hAnsi="宋体" w:eastAsia="宋体" w:cs="宋体"/>
      <w:color w:val="000000"/>
      <w:sz w:val="22"/>
      <w:szCs w:val="22"/>
      <w:u w:val="none"/>
    </w:rPr>
  </w:style>
  <w:style w:type="paragraph" w:customStyle="1" w:styleId="135">
    <w:name w:val="正文_0"/>
    <w:qFormat/>
    <w:uiPriority w:val="0"/>
    <w:pPr>
      <w:widowControl w:val="0"/>
      <w:jc w:val="both"/>
    </w:pPr>
    <w:rPr>
      <w:rFonts w:ascii="Calibri" w:hAnsi="Calibri" w:eastAsia="宋体" w:cs="Calibri"/>
      <w:kern w:val="2"/>
      <w:sz w:val="21"/>
      <w:szCs w:val="22"/>
      <w:lang w:val="en-US" w:eastAsia="zh-CN" w:bidi="ar-SA"/>
    </w:rPr>
  </w:style>
  <w:style w:type="paragraph" w:customStyle="1" w:styleId="136">
    <w:name w:val="正文_1_1_0"/>
    <w:qFormat/>
    <w:uiPriority w:val="0"/>
    <w:pPr>
      <w:widowControl w:val="0"/>
      <w:jc w:val="both"/>
    </w:pPr>
    <w:rPr>
      <w:rFonts w:ascii="Calibri" w:hAnsi="Calibri" w:eastAsia="宋体" w:cs="Calibri"/>
      <w:lang w:val="en-US" w:eastAsia="zh-CN" w:bidi="ar-SA"/>
    </w:rPr>
  </w:style>
  <w:style w:type="paragraph" w:customStyle="1" w:styleId="137">
    <w:name w:val="正文1"/>
    <w:qFormat/>
    <w:uiPriority w:val="0"/>
    <w:pPr>
      <w:widowControl w:val="0"/>
      <w:jc w:val="both"/>
    </w:pPr>
    <w:rPr>
      <w:rFonts w:ascii="Calibri" w:hAnsi="Calibri" w:eastAsia="Times New Roman" w:cs="Calibri"/>
      <w:lang w:val="en-US" w:eastAsia="zh-CN" w:bidi="ar-SA"/>
    </w:rPr>
  </w:style>
  <w:style w:type="paragraph" w:customStyle="1" w:styleId="138">
    <w:name w:val="正文_1_0"/>
    <w:qFormat/>
    <w:uiPriority w:val="0"/>
    <w:pPr>
      <w:widowControl w:val="0"/>
      <w:jc w:val="both"/>
    </w:pPr>
    <w:rPr>
      <w:rFonts w:ascii="Calibri" w:hAnsi="Calibri" w:eastAsia="宋体" w:cs="Calibri"/>
      <w:lang w:val="en-US" w:eastAsia="zh-CN" w:bidi="ar-SA"/>
    </w:rPr>
  </w:style>
  <w:style w:type="paragraph" w:customStyle="1" w:styleId="139">
    <w:name w:val="正文缩进2格"/>
    <w:basedOn w:val="1"/>
    <w:qFormat/>
    <w:uiPriority w:val="0"/>
    <w:pPr>
      <w:kinsoku w:val="0"/>
      <w:autoSpaceDE w:val="0"/>
      <w:autoSpaceDN w:val="0"/>
      <w:adjustRightInd w:val="0"/>
      <w:snapToGrid w:val="0"/>
      <w:spacing w:line="600" w:lineRule="exact"/>
      <w:ind w:firstLine="639" w:firstLineChars="206"/>
      <w:textAlignment w:val="baseline"/>
    </w:pPr>
    <w:rPr>
      <w:rFonts w:ascii="仿宋_GB2312" w:eastAsia="仿宋_GB2312" w:cs="Arial"/>
      <w:snapToGrid w:val="0"/>
      <w:color w:val="000000"/>
      <w:sz w:val="31"/>
      <w:szCs w:val="28"/>
    </w:rPr>
  </w:style>
  <w:style w:type="paragraph" w:customStyle="1" w:styleId="140">
    <w:name w:val="_Style 1"/>
    <w:basedOn w:val="1"/>
    <w:qFormat/>
    <w:uiPriority w:val="0"/>
    <w:pPr>
      <w:widowControl w:val="0"/>
      <w:ind w:firstLine="420" w:firstLineChars="200"/>
      <w:jc w:val="both"/>
    </w:pPr>
    <w:rPr>
      <w:rFonts w:ascii="Times New Roman" w:hAnsi="Times New Roman" w:cs="Times New Roman"/>
      <w:kern w:val="2"/>
      <w:sz w:val="21"/>
      <w:szCs w:val="22"/>
    </w:rPr>
  </w:style>
  <w:style w:type="character" w:customStyle="1" w:styleId="141">
    <w:name w:val="font31"/>
    <w:qFormat/>
    <w:uiPriority w:val="0"/>
    <w:rPr>
      <w:rFonts w:hint="eastAsia" w:ascii="仿宋" w:hAnsi="仿宋" w:eastAsia="仿宋" w:cs="仿宋"/>
      <w:color w:val="000000"/>
      <w:sz w:val="24"/>
      <w:szCs w:val="24"/>
      <w:u w:val="none"/>
    </w:rPr>
  </w:style>
  <w:style w:type="character" w:customStyle="1" w:styleId="142">
    <w:name w:val="font41"/>
    <w:qFormat/>
    <w:uiPriority w:val="0"/>
    <w:rPr>
      <w:rFonts w:hint="eastAsia" w:ascii="仿宋" w:hAnsi="仿宋" w:eastAsia="仿宋" w:cs="仿宋"/>
      <w:color w:val="000000"/>
      <w:sz w:val="20"/>
      <w:szCs w:val="20"/>
      <w:u w:val="none"/>
    </w:rPr>
  </w:style>
  <w:style w:type="paragraph" w:customStyle="1" w:styleId="143">
    <w:name w:val="Normal Indent1"/>
    <w:basedOn w:val="1"/>
    <w:qFormat/>
    <w:uiPriority w:val="0"/>
    <w:pPr>
      <w:widowControl w:val="0"/>
      <w:ind w:firstLine="200" w:firstLineChars="200"/>
      <w:jc w:val="both"/>
    </w:pPr>
    <w:rPr>
      <w:rFonts w:ascii="Times New Roman" w:hAnsi="Times New Roman" w:eastAsia="Arial" w:cs="Times New Roman"/>
      <w:kern w:val="2"/>
      <w:sz w:val="21"/>
    </w:rPr>
  </w:style>
  <w:style w:type="paragraph" w:customStyle="1" w:styleId="144">
    <w:name w:val="标题 31"/>
    <w:basedOn w:val="1"/>
    <w:qFormat/>
    <w:uiPriority w:val="1"/>
    <w:pPr>
      <w:widowControl w:val="0"/>
      <w:ind w:left="237"/>
      <w:outlineLvl w:val="3"/>
    </w:pPr>
    <w:rPr>
      <w:rFonts w:ascii="Microsoft JhengHei" w:hAnsi="Microsoft JhengHei" w:eastAsia="Microsoft JhengHei" w:cs="Times New Roman"/>
      <w:sz w:val="28"/>
      <w:szCs w:val="28"/>
      <w:lang w:eastAsia="en-US"/>
    </w:rPr>
  </w:style>
  <w:style w:type="paragraph" w:customStyle="1" w:styleId="145">
    <w:name w:val="样式 首行缩进:  2 字符"/>
    <w:basedOn w:val="1"/>
    <w:qFormat/>
    <w:uiPriority w:val="99"/>
    <w:pPr>
      <w:widowControl w:val="0"/>
      <w:spacing w:beforeLines="50" w:afterLines="50"/>
      <w:ind w:firstLine="200" w:firstLineChars="200"/>
      <w:jc w:val="both"/>
    </w:pPr>
    <w:rPr>
      <w:rFonts w:ascii="Times New Roman" w:hAnsi="Times New Roman" w:eastAsia="仿宋"/>
      <w:kern w:val="2"/>
      <w:szCs w:val="20"/>
    </w:rPr>
  </w:style>
  <w:style w:type="table" w:customStyle="1" w:styleId="1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7">
    <w:name w:val="Table Paragraph"/>
    <w:basedOn w:val="1"/>
    <w:qFormat/>
    <w:uiPriority w:val="1"/>
    <w:pPr>
      <w:widowControl w:val="0"/>
      <w:autoSpaceDE w:val="0"/>
      <w:autoSpaceDN w:val="0"/>
    </w:pPr>
    <w:rPr>
      <w:sz w:val="22"/>
      <w:szCs w:val="22"/>
    </w:rPr>
  </w:style>
  <w:style w:type="paragraph" w:customStyle="1" w:styleId="148">
    <w:name w:val="msolistparagraph"/>
    <w:basedOn w:val="1"/>
    <w:qFormat/>
    <w:uiPriority w:val="0"/>
    <w:pPr>
      <w:widowControl w:val="0"/>
      <w:ind w:left="100" w:firstLine="559"/>
      <w:jc w:val="both"/>
    </w:pPr>
    <w:rPr>
      <w:rFonts w:hint="eastAsia" w:cs="Times New Roman"/>
      <w:kern w:val="2"/>
      <w:sz w:val="21"/>
      <w:szCs w:val="22"/>
    </w:rPr>
  </w:style>
  <w:style w:type="paragraph" w:customStyle="1" w:styleId="149">
    <w:name w:val="合同-标题"/>
    <w:basedOn w:val="31"/>
    <w:qFormat/>
    <w:uiPriority w:val="0"/>
    <w:pPr>
      <w:spacing w:after="100" w:afterLines="100"/>
    </w:pPr>
    <w:rPr>
      <w:rFonts w:eastAsia="黑体" w:asciiTheme="minorHAnsi" w:hAnsiTheme="minorHAnsi"/>
      <w:sz w:val="36"/>
    </w:rPr>
  </w:style>
  <w:style w:type="paragraph" w:customStyle="1" w:styleId="150">
    <w:name w:val="合同-正文"/>
    <w:basedOn w:val="1"/>
    <w:qFormat/>
    <w:uiPriority w:val="0"/>
    <w:pPr>
      <w:spacing w:before="240" w:after="60"/>
      <w:ind w:firstLine="723" w:firstLineChars="200"/>
      <w:outlineLvl w:val="0"/>
    </w:pPr>
    <w:rPr>
      <w:rFonts w:asciiTheme="minorHAnsi" w:hAnsiTheme="minorHAnsi"/>
    </w:rPr>
  </w:style>
  <w:style w:type="character" w:customStyle="1" w:styleId="151">
    <w:name w:val="正文头部订立方 Char"/>
    <w:link w:val="152"/>
    <w:qFormat/>
    <w:uiPriority w:val="0"/>
    <w:rPr>
      <w:rFonts w:eastAsia="黑体" w:asciiTheme="minorHAnsi" w:hAnsiTheme="minorHAnsi"/>
      <w:b/>
      <w:sz w:val="28"/>
    </w:rPr>
  </w:style>
  <w:style w:type="paragraph" w:customStyle="1" w:styleId="152">
    <w:name w:val="头部订立方"/>
    <w:basedOn w:val="1"/>
    <w:link w:val="151"/>
    <w:qFormat/>
    <w:uiPriority w:val="0"/>
    <w:pPr>
      <w:outlineLvl w:val="0"/>
    </w:pPr>
    <w:rPr>
      <w:rFonts w:eastAsia="黑体" w:asciiTheme="minorHAnsi" w:hAnsiTheme="minorHAnsi"/>
      <w:b/>
      <w:sz w:val="28"/>
    </w:rPr>
  </w:style>
  <w:style w:type="paragraph" w:customStyle="1" w:styleId="153">
    <w:name w:val="条款标题"/>
    <w:basedOn w:val="1"/>
    <w:qFormat/>
    <w:uiPriority w:val="0"/>
    <w:pPr>
      <w:spacing w:before="240" w:after="60"/>
      <w:ind w:firstLine="723" w:firstLineChars="200"/>
      <w:outlineLvl w:val="0"/>
    </w:pPr>
    <w:rPr>
      <w:rFonts w:asciiTheme="minorHAnsi" w:hAnsiTheme="minorHAnsi"/>
      <w:b/>
    </w:rPr>
  </w:style>
  <w:style w:type="paragraph" w:customStyle="1" w:styleId="154">
    <w:name w:val="表格-内容"/>
    <w:qFormat/>
    <w:uiPriority w:val="0"/>
    <w:pPr>
      <w:widowControl w:val="0"/>
      <w:jc w:val="both"/>
    </w:pPr>
    <w:rPr>
      <w:rFonts w:ascii="Times New Roman" w:hAnsi="Times New Roman" w:eastAsia="宋体" w:cstheme="minorBidi"/>
      <w:kern w:val="2"/>
      <w:sz w:val="21"/>
      <w:szCs w:val="21"/>
      <w:lang w:val="en-US" w:eastAsia="zh-CN" w:bidi="ar-SA"/>
    </w:rPr>
  </w:style>
  <w:style w:type="table" w:customStyle="1" w:styleId="155">
    <w:name w:val="网格型111"/>
    <w:basedOn w:val="3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表格-头"/>
    <w:qFormat/>
    <w:uiPriority w:val="0"/>
    <w:pPr>
      <w:widowControl w:val="0"/>
      <w:jc w:val="center"/>
    </w:pPr>
    <w:rPr>
      <w:rFonts w:ascii="Times New Roman" w:hAnsi="Times New Roman" w:eastAsia="宋体" w:cstheme="minorBidi"/>
      <w:b/>
      <w:bCs/>
      <w:kern w:val="2"/>
      <w:sz w:val="21"/>
      <w:szCs w:val="21"/>
      <w:lang w:val="en-US" w:eastAsia="zh-CN" w:bidi="ar-SA"/>
    </w:rPr>
  </w:style>
  <w:style w:type="paragraph" w:customStyle="1" w:styleId="157">
    <w:name w:val="Table Text"/>
    <w:basedOn w:val="1"/>
    <w:qFormat/>
    <w:uiPriority w:val="0"/>
    <w:rPr>
      <w:rFonts w:ascii="Arial" w:hAnsi="Arial" w:eastAsia="Arial" w:cs="Arial"/>
      <w:sz w:val="21"/>
      <w:szCs w:val="21"/>
      <w:lang w:val="en-US" w:eastAsia="en-US" w:bidi="ar-SA"/>
    </w:rPr>
  </w:style>
  <w:style w:type="paragraph" w:customStyle="1" w:styleId="158">
    <w:name w:val="其他"/>
    <w:basedOn w:val="1"/>
    <w:qFormat/>
    <w:uiPriority w:val="0"/>
    <w:pPr>
      <w:widowControl w:val="0"/>
    </w:pPr>
    <w:rPr>
      <w:sz w:val="26"/>
      <w:szCs w:val="26"/>
      <w:lang w:val="zh-CN" w:bidi="zh-CN"/>
    </w:rPr>
  </w:style>
  <w:style w:type="paragraph" w:customStyle="1" w:styleId="159">
    <w:name w:val="列出段落1"/>
    <w:basedOn w:val="1"/>
    <w:qFormat/>
    <w:uiPriority w:val="0"/>
    <w:pPr>
      <w:widowControl/>
      <w:ind w:left="720"/>
      <w:contextualSpacing/>
      <w:jc w:val="left"/>
    </w:pPr>
    <w:rPr>
      <w:kern w:val="0"/>
      <w:sz w:val="24"/>
      <w:szCs w:val="24"/>
      <w:lang w:eastAsia="en-US" w:bidi="en-US"/>
    </w:rPr>
  </w:style>
  <w:style w:type="paragraph" w:customStyle="1" w:styleId="160">
    <w:name w:val="_Style 42"/>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127c8ca2-700b-4014-8147-5f0812fde4d8</errorID>
      <errorWord>2026年04月21日</errorWord>
      <group>L1_Knowledge</group>
      <groupName>知识性问题</groupName>
      <ability>L2_Time</ability>
      <abilityName>日期时间</abilityName>
      <candidateList>
        <item>2026年4月21日</item>
      </candidateList>
      <explain>根据日常书写习惯，月份一般会省略前导零。</explain>
      <paraID>77AACDB6</paraID>
      <start>72</start>
      <end>82</end>
      <status>modified</status>
      <modifiedWord>2026年4月21日</modifiedWord>
      <trackRevisions>false</trackRevisions>
    </reviewItem>
    <reviewItem>
      <errorID>5d869bf2-73b0-49b5-b1eb-66cc8970daa5</errorID>
      <errorWord>:</errorWord>
      <group>L1_Format</group>
      <groupName>格式问题</groupName>
      <ability>L2_HalfPunc</ability>
      <abilityName>全半角检查</abilityName>
      <candidateList>
        <item>：</item>
      </candidateList>
      <explain>文本全半角错误。</explain>
      <paraID>7FE7B7EB</paraID>
      <start>3</start>
      <end>4</end>
      <status>modified</status>
      <modifiedWord>：</modifiedWord>
      <trackRevisions>false</trackRevisions>
    </reviewItem>
    <reviewItem>
      <errorID>af8721f0-7c18-41f2-93ec-aeb810e9abe7</errorID>
      <errorWord>:</errorWord>
      <group>L1_Format</group>
      <groupName>格式问题</groupName>
      <ability>L2_HalfPunc</ability>
      <abilityName>全半角检查</abilityName>
      <candidateList>
        <item>：</item>
      </candidateList>
      <explain>文本全半角错误。</explain>
      <paraID>46FCE72F</paraID>
      <start>4</start>
      <end>5</end>
      <status>modified</status>
      <modifiedWord>：</modifiedWord>
      <trackRevisions>false</trackRevisions>
    </reviewItem>
    <reviewItem>
      <errorID>25bbfd5b-c49f-4d3a-bf5a-1ddc739bac94</errorID>
      <errorWord>:</errorWord>
      <group>L1_Format</group>
      <groupName>格式问题</groupName>
      <ability>L2_HalfPunc</ability>
      <abilityName>全半角检查</abilityName>
      <candidateList>
        <item>：</item>
      </candidateList>
      <explain>文本全半角错误。</explain>
      <paraID>2AEBEDCF</paraID>
      <start>2</start>
      <end>3</end>
      <status>modified</status>
      <modifiedWord>：</modifiedWord>
      <trackRevisions>false</trackRevisions>
    </reviewItem>
    <reviewItem>
      <errorID>5c6d6366-4f1c-4422-8fb0-c26208419cbd</errorID>
      <errorWord>:</errorWord>
      <group>L1_Format</group>
      <groupName>格式问题</groupName>
      <ability>L2_HalfPunc</ability>
      <abilityName>全半角检查</abilityName>
      <candidateList>
        <item>：</item>
      </candidateList>
      <explain>文本全半角错误。</explain>
      <paraID>39C13FE2</paraID>
      <start>7</start>
      <end>8</end>
      <status>modified</status>
      <modifiedWord>：</modifiedWord>
      <trackRevisions>false</trackRevisions>
    </reviewItem>
    <reviewItem>
      <errorID>c7d6f6e2-b19c-4a6a-993a-f2086fe03d34</errorID>
      <errorWord>:</errorWord>
      <group>L1_Format</group>
      <groupName>格式问题</groupName>
      <ability>L2_HalfPunc</ability>
      <abilityName>全半角检查</abilityName>
      <candidateList>
        <item>：</item>
      </candidateList>
      <explain>文本全半角错误。</explain>
      <paraID>1B2966C6</paraID>
      <start>20</start>
      <end>21</end>
      <status>modified</status>
      <modifiedWord>：</modifiedWord>
      <trackRevisions>false</trackRevisions>
    </reviewItem>
    <reviewItem>
      <errorID>ce43cee7-2c30-401e-b611-5eeec3468f4c</errorID>
      <errorWord>(</errorWord>
      <group>L1_Format</group>
      <groupName>格式问题</groupName>
      <ability>L2_HalfPunc</ability>
      <abilityName>全半角检查</abilityName>
      <candidateList>
        <item>（</item>
      </candidateList>
      <explain>文本全半角错误。</explain>
      <paraID>2C63D248</paraID>
      <start>54</start>
      <end>55</end>
      <status>modified</status>
      <modifiedWord>（</modifiedWord>
      <trackRevisions>false</trackRevisions>
    </reviewItem>
    <reviewItem>
      <errorID>9eb89280-aa23-40e0-8b90-4d49ebb31239</errorID>
      <errorWord>)</errorWord>
      <group>L1_Format</group>
      <groupName>格式问题</groupName>
      <ability>L2_HalfPunc</ability>
      <abilityName>全半角检查</abilityName>
      <candidateList>
        <item>）</item>
      </candidateList>
      <explain>文本全半角错误。</explain>
      <paraID>2C63D248</paraID>
      <start>58</start>
      <end>59</end>
      <status>modified</status>
      <modifiedWord>）</modifiedWord>
      <trackRevisions>false</trackRevisions>
    </reviewItem>
    <reviewItem>
      <errorID>f44e5f17-bcfc-411d-b57f-07c8bd122d24</errorID>
      <errorWord>2026年04月11日</errorWord>
      <group>L1_Knowledge</group>
      <groupName>知识性问题</groupName>
      <ability>L2_Time</ability>
      <abilityName>日期时间</abilityName>
      <candidateList>
        <item>2026年4月11日</item>
      </candidateList>
      <explain>根据日常书写习惯，月份一般会省略前导零。</explain>
      <paraID>19F81A69</paraID>
      <start>3</start>
      <end>13</end>
      <status>modified</status>
      <modifiedWord>2026年4月11日</modifiedWord>
      <trackRevisions>false</trackRevisions>
    </reviewItem>
    <reviewItem>
      <errorID>5ec9b2a4-cc34-402d-9cc4-a47b5317b752</errorID>
      <errorWord>2026年04月17日</errorWord>
      <group>L1_Knowledge</group>
      <groupName>知识性问题</groupName>
      <ability>L2_Time</ability>
      <abilityName>日期时间</abilityName>
      <candidateList>
        <item>2026年4月17日</item>
      </candidateList>
      <explain>根据日常书写习惯，月份一般会省略前导零。</explain>
      <paraID>19F81A69</paraID>
      <start>14</start>
      <end>24</end>
      <status>modified</status>
      <modifiedWord>2026年4月17日</modifiedWord>
      <trackRevisions>false</trackRevisions>
    </reviewItem>
    <reviewItem>
      <errorID>a2e45d79-0cc9-490f-b1e6-a61ed61f0df7</errorID>
      <errorWord>下午15:30</errorWord>
      <group>L1_Knowledge</group>
      <groupName>知识性问题</groupName>
      <ability>L2_Time</ability>
      <abilityName>日期时间</abilityName>
      <candidateList>
        <item>15:30</item>
      </candidateList>
      <explain>24小时制的时间，不需要强调“下午”。</explain>
      <paraID>19F81A69</paraID>
      <start>41</start>
      <end>46</end>
      <status>modified</status>
      <modifiedWord>15:30</modifiedWord>
      <trackRevisions>false</trackRevisions>
    </reviewItem>
    <reviewItem>
      <errorID>a1059b7a-3f08-4bf1-9bf4-285177ba7d0b</errorID>
      <errorWord>2026年04月21日</errorWord>
      <group>L1_Knowledge</group>
      <groupName>知识性问题</groupName>
      <ability>L2_Time</ability>
      <abilityName>日期时间</abilityName>
      <candidateList>
        <item>2026年4月21日</item>
      </candidateList>
      <explain>根据日常书写习惯，月份一般会省略前导零。</explain>
      <paraID>62D30199</paraID>
      <start>11</start>
      <end>21</end>
      <status>modified</status>
      <modifiedWord>2026年4月21日</modifiedWord>
      <trackRevisions>false</trackRevisions>
    </reviewItem>
    <reviewItem>
      <errorID>2740fced-9f1d-453b-bb1c-06ae9d4d881f</errorID>
      <errorWord>2026年04月21日</errorWord>
      <group>L1_Knowledge</group>
      <groupName>知识性问题</groupName>
      <ability>L2_Time</ability>
      <abilityName>日期时间</abilityName>
      <candidateList>
        <item>2026年4月21日</item>
      </candidateList>
      <explain>根据日常书写习惯，月份一般会省略前导零。</explain>
      <paraID>68F1A828</paraID>
      <start>5</start>
      <end>15</end>
      <status>modified</status>
      <modifiedWord>2026年4月21日</modifiedWord>
      <trackRevisions>false</trackRevisions>
    </reviewItem>
    <reviewItem>
      <errorID>93134d7e-9d7b-4116-95a6-747c773b3b92</errorID>
      <errorWord>,</errorWord>
      <group>L1_Format</group>
      <groupName>格式问题</groupName>
      <ability>L2_HalfPunc</ability>
      <abilityName>全半角检查</abilityName>
      <candidateList>
        <item>，</item>
      </candidateList>
      <explain>文本全半角错误。</explain>
      <paraID>3D3399E7</paraID>
      <start>15</start>
      <end>16</end>
      <status>modified</status>
      <modifiedWord>，</modifiedWord>
      <trackRevisions>false</trackRevisions>
    </reviewItem>
    <reviewItem>
      <errorID>20712408-5460-4bea-95a4-52b43251cda4</errorID>
      <errorWord>,</errorWord>
      <group>L1_Format</group>
      <groupName>格式问题</groupName>
      <ability>L2_HalfPunc</ability>
      <abilityName>全半角检查</abilityName>
      <candidateList>
        <item>，</item>
      </candidateList>
      <explain>文本全半角错误。</explain>
      <paraID>3D3399E7</paraID>
      <start>44</start>
      <end>45</end>
      <status>modified</status>
      <modifiedWord>，</modifiedWord>
      <trackRevisions>false</trackRevisions>
    </reviewItem>
    <reviewItem>
      <errorID>c5e7f00d-3af3-49fe-a021-d0bfbabd42a5</errorID>
      <errorWord>,</errorWord>
      <group>L1_Format</group>
      <groupName>格式问题</groupName>
      <ability>L2_HalfPunc</ability>
      <abilityName>全半角检查</abilityName>
      <candidateList>
        <item>，</item>
      </candidateList>
      <explain>文本全半角错误。</explain>
      <paraID>7FA40B41</paraID>
      <start>38</start>
      <end>39</end>
      <status>modified</status>
      <modifiedWord>，</modifiedWord>
      <trackRevisions>false</trackRevisions>
    </reviewItem>
    <reviewItem>
      <errorID>16bb0889-5640-44ec-9379-03abe7953ae3</errorID>
      <errorWord>-</errorWord>
      <group>L1_Format</group>
      <groupName>格式问题</groupName>
      <ability>L2_HalfPunc</ability>
      <abilityName>全半角检查</abilityName>
      <candidateList>
        <item>－</item>
      </candidateList>
      <explain>文本全半角错误。</explain>
      <paraID>7FA40B41</paraID>
      <start>56</start>
      <end>57</end>
      <status>modified</status>
      <modifiedWord>－</modifiedWord>
      <trackRevisions>false</trackRevisions>
    </reviewItem>
    <reviewItem>
      <errorID>f3c4b605-f3aa-44c6-a3ae-139938a1d64c</errorID>
      <errorWord>,</errorWord>
      <group>L1_Format</group>
      <groupName>格式问题</groupName>
      <ability>L2_HalfPunc</ability>
      <abilityName>全半角检查</abilityName>
      <candidateList>
        <item>，</item>
      </candidateList>
      <explain>文本全半角错误。</explain>
      <paraID>7FA40B41</paraID>
      <start>111</start>
      <end>112</end>
      <status>modified</status>
      <modifiedWord>，</modifiedWord>
      <trackRevisions>false</trackRevisions>
    </reviewItem>
    <reviewItem>
      <errorID>80b0e33c-d79b-45a2-8679-385530eaadec</errorID>
      <errorWord>,</errorWord>
      <group>L1_Format</group>
      <groupName>格式问题</groupName>
      <ability>L2_HalfPunc</ability>
      <abilityName>全半角检查</abilityName>
      <candidateList>
        <item>，</item>
      </candidateList>
      <explain>文本全半角错误。</explain>
      <paraID>7FA40B41</paraID>
      <start>135</start>
      <end>136</end>
      <status>modified</status>
      <modifiedWord>，</modifiedWord>
      <trackRevisions>false</trackRevisions>
    </reviewItem>
    <reviewItem>
      <errorID>b4ecda87-8edf-4813-8573-b63d6707ec0e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5350C2BC</paraID>
      <start>0</start>
      <end>2</end>
      <status>modified</status>
      <modifiedWord>6.</modifiedWord>
      <trackRevisions>false</trackRevisions>
    </reviewItem>
    <reviewItem>
      <errorID>4d122a6e-a1ae-4f66-97f4-d113ddf29c84</errorID>
      <errorWord>-</errorWord>
      <group>L1_Format</group>
      <groupName>格式问题</groupName>
      <ability>L2_HalfPunc</ability>
      <abilityName>全半角检查</abilityName>
      <candidateList>
        <item>－</item>
      </candidateList>
      <explain>文本全半角错误。</explain>
      <paraID>5350C2BC</paraID>
      <start>30</start>
      <end>31</end>
      <status>modified</status>
      <modifiedWord>－</modifiedWord>
      <trackRevisions>false</trackRevisions>
    </reviewItem>
    <reviewItem>
      <errorID>592df1c0-8627-41a5-9373-a1f99f948f85</errorID>
      <errorWord>:</errorWord>
      <group>L1_Format</group>
      <groupName>格式问题</groupName>
      <ability>L2_HalfPunc</ability>
      <abilityName>全半角检查</abilityName>
      <candidateList>
        <item>：</item>
      </candidateList>
      <explain>文本全半角错误。</explain>
      <paraID>5A28F8C8</paraID>
      <start>20</start>
      <end>21</end>
      <status>modified</status>
      <modifiedWord>：</modifiedWord>
      <trackRevisions>false</trackRevisions>
    </reviewItem>
    <reviewItem>
      <errorID>508c1bbc-4019-415a-8ac2-926aa85a9afc</errorID>
      <errorWord>(</errorWord>
      <group>L1_Format</group>
      <groupName>格式问题</groupName>
      <ability>L2_HalfPunc</ability>
      <abilityName>全半角检查</abilityName>
      <candidateList>
        <item>（</item>
      </candidateList>
      <explain>文本全半角错误。</explain>
      <paraID>7B972430</paraID>
      <start>54</start>
      <end>55</end>
      <status>modified</status>
      <modifiedWord>（</modifiedWord>
      <trackRevisions>false</trackRevisions>
    </reviewItem>
    <reviewItem>
      <errorID>b3203608-ef93-4e9e-ba40-687fa6102571</errorID>
      <errorWord>)</errorWord>
      <group>L1_Format</group>
      <groupName>格式问题</groupName>
      <ability>L2_HalfPunc</ability>
      <abilityName>全半角检查</abilityName>
      <candidateList>
        <item>）</item>
      </candidateList>
      <explain>文本全半角错误。</explain>
      <paraID>7B972430</paraID>
      <start>58</start>
      <end>59</end>
      <status>modified</status>
      <modifiedWord>）</modifiedWord>
      <trackRevisions>false</trackRevisions>
    </reviewItem>
    <reviewItem>
      <errorID>1445a22c-a0a9-4449-95ca-dd1234dc272e</errorID>
      <errorWord>2026年04月11日</errorWord>
      <group>L1_Knowledge</group>
      <groupName>知识性问题</groupName>
      <ability>L2_Time</ability>
      <abilityName>日期时间</abilityName>
      <candidateList>
        <item>2026年4月11日</item>
      </candidateList>
      <explain>根据日常书写习惯，月份一般会省略前导零。</explain>
      <paraID>29638C22</paraID>
      <start>3</start>
      <end>13</end>
      <status>modified</status>
      <modifiedWord>2026年4月11日</modifiedWord>
      <trackRevisions>false</trackRevisions>
    </reviewItem>
    <reviewItem>
      <errorID>8dbaa46b-1135-428c-b3be-7a5f114e7a3a</errorID>
      <errorWord>2026年04月17日</errorWord>
      <group>L1_Knowledge</group>
      <groupName>知识性问题</groupName>
      <ability>L2_Time</ability>
      <abilityName>日期时间</abilityName>
      <candidateList>
        <item>2026年4月17日</item>
      </candidateList>
      <explain>根据日常书写习惯，月份一般会省略前导零。</explain>
      <paraID>29638C22</paraID>
      <start>14</start>
      <end>24</end>
      <status>modified</status>
      <modifiedWord>2026年4月17日</modifiedWord>
      <trackRevisions>false</trackRevisions>
    </reviewItem>
    <reviewItem>
      <errorID>28d740a7-c535-448a-a954-fb2bdf15b20e</errorID>
      <errorWord>下午15:30</errorWord>
      <group>L1_Knowledge</group>
      <groupName>知识性问题</groupName>
      <ability>L2_Time</ability>
      <abilityName>日期时间</abilityName>
      <candidateList>
        <item>15:30</item>
      </candidateList>
      <explain>24小时制的时间，不需要强调“下午”。</explain>
      <paraID>29638C22</paraID>
      <start>41</start>
      <end>46</end>
      <status>modified</status>
      <modifiedWord>15:30</modifiedWord>
      <trackRevisions>false</trackRevisions>
    </reviewItem>
    <reviewItem>
      <errorID>d27f5372-7310-4906-96c3-f8a87c69479b</errorID>
      <errorWord>2026年04月21日</errorWord>
      <group>L1_Knowledge</group>
      <groupName>知识性问题</groupName>
      <ability>L2_Time</ability>
      <abilityName>日期时间</abilityName>
      <candidateList>
        <item>2026年4月21日</item>
      </candidateList>
      <explain>根据日常书写习惯，月份一般会省略前导零。</explain>
      <paraID>47CB2BED</paraID>
      <start>0</start>
      <end>10</end>
      <status>modified</status>
      <modifiedWord>2026年4月21日</modifiedWord>
      <trackRevisions>false</trackRevisions>
    </reviewItem>
    <reviewItem>
      <errorID>f67d643a-a66a-454b-b81c-392f51e44fc7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1537EA60</paraID>
      <start>71</start>
      <end>72</end>
      <status>modified</status>
      <modifiedWord>或</modifiedWord>
      <trackRevisions>false</trackRevisions>
    </reviewItem>
    <reviewItem>
      <errorID>8caf6763-802a-4fc0-b573-b9ac92de7aa1</errorID>
      <errorWord>遇</errorWord>
      <group>L1_Word</group>
      <groupName>字词问题</groupName>
      <ability>L2_Typo</ability>
      <abilityName>字词错误</abilityName>
      <candidateList>
        <item>遇到</item>
      </candidateList>
      <explain/>
      <paraID>48C21192</paraID>
      <start>134</start>
      <end>136</end>
      <status>modified</status>
      <modifiedWord>遇到</modifiedWord>
      <trackRevisions>false</trackRevisions>
    </reviewItem>
    <reviewItem>
      <errorID>5637ebdb-2d38-4dac-adf3-37060dc255c8</errorID>
      <errorWord>须</errorWord>
      <group>L1_Word</group>
      <groupName>字词问题</groupName>
      <ability>L2_Typo</ability>
      <abilityName>字词错误</abilityName>
      <candidateList>
        <item>需</item>
      </candidateList>
      <explain>存在发音相同字词的误用。</explain>
      <paraID> E2FD825</paraID>
      <start>9</start>
      <end>10</end>
      <status>modified</status>
      <modifiedWord>需</modifiedWord>
      <trackRevisions>false</trackRevisions>
    </reviewItem>
    <reviewItem>
      <errorID>5eb5fe87-8ce0-480a-beb1-93839b812fdf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5C9434D0</paraID>
      <start>160</start>
      <end>162</end>
      <status>modified</status>
      <modifiedWord>》《</modifiedWord>
      <trackRevisions>false</trackRevisions>
    </reviewItem>
    <reviewItem>
      <errorID>5ec5f6e0-8b9e-4293-be17-05f86107acff</errorID>
      <errorWord>，</errorWord>
      <group>L1_Word</group>
      <groupName>字词问题</groupName>
      <ability>L2_Typo</ability>
      <abilityName>字词错误</abilityName>
      <candidateList>
        <item>，在</item>
      </candidateList>
      <explain/>
      <paraID> 825D121</paraID>
      <start>39</start>
      <end>41</end>
      <status>modified</status>
      <modifiedWord>，在</modifiedWord>
      <trackRevisions>false</trackRevisions>
    </reviewItem>
    <reviewItem>
      <errorID>1edf312a-c029-48a9-8748-3f4c7271c4f8</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5E83D0AA</paraID>
      <start>5</start>
      <end>7</end>
      <status>modified</status>
      <modifiedWord>接受</modifiedWord>
      <trackRevisions>false</trackRevisions>
    </reviewItem>
    <reviewItem>
      <errorID>5700b009-99e7-453b-9b52-674a15d35dd4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516C9740</paraID>
      <start>44</start>
      <end>46</end>
      <status>modified</status>
      <modifiedWord>相应</modifiedWord>
      <trackRevisions>false</trackRevisions>
    </reviewItem>
    <reviewItem>
      <errorID>ca3bcfb2-7179-4b9f-a21a-bd5cfa520633</errorID>
      <errorWord>法律、法规</errorWord>
      <group>L1_Word</group>
      <groupName>字词问题</groupName>
      <ability>L2_Typo</ability>
      <abilityName>字词错误</abilityName>
      <candidateList>
        <item>法律法规</item>
      </candidateList>
      <explain/>
      <paraID> 94D9EE0</paraID>
      <start>3</start>
      <end>7</end>
      <status>modified</status>
      <modifiedWord>法律法规</modifiedWord>
      <trackRevisions>false</trackRevisions>
    </reviewItem>
    <reviewItem>
      <errorID>4622a7ad-3700-46e8-bdcf-1fad42db91a7</errorID>
      <errorWord>(</errorWord>
      <group>L1_Format</group>
      <groupName>格式问题</groupName>
      <ability>L2_HalfPunc</ability>
      <abilityName>全半角检查</abilityName>
      <candidateList>
        <item>（</item>
      </candidateList>
      <explain>文本全半角错误。</explain>
      <paraID>3C4AEEED</paraID>
      <start>6</start>
      <end>7</end>
      <status>modified</status>
      <modifiedWord>（</modifiedWord>
      <trackRevisions>false</trackRevisions>
    </reviewItem>
    <reviewItem>
      <errorID>8961c1f9-0fad-49b6-aaa0-f60a49e5dc44</errorID>
      <errorWord>)</errorWord>
      <group>L1_Format</group>
      <groupName>格式问题</groupName>
      <ability>L2_HalfPunc</ability>
      <abilityName>全半角检查</abilityName>
      <candidateList>
        <item>）</item>
      </candidateList>
      <explain>文本全半角错误。</explain>
      <paraID>3C4AEEED</paraID>
      <start>10</start>
      <end>11</end>
      <status>modified</status>
      <modifiedWord>）</modifiedWord>
      <trackRevisions>false</trackRevisions>
    </reviewItem>
    <reviewItem>
      <errorID>0262d272-bd43-4310-a329-4b54625b19a6</errorID>
      <errorWord>-</errorWord>
      <group>L1_Format</group>
      <groupName>格式问题</groupName>
      <ability>L2_HalfPunc</ability>
      <abilityName>全半角检查</abilityName>
      <candidateList>
        <item>－</item>
      </candidateList>
      <explain>文本全半角错误。</explain>
      <paraID>35588E49</paraID>
      <start>16</start>
      <end>17</end>
      <status>modified</status>
      <modifiedWord>－</modifiedWord>
      <trackRevisions>false</trackRevisions>
    </reviewItem>
    <reviewItem>
      <errorID>a9756c03-0546-4dba-9fa2-fb824b9a89d0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47D7D435</paraID>
      <start>132</start>
      <end>133</end>
      <status>modified</status>
      <modifiedWord>或</modifiedWord>
      <trackRevisions>false</trackRevisions>
    </reviewItem>
    <reviewItem>
      <errorID>c81dc150-28af-4066-b153-0e8c3ca5fb8b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47D7D435</paraID>
      <start>141</start>
      <end>142</end>
      <status>modified</status>
      <modifiedWord>或</modifiedWord>
      <trackRevisions>false</trackRevisions>
    </reviewItem>
    <reviewItem>
      <errorID>82fbd47a-cb38-43ed-98b0-66ece9aedd7a</errorID>
      <errorWord>(</errorWord>
      <group>L1_Format</group>
      <groupName>格式问题</groupName>
      <ability>L2_HalfPunc</ability>
      <abilityName>全半角检查</abilityName>
      <candidateList>
        <item>（</item>
      </candidateList>
      <explain>文本全半角错误。</explain>
      <paraID> 8F0F4C2</paraID>
      <start>6</start>
      <end>7</end>
      <status>modified</status>
      <modifiedWord>（</modifiedWord>
      <trackRevisions>false</trackRevisions>
    </reviewItem>
    <reviewItem>
      <errorID>8d2c221a-3494-4e69-964c-ee07763c7645</errorID>
      <errorWord>)</errorWord>
      <group>L1_Format</group>
      <groupName>格式问题</groupName>
      <ability>L2_HalfPunc</ability>
      <abilityName>全半角检查</abilityName>
      <candidateList>
        <item>）</item>
      </candidateList>
      <explain>文本全半角错误。</explain>
      <paraID> 8F0F4C2</paraID>
      <start>12</start>
      <end>13</end>
      <status>modified</status>
      <modifiedWord>）</modifiedWord>
      <trackRevisions>false</trackRevisions>
    </reviewItem>
    <reviewItem>
      <errorID>af544b33-5c25-49d7-aea5-9934455898d6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15FE387C</paraID>
      <start>0</start>
      <end>2</end>
      <status>modified</status>
      <modifiedWord>1.</modifiedWord>
      <trackRevisions>false</trackRevisions>
    </reviewItem>
    <reviewItem>
      <errorID>9df800c4-70f6-4d75-86a5-028416ed690b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2F5B21A9</paraID>
      <start>0</start>
      <end>2</end>
      <status>modified</status>
      <modifiedWord>2.</modifiedWord>
      <trackRevisions>false</trackRevisions>
    </reviewItem>
    <reviewItem>
      <errorID>cd1cd1d7-f609-4132-a990-3ff098d1d7ed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74E0D2C6</paraID>
      <start>0</start>
      <end>2</end>
      <status>modified</status>
      <modifiedWord>3.</modifiedWord>
      <trackRevisions>false</trackRevisions>
    </reviewItem>
    <reviewItem>
      <errorID>695d264e-f366-4679-ac5f-72a6c10f0e34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763CD4C8</paraID>
      <start>0</start>
      <end>2</end>
      <status>modified</status>
      <modifiedWord>4.</modifiedWord>
      <trackRevisions>false</trackRevisions>
    </reviewItem>
    <reviewItem>
      <errorID>a525892e-8dde-467e-93e9-1d43a3ab3547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6242BB69</paraID>
      <start>0</start>
      <end>2</end>
      <status>modified</status>
      <modifiedWord>5.</modifiedWord>
      <trackRevisions>false</trackRevisions>
    </reviewItem>
    <reviewItem>
      <errorID>396e882f-3d62-447d-91dc-559c71986e2f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258DD0AE</paraID>
      <start>0</start>
      <end>2</end>
      <status>modified</status>
      <modifiedWord>6.</modifiedWord>
      <trackRevisions>false</trackRevisions>
    </reviewItem>
    <reviewItem>
      <errorID>e9c17fef-9d80-4710-be3d-abe0e0538679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E2E60EC</paraID>
      <start>0</start>
      <end>2</end>
      <status>modified</status>
      <modifiedWord>1.</modifiedWord>
      <trackRevisions>false</trackRevisions>
    </reviewItem>
    <reviewItem>
      <errorID>3227c185-c141-4e28-b146-6a7b0786ebaa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4F85187E</paraID>
      <start>0</start>
      <end>2</end>
      <status>modified</status>
      <modifiedWord>2.</modifiedWord>
      <trackRevisions>false</trackRevisions>
    </reviewItem>
    <reviewItem>
      <errorID>974c9c50-c3b3-4561-8a0e-9c855a9929a4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FCC6F6A</paraID>
      <start>0</start>
      <end>2</end>
      <status>modified</status>
      <modifiedWord>3.</modifiedWord>
      <trackRevisions>false</trackRevisions>
    </reviewItem>
    <reviewItem>
      <errorID>6cc4e3fa-47de-4699-9119-d6fe25cccaf7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5437D884</paraID>
      <start>0</start>
      <end>2</end>
      <status>modified</status>
      <modifiedWord>1.</modifiedWord>
      <trackRevisions>false</trackRevisions>
    </reviewItem>
    <reviewItem>
      <errorID>4da63b8e-9f12-41b8-9d92-578892265363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13D846C1</paraID>
      <start>0</start>
      <end>2</end>
      <status>modified</status>
      <modifiedWord>2.</modifiedWord>
      <trackRevisions>false</trackRevisions>
    </reviewItem>
    <reviewItem>
      <errorID>9c4ff18a-0e7a-48c4-96d2-7a213a489cc8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239464A9</paraID>
      <start>0</start>
      <end>2</end>
      <status>modified</status>
      <modifiedWord>1.</modifiedWord>
      <trackRevisions>false</trackRevisions>
    </reviewItem>
    <reviewItem>
      <errorID>7f5e58c3-447d-4bc7-bd22-e44c13e5e76d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262E0874</paraID>
      <start>0</start>
      <end>2</end>
      <status>modified</status>
      <modifiedWord>2.</modifiedWord>
      <trackRevisions>false</trackRevisions>
    </reviewItem>
    <reviewItem>
      <errorID>7044f61d-d415-4ebf-b104-441c679681c7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46CBF0FA</paraID>
      <start>0</start>
      <end>2</end>
      <status>modified</status>
      <modifiedWord>3.</modifiedWord>
      <trackRevisions>false</trackRevisions>
    </reviewItem>
    <reviewItem>
      <errorID>635e57e2-df50-4caa-944f-70663a1032d1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29C1B3BD</paraID>
      <start>0</start>
      <end>2</end>
      <status>modified</status>
      <modifiedWord>1.</modifiedWord>
      <trackRevisions>false</trackRevisions>
    </reviewItem>
    <reviewItem>
      <errorID>410f8188-0d60-4717-b04c-84306f9faa41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74F57566</paraID>
      <start>0</start>
      <end>2</end>
      <status>modified</status>
      <modifiedWord>2.</modifiedWord>
      <trackRevisions>false</trackRevisions>
    </reviewItem>
    <reviewItem>
      <errorID>ad7bbb66-eddb-46b0-b6d0-c889dd0fae26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7F809B3F</paraID>
      <start>0</start>
      <end>2</end>
      <status>modified</status>
      <modifiedWord>1.</modifiedWord>
      <trackRevisions>false</trackRevisions>
    </reviewItem>
    <reviewItem>
      <errorID>5a908e89-1001-4b2b-ab1c-43fa9ecf50a9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4FC6A751</paraID>
      <start>0</start>
      <end>2</end>
      <status>modified</status>
      <modifiedWord>2.</modifiedWord>
      <trackRevisions>false</trackRevisions>
    </reviewItem>
    <reviewItem>
      <errorID>16d00f2c-cb84-450a-bace-e17aafaffd1c</errorID>
      <errorWord>》</errorWord>
      <group>L1_Word</group>
      <groupName>字词问题</groupName>
      <ability>L2_Typo</ability>
      <abilityName>字词错误</abilityName>
      <candidateList>
        <item>》第</item>
      </candidateList>
      <explain/>
      <paraID>56750080</paraID>
      <start>31</start>
      <end>33</end>
      <status>modified</status>
      <modifiedWord>》第</modifiedWord>
      <trackRevisions>false</trackRevisions>
    </reviewItem>
    <reviewItem>
      <errorID>56180828-a6bc-4dc7-af6f-dcb0bcbe6af4</errorID>
      <errorWord>[2014]214号</errorWord>
      <group>L1_Knowledge</group>
      <groupName>知识性问题</groupName>
      <ability>L2_Knowledge</ability>
      <abilityName>其他知识</abilityName>
      <candidateList>
        <item>〔2014〕214号</item>
      </candidateList>
      <explain>发文字号格式错误。</explain>
      <paraID> DFE072F</paraID>
      <start>26</start>
      <end>36</end>
      <status>modified</status>
      <modifiedWord>〔2014〕214号</modifiedWord>
      <trackRevisions>false</trackRevisions>
    </reviewItem>
    <reviewItem>
      <errorID>07a40047-e912-409c-8b7b-400fe774e78e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1E969336</paraID>
      <start>0</start>
      <end>2</end>
      <status>modified</status>
      <modifiedWord>1.</modifiedWord>
      <trackRevisions>false</trackRevisions>
    </reviewItem>
    <reviewItem>
      <errorID>7ef66681-4904-47c6-9308-37c7775f8a6a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3529C6FC</paraID>
      <start>0</start>
      <end>2</end>
      <status>modified</status>
      <modifiedWord>2.</modifiedWord>
      <trackRevisions>false</trackRevisions>
    </reviewItem>
    <reviewItem>
      <errorID>ff3a51be-1808-4bae-9786-d25c15c0907e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2683C28B</paraID>
      <start>0</start>
      <end>2</end>
      <status>modified</status>
      <modifiedWord>3.</modifiedWord>
      <trackRevisions>false</trackRevisions>
    </reviewItem>
    <reviewItem>
      <errorID>02d8af55-86f5-4dcc-a241-84e4102fb50c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116E465F</paraID>
      <start>0</start>
      <end>2</end>
      <status>modified</status>
      <modifiedWord>4.</modifiedWord>
      <trackRevisions>false</trackRevisions>
    </reviewItem>
    <reviewItem>
      <errorID>720ac5a8-0e18-4e87-9833-b74bf563de58</errorID>
      <errorWord>不在</errorWord>
      <group>L1_Word</group>
      <groupName>字词问题</groupName>
      <ability>L2_Typo</ability>
      <abilityName>字词错误</abilityName>
      <candidateList>
        <item>不再</item>
      </candidateList>
      <explain/>
      <paraID>116E465F</paraID>
      <start>84</start>
      <end>86</end>
      <status>modified</status>
      <modifiedWord>不再</modifiedWord>
      <trackRevisions>false</trackRevisions>
    </reviewItem>
    <reviewItem>
      <errorID>d23d6108-93b3-449e-ad9e-d1f0040e710b</errorID>
      <errorWord>（</errorWord>
      <group>L1_Format</group>
      <groupName>格式问题</groupName>
      <ability>L2_HalfPunc</ability>
      <abilityName>全半角检查</abilityName>
      <candidateList>
        <item>(</item>
      </candidateList>
      <explain>文本全半角错误。</explain>
      <paraID> 1DCD010</paraID>
      <start>0</start>
      <end>1</end>
      <status>modified</status>
      <modifiedWord>(</modifiedWord>
      <trackRevisions>false</trackRevisions>
    </reviewItem>
    <reviewItem>
      <errorID>e6d65c86-c855-463c-ad5f-89a4853afc18</errorID>
      <errorWord>）</errorWord>
      <group>L1_Format</group>
      <groupName>格式问题</groupName>
      <ability>L2_HalfPunc</ability>
      <abilityName>全半角检查</abilityName>
      <candidateList>
        <item>)</item>
      </candidateList>
      <explain>文本全半角错误。</explain>
      <paraID> 1DCD010</paraID>
      <start>13</start>
      <end>14</end>
      <status>modified</status>
      <modifiedWord>)</modifiedWord>
      <trackRevisions>false</trackRevisions>
    </reviewItem>
    <reviewItem>
      <errorID>e36f57a1-61c9-4683-815a-d6e2be3b3ed3</errorID>
      <errorWord>住房城乡建设部</errorWord>
      <group>L1_Word</group>
      <groupName>字词问题</groupName>
      <ability>L2_Typo</ability>
      <abilityName>字词错误</abilityName>
      <candidateList>
        <item>住房和城乡建设部</item>
      </candidateList>
      <explain/>
      <paraID>683251EC</paraID>
      <start>1</start>
      <end>9</end>
      <status>modified</status>
      <modifiedWord>住房和城乡建设部</modifiedWord>
      <trackRevisions>false</trackRevisions>
    </reviewItem>
    <reviewItem>
      <errorID>6affee54-a187-446d-8bcb-d4e3edd84b93</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6F4EC887</paraID>
      <start>37</start>
      <end>47</end>
      <status>ignored</status>
      <modifiedWord/>
      <trackRevisions>false</trackRevisions>
    </reviewItem>
    <reviewItem>
      <errorID>0e68fe1d-80a6-49b8-ac09-d046a1e3c78e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6F4EC887</paraID>
      <start>47</start>
      <end>49</end>
      <status>modified</status>
      <modifiedWord>》《</modifiedWord>
      <trackRevisions>false</trackRevisions>
    </reviewItem>
    <reviewItem>
      <errorID>84e14121-a808-4794-8793-a57b839357a4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6F4EC887</paraID>
      <start>59</start>
      <end>61</end>
      <status>modified</status>
      <modifiedWord>》《</modifiedWord>
      <trackRevisions>false</trackRevisions>
    </reviewItem>
    <reviewItem>
      <errorID>f194cc24-5068-4210-8a6c-068855c868fe</errorID>
      <errorWord>房</errorWord>
      <group>L1_Word</group>
      <groupName>字词问题</groupName>
      <ability>L2_Typo</ability>
      <abilityName>字词错误</abilityName>
      <candidateList>
        <item>房和</item>
      </candidateList>
      <explain/>
      <paraID>6F4EC887</paraID>
      <start>84</start>
      <end>86</end>
      <status>modified</status>
      <modifiedWord>房和</modifiedWord>
      <trackRevisions>false</trackRevisions>
    </reviewItem>
    <reviewItem>
      <errorID>50d22e02-5f64-4155-a161-bdb1274356b3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7BEB5FF5</paraID>
      <start>25</start>
      <end>27</end>
      <status>modified</status>
      <modifiedWord>》《</modifiedWord>
      <trackRevisions>false</trackRevisions>
    </reviewItem>
    <reviewItem>
      <errorID>646b6530-3a11-479b-947c-17def8025d5d</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7BEB5FF5</paraID>
      <start>27</start>
      <end>37</end>
      <status>ignored</status>
      <modifiedWord/>
      <trackRevisions>false</trackRevisions>
    </reviewItem>
    <reviewItem>
      <errorID>8431dcb1-5804-4330-9234-59bf36ea0592</errorID>
      <errorWord>“/</errorWord>
      <group>L1_Punc</group>
      <groupName>标点问题</groupName>
      <ability>L2_Punc</ability>
      <abilityName>标点符号检查</abilityName>
      <candidateList>
        <item>“</item>
      </candidateList>
      <explain/>
      <paraID> 453A4FD</paraID>
      <start>81</start>
      <end>82</end>
      <status>modified</status>
      <modifiedWord>“</modifiedWord>
      <trackRevisions>false</trackRevisions>
    </reviewItem>
    <reviewItem>
      <errorID>b9813ffa-efcd-4f72-a50e-e90f77798893</errorID>
      <errorWord>,</errorWord>
      <group>L1_Format</group>
      <groupName>格式问题</groupName>
      <ability>L2_HalfPunc</ability>
      <abilityName>全半角检查</abilityName>
      <candidateList>
        <item>，</item>
      </candidateList>
      <explain>文本全半角错误。</explain>
      <paraID>2C2BB0C5</paraID>
      <start>66</start>
      <end>67</end>
      <status>modified</status>
      <modifiedWord>，</modifiedWord>
      <trackRevisions>false</trackRevisions>
    </reviewItem>
    <reviewItem>
      <errorID>92bbd100-6ebe-4009-8537-16e252ce2c17</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 D5548DE</paraID>
      <start>3</start>
      <end>13</end>
      <status>ignored</status>
      <modifiedWord/>
      <trackRevisions>false</trackRevisions>
    </reviewItem>
    <reviewItem>
      <errorID>71e839b9-c6e5-45b0-8423-712a50ee7557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D5548DE</paraID>
      <start>13</start>
      <end>15</end>
      <status>modified</status>
      <modifiedWord>》《</modifiedWord>
      <trackRevisions>false</trackRevisions>
    </reviewItem>
    <reviewItem>
      <errorID>c0162d94-b813-40ec-9534-7e80dfc19a5b</errorID>
      <errorWord>)</errorWord>
      <group>L1_Format</group>
      <groupName>格式问题</groupName>
      <ability>L2_HalfPunc</ability>
      <abilityName>全半角检查</abilityName>
      <candidateList>
        <item>）</item>
      </candidateList>
      <explain>文本全半角错误。</explain>
      <paraID>378FF194</paraID>
      <start>39</start>
      <end>40</end>
      <status>modified</status>
      <modifiedWord>）</modifiedWord>
      <trackRevisions>false</trackRevisions>
    </reviewItem>
    <reviewItem>
      <errorID>b09fc302-20bb-4706-8b61-7d618e7d2891</errorID>
      <errorWord>)</errorWord>
      <group>L1_Format</group>
      <groupName>格式问题</groupName>
      <ability>L2_HalfPunc</ability>
      <abilityName>全半角检查</abilityName>
      <candidateList>
        <item>）</item>
      </candidateList>
      <explain>文本全半角错误。</explain>
      <paraID>6B8D1DF1</paraID>
      <start>35</start>
      <end>36</end>
      <status>modified</status>
      <modifiedWord>）</modifiedWord>
      <trackRevisions>false</trackRevisions>
    </reviewItem>
    <reviewItem>
      <errorID>3423aa18-fb85-405c-a0a0-2191bd001228</errorID>
      <errorWord>)</errorWord>
      <group>L1_Format</group>
      <groupName>格式问题</groupName>
      <ability>L2_HalfPunc</ability>
      <abilityName>全半角检查</abilityName>
      <candidateList>
        <item>）</item>
      </candidateList>
      <explain>文本全半角错误。</explain>
      <paraID>5F83F773</paraID>
      <start>35</start>
      <end>36</end>
      <status>modified</status>
      <modifiedWord>）</modifiedWord>
      <trackRevisions>false</trackRevisions>
    </reviewItem>
    <reviewItem>
      <errorID>977baef7-56cf-4681-9af9-d8296b0b8cf8</errorID>
      <errorWord>)</errorWord>
      <group>L1_Format</group>
      <groupName>格式问题</groupName>
      <ability>L2_HalfPunc</ability>
      <abilityName>全半角检查</abilityName>
      <candidateList>
        <item>）</item>
      </candidateList>
      <explain>文本全半角错误。</explain>
      <paraID>54E4B209</paraID>
      <start>35</start>
      <end>36</end>
      <status>modified</status>
      <modifiedWord>）</modifiedWord>
      <trackRevisions>false</trackRevisions>
    </reviewItem>
    <reviewItem>
      <errorID>1abc6b98-f53b-4dc2-b8bf-1ad579b4269d</errorID>
      <errorWord>)</errorWord>
      <group>L1_Format</group>
      <groupName>格式问题</groupName>
      <ability>L2_HalfPunc</ability>
      <abilityName>全半角检查</abilityName>
      <candidateList>
        <item>）</item>
      </candidateList>
      <explain>文本全半角错误。</explain>
      <paraID> CC495D5</paraID>
      <start>35</start>
      <end>36</end>
      <status>modified</status>
      <modifiedWord>）</modifiedWord>
      <trackRevisions>false</trackRevisions>
    </reviewItem>
    <reviewItem>
      <errorID>29b20c52-7a51-4902-9469-b9ee2d11346e</errorID>
      <errorWord>(</errorWord>
      <group>L1_Format</group>
      <groupName>格式问题</groupName>
      <ability>L2_HalfPunc</ability>
      <abilityName>全半角检查</abilityName>
      <candidateList>
        <item>（</item>
      </candidateList>
      <explain>文本全半角错误。</explain>
      <paraID>42565BFB</paraID>
      <start>6</start>
      <end>7</end>
      <status>modified</status>
      <modifiedWord>（</modifiedWord>
      <trackRevisions>false</trackRevisions>
    </reviewItem>
    <reviewItem>
      <errorID>48cc9fbe-192b-422f-ac42-73e8e6bafb4a</errorID>
      <errorWord>)</errorWord>
      <group>L1_Format</group>
      <groupName>格式问题</groupName>
      <ability>L2_HalfPunc</ability>
      <abilityName>全半角检查</abilityName>
      <candidateList>
        <item>）</item>
      </candidateList>
      <explain>文本全半角错误。</explain>
      <paraID>42565BFB</paraID>
      <start>9</start>
      <end>10</end>
      <status>modified</status>
      <modifiedWord>）</modifiedWord>
      <trackRevisions>false</trackRevisions>
    </reviewItem>
    <reviewItem>
      <errorID>696fa66b-8a21-4224-a0ae-0d5be5a491be</errorID>
      <errorWord>(</errorWord>
      <group>L1_Format</group>
      <groupName>格式问题</groupName>
      <ability>L2_HalfPunc</ability>
      <abilityName>全半角检查</abilityName>
      <candidateList>
        <item>（</item>
      </candidateList>
      <explain>文本全半角错误。</explain>
      <paraID>42565BFB</paraID>
      <start>29</start>
      <end>30</end>
      <status>modified</status>
      <modifiedWord>（</modifiedWord>
      <trackRevisions>false</trackRevisions>
    </reviewItem>
    <reviewItem>
      <errorID>5f8f2cdb-97e2-4f0a-8607-62117c475b69</errorID>
      <errorWord>)</errorWord>
      <group>L1_Format</group>
      <groupName>格式问题</groupName>
      <ability>L2_HalfPunc</ability>
      <abilityName>全半角检查</abilityName>
      <candidateList>
        <item>）</item>
      </candidateList>
      <explain>文本全半角错误。</explain>
      <paraID>42565BFB</paraID>
      <start>32</start>
      <end>33</end>
      <status>modified</status>
      <modifiedWord>）</modifiedWord>
      <trackRevisions>false</trackRevisions>
    </reviewItem>
    <reviewItem>
      <errorID>bbe21536-cf8d-4dc0-a29d-329027efd7af</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530F4E9A</paraID>
      <start>127</start>
      <end>128</end>
      <status>modified</status>
      <modifiedWord>等</modifiedWord>
      <trackRevisions>false</trackRevisions>
    </reviewItem>
    <reviewItem>
      <errorID>9c916ca5-2fe9-4572-a7ac-8c5c0a6cce44</errorID>
      <errorWord>送达至</errorWord>
      <group>L1_Word</group>
      <groupName>字词问题</groupName>
      <ability>L2_Typo</ability>
      <abilityName>字词错误</abilityName>
      <candidateList>
        <item>送达</item>
      </candidateList>
      <explain/>
      <paraID>793FEC54</paraID>
      <start>22</start>
      <end>24</end>
      <status>modified</status>
      <modifiedWord>送达</modifiedWord>
      <trackRevisions>false</trackRevisions>
    </reviewItem>
    <reviewItem>
      <errorID>61e0f84e-5f90-493e-9ddf-ae04d7910135</errorID>
      <errorWord>涵义</errorWord>
      <group>L1_Word</group>
      <groupName>字词问题</groupName>
      <ability>L2_Alias</ability>
      <abilityName>也作/曾用词</abilityName>
      <candidateList>
        <item>含义</item>
      </candidateList>
      <explain>词汇[涵义]为不规范表述或旧称，其规范书面表述为[含义]。</explain>
      <paraID>7962678E</paraID>
      <start>31</start>
      <end>33</end>
      <status>modified</status>
      <modifiedWord>含义</modifiedWord>
      <trackRevisions>false</trackRevisions>
    </reviewItem>
    <reviewItem>
      <errorID>47c750a2-1d46-40b6-9bc3-a59bd9a6e2c8</errorID>
      <errorWord>涵义</errorWord>
      <group>L1_Word</group>
      <groupName>字词问题</groupName>
      <ability>L2_Alias</ability>
      <abilityName>也作/曾用词</abilityName>
      <candidateList>
        <item>含义</item>
      </candidateList>
      <explain>词汇[涵义]为不规范表述或旧称，其规范书面表述为[含义]。</explain>
      <paraID>7962678E</paraID>
      <start>77</start>
      <end>79</end>
      <status>modified</status>
      <modifiedWord>含义</modifiedWord>
      <trackRevisions>false</trackRevisions>
    </reviewItem>
    <reviewItem>
      <errorID>62c597d0-8712-40c8-83b3-564907448558</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2978AC3F</paraID>
      <start>28</start>
      <end>34</end>
      <status>modified</status>
      <modifiedWord>古树名木保护</modifiedWord>
      <trackRevisions>false</trackRevisions>
    </reviewItem>
    <reviewItem>
      <errorID>e958e157-29a6-4e35-b9e8-782dc2e0b791</errorID>
      <errorWord>做出</errorWord>
      <group>L1_Word</group>
      <groupName>字词问题</groupName>
      <ability>L2_Typo</ability>
      <abilityName>字词错误</abilityName>
      <candidateList>
        <item>作出</item>
      </candidateList>
      <explain/>
      <paraID>7FE19D9F</paraID>
      <start>63</start>
      <end>65</end>
      <status>modified</status>
      <modifiedWord>作出</modifiedWord>
      <trackRevisions>false</trackRevisions>
    </reviewItem>
    <reviewItem>
      <errorID>54662752-3036-4597-84fc-418b4b94487b</errorID>
      <errorWord>作</errorWord>
      <group>L1_Word</group>
      <groupName>字词问题</groupName>
      <ability>L2_Typo</ability>
      <abilityName>字词错误</abilityName>
      <candidateList>
        <item>做</item>
      </candidateList>
      <explain>存在发音相同字词的误用。</explain>
      <paraID>5EB4672C</paraID>
      <start>56</start>
      <end>57</end>
      <status>modified</status>
      <modifiedWord>做</modifiedWord>
      <trackRevisions>false</trackRevisions>
    </reviewItem>
    <reviewItem>
      <errorID>16497347-d6fc-48aa-91ff-08fbe05c7427</errorID>
      <errorWord>察看</errorWord>
      <group>L1_Word</group>
      <groupName>字词问题</groupName>
      <ability>L2_Typo</ability>
      <abilityName>字词错误</abilityName>
      <candidateList>
        <item>查看</item>
      </candidateList>
      <explain>〈动〉检查、观察（事物的情况）：～灾情｜亲自到现场～。</explain>
      <paraID> 4627DC3</paraID>
      <start>96</start>
      <end>98</end>
      <status>modified</status>
      <modifiedWord>查看</modifiedWord>
      <trackRevisions>false</trackRevisions>
    </reviewItem>
    <reviewItem>
      <errorID>90333981-9c0f-4677-82d1-ef5f7de34b67</errorID>
      <errorWord>作</errorWord>
      <group>L1_Word</group>
      <groupName>字词问题</groupName>
      <ability>L2_Typo</ability>
      <abilityName>字词错误</abilityName>
      <candidateList>
        <item>做</item>
      </candidateList>
      <explain>存在发音相同字词的误用。</explain>
      <paraID>3238AEB3</paraID>
      <start>124</start>
      <end>125</end>
      <status>modified</status>
      <modifiedWord>做</modifiedWord>
      <trackRevisions>false</trackRevisions>
    </reviewItem>
    <reviewItem>
      <errorID>b834886b-36bd-4fbc-8291-18feaebbca52</errorID>
      <errorWord>，</errorWord>
      <group>L1_Word</group>
      <groupName>字词问题</groupName>
      <ability>L2_Typo</ability>
      <abilityName>字词错误</abilityName>
      <candidateList>
        <item>，在</item>
      </candidateList>
      <explain/>
      <paraID>11D86596</paraID>
      <start>28</start>
      <end>30</end>
      <status>modified</status>
      <modifiedWord>，在</modifiedWord>
      <trackRevisions>false</trackRevisions>
    </reviewItem>
    <reviewItem>
      <errorID>99b35725-ce21-45b9-8f20-d207a1f3f5de</errorID>
      <errorWord>，</errorWord>
      <group>L1_Word</group>
      <groupName>字词问题</groupName>
      <ability>L2_Typo</ability>
      <abilityName>字词错误</abilityName>
      <candidateList>
        <item>，以</item>
      </candidateList>
      <explain/>
      <paraID>48293AEF</paraID>
      <start>23</start>
      <end>25</end>
      <status>modified</status>
      <modifiedWord>，以</modifiedWord>
      <trackRevisions>false</trackRevisions>
    </reviewItem>
    <reviewItem>
      <errorID>b4bef40f-6405-4c04-9123-eef6837cde27</errorID>
      <errorWord>,</errorWord>
      <group>L1_Format</group>
      <groupName>格式问题</groupName>
      <ability>L2_HalfPunc</ability>
      <abilityName>全半角检查</abilityName>
      <candidateList>
        <item>，</item>
      </candidateList>
      <explain>文本全半角错误。</explain>
      <paraID>6C6B9485</paraID>
      <start>31</start>
      <end>32</end>
      <status>modified</status>
      <modifiedWord>，</modifiedWord>
      <trackRevisions>false</trackRevisions>
    </reviewItem>
    <reviewItem>
      <errorID>92b4dc9e-033d-49d4-8251-52262caf99c6</errorID>
      <errorWord>,</errorWord>
      <group>L1_Format</group>
      <groupName>格式问题</groupName>
      <ability>L2_HalfPunc</ability>
      <abilityName>全半角检查</abilityName>
      <candidateList>
        <item>，</item>
      </candidateList>
      <explain>文本全半角错误。</explain>
      <paraID>419ABDD7</paraID>
      <start>92</start>
      <end>93</end>
      <status>modified</status>
      <modifiedWord>，</modifiedWord>
      <trackRevisions>false</trackRevisions>
    </reviewItem>
    <reviewItem>
      <errorID>8d0e9679-39a7-4331-a42f-8bf38499e2a3</errorID>
      <errorWord>噪音</errorWord>
      <group>L1_Word</group>
      <groupName>字词问题</groupName>
      <ability>L2_Alias</ability>
      <abilityName>也作/曾用词</abilityName>
      <candidateList>
        <item>噪声</item>
      </candidateList>
      <explain>词汇[噪音]为不规范表述或旧称，其规范书面表述为[噪声]。</explain>
      <paraID>41806755</paraID>
      <start>69</start>
      <end>71</end>
      <status>modified</status>
      <modifiedWord>噪声</modifiedWord>
      <trackRevisions>false</trackRevisions>
    </reviewItem>
    <reviewItem>
      <errorID>85493485-c473-4187-907c-990217c06ece</errorID>
      <errorWord>天</errorWord>
      <group>L1_Word</group>
      <groupName>字词问题</groupName>
      <ability>L2_Typo</ability>
      <abilityName>字词错误</abilityName>
      <candidateList>
        <item>天内</item>
      </candidateList>
      <explain/>
      <paraID>76D2ACDA</paraID>
      <start>81</start>
      <end>83</end>
      <status>modified</status>
      <modifiedWord>天内</modifiedWord>
      <trackRevisions>false</trackRevisions>
    </reviewItem>
    <reviewItem>
      <errorID>a2317654-fcac-42a3-913f-eda6f18179c2</errorID>
      <errorWord>任何的</errorWord>
      <group>L1_Word</group>
      <groupName>字词问题</groupName>
      <ability>L2_Typo</ability>
      <abilityName>字词错误</abilityName>
      <candidateList>
        <item>任何</item>
      </candidateList>
      <explain>〈代〉指示代词。不论什么：～人都要遵纪守法｜我们能够战胜～困难。</explain>
      <paraID> 8608D1A</paraID>
      <start>65</start>
      <end>67</end>
      <status>modified</status>
      <modifiedWord>任何</modifiedWord>
      <trackRevisions>false</trackRevisions>
    </reviewItem>
    <reviewItem>
      <errorID>b6182281-7dc8-4669-981a-323a341928c9</errorID>
      <errorWord>运入</errorWord>
      <group>L1_Word</group>
      <groupName>字词问题</groupName>
      <ability>L2_Typo</ability>
      <abilityName>字词错误</abilityName>
      <candidateList>
        <item>进入</item>
      </candidateList>
      <explain>〈动〉支进到某个范围或某个时期里：～学校｜～新阶段◇～角色。</explain>
      <paraID>2D6C64CE</paraID>
      <start>3</start>
      <end>5</end>
      <status>modified</status>
      <modifiedWord>进入</modifiedWord>
      <trackRevisions>false</trackRevisions>
    </reviewItem>
    <reviewItem>
      <errorID>42baa600-816b-4f60-a4a1-b7fe53120d07</errorID>
      <errorWord>;</errorWord>
      <group>L1_Format</group>
      <groupName>格式问题</groupName>
      <ability>L2_HalfPunc</ability>
      <abilityName>全半角检查</abilityName>
      <candidateList>
        <item>；</item>
      </candidateList>
      <explain>文本全半角错误。</explain>
      <paraID>61CCFFF2</paraID>
      <start>63</start>
      <end>64</end>
      <status>modified</status>
      <modifiedWord>；</modifiedWord>
      <trackRevisions>false</trackRevisions>
    </reviewItem>
    <reviewItem>
      <errorID>dd171e8d-8f23-42a6-b22f-3de43a4b3143</errorID>
      <errorWord>款</errorWord>
      <group>L1_Word</group>
      <groupName>字词问题</groupName>
      <ability>L2_Typo</ability>
      <abilityName>字词错误</abilityName>
      <candidateList>
        <item>款中</item>
      </candidateList>
      <explain/>
      <paraID> 760C1B6</paraID>
      <start>62</start>
      <end>64</end>
      <status>modified</status>
      <modifiedWord>款中</modifiedWord>
      <trackRevisions>false</trackRevisions>
    </reviewItem>
    <reviewItem>
      <errorID>a3369cc4-0c80-44c4-b857-64b56571c897</errorID>
      <errorWord>:</errorWord>
      <group>L1_Format</group>
      <groupName>格式问题</groupName>
      <ability>L2_HalfPunc</ability>
      <abilityName>全半角检查</abilityName>
      <candidateList>
        <item>：</item>
      </candidateList>
      <explain>文本全半角错误。</explain>
      <paraID>3A638A26</paraID>
      <start>43</start>
      <end>44</end>
      <status>modified</status>
      <modifiedWord>：</modifiedWord>
      <trackRevisions>false</trackRevisions>
    </reviewItem>
    <reviewItem>
      <errorID>565eaf01-a5a8-484f-9ae2-6af9e1bba4dc</errorID>
      <errorWord>其它</errorWord>
      <group>L1_Word</group>
      <groupName>字词问题</groupName>
      <ability>L2_Alias</ability>
      <abilityName>也作/曾用词</abilityName>
      <candidateList>
        <item>其他</item>
      </candidateList>
      <explain>词汇[其它]为不规范表述或旧称，其规范书面表述为[其他]。</explain>
      <paraID>5834086E</paraID>
      <start>2</start>
      <end>4</end>
      <status>modified</status>
      <modifiedWord>其他</modifiedWord>
      <trackRevisions>false</trackRevisions>
    </reviewItem>
    <reviewItem>
      <errorID>ee4e7dba-1b0d-4b5b-a9c2-efe642314c1f</errorID>
      <errorWord>）</errorWord>
      <group>L1_Word</group>
      <groupName>字词问题</groupName>
      <ability>L2_Typo</ability>
      <abilityName>字词错误</abilityName>
      <candidateList>
        <item>）项</item>
      </candidateList>
      <explain/>
      <paraID>62E356C1</paraID>
      <start>44</start>
      <end>46</end>
      <status>modified</status>
      <modifiedWord>）项</modifiedWord>
      <trackRevisions>false</trackRevisions>
    </reviewItem>
    <reviewItem>
      <errorID>ae4cf0b5-9a33-40b2-ba87-edd40bc5b286</errorID>
      <errorWord>款</errorWord>
      <group>L1_Word</group>
      <groupName>字词问题</groupName>
      <ability>L2_Typo</ability>
      <abilityName>字词错误</abilityName>
      <candidateList>
        <item>款中</item>
      </candidateList>
      <explain/>
      <paraID>21BFEFCE</paraID>
      <start>39</start>
      <end>41</end>
      <status>modified</status>
      <modifiedWord>款中</modifiedWord>
      <trackRevisions>false</trackRevisions>
    </reviewItem>
    <reviewItem>
      <errorID>1fac3dbf-d2ca-49ab-94b1-8b84f2889705</errorID>
      <errorWord>限</errorWord>
      <group>L1_Word</group>
      <groupName>字词问题</groupName>
      <ability>L2_Typo</ability>
      <abilityName>字词错误</abilityName>
      <candidateList>
        <item>限内</item>
      </candidateList>
      <explain/>
      <paraID>67AE701A</paraID>
      <start>24</start>
      <end>26</end>
      <status>modified</status>
      <modifiedWord>限内</modifiedWord>
      <trackRevisions>false</trackRevisions>
    </reviewItem>
    <reviewItem>
      <errorID>2dfed699-f730-42a7-945b-724ed45933fe</errorID>
      <errorWord>款</errorWord>
      <group>L1_Word</group>
      <groupName>字词问题</groupName>
      <ability>L2_Typo</ability>
      <abilityName>字词错误</abilityName>
      <candidateList>
        <item>款中</item>
      </candidateList>
      <explain/>
      <paraID>386869F5</paraID>
      <start>181</start>
      <end>183</end>
      <status>modified</status>
      <modifiedWord>款中</modifiedWord>
      <trackRevisions>false</trackRevisions>
    </reviewItem>
    <reviewItem>
      <errorID>0189ee45-a9c6-4a79-a771-a62840423ad2</errorID>
      <errorWord>。</errorWord>
      <group>L1_Punc</group>
      <groupName>标点问题</groupName>
      <ability>L2_Punc</ability>
      <abilityName>标点符号检查</abilityName>
      <candidateList/>
      <explain/>
      <paraID>7A2824DA</paraID>
      <start>57</start>
      <end>58</end>
      <status>ignored</status>
      <modifiedWord/>
      <trackRevisions>false</trackRevisions>
    </reviewItem>
    <reviewItem>
      <errorID>66a381e8-a1df-41b6-baf7-ffd001ba38fb</errorID>
      <errorWord>；</errorWord>
      <group>L1_Punc</group>
      <groupName>标点问题</groupName>
      <ability>L2_Punc</ability>
      <abilityName>标点符号检查</abilityName>
      <candidateList/>
      <explain/>
      <paraID>66528D6C</paraID>
      <start>57</start>
      <end>58</end>
      <status>ignored</status>
      <modifiedWord/>
      <trackRevisions>false</trackRevisions>
    </reviewItem>
    <reviewItem>
      <errorID>4eaf49de-d841-4d70-bd66-59dbff86deda</errorID>
      <errorWord>。</errorWord>
      <group>L1_Punc</group>
      <groupName>标点问题</groupName>
      <ability>L2_Punc</ability>
      <abilityName>标点符号检查</abilityName>
      <candidateList/>
      <explain/>
      <paraID>77E570F9</paraID>
      <start>57</start>
      <end>58</end>
      <status>ignored</status>
      <modifiedWord/>
      <trackRevisions>false</trackRevisions>
    </reviewItem>
    <reviewItem>
      <errorID>c3ff9187-bbfa-47e1-91d0-0411fd2058f2</errorID>
      <errorWord>。</errorWord>
      <group>L1_Punc</group>
      <groupName>标点问题</groupName>
      <ability>L2_Punc</ability>
      <abilityName>标点符号检查</abilityName>
      <candidateList/>
      <explain/>
      <paraID>1F331D21</paraID>
      <start>57</start>
      <end>58</end>
      <status>ignored</status>
      <modifiedWord/>
      <trackRevisions>false</trackRevisions>
    </reviewItem>
    <reviewItem>
      <errorID>39be2fe8-6c3e-4560-be81-cb7802811b16</errorID>
      <errorWord>。</errorWord>
      <group>L1_Punc</group>
      <groupName>标点问题</groupName>
      <ability>L2_Punc</ability>
      <abilityName>标点符号检查</abilityName>
      <candidateList/>
      <explain/>
      <paraID>46B33DF9</paraID>
      <start>57</start>
      <end>58</end>
      <status>ignored</status>
      <modifiedWord/>
      <trackRevisions>false</trackRevisions>
    </reviewItem>
    <reviewItem>
      <errorID>0374059d-b14b-48d3-a908-5be3de06981f</errorID>
      <errorWord>。</errorWord>
      <group>L1_Punc</group>
      <groupName>标点问题</groupName>
      <ability>L2_Punc</ability>
      <abilityName>标点符号检查</abilityName>
      <candidateList/>
      <explain/>
      <paraID>421D2146</paraID>
      <start>57</start>
      <end>58</end>
      <status>ignored</status>
      <modifiedWord/>
      <trackRevisions>false</trackRevisions>
    </reviewItem>
    <reviewItem>
      <errorID>00eb45ba-8a4f-48c0-aaf7-0dd884c77efa</errorID>
      <errorWord>。</errorWord>
      <group>L1_Punc</group>
      <groupName>标点问题</groupName>
      <ability>L2_Punc</ability>
      <abilityName>标点符号检查</abilityName>
      <candidateList/>
      <explain/>
      <paraID>15E89074</paraID>
      <start>57</start>
      <end>58</end>
      <status>ignored</status>
      <modifiedWord/>
      <trackRevisions>false</trackRevisions>
    </reviewItem>
    <reviewItem>
      <errorID>aa81d0f9-0f04-469d-b116-743636caef62</errorID>
      <errorWord>（</errorWord>
      <group>L1_Format</group>
      <groupName>格式问题</groupName>
      <ability>L2_HalfPunc</ability>
      <abilityName>全半角检查</abilityName>
      <candidateList>
        <item>(</item>
      </candidateList>
      <explain>文本全半角错误。</explain>
      <paraID>7DEBBF6C</paraID>
      <start>0</start>
      <end>1</end>
      <status>modified</status>
      <modifiedWord>(</modifiedWord>
      <trackRevisions>false</trackRevisions>
    </reviewItem>
    <reviewItem>
      <errorID>ab5ea9f0-93e5-4f47-9954-406aed5c135b</errorID>
      <errorWord>）</errorWord>
      <group>L1_Format</group>
      <groupName>格式问题</groupName>
      <ability>L2_HalfPunc</ability>
      <abilityName>全半角检查</abilityName>
      <candidateList>
        <item>)</item>
      </candidateList>
      <explain>文本全半角错误。</explain>
      <paraID>7DEBBF6C</paraID>
      <start>2</start>
      <end>3</end>
      <status>modified</status>
      <modifiedWord>)</modifiedWord>
      <trackRevisions>false</trackRevisions>
    </reviewItem>
    <reviewItem>
      <errorID>0a659fcb-e4c0-4985-a0d9-ab10dd408cb4</errorID>
      <errorWord>；</errorWord>
      <group>L1_Format</group>
      <groupName>格式问题</groupName>
      <ability>L2_HalfPunc</ability>
      <abilityName>全半角检查</abilityName>
      <candidateList>
        <item>;</item>
      </candidateList>
      <explain>文本全半角错误。</explain>
      <paraID>7DEBBF6C</paraID>
      <start>38</start>
      <end>39</end>
      <status>modified</status>
      <modifiedWord>;</modifiedWord>
      <trackRevisions>false</trackRevisions>
    </reviewItem>
    <reviewItem>
      <errorID>4d268d2c-18e4-438c-bdb6-1040eabf1b8c</errorID>
      <errorWord>（</errorWord>
      <group>L1_Format</group>
      <groupName>格式问题</groupName>
      <ability>L2_HalfPunc</ability>
      <abilityName>全半角检查</abilityName>
      <candidateList>
        <item>(</item>
      </candidateList>
      <explain>文本全半角错误。</explain>
      <paraID>4C05A5DE</paraID>
      <start>0</start>
      <end>1</end>
      <status>modified</status>
      <modifiedWord>(</modifiedWord>
      <trackRevisions>false</trackRevisions>
    </reviewItem>
    <reviewItem>
      <errorID>2f550541-3740-4856-a9fc-f4dde08683cf</errorID>
      <errorWord>）</errorWord>
      <group>L1_Format</group>
      <groupName>格式问题</groupName>
      <ability>L2_HalfPunc</ability>
      <abilityName>全半角检查</abilityName>
      <candidateList>
        <item>)</item>
      </candidateList>
      <explain>文本全半角错误。</explain>
      <paraID>4C05A5DE</paraID>
      <start>2</start>
      <end>3</end>
      <status>modified</status>
      <modifiedWord>)</modifiedWord>
      <trackRevisions>false</trackRevisions>
    </reviewItem>
    <reviewItem>
      <errorID>30acc4da-afb4-4c3d-89c8-1aaf99bce018</errorID>
      <errorWord>；</errorWord>
      <group>L1_Format</group>
      <groupName>格式问题</groupName>
      <ability>L2_HalfPunc</ability>
      <abilityName>全半角检查</abilityName>
      <candidateList>
        <item>;</item>
      </candidateList>
      <explain>文本全半角错误。</explain>
      <paraID>4C05A5DE</paraID>
      <start>38</start>
      <end>39</end>
      <status>modified</status>
      <modifiedWord>;</modifiedWord>
      <trackRevisions>false</trackRevisions>
    </reviewItem>
    <reviewItem>
      <errorID>f8092480-206f-43dd-80b5-bdfa2d63b314</errorID>
      <errorWord>（</errorWord>
      <group>L1_Format</group>
      <groupName>格式问题</groupName>
      <ability>L2_HalfPunc</ability>
      <abilityName>全半角检查</abilityName>
      <candidateList>
        <item>(</item>
      </candidateList>
      <explain>文本全半角错误。</explain>
      <paraID>  3DB82E</paraID>
      <start>0</start>
      <end>1</end>
      <status>modified</status>
      <modifiedWord>(</modifiedWord>
      <trackRevisions>false</trackRevisions>
    </reviewItem>
    <reviewItem>
      <errorID>0f4d51b3-e47a-4374-8a94-59f63eaf3989</errorID>
      <errorWord>）</errorWord>
      <group>L1_Format</group>
      <groupName>格式问题</groupName>
      <ability>L2_HalfPunc</ability>
      <abilityName>全半角检查</abilityName>
      <candidateList>
        <item>)</item>
      </candidateList>
      <explain>文本全半角错误。</explain>
      <paraID>  3DB82E</paraID>
      <start>2</start>
      <end>3</end>
      <status>modified</status>
      <modifiedWord>)</modifiedWord>
      <trackRevisions>false</trackRevisions>
    </reviewItem>
    <reviewItem>
      <errorID>7ff1de2d-7187-444c-b667-3593aeb35b9d</errorID>
      <errorWord>。</errorWord>
      <group>L1_Format</group>
      <groupName>格式问题</groupName>
      <ability>L2_HalfPunc</ability>
      <abilityName>全半角检查</abilityName>
      <candidateList>
        <item>.</item>
      </candidateList>
      <explain>文本全半角错误。</explain>
      <paraID>  3DB82E</paraID>
      <start>38</start>
      <end>39</end>
      <status>modified</status>
      <modifiedWord>.</modifiedWord>
      <trackRevisions>false</trackRevisions>
    </reviewItem>
    <reviewItem>
      <errorID>6cf2fec7-5e35-4006-8294-1d314018016a</errorID>
      <errorWord>。</errorWord>
      <group>L1_Punc</group>
      <groupName>标点问题</groupName>
      <ability>L2_Punc</ability>
      <abilityName>标点符号检查</abilityName>
      <candidateList/>
      <explain/>
      <paraID>554490B8</paraID>
      <start>57</start>
      <end>58</end>
      <status>ignored</status>
      <modifiedWord/>
      <trackRevisions>false</trackRevisions>
    </reviewItem>
    <reviewItem>
      <errorID>cf30039a-292e-408d-970a-8ec1dbd22783</errorID>
      <errorWord>。</errorWord>
      <group>L1_Punc</group>
      <groupName>标点问题</groupName>
      <ability>L2_Punc</ability>
      <abilityName>标点符号检查</abilityName>
      <candidateList/>
      <explain/>
      <paraID>2FCA938F</paraID>
      <start>57</start>
      <end>58</end>
      <status>ignored</status>
      <modifiedWord/>
      <trackRevisions>false</trackRevisions>
    </reviewItem>
    <reviewItem>
      <errorID>7e293c8c-e7f5-45af-bb71-c5906761767a</errorID>
      <errorWord>。</errorWord>
      <group>L1_Punc</group>
      <groupName>标点问题</groupName>
      <ability>L2_Punc</ability>
      <abilityName>标点符号检查</abilityName>
      <candidateList/>
      <explain/>
      <paraID>173D0524</paraID>
      <start>57</start>
      <end>58</end>
      <status>ignored</status>
      <modifiedWord/>
      <trackRevisions>false</trackRevisions>
    </reviewItem>
    <reviewItem>
      <errorID>20fd99f1-f4ff-46d5-8f4c-a1559b48f967</errorID>
      <errorWord>。</errorWord>
      <group>L1_Punc</group>
      <groupName>标点问题</groupName>
      <ability>L2_Punc</ability>
      <abilityName>标点符号检查</abilityName>
      <candidateList/>
      <explain/>
      <paraID>560737AF</paraID>
      <start>57</start>
      <end>58</end>
      <status>ignored</status>
      <modifiedWord/>
      <trackRevisions>false</trackRevisions>
    </reviewItem>
    <reviewItem>
      <errorID>fcb626de-1234-411b-b783-f1108f833bd1</errorID>
      <errorWord>。</errorWord>
      <group>L1_Punc</group>
      <groupName>标点问题</groupName>
      <ability>L2_Punc</ability>
      <abilityName>标点符号检查</abilityName>
      <candidateList/>
      <explain/>
      <paraID>5AEE0C45</paraID>
      <start>57</start>
      <end>58</end>
      <status>ignored</status>
      <modifiedWord/>
      <trackRevisions>false</trackRevisions>
    </reviewItem>
    <reviewItem>
      <errorID>9b04177f-4ffe-4699-9551-a04eecf796c6</errorID>
      <errorWord>。</errorWord>
      <group>L1_Punc</group>
      <groupName>标点问题</groupName>
      <ability>L2_Punc</ability>
      <abilityName>标点符号检查</abilityName>
      <candidateList/>
      <explain/>
      <paraID>60D1FBBF</paraID>
      <start>57</start>
      <end>58</end>
      <status>ignored</status>
      <modifiedWord/>
      <trackRevisions>false</trackRevisions>
    </reviewItem>
    <reviewItem>
      <errorID>dcaed1cf-a27e-4e54-a7b5-bdc7af067dad</errorID>
      <errorWord>。</errorWord>
      <group>L1_Punc</group>
      <groupName>标点问题</groupName>
      <ability>L2_Punc</ability>
      <abilityName>标点符号检查</abilityName>
      <candidateList/>
      <explain/>
      <paraID>2EB20A46</paraID>
      <start>57</start>
      <end>58</end>
      <status>ignored</status>
      <modifiedWord/>
      <trackRevisions>false</trackRevisions>
    </reviewItem>
    <reviewItem>
      <errorID>aaa3db9d-19b7-4677-9367-2cfca99e9ef7</errorID>
      <errorWord>。</errorWord>
      <group>L1_Punc</group>
      <groupName>标点问题</groupName>
      <ability>L2_Punc</ability>
      <abilityName>标点符号检查</abilityName>
      <candidateList/>
      <explain/>
      <paraID>6F918FA3</paraID>
      <start>57</start>
      <end>58</end>
      <status>ignored</status>
      <modifiedWord/>
      <trackRevisions>false</trackRevisions>
    </reviewItem>
    <reviewItem>
      <errorID>e7110da3-87b4-49c3-b4f3-307b461c8b35</errorID>
      <errorWord>。</errorWord>
      <group>L1_Punc</group>
      <groupName>标点问题</groupName>
      <ability>L2_Punc</ability>
      <abilityName>标点符号检查</abilityName>
      <candidateList/>
      <explain/>
      <paraID>5F0FFDDF</paraID>
      <start>57</start>
      <end>58</end>
      <status>ignored</status>
      <modifiedWord/>
      <trackRevisions>false</trackRevisions>
    </reviewItem>
    <reviewItem>
      <errorID>51bf5450-cbf2-4ff5-9693-9d002c6d6d95</errorID>
      <errorWord>。</errorWord>
      <group>L1_Punc</group>
      <groupName>标点问题</groupName>
      <ability>L2_Punc</ability>
      <abilityName>标点符号检查</abilityName>
      <candidateList/>
      <explain/>
      <paraID>40713F4C</paraID>
      <start>57</start>
      <end>58</end>
      <status>ignored</status>
      <modifiedWord/>
      <trackRevisions>false</trackRevisions>
    </reviewItem>
    <reviewItem>
      <errorID>1638f330-e389-4bac-8044-202d49899707</errorID>
      <errorWord>。</errorWord>
      <group>L1_Punc</group>
      <groupName>标点问题</groupName>
      <ability>L2_Punc</ability>
      <abilityName>标点符号检查</abilityName>
      <candidateList/>
      <explain/>
      <paraID>7ACEB6B1</paraID>
      <start>57</start>
      <end>58</end>
      <status>ignored</status>
      <modifiedWord/>
      <trackRevisions>false</trackRevisions>
    </reviewItem>
    <reviewItem>
      <errorID>7520bd69-a22b-49ea-9853-e8b2f5fe9eab</errorID>
      <errorWord>。</errorWord>
      <group>L1_Punc</group>
      <groupName>标点问题</groupName>
      <ability>L2_Punc</ability>
      <abilityName>标点符号检查</abilityName>
      <candidateList/>
      <explain/>
      <paraID> 5FB6ED5</paraID>
      <start>57</start>
      <end>58</end>
      <status>ignored</status>
      <modifiedWord/>
      <trackRevisions>false</trackRevisions>
    </reviewItem>
    <reviewItem>
      <errorID>096b01c2-2c50-4f8f-bbe9-da68d90d3c4c</errorID>
      <errorWord>。</errorWord>
      <group>L1_Punc</group>
      <groupName>标点问题</groupName>
      <ability>L2_Punc</ability>
      <abilityName>标点符号检查</abilityName>
      <candidateList/>
      <explain/>
      <paraID>2323EC0D</paraID>
      <start>57</start>
      <end>58</end>
      <status>ignored</status>
      <modifiedWord/>
      <trackRevisions>false</trackRevisions>
    </reviewItem>
    <reviewItem>
      <errorID>a00d0529-5f28-49ed-a39a-777affad986f</errorID>
      <errorWord>。</errorWord>
      <group>L1_Punc</group>
      <groupName>标点问题</groupName>
      <ability>L2_Punc</ability>
      <abilityName>标点符号检查</abilityName>
      <candidateList/>
      <explain/>
      <paraID> 9C25D6A</paraID>
      <start>57</start>
      <end>58</end>
      <status>ignored</status>
      <modifiedWord/>
      <trackRevisions>false</trackRevisions>
    </reviewItem>
    <reviewItem>
      <errorID>f871d91f-9b8c-45b9-a04f-ceab6e0b4034</errorID>
      <errorWord>。</errorWord>
      <group>L1_Punc</group>
      <groupName>标点问题</groupName>
      <ability>L2_Punc</ability>
      <abilityName>标点符号检查</abilityName>
      <candidateList/>
      <explain/>
      <paraID> 4CC3611</paraID>
      <start>57</start>
      <end>58</end>
      <status>ignored</status>
      <modifiedWord/>
      <trackRevisions>false</trackRevisions>
    </reviewItem>
    <reviewItem>
      <errorID>a9f35ed4-6dbd-4705-a9be-1facb1a984e6</errorID>
      <errorWord>（</errorWord>
      <group>L1_Format</group>
      <groupName>格式问题</groupName>
      <ability>L2_HalfPunc</ability>
      <abilityName>全半角检查</abilityName>
      <candidateList>
        <item>(</item>
      </candidateList>
      <explain>文本全半角错误。</explain>
      <paraID>4B6FE939</paraID>
      <start>0</start>
      <end>1</end>
      <status>modified</status>
      <modifiedWord>(</modifiedWord>
      <trackRevisions>false</trackRevisions>
    </reviewItem>
    <reviewItem>
      <errorID>eaaacad3-e6b4-49e7-8af6-56fc6eac1ca3</errorID>
      <errorWord>）</errorWord>
      <group>L1_Format</group>
      <groupName>格式问题</groupName>
      <ability>L2_HalfPunc</ability>
      <abilityName>全半角检查</abilityName>
      <candidateList>
        <item>)</item>
      </candidateList>
      <explain>文本全半角错误。</explain>
      <paraID>4B6FE939</paraID>
      <start>2</start>
      <end>3</end>
      <status>modified</status>
      <modifiedWord>)</modifiedWord>
      <trackRevisions>false</trackRevisions>
    </reviewItem>
    <reviewItem>
      <errorID>f7500156-c9f9-449c-8774-275fff9b5737</errorID>
      <errorWord>；</errorWord>
      <group>L1_Format</group>
      <groupName>格式问题</groupName>
      <ability>L2_HalfPunc</ability>
      <abilityName>全半角检查</abilityName>
      <candidateList>
        <item>;</item>
      </candidateList>
      <explain>文本全半角错误。</explain>
      <paraID>4B6FE939</paraID>
      <start>46</start>
      <end>47</end>
      <status>modified</status>
      <modifiedWord>;</modifiedWord>
      <trackRevisions>false</trackRevisions>
    </reviewItem>
    <reviewItem>
      <errorID>fd861d10-4ae9-4e6f-b514-1185a13c784a</errorID>
      <errorWord>（</errorWord>
      <group>L1_Format</group>
      <groupName>格式问题</groupName>
      <ability>L2_HalfPunc</ability>
      <abilityName>全半角检查</abilityName>
      <candidateList>
        <item>(</item>
      </candidateList>
      <explain>文本全半角错误。</explain>
      <paraID>1ADA02B5</paraID>
      <start>0</start>
      <end>1</end>
      <status>modified</status>
      <modifiedWord>(</modifiedWord>
      <trackRevisions>false</trackRevisions>
    </reviewItem>
    <reviewItem>
      <errorID>0115798a-97c2-44dd-a767-36125590f873</errorID>
      <errorWord>）</errorWord>
      <group>L1_Format</group>
      <groupName>格式问题</groupName>
      <ability>L2_HalfPunc</ability>
      <abilityName>全半角检查</abilityName>
      <candidateList>
        <item>)</item>
      </candidateList>
      <explain>文本全半角错误。</explain>
      <paraID>1ADA02B5</paraID>
      <start>2</start>
      <end>3</end>
      <status>modified</status>
      <modifiedWord>)</modifiedWord>
      <trackRevisions>false</trackRevisions>
    </reviewItem>
    <reviewItem>
      <errorID>5acdcfdb-75e8-44a7-865e-552ca23d0709</errorID>
      <errorWord>；</errorWord>
      <group>L1_Format</group>
      <groupName>格式问题</groupName>
      <ability>L2_HalfPunc</ability>
      <abilityName>全半角检查</abilityName>
      <candidateList>
        <item>;</item>
      </candidateList>
      <explain>文本全半角错误。</explain>
      <paraID>1ADA02B5</paraID>
      <start>46</start>
      <end>47</end>
      <status>modified</status>
      <modifiedWord>;</modifiedWord>
      <trackRevisions>false</trackRevisions>
    </reviewItem>
    <reviewItem>
      <errorID>1bab3e42-0295-4a73-834a-df3b843feed1</errorID>
      <errorWord>（</errorWord>
      <group>L1_Format</group>
      <groupName>格式问题</groupName>
      <ability>L2_HalfPunc</ability>
      <abilityName>全半角检查</abilityName>
      <candidateList>
        <item>(</item>
      </candidateList>
      <explain>文本全半角错误。</explain>
      <paraID>2CDC008F</paraID>
      <start>0</start>
      <end>1</end>
      <status>modified</status>
      <modifiedWord>(</modifiedWord>
      <trackRevisions>false</trackRevisions>
    </reviewItem>
    <reviewItem>
      <errorID>fe8fbd82-2a50-47f7-bb9a-2c0c55be3bc7</errorID>
      <errorWord>）</errorWord>
      <group>L1_Format</group>
      <groupName>格式问题</groupName>
      <ability>L2_HalfPunc</ability>
      <abilityName>全半角检查</abilityName>
      <candidateList>
        <item>)</item>
      </candidateList>
      <explain>文本全半角错误。</explain>
      <paraID>2CDC008F</paraID>
      <start>2</start>
      <end>3</end>
      <status>modified</status>
      <modifiedWord>)</modifiedWord>
      <trackRevisions>false</trackRevisions>
    </reviewItem>
    <reviewItem>
      <errorID>090208af-455a-421f-b3c1-21623f8d514c</errorID>
      <errorWord>。</errorWord>
      <group>L1_Format</group>
      <groupName>格式问题</groupName>
      <ability>L2_HalfPunc</ability>
      <abilityName>全半角检查</abilityName>
      <candidateList>
        <item>.</item>
      </candidateList>
      <explain>文本全半角错误。</explain>
      <paraID>2CDC008F</paraID>
      <start>46</start>
      <end>47</end>
      <status>modified</status>
      <modifiedWord>.</modifiedWord>
      <trackRevisions>false</trackRevisions>
    </reviewItem>
    <reviewItem>
      <errorID>d4d5775e-caa5-4377-9944-90b5a42be75c</errorID>
      <errorWord>。</errorWord>
      <group>L1_Punc</group>
      <groupName>标点问题</groupName>
      <ability>L2_Punc</ability>
      <abilityName>标点符号检查</abilityName>
      <candidateList/>
      <explain/>
      <paraID>16106A86</paraID>
      <start>57</start>
      <end>58</end>
      <status>ignored</status>
      <modifiedWord/>
      <trackRevisions>false</trackRevisions>
    </reviewItem>
    <reviewItem>
      <errorID>d1dc5e50-1238-4306-9b2e-e1957e784908</errorID>
      <errorWord>。</errorWord>
      <group>L1_Punc</group>
      <groupName>标点问题</groupName>
      <ability>L2_Punc</ability>
      <abilityName>标点符号检查</abilityName>
      <candidateList/>
      <explain/>
      <paraID> 6F43A9E</paraID>
      <start>57</start>
      <end>58</end>
      <status>ignored</status>
      <modifiedWord/>
      <trackRevisions>false</trackRevisions>
    </reviewItem>
    <reviewItem>
      <errorID>2e8ef6b0-cc14-4e2d-a4ef-bc64249c63b6</errorID>
      <errorWord>。</errorWord>
      <group>L1_Punc</group>
      <groupName>标点问题</groupName>
      <ability>L2_Punc</ability>
      <abilityName>标点符号检查</abilityName>
      <candidateList/>
      <explain/>
      <paraID>3B4F71C8</paraID>
      <start>56</start>
      <end>57</end>
      <status>ignored</status>
      <modifiedWord/>
      <trackRevisions>false</trackRevisions>
    </reviewItem>
    <reviewItem>
      <errorID>2f673a1b-a9d7-47cf-bbd7-e215a6aabf4f</errorID>
      <errorWord>。</errorWord>
      <group>L1_Punc</group>
      <groupName>标点问题</groupName>
      <ability>L2_Punc</ability>
      <abilityName>标点符号检查</abilityName>
      <candidateList/>
      <explain/>
      <paraID>2BA9B89F</paraID>
      <start>57</start>
      <end>58</end>
      <status>ignored</status>
      <modifiedWord/>
      <trackRevisions>false</trackRevisions>
    </reviewItem>
    <reviewItem>
      <errorID>906a0fe9-4146-4260-97fa-00b7197c5ccf</errorID>
      <errorWord>。</errorWord>
      <group>L1_Punc</group>
      <groupName>标点问题</groupName>
      <ability>L2_Punc</ability>
      <abilityName>标点符号检查</abilityName>
      <candidateList/>
      <explain/>
      <paraID>546A6311</paraID>
      <start>57</start>
      <end>58</end>
      <status>ignored</status>
      <modifiedWord/>
      <trackRevisions>false</trackRevisions>
    </reviewItem>
    <reviewItem>
      <errorID>d81fb6f1-17d7-4cc3-8404-5f5a3d82e004</errorID>
      <errorWord>。</errorWord>
      <group>L1_Punc</group>
      <groupName>标点问题</groupName>
      <ability>L2_Punc</ability>
      <abilityName>标点符号检查</abilityName>
      <candidateList/>
      <explain/>
      <paraID>19AB4FEB</paraID>
      <start>57</start>
      <end>58</end>
      <status>ignored</status>
      <modifiedWord/>
      <trackRevisions>false</trackRevisions>
    </reviewItem>
    <reviewItem>
      <errorID>27ac6233-7876-47e5-9d62-45f434e35def</errorID>
      <errorWord>。</errorWord>
      <group>L1_Punc</group>
      <groupName>标点问题</groupName>
      <ability>L2_Punc</ability>
      <abilityName>标点符号检查</abilityName>
      <candidateList/>
      <explain/>
      <paraID>5EA6B030</paraID>
      <start>57</start>
      <end>58</end>
      <status>ignored</status>
      <modifiedWord/>
      <trackRevisions>false</trackRevisions>
    </reviewItem>
    <reviewItem>
      <errorID>b8acee2e-90e8-4db3-916a-4e8e857b845e</errorID>
      <errorWord>变更的</errorWord>
      <group>L1_Word</group>
      <groupName>字词问题</groupName>
      <ability>L2_Typo</ability>
      <abilityName>字词错误</abilityName>
      <candidateList>
        <item>变更</item>
      </candidateList>
      <explain>〈动〉改变；变动：～原定赛程｜修订版的内容有些～。</explain>
      <paraID> 1558FB0</paraID>
      <start>2</start>
      <end>4</end>
      <status>modified</status>
      <modifiedWord>变更</modifiedWord>
      <trackRevisions>false</trackRevisions>
    </reviewItem>
    <reviewItem>
      <errorID>2a10da9f-d61b-43a1-b5ab-740b84bb7606</errorID>
      <errorWord>。</errorWord>
      <group>L1_Punc</group>
      <groupName>标点问题</groupName>
      <ability>L2_Punc</ability>
      <abilityName>标点符号检查</abilityName>
      <candidateList/>
      <explain/>
      <paraID>2B53B24F</paraID>
      <start>57</start>
      <end>58</end>
      <status>ignored</status>
      <modifiedWord/>
      <trackRevisions>false</trackRevisions>
    </reviewItem>
    <reviewItem>
      <errorID>fe4ea679-faad-4730-91d1-ddcb2c53ba96</errorID>
      <errorWord>:</errorWord>
      <group>L1_Format</group>
      <groupName>格式问题</groupName>
      <ability>L2_HalfPunc</ability>
      <abilityName>全半角检查</abilityName>
      <candidateList>
        <item>：</item>
      </candidateList>
      <explain>文本全半角错误。</explain>
      <paraID> 47FEB51</paraID>
      <start>9</start>
      <end>10</end>
      <status>modified</status>
      <modifiedWord>：</modifiedWord>
      <trackRevisions>false</trackRevisions>
    </reviewItem>
    <reviewItem>
      <errorID>14161570-fa79-49eb-8ef2-20eb88af3c0d</errorID>
      <errorWord>。</errorWord>
      <group>L1_Punc</group>
      <groupName>标点问题</groupName>
      <ability>L2_Punc</ability>
      <abilityName>标点符号检查</abilityName>
      <candidateList/>
      <explain/>
      <paraID> C69FDD0</paraID>
      <start>57</start>
      <end>58</end>
      <status>ignored</status>
      <modifiedWord/>
      <trackRevisions>false</trackRevisions>
    </reviewItem>
    <reviewItem>
      <errorID>7376d80b-d6a1-45cf-af58-9663c164342f</errorID>
      <errorWord>。</errorWord>
      <group>L1_Punc</group>
      <groupName>标点问题</groupName>
      <ability>L2_Punc</ability>
      <abilityName>标点符号检查</abilityName>
      <candidateList/>
      <explain/>
      <paraID> EFA81D3</paraID>
      <start>57</start>
      <end>58</end>
      <status>ignored</status>
      <modifiedWord/>
      <trackRevisions>false</trackRevisions>
    </reviewItem>
    <reviewItem>
      <errorID>cd0d8e27-61c1-41a1-b4af-f46b37169b48</errorID>
      <errorWord>。</errorWord>
      <group>L1_Punc</group>
      <groupName>标点问题</groupName>
      <ability>L2_Punc</ability>
      <abilityName>标点符号检查</abilityName>
      <candidateList/>
      <explain/>
      <paraID>54CEF80B</paraID>
      <start>57</start>
      <end>58</end>
      <status>ignored</status>
      <modifiedWord/>
      <trackRevisions>false</trackRevisions>
    </reviewItem>
    <reviewItem>
      <errorID>59f69c0f-09fa-42f8-9b60-435b41a6e99b</errorID>
      <errorWord>。</errorWord>
      <group>L1_Punc</group>
      <groupName>标点问题</groupName>
      <ability>L2_Punc</ability>
      <abilityName>标点符号检查</abilityName>
      <candidateList/>
      <explain/>
      <paraID>7782B267</paraID>
      <start>57</start>
      <end>58</end>
      <status>ignored</status>
      <modifiedWord/>
      <trackRevisions>false</trackRevisions>
    </reviewItem>
    <reviewItem>
      <errorID>bbc19ae0-54f3-4a9d-9570-e89f91fb3218</errorID>
      <errorWord>。</errorWord>
      <group>L1_Punc</group>
      <groupName>标点问题</groupName>
      <ability>L2_Punc</ability>
      <abilityName>标点符号检查</abilityName>
      <candidateList/>
      <explain/>
      <paraID>30D8C1E3</paraID>
      <start>57</start>
      <end>58</end>
      <status>ignored</status>
      <modifiedWord/>
      <trackRevisions>false</trackRevisions>
    </reviewItem>
    <reviewItem>
      <errorID>26b2b820-d33b-436f-9caf-c363674f9e4a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D8C32CA</paraID>
      <start>0</start>
      <end>2</end>
      <status>modified</status>
      <modifiedWord>1.</modifiedWord>
      <trackRevisions>false</trackRevisions>
    </reviewItem>
    <reviewItem>
      <errorID>edafc0f5-3f31-4606-a127-a4543a967b89</errorID>
      <errorWord>。</errorWord>
      <group>L1_Punc</group>
      <groupName>标点问题</groupName>
      <ability>L2_Punc</ability>
      <abilityName>标点符号检查</abilityName>
      <candidateList/>
      <explain/>
      <paraID>6E875D78</paraID>
      <start>57</start>
      <end>58</end>
      <status>ignored</status>
      <modifiedWord/>
      <trackRevisions>false</trackRevisions>
    </reviewItem>
    <reviewItem>
      <errorID>dd82a45b-9636-4a8b-bc14-9b68913eb0e7</errorID>
      <errorWord>。</errorWord>
      <group>L1_Punc</group>
      <groupName>标点问题</groupName>
      <ability>L2_Punc</ability>
      <abilityName>标点符号检查</abilityName>
      <candidateList/>
      <explain/>
      <paraID>2EEC58CA</paraID>
      <start>57</start>
      <end>58</end>
      <status>ignored</status>
      <modifiedWord/>
      <trackRevisions>false</trackRevisions>
    </reviewItem>
    <reviewItem>
      <errorID>68e3f65b-2dc5-433f-85e0-10f04cb7ad1b</errorID>
      <errorWord>。</errorWord>
      <group>L1_Punc</group>
      <groupName>标点问题</groupName>
      <ability>L2_Punc</ability>
      <abilityName>标点符号检查</abilityName>
      <candidateList/>
      <explain/>
      <paraID>1232BFF6</paraID>
      <start>57</start>
      <end>58</end>
      <status>ignored</status>
      <modifiedWord/>
      <trackRevisions>false</trackRevisions>
    </reviewItem>
    <reviewItem>
      <errorID>b2beb2de-ad07-4064-a645-048e402d3b58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2B4FDB32</paraID>
      <start>0</start>
      <end>2</end>
      <status>modified</status>
      <modifiedWord>2.</modifiedWord>
      <trackRevisions>false</trackRevisions>
    </reviewItem>
    <reviewItem>
      <errorID>2199acd8-22b3-4ece-a6f2-f5e9c2206ad7</errorID>
      <errorWord>。</errorWord>
      <group>L1_Punc</group>
      <groupName>标点问题</groupName>
      <ability>L2_Punc</ability>
      <abilityName>标点符号检查</abilityName>
      <candidateList/>
      <explain/>
      <paraID>5BCA3BDB</paraID>
      <start>57</start>
      <end>58</end>
      <status>ignored</status>
      <modifiedWord/>
      <trackRevisions>false</trackRevisions>
    </reviewItem>
    <reviewItem>
      <errorID>8effec9b-cee5-4d11-8212-feed4a8edd3c</errorID>
      <errorWord>。</errorWord>
      <group>L1_Punc</group>
      <groupName>标点问题</groupName>
      <ability>L2_Punc</ability>
      <abilityName>标点符号检查</abilityName>
      <candidateList/>
      <explain/>
      <paraID>72982217</paraID>
      <start>57</start>
      <end>58</end>
      <status>ignored</status>
      <modifiedWord/>
      <trackRevisions>false</trackRevisions>
    </reviewItem>
    <reviewItem>
      <errorID>fc505eaf-65c7-4694-8c83-92d4ce91110f</errorID>
      <errorWord>。</errorWord>
      <group>L1_Punc</group>
      <groupName>标点问题</groupName>
      <ability>L2_Punc</ability>
      <abilityName>标点符号检查</abilityName>
      <candidateList/>
      <explain/>
      <paraID>5C573414</paraID>
      <start>57</start>
      <end>58</end>
      <status>ignored</status>
      <modifiedWord/>
      <trackRevisions>false</trackRevisions>
    </reviewItem>
    <reviewItem>
      <errorID>d91cdd0d-8e35-4ebd-905b-b851de237f3d</errorID>
      <errorWord>。</errorWord>
      <group>L1_Punc</group>
      <groupName>标点问题</groupName>
      <ability>L2_Punc</ability>
      <abilityName>标点符号检查</abilityName>
      <candidateList/>
      <explain/>
      <paraID>71C98E47</paraID>
      <start>115</start>
      <end>116</end>
      <status>ignored</status>
      <modifiedWord/>
      <trackRevisions>false</trackRevisions>
    </reviewItem>
    <reviewItem>
      <errorID>cbe6688b-9cd5-47fd-89b0-5f48528667e9</errorID>
      <errorWord>。</errorWord>
      <group>L1_Punc</group>
      <groupName>标点问题</groupName>
      <ability>L2_Punc</ability>
      <abilityName>标点符号检查</abilityName>
      <candidateList/>
      <explain/>
      <paraID>37704211</paraID>
      <start>57</start>
      <end>58</end>
      <status>ignored</status>
      <modifiedWord/>
      <trackRevisions>false</trackRevisions>
    </reviewItem>
    <reviewItem>
      <errorID>15f58d74-ecb8-42d3-af31-0d8be10b6997</errorID>
      <errorWord>。</errorWord>
      <group>L1_Punc</group>
      <groupName>标点问题</groupName>
      <ability>L2_Punc</ability>
      <abilityName>标点符号检查</abilityName>
      <candidateList/>
      <explain/>
      <paraID> A6C0018</paraID>
      <start>57</start>
      <end>58</end>
      <status>ignored</status>
      <modifiedWord/>
      <trackRevisions>false</trackRevisions>
    </reviewItem>
    <reviewItem>
      <errorID>de77a071-e7c8-47a3-9761-2c83ef155a3d</errorID>
      <errorWord>。</errorWord>
      <group>L1_Punc</group>
      <groupName>标点问题</groupName>
      <ability>L2_Punc</ability>
      <abilityName>标点符号检查</abilityName>
      <candidateList/>
      <explain/>
      <paraID> 3E42DC2</paraID>
      <start>57</start>
      <end>58</end>
      <status>ignored</status>
      <modifiedWord/>
      <trackRevisions>false</trackRevisions>
    </reviewItem>
    <reviewItem>
      <errorID>51caaf70-2fbb-460f-add3-1a35562d5759</errorID>
      <errorWord>。</errorWord>
      <group>L1_Punc</group>
      <groupName>标点问题</groupName>
      <ability>L2_Punc</ability>
      <abilityName>标点符号检查</abilityName>
      <candidateList/>
      <explain/>
      <paraID>659E6423</paraID>
      <start>57</start>
      <end>58</end>
      <status>ignored</status>
      <modifiedWord/>
      <trackRevisions>false</trackRevisions>
    </reviewItem>
    <reviewItem>
      <errorID>04393563-5200-4f81-a058-7b4fce883a1e</errorID>
      <errorWord>。</errorWord>
      <group>L1_Punc</group>
      <groupName>标点问题</groupName>
      <ability>L2_Punc</ability>
      <abilityName>标点符号检查</abilityName>
      <candidateList/>
      <explain/>
      <paraID>27ED05F1</paraID>
      <start>57</start>
      <end>58</end>
      <status>ignored</status>
      <modifiedWord/>
      <trackRevisions>false</trackRevisions>
    </reviewItem>
    <reviewItem>
      <errorID>d129ed7c-e901-49c6-81b8-62025e2233ac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4D09FF54</paraID>
      <start>0</start>
      <end>2</end>
      <status>modified</status>
      <modifiedWord>2.</modifiedWord>
      <trackRevisions>false</trackRevisions>
    </reviewItem>
    <reviewItem>
      <errorID>6060a2b5-14b3-459a-8067-64a34f9a240d</errorID>
      <errorWord>。</errorWord>
      <group>L1_Punc</group>
      <groupName>标点问题</groupName>
      <ability>L2_Punc</ability>
      <abilityName>标点符号检查</abilityName>
      <candidateList/>
      <explain/>
      <paraID>44A16B95</paraID>
      <start>57</start>
      <end>58</end>
      <status>ignored</status>
      <modifiedWord/>
      <trackRevisions>false</trackRevisions>
    </reviewItem>
    <reviewItem>
      <errorID>8e627109-e201-4930-be31-a78d1a3014dc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180D1580</paraID>
      <start>0</start>
      <end>2</end>
      <status>modified</status>
      <modifiedWord>3.</modifiedWord>
      <trackRevisions>false</trackRevisions>
    </reviewItem>
    <reviewItem>
      <errorID>6defeaf7-a9d4-4cb3-a808-ee6e2969fbdb</errorID>
      <errorWord>。</errorWord>
      <group>L1_Punc</group>
      <groupName>标点问题</groupName>
      <ability>L2_Punc</ability>
      <abilityName>标点符号检查</abilityName>
      <candidateList/>
      <explain/>
      <paraID>67A2B93C</paraID>
      <start>57</start>
      <end>58</end>
      <status>ignored</status>
      <modifiedWord/>
      <trackRevisions>false</trackRevisions>
    </reviewItem>
    <reviewItem>
      <errorID>8c9d2f25-d4a8-45e1-a21f-c1a334958184</errorID>
      <errorWord>。</errorWord>
      <group>L1_Punc</group>
      <groupName>标点问题</groupName>
      <ability>L2_Punc</ability>
      <abilityName>标点符号检查</abilityName>
      <candidateList/>
      <explain/>
      <paraID>62B73F07</paraID>
      <start>57</start>
      <end>58</end>
      <status>ignored</status>
      <modifiedWord/>
      <trackRevisions>false</trackRevisions>
    </reviewItem>
    <reviewItem>
      <errorID>2210149a-648b-49b5-b1ef-06f701e046f0</errorID>
      <errorWord>。</errorWord>
      <group>L1_Punc</group>
      <groupName>标点问题</groupName>
      <ability>L2_Punc</ability>
      <abilityName>标点符号检查</abilityName>
      <candidateList/>
      <explain/>
      <paraID>539F1620</paraID>
      <start>56</start>
      <end>57</end>
      <status>ignored</status>
      <modifiedWord/>
      <trackRevisions>false</trackRevisions>
    </reviewItem>
    <reviewItem>
      <errorID>166bc9d7-32d1-4bc7-aabd-9bd514594428</errorID>
      <errorWord>。</errorWord>
      <group>L1_Punc</group>
      <groupName>标点问题</groupName>
      <ability>L2_Punc</ability>
      <abilityName>标点符号检查</abilityName>
      <candidateList/>
      <explain/>
      <paraID>3E63765A</paraID>
      <start>57</start>
      <end>58</end>
      <status>ignored</status>
      <modifiedWord/>
      <trackRevisions>false</trackRevisions>
    </reviewItem>
    <reviewItem>
      <errorID>bd3cf0f8-ca6a-423a-bc2e-b2f2248ef87a</errorID>
      <errorWord>。</errorWord>
      <group>L1_Punc</group>
      <groupName>标点问题</groupName>
      <ability>L2_Punc</ability>
      <abilityName>标点符号检查</abilityName>
      <candidateList/>
      <explain/>
      <paraID>4C87DE8C</paraID>
      <start>115</start>
      <end>116</end>
      <status>ignored</status>
      <modifiedWord/>
      <trackRevisions>false</trackRevisions>
    </reviewItem>
    <reviewItem>
      <errorID>5d150ad3-7fdb-473b-8978-7bf439b30b06</errorID>
      <errorWord>。</errorWord>
      <group>L1_Punc</group>
      <groupName>标点问题</groupName>
      <ability>L2_Punc</ability>
      <abilityName>标点符号检查</abilityName>
      <candidateList/>
      <explain/>
      <paraID>76ABAD58</paraID>
      <start>57</start>
      <end>58</end>
      <status>ignored</status>
      <modifiedWord/>
      <trackRevisions>false</trackRevisions>
    </reviewItem>
    <reviewItem>
      <errorID>5d41abaf-f0cd-42d2-9365-96095c4b0f3c</errorID>
      <errorWord>。</errorWord>
      <group>L1_Punc</group>
      <groupName>标点问题</groupName>
      <ability>L2_Punc</ability>
      <abilityName>标点符号检查</abilityName>
      <candidateList/>
      <explain/>
      <paraID>3C46FE52</paraID>
      <start>56</start>
      <end>57</end>
      <status>ignored</status>
      <modifiedWord/>
      <trackRevisions>false</trackRevisions>
    </reviewItem>
    <reviewItem>
      <errorID>f04538f2-cd24-4cfa-8b24-4b0818d396be</errorID>
      <errorWord>。</errorWord>
      <group>L1_Punc</group>
      <groupName>标点问题</groupName>
      <ability>L2_Punc</ability>
      <abilityName>标点符号检查</abilityName>
      <candidateList/>
      <explain/>
      <paraID>3466E6F7</paraID>
      <start>57</start>
      <end>58</end>
      <status>ignored</status>
      <modifiedWord/>
      <trackRevisions>false</trackRevisions>
    </reviewItem>
    <reviewItem>
      <errorID>850355dd-3792-457b-9d48-0409d10960a6</errorID>
      <errorWord>。</errorWord>
      <group>L1_Punc</group>
      <groupName>标点问题</groupName>
      <ability>L2_Punc</ability>
      <abilityName>标点符号检查</abilityName>
      <candidateList/>
      <explain/>
      <paraID>6D5379D3</paraID>
      <start>57</start>
      <end>58</end>
      <status>ignored</status>
      <modifiedWord/>
      <trackRevisions>false</trackRevisions>
    </reviewItem>
    <reviewItem>
      <errorID>8d83e89a-f5bf-4415-8969-6aaed36725cc</errorID>
      <errorWord>:</errorWord>
      <group>L1_Format</group>
      <groupName>格式问题</groupName>
      <ability>L2_HalfPunc</ability>
      <abilityName>全半角检查</abilityName>
      <candidateList>
        <item>：</item>
      </candidateList>
      <explain>文本全半角错误。</explain>
      <paraID>53C8632E</paraID>
      <start>7</start>
      <end>8</end>
      <status>modified</status>
      <modifiedWord>：</modifiedWord>
      <trackRevisions>false</trackRevisions>
    </reviewItem>
    <reviewItem>
      <errorID>d8eec8d7-6001-45a3-98e1-053b1c571f6b</errorID>
      <errorWord>:</errorWord>
      <group>L1_Format</group>
      <groupName>格式问题</groupName>
      <ability>L2_HalfPunc</ability>
      <abilityName>全半角检查</abilityName>
      <candidateList>
        <item>：</item>
      </candidateList>
      <explain>文本全半角错误。</explain>
      <paraID>67FC719E</paraID>
      <start>9</start>
      <end>10</end>
      <status>modified</status>
      <modifiedWord>：</modifiedWord>
      <trackRevisions>false</trackRevisions>
    </reviewItem>
    <reviewItem>
      <errorID>1988e7ea-1896-4a94-9ab0-30b8623b81d9</errorID>
      <errorWord>。</errorWord>
      <group>L1_Punc</group>
      <groupName>标点问题</groupName>
      <ability>L2_Punc</ability>
      <abilityName>标点符号检查</abilityName>
      <candidateList/>
      <explain/>
      <paraID>5218B530</paraID>
      <start>57</start>
      <end>58</end>
      <status>ignored</status>
      <modifiedWord/>
      <trackRevisions>false</trackRevisions>
    </reviewItem>
    <reviewItem>
      <errorID>1bdce63a-be3f-44e4-b1a4-9eecfb7fbcd1</errorID>
      <errorWord>。</errorWord>
      <group>L1_Punc</group>
      <groupName>标点问题</groupName>
      <ability>L2_Punc</ability>
      <abilityName>标点符号检查</abilityName>
      <candidateList/>
      <explain/>
      <paraID>705C4A5E</paraID>
      <start>57</start>
      <end>58</end>
      <status>ignored</status>
      <modifiedWord/>
      <trackRevisions>false</trackRevisions>
    </reviewItem>
    <reviewItem>
      <errorID>0014232a-326c-4c62-97d9-290eb526165a</errorID>
      <errorWord>。</errorWord>
      <group>L1_Punc</group>
      <groupName>标点问题</groupName>
      <ability>L2_Punc</ability>
      <abilityName>标点符号检查</abilityName>
      <candidateList/>
      <explain/>
      <paraID>17637291</paraID>
      <start>57</start>
      <end>58</end>
      <status>ignored</status>
      <modifiedWord/>
      <trackRevisions>false</trackRevisions>
    </reviewItem>
    <reviewItem>
      <errorID>1f97d2fd-5698-4a91-973f-15f1546c4cdc</errorID>
      <errorWord>。</errorWord>
      <group>L1_Punc</group>
      <groupName>标点问题</groupName>
      <ability>L2_Punc</ability>
      <abilityName>标点符号检查</abilityName>
      <candidateList/>
      <explain/>
      <paraID>12A4D5F1</paraID>
      <start>57</start>
      <end>58</end>
      <status>ignored</status>
      <modifiedWord/>
      <trackRevisions>false</trackRevisions>
    </reviewItem>
    <reviewItem>
      <errorID>3b413c78-13a1-43f3-a15f-7b12f2f63a69</errorID>
      <errorWord>。</errorWord>
      <group>L1_Punc</group>
      <groupName>标点问题</groupName>
      <ability>L2_Punc</ability>
      <abilityName>标点符号检查</abilityName>
      <candidateList/>
      <explain/>
      <paraID>5BB78A36</paraID>
      <start>57</start>
      <end>58</end>
      <status>ignored</status>
      <modifiedWord/>
      <trackRevisions>false</trackRevisions>
    </reviewItem>
    <reviewItem>
      <errorID>26ad89cb-5c9b-47b0-9cba-6401bdcb2c34</errorID>
      <errorWord>。</errorWord>
      <group>L1_Punc</group>
      <groupName>标点问题</groupName>
      <ability>L2_Punc</ability>
      <abilityName>标点符号检查</abilityName>
      <candidateList/>
      <explain/>
      <paraID>7706C6E8</paraID>
      <start>57</start>
      <end>58</end>
      <status>ignored</status>
      <modifiedWord/>
      <trackRevisions>false</trackRevisions>
    </reviewItem>
    <reviewItem>
      <errorID>62658b3e-961f-4e6b-99d3-cf9db62a0748</errorID>
      <errorWord>。</errorWord>
      <group>L1_Punc</group>
      <groupName>标点问题</groupName>
      <ability>L2_Punc</ability>
      <abilityName>标点符号检查</abilityName>
      <candidateList/>
      <explain/>
      <paraID>2768030F</paraID>
      <start>57</start>
      <end>58</end>
      <status>ignored</status>
      <modifiedWord/>
      <trackRevisions>false</trackRevisions>
    </reviewItem>
    <reviewItem>
      <errorID>00ddb8ba-c04f-4cc1-a875-1347c161a680</errorID>
      <errorWord>。</errorWord>
      <group>L1_Punc</group>
      <groupName>标点问题</groupName>
      <ability>L2_Punc</ability>
      <abilityName>标点符号检查</abilityName>
      <candidateList/>
      <explain/>
      <paraID>64B5B20A</paraID>
      <start>57</start>
      <end>58</end>
      <status>ignored</status>
      <modifiedWord/>
      <trackRevisions>false</trackRevisions>
    </reviewItem>
    <reviewItem>
      <errorID>26f0fe9e-d18a-4d1a-b29b-fdf5c95849b9</errorID>
      <errorWord>。</errorWord>
      <group>L1_Punc</group>
      <groupName>标点问题</groupName>
      <ability>L2_Punc</ability>
      <abilityName>标点符号检查</abilityName>
      <candidateList/>
      <explain/>
      <paraID>404918A7</paraID>
      <start>57</start>
      <end>58</end>
      <status>ignored</status>
      <modifiedWord/>
      <trackRevisions>false</trackRevisions>
    </reviewItem>
    <reviewItem>
      <errorID>93ffd7ca-d987-484c-94a2-6326590b4351</errorID>
      <errorWord>。</errorWord>
      <group>L1_Punc</group>
      <groupName>标点问题</groupName>
      <ability>L2_Punc</ability>
      <abilityName>标点符号检查</abilityName>
      <candidateList/>
      <explain/>
      <paraID> 521D215</paraID>
      <start>57</start>
      <end>58</end>
      <status>ignored</status>
      <modifiedWord/>
      <trackRevisions>false</trackRevisions>
    </reviewItem>
    <reviewItem>
      <errorID>b3e42810-8955-45b6-bcae-0d479186a990</errorID>
      <errorWord>。</errorWord>
      <group>L1_Punc</group>
      <groupName>标点问题</groupName>
      <ability>L2_Punc</ability>
      <abilityName>标点符号检查</abilityName>
      <candidateList/>
      <explain/>
      <paraID>747F0B64</paraID>
      <start>57</start>
      <end>58</end>
      <status>ignored</status>
      <modifiedWord/>
      <trackRevisions>false</trackRevisions>
    </reviewItem>
    <reviewItem>
      <errorID>3b856ee1-8417-482c-9d02-182ca61b7b99</errorID>
      <errorWord>。</errorWord>
      <group>L1_Punc</group>
      <groupName>标点问题</groupName>
      <ability>L2_Punc</ability>
      <abilityName>标点符号检查</abilityName>
      <candidateList/>
      <explain/>
      <paraID> A32E41D</paraID>
      <start>57</start>
      <end>58</end>
      <status>ignored</status>
      <modifiedWord/>
      <trackRevisions>false</trackRevisions>
    </reviewItem>
    <reviewItem>
      <errorID>44eae5e7-d95a-4a52-aba9-4d75b91a1f7b</errorID>
      <errorWord>(</errorWord>
      <group>L1_Format</group>
      <groupName>格式问题</groupName>
      <ability>L2_HalfPunc</ability>
      <abilityName>全半角检查</abilityName>
      <candidateList>
        <item>（</item>
      </candidateList>
      <explain>文本全半角错误。</explain>
      <paraID>289D965C</paraID>
      <start>4</start>
      <end>5</end>
      <status>modified</status>
      <modifiedWord>（</modifiedWord>
      <trackRevisions>false</trackRevisions>
    </reviewItem>
    <reviewItem>
      <errorID>629dd7fa-64a8-46e4-8d54-1e360843e3a1</errorID>
      <errorWord>)</errorWord>
      <group>L1_Format</group>
      <groupName>格式问题</groupName>
      <ability>L2_HalfPunc</ability>
      <abilityName>全半角检查</abilityName>
      <candidateList>
        <item>）</item>
      </candidateList>
      <explain>文本全半角错误。</explain>
      <paraID>289D965C</paraID>
      <start>8</start>
      <end>9</end>
      <status>modified</status>
      <modifiedWord>）</modifiedWord>
      <trackRevisions>false</trackRevisions>
    </reviewItem>
    <reviewItem>
      <errorID>a3eb02dc-f36d-4df1-896d-43005d3aa340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34E4BE81</paraID>
      <start>0</start>
      <end>2</end>
      <status>modified</status>
      <modifiedWord>1.</modifiedWord>
      <trackRevisions>false</trackRevisions>
    </reviewItem>
    <reviewItem>
      <errorID>d92a5063-91e2-4229-bfc0-be57726abf28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66B4D70D</paraID>
      <start>0</start>
      <end>2</end>
      <status>modified</status>
      <modifiedWord>2.</modifiedWord>
      <trackRevisions>false</trackRevisions>
    </reviewItem>
    <reviewItem>
      <errorID>f6891658-168b-4186-9653-f2ccac7fcf97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22ED162D</paraID>
      <start>0</start>
      <end>2</end>
      <status>modified</status>
      <modifiedWord>3.</modifiedWord>
      <trackRevisions>false</trackRevisions>
    </reviewItem>
    <reviewItem>
      <errorID>b70876d9-7ae4-43d2-8fb8-c2288c144b51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29D712D1</paraID>
      <start>0</start>
      <end>2</end>
      <status>modified</status>
      <modifiedWord>4.</modifiedWord>
      <trackRevisions>false</trackRevisions>
    </reviewItem>
    <reviewItem>
      <errorID>2f9873a2-6023-4152-9871-e3371c7f6da5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66B3B0B7</paraID>
      <start>0</start>
      <end>2</end>
      <status>modified</status>
      <modifiedWord>5.</modifiedWord>
      <trackRevisions>false</trackRevisions>
    </reviewItem>
    <reviewItem>
      <errorID>b42c07b9-0b14-4d66-93df-f522441caed6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5D895E28</paraID>
      <start>0</start>
      <end>2</end>
      <status>modified</status>
      <modifiedWord>6.</modifiedWord>
      <trackRevisions>false</trackRevisions>
    </reviewItem>
    <reviewItem>
      <errorID>b2a7d6db-73c2-4747-bd9e-b3e4de53c3e3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1BFE8063</paraID>
      <start>0</start>
      <end>2</end>
      <status>modified</status>
      <modifiedWord>7.</modifiedWord>
      <trackRevisions>false</trackRevisions>
    </reviewItem>
    <reviewItem>
      <errorID>cc48ec1f-08f5-4167-a0cb-631cef632788</errorID>
      <errorWord>。</errorWord>
      <group>L1_Punc</group>
      <groupName>标点问题</groupName>
      <ability>L2_Punc</ability>
      <abilityName>标点符号检查</abilityName>
      <candidateList/>
      <explain/>
      <paraID> ECC6636</paraID>
      <start>173</start>
      <end>174</end>
      <status>ignored</status>
      <modifiedWord/>
      <trackRevisions>false</trackRevisions>
    </reviewItem>
    <reviewItem>
      <errorID>b43af7a2-4526-4eb7-a246-541ff9a22a04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FC462FE</paraID>
      <start>0</start>
      <end>2</end>
      <status>modified</status>
      <modifiedWord>1.</modifiedWord>
      <trackRevisions>false</trackRevisions>
    </reviewItem>
    <reviewItem>
      <errorID>eb70b30f-2bdc-4ec8-aea3-67fa7ef7933b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32A1F812</paraID>
      <start>0</start>
      <end>2</end>
      <status>modified</status>
      <modifiedWord>2.</modifiedWord>
      <trackRevisions>false</trackRevisions>
    </reviewItem>
    <reviewItem>
      <errorID>e75b9636-73b4-4cd8-85e2-1d3f0aa2b78b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4EC33D38</paraID>
      <start>0</start>
      <end>2</end>
      <status>modified</status>
      <modifiedWord>3.</modifiedWord>
      <trackRevisions>false</trackRevisions>
    </reviewItem>
    <reviewItem>
      <errorID>95ae2cbc-6240-4557-b4cd-58a4e35cec39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2DBCE796</paraID>
      <start>0</start>
      <end>2</end>
      <status>modified</status>
      <modifiedWord>4.</modifiedWord>
      <trackRevisions>false</trackRevisions>
    </reviewItem>
    <reviewItem>
      <errorID>b3239328-707a-4bd4-a0ed-89f76aa1d7b4</errorID>
      <errorWord>。</errorWord>
      <group>L1_Punc</group>
      <groupName>标点问题</groupName>
      <ability>L2_Punc</ability>
      <abilityName>标点符号检查</abilityName>
      <candidateList/>
      <explain/>
      <paraID>1D22C926</paraID>
      <start>115</start>
      <end>116</end>
      <status>ignored</status>
      <modifiedWord/>
      <trackRevisions>false</trackRevisions>
    </reviewItem>
    <reviewItem>
      <errorID>89b5cdf7-bf7c-4724-9023-4bdf14169bc0</errorID>
      <errorWord>(</errorWord>
      <group>L1_Format</group>
      <groupName>格式问题</groupName>
      <ability>L2_HalfPunc</ability>
      <abilityName>全半角检查</abilityName>
      <candidateList>
        <item>（</item>
      </candidateList>
      <explain>文本全半角错误。</explain>
      <paraID>62EC0D48</paraID>
      <start>3</start>
      <end>4</end>
      <status>modified</status>
      <modifiedWord>（</modifiedWord>
      <trackRevisions>false</trackRevisions>
    </reviewItem>
    <reviewItem>
      <errorID>115cf75d-aec3-4555-a714-d59d9481bab2</errorID>
      <errorWord>)</errorWord>
      <group>L1_Format</group>
      <groupName>格式问题</groupName>
      <ability>L2_HalfPunc</ability>
      <abilityName>全半角检查</abilityName>
      <candidateList>
        <item>）</item>
      </candidateList>
      <explain>文本全半角错误。</explain>
      <paraID>62EC0D48</paraID>
      <start>6</start>
      <end>7</end>
      <status>modified</status>
      <modifiedWord>）</modifiedWord>
      <trackRevisions>false</trackRevisions>
    </reviewItem>
    <reviewItem>
      <errorID>5c31633a-7e30-4757-8c28-238c3ecb97bd</errorID>
      <errorWord>(</errorWord>
      <group>L1_Format</group>
      <groupName>格式问题</groupName>
      <ability>L2_HalfPunc</ability>
      <abilityName>全半角检查</abilityName>
      <candidateList>
        <item>（</item>
      </candidateList>
      <explain>文本全半角错误。</explain>
      <paraID>62EC0D48</paraID>
      <start>23</start>
      <end>24</end>
      <status>modified</status>
      <modifiedWord>（</modifiedWord>
      <trackRevisions>false</trackRevisions>
    </reviewItem>
    <reviewItem>
      <errorID>1b5fddfe-dec2-4166-87f3-58847725bf82</errorID>
      <errorWord>)</errorWord>
      <group>L1_Format</group>
      <groupName>格式问题</groupName>
      <ability>L2_HalfPunc</ability>
      <abilityName>全半角检查</abilityName>
      <candidateList>
        <item>）</item>
      </candidateList>
      <explain>文本全半角错误。</explain>
      <paraID>62EC0D48</paraID>
      <start>26</start>
      <end>27</end>
      <status>modified</status>
      <modifiedWord>）</modifiedWord>
      <trackRevisions>false</trackRevisions>
    </reviewItem>
    <reviewItem>
      <errorID>f3c9cdef-f651-4bb8-90e9-0238033bb79c</errorID>
      <errorWord>(</errorWord>
      <group>L1_Format</group>
      <groupName>格式问题</groupName>
      <ability>L2_HalfPunc</ability>
      <abilityName>全半角检查</abilityName>
      <candidateList>
        <item>（</item>
      </candidateList>
      <explain>文本全半角错误。</explain>
      <paraID> 244B561</paraID>
      <start>5</start>
      <end>6</end>
      <status>modified</status>
      <modifiedWord>（</modifiedWord>
      <trackRevisions>false</trackRevisions>
    </reviewItem>
    <reviewItem>
      <errorID>2bfaaeb3-027f-47f2-bfe2-bf0d04f9af44</errorID>
      <errorWord>)</errorWord>
      <group>L1_Format</group>
      <groupName>格式问题</groupName>
      <ability>L2_HalfPunc</ability>
      <abilityName>全半角检查</abilityName>
      <candidateList>
        <item>）</item>
      </candidateList>
      <explain>文本全半角错误。</explain>
      <paraID> 244B561</paraID>
      <start>8</start>
      <end>9</end>
      <status>modified</status>
      <modifiedWord>）</modifiedWord>
      <trackRevisions>false</trackRevisions>
    </reviewItem>
    <reviewItem>
      <errorID>708b14ca-f7cd-4e6e-a2a3-8812a34fb1dd</errorID>
      <errorWord>(</errorWord>
      <group>L1_Format</group>
      <groupName>格式问题</groupName>
      <ability>L2_HalfPunc</ability>
      <abilityName>全半角检查</abilityName>
      <candidateList>
        <item>（</item>
      </candidateList>
      <explain>文本全半角错误。</explain>
      <paraID> 244B561</paraID>
      <start>24</start>
      <end>25</end>
      <status>modified</status>
      <modifiedWord>（</modifiedWord>
      <trackRevisions>false</trackRevisions>
    </reviewItem>
    <reviewItem>
      <errorID>d194f089-8dad-41fe-b33d-6bfefc6bed2a</errorID>
      <errorWord>)</errorWord>
      <group>L1_Format</group>
      <groupName>格式问题</groupName>
      <ability>L2_HalfPunc</ability>
      <abilityName>全半角检查</abilityName>
      <candidateList>
        <item>）</item>
      </candidateList>
      <explain>文本全半角错误。</explain>
      <paraID> 244B561</paraID>
      <start>27</start>
      <end>28</end>
      <status>modified</status>
      <modifiedWord>）</modifiedWord>
      <trackRevisions>false</trackRevisions>
    </reviewItem>
    <reviewItem>
      <errorID>e54241d2-46f8-49f1-adac-cbd3ab60bbf1</errorID>
      <errorWord>(</errorWord>
      <group>L1_Format</group>
      <groupName>格式问题</groupName>
      <ability>L2_HalfPunc</ability>
      <abilityName>全半角检查</abilityName>
      <candidateList>
        <item>（</item>
      </candidateList>
      <explain>文本全半角错误。</explain>
      <paraID>4F5BD1F2</paraID>
      <start>5</start>
      <end>6</end>
      <status>modified</status>
      <modifiedWord>（</modifiedWord>
      <trackRevisions>false</trackRevisions>
    </reviewItem>
    <reviewItem>
      <errorID>941f71de-30c5-427c-8e2a-6fe0d366ee0d</errorID>
      <errorWord>)</errorWord>
      <group>L1_Format</group>
      <groupName>格式问题</groupName>
      <ability>L2_HalfPunc</ability>
      <abilityName>全半角检查</abilityName>
      <candidateList>
        <item>）</item>
      </candidateList>
      <explain>文本全半角错误。</explain>
      <paraID>4F5BD1F2</paraID>
      <start>8</start>
      <end>9</end>
      <status>modified</status>
      <modifiedWord>）</modifiedWord>
      <trackRevisions>false</trackRevisions>
    </reviewItem>
    <reviewItem>
      <errorID>cc78f243-7316-4704-8354-eadc19b7a508</errorID>
      <errorWord>(</errorWord>
      <group>L1_Format</group>
      <groupName>格式问题</groupName>
      <ability>L2_HalfPunc</ability>
      <abilityName>全半角检查</abilityName>
      <candidateList>
        <item>（</item>
      </candidateList>
      <explain>文本全半角错误。</explain>
      <paraID>4F5BD1F2</paraID>
      <start>24</start>
      <end>25</end>
      <status>modified</status>
      <modifiedWord>（</modifiedWord>
      <trackRevisions>false</trackRevisions>
    </reviewItem>
    <reviewItem>
      <errorID>babaf625-e2d7-42f6-8105-0ca413899149</errorID>
      <errorWord>)</errorWord>
      <group>L1_Format</group>
      <groupName>格式问题</groupName>
      <ability>L2_HalfPunc</ability>
      <abilityName>全半角检查</abilityName>
      <candidateList>
        <item>）</item>
      </candidateList>
      <explain>文本全半角错误。</explain>
      <paraID>4F5BD1F2</paraID>
      <start>27</start>
      <end>28</end>
      <status>modified</status>
      <modifiedWord>）</modifiedWord>
      <trackRevisions>false</trackRevisions>
    </reviewItem>
    <reviewItem>
      <errorID>a8fad4a3-e9ae-494b-b7c0-af956ae6d93f</errorID>
      <errorWord>(</errorWord>
      <group>L1_Format</group>
      <groupName>格式问题</groupName>
      <ability>L2_HalfPunc</ability>
      <abilityName>全半角检查</abilityName>
      <candidateList>
        <item>（</item>
      </candidateList>
      <explain>文本全半角错误。</explain>
      <paraID>4FAD192E</paraID>
      <start>4</start>
      <end>5</end>
      <status>modified</status>
      <modifiedWord>（</modifiedWord>
      <trackRevisions>false</trackRevisions>
    </reviewItem>
    <reviewItem>
      <errorID>6700fede-a943-4907-b571-e02e89531d07</errorID>
      <errorWord>)</errorWord>
      <group>L1_Format</group>
      <groupName>格式问题</groupName>
      <ability>L2_HalfPunc</ability>
      <abilityName>全半角检查</abilityName>
      <candidateList>
        <item>）</item>
      </candidateList>
      <explain>文本全半角错误。</explain>
      <paraID>4FAD192E</paraID>
      <start>7</start>
      <end>8</end>
      <status>modified</status>
      <modifiedWord>）</modifiedWord>
      <trackRevisions>false</trackRevisions>
    </reviewItem>
    <reviewItem>
      <errorID>2a884d78-381d-4106-848e-5b3a11d2ca42</errorID>
      <errorWord>下</errorWord>
      <group>L1_Word</group>
      <groupName>字词问题</groupName>
      <ability>L2_Typo</ability>
      <abilityName>字词错误</abilityName>
      <candidateList>
        <item>下简</item>
      </candidateList>
      <explain/>
      <paraID>4022C7B0</paraID>
      <start>37</start>
      <end>39</end>
      <status>modified</status>
      <modifiedWord>下简</modifiedWord>
      <trackRevisions>false</trackRevisions>
    </reviewItem>
    <reviewItem>
      <errorID>75898156-32e0-4f9d-8f23-01ae042d4bb4</errorID>
      <errorWord>，</errorWord>
      <group>L1_Word</group>
      <groupName>字词问题</groupName>
      <ability>L2_Typo</ability>
      <abilityName>字词错误</abilityName>
      <candidateList>
        <item>，并</item>
      </candidateList>
      <explain/>
      <paraID>4022C7B0</paraID>
      <start>146</start>
      <end>148</end>
      <status>modified</status>
      <modifiedWord>，并</modifiedWord>
      <trackRevisions>false</trackRevisions>
    </reviewItem>
    <reviewItem>
      <errorID>76f67867-6c29-451f-a279-06904d695cbe</errorID>
      <errorWord>下</errorWord>
      <group>L1_Word</group>
      <groupName>字词问题</groupName>
      <ability>L2_Typo</ability>
      <abilityName>字词错误</abilityName>
      <candidateList>
        <item>下简</item>
      </candidateList>
      <explain/>
      <paraID>19CADBCC</paraID>
      <start>28</start>
      <end>30</end>
      <status>modified</status>
      <modifiedWord>下简</modifiedWord>
      <trackRevisions>false</trackRevisions>
    </reviewItem>
    <reviewItem>
      <errorID>412d4ea2-177b-459a-bfb7-2944f5bc3187</errorID>
      <errorWord>７</errorWord>
      <group>L1_Format</group>
      <groupName>格式问题</groupName>
      <ability>L2_HalfPunc</ability>
      <abilityName>全半角检查</abilityName>
      <candidateList>
        <item>7</item>
      </candidateList>
      <explain>文本全半角错误。</explain>
      <paraID>77F63A29</paraID>
      <start>50</start>
      <end>51</end>
      <status>modified</status>
      <modifiedWord>7</modifiedWord>
      <trackRevisions>false</trackRevisions>
    </reviewItem>
    <reviewItem>
      <errorID>2d3883ee-cd0a-40b7-90ba-41ca2bc78cd0</errorID>
      <errorWord>７</errorWord>
      <group>L1_Format</group>
      <groupName>格式问题</groupName>
      <ability>L2_HalfPunc</ability>
      <abilityName>全半角检查</abilityName>
      <candidateList>
        <item>7</item>
      </candidateList>
      <explain>文本全半角错误。</explain>
      <paraID>7CEEDB6F</paraID>
      <start>25</start>
      <end>26</end>
      <status>modified</status>
      <modifiedWord>7</modifiedWord>
      <trackRevisions>false</trackRevisions>
    </reviewItem>
    <reviewItem>
      <errorID>d1515b7c-bb48-4b47-a156-c53d51b4d244</errorID>
      <errorWord>:(</errorWord>
      <group>L1_Format</group>
      <groupName>格式问题</groupName>
      <ability>L2_HalfPunc</ability>
      <abilityName>全半角检查</abilityName>
      <candidateList>
        <item>：（</item>
      </candidateList>
      <explain>文本全半角错误。</explain>
      <paraID>3DEEF894</paraID>
      <start>12</start>
      <end>14</end>
      <status>modified</status>
      <modifiedWord>：（</modifiedWord>
      <trackRevisions>false</trackRevisions>
    </reviewItem>
    <reviewItem>
      <errorID>b9961495-30b9-4e95-aae1-8038538f6653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8A18013</paraID>
      <start>0</start>
      <end>2</end>
      <status>modified</status>
      <modifiedWord>1.</modifiedWord>
      <trackRevisions>false</trackRevisions>
    </reviewItem>
    <reviewItem>
      <errorID>5f82fa50-c45f-469f-b798-9b1ff273a4e2</errorID>
      <errorWord>(</errorWord>
      <group>L1_Format</group>
      <groupName>格式问题</groupName>
      <ability>L2_HalfPunc</ability>
      <abilityName>全半角检查</abilityName>
      <candidateList>
        <item>（</item>
      </candidateList>
      <explain>文本全半角错误。</explain>
      <paraID>1708BE28</paraID>
      <start>29</start>
      <end>30</end>
      <status>modified</status>
      <modifiedWord>（</modifiedWord>
      <trackRevisions>false</trackRevisions>
    </reviewItem>
    <reviewItem>
      <errorID>e063af64-a098-4568-b358-3e868ed88e0c</errorID>
      <errorWord>)</errorWord>
      <group>L1_Format</group>
      <groupName>格式问题</groupName>
      <ability>L2_HalfPunc</ability>
      <abilityName>全半角检查</abilityName>
      <candidateList>
        <item>）</item>
      </candidateList>
      <explain>文本全半角错误。</explain>
      <paraID>1708BE28</paraID>
      <start>46</start>
      <end>47</end>
      <status>modified</status>
      <modifiedWord>）</modifiedWord>
      <trackRevisions>false</trackRevisions>
    </reviewItem>
    <reviewItem>
      <errorID>c5bfcdbf-8f0d-4a43-9363-315f32769adc</errorID>
      <errorWord>:</errorWord>
      <group>L1_Format</group>
      <groupName>格式问题</groupName>
      <ability>L2_HalfPunc</ability>
      <abilityName>全半角检查</abilityName>
      <candidateList>
        <item>：</item>
      </candidateList>
      <explain>文本全半角错误。</explain>
      <paraID>19A5A750</paraID>
      <start>20</start>
      <end>21</end>
      <status>modified</status>
      <modifiedWord>：</modifiedWord>
      <trackRevisions>false</trackRevisions>
    </reviewItem>
    <reviewItem>
      <errorID>05a745a0-d10c-42b0-9915-7dd30e404f62</errorID>
      <errorWord>(</errorWord>
      <group>L1_Format</group>
      <groupName>格式问题</groupName>
      <ability>L2_HalfPunc</ability>
      <abilityName>全半角检查</abilityName>
      <candidateList>
        <item>（</item>
      </candidateList>
      <explain>文本全半角错误。</explain>
      <paraID>10B104D2</paraID>
      <start>54</start>
      <end>55</end>
      <status>modified</status>
      <modifiedWord>（</modifiedWord>
      <trackRevisions>false</trackRevisions>
    </reviewItem>
    <reviewItem>
      <errorID>2f331fb6-03f8-4f69-83ba-5387c6dbc358</errorID>
      <errorWord>)</errorWord>
      <group>L1_Format</group>
      <groupName>格式问题</groupName>
      <ability>L2_HalfPunc</ability>
      <abilityName>全半角检查</abilityName>
      <candidateList>
        <item>）</item>
      </candidateList>
      <explain>文本全半角错误。</explain>
      <paraID>10B104D2</paraID>
      <start>58</start>
      <end>59</end>
      <status>modified</status>
      <modifiedWord>）</modifiedWord>
      <trackRevisions>false</trackRevisions>
    </reviewItem>
    <reviewItem>
      <errorID>b8b23c70-7e78-4555-8bab-5a869ddca8f5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2F5E9E8B</paraID>
      <start>1</start>
      <end>3</end>
      <status>modified</status>
      <modifiedWord>2.</modifiedWord>
      <trackRevisions>false</trackRevisions>
    </reviewItem>
    <reviewItem>
      <errorID>e4d90c89-ff26-473b-92f0-b050a33f5d9a</errorID>
      <errorWord>：。</errorWord>
      <group>L1_Punc</group>
      <groupName>标点问题</groupName>
      <ability>L2_Punc</ability>
      <abilityName>标点符号检查</abilityName>
      <candidateList>
        <item>：</item>
      </candidateList>
      <explain/>
      <paraID>2BA43EC9</paraID>
      <start>37</start>
      <end>38</end>
      <status>modified</status>
      <modifiedWord>：</modifiedWord>
      <trackRevisions>false</trackRevisions>
    </reviewItem>
    <reviewItem>
      <errorID>ef78803d-df8b-4138-93dd-87a867fba562</errorID>
      <errorWord>：）</errorWord>
      <group>L1_Punc</group>
      <groupName>标点问题</groupName>
      <ability>L2_Punc</ability>
      <abilityName>标点符号检查</abilityName>
      <candidateList>
        <item>）</item>
      </candidateList>
      <explain/>
      <paraID>69D889B8</paraID>
      <start>57</start>
      <end>58</end>
      <status>modified</status>
      <modifiedWord>）</modifiedWord>
      <trackRevisions>false</trackRevisions>
    </reviewItem>
    <reviewItem>
      <errorID>6c50d9ee-5eef-4eba-94e1-0f73916f12d8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4652ED36</paraID>
      <start>44</start>
      <end>45</end>
      <status>ignored</status>
      <modifiedWord/>
      <trackRevisions>false</trackRevisions>
    </reviewItem>
    <reviewItem>
      <errorID>92b8b155-4033-48fa-89b4-e1cf06376fcc</errorID>
      <errorWord>[2009]36号</errorWord>
      <group>L1_Knowledge</group>
      <groupName>知识性问题</groupName>
      <ability>L2_Knowledge</ability>
      <abilityName>其他知识</abilityName>
      <candidateList>
        <item>〔2009〕36号</item>
      </candidateList>
      <explain>发文字号格式错误。</explain>
      <paraID>4652ED36</paraID>
      <start>54</start>
      <end>63</end>
      <status>modified</status>
      <modifiedWord>〔2009〕36号</modifiedWord>
      <trackRevisions>false</trackRevisions>
    </reviewItem>
    <reviewItem>
      <errorID>077084e7-74e4-4019-bde2-dc5c43249d8d</errorID>
      <errorWord>)</errorWord>
      <group>L1_Format</group>
      <groupName>格式问题</groupName>
      <ability>L2_HalfPunc</ability>
      <abilityName>全半角检查</abilityName>
      <candidateList>
        <item>）</item>
      </candidateList>
      <explain>文本全半角错误。</explain>
      <paraID>4652ED36</paraID>
      <start>63</start>
      <end>64</end>
      <status>modified</status>
      <modifiedWord>）</modifiedWord>
      <trackRevisions>false</trackRevisions>
    </reviewItem>
    <reviewItem>
      <errorID>9cef8f5e-51a2-4cc7-89dc-e02aff2b6c6f</errorID>
      <errorWord>(</errorWord>
      <group>L1_Format</group>
      <groupName>格式问题</groupName>
      <ability>L2_HalfPunc</ability>
      <abilityName>全半角检查</abilityName>
      <candidateList>
        <item>（</item>
      </candidateList>
      <explain>文本全半角错误。</explain>
      <paraID>6219DE38</paraID>
      <start>7</start>
      <end>8</end>
      <status>modified</status>
      <modifiedWord>（</modifiedWord>
      <trackRevisions>false</trackRevisions>
    </reviewItem>
    <reviewItem>
      <errorID>b50b9f7a-7e25-4bf5-ad94-d777a67e558f</errorID>
      <errorWord>)</errorWord>
      <group>L1_Format</group>
      <groupName>格式问题</groupName>
      <ability>L2_HalfPunc</ability>
      <abilityName>全半角检查</abilityName>
      <candidateList>
        <item>）</item>
      </candidateList>
      <explain>文本全半角错误。</explain>
      <paraID>6219DE38</paraID>
      <start>14</start>
      <end>15</end>
      <status>modified</status>
      <modifiedWord>）</modifiedWord>
      <trackRevisions>false</trackRevisions>
    </reviewItem>
    <reviewItem>
      <errorID>e03dc766-984e-4295-beac-ebb554e9e725</errorID>
      <errorWord>[2020]46号</errorWord>
      <group>L1_Knowledge</group>
      <groupName>知识性问题</groupName>
      <ability>L2_Knowledge</ability>
      <abilityName>其他知识</abilityName>
      <candidateList>
        <item>〔2020〕46号</item>
      </candidateList>
      <explain>发文字号格式错误。</explain>
      <paraID>667A77D2</paraID>
      <start>42</start>
      <end>51</end>
      <status>modified</status>
      <modifiedWord>〔2020〕46号</modifiedWord>
      <trackRevisions>false</trackRevisions>
    </reviewItem>
    <reviewItem>
      <errorID>f2cc9722-1485-4b1e-befa-2c492ac43f54</errorID>
      <errorWord>〔2017〕 141号</errorWord>
      <group>L1_Knowledge</group>
      <groupName>知识性问题</groupName>
      <ability>L2_Knowledge</ability>
      <abilityName>其他知识</abilityName>
      <candidateList>
        <item>〔2017〕141号</item>
      </candidateList>
      <explain>发文字号格式错误。</explain>
      <paraID>5E3BD7CC</paraID>
      <start>49</start>
      <end>59</end>
      <status>modified</status>
      <modifiedWord>〔2017〕141号</modifiedWord>
      <trackRevisions>false</trackRevisions>
    </reviewItem>
    <reviewItem>
      <errorID>6c17a90a-e086-4a57-a142-4c84ad52ac57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64D7FB9A</paraID>
      <start>0</start>
      <end>2</end>
      <status>modified</status>
      <modifiedWord>1.</modifiedWord>
      <trackRevisions>false</trackRevisions>
    </reviewItem>
    <reviewItem>
      <errorID>f3c7172a-d774-40ed-9478-f91880b936d8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3694958F</paraID>
      <start>1</start>
      <end>3</end>
      <status>modified</status>
      <modifiedWord>2.</modifiedWord>
      <trackRevisions>false</trackRevisions>
    </reviewItem>
    <reviewItem>
      <errorID>bf7bd6a4-560a-48b1-b8b0-e47199d920a0</errorID>
      <errorWord>其它</errorWord>
      <group>L1_Word</group>
      <groupName>字词问题</groupName>
      <ability>L2_Alias</ability>
      <abilityName>也作/曾用词</abilityName>
      <candidateList>
        <item>其他</item>
      </candidateList>
      <explain>词汇[其它]为不规范表述或旧称，其规范书面表述为[其他]。</explain>
      <paraID>1A3D038F</paraID>
      <start>12</start>
      <end>14</end>
      <status>modified</status>
      <modifiedWord>其他</modifiedWord>
      <trackRevisions>false</trackRevisions>
    </reviewItem>
    <reviewItem>
      <errorID>2d51e1bf-8968-4751-8028-b6aafcb23b4b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5E4365FC</paraID>
      <start>1</start>
      <end>3</end>
      <status>modified</status>
      <modifiedWord>3.</modifiedWord>
      <trackRevisions>false</trackRevisions>
    </reviewItem>
    <reviewItem>
      <errorID>f82c128c-a6e9-4c64-8562-40d3947c5ad3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695C629E</paraID>
      <start>31</start>
      <end>32</end>
      <status>modified</status>
      <modifiedWord>或</modifiedWord>
      <trackRevisions>false</trackRevisions>
    </reviewItem>
    <reviewItem>
      <errorID>95bb8d03-c130-4611-b790-13bea0086d2d</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4645CC59</paraID>
      <start>144</start>
      <end>158</end>
      <status>modified</status>
      <modifiedWord>中华人民共和国反不正当竞争法</modifiedWord>
      <trackRevisions>false</trackRevisions>
    </reviewItem>
    <reviewItem>
      <errorID>86e2dfe6-18bc-4c2e-a83a-32549786891b</errorID>
      <errorWord>表</errorWord>
      <group>L1_Word</group>
      <groupName>字词问题</groupName>
      <ability>L2_Typo</ability>
      <abilityName>字词错误</abilityName>
      <candidateList>
        <item>表人</item>
      </candidateList>
      <explain/>
      <paraID>582344A9</paraID>
      <start>5</start>
      <end>7</end>
      <status>modified</status>
      <modifiedWord>表人</modifiedWord>
      <trackRevisions>false</trackRevisions>
    </reviewItem>
    <reviewItem>
      <errorID>fcbb636f-437d-4bf8-880a-4f39d807f514</errorID>
      <errorWord>:</errorWord>
      <group>L1_Format</group>
      <groupName>格式问题</groupName>
      <ability>L2_HalfPunc</ability>
      <abilityName>全半角检查</abilityName>
      <candidateList>
        <item>：</item>
      </candidateList>
      <explain>文本全半角错误。</explain>
      <paraID>143C8BC3</paraID>
      <start>11</start>
      <end>12</end>
      <status>modified</status>
      <modifiedWord>：</modifiedWord>
      <trackRevisions>false</trackRevisions>
    </reviewItem>
    <reviewItem>
      <errorID>95bf11bf-d60b-44e8-b1d6-3241522324d4</errorID>
      <errorWord>:</errorWord>
      <group>L1_Format</group>
      <groupName>格式问题</groupName>
      <ability>L2_HalfPunc</ability>
      <abilityName>全半角检查</abilityName>
      <candidateList>
        <item>：</item>
      </candidateList>
      <explain>文本全半角错误。</explain>
      <paraID> 4C927DE</paraID>
      <start>11</start>
      <end>12</end>
      <status>modified</status>
      <modifiedWord>：</modifiedWord>
      <trackRevisions>false</trackRevisions>
    </reviewItem>
    <reviewItem>
      <errorID>9e0c288e-34a3-422b-8cc0-0359db8c9c20</errorID>
      <errorWord>:(</errorWord>
      <group>L1_Format</group>
      <groupName>格式问题</groupName>
      <ability>L2_HalfPunc</ability>
      <abilityName>全半角检查</abilityName>
      <candidateList>
        <item>：（</item>
      </candidateList>
      <explain>文本全半角错误。</explain>
      <paraID>409A7549</paraID>
      <start>12</start>
      <end>14</end>
      <status>modified</status>
      <modifiedWord>：（</modifiedWord>
      <trackRevisions>false</trackRevisions>
    </reviewItem>
    <reviewItem>
      <errorID>13baaa6d-8575-4718-a73e-f5a97c2207b6</errorID>
      <errorWord>:</errorWord>
      <group>L1_Format</group>
      <groupName>格式问题</groupName>
      <ability>L2_HalfPunc</ability>
      <abilityName>全半角检查</abilityName>
      <candidateList>
        <item>：</item>
      </candidateList>
      <explain>文本全半角错误。</explain>
      <paraID>48C83819</paraID>
      <start>2</start>
      <end>3</end>
      <status>modified</status>
      <modifiedWord>：</modifiedWord>
      <trackRevisions>false</trackRevisions>
    </reviewItem>
    <reviewItem>
      <errorID>32bd928a-c64e-4920-b32f-c58f15d44326</errorID>
      <errorWord>(</errorWord>
      <group>L1_Format</group>
      <groupName>格式问题</groupName>
      <ability>L2_HalfPunc</ability>
      <abilityName>全半角检查</abilityName>
      <candidateList>
        <item>（</item>
      </candidateList>
      <explain>文本全半角错误。</explain>
      <paraID>48C83819</paraID>
      <start>75</start>
      <end>76</end>
      <status>modified</status>
      <modifiedWord>（</modifiedWord>
      <trackRevisions>false</trackRevisions>
    </reviewItem>
    <reviewItem>
      <errorID>1706694e-2572-40c6-8735-847923808c28</errorID>
      <errorWord>)</errorWord>
      <group>L1_Format</group>
      <groupName>格式问题</groupName>
      <ability>L2_HalfPunc</ability>
      <abilityName>全半角检查</abilityName>
      <candidateList>
        <item>）</item>
      </candidateList>
      <explain>文本全半角错误。</explain>
      <paraID>48C83819</paraID>
      <start>82</start>
      <end>83</end>
      <status>modified</status>
      <modifiedWord>）</modifiedWord>
      <trackRevisions>false</trackRevisions>
    </reviewItem>
    <reviewItem>
      <errorID>fc7dbf60-4ce4-4e36-86db-ea9282e6ee0d</errorID>
      <errorWord>:</errorWord>
      <group>L1_Format</group>
      <groupName>格式问题</groupName>
      <ability>L2_HalfPunc</ability>
      <abilityName>全半角检查</abilityName>
      <candidateList>
        <item>：</item>
      </candidateList>
      <explain>文本全半角错误。</explain>
      <paraID> 266BF56</paraID>
      <start>5</start>
      <end>6</end>
      <status>modified</status>
      <modifiedWord>：</modifiedWord>
      <trackRevisions>false</trackRevisions>
    </reviewItem>
    <reviewItem>
      <errorID>ce0aee94-fbe4-42aa-9517-df0b3195ddcd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1D8668BC</paraID>
      <start>0</start>
      <end>2</end>
      <status>modified</status>
      <modifiedWord>1.</modifiedWord>
      <trackRevisions>false</trackRevisions>
    </reviewItem>
    <reviewItem>
      <errorID>71662fca-356c-4f40-a933-0c0ad4ee758a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4EBB0FBD</paraID>
      <start>0</start>
      <end>2</end>
      <status>modified</status>
      <modifiedWord>2.</modifiedWord>
      <trackRevisions>false</trackRevisions>
    </reviewItem>
    <reviewItem>
      <errorID>804ca140-ff12-448f-809b-e5ededc127e1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61BEED84</paraID>
      <start>0</start>
      <end>2</end>
      <status>modified</status>
      <modifiedWord>3.</modifiedWord>
      <trackRevisions>false</trackRevisions>
    </reviewItem>
    <reviewItem>
      <errorID>56f10f8e-be07-4ab9-8b1d-dbe656396a79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46AC215D</paraID>
      <start>0</start>
      <end>2</end>
      <status>modified</status>
      <modifiedWord>4.</modifiedWord>
      <trackRevisions>false</trackRevisions>
    </reviewItem>
    <reviewItem>
      <errorID>bd7768e6-2c33-43e3-a56a-d201cf3f01c0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3E9392B8</paraID>
      <start>0</start>
      <end>2</end>
      <status>modified</status>
      <modifiedWord>5.</modifiedWord>
      <trackRevisions>false</trackRevisions>
    </reviewItem>
    <reviewItem>
      <errorID>232608e0-418e-41ca-9b85-a4e3fa0a6594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68BEB084</paraID>
      <start>0</start>
      <end>2</end>
      <status>modified</status>
      <modifiedWord>6.</modifiedWord>
      <trackRevisions>false</trackRevisions>
    </reviewItem>
    <reviewItem>
      <errorID>18212529-07da-4f0c-a166-fe6c92a67701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77CA1346</paraID>
      <start>0</start>
      <end>2</end>
      <status>modified</status>
      <modifiedWord>7.</modifiedWord>
      <trackRevisions>false</trackRevisions>
    </reviewItem>
    <reviewItem>
      <errorID>22ee2dda-5bcb-40a6-a4aa-e5b61419b27f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30FEE09</paraID>
      <start>0</start>
      <end>2</end>
      <status>modified</status>
      <modifiedWord>8.</modifiedWord>
      <trackRevisions>false</trackRevisions>
    </reviewItem>
    <reviewItem>
      <errorID>45934487-d412-4d08-bf5e-a6ebd4b568eb</errorID>
      <errorWord>其它</errorWord>
      <group>L1_Word</group>
      <groupName>字词问题</groupName>
      <ability>L2_Alias</ability>
      <abilityName>也作/曾用词</abilityName>
      <candidateList>
        <item>其他</item>
      </candidateList>
      <explain>词汇[其它]为不规范表述或旧称，其规范书面表述为[其他]。</explain>
      <paraID>37E677B5</paraID>
      <start>12</start>
      <end>14</end>
      <status>modified</status>
      <modifiedWord>其他</modifiedWord>
      <trackRevisions>false</trackRevisions>
    </reviewItem>
    <reviewItem>
      <errorID>7a192bbe-761d-4660-923d-2ff13c46f125</errorID>
      <errorWord>，</errorWord>
      <group>L1_Word</group>
      <groupName>字词问题</groupName>
      <ability>L2_Typo</ability>
      <abilityName>字词错误</abilityName>
      <candidateList>
        <item>，在</item>
      </candidateList>
      <explain/>
      <paraID>38ECCCA5</paraID>
      <start>16</start>
      <end>18</end>
      <status>modified</status>
      <modifiedWord>，在</modifiedWord>
      <trackRevisions>false</trackRevisions>
    </reviewItem>
    <reviewItem>
      <errorID>b08d3572-5bf4-4093-b577-b2c403e271cf</errorID>
      <errorWord>&lt;</errorWord>
      <group>L1_Format</group>
      <groupName>格式问题</groupName>
      <ability>L2_HalfPunc</ability>
      <abilityName>全半角检查</abilityName>
      <candidateList>
        <item>〈</item>
      </candidateList>
      <explain>文本全半角错误。</explain>
      <paraID>4ADF5258</paraID>
      <start>49</start>
      <end>50</end>
      <status>ignored</status>
      <modifiedWord/>
      <trackRevisions>false</trackRevisions>
    </reviewItem>
    <reviewItem>
      <errorID>6757add8-2581-494e-bf89-a04199fd108d</errorID>
      <errorWord>&lt;</errorWord>
      <group>L1_Format</group>
      <groupName>格式问题</groupName>
      <ability>L2_HalfPunc</ability>
      <abilityName>全半角检查</abilityName>
      <candidateList>
        <item>〈</item>
      </candidateList>
      <explain>文本全半角错误。</explain>
      <paraID>60BF45E4</paraID>
      <start>49</start>
      <end>50</end>
      <status>ignored</status>
      <modifiedWord/>
      <trackRevisions>false</trackRevisions>
    </reviewItem>
    <reviewItem>
      <errorID>c56d1c89-2edd-496e-8281-2e4e74d618ef</errorID>
      <errorWord>&lt;</errorWord>
      <group>L1_Format</group>
      <groupName>格式问题</groupName>
      <ability>L2_HalfPunc</ability>
      <abilityName>全半角检查</abilityName>
      <candidateList>
        <item>〈</item>
      </candidateList>
      <explain>文本全半角错误。</explain>
      <paraID> 44DBAFD</paraID>
      <start>34</start>
      <end>35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0edfd-86f0-44a4-a0bb-2f0cda0fbad6}">
  <ds:schemaRefs/>
</ds:datastoreItem>
</file>

<file path=docProps/app.xml><?xml version="1.0" encoding="utf-8"?>
<Properties xmlns="http://schemas.openxmlformats.org/officeDocument/2006/extended-properties" xmlns:vt="http://schemas.openxmlformats.org/officeDocument/2006/docPropsVTypes">
  <Template>Normal.dotm</Template>
  <Pages>167</Pages>
  <Words>25426</Words>
  <Characters>27318</Characters>
  <Lines>256</Lines>
  <Paragraphs>72</Paragraphs>
  <TotalTime>1</TotalTime>
  <ScaleCrop>false</ScaleCrop>
  <LinksUpToDate>false</LinksUpToDate>
  <CharactersWithSpaces>28373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2024-09-14T03:22:00Z</dcterms:created>
  <dc:creator>lenovo</dc:creator>
  <cp:lastModifiedBy>刘翔</cp:lastModifiedBy>
  <cp:lastPrinted>2026-03-09T08:55:00Z</cp:lastPrinted>
  <dcterms:modified xsi:type="dcterms:W3CDTF">2026-06-10T09:56:16Z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D8BF412F506F4BA8BA3F64885D10D664_13</vt:lpwstr>
  </property>
  <property fmtid="{D5CDD505-2E9C-101B-9397-08002B2CF9AE}" pid="4" name="KSOTemplateDocerSaveRecord">
    <vt:lpwstr>eyJoZGlkIjoiYmEzZDk4ZGI2ZDI0MmJlYzJiZTVjZDMxMDc2MzE5YTkiLCJ1c2VySWQiOiIyNzYxNjQwNjUifQ==</vt:lpwstr>
  </property>
</Properties>
</file>