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86F8">
      <w:pPr>
        <w:keepNext/>
        <w:keepLines/>
        <w:pageBreakBefore w:val="0"/>
        <w:widowControl/>
        <w:shd w:val="clear" w:color="auto" w:fill="FFFFFF"/>
        <w:wordWrap/>
        <w:overflowPunct/>
        <w:topLinePunct w:val="0"/>
        <w:bidi w:val="0"/>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项目编号</w:t>
      </w:r>
      <w:r>
        <w:rPr>
          <w:rFonts w:hint="eastAsia" w:ascii="宋体" w:hAnsi="宋体" w:eastAsia="宋体" w:cs="宋体"/>
          <w:b/>
          <w:color w:val="000000" w:themeColor="text1"/>
          <w:sz w:val="32"/>
          <w:szCs w:val="32"/>
          <w:highlight w:val="none"/>
          <w:lang w:val="en-US" w:eastAsia="zh-CN"/>
          <w14:textFill>
            <w14:solidFill>
              <w14:schemeClr w14:val="tx1"/>
            </w14:solidFill>
          </w14:textFill>
        </w:rPr>
        <w:t>:1404052026AGK00036</w:t>
      </w:r>
    </w:p>
    <w:p w14:paraId="128F43EF">
      <w:pPr>
        <w:keepNext/>
        <w:keepLines/>
        <w:pageBreakBefore w:val="0"/>
        <w:widowControl/>
        <w:shd w:val="clear" w:color="auto" w:fill="FFFFFF"/>
        <w:wordWrap/>
        <w:overflowPunct/>
        <w:topLinePunct w:val="0"/>
        <w:bidi w:val="0"/>
        <w:jc w:val="center"/>
        <w:rPr>
          <w:rFonts w:hint="eastAsia" w:ascii="宋体" w:hAnsi="宋体" w:eastAsia="宋体" w:cs="宋体"/>
          <w:b/>
          <w:bCs w:val="0"/>
          <w:color w:val="auto"/>
          <w:sz w:val="48"/>
          <w:szCs w:val="48"/>
          <w:highlight w:val="none"/>
        </w:rPr>
      </w:pPr>
    </w:p>
    <w:p w14:paraId="4A2099C7">
      <w:pPr>
        <w:pStyle w:val="3"/>
        <w:keepNext/>
        <w:keepLines/>
        <w:pageBreakBefore w:val="0"/>
        <w:widowControl/>
        <w:wordWrap/>
        <w:overflowPunct/>
        <w:topLinePunct w:val="0"/>
        <w:bidi w:val="0"/>
        <w:jc w:val="center"/>
        <w:rPr>
          <w:rFonts w:hint="eastAsia" w:ascii="宋体" w:hAnsi="宋体" w:eastAsia="宋体" w:cs="宋体"/>
          <w:color w:val="auto"/>
          <w:highlight w:val="none"/>
          <w:lang w:eastAsia="zh-CN"/>
        </w:rPr>
      </w:pPr>
      <w:r>
        <w:rPr>
          <w:rFonts w:hint="eastAsia" w:ascii="宋体" w:hAnsi="宋体" w:eastAsia="宋体" w:cs="宋体"/>
          <w:b/>
          <w:bCs w:val="0"/>
          <w:color w:val="auto"/>
          <w:sz w:val="48"/>
          <w:szCs w:val="52"/>
          <w:highlight w:val="none"/>
          <w:lang w:val="en-US" w:eastAsia="zh-CN"/>
        </w:rPr>
        <w:t>长治市屯留区医疗集团</w:t>
      </w:r>
      <w:bookmarkStart w:id="129" w:name="_GoBack"/>
      <w:bookmarkEnd w:id="129"/>
      <w:r>
        <w:rPr>
          <w:rFonts w:hint="eastAsia" w:ascii="宋体" w:hAnsi="宋体" w:eastAsia="宋体" w:cs="宋体"/>
          <w:b/>
          <w:bCs w:val="0"/>
          <w:color w:val="auto"/>
          <w:sz w:val="48"/>
          <w:szCs w:val="52"/>
          <w:highlight w:val="none"/>
          <w:lang w:val="en-US" w:eastAsia="zh-CN"/>
        </w:rPr>
        <w:t>医疗设备购置</w:t>
      </w:r>
    </w:p>
    <w:p w14:paraId="23081F01">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478EE24C">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1C7B63B3">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0D5F8259">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28890885">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7E4491A0">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5A916672">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705A533B">
      <w:pPr>
        <w:keepNext/>
        <w:keepLines/>
        <w:pageBreakBefore w:val="0"/>
        <w:widowControl/>
        <w:wordWrap/>
        <w:overflowPunct/>
        <w:topLinePunct w:val="0"/>
        <w:bidi w:val="0"/>
        <w:rPr>
          <w:rFonts w:hint="eastAsia" w:ascii="宋体" w:hAnsi="宋体" w:eastAsia="宋体" w:cs="宋体"/>
          <w:color w:val="auto"/>
          <w:highlight w:val="none"/>
          <w:lang w:eastAsia="zh-CN"/>
        </w:rPr>
      </w:pPr>
    </w:p>
    <w:p w14:paraId="013E2E29">
      <w:pPr>
        <w:keepNext/>
        <w:keepLines/>
        <w:pageBreakBefore w:val="0"/>
        <w:widowControl/>
        <w:shd w:val="clear" w:color="auto" w:fill="FFFFFF"/>
        <w:wordWrap/>
        <w:overflowPunct/>
        <w:topLinePunct w:val="0"/>
        <w:bidi w:val="0"/>
        <w:spacing w:line="720" w:lineRule="atLeast"/>
        <w:jc w:val="center"/>
        <w:rPr>
          <w:rFonts w:hint="eastAsia" w:ascii="宋体" w:hAnsi="宋体" w:eastAsia="宋体" w:cs="宋体"/>
          <w:b/>
          <w:color w:val="auto"/>
          <w:sz w:val="96"/>
          <w:szCs w:val="96"/>
          <w:highlight w:val="none"/>
          <w:lang w:eastAsia="zh-CN"/>
        </w:rPr>
      </w:pPr>
      <w:r>
        <w:rPr>
          <w:rFonts w:hint="eastAsia" w:ascii="宋体" w:hAnsi="宋体" w:eastAsia="宋体" w:cs="宋体"/>
          <w:b/>
          <w:color w:val="auto"/>
          <w:sz w:val="96"/>
          <w:szCs w:val="96"/>
          <w:highlight w:val="none"/>
          <w:lang w:eastAsia="zh-CN"/>
        </w:rPr>
        <w:t>招</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标</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文</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件</w:t>
      </w:r>
    </w:p>
    <w:p w14:paraId="30FC1FB1">
      <w:pPr>
        <w:keepNext/>
        <w:keepLines/>
        <w:pageBreakBefore w:val="0"/>
        <w:widowControl/>
        <w:shd w:val="clear" w:color="auto" w:fill="FFFFFF"/>
        <w:wordWrap/>
        <w:overflowPunct/>
        <w:topLinePunct w:val="0"/>
        <w:bidi w:val="0"/>
        <w:rPr>
          <w:rFonts w:hint="eastAsia" w:ascii="宋体" w:hAnsi="宋体" w:eastAsia="宋体" w:cs="宋体"/>
          <w:b/>
          <w:color w:val="auto"/>
          <w:sz w:val="32"/>
          <w:szCs w:val="32"/>
          <w:highlight w:val="none"/>
        </w:rPr>
      </w:pPr>
    </w:p>
    <w:p w14:paraId="30D07D51">
      <w:pPr>
        <w:keepNext/>
        <w:keepLines/>
        <w:pageBreakBefore w:val="0"/>
        <w:widowControl/>
        <w:shd w:val="clear" w:color="auto" w:fill="FFFFFF"/>
        <w:wordWrap/>
        <w:overflowPunct/>
        <w:topLinePunct w:val="0"/>
        <w:bidi w:val="0"/>
        <w:rPr>
          <w:rFonts w:hint="eastAsia" w:ascii="宋体" w:hAnsi="宋体" w:eastAsia="宋体" w:cs="宋体"/>
          <w:b/>
          <w:color w:val="auto"/>
          <w:sz w:val="32"/>
          <w:szCs w:val="32"/>
          <w:highlight w:val="none"/>
        </w:rPr>
      </w:pPr>
    </w:p>
    <w:p w14:paraId="59B445F9">
      <w:pPr>
        <w:pStyle w:val="3"/>
        <w:keepNext/>
        <w:keepLines/>
        <w:pageBreakBefore w:val="0"/>
        <w:widowControl/>
        <w:wordWrap/>
        <w:overflowPunct/>
        <w:topLinePunct w:val="0"/>
        <w:bidi w:val="0"/>
        <w:rPr>
          <w:rFonts w:hint="eastAsia" w:ascii="宋体" w:hAnsi="宋体" w:eastAsia="宋体" w:cs="宋体"/>
          <w:color w:val="auto"/>
          <w:highlight w:val="none"/>
        </w:rPr>
      </w:pPr>
    </w:p>
    <w:p w14:paraId="234428ED">
      <w:pPr>
        <w:rPr>
          <w:rFonts w:hint="eastAsia" w:ascii="宋体" w:hAnsi="宋体" w:eastAsia="宋体" w:cs="宋体"/>
          <w:color w:val="auto"/>
          <w:highlight w:val="none"/>
        </w:rPr>
      </w:pPr>
    </w:p>
    <w:p w14:paraId="2551FF51">
      <w:pPr>
        <w:rPr>
          <w:rFonts w:hint="eastAsia" w:ascii="宋体" w:hAnsi="宋体" w:eastAsia="宋体" w:cs="宋体"/>
          <w:color w:val="auto"/>
          <w:highlight w:val="none"/>
        </w:rPr>
      </w:pPr>
    </w:p>
    <w:p w14:paraId="4836B2EF">
      <w:pPr>
        <w:rPr>
          <w:rFonts w:hint="eastAsia" w:ascii="宋体" w:hAnsi="宋体" w:eastAsia="宋体" w:cs="宋体"/>
          <w:color w:val="auto"/>
          <w:highlight w:val="none"/>
        </w:rPr>
      </w:pPr>
    </w:p>
    <w:p w14:paraId="6485C7F8">
      <w:pPr>
        <w:rPr>
          <w:rFonts w:hint="eastAsia" w:ascii="宋体" w:hAnsi="宋体" w:eastAsia="宋体" w:cs="宋体"/>
          <w:color w:val="auto"/>
          <w:highlight w:val="none"/>
        </w:rPr>
      </w:pPr>
    </w:p>
    <w:p w14:paraId="59011A70">
      <w:pPr>
        <w:rPr>
          <w:rFonts w:hint="eastAsia" w:ascii="宋体" w:hAnsi="宋体" w:eastAsia="宋体" w:cs="宋体"/>
          <w:color w:val="auto"/>
          <w:highlight w:val="none"/>
        </w:rPr>
      </w:pPr>
    </w:p>
    <w:p w14:paraId="6A0A5F72">
      <w:pPr>
        <w:rPr>
          <w:rFonts w:hint="eastAsia" w:ascii="宋体" w:hAnsi="宋体" w:eastAsia="宋体" w:cs="宋体"/>
          <w:color w:val="auto"/>
          <w:highlight w:val="none"/>
        </w:rPr>
      </w:pPr>
    </w:p>
    <w:p w14:paraId="190DBECF">
      <w:pPr>
        <w:keepNext/>
        <w:keepLines/>
        <w:pageBreakBefore w:val="0"/>
        <w:widowControl/>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lang w:val="en-US" w:eastAsia="zh-CN"/>
        </w:rPr>
      </w:pPr>
    </w:p>
    <w:p w14:paraId="6D2DF7AB">
      <w:pPr>
        <w:keepNext/>
        <w:keepLines/>
        <w:pageBreakBefore w:val="0"/>
        <w:widowControl/>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lang w:val="en-US" w:eastAsia="zh-CN"/>
        </w:rPr>
      </w:pPr>
    </w:p>
    <w:p w14:paraId="62AB1CAF">
      <w:pPr>
        <w:keepNext/>
        <w:keepLines/>
        <w:pageBreakBefore w:val="0"/>
        <w:widowControl/>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lang w:val="en-US" w:eastAsia="zh-CN"/>
        </w:rPr>
        <w:t xml:space="preserve">采   购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 长治市屯留区人民医院</w:t>
      </w:r>
    </w:p>
    <w:p w14:paraId="0A45DAE4">
      <w:pPr>
        <w:keepNext/>
        <w:keepLines/>
        <w:pageBreakBefore w:val="0"/>
        <w:widowControl/>
        <w:kinsoku/>
        <w:wordWrap/>
        <w:overflowPunct/>
        <w:topLinePunct w:val="0"/>
        <w:autoSpaceDE/>
        <w:autoSpaceDN/>
        <w:bidi w:val="0"/>
        <w:adjustRightInd/>
        <w:snapToGrid/>
        <w:spacing w:line="480" w:lineRule="auto"/>
        <w:ind w:firstLine="1606" w:firstLineChars="5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采购代理机构：</w:t>
      </w:r>
      <w:r>
        <w:rPr>
          <w:rFonts w:hint="eastAsia" w:ascii="宋体" w:hAnsi="宋体" w:eastAsia="宋体" w:cs="宋体"/>
          <w:b/>
          <w:bCs/>
          <w:color w:val="auto"/>
          <w:sz w:val="32"/>
          <w:szCs w:val="32"/>
          <w:highlight w:val="none"/>
          <w:lang w:val="zh-CN" w:eastAsia="zh-CN"/>
        </w:rPr>
        <w:t xml:space="preserve">山西骅展工程项目管理有限责任公司 </w:t>
      </w:r>
    </w:p>
    <w:p w14:paraId="3677F59B">
      <w:pPr>
        <w:keepNext/>
        <w:keepLines/>
        <w:pageBreakBefore w:val="0"/>
        <w:widowControl/>
        <w:shd w:val="clear" w:color="auto" w:fill="FFFFFF"/>
        <w:kinsoku/>
        <w:wordWrap/>
        <w:overflowPunct/>
        <w:topLinePunct w:val="0"/>
        <w:autoSpaceDE/>
        <w:autoSpaceDN/>
        <w:bidi w:val="0"/>
        <w:adjustRightInd/>
        <w:snapToGrid/>
        <w:spacing w:line="360" w:lineRule="auto"/>
        <w:ind w:firstLine="1606" w:firstLineChars="500"/>
        <w:jc w:val="both"/>
        <w:textAlignment w:val="auto"/>
        <w:rPr>
          <w:rFonts w:hint="eastAsia" w:ascii="宋体" w:hAnsi="宋体" w:eastAsia="宋体" w:cs="宋体"/>
          <w:b/>
          <w:bCs/>
          <w:color w:val="auto"/>
          <w:sz w:val="32"/>
          <w:szCs w:val="32"/>
          <w:highlight w:val="none"/>
        </w:rPr>
        <w:sectPr>
          <w:headerReference r:id="rId3" w:type="default"/>
          <w:footerReference r:id="rId4" w:type="default"/>
          <w:pgSz w:w="11905" w:h="16838"/>
          <w:pgMar w:top="1440" w:right="1080" w:bottom="1440" w:left="1080" w:header="850" w:footer="992" w:gutter="0"/>
          <w:pgBorders>
            <w:top w:val="none" w:sz="0" w:space="0"/>
            <w:left w:val="none" w:sz="0" w:space="0"/>
            <w:bottom w:val="none" w:sz="0" w:space="0"/>
            <w:right w:val="none" w:sz="0" w:space="0"/>
          </w:pgBorders>
          <w:cols w:space="720" w:num="1"/>
          <w:rtlGutter w:val="0"/>
          <w:docGrid w:type="lines" w:linePitch="291" w:charSpace="0"/>
        </w:sectPr>
      </w:pPr>
      <w:r>
        <w:rPr>
          <w:rFonts w:hint="eastAsia" w:ascii="宋体" w:hAnsi="宋体" w:eastAsia="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7D828FD0">
      <w:pPr>
        <w:keepNext/>
        <w:keepLines/>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48"/>
          <w:szCs w:val="48"/>
          <w:highlight w:val="none"/>
        </w:rPr>
      </w:pPr>
      <w:r>
        <w:rPr>
          <w:rFonts w:hint="eastAsia" w:ascii="宋体" w:hAnsi="宋体" w:eastAsia="宋体" w:cs="宋体"/>
          <w:b/>
          <w:color w:val="auto"/>
          <w:kern w:val="0"/>
          <w:sz w:val="48"/>
          <w:szCs w:val="48"/>
          <w:highlight w:val="none"/>
        </w:rPr>
        <w:t>目 录</w:t>
      </w:r>
    </w:p>
    <w:p w14:paraId="76F886F5">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p w14:paraId="6C2D00ED">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bookmarkStart w:id="0" w:name="_Toc64566179"/>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_Toc8111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第一部分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rPr>
        <w:fldChar w:fldCharType="end"/>
      </w:r>
    </w:p>
    <w:p w14:paraId="2169B177">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_Toc27122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第二部分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fldChar w:fldCharType="end"/>
      </w:r>
    </w:p>
    <w:p w14:paraId="0E4DC573">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_Toc24738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第三部分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评标标准和评标办法</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_Toc24738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37</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D35B7F4">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_Toc26056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 xml:space="preserve">第四部分  </w:t>
      </w:r>
      <w:r>
        <w:rPr>
          <w:rFonts w:hint="eastAsia" w:ascii="宋体" w:hAnsi="宋体" w:eastAsia="宋体" w:cs="宋体"/>
          <w:b/>
          <w:bCs/>
          <w:color w:val="auto"/>
          <w:kern w:val="2"/>
          <w:sz w:val="30"/>
          <w:szCs w:val="30"/>
          <w:highlight w:val="none"/>
        </w:rPr>
        <w:t>采购需求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_Toc26056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48</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F82525F">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_Toc15014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eastAsia="zh-CN"/>
        </w:rPr>
        <w:t>第五</w:t>
      </w:r>
      <w:r>
        <w:rPr>
          <w:rFonts w:hint="eastAsia" w:ascii="宋体" w:hAnsi="宋体" w:eastAsia="宋体" w:cs="宋体"/>
          <w:b/>
          <w:bCs/>
          <w:color w:val="auto"/>
          <w:sz w:val="30"/>
          <w:szCs w:val="30"/>
          <w:highlight w:val="none"/>
        </w:rPr>
        <w:t>部分  合同格式</w:t>
      </w:r>
      <w:r>
        <w:rPr>
          <w:rFonts w:hint="eastAsia" w:ascii="宋体" w:hAnsi="宋体" w:eastAsia="宋体" w:cs="宋体"/>
          <w:b/>
          <w:bCs/>
          <w:color w:val="auto"/>
          <w:sz w:val="30"/>
          <w:szCs w:val="30"/>
          <w:highlight w:val="none"/>
          <w:lang w:eastAsia="zh-CN"/>
        </w:rPr>
        <w:t>（试行）</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lang w:val="en-US" w:eastAsia="zh-CN"/>
        </w:rPr>
        <w:t>79</w:t>
      </w:r>
      <w:r>
        <w:rPr>
          <w:rFonts w:hint="eastAsia" w:ascii="宋体" w:hAnsi="宋体" w:eastAsia="宋体" w:cs="宋体"/>
          <w:b/>
          <w:bCs/>
          <w:color w:val="auto"/>
          <w:sz w:val="30"/>
          <w:szCs w:val="30"/>
          <w:highlight w:val="none"/>
        </w:rPr>
        <w:fldChar w:fldCharType="end"/>
      </w:r>
    </w:p>
    <w:p w14:paraId="1AEFE943">
      <w:pPr>
        <w:pStyle w:val="15"/>
        <w:keepNext/>
        <w:keepLines/>
        <w:pageBreakBefore w:val="0"/>
        <w:widowControl/>
        <w:tabs>
          <w:tab w:val="right" w:leader="dot" w:pos="9745"/>
        </w:tabs>
        <w:wordWrap/>
        <w:overflowPunct/>
        <w:topLinePunct w:val="0"/>
        <w:bidi w:val="0"/>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_Toc8249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第六部分  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_Toc8249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95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A037787">
      <w:pPr>
        <w:pStyle w:val="17"/>
        <w:keepNext/>
        <w:keepLines/>
        <w:pageBreakBefore w:val="0"/>
        <w:widowControl/>
        <w:tabs>
          <w:tab w:val="right" w:leader="dot" w:pos="9745"/>
        </w:tabs>
        <w:wordWrap/>
        <w:overflowPunct/>
        <w:topLinePunct w:val="0"/>
        <w:bidi w:val="0"/>
        <w:rPr>
          <w:rFonts w:hint="eastAsia" w:ascii="宋体" w:hAnsi="宋体" w:eastAsia="宋体" w:cs="宋体"/>
          <w:color w:val="auto"/>
          <w:highlight w:val="none"/>
        </w:rPr>
      </w:pPr>
    </w:p>
    <w:p w14:paraId="5210758C">
      <w:pPr>
        <w:pStyle w:val="2"/>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2487AB23">
      <w:pPr>
        <w:bidi w:val="0"/>
        <w:rPr>
          <w:rFonts w:hint="eastAsia" w:ascii="宋体" w:hAnsi="宋体" w:eastAsia="宋体" w:cs="宋体"/>
          <w:highlight w:val="none"/>
        </w:rPr>
      </w:pPr>
    </w:p>
    <w:p w14:paraId="4CDB8FC0">
      <w:pPr>
        <w:bidi w:val="0"/>
        <w:rPr>
          <w:rFonts w:hint="eastAsia" w:ascii="宋体" w:hAnsi="宋体" w:eastAsia="宋体" w:cs="宋体"/>
          <w:highlight w:val="none"/>
        </w:rPr>
      </w:pPr>
    </w:p>
    <w:p w14:paraId="2A14C765">
      <w:pPr>
        <w:bidi w:val="0"/>
        <w:rPr>
          <w:rFonts w:hint="eastAsia" w:ascii="宋体" w:hAnsi="宋体" w:eastAsia="宋体" w:cs="宋体"/>
          <w:highlight w:val="none"/>
        </w:rPr>
      </w:pPr>
    </w:p>
    <w:p w14:paraId="7F65DE70">
      <w:pPr>
        <w:bidi w:val="0"/>
        <w:rPr>
          <w:rFonts w:hint="eastAsia" w:ascii="宋体" w:hAnsi="宋体" w:eastAsia="宋体" w:cs="宋体"/>
          <w:highlight w:val="none"/>
        </w:rPr>
      </w:pPr>
    </w:p>
    <w:p w14:paraId="1FE12314">
      <w:pPr>
        <w:bidi w:val="0"/>
        <w:rPr>
          <w:rFonts w:hint="eastAsia" w:ascii="宋体" w:hAnsi="宋体" w:eastAsia="宋体" w:cs="宋体"/>
          <w:highlight w:val="none"/>
        </w:rPr>
      </w:pPr>
    </w:p>
    <w:p w14:paraId="5C6EBC0C">
      <w:pPr>
        <w:bidi w:val="0"/>
        <w:rPr>
          <w:rFonts w:hint="eastAsia" w:ascii="宋体" w:hAnsi="宋体" w:eastAsia="宋体" w:cs="宋体"/>
          <w:highlight w:val="none"/>
        </w:rPr>
      </w:pPr>
    </w:p>
    <w:p w14:paraId="78AD0452">
      <w:pPr>
        <w:bidi w:val="0"/>
        <w:rPr>
          <w:rFonts w:hint="eastAsia" w:ascii="宋体" w:hAnsi="宋体" w:eastAsia="宋体" w:cs="宋体"/>
          <w:highlight w:val="none"/>
        </w:rPr>
      </w:pPr>
    </w:p>
    <w:p w14:paraId="20AC2569">
      <w:pPr>
        <w:bidi w:val="0"/>
        <w:rPr>
          <w:rFonts w:hint="eastAsia" w:ascii="宋体" w:hAnsi="宋体" w:eastAsia="宋体" w:cs="宋体"/>
          <w:highlight w:val="none"/>
        </w:rPr>
      </w:pPr>
    </w:p>
    <w:p w14:paraId="1D679F82">
      <w:pPr>
        <w:bidi w:val="0"/>
        <w:rPr>
          <w:rFonts w:hint="eastAsia" w:ascii="宋体" w:hAnsi="宋体" w:eastAsia="宋体" w:cs="宋体"/>
          <w:highlight w:val="none"/>
        </w:rPr>
      </w:pPr>
    </w:p>
    <w:p w14:paraId="13F41661">
      <w:pPr>
        <w:tabs>
          <w:tab w:val="center" w:pos="4872"/>
        </w:tabs>
        <w:bidi w:val="0"/>
        <w:jc w:val="left"/>
        <w:rPr>
          <w:rFonts w:hint="eastAsia" w:ascii="宋体" w:hAnsi="宋体" w:eastAsia="宋体" w:cs="宋体"/>
          <w:highlight w:val="none"/>
          <w:lang w:eastAsia="zh-CN"/>
        </w:rPr>
        <w:sectPr>
          <w:pgSz w:w="11905" w:h="16838"/>
          <w:pgMar w:top="1440" w:right="1080" w:bottom="1440" w:left="1080" w:header="850" w:footer="992" w:gutter="0"/>
          <w:pgBorders>
            <w:top w:val="none" w:sz="0" w:space="0"/>
            <w:left w:val="none" w:sz="0" w:space="0"/>
            <w:bottom w:val="none" w:sz="0" w:space="0"/>
            <w:right w:val="none" w:sz="0" w:space="0"/>
          </w:pgBorders>
          <w:cols w:space="720" w:num="1"/>
          <w:rtlGutter w:val="0"/>
          <w:docGrid w:type="lines" w:linePitch="291" w:charSpace="0"/>
        </w:sectPr>
      </w:pPr>
      <w:r>
        <w:rPr>
          <w:rFonts w:hint="eastAsia" w:ascii="宋体" w:hAnsi="宋体" w:eastAsia="宋体" w:cs="宋体"/>
          <w:highlight w:val="none"/>
          <w:lang w:eastAsia="zh-CN"/>
        </w:rPr>
        <w:tab/>
      </w:r>
    </w:p>
    <w:bookmarkEnd w:id="0"/>
    <w:p w14:paraId="58459598">
      <w:pPr>
        <w:pStyle w:val="2"/>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8"/>
          <w:szCs w:val="28"/>
          <w:highlight w:val="none"/>
          <w:lang w:eastAsia="zh-CN"/>
        </w:rPr>
      </w:pPr>
      <w:bookmarkStart w:id="1" w:name="_Toc421891902"/>
      <w:bookmarkStart w:id="2" w:name="_Toc64566187"/>
      <w:bookmarkStart w:id="3" w:name="_Toc27122"/>
      <w:r>
        <w:rPr>
          <w:rFonts w:hint="eastAsia" w:ascii="宋体" w:hAnsi="宋体" w:eastAsia="宋体" w:cs="宋体"/>
          <w:color w:val="auto"/>
          <w:sz w:val="28"/>
          <w:szCs w:val="28"/>
          <w:highlight w:val="none"/>
        </w:rPr>
        <w:t>第一部分  招标公告</w:t>
      </w:r>
    </w:p>
    <w:tbl>
      <w:tblPr>
        <w:tblStyle w:val="23"/>
        <w:tblW w:w="984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14:paraId="7BE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exact"/>
        </w:trPr>
        <w:tc>
          <w:tcPr>
            <w:tcW w:w="9840" w:type="dxa"/>
            <w:noWrap w:val="0"/>
            <w:vAlign w:val="top"/>
          </w:tcPr>
          <w:p w14:paraId="10D9A5DA">
            <w:pPr>
              <w:keepNext/>
              <w:keepLines/>
              <w:pageBreakBefore w:val="0"/>
              <w:widowControl/>
              <w:wordWrap/>
              <w:overflowPunct/>
              <w:topLinePunct w:val="0"/>
              <w:bidi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项目概况                                                                </w:t>
            </w:r>
          </w:p>
          <w:p w14:paraId="16D9727A">
            <w:pPr>
              <w:keepNext/>
              <w:keepLines/>
              <w:pageBreakBefore w:val="0"/>
              <w:widowControl/>
              <w:wordWrap/>
              <w:overflowPunct/>
              <w:topLinePunct w:val="0"/>
              <w:bidi w:val="0"/>
              <w:spacing w:line="360" w:lineRule="auto"/>
              <w:ind w:firstLine="480" w:firstLineChars="200"/>
              <w:rPr>
                <w:rFonts w:hint="eastAsia" w:ascii="宋体" w:hAnsi="宋体" w:eastAsia="宋体" w:cs="宋体"/>
                <w:color w:val="auto"/>
                <w:sz w:val="24"/>
                <w:szCs w:val="24"/>
                <w:highlight w:val="none"/>
                <w:vertAlign w:val="baseline"/>
              </w:rPr>
            </w:pPr>
            <w:r>
              <w:rPr>
                <w:rFonts w:hint="eastAsia" w:ascii="宋体" w:hAnsi="宋体" w:eastAsia="宋体" w:cs="宋体"/>
                <w:b w:val="0"/>
                <w:bCs w:val="0"/>
                <w:color w:val="auto"/>
                <w:kern w:val="2"/>
                <w:sz w:val="24"/>
                <w:szCs w:val="24"/>
                <w:highlight w:val="none"/>
                <w:lang w:val="en-US" w:eastAsia="zh-CN" w:bidi="ar-SA"/>
              </w:rPr>
              <w:t>长治市屯留区医疗集团医疗设备购置招标项目的潜在投标人应在政采云平台线上获取获取招标文件，并于2026年</w:t>
            </w:r>
            <w:r>
              <w:rPr>
                <w:rFonts w:hint="eastAsia" w:ascii="宋体" w:hAnsi="宋体" w:cs="宋体"/>
                <w:b w:val="0"/>
                <w:bCs w:val="0"/>
                <w:color w:val="auto"/>
                <w:kern w:val="2"/>
                <w:sz w:val="24"/>
                <w:szCs w:val="24"/>
                <w:highlight w:val="none"/>
                <w:lang w:val="en-US" w:eastAsia="zh-CN" w:bidi="ar-SA"/>
              </w:rPr>
              <w:t>06</w:t>
            </w:r>
            <w:r>
              <w:rPr>
                <w:rFonts w:hint="eastAsia" w:ascii="宋体" w:hAnsi="宋体" w:eastAsia="宋体" w:cs="宋体"/>
                <w:b w:val="0"/>
                <w:bCs w:val="0"/>
                <w:color w:val="auto"/>
                <w:kern w:val="2"/>
                <w:sz w:val="24"/>
                <w:szCs w:val="24"/>
                <w:highlight w:val="none"/>
                <w:lang w:val="en-US" w:eastAsia="zh-CN" w:bidi="ar-SA"/>
              </w:rPr>
              <w:t>月2</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日 09:30（北京时间）前递交投标文件。</w:t>
            </w:r>
          </w:p>
        </w:tc>
      </w:tr>
    </w:tbl>
    <w:p w14:paraId="523CB5C5">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一、项目基本情况    </w:t>
      </w:r>
      <w:r>
        <w:rPr>
          <w:rFonts w:hint="eastAsia" w:ascii="宋体" w:hAnsi="宋体" w:eastAsia="宋体" w:cs="宋体"/>
          <w:b w:val="0"/>
          <w:bCs w:val="0"/>
          <w:color w:val="auto"/>
          <w:kern w:val="2"/>
          <w:sz w:val="24"/>
          <w:szCs w:val="24"/>
          <w:highlight w:val="none"/>
          <w:lang w:val="en-US" w:eastAsia="zh-CN" w:bidi="ar-SA"/>
        </w:rPr>
        <w:t xml:space="preserve">                                            </w:t>
      </w:r>
    </w:p>
    <w:p w14:paraId="15BCEB2B">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项目编号：1404052026AGK00036</w:t>
      </w:r>
    </w:p>
    <w:p w14:paraId="6B2C2D90">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项目名称：长治市屯留区医疗集团医疗设备购置       </w:t>
      </w:r>
    </w:p>
    <w:p w14:paraId="0DF0A54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预算金额（元）：1686822</w:t>
      </w:r>
    </w:p>
    <w:p w14:paraId="2FB8BDD9">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最高限价（元）：410000,645000,631822</w:t>
      </w:r>
    </w:p>
    <w:p w14:paraId="2A2BC26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采购需求：        </w:t>
      </w:r>
    </w:p>
    <w:p w14:paraId="327A73B7">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标项一</w:t>
      </w:r>
    </w:p>
    <w:p w14:paraId="5428E3AC">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标项名称: 包1 </w:t>
      </w:r>
    </w:p>
    <w:p w14:paraId="7C4E2066">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数量:  </w:t>
      </w:r>
    </w:p>
    <w:p w14:paraId="6C8CBC3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预算金额（元）：410000</w:t>
      </w:r>
    </w:p>
    <w:p w14:paraId="398F6473">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简要规格描述或项目基本概况介绍、用途： 详见采购需求   </w:t>
      </w:r>
    </w:p>
    <w:p w14:paraId="471CB55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备注：/           </w:t>
      </w:r>
    </w:p>
    <w:p w14:paraId="64D765AB">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 xml:space="preserve"> 标项二</w:t>
      </w:r>
    </w:p>
    <w:p w14:paraId="58B6FAD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标项名称: 包2 </w:t>
      </w:r>
    </w:p>
    <w:p w14:paraId="1BFE91BF">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数量:  </w:t>
      </w:r>
    </w:p>
    <w:p w14:paraId="35E57E8C">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预算金额（元）：645000</w:t>
      </w:r>
    </w:p>
    <w:p w14:paraId="7BE62FCD">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简要规格描述或项目基本概况介绍、用途： 详见采购需求   </w:t>
      </w:r>
    </w:p>
    <w:p w14:paraId="7FB9D30D">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备注：/           </w:t>
      </w:r>
    </w:p>
    <w:p w14:paraId="3755A4ED">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 xml:space="preserve">  标项三</w:t>
      </w:r>
    </w:p>
    <w:p w14:paraId="44D672C3">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标项名称: 包3 </w:t>
      </w:r>
    </w:p>
    <w:p w14:paraId="49FE8C30">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数量:  </w:t>
      </w:r>
    </w:p>
    <w:p w14:paraId="2F46BBFA">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预算金额（元）：631822</w:t>
      </w:r>
    </w:p>
    <w:p w14:paraId="28B2AF1F">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简要规格描述或项目基本概况介绍、用途： 详见采购需求   </w:t>
      </w:r>
    </w:p>
    <w:p w14:paraId="64ADAB0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备注：/           </w:t>
      </w:r>
    </w:p>
    <w:p w14:paraId="27DC89D7">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合同履约期限：包 1、2、3，自合同签订之日起15个工作日内</w:t>
      </w:r>
    </w:p>
    <w:p w14:paraId="7B380953">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本项目（否）接受联合体投标。        </w:t>
      </w:r>
    </w:p>
    <w:p w14:paraId="28A9CC65">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二、申请人的资格要求     </w:t>
      </w:r>
    </w:p>
    <w:p w14:paraId="07EAEF0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1.满足《中华人民共和国政府采购法》第二十二条规定；    </w:t>
      </w:r>
    </w:p>
    <w:p w14:paraId="6FEEC339">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2.落实政府采购政策需满足的资格要求：包1、2、3：无   </w:t>
      </w:r>
    </w:p>
    <w:p w14:paraId="40A3C92B">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3.本项目的特定资格要求：</w:t>
      </w:r>
    </w:p>
    <w:p w14:paraId="246195B3">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【包1、2、3】</w:t>
      </w:r>
    </w:p>
    <w:p w14:paraId="59115145">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投标人如属于医疗器械生产企业直接参加投标的，一类医疗器械提供生产备案凭证；二类医疗器械提供生产企业许可证和经营备案凭证；三类医疗器械提供生产企业许可证和经营许可证；投标人如属于医疗器械经营企业的参加投标的，二类医疗器械提供经营备案凭证，三类医疗器械提供经营许可证，一类医疗器械可不提供。（响应产品不属于医疗器械的，投标人可不提供）；（2）本次投标产品属于二类、三类医疗器械的，须提供医疗器械注册证或注册登记表，属于一类医疗器械提供备案凭证；（投标产品不属于医疗器械的，供应商可不提供）；（3）本次响应产品若为国产设备，须提供本次响应产品生产厂家的企业法人营业执照、医疗器械生产企业许可证或备案凭证。   </w:t>
      </w:r>
    </w:p>
    <w:p w14:paraId="5C96E1E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三、获取招标文件    </w:t>
      </w:r>
    </w:p>
    <w:p w14:paraId="2763A2BC">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时间：2026年0</w:t>
      </w:r>
      <w:r>
        <w:rPr>
          <w:rFonts w:hint="eastAsia"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月</w:t>
      </w:r>
      <w:r>
        <w:rPr>
          <w:rFonts w:hint="eastAsia" w:cs="宋体"/>
          <w:b w:val="0"/>
          <w:bCs w:val="0"/>
          <w:color w:val="auto"/>
          <w:kern w:val="2"/>
          <w:sz w:val="24"/>
          <w:szCs w:val="24"/>
          <w:highlight w:val="none"/>
          <w:lang w:val="en-US" w:eastAsia="zh-CN" w:bidi="ar-SA"/>
        </w:rPr>
        <w:t>02</w:t>
      </w:r>
      <w:r>
        <w:rPr>
          <w:rFonts w:hint="eastAsia" w:ascii="宋体" w:hAnsi="宋体" w:eastAsia="宋体" w:cs="宋体"/>
          <w:b w:val="0"/>
          <w:bCs w:val="0"/>
          <w:color w:val="auto"/>
          <w:kern w:val="2"/>
          <w:sz w:val="24"/>
          <w:szCs w:val="24"/>
          <w:highlight w:val="none"/>
          <w:lang w:val="en-US" w:eastAsia="zh-CN" w:bidi="ar-SA"/>
        </w:rPr>
        <w:t>日至2026年0</w:t>
      </w:r>
      <w:r>
        <w:rPr>
          <w:rFonts w:hint="eastAsia"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月</w:t>
      </w:r>
      <w:r>
        <w:rPr>
          <w:rFonts w:hint="eastAsia" w:cs="宋体"/>
          <w:b w:val="0"/>
          <w:bCs w:val="0"/>
          <w:color w:val="auto"/>
          <w:kern w:val="2"/>
          <w:sz w:val="24"/>
          <w:szCs w:val="24"/>
          <w:highlight w:val="none"/>
          <w:lang w:val="en-US" w:eastAsia="zh-CN" w:bidi="ar-SA"/>
        </w:rPr>
        <w:t>09</w:t>
      </w:r>
      <w:r>
        <w:rPr>
          <w:rFonts w:hint="eastAsia" w:ascii="宋体" w:hAnsi="宋体" w:eastAsia="宋体" w:cs="宋体"/>
          <w:b w:val="0"/>
          <w:bCs w:val="0"/>
          <w:color w:val="auto"/>
          <w:kern w:val="2"/>
          <w:sz w:val="24"/>
          <w:szCs w:val="24"/>
          <w:highlight w:val="none"/>
          <w:lang w:val="en-US" w:eastAsia="zh-CN" w:bidi="ar-SA"/>
        </w:rPr>
        <w:t xml:space="preserve">日，每天上午00:00至12:00，下午12:00至23:59（北京时间，法定节假日除外）        </w:t>
      </w:r>
    </w:p>
    <w:p w14:paraId="02A24F3B">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地点：政采云平台线上获取</w:t>
      </w:r>
    </w:p>
    <w:p w14:paraId="238177CA">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方式：在线获取       </w:t>
      </w:r>
    </w:p>
    <w:p w14:paraId="607EFC39">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售价（元）：0       </w:t>
      </w:r>
    </w:p>
    <w:p w14:paraId="13B9246B">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四、提交投标文件截止时间、开标时间和地点    </w:t>
      </w:r>
    </w:p>
    <w:p w14:paraId="7C9928D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提交投标文件截止时间：2026年0</w:t>
      </w:r>
      <w:r>
        <w:rPr>
          <w:rFonts w:hint="eastAsia"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月2</w:t>
      </w:r>
      <w:r>
        <w:rPr>
          <w:rFonts w:hint="eastAsia"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 xml:space="preserve">日 09:30（北京时间）        </w:t>
      </w:r>
    </w:p>
    <w:p w14:paraId="081401D7">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投标地点（网址）：请登录政采云投标客户端投标     </w:t>
      </w:r>
    </w:p>
    <w:p w14:paraId="51CB071F">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开标时间：2026年0</w:t>
      </w:r>
      <w:r>
        <w:rPr>
          <w:rFonts w:hint="eastAsia"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月</w:t>
      </w:r>
      <w:r>
        <w:rPr>
          <w:rFonts w:hint="eastAsia" w:cs="宋体"/>
          <w:b w:val="0"/>
          <w:bCs w:val="0"/>
          <w:color w:val="auto"/>
          <w:kern w:val="2"/>
          <w:sz w:val="24"/>
          <w:szCs w:val="24"/>
          <w:highlight w:val="none"/>
          <w:lang w:val="en-US" w:eastAsia="zh-CN" w:bidi="ar-SA"/>
        </w:rPr>
        <w:t>23</w:t>
      </w:r>
      <w:r>
        <w:rPr>
          <w:rFonts w:hint="eastAsia" w:ascii="宋体" w:hAnsi="宋体" w:eastAsia="宋体" w:cs="宋体"/>
          <w:b w:val="0"/>
          <w:bCs w:val="0"/>
          <w:color w:val="auto"/>
          <w:kern w:val="2"/>
          <w:sz w:val="24"/>
          <w:szCs w:val="24"/>
          <w:highlight w:val="none"/>
          <w:lang w:val="en-US" w:eastAsia="zh-CN" w:bidi="ar-SA"/>
        </w:rPr>
        <w:t xml:space="preserve">日 09:30        </w:t>
      </w:r>
    </w:p>
    <w:p w14:paraId="5C9489E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开标地点：山西省长治市潞州区长治市天空之城SOHO五楼骅展——开标室     </w:t>
      </w:r>
    </w:p>
    <w:p w14:paraId="4CEE0E24">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五、公告期限     </w:t>
      </w:r>
    </w:p>
    <w:p w14:paraId="089D426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自本公告发布之日起5个工作日。    </w:t>
      </w:r>
    </w:p>
    <w:p w14:paraId="504218C6">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六、其他补充事宜    </w:t>
      </w:r>
    </w:p>
    <w:p w14:paraId="752DE32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1AF9CC24">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代理费支付方式： 供应商支付 </w:t>
      </w:r>
    </w:p>
    <w:p w14:paraId="3D7A1EB1">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代理费收费标准： 招标代理服务费金额参照国家计委价格[2002]1980号文件和国家发改委“发改办价格[2003]857号”文的规定按照货物类收费标准的75%计取。中标服务费在成交通知书发出时，由成交单位一次性支付给采购代理机构。 </w:t>
      </w:r>
    </w:p>
    <w:p w14:paraId="0A785602">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代理费收费金额（元）： / </w:t>
      </w:r>
    </w:p>
    <w:p w14:paraId="33D5B2F3">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七、对本次采购提出询问，请按以下方式联系    </w:t>
      </w:r>
    </w:p>
    <w:p w14:paraId="2B8189B9">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1.采购人信息        </w:t>
      </w:r>
    </w:p>
    <w:p w14:paraId="55D2397B">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名    称：长治市屯留区人民医院         </w:t>
      </w:r>
    </w:p>
    <w:p w14:paraId="340798D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地    址：长治市屯留区麟绛街道麟绛西大街214号         </w:t>
      </w:r>
    </w:p>
    <w:p w14:paraId="6F2FEF7F">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联系方式：0355-7523450       </w:t>
      </w:r>
    </w:p>
    <w:p w14:paraId="05A71B0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2.采购代理机构信息  </w:t>
      </w:r>
      <w:r>
        <w:rPr>
          <w:rFonts w:hint="eastAsia" w:ascii="宋体" w:hAnsi="宋体" w:eastAsia="宋体" w:cs="宋体"/>
          <w:b w:val="0"/>
          <w:bCs w:val="0"/>
          <w:color w:val="auto"/>
          <w:kern w:val="2"/>
          <w:sz w:val="24"/>
          <w:szCs w:val="24"/>
          <w:highlight w:val="none"/>
          <w:lang w:val="en-US" w:eastAsia="zh-CN" w:bidi="ar-SA"/>
        </w:rPr>
        <w:t xml:space="preserve">      </w:t>
      </w:r>
    </w:p>
    <w:p w14:paraId="6DCE624C">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名    称： 山西骅展工程项目管理有限责任公司                   </w:t>
      </w:r>
    </w:p>
    <w:p w14:paraId="2ECF5B47">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地    址：长治市潞州区天空SOHO五楼                     </w:t>
      </w:r>
    </w:p>
    <w:p w14:paraId="45EE9B08">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联系方式：18636558529         </w:t>
      </w:r>
    </w:p>
    <w:p w14:paraId="3057AE87">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3.采购代理机构信息</w:t>
      </w:r>
    </w:p>
    <w:p w14:paraId="437E8F24">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项目联系人： 常艺芳</w:t>
      </w:r>
    </w:p>
    <w:p w14:paraId="63A7E437">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电    话：18636558529</w:t>
      </w:r>
    </w:p>
    <w:p w14:paraId="3ED92CAE">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bidi="ar-SA"/>
        </w:rPr>
      </w:pPr>
    </w:p>
    <w:p w14:paraId="2AEC7419">
      <w:pPr>
        <w:pStyle w:val="2"/>
        <w:keepNext/>
        <w:keepLines/>
        <w:pageBreakBefore w:val="0"/>
        <w:widowControl/>
        <w:shd w:val="clear" w:color="auto" w:fill="FFFFFF"/>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kern w:val="2"/>
          <w:sz w:val="28"/>
          <w:szCs w:val="28"/>
          <w:highlight w:val="none"/>
          <w:lang w:val="en-US" w:eastAsia="zh-CN" w:bidi="ar-SA"/>
        </w:rPr>
        <w:sectPr>
          <w:footerReference r:id="rId5" w:type="default"/>
          <w:pgSz w:w="11906" w:h="16838"/>
          <w:pgMar w:top="1440" w:right="1080" w:bottom="1440" w:left="1080" w:header="851" w:footer="992" w:gutter="0"/>
          <w:pgNumType w:fmt="decimal" w:start="1"/>
          <w:cols w:space="720" w:num="1"/>
          <w:docGrid w:type="lines" w:linePitch="312" w:charSpace="0"/>
        </w:sectPr>
      </w:pPr>
    </w:p>
    <w:p w14:paraId="6F7DD6E4">
      <w:pPr>
        <w:pStyle w:val="2"/>
        <w:keepNext/>
        <w:keepLines/>
        <w:pageBreakBefore w:val="0"/>
        <w:widowControl/>
        <w:shd w:val="clear" w:color="auto" w:fill="FFFFFF"/>
        <w:wordWrap/>
        <w:overflowPunct/>
        <w:topLinePunct w:val="0"/>
        <w:bidi w:val="0"/>
        <w:jc w:val="center"/>
        <w:rPr>
          <w:rFonts w:hint="eastAsia" w:ascii="宋体" w:hAnsi="宋体" w:eastAsia="宋体" w:cs="宋体"/>
          <w:b w:val="0"/>
          <w:color w:val="auto"/>
          <w:sz w:val="24"/>
          <w:szCs w:val="24"/>
          <w:highlight w:val="none"/>
        </w:rPr>
      </w:pPr>
      <w:r>
        <w:rPr>
          <w:rFonts w:hint="eastAsia" w:ascii="宋体" w:hAnsi="宋体" w:eastAsia="宋体" w:cs="宋体"/>
          <w:color w:val="auto"/>
          <w:highlight w:val="none"/>
        </w:rPr>
        <w:t>第二部分  投标人须知</w:t>
      </w:r>
      <w:bookmarkEnd w:id="1"/>
      <w:bookmarkEnd w:id="2"/>
      <w:bookmarkEnd w:id="3"/>
    </w:p>
    <w:p w14:paraId="1BE4EA2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投标人须知前附表</w:t>
      </w:r>
    </w:p>
    <w:tbl>
      <w:tblPr>
        <w:tblStyle w:val="22"/>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44"/>
        <w:gridCol w:w="7193"/>
      </w:tblGrid>
      <w:tr w14:paraId="7DF9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14D89F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99AB8C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B078C4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说明与要求</w:t>
            </w:r>
          </w:p>
        </w:tc>
      </w:tr>
      <w:tr w14:paraId="3540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264AAD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75C28D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1B1D56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长治市屯留区人民医院</w:t>
            </w:r>
          </w:p>
        </w:tc>
      </w:tr>
      <w:tr w14:paraId="7B0C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CC23E8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E42244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7A6F4D2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山西骅展工程项目管理有限责任公司 </w:t>
            </w:r>
          </w:p>
        </w:tc>
      </w:tr>
      <w:tr w14:paraId="263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74C219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513AD3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729247B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长治市屯留区医疗集团医疗设备购置</w:t>
            </w:r>
          </w:p>
        </w:tc>
      </w:tr>
      <w:tr w14:paraId="677D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2470FA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FCFEF4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2E94AD6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1404052026AGK00024</w:t>
            </w:r>
          </w:p>
        </w:tc>
      </w:tr>
      <w:tr w14:paraId="19F3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9FB920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65BB9F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758709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1686822.00</w:t>
            </w:r>
          </w:p>
        </w:tc>
      </w:tr>
      <w:tr w14:paraId="4F6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946191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7C8BF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C82D56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1686822.00（包1：410000.00；包2：645000.00；包3：631822.00）</w:t>
            </w:r>
          </w:p>
        </w:tc>
      </w:tr>
      <w:tr w14:paraId="79E5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2C2933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9451EC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144D4D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投标人就招标文件的货物唯一报价，报价应包含分项报价和总报价。</w:t>
            </w:r>
          </w:p>
          <w:p w14:paraId="349A01D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投标报价包括货物、随配附件、备品、备件、工具、送达指定交货地点各种费用和安装调试、培训、技术服务、使用前的技术咨询、售后服务、税费等所有费用的总和。即：一次性安装调试即可全面投入使用。</w:t>
            </w:r>
          </w:p>
        </w:tc>
      </w:tr>
      <w:tr w14:paraId="785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EF10EE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69971C0">
            <w:pPr>
              <w:pStyle w:val="28"/>
              <w:keepNext/>
              <w:keepLines/>
              <w:pageBreakBefore w:val="0"/>
              <w:widowControl/>
              <w:wordWrap/>
              <w:overflowPunct/>
              <w:topLinePunct w:val="0"/>
              <w:bidi w:val="0"/>
              <w:ind w:left="3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低于成本价不正当竞争预防措施</w:t>
            </w:r>
          </w:p>
          <w:p w14:paraId="26DCE9B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（实质性要求）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343E2D0F">
            <w:pPr>
              <w:pStyle w:val="28"/>
              <w:keepNext/>
              <w:keepLines/>
              <w:pageBreakBefore w:val="0"/>
              <w:widowControl/>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评标过程中，投标人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C1BCE05">
            <w:pPr>
              <w:pStyle w:val="28"/>
              <w:keepNext/>
              <w:keepLines/>
              <w:pageBreakBefore w:val="0"/>
              <w:widowControl/>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B2EFF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723D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2B7B49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E3DAC0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B286374">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投标保证金的金额：</w:t>
            </w:r>
          </w:p>
          <w:p w14:paraId="71E005FB">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包1：¥4000.00元（肆仟元整）</w:t>
            </w:r>
          </w:p>
          <w:p w14:paraId="6098B1E4">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包2：¥6000.00元（陆仟元整）</w:t>
            </w:r>
          </w:p>
          <w:p w14:paraId="0A6437F5">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包3：¥6000.00元（陆仟元整）</w:t>
            </w:r>
          </w:p>
          <w:p w14:paraId="61FFFE86">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投标保证金的形式：电汇、支票、汇票、本票或者金融机构、担保机构出具的保函等非现金形式</w:t>
            </w:r>
          </w:p>
          <w:p w14:paraId="349841C3">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1、电汇、支票、汇票、本票</w:t>
            </w:r>
          </w:p>
          <w:p w14:paraId="2A47E83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递交时限：投标文件提交截止时间前</w:t>
            </w:r>
          </w:p>
          <w:p w14:paraId="0ED687C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递交方式：（通过本单位基本银行帐户递交）</w:t>
            </w:r>
          </w:p>
          <w:p w14:paraId="64EED8B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退还方式：（通过本单位基本银行帐户全额退还）</w:t>
            </w:r>
          </w:p>
          <w:p w14:paraId="19810A8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投标保证金凭证：银行转账单扫描件</w:t>
            </w:r>
          </w:p>
          <w:p w14:paraId="2019BE9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投标保证金开户银行及账号如下：</w:t>
            </w:r>
          </w:p>
          <w:p w14:paraId="79EB11B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账户名称：山西骅展工程项目管理有限责任公司</w:t>
            </w:r>
          </w:p>
          <w:p w14:paraId="791DE07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开户银行：中国农业银行股份有限公司长治潞城支行</w:t>
            </w:r>
          </w:p>
          <w:p w14:paraId="789AF53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号：04753001040027556</w:t>
            </w:r>
          </w:p>
          <w:p w14:paraId="3D3A077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    号：103166275306</w:t>
            </w:r>
          </w:p>
          <w:p w14:paraId="1D2597FE">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2、采用银行或金融服务平台保函、保证保险保函、工程担保公司保函形式</w:t>
            </w:r>
          </w:p>
          <w:p w14:paraId="04822DB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保函形式分为银行或金融服务平台、保证保险、工程担保公司出具的保函。投标人在提交投标保证金时，可以以上具有资格出具 保函机构开具的相应金额的保函替代现金。出具的投标保函必须与招标投标项目一致，其有效期应当与招标文件有效期一致，且真实有效。投标人在电子投标文件中需附保函的扫描件并加盖电子公章。</w:t>
            </w:r>
          </w:p>
          <w:p w14:paraId="59BEA96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注：银行开具的免保证金的非融资性的履约保函不可使用。</w:t>
            </w:r>
          </w:p>
          <w:p w14:paraId="201759B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3、保证金提交不符合要求或存在弄虚作假的情况，将被视为无效投标，并依法追究法律责任。</w:t>
            </w:r>
          </w:p>
          <w:p w14:paraId="10A6867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4、在中标通知书发出后五个工作日内，退还未中标人的投标保证金；自采购合同签订之日起5个工作日内退还中标人的投标保证金；</w:t>
            </w:r>
          </w:p>
          <w:p w14:paraId="320FF1E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人因重大变故取消采购任务的，采购代理机构在财政部门指定的政府采购信息发布媒体上发布终止公告，并以发布公告的形式通知已经获取招标文件的潜在投标人，对已经交纳投标保证金的，采购代理机构在终止公告发布后5个工作日内予以退还。</w:t>
            </w:r>
          </w:p>
          <w:p w14:paraId="5FB424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6、投标保证金将退还到原缴纳帐户。原缴纳帐户发生变更的，投标人需向采购代理机构提交书面情况说明和银行缴纳回执单。</w:t>
            </w:r>
          </w:p>
          <w:p w14:paraId="60F7FBB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7、投标有效期内投标人撤销投标文件的，采购代理机构不退还投标保证金。</w:t>
            </w:r>
          </w:p>
        </w:tc>
      </w:tr>
      <w:tr w14:paraId="6C07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9C3DF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4E2FD8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质量标准及</w:t>
            </w:r>
            <w:r>
              <w:rPr>
                <w:rFonts w:hint="eastAsia" w:ascii="宋体" w:hAnsi="宋体" w:eastAsia="宋体" w:cs="宋体"/>
                <w:b/>
                <w:bCs/>
                <w:color w:val="auto"/>
                <w:sz w:val="24"/>
                <w:szCs w:val="24"/>
                <w:highlight w:val="none"/>
              </w:rPr>
              <w:t>质保期</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683B261">
            <w:pPr>
              <w:keepNext/>
              <w:keepLines/>
              <w:pageBreakBefore w:val="0"/>
              <w:widowControl/>
              <w:shd w:val="clear" w:color="auto" w:fill="FFFFFF"/>
              <w:wordWrap/>
              <w:overflowPunct/>
              <w:topLinePunct w:val="0"/>
              <w:bidi w:val="0"/>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质量标准：合格</w:t>
            </w:r>
          </w:p>
          <w:p w14:paraId="2BEFAC4E">
            <w:pPr>
              <w:keepNext/>
              <w:keepLines/>
              <w:pageBreakBefore w:val="0"/>
              <w:widowControl/>
              <w:shd w:val="clear" w:color="auto" w:fill="FFFFFF"/>
              <w:wordWrap/>
              <w:overflowPunct/>
              <w:topLinePunct w:val="0"/>
              <w:bidi w:val="0"/>
              <w:spacing w:line="460" w:lineRule="exact"/>
              <w:rPr>
                <w:rFonts w:hint="eastAsia" w:ascii="宋体" w:hAnsi="宋体" w:eastAsia="宋体" w:cs="宋体"/>
                <w:b/>
                <w:bCs/>
                <w:color w:val="auto"/>
                <w:sz w:val="24"/>
                <w:szCs w:val="24"/>
                <w:highlight w:val="none"/>
                <w:lang w:val="en-US" w:eastAsia="zh-CN"/>
              </w:rPr>
            </w:pPr>
            <w:bookmarkStart w:id="4" w:name="OLE_LINK3"/>
            <w:r>
              <w:rPr>
                <w:rFonts w:hint="eastAsia" w:ascii="宋体" w:hAnsi="宋体" w:eastAsia="宋体" w:cs="宋体"/>
                <w:b/>
                <w:bCs/>
                <w:color w:val="auto"/>
                <w:sz w:val="24"/>
                <w:szCs w:val="24"/>
                <w:highlight w:val="none"/>
              </w:rPr>
              <w:t>质</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bookmarkEnd w:id="4"/>
            <w:r>
              <w:rPr>
                <w:rFonts w:hint="eastAsia" w:ascii="宋体" w:hAnsi="宋体" w:eastAsia="宋体" w:cs="宋体"/>
                <w:b/>
                <w:bCs/>
                <w:color w:val="auto"/>
                <w:sz w:val="24"/>
                <w:szCs w:val="24"/>
                <w:highlight w:val="none"/>
                <w:lang w:val="en-US" w:eastAsia="zh-CN"/>
              </w:rPr>
              <w:t>三年</w:t>
            </w:r>
          </w:p>
        </w:tc>
      </w:tr>
      <w:tr w14:paraId="203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5D5DA5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714222E">
            <w:pPr>
              <w:keepNext/>
              <w:keepLines/>
              <w:pageBreakBefore w:val="0"/>
              <w:widowControl/>
              <w:shd w:val="clear" w:color="auto" w:fill="FFFFFF"/>
              <w:wordWrap/>
              <w:overflowPunct/>
              <w:topLinePunct w:val="0"/>
              <w:bidi w:val="0"/>
              <w:spacing w:line="460" w:lineRule="exact"/>
              <w:ind w:left="718" w:leftChars="16" w:hanging="684" w:hangingChars="28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投标备选方案</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37F7D35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44DB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621E1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B59C66D">
            <w:pPr>
              <w:keepNext/>
              <w:keepLines/>
              <w:pageBreakBefore w:val="0"/>
              <w:widowControl/>
              <w:shd w:val="clear" w:color="auto" w:fill="FFFFFF"/>
              <w:wordWrap/>
              <w:overflowPunct/>
              <w:topLinePunct w:val="0"/>
              <w:bidi w:val="0"/>
              <w:spacing w:line="460" w:lineRule="exact"/>
              <w:ind w:left="34" w:leftChars="16" w:firstLine="1"/>
              <w:jc w:val="center"/>
              <w:rPr>
                <w:rFonts w:hint="eastAsia" w:ascii="宋体" w:hAnsi="宋体" w:eastAsia="宋体" w:cs="宋体"/>
                <w:color w:val="auto"/>
                <w:kern w:val="0"/>
                <w:sz w:val="24"/>
                <w:szCs w:val="24"/>
                <w:highlight w:val="none"/>
              </w:rPr>
            </w:pPr>
            <w:r>
              <w:rPr>
                <w:rFonts w:hint="eastAsia" w:ascii="宋体" w:hAnsi="宋体" w:eastAsia="宋体" w:cs="宋体"/>
                <w:b w:val="0"/>
                <w:bCs/>
                <w:color w:val="auto"/>
                <w:sz w:val="24"/>
                <w:szCs w:val="24"/>
                <w:highlight w:val="none"/>
                <w:lang w:val="en-US" w:eastAsia="zh-CN"/>
              </w:rPr>
              <w:t>合同履行期限(供货期限)</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D720CF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自合同签订之日起15个工作日内</w:t>
            </w:r>
          </w:p>
        </w:tc>
      </w:tr>
      <w:tr w14:paraId="47D3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7C64F8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5CE48A0">
            <w:pPr>
              <w:keepNext/>
              <w:keepLines/>
              <w:pageBreakBefore w:val="0"/>
              <w:widowControl/>
              <w:shd w:val="clear" w:color="auto" w:fill="FFFFFF"/>
              <w:wordWrap/>
              <w:overflowPunct/>
              <w:topLinePunct w:val="0"/>
              <w:bidi w:val="0"/>
              <w:spacing w:line="460" w:lineRule="exact"/>
              <w:ind w:left="34" w:leftChars="16" w:firstLine="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AD69555">
            <w:pPr>
              <w:keepNext/>
              <w:keepLines/>
              <w:pageBreakBefore w:val="0"/>
              <w:widowControl/>
              <w:shd w:val="clear" w:color="auto" w:fill="FFFFFF"/>
              <w:wordWrap/>
              <w:overflowPunct/>
              <w:topLinePunct w:val="0"/>
              <w:bidi w:val="0"/>
              <w:spacing w:line="460" w:lineRule="exact"/>
              <w:ind w:left="660" w:leftChars="200" w:hanging="240" w:hangingChars="1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长治市屯留区</w:t>
            </w:r>
          </w:p>
        </w:tc>
      </w:tr>
      <w:tr w14:paraId="5DE8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248CDA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E695DEC">
            <w:pPr>
              <w:keepNext/>
              <w:keepLines/>
              <w:pageBreakBefore w:val="0"/>
              <w:widowControl/>
              <w:shd w:val="clear" w:color="auto" w:fill="FFFFFF"/>
              <w:wordWrap/>
              <w:overflowPunct/>
              <w:topLinePunct w:val="0"/>
              <w:bidi w:val="0"/>
              <w:spacing w:line="460" w:lineRule="exact"/>
              <w:ind w:left="34" w:leftChars="16" w:firstLine="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44F41CC">
            <w:pPr>
              <w:keepNext/>
              <w:keepLines/>
              <w:pageBreakBefore w:val="0"/>
              <w:widowControl/>
              <w:shd w:val="clear" w:color="auto" w:fill="FFFFFF"/>
              <w:wordWrap/>
              <w:overflowPunct/>
              <w:topLinePunct w:val="0"/>
              <w:bidi w:val="0"/>
              <w:spacing w:line="460" w:lineRule="exact"/>
              <w:ind w:left="661" w:leftChars="200" w:hanging="241" w:hangingChars="1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现场交货、卖方送货并且承担设备使用前所有费用。</w:t>
            </w:r>
          </w:p>
        </w:tc>
      </w:tr>
      <w:tr w14:paraId="083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63C437A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F9EEACB">
            <w:pPr>
              <w:keepNext/>
              <w:keepLines/>
              <w:pageBreakBefore w:val="0"/>
              <w:widowControl/>
              <w:shd w:val="clear" w:color="auto" w:fill="FFFFFF"/>
              <w:wordWrap/>
              <w:overflowPunct/>
              <w:topLinePunct w:val="0"/>
              <w:bidi w:val="0"/>
              <w:spacing w:line="460" w:lineRule="exact"/>
              <w:ind w:firstLine="33" w:firstLineChars="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资金支付程序及方式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26F7A7F7">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货到且安装完成并验收合格后，一次性支付。</w:t>
            </w:r>
          </w:p>
        </w:tc>
      </w:tr>
      <w:tr w14:paraId="5A9A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1EDB30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5D30F5C">
            <w:pPr>
              <w:keepNext/>
              <w:keepLines/>
              <w:pageBreakBefore w:val="0"/>
              <w:widowControl/>
              <w:shd w:val="clear" w:color="auto" w:fill="FFFFFF"/>
              <w:wordWrap/>
              <w:overflowPunct/>
              <w:topLinePunct w:val="0"/>
              <w:bidi w:val="0"/>
              <w:spacing w:line="460" w:lineRule="exact"/>
              <w:ind w:firstLine="33" w:firstLineChars="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履约保证金的缴纳及退还</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FF2BCD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sym w:font="Wingdings" w:char="00FE"/>
            </w:r>
            <w:r>
              <w:rPr>
                <w:rFonts w:hint="eastAsia" w:ascii="宋体" w:hAnsi="宋体" w:eastAsia="宋体" w:cs="宋体"/>
                <w:b w:val="0"/>
                <w:bCs w:val="0"/>
                <w:color w:val="auto"/>
                <w:sz w:val="24"/>
                <w:szCs w:val="24"/>
                <w:highlight w:val="none"/>
                <w:lang w:val="en-US" w:eastAsia="zh-CN"/>
              </w:rPr>
              <w:t>不适用</w:t>
            </w:r>
          </w:p>
          <w:p w14:paraId="44CCD4E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sym w:font="Wingdings" w:char="00A8"/>
            </w:r>
            <w:r>
              <w:rPr>
                <w:rFonts w:hint="eastAsia" w:ascii="宋体" w:hAnsi="宋体" w:eastAsia="宋体" w:cs="宋体"/>
                <w:b w:val="0"/>
                <w:bCs w:val="0"/>
                <w:color w:val="auto"/>
                <w:sz w:val="24"/>
                <w:szCs w:val="24"/>
                <w:highlight w:val="none"/>
                <w:lang w:val="en-US" w:eastAsia="zh-CN"/>
              </w:rPr>
              <w:t>适用</w:t>
            </w:r>
          </w:p>
          <w:p w14:paraId="08E0155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履约保证金缴纳：供应商签订合同时，需缴纳合同金额2%的履约保证金，可以转账、电汇、本票、支票等非现金方式缴入采购人指定账户</w:t>
            </w:r>
          </w:p>
          <w:p w14:paraId="683C2AD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履约保证金退还：中标人按合同完成履约，项目通过验收合格后五个工作日内支付</w:t>
            </w:r>
          </w:p>
        </w:tc>
      </w:tr>
      <w:tr w14:paraId="159B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B96F22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F6803AF">
            <w:pPr>
              <w:keepNext/>
              <w:keepLines/>
              <w:pageBreakBefore w:val="0"/>
              <w:widowControl/>
              <w:shd w:val="clear" w:color="auto" w:fill="FFFFFF"/>
              <w:wordWrap/>
              <w:overflowPunct/>
              <w:topLinePunct w:val="0"/>
              <w:bidi w:val="0"/>
              <w:spacing w:line="460" w:lineRule="exact"/>
              <w:ind w:left="72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8A6427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561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72980C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622957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4EDC42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b/>
                <w:color w:val="auto"/>
                <w:sz w:val="24"/>
                <w:szCs w:val="24"/>
                <w:highlight w:val="none"/>
                <w:lang w:val="en-US"/>
              </w:rPr>
            </w:pPr>
            <w:r>
              <w:rPr>
                <w:rFonts w:hint="eastAsia" w:ascii="宋体" w:hAnsi="宋体" w:eastAsia="宋体" w:cs="宋体"/>
                <w:b w:val="0"/>
                <w:bCs/>
                <w:color w:val="auto"/>
                <w:sz w:val="24"/>
                <w:szCs w:val="24"/>
                <w:highlight w:val="none"/>
                <w:u w:val="single"/>
              </w:rPr>
              <w:t>90</w:t>
            </w:r>
            <w:r>
              <w:rPr>
                <w:rFonts w:hint="eastAsia" w:ascii="宋体" w:hAnsi="宋体" w:eastAsia="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val="en-US" w:eastAsia="zh-CN"/>
              </w:rPr>
              <w:t>历天</w:t>
            </w:r>
          </w:p>
        </w:tc>
      </w:tr>
      <w:tr w14:paraId="2268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566C15D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2DE3803">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5B4705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招标代理服务费金额参照国家计委价格[2002]1980号文件和国家发改委“发改办价格[2003]857号”文的规定按照</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类收费标准</w:t>
            </w:r>
            <w:r>
              <w:rPr>
                <w:rFonts w:hint="eastAsia" w:ascii="宋体" w:hAnsi="宋体" w:eastAsia="宋体" w:cs="宋体"/>
                <w:color w:val="auto"/>
                <w:sz w:val="24"/>
                <w:szCs w:val="24"/>
                <w:highlight w:val="none"/>
                <w:lang w:val="en-US" w:eastAsia="zh-CN"/>
              </w:rPr>
              <w:t>的75%计取</w:t>
            </w:r>
            <w:r>
              <w:rPr>
                <w:rFonts w:hint="eastAsia" w:ascii="宋体" w:hAnsi="宋体" w:eastAsia="宋体" w:cs="宋体"/>
                <w:color w:val="auto"/>
                <w:sz w:val="24"/>
                <w:szCs w:val="24"/>
                <w:highlight w:val="none"/>
              </w:rPr>
              <w:t>。中标服务费在成交通知书发出时，由成交单位一次性支付给采购代理机构。</w:t>
            </w:r>
          </w:p>
        </w:tc>
      </w:tr>
      <w:tr w14:paraId="470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90F687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C6F57D7">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22A7A0C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22E3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B943C4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3E9C6FD">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39D24D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5E9E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7E2A36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FC678A5">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FE9E25B">
            <w:pPr>
              <w:keepNext/>
              <w:keepLines/>
              <w:pageBreakBefore w:val="0"/>
              <w:widowControl/>
              <w:shd w:val="clear" w:color="auto" w:fill="FFFFFF"/>
              <w:wordWrap/>
              <w:overflowPunct/>
              <w:topLinePunct w:val="0"/>
              <w:bidi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评标委员会由采购人依法组建；采购人代表0人，评审专家5人，共5人。 </w:t>
            </w:r>
          </w:p>
          <w:p w14:paraId="45EB4BC5">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评标专家确定方式：</w:t>
            </w:r>
            <w:r>
              <w:rPr>
                <w:rFonts w:hint="eastAsia" w:ascii="宋体" w:hAnsi="宋体" w:eastAsia="宋体" w:cs="宋体"/>
                <w:b/>
                <w:bCs/>
                <w:color w:val="auto"/>
                <w:sz w:val="24"/>
                <w:szCs w:val="24"/>
                <w:highlight w:val="none"/>
                <w:lang w:val="en-US" w:eastAsia="zh-CN"/>
              </w:rPr>
              <w:t>山西政府采购专家库</w:t>
            </w:r>
            <w:r>
              <w:rPr>
                <w:rFonts w:hint="eastAsia" w:ascii="宋体" w:hAnsi="宋体" w:eastAsia="宋体" w:cs="宋体"/>
                <w:b/>
                <w:bCs/>
                <w:color w:val="auto"/>
                <w:sz w:val="24"/>
                <w:szCs w:val="24"/>
                <w:highlight w:val="none"/>
                <w:lang w:eastAsia="zh-CN"/>
              </w:rPr>
              <w:t>随机抽取</w:t>
            </w:r>
          </w:p>
        </w:tc>
      </w:tr>
      <w:tr w14:paraId="1804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0E544A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05A452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4A660BA">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详见本招标文件“第二部分投标人须知”中“8.6政府采购相关政策要求”。</w:t>
            </w:r>
          </w:p>
        </w:tc>
      </w:tr>
      <w:tr w14:paraId="0DB9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47306F7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298D71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投标货物是否需要提供样品</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8687ED7">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需要。</w:t>
            </w:r>
          </w:p>
        </w:tc>
      </w:tr>
      <w:tr w14:paraId="7CEA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66CDA2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DB59A7F">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政府采购相关政策要求（如涉及的话）</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6B3DF8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1、本项目涉及进口产品的要求：</w:t>
            </w:r>
          </w:p>
          <w:p w14:paraId="3D93B35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（1）本项目采购标的物未特别注明“进口产品”（通过中国海关报关验放进入中国境内且产自境外的产品）字样的，均必须采购国产产品。</w:t>
            </w:r>
          </w:p>
          <w:p w14:paraId="66549E6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574E727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2、本项目涉及节能、环保产品政府采购政策：</w:t>
            </w:r>
          </w:p>
          <w:p w14:paraId="778957C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6AF866D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（2）《节能产品政府采购品目清单》详见《关于印发节能产品政府采购品目清单的通知（财库[2019]19号）》（如遇调整，按最新清单执行）。</w:t>
            </w:r>
          </w:p>
          <w:p w14:paraId="568F583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（3）本次招标需落实《节能产品政府采购品目清单》中规定的属于国家强制性采购的，必须符合要求，并提供承诺书，未提供承诺书的，投标文件无效。</w:t>
            </w:r>
          </w:p>
          <w:p w14:paraId="54393DA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（4）《环境标志产品政府采购品目清单》详见《关于印发环境标志产品政府采购品目清单的通知（财库[2019]18号）》（如遇调整，按最新清单执行）。</w:t>
            </w:r>
          </w:p>
          <w:p w14:paraId="32FE340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（5）本次招标属于《环境标志产品政府采购品目清单》范围，但不属于政府强制采购产品的，实施优先采购，并提供承诺书，未承诺书的，投标文件无效。</w:t>
            </w:r>
          </w:p>
          <w:p w14:paraId="5D1F225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0E758B7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（7）国家确定的认证机构以国家市场监管总局发布的参与实施政府采购节能产品、环境标志产品认证机构名录为准（如遇调整，请以最新公布的为准）。</w:t>
            </w:r>
          </w:p>
          <w:p w14:paraId="4E73697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3、商品包装和快递包装</w:t>
            </w:r>
          </w:p>
          <w:p w14:paraId="3CA18D9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投标人需填写商品包装和快递包装承诺函，承诺商品包装符合《商品包装政府采购需求标准（试行）》，快递包装符合《快递包装政府采购需求标准（试行）》，未提供承诺书的，投标文件无效。</w:t>
            </w:r>
          </w:p>
          <w:p w14:paraId="1CC0A1E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4、支持绿色建材促进建筑品质提升</w:t>
            </w:r>
          </w:p>
          <w:p w14:paraId="25101DE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7657A12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（2）投标人须落实绿色建材采购要求，鼓励投标人提供获得绿色建材评价标识、认证或者获得环境标志产品认证的绿色建材产品，满足《基本要求》的有关规定。</w:t>
            </w:r>
          </w:p>
          <w:p w14:paraId="1ACE092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5、《关于运用政府采购政策支持脱贫攻坚的通知》财库〔2019〕27号鼓励优先采购聘用建档立卡贫困人员物业公司提供的物业服务</w:t>
            </w:r>
          </w:p>
          <w:p w14:paraId="6D4292D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6、本项目涉及非政府强制采购产品的要求：</w:t>
            </w:r>
          </w:p>
          <w:p w14:paraId="2E08CC6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（1）投报产品有“节能产品政府采购品目清单、环境标志产品政府采购品目清单”中非政府强制采购产品的将给予适当加分。</w:t>
            </w:r>
          </w:p>
          <w:p w14:paraId="2296542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（2）投标人须如实填写《非政府强制采购产品明细表》（格式自制），并提供处于有效期之内的节能产品、环境标志产品认证证书扫描件。</w:t>
            </w:r>
          </w:p>
          <w:p w14:paraId="7C28042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7、本项目涉及正版软件的要求：</w:t>
            </w:r>
          </w:p>
          <w:p w14:paraId="263378A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投标人需承诺投报的计算机产品预装正版操作系统，投报的硬件产品内的预装软件为正版软件。</w:t>
            </w:r>
          </w:p>
          <w:p w14:paraId="1FA757B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8、本项目涉及信息安全产品的要求：</w:t>
            </w:r>
          </w:p>
          <w:p w14:paraId="71DD975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5D02FE5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9、中小企业参加本项目投标要求：</w:t>
            </w:r>
          </w:p>
          <w:p w14:paraId="56E3B8C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79338E9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（2）供应商提供的货物、工程或者服务符合下列情形的，享受中小企业扶持政策：</w:t>
            </w:r>
          </w:p>
          <w:p w14:paraId="49F225D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a.在货物采购项目中，货物由中小企业制造，即货物由中小企业生产且使用该中小企业商号或者注册商标；</w:t>
            </w:r>
          </w:p>
          <w:p w14:paraId="69A1E9F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b.在工程采购项目中，工程由中小企业承建，即工程施工单位为中小企业；</w:t>
            </w:r>
          </w:p>
          <w:p w14:paraId="039897A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c.在服务采购项目中，服务由中小企业承接，即提供服务的人员为中小企业依照《中华人民共和国民法典》订立劳动合同的从业人员。</w:t>
            </w:r>
          </w:p>
          <w:p w14:paraId="0FFF622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53651C4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8FAACC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73C3381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相应的扣除。</w:t>
            </w:r>
          </w:p>
          <w:p w14:paraId="234BB67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10、残疾人福利性单位参加本项目投标的要求：</w:t>
            </w:r>
          </w:p>
          <w:p w14:paraId="2AA4445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（1）须根据财库【2017】141号《关于促进残疾人就业政府采购政策的通知》的要求，如实填写残疾人福利性单位声明函（格式见第八部分）。</w:t>
            </w:r>
          </w:p>
          <w:p w14:paraId="7ADF2F5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（2）投标人提供的《残疾人福利性单位声明函》与事实不符的，依照《政府采购法》第七十七条第一款的规定追究法律责任。</w:t>
            </w:r>
          </w:p>
          <w:p w14:paraId="5F275BF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03FF0FD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11、本项目涉及创新产品、创新服务的要求：</w:t>
            </w:r>
          </w:p>
          <w:p w14:paraId="6B0F2BB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（1）投标人所报产品或服务属于《山西省创新产品和服务推荐清单》中创新产品或创新服务的，在评审时，享受所报产品或服务价格折扣。</w:t>
            </w:r>
          </w:p>
          <w:p w14:paraId="400C839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（2）投标人所报创新产品或创新服务的，应在投标文件中提供《山西省创新产品和服务推荐清单》，并填写《创新产品或创新服务明细表》（格式见第八部分）。</w:t>
            </w:r>
          </w:p>
          <w:p w14:paraId="3B21F52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12、监狱企业参加本项目投标的要求：</w:t>
            </w:r>
          </w:p>
          <w:p w14:paraId="20C7A2B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（1）监狱企业参加投标视同小微企业，需提供由省级以上监狱管理局或戒毒管理局出具的属于监狱企业的证明文件。</w:t>
            </w:r>
          </w:p>
          <w:p w14:paraId="25B9A7B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6E3D32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（3）监狱企业与中型企业组成联合体参加投标的，或者向监狱企业分包，且联合体协议或分包意向协议约定监狱企业的协议金额占到合同金额30%以上的，享受价格折扣。</w:t>
            </w:r>
          </w:p>
          <w:p w14:paraId="339E9809">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13、实施本国产品标准及相关政策：</w:t>
            </w:r>
          </w:p>
          <w:p w14:paraId="5A9E9092">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3F2B75AE">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D2F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16" w:type="dxa"/>
            <w:tcBorders>
              <w:left w:val="single" w:color="auto" w:sz="4" w:space="0"/>
              <w:bottom w:val="single" w:color="auto" w:sz="4" w:space="0"/>
              <w:right w:val="single" w:color="auto" w:sz="4" w:space="0"/>
            </w:tcBorders>
            <w:noWrap w:val="0"/>
            <w:vAlign w:val="center"/>
          </w:tcPr>
          <w:p w14:paraId="70D46219">
            <w:pPr>
              <w:keepNext/>
              <w:keepLines/>
              <w:pageBreakBefore w:val="0"/>
              <w:widowControl/>
              <w:shd w:val="clear" w:color="auto" w:fill="FFFFFF"/>
              <w:wordWrap/>
              <w:overflowPunct/>
              <w:topLinePunct w:val="0"/>
              <w:bidi w:val="0"/>
              <w:spacing w:line="4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844" w:type="dxa"/>
            <w:tcBorders>
              <w:left w:val="single" w:color="auto" w:sz="4" w:space="0"/>
              <w:bottom w:val="single" w:color="auto" w:sz="4" w:space="0"/>
              <w:right w:val="single" w:color="auto" w:sz="4" w:space="0"/>
            </w:tcBorders>
            <w:noWrap w:val="0"/>
            <w:vAlign w:val="center"/>
          </w:tcPr>
          <w:p w14:paraId="699962BC">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中小企业划分标准所属行业</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E7BC6AF">
            <w:pPr>
              <w:keepNext/>
              <w:keepLines/>
              <w:pageBreakBefore w:val="0"/>
              <w:widowControl/>
              <w:shd w:val="clear" w:color="auto" w:fill="auto"/>
              <w:wordWrap/>
              <w:overflowPunct/>
              <w:topLinePunct w:val="0"/>
              <w:bidi w:val="0"/>
              <w:spacing w:line="460" w:lineRule="exact"/>
              <w:rPr>
                <w:rFonts w:hint="eastAsia" w:ascii="宋体" w:hAnsi="宋体" w:eastAsia="宋体" w:cs="宋体"/>
                <w:color w:val="000000" w:themeColor="text1"/>
                <w:sz w:val="24"/>
                <w:szCs w:val="24"/>
                <w:highlight w:val="none"/>
                <w:lang w:val="zh-CN" w:eastAsia="zh-Hans"/>
                <w14:textFill>
                  <w14:solidFill>
                    <w14:schemeClr w14:val="tx1"/>
                  </w14:solidFill>
                </w14:textFill>
              </w:rPr>
            </w:pPr>
            <w:r>
              <w:rPr>
                <w:rFonts w:hint="eastAsia" w:ascii="宋体" w:hAnsi="宋体" w:eastAsia="宋体" w:cs="宋体"/>
                <w:color w:val="auto"/>
                <w:sz w:val="24"/>
                <w:szCs w:val="24"/>
                <w:highlight w:val="none"/>
                <w:lang w:val="zh-CN" w:eastAsia="zh-Hans"/>
              </w:rPr>
              <w:t>专门面向中小企业采购</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是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FE"/>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否 </w:t>
            </w:r>
          </w:p>
          <w:p w14:paraId="440764D5">
            <w:pPr>
              <w:keepNext/>
              <w:keepLines/>
              <w:pageBreakBefore w:val="0"/>
              <w:widowControl/>
              <w:shd w:val="clear" w:color="auto" w:fill="auto"/>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zh-CN" w:eastAsia="zh-Hans"/>
                <w14:textFill>
                  <w14:solidFill>
                    <w14:schemeClr w14:val="tx1"/>
                  </w14:solidFill>
                </w14:textFill>
              </w:rPr>
              <w:t>本项目属于</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农林牧渔业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FE"/>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工业(包括采矿业，制造业，电力、热力、燃气及水生产和供应业)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建筑业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批发业</w:t>
            </w:r>
            <w:r>
              <w:rPr>
                <w:rFonts w:hint="eastAsia" w:ascii="宋体" w:hAnsi="宋体" w:eastAsia="宋体" w:cs="宋体"/>
                <w:color w:val="FF0000"/>
                <w:sz w:val="24"/>
                <w:szCs w:val="24"/>
                <w:highlight w:val="none"/>
                <w:lang w:val="zh-CN" w:eastAsia="zh-Hans"/>
              </w:rPr>
              <w:t xml:space="preserve">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零售业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交通运输业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仓储业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邮政业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住宿业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餐饮业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信息运输业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软件和信息技术服务业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房地产开发经营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物业管理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租赁和商务服务业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其他未列明行业。</w:t>
            </w:r>
          </w:p>
        </w:tc>
      </w:tr>
      <w:tr w14:paraId="28E2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68E66F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E91DAD2">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82B697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投标人所投产品须符合国家相关强制性技术、安全标准或规范。如发现提供假冒伪劣或以次充好的货物，合同期内不能严格履行合同，将追究其法律，经济责任，并拒付所有货款。</w:t>
            </w:r>
          </w:p>
        </w:tc>
      </w:tr>
      <w:tr w14:paraId="2C5C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853" w:type="dxa"/>
            <w:gridSpan w:val="3"/>
            <w:tcBorders>
              <w:top w:val="single" w:color="auto" w:sz="4" w:space="0"/>
              <w:left w:val="single" w:color="auto" w:sz="4" w:space="0"/>
              <w:bottom w:val="single" w:color="auto" w:sz="4" w:space="0"/>
              <w:right w:val="single" w:color="auto" w:sz="4" w:space="0"/>
            </w:tcBorders>
            <w:noWrap w:val="0"/>
            <w:vAlign w:val="center"/>
          </w:tcPr>
          <w:p w14:paraId="6815604A">
            <w:pPr>
              <w:keepNext/>
              <w:keepLines/>
              <w:pageBreakBefore w:val="0"/>
              <w:widowControl/>
              <w:shd w:val="clear" w:color="auto" w:fill="FFFFFF"/>
              <w:wordWrap/>
              <w:overflowPunct/>
              <w:topLinePunct w:val="0"/>
              <w:bidi w:val="0"/>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电子标补充内容</w:t>
            </w:r>
          </w:p>
        </w:tc>
      </w:tr>
      <w:tr w14:paraId="6EB6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BD1F0C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C85CEF8">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投标文件编制及递交</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8649FB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1.投标人在山西省政府采购网电子投标客户端去制作、编制投标文件，生成加密文件。</w:t>
            </w:r>
          </w:p>
          <w:p w14:paraId="0BAB5C2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2.投标人应在投标文件递交截止时间前，将符合上述要求的（加密）电子投标文件上传至山西省政府采购网电子投标客户端。</w:t>
            </w:r>
          </w:p>
          <w:p w14:paraId="7DB7570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3.投标截止时间后，山西省政府采购网电子投标客户端无法接受投标文件。</w:t>
            </w:r>
          </w:p>
        </w:tc>
      </w:tr>
      <w:tr w14:paraId="620E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CF552C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F46617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276147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1.开标开启须携带编制投标文件时所使用的CA数字证书。</w:t>
            </w:r>
          </w:p>
          <w:p w14:paraId="7F1F84E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2.投标人开标开启时，使用CA数字证书对其递交的电子投标文件进行解密，解密时长30分钟。</w:t>
            </w:r>
          </w:p>
          <w:p w14:paraId="1A585B3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4.因投标人原因造成投标文件未解密的，视为未递交投标文件，包括以下情形：</w:t>
            </w:r>
          </w:p>
          <w:p w14:paraId="1E5B317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按顺序轮至解密投标文件时未出现的但在解密时长30分钟内到场的，其可待剩余投标人完成解密投标文件后解密其投标文件；当所有在场投标人完成解密且在解密时长30分钟内仍未到场的，视为未递交投标文件；</w:t>
            </w:r>
          </w:p>
          <w:p w14:paraId="0A1C280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（2）投标人未携带CA数字证书或携带了非本次投标加密用CA数字证书的；</w:t>
            </w:r>
          </w:p>
          <w:p w14:paraId="4E2D120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（3）投标人使用的CA数字证书属于注销或无效的；</w:t>
            </w:r>
          </w:p>
          <w:p w14:paraId="2710AA8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（4）投标人携带的CA数字证书已损坏的。</w:t>
            </w:r>
          </w:p>
          <w:p w14:paraId="10B229A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5.如非上述原因造成解密失败，可开启异常处理。</w:t>
            </w:r>
          </w:p>
        </w:tc>
      </w:tr>
      <w:tr w14:paraId="2A73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CD8E4F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bookmarkStart w:id="5" w:name="_Toc64566188"/>
            <w:bookmarkStart w:id="6" w:name="_Toc489430980"/>
            <w:r>
              <w:rPr>
                <w:rFonts w:hint="eastAsia" w:ascii="宋体" w:hAnsi="宋体" w:eastAsia="宋体" w:cs="宋体"/>
                <w:color w:val="auto"/>
                <w:sz w:val="24"/>
                <w:szCs w:val="24"/>
                <w:highlight w:val="none"/>
                <w:lang w:val="en-US" w:eastAsia="zh-CN"/>
              </w:rPr>
              <w:t>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E90AB07">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质疑函递交方式、接收部门、联系方式和通讯地址</w:t>
            </w:r>
            <w:r>
              <w:rPr>
                <w:rFonts w:hint="eastAsia" w:ascii="宋体" w:hAnsi="宋体" w:eastAsia="宋体" w:cs="宋体"/>
                <w:color w:val="auto"/>
                <w:sz w:val="24"/>
                <w:szCs w:val="24"/>
                <w:highlight w:val="none"/>
              </w:rPr>
              <w:tab/>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E7DE388">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递交方式：在线质疑，政府采购平台&gt;项目质疑管理</w:t>
            </w:r>
          </w:p>
          <w:p w14:paraId="1971FEFA">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递交方式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在线质疑，通过</w:t>
            </w:r>
            <w:r>
              <w:rPr>
                <w:rFonts w:hint="eastAsia" w:ascii="宋体" w:hAnsi="宋体" w:eastAsia="宋体" w:cs="宋体"/>
                <w:color w:val="auto"/>
                <w:sz w:val="24"/>
                <w:szCs w:val="24"/>
                <w:highlight w:val="none"/>
              </w:rPr>
              <w:t>山西省政府采购网</w:t>
            </w:r>
          </w:p>
          <w:p w14:paraId="3616EADF">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（http://www.ccgp-shanxi.gov.cn/home.html）</w:t>
            </w:r>
            <w:r>
              <w:rPr>
                <w:rFonts w:hint="eastAsia" w:ascii="宋体" w:hAnsi="宋体" w:eastAsia="宋体" w:cs="宋体"/>
                <w:color w:val="auto"/>
                <w:sz w:val="24"/>
                <w:szCs w:val="24"/>
                <w:highlight w:val="none"/>
                <w:lang w:eastAsia="zh-CN"/>
              </w:rPr>
              <w:t>提出</w:t>
            </w:r>
          </w:p>
          <w:p w14:paraId="517AFDBF">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接收</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长治市屯留区人民医院</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lang w:eastAsia="zh-CN"/>
              </w:rPr>
              <w:t>山西骅展工程项目管理有限责任公司</w:t>
            </w:r>
          </w:p>
          <w:p w14:paraId="434790B3">
            <w:pPr>
              <w:keepNext/>
              <w:keepLines/>
              <w:pageBreakBefore w:val="0"/>
              <w:widowControl/>
              <w:shd w:val="clear" w:color="auto" w:fill="FFFFFF"/>
              <w:wordWrap/>
              <w:overflowPunct/>
              <w:topLinePunct w:val="0"/>
              <w:bidi w:val="0"/>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b w:val="0"/>
                <w:bCs w:val="0"/>
                <w:color w:val="auto"/>
                <w:kern w:val="2"/>
                <w:sz w:val="24"/>
                <w:szCs w:val="24"/>
                <w:highlight w:val="none"/>
                <w:lang w:val="en-US" w:eastAsia="zh-CN" w:bidi="ar-SA"/>
              </w:rPr>
              <w:t>0355-7523450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18</w:t>
            </w:r>
            <w:r>
              <w:rPr>
                <w:rFonts w:hint="eastAsia" w:ascii="宋体" w:hAnsi="宋体" w:cs="宋体"/>
                <w:color w:val="auto"/>
                <w:sz w:val="24"/>
                <w:szCs w:val="24"/>
                <w:highlight w:val="none"/>
                <w:lang w:val="en-US" w:eastAsia="zh-CN"/>
              </w:rPr>
              <w:t>636558529</w:t>
            </w:r>
          </w:p>
        </w:tc>
      </w:tr>
      <w:tr w14:paraId="6BA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6624C3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D15894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7D0C6210">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tc>
      </w:tr>
    </w:tbl>
    <w:p w14:paraId="0677293B">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0C008D8B">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79014C39">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50FE4C37">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4EECA1F6">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sectPr>
          <w:pgSz w:w="11906" w:h="16838"/>
          <w:pgMar w:top="1440" w:right="1080" w:bottom="1440" w:left="1080" w:header="851" w:footer="992" w:gutter="0"/>
          <w:pgNumType w:fmt="decimal"/>
          <w:cols w:space="720" w:num="1"/>
          <w:docGrid w:type="lines" w:linePitch="312" w:charSpace="0"/>
        </w:sectPr>
      </w:pPr>
    </w:p>
    <w:p w14:paraId="4613CF5A">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bCs/>
          <w:color w:val="auto"/>
          <w:kern w:val="0"/>
          <w:sz w:val="24"/>
          <w:szCs w:val="24"/>
          <w:highlight w:val="none"/>
        </w:rPr>
      </w:pPr>
      <w:bookmarkStart w:id="7" w:name="_Toc17268"/>
      <w:r>
        <w:rPr>
          <w:rFonts w:hint="eastAsia" w:ascii="宋体" w:hAnsi="宋体" w:eastAsia="宋体" w:cs="宋体"/>
          <w:b/>
          <w:color w:val="auto"/>
          <w:kern w:val="0"/>
          <w:sz w:val="24"/>
          <w:szCs w:val="24"/>
          <w:highlight w:val="none"/>
        </w:rPr>
        <w:t>一</w:t>
      </w:r>
      <w:bookmarkStart w:id="8" w:name="_Toc421891962"/>
      <w:bookmarkStart w:id="9" w:name="_Toc421891903"/>
      <w:bookmarkStart w:id="10" w:name="_Toc86202581"/>
      <w:r>
        <w:rPr>
          <w:rFonts w:hint="eastAsia" w:ascii="宋体" w:hAnsi="宋体" w:eastAsia="宋体" w:cs="宋体"/>
          <w:b/>
          <w:color w:val="auto"/>
          <w:kern w:val="0"/>
          <w:sz w:val="24"/>
          <w:szCs w:val="24"/>
          <w:highlight w:val="none"/>
        </w:rPr>
        <w:t>、适用范围：</w:t>
      </w:r>
      <w:r>
        <w:rPr>
          <w:rFonts w:hint="eastAsia" w:ascii="宋体" w:hAnsi="宋体" w:eastAsia="宋体" w:cs="宋体"/>
          <w:color w:val="auto"/>
          <w:kern w:val="0"/>
          <w:sz w:val="24"/>
          <w:szCs w:val="24"/>
          <w:highlight w:val="none"/>
        </w:rPr>
        <w:t>本招标文件适用于本次招标活动的全过程。</w:t>
      </w:r>
      <w:bookmarkEnd w:id="5"/>
      <w:bookmarkEnd w:id="6"/>
      <w:bookmarkEnd w:id="7"/>
    </w:p>
    <w:bookmarkEnd w:id="8"/>
    <w:bookmarkEnd w:id="9"/>
    <w:p w14:paraId="365133D6">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二、定义</w:t>
      </w:r>
    </w:p>
    <w:p w14:paraId="478E57D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“货物”指投标人制造或组织符合本招标文件要求的货物。</w:t>
      </w:r>
    </w:p>
    <w:p w14:paraId="13A8E4B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“服务”指除货物以外规定由投标人承担的与货物有关的辅助服务，比如运输、保险以及其他的伴随服务，比如在质保期内的安装、调试、技术援助、培训等事宜和合同中规定由投标人承担的其他义务。</w:t>
      </w:r>
    </w:p>
    <w:p w14:paraId="7748AD6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“投标人”是指响应招标、参加投标竞争的法人、其他组织或者自然人。潜在投标人：以招标文件规定的方式获取本项目招标文件的法人、非法人组织或者自然人。</w:t>
      </w:r>
    </w:p>
    <w:p w14:paraId="39389DE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“品目清单”指“节能产品政府采购品目清单、环境标志产品政府采购品目清单”。</w:t>
      </w:r>
    </w:p>
    <w:p w14:paraId="737EB2E4">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三、合格投标人的条件</w:t>
      </w:r>
    </w:p>
    <w:p w14:paraId="1685682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bookmarkStart w:id="11" w:name="_Hlk483309490"/>
      <w:r>
        <w:rPr>
          <w:rFonts w:hint="eastAsia" w:ascii="宋体" w:hAnsi="宋体" w:eastAsia="宋体" w:cs="宋体"/>
          <w:color w:val="auto"/>
          <w:sz w:val="24"/>
          <w:szCs w:val="24"/>
          <w:highlight w:val="none"/>
        </w:rPr>
        <w:t>3.1 满足《中华人民共和国政府采购法》第二十二条规定。</w:t>
      </w:r>
    </w:p>
    <w:p w14:paraId="7F42B63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落实政府采购政策需满足的资格要求：无。</w:t>
      </w:r>
    </w:p>
    <w:p w14:paraId="5C80E03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3.3 本项目的特定资格要求：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如属于医疗器械生产企业直接参加投标的，一类医疗器械提供生产备案凭证；二类医疗器械提供生产企业许可证和经营备案凭证；三类医疗器械提供生产企业许可证和经营许可证；投标人如属于医疗器械经营企业的参加投标的，二类医疗器械提供经营备案凭证，三类医疗器械提供经营许可证，一类医疗器械可不提供。（响应产品不属于医疗器械的，投标人可不提供）；（2）本次投标产品属于二类、三类医疗器械的，须提供医疗器械注册证或注册登记表，属于一类医疗器械提供备案凭证；（投标产品不属于医疗器械的，供应商可不提供）；（3）本次响应产品若为国产设备，须提供本次响应产品生产厂家的企业法人营业执照、医疗器械生产企业许可证或备案凭证。 </w:t>
      </w:r>
    </w:p>
    <w:p w14:paraId="6B22FC4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供应商在投标(响应)时须提供长治市政府采购供应商应用信用承诺函；</w:t>
      </w:r>
    </w:p>
    <w:p w14:paraId="7FCF5E0D">
      <w:pPr>
        <w:keepNext/>
        <w:keepLines/>
        <w:pageBreakBefore w:val="0"/>
        <w:widowControl/>
        <w:shd w:val="clear" w:color="auto" w:fill="FFFFFF"/>
        <w:tabs>
          <w:tab w:val="left" w:pos="567"/>
        </w:tabs>
        <w:wordWrap/>
        <w:overflowPunct/>
        <w:topLinePunct w:val="0"/>
        <w:bidi w:val="0"/>
        <w:spacing w:line="460" w:lineRule="exact"/>
        <w:ind w:left="479" w:leftChars="228"/>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本次招标不允许联合体投标。</w:t>
      </w:r>
    </w:p>
    <w:p w14:paraId="51F48F2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 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bookmarkEnd w:id="11"/>
    <w:p w14:paraId="59DA613A">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四、投标费用</w:t>
      </w:r>
    </w:p>
    <w:p w14:paraId="0435B9B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4.1不论投标的结果如何，投标人应承担所有与准备和参加投标有关的费用，采购代理机构（或采购人)在任何情况下均无义务和责任承担这些费用。</w:t>
      </w:r>
    </w:p>
    <w:p w14:paraId="548A44EC">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五、招标文件的构成</w:t>
      </w:r>
    </w:p>
    <w:p w14:paraId="5D0256C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5.1招标文件由下列</w:t>
      </w:r>
      <w:r>
        <w:rPr>
          <w:rFonts w:hint="eastAsia" w:ascii="宋体" w:hAnsi="宋体" w:eastAsia="宋体" w:cs="宋体"/>
          <w:b/>
          <w:color w:val="auto"/>
          <w:kern w:val="0"/>
          <w:sz w:val="24"/>
          <w:szCs w:val="24"/>
          <w:highlight w:val="none"/>
        </w:rPr>
        <w:t>六部分</w:t>
      </w:r>
      <w:r>
        <w:rPr>
          <w:rFonts w:hint="eastAsia" w:ascii="宋体" w:hAnsi="宋体" w:eastAsia="宋体" w:cs="宋体"/>
          <w:color w:val="auto"/>
          <w:kern w:val="0"/>
          <w:sz w:val="24"/>
          <w:szCs w:val="24"/>
          <w:highlight w:val="none"/>
        </w:rPr>
        <w:t>内容组成：</w:t>
      </w:r>
    </w:p>
    <w:p w14:paraId="5FBF310D">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第一部分 招标公告；</w:t>
      </w:r>
    </w:p>
    <w:p w14:paraId="0B53EE45">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第二部分 投标人须知；</w:t>
      </w:r>
    </w:p>
    <w:p w14:paraId="59956F70">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第三部分 评标标准和评分办法；</w:t>
      </w:r>
    </w:p>
    <w:p w14:paraId="1D198885">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第四部分 采购需求；</w:t>
      </w:r>
    </w:p>
    <w:p w14:paraId="7C1B82F2">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第五部分 合同格式（参考）；</w:t>
      </w:r>
    </w:p>
    <w:p w14:paraId="49848893">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第六部分 投标文件格式。</w:t>
      </w:r>
    </w:p>
    <w:p w14:paraId="2FC86F4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56A01032">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除非特殊要求，招标文件不提供项目使用地的自然环境、气候条件、公用设施情况。</w:t>
      </w:r>
    </w:p>
    <w:p w14:paraId="4FB3FF43">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招标文件未作须知明示，而又有法律、法规规定的，将依据法律法规的规定解释。</w:t>
      </w:r>
    </w:p>
    <w:p w14:paraId="368D10E1">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对与本项目有关的通知，采购代理机构将以书面(包括书面材料、信函、传真、电子邮件等，下同)或以在本次招标公告刊登的媒体上发布公告的形式送达所有已登记并领取了招标文件的潜在投标人，联系方式以潜在投标人的登记为准。因登记有误或传真线路故障导致通知延迟送达或无法送达，采购代理机构不承担责任。</w:t>
      </w:r>
    </w:p>
    <w:p w14:paraId="29BCC2BC">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投标人应注意采购人在技术规格中指出的工艺、材料和设备的参照品牌型号（如有）仅起说明作用，没有任何倾向性或限制性，也不会以其作为评审依据或标准。</w:t>
      </w:r>
    </w:p>
    <w:p w14:paraId="54C89334">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 无论招标文件中是否要求，投标人所投货物及伴随的服务和工程均应符合国家强制性标准。</w:t>
      </w:r>
    </w:p>
    <w:p w14:paraId="52790E39">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六、招标文件的澄清和修改</w:t>
      </w:r>
    </w:p>
    <w:p w14:paraId="0C34758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 投标人澄清要求的提交：任何已登记并领取了招标文件的潜在投标人，均可要求对招标文件进行澄清，按招标文件中的联系地址以书面形式（包括书面材料、信函、传真，下同）送达采购代理机构。</w:t>
      </w:r>
    </w:p>
    <w:p w14:paraId="392D948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 采购人或采购代理机构对澄清要求的处理：采购代理机构（或采购人)对其认为需要给予澄清、修改及/或进行其它答复的，将以书面形式进行答复。</w:t>
      </w:r>
    </w:p>
    <w:p w14:paraId="747DED4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采购人或采购代理机构可以对已发出的招标文件、资格预审文件、投标邀请书进行必要的澄清或者修改，但不得改变采购标的和资格条件。澄清或者修改应当在原公告发布媒体上发布澄清公告。澄清或者修改的内容为招标文件的组成部分。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593087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 采购人或采购代理机构澄清、修改及其它答复的效力：无论是否根据投标人的澄清、修改或进行其它答复的要求，采购人或采购代理机构一旦对招标文件做出澄清、修改或进行其它答复，即刻发生效力。澄清或者修改的内容应当作为招标文件的组成部分，对所有投标人均具有约束力。</w:t>
      </w:r>
    </w:p>
    <w:p w14:paraId="19224B0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 采购人或采购代理机构将视情况确定是否有必要安排所有已登记备案并领取了招标文件的潜在投标人踏勘现场，而无论采购代理机构（或采购人)是否安排踏勘现场，投标人均应当将相关的因素作为投标所应当考虑或依据的因素。</w:t>
      </w:r>
    </w:p>
    <w:p w14:paraId="64BB8A2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 采购人或采购代理机构将视情况确定是否有必要召开标前会或现场考察。如果召开标前会或现场考察，采购人或采购代理机构将向所有已登记备案并领取了招标文件的潜在投标人发出通知。</w:t>
      </w:r>
    </w:p>
    <w:p w14:paraId="716B4F1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6.7 采购人或采购代理机构在开标现场对投标情况可在不改变招标文件实质内容前提下做进一步的澄清和说明，并经全场投标人代表签字确认。</w:t>
      </w:r>
    </w:p>
    <w:p w14:paraId="7D0D595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6.8 招标文件中有不一致的，有澄清的部分以最终的澄清更正内容为准；未澄清的，以投标须知前附表为准；投标须知前附表不涉及的内容，以编排在后的最后描述为准。</w:t>
      </w:r>
    </w:p>
    <w:p w14:paraId="71844F65">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七、投标文件的语言和计量单位</w:t>
      </w:r>
    </w:p>
    <w:p w14:paraId="4B5990C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投标人提交的投标文件（包括技术文件和资料、图纸中的说明）以及投标人与采购代理机构（或采购人)就有关投标的所有来往函电均应使用中文简体字。</w:t>
      </w:r>
    </w:p>
    <w:p w14:paraId="58C60EA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投标文件所使用的计量单位，须使用国家法定计量单位。</w:t>
      </w:r>
    </w:p>
    <w:p w14:paraId="210367D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原版为外文的证书类文件，以及由外国人做出的本人签名、外国公司的名称或外国印章等可以是外文，但应当提供中文翻译文件。</w:t>
      </w:r>
    </w:p>
    <w:p w14:paraId="1375D245">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八、投标文件的组成及相关要求</w:t>
      </w:r>
    </w:p>
    <w:p w14:paraId="0C67839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 投标文件分为资格部分、商务技术部分两部分。</w:t>
      </w:r>
    </w:p>
    <w:p w14:paraId="563CED2E">
      <w:pPr>
        <w:keepNext/>
        <w:keepLines/>
        <w:pageBreakBefore w:val="0"/>
        <w:widowControl/>
        <w:shd w:val="clear" w:color="auto" w:fill="FFFFFF"/>
        <w:wordWrap/>
        <w:overflowPunct/>
        <w:topLinePunct w:val="0"/>
        <w:bidi w:val="0"/>
        <w:spacing w:line="460" w:lineRule="exact"/>
        <w:ind w:firstLine="600" w:firstLineChars="24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u w:val="single"/>
        </w:rPr>
        <w:t>资格文件</w:t>
      </w:r>
      <w:r>
        <w:rPr>
          <w:rFonts w:hint="eastAsia" w:ascii="宋体" w:hAnsi="宋体" w:eastAsia="宋体" w:cs="宋体"/>
          <w:color w:val="auto"/>
          <w:kern w:val="0"/>
          <w:sz w:val="24"/>
          <w:szCs w:val="24"/>
          <w:highlight w:val="none"/>
        </w:rPr>
        <w:t>指投标人提交的证明其有资格参加投标的文件；</w:t>
      </w:r>
    </w:p>
    <w:p w14:paraId="6166C01A">
      <w:pPr>
        <w:keepNext/>
        <w:keepLines/>
        <w:pageBreakBefore w:val="0"/>
        <w:widowControl/>
        <w:shd w:val="clear" w:color="auto" w:fill="FFFFFF"/>
        <w:wordWrap/>
        <w:overflowPunct/>
        <w:topLinePunct w:val="0"/>
        <w:bidi w:val="0"/>
        <w:spacing w:line="460" w:lineRule="exact"/>
        <w:ind w:firstLine="598" w:firstLineChars="248"/>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u w:val="single"/>
        </w:rPr>
        <w:t>商务、技术部分</w:t>
      </w:r>
      <w:r>
        <w:rPr>
          <w:rFonts w:hint="eastAsia" w:ascii="宋体" w:hAnsi="宋体" w:eastAsia="宋体" w:cs="宋体"/>
          <w:color w:val="auto"/>
          <w:kern w:val="0"/>
          <w:sz w:val="24"/>
          <w:szCs w:val="24"/>
          <w:highlight w:val="none"/>
        </w:rPr>
        <w:t>指投标人提交的证明投标人提供的货物及服务符合招标文件规定的文件且中标后有能力履行合同的文件；</w:t>
      </w:r>
    </w:p>
    <w:p w14:paraId="46FBF8BD">
      <w:pPr>
        <w:keepNext/>
        <w:keepLines/>
        <w:pageBreakBefore w:val="0"/>
        <w:widowControl/>
        <w:shd w:val="clear" w:color="auto" w:fill="FFFFFF"/>
        <w:wordWrap/>
        <w:overflowPunct/>
        <w:topLinePunct w:val="0"/>
        <w:bidi w:val="0"/>
        <w:spacing w:line="460" w:lineRule="exact"/>
        <w:ind w:firstLine="600" w:firstLineChars="2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本次招标，投标人应按本招标文件要求提交资格、商务技术部分的内容，投标人为了体现自身优势可另提供有关资料。（具体填写要求及部分格式参考招标文件</w:t>
      </w:r>
      <w:r>
        <w:rPr>
          <w:rFonts w:hint="eastAsia" w:ascii="宋体" w:hAnsi="宋体" w:eastAsia="宋体" w:cs="宋体"/>
          <w:b/>
          <w:color w:val="auto"/>
          <w:kern w:val="0"/>
          <w:sz w:val="24"/>
          <w:szCs w:val="24"/>
          <w:highlight w:val="none"/>
        </w:rPr>
        <w:t>第六部分</w:t>
      </w:r>
      <w:r>
        <w:rPr>
          <w:rFonts w:hint="eastAsia" w:ascii="宋体" w:hAnsi="宋体" w:eastAsia="宋体" w:cs="宋体"/>
          <w:color w:val="auto"/>
          <w:kern w:val="0"/>
          <w:sz w:val="24"/>
          <w:szCs w:val="24"/>
          <w:highlight w:val="none"/>
        </w:rPr>
        <w:t>）。</w:t>
      </w:r>
    </w:p>
    <w:p w14:paraId="7D7F4A66">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u w:val="single"/>
        </w:rPr>
        <w:t>8.2 投标文件组成内容：</w:t>
      </w:r>
    </w:p>
    <w:p w14:paraId="5D72694B">
      <w:pPr>
        <w:keepNext/>
        <w:keepLines/>
        <w:pageBreakBefore w:val="0"/>
        <w:widowControl/>
        <w:shd w:val="clear" w:color="auto" w:fill="FFFFFF"/>
        <w:tabs>
          <w:tab w:val="left" w:pos="567"/>
        </w:tabs>
        <w:wordWrap/>
        <w:overflowPunct/>
        <w:topLinePunct w:val="0"/>
        <w:bidi w:val="0"/>
        <w:spacing w:line="460" w:lineRule="exact"/>
        <w:ind w:firstLine="472" w:firstLineChars="196"/>
        <w:jc w:val="left"/>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8.2.1资格部分</w:t>
      </w:r>
    </w:p>
    <w:p w14:paraId="56F21134">
      <w:pPr>
        <w:keepNext/>
        <w:keepLines/>
        <w:pageBreakBefore w:val="0"/>
        <w:widowControl/>
        <w:shd w:val="clear" w:color="auto" w:fill="FFFFFF"/>
        <w:wordWrap/>
        <w:overflowPunct/>
        <w:topLinePunct w:val="0"/>
        <w:bidi w:val="0"/>
        <w:spacing w:line="4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(1)投标人有效的营业执照（三证合一），或事业单位法人证书；或自然人身份证明；或其他非企业组织证明独立承担民事责任能力的文件；</w:t>
      </w:r>
    </w:p>
    <w:p w14:paraId="3C78EB58">
      <w:pPr>
        <w:keepNext/>
        <w:keepLines/>
        <w:pageBreakBefore w:val="0"/>
        <w:widowControl/>
        <w:shd w:val="clear" w:color="auto" w:fill="FFFFFF"/>
        <w:wordWrap/>
        <w:overflowPunct/>
        <w:topLinePunct w:val="0"/>
        <w:bidi w:val="0"/>
        <w:spacing w:line="4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(2)基本账户开户许可证或基本存款账户信息；</w:t>
      </w:r>
    </w:p>
    <w:p w14:paraId="1A13A5F0">
      <w:pPr>
        <w:keepNext/>
        <w:keepLines/>
        <w:pageBreakBefore w:val="0"/>
        <w:widowControl/>
        <w:shd w:val="clear" w:color="auto" w:fill="FFFFFF"/>
        <w:wordWrap/>
        <w:overflowPunct/>
        <w:topLinePunct w:val="0"/>
        <w:bidi w:val="0"/>
        <w:spacing w:line="460" w:lineRule="exact"/>
        <w:ind w:right="-178" w:rightChars="-85"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(3)</w:t>
      </w:r>
      <w:r>
        <w:rPr>
          <w:rFonts w:hint="eastAsia" w:ascii="宋体" w:hAnsi="宋体" w:eastAsia="宋体" w:cs="宋体"/>
          <w:bCs/>
          <w:color w:val="auto"/>
          <w:kern w:val="0"/>
          <w:sz w:val="24"/>
          <w:szCs w:val="24"/>
          <w:highlight w:val="none"/>
        </w:rPr>
        <w:t>投标人履行合同能力的承诺书(见‘投标文件格式’)</w:t>
      </w:r>
      <w:r>
        <w:rPr>
          <w:rFonts w:hint="eastAsia" w:ascii="宋体" w:hAnsi="宋体" w:eastAsia="宋体" w:cs="宋体"/>
          <w:color w:val="auto"/>
          <w:kern w:val="0"/>
          <w:sz w:val="24"/>
          <w:szCs w:val="24"/>
          <w:highlight w:val="none"/>
        </w:rPr>
        <w:t>；</w:t>
      </w:r>
    </w:p>
    <w:p w14:paraId="3195AD14">
      <w:pPr>
        <w:keepNext/>
        <w:keepLines/>
        <w:pageBreakBefore w:val="0"/>
        <w:widowControl/>
        <w:shd w:val="clear" w:color="auto" w:fill="FFFFFF"/>
        <w:wordWrap/>
        <w:overflowPunct/>
        <w:topLinePunct w:val="0"/>
        <w:bidi w:val="0"/>
        <w:spacing w:line="4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(4)</w:t>
      </w:r>
      <w:r>
        <w:rPr>
          <w:rFonts w:hint="eastAsia" w:ascii="宋体" w:hAnsi="宋体" w:eastAsia="宋体" w:cs="宋体"/>
          <w:bCs/>
          <w:color w:val="auto"/>
          <w:kern w:val="0"/>
          <w:sz w:val="24"/>
          <w:szCs w:val="24"/>
          <w:highlight w:val="none"/>
        </w:rPr>
        <w:t>法定代表人身份证明(见‘投标文件格式’)；</w:t>
      </w:r>
    </w:p>
    <w:p w14:paraId="48E69A08">
      <w:pPr>
        <w:keepNext/>
        <w:keepLines/>
        <w:pageBreakBefore w:val="0"/>
        <w:widowControl/>
        <w:shd w:val="clear" w:color="auto" w:fill="FFFFFF"/>
        <w:wordWrap/>
        <w:overflowPunct/>
        <w:topLinePunct w:val="0"/>
        <w:bidi w:val="0"/>
        <w:spacing w:line="46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(5)</w:t>
      </w:r>
      <w:r>
        <w:rPr>
          <w:rFonts w:hint="eastAsia" w:ascii="宋体" w:hAnsi="宋体" w:eastAsia="宋体" w:cs="宋体"/>
          <w:bCs/>
          <w:color w:val="auto"/>
          <w:kern w:val="0"/>
          <w:sz w:val="24"/>
          <w:szCs w:val="24"/>
          <w:highlight w:val="none"/>
        </w:rPr>
        <w:t>法人授权委托书</w:t>
      </w:r>
      <w:bookmarkStart w:id="12" w:name="_Hlk22588165"/>
      <w:r>
        <w:rPr>
          <w:rFonts w:hint="eastAsia" w:ascii="宋体" w:hAnsi="宋体" w:eastAsia="宋体" w:cs="宋体"/>
          <w:color w:val="auto"/>
          <w:kern w:val="0"/>
          <w:sz w:val="24"/>
          <w:szCs w:val="24"/>
          <w:highlight w:val="none"/>
        </w:rPr>
        <w:t xml:space="preserve"> (见‘投标文件格式’) </w:t>
      </w:r>
      <w:bookmarkEnd w:id="12"/>
      <w:r>
        <w:rPr>
          <w:rFonts w:hint="eastAsia" w:ascii="宋体" w:hAnsi="宋体" w:eastAsia="宋体" w:cs="宋体"/>
          <w:color w:val="auto"/>
          <w:kern w:val="0"/>
          <w:sz w:val="24"/>
          <w:szCs w:val="24"/>
          <w:highlight w:val="none"/>
        </w:rPr>
        <w:t>；</w:t>
      </w:r>
    </w:p>
    <w:p w14:paraId="40D3ADD3">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lang w:val="en-US" w:eastAsia="zh-CN"/>
        </w:rPr>
        <w:t>（6）长治市政府采购供应商应用信用承诺函</w:t>
      </w:r>
      <w:r>
        <w:rPr>
          <w:rFonts w:hint="eastAsia" w:ascii="宋体" w:hAnsi="宋体" w:eastAsia="宋体" w:cs="宋体"/>
          <w:color w:val="auto"/>
          <w:kern w:val="0"/>
          <w:sz w:val="24"/>
          <w:szCs w:val="24"/>
          <w:highlight w:val="none"/>
        </w:rPr>
        <w:t xml:space="preserve">(见‘投标文件格式’) </w:t>
      </w:r>
      <w:r>
        <w:rPr>
          <w:rFonts w:hint="eastAsia" w:ascii="宋体" w:hAnsi="宋体" w:eastAsia="宋体" w:cs="宋体"/>
          <w:color w:val="auto"/>
          <w:kern w:val="0"/>
          <w:sz w:val="24"/>
          <w:szCs w:val="24"/>
          <w:highlight w:val="none"/>
          <w:lang w:val="en-US" w:eastAsia="zh-CN"/>
        </w:rPr>
        <w:t>；</w:t>
      </w:r>
    </w:p>
    <w:p w14:paraId="70A9FE1B">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)投标保证金交纳证明（见‘投标文件格式’) ；</w:t>
      </w:r>
    </w:p>
    <w:p w14:paraId="6103D1D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（8）特定资格要求证明文件</w:t>
      </w:r>
    </w:p>
    <w:p w14:paraId="672A19BE">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8.2.2商务技术部分</w:t>
      </w:r>
    </w:p>
    <w:p w14:paraId="52F2A9D8">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（1）投标函(见‘投标文件格式’)</w:t>
      </w:r>
      <w:r>
        <w:rPr>
          <w:rFonts w:hint="eastAsia" w:ascii="宋体" w:hAnsi="宋体" w:eastAsia="宋体" w:cs="宋体"/>
          <w:color w:val="auto"/>
          <w:sz w:val="24"/>
          <w:szCs w:val="24"/>
          <w:highlight w:val="none"/>
          <w:lang w:eastAsia="zh-CN"/>
        </w:rPr>
        <w:t>；</w:t>
      </w:r>
    </w:p>
    <w:p w14:paraId="317A26E9">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（2）开标一览表(见‘投标文件格式’)</w:t>
      </w:r>
      <w:r>
        <w:rPr>
          <w:rFonts w:hint="eastAsia" w:ascii="宋体" w:hAnsi="宋体" w:eastAsia="宋体" w:cs="宋体"/>
          <w:color w:val="auto"/>
          <w:sz w:val="24"/>
          <w:szCs w:val="24"/>
          <w:highlight w:val="none"/>
          <w:lang w:eastAsia="zh-CN"/>
        </w:rPr>
        <w:t>；</w:t>
      </w:r>
    </w:p>
    <w:p w14:paraId="7C0A42C0">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（3）商务条款</w:t>
      </w:r>
      <w:r>
        <w:rPr>
          <w:rFonts w:hint="eastAsia" w:ascii="宋体" w:hAnsi="宋体" w:eastAsia="宋体" w:cs="宋体"/>
          <w:color w:val="auto"/>
          <w:sz w:val="24"/>
          <w:szCs w:val="24"/>
          <w:highlight w:val="none"/>
          <w:lang w:eastAsia="zh-CN"/>
        </w:rPr>
        <w:t>偏差表</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143F347C">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（4）技术</w:t>
      </w:r>
      <w:r>
        <w:rPr>
          <w:rFonts w:hint="eastAsia" w:ascii="宋体" w:hAnsi="宋体" w:eastAsia="宋体" w:cs="宋体"/>
          <w:color w:val="auto"/>
          <w:sz w:val="24"/>
          <w:szCs w:val="24"/>
          <w:highlight w:val="none"/>
          <w:lang w:eastAsia="zh-CN"/>
        </w:rPr>
        <w:t>条款偏差表</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5BC92402">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项目方案（格式自拟）；</w:t>
      </w:r>
    </w:p>
    <w:p w14:paraId="1A8E4BF3">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eastAsia="zh-CN"/>
        </w:rPr>
        <w:t>投标产品需提供相关的技术资料</w:t>
      </w:r>
    </w:p>
    <w:p w14:paraId="5A99E9D1">
      <w:pPr>
        <w:keepNext/>
        <w:keepLines/>
        <w:pageBreakBefore w:val="0"/>
        <w:widowControl/>
        <w:shd w:val="clear" w:color="auto" w:fill="FFFFFF"/>
        <w:kinsoku/>
        <w:wordWrap/>
        <w:overflowPunct/>
        <w:topLinePunct w:val="0"/>
        <w:autoSpaceDE/>
        <w:autoSpaceDN/>
        <w:bidi w:val="0"/>
        <w:adjustRightInd/>
        <w:snapToGrid/>
        <w:spacing w:line="460" w:lineRule="exact"/>
        <w:ind w:firstLine="1200" w:firstLineChars="5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2.提</w:t>
      </w:r>
      <w:r>
        <w:rPr>
          <w:rFonts w:hint="eastAsia" w:ascii="宋体" w:hAnsi="宋体" w:eastAsia="宋体" w:cs="宋体"/>
          <w:color w:val="auto"/>
          <w:kern w:val="0"/>
          <w:sz w:val="24"/>
          <w:szCs w:val="24"/>
          <w:highlight w:val="none"/>
          <w:lang w:eastAsia="zh-CN"/>
        </w:rPr>
        <w:t>供保障本项目采购产品的质量和售后服务的承诺函</w:t>
      </w:r>
      <w:r>
        <w:rPr>
          <w:rFonts w:hint="eastAsia" w:ascii="宋体" w:hAnsi="宋体" w:eastAsia="宋体" w:cs="宋体"/>
          <w:color w:val="auto"/>
          <w:kern w:val="0"/>
          <w:sz w:val="24"/>
          <w:szCs w:val="24"/>
          <w:highlight w:val="none"/>
        </w:rPr>
        <w:t>。</w:t>
      </w:r>
    </w:p>
    <w:p w14:paraId="050DA0BC">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近三年类似项目合同书汇总表(见‘投标文件格式’)</w:t>
      </w:r>
      <w:r>
        <w:rPr>
          <w:rFonts w:hint="eastAsia" w:ascii="宋体" w:hAnsi="宋体" w:eastAsia="宋体" w:cs="宋体"/>
          <w:color w:val="auto"/>
          <w:sz w:val="24"/>
          <w:szCs w:val="24"/>
          <w:highlight w:val="none"/>
          <w:lang w:val="zh-CN"/>
        </w:rPr>
        <w:t>；</w:t>
      </w:r>
    </w:p>
    <w:p w14:paraId="6C241906">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投标人企业简况表(见‘投标文件格式’)</w:t>
      </w:r>
      <w:r>
        <w:rPr>
          <w:rFonts w:hint="eastAsia" w:ascii="宋体" w:hAnsi="宋体" w:eastAsia="宋体" w:cs="宋体"/>
          <w:color w:val="auto"/>
          <w:sz w:val="24"/>
          <w:szCs w:val="24"/>
          <w:highlight w:val="none"/>
          <w:lang w:eastAsia="zh-CN"/>
        </w:rPr>
        <w:t>；</w:t>
      </w:r>
    </w:p>
    <w:p w14:paraId="2DD18DD9">
      <w:pPr>
        <w:keepNext/>
        <w:keepLines/>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）拟派往本项目的</w:t>
      </w:r>
      <w:r>
        <w:rPr>
          <w:rFonts w:hint="eastAsia" w:ascii="宋体" w:hAnsi="宋体" w:eastAsia="宋体" w:cs="宋体"/>
          <w:color w:val="auto"/>
          <w:sz w:val="24"/>
          <w:szCs w:val="24"/>
          <w:highlight w:val="none"/>
          <w:lang w:val="zh-CN"/>
        </w:rPr>
        <w:t>技术团队人员配备情况</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30798962">
      <w:pPr>
        <w:keepNext/>
        <w:keepLines/>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（10）关于符合本国产品标准的声明函(见‘投标文件格式’)；</w:t>
      </w:r>
    </w:p>
    <w:p w14:paraId="03923E5F">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政府采购相关政策证明材料（若有的话填写）</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3BA03404">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）投标人认为需要提供的其它资料</w:t>
      </w:r>
    </w:p>
    <w:p w14:paraId="7BC134BE">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加</w:t>
      </w:r>
      <w:r>
        <w:rPr>
          <w:rFonts w:hint="eastAsia" w:ascii="宋体" w:hAnsi="宋体" w:eastAsia="宋体" w:cs="宋体"/>
          <w:b/>
          <w:bCs/>
          <w:color w:val="auto"/>
          <w:sz w:val="24"/>
          <w:highlight w:val="none"/>
        </w:rPr>
        <w:t>*</w:t>
      </w:r>
      <w:r>
        <w:rPr>
          <w:rFonts w:hint="eastAsia" w:ascii="宋体" w:hAnsi="宋体" w:eastAsia="宋体" w:cs="宋体"/>
          <w:b/>
          <w:color w:val="auto"/>
          <w:kern w:val="0"/>
          <w:sz w:val="24"/>
          <w:szCs w:val="24"/>
          <w:highlight w:val="none"/>
        </w:rPr>
        <w:t>项目若有缺失，将导致投标被拒绝且不允许在开标后补正，未加</w:t>
      </w:r>
      <w:r>
        <w:rPr>
          <w:rFonts w:hint="eastAsia" w:ascii="宋体" w:hAnsi="宋体" w:eastAsia="宋体" w:cs="宋体"/>
          <w:b/>
          <w:color w:val="auto"/>
          <w:szCs w:val="24"/>
          <w:highlight w:val="none"/>
        </w:rPr>
        <w:t>*</w:t>
      </w:r>
      <w:r>
        <w:rPr>
          <w:rFonts w:hint="eastAsia" w:ascii="宋体" w:hAnsi="宋体" w:eastAsia="宋体" w:cs="宋体"/>
          <w:b/>
          <w:color w:val="auto"/>
          <w:kern w:val="0"/>
          <w:sz w:val="24"/>
          <w:szCs w:val="24"/>
          <w:highlight w:val="none"/>
        </w:rPr>
        <w:t>项目不做强制要求，投标人可以视自身情况填写。</w:t>
      </w:r>
    </w:p>
    <w:p w14:paraId="4F51F049">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注：1、投标人应随时关注山西省政府采购网（http://www.ccgp-shanxi.gov.cn/home.html）关于本项目的一切信息，由供应商的疏忽，造成投标文件编写错误，后果由供应商承担。</w:t>
      </w:r>
    </w:p>
    <w:p w14:paraId="07E260EA">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供应商在投标（响应）时，按照规定提供长治市政府采购供应商信用承诺函(见‘投标文件格式’)，无需再提交相关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w:t>
      </w:r>
    </w:p>
    <w:p w14:paraId="2D128726">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3、采购人有权在签订合同前要求中标供应商提供相关证明材料以核实中标供应商承诺事项的真实性。</w:t>
      </w:r>
    </w:p>
    <w:p w14:paraId="2DBC280E">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3D4464D">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8.4  投标保证金</w:t>
      </w:r>
    </w:p>
    <w:p w14:paraId="18EB9EAC">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（1）投标保证金：</w:t>
      </w:r>
      <w:r>
        <w:rPr>
          <w:rFonts w:hint="eastAsia" w:ascii="宋体" w:hAnsi="宋体" w:eastAsia="宋体" w:cs="宋体"/>
          <w:color w:val="auto"/>
          <w:kern w:val="0"/>
          <w:sz w:val="24"/>
          <w:szCs w:val="24"/>
          <w:highlight w:val="none"/>
        </w:rPr>
        <w:t>投标人须在开标前提交投标保证金额，保证金额详见投标人须知前附表。</w:t>
      </w:r>
    </w:p>
    <w:p w14:paraId="195AFAD0">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（2）投标保证金是为了保护采购人免遭因投标人的行为而蒙受的损失。采购代理机构在采购人因投标人的行为受到损害时可根据有关规定没收投标人的投标保证金。</w:t>
      </w:r>
    </w:p>
    <w:p w14:paraId="049D4F8D">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（3）投标保证金可以采取网银转账等非现金形式缴纳。不允许他人代缴、个人账户汇款缴纳保证金。 </w:t>
      </w:r>
    </w:p>
    <w:p w14:paraId="5D44BD9E">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（4）投标截止时间之前投标保证金未缴纳至</w:t>
      </w:r>
      <w:r>
        <w:rPr>
          <w:rFonts w:hint="eastAsia" w:ascii="宋体" w:hAnsi="宋体" w:eastAsia="宋体" w:cs="宋体"/>
          <w:color w:val="auto"/>
          <w:sz w:val="24"/>
          <w:szCs w:val="24"/>
          <w:highlight w:val="none"/>
        </w:rPr>
        <w:t>采购代理机构账户、或缴纳不符合招标文件要求的投标，</w:t>
      </w:r>
      <w:r>
        <w:rPr>
          <w:rFonts w:hint="eastAsia" w:ascii="宋体" w:hAnsi="宋体" w:eastAsia="宋体" w:cs="宋体"/>
          <w:b/>
          <w:color w:val="auto"/>
          <w:kern w:val="0"/>
          <w:sz w:val="24"/>
          <w:szCs w:val="24"/>
          <w:highlight w:val="none"/>
        </w:rPr>
        <w:t>将被视为无效投标。</w:t>
      </w:r>
    </w:p>
    <w:p w14:paraId="1EF1A6E1">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w:t>
      </w:r>
      <w:r>
        <w:rPr>
          <w:rFonts w:hint="eastAsia" w:ascii="宋体" w:hAnsi="宋体" w:eastAsia="宋体" w:cs="宋体"/>
          <w:color w:val="auto"/>
          <w:sz w:val="24"/>
          <w:szCs w:val="24"/>
          <w:highlight w:val="none"/>
        </w:rPr>
        <w:t>须在规定的</w:t>
      </w:r>
      <w:r>
        <w:rPr>
          <w:rFonts w:hint="eastAsia" w:ascii="宋体" w:hAnsi="宋体" w:eastAsia="宋体" w:cs="宋体"/>
          <w:color w:val="auto"/>
          <w:kern w:val="0"/>
          <w:sz w:val="24"/>
          <w:szCs w:val="24"/>
          <w:highlight w:val="none"/>
        </w:rPr>
        <w:t>投标文件递交时间</w:t>
      </w:r>
      <w:r>
        <w:rPr>
          <w:rFonts w:hint="eastAsia" w:ascii="宋体" w:hAnsi="宋体" w:eastAsia="宋体" w:cs="宋体"/>
          <w:color w:val="auto"/>
          <w:sz w:val="24"/>
          <w:szCs w:val="24"/>
          <w:highlight w:val="none"/>
        </w:rPr>
        <w:t>内将缴纳凭证连同投标文件一起递交到采购代理机构。</w:t>
      </w:r>
    </w:p>
    <w:p w14:paraId="3F7AE7BF">
      <w:pPr>
        <w:keepNext/>
        <w:keepLines/>
        <w:pageBreakBefore w:val="0"/>
        <w:widowControl/>
        <w:shd w:val="clear" w:color="auto" w:fill="FFFFFF"/>
        <w:wordWrap/>
        <w:overflowPunct/>
        <w:topLinePunct w:val="0"/>
        <w:bidi w:val="0"/>
        <w:spacing w:line="460" w:lineRule="exact"/>
        <w:ind w:right="-290" w:rightChars="-138"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（6）采购代理机构在中标通知书发出后5个工作日内全额退还未中标的投标人的投标保证金。</w:t>
      </w:r>
    </w:p>
    <w:p w14:paraId="279C61E8">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中标人与采购人签订政府采购合同当天，须将合同一份送采购代理机构存档，采购代理机构将在5个工作日内退还中标人的</w:t>
      </w:r>
      <w:r>
        <w:rPr>
          <w:rFonts w:hint="eastAsia" w:ascii="宋体" w:hAnsi="宋体" w:eastAsia="宋体" w:cs="宋体"/>
          <w:color w:val="auto"/>
          <w:kern w:val="0"/>
          <w:sz w:val="24"/>
          <w:szCs w:val="24"/>
          <w:highlight w:val="none"/>
        </w:rPr>
        <w:t>投标保证金</w:t>
      </w:r>
      <w:r>
        <w:rPr>
          <w:rFonts w:hint="eastAsia" w:ascii="宋体" w:hAnsi="宋体" w:eastAsia="宋体" w:cs="宋体"/>
          <w:color w:val="auto"/>
          <w:sz w:val="24"/>
          <w:szCs w:val="24"/>
          <w:highlight w:val="none"/>
        </w:rPr>
        <w:t>。</w:t>
      </w:r>
    </w:p>
    <w:p w14:paraId="000A635C">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有下列情形之一的，</w:t>
      </w:r>
      <w:r>
        <w:rPr>
          <w:rFonts w:hint="eastAsia" w:ascii="宋体" w:hAnsi="宋体" w:eastAsia="宋体" w:cs="宋体"/>
          <w:color w:val="auto"/>
          <w:kern w:val="0"/>
          <w:sz w:val="24"/>
          <w:szCs w:val="24"/>
          <w:highlight w:val="none"/>
        </w:rPr>
        <w:t>投标保证金</w:t>
      </w:r>
      <w:r>
        <w:rPr>
          <w:rFonts w:hint="eastAsia" w:ascii="宋体" w:hAnsi="宋体" w:eastAsia="宋体" w:cs="宋体"/>
          <w:color w:val="auto"/>
          <w:sz w:val="24"/>
          <w:szCs w:val="24"/>
          <w:highlight w:val="none"/>
        </w:rPr>
        <w:t>不予退还：(a)投标人在提交投标文件截止时间后撤销投标文件的；(b)投标人在投标文件中提供虚假材料的；(c)除因不可抗力或招标文件认可的情形以外，中标人不与采购人签订合同的；(d)中标人与采购人、其他投标人恶意串通的；(e)招标文件规定的其他情形。</w:t>
      </w:r>
    </w:p>
    <w:p w14:paraId="2F5EB7C0">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采购人因重大变故取消采购任务的，采购代理机构在财政部门指定的政府采购信息发布媒体上发布终止公告，并以书面形式通知已经获取招标文件的潜在投标人，对已经交纳投标保证金的，采购代理机构在终止公告发布后5个工作日内予以退还。</w:t>
      </w:r>
    </w:p>
    <w:p w14:paraId="26C71BE8">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投标有效期内投标人撤销投标文件的，采购代理机构不退还投标保证金。</w:t>
      </w:r>
    </w:p>
    <w:p w14:paraId="09068C0A">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8.5 投标报价</w:t>
      </w:r>
    </w:p>
    <w:p w14:paraId="6F6F0EE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5C35EC1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（2）投标人投报多包的，应对每包分别报价并分别填报开标一览表。</w:t>
      </w:r>
    </w:p>
    <w:p w14:paraId="37A9B29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（3）本次招标</w:t>
      </w:r>
      <w:r>
        <w:rPr>
          <w:rFonts w:hint="eastAsia" w:ascii="宋体" w:hAnsi="宋体" w:eastAsia="宋体" w:cs="宋体"/>
          <w:b/>
          <w:bCs/>
          <w:color w:val="auto"/>
          <w:kern w:val="0"/>
          <w:sz w:val="24"/>
          <w:szCs w:val="24"/>
          <w:highlight w:val="none"/>
        </w:rPr>
        <w:t>不接受</w:t>
      </w:r>
      <w:r>
        <w:rPr>
          <w:rFonts w:hint="eastAsia" w:ascii="宋体" w:hAnsi="宋体" w:eastAsia="宋体" w:cs="宋体"/>
          <w:color w:val="auto"/>
          <w:kern w:val="0"/>
          <w:sz w:val="24"/>
          <w:szCs w:val="24"/>
          <w:highlight w:val="none"/>
        </w:rPr>
        <w:t>可选择或可调整的投标和报价。</w:t>
      </w:r>
    </w:p>
    <w:p w14:paraId="654F1F2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（4）投标人要按投标货物数量、价格表的内容填写货物单价（包括货物报价、装箱、包装、包装物料、送货和保险费用）、总价及其他事项。</w:t>
      </w:r>
    </w:p>
    <w:p w14:paraId="6F31F79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（5）投标人对投标报价若有说明应在开标一览表显著处注明，只有开标时唱出的报价优惠承诺才会在评标时予以考虑。</w:t>
      </w:r>
    </w:p>
    <w:p w14:paraId="675C5DA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5A3CD92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对于有配件、耗材、选件、备件和特殊工具的货物，投标人可以视情况填报投标货物配件、耗材、选件、备件及特殊工具清单，注明品牌、型号、产地、功能、单价、批量折扣等内容，该表格式由投标人自行设计。</w:t>
      </w:r>
    </w:p>
    <w:p w14:paraId="1AEE972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b/>
          <w:color w:val="auto"/>
          <w:kern w:val="0"/>
          <w:sz w:val="24"/>
          <w:szCs w:val="24"/>
          <w:highlight w:val="none"/>
        </w:rPr>
        <w:t>采用综合评分法的，最低报价不能作为中标的保证。</w:t>
      </w:r>
    </w:p>
    <w:p w14:paraId="164CD15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（9）投标报价可以在保证质量的前提下合理低价，但低于成本价格的投标文件将被视为无效。</w:t>
      </w:r>
    </w:p>
    <w:p w14:paraId="3DC3BB3A">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8.6政府采购相关政策要求 （不涉及的内容可不响应）。</w:t>
      </w:r>
    </w:p>
    <w:p w14:paraId="16AC38F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8.6.1</w:t>
      </w:r>
      <w:r>
        <w:rPr>
          <w:rFonts w:hint="eastAsia" w:ascii="宋体" w:hAnsi="宋体" w:eastAsia="宋体" w:cs="宋体"/>
          <w:color w:val="auto"/>
          <w:sz w:val="24"/>
          <w:szCs w:val="24"/>
          <w:highlight w:val="none"/>
        </w:rPr>
        <w:t>本项目涉及进口产品的要求：</w:t>
      </w:r>
    </w:p>
    <w:p w14:paraId="48441F0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（1）本项目采购标的物未特别注明“进口产品”（通过中国海关报关验放进入中国境内且产自境外的产品）字样的，均必须采购国产产品。</w:t>
      </w:r>
    </w:p>
    <w:p w14:paraId="7355655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798A760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8.6.2</w:t>
      </w:r>
      <w:r>
        <w:rPr>
          <w:rFonts w:hint="eastAsia" w:ascii="宋体" w:hAnsi="宋体" w:eastAsia="宋体" w:cs="宋体"/>
          <w:color w:val="auto"/>
          <w:sz w:val="24"/>
          <w:szCs w:val="24"/>
          <w:highlight w:val="none"/>
        </w:rPr>
        <w:t>本项目涉及节能、环保产品政府采购政策：</w:t>
      </w:r>
    </w:p>
    <w:p w14:paraId="0010D2C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3FAB17D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（2）《节能产品政府采购品目清单》详见《关于印发节能产品政府采购品目清单的通知（财库[2019]19号）》（如遇调整，按最新清单执行）。</w:t>
      </w:r>
    </w:p>
    <w:p w14:paraId="1836AE1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（3）本次招标需落实《节能产品政府采购品目清单》中规定的属于国家强制性采购的，必须符合要求，并提供承诺书，未提供承诺书的，投标文件无效。</w:t>
      </w:r>
    </w:p>
    <w:p w14:paraId="02EA403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（4）《环境标志产品政府采购品目清单》详见《关于印发环境标志产品政府采购品目清单的通知（财库[2019]18号）》（如遇调整，按最新清单执行）。</w:t>
      </w:r>
    </w:p>
    <w:p w14:paraId="673D3EE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（5）本次招标属于《环境标志产品政府采购品目清单》范围，但不属于政府强制采购产品的，实施优先采购，并提供承诺书，未承诺书的，投标文件无效。</w:t>
      </w:r>
    </w:p>
    <w:p w14:paraId="7E0C369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D2E56E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（7）国家确定的认证机构以国家市场监管总局发布的参与实施政府采购节能产品、环境标志产品认证机构名录为准（如遇调整，请以最新公布的为准）。</w:t>
      </w:r>
    </w:p>
    <w:p w14:paraId="7D52ACB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8.6.3</w:t>
      </w:r>
      <w:r>
        <w:rPr>
          <w:rFonts w:hint="eastAsia" w:ascii="宋体" w:hAnsi="宋体" w:eastAsia="宋体" w:cs="宋体"/>
          <w:color w:val="auto"/>
          <w:sz w:val="24"/>
          <w:szCs w:val="24"/>
          <w:highlight w:val="none"/>
        </w:rPr>
        <w:t>商品包装和快递包装</w:t>
      </w:r>
    </w:p>
    <w:p w14:paraId="2C9551B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投标人需填写商品包装和快递包装承诺函，承诺商品包装符合《商品包装政府采购需求标准（试行）》，快递包装符合《快递包装政府采购需求标准（试行）》，未提供承诺书的，投标文件无效。</w:t>
      </w:r>
    </w:p>
    <w:p w14:paraId="66A1C5E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8.6.4</w:t>
      </w:r>
      <w:r>
        <w:rPr>
          <w:rFonts w:hint="eastAsia" w:ascii="宋体" w:hAnsi="宋体" w:eastAsia="宋体" w:cs="宋体"/>
          <w:color w:val="auto"/>
          <w:sz w:val="24"/>
          <w:szCs w:val="24"/>
          <w:highlight w:val="none"/>
        </w:rPr>
        <w:t>支持绿色建材促进建筑品质提升</w:t>
      </w:r>
    </w:p>
    <w:p w14:paraId="07DEEF4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1C36BF7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（2）投标人须落实绿色建材采购要求，鼓励投标人提供获得绿色建材评价标识、认证或者获得环境标志产品认证的绿色建材产品，满足《基本要求》的有关规定。</w:t>
      </w:r>
    </w:p>
    <w:p w14:paraId="517857C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8.6.5</w:t>
      </w:r>
      <w:r>
        <w:rPr>
          <w:rFonts w:hint="eastAsia" w:ascii="宋体" w:hAnsi="宋体" w:eastAsia="宋体" w:cs="宋体"/>
          <w:color w:val="auto"/>
          <w:sz w:val="24"/>
          <w:szCs w:val="24"/>
          <w:highlight w:val="none"/>
        </w:rPr>
        <w:t>《关于运用政府采购政策支持脱贫攻坚的通知》财库〔2019〕27号鼓励优先采购聘用建档立卡贫困人员物业公司提供的物业服务</w:t>
      </w:r>
    </w:p>
    <w:p w14:paraId="0177BA4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8.6.6</w:t>
      </w:r>
      <w:r>
        <w:rPr>
          <w:rFonts w:hint="eastAsia" w:ascii="宋体" w:hAnsi="宋体" w:eastAsia="宋体" w:cs="宋体"/>
          <w:color w:val="auto"/>
          <w:sz w:val="24"/>
          <w:szCs w:val="24"/>
          <w:highlight w:val="none"/>
        </w:rPr>
        <w:t>本项目涉及非政府强制采购产品的要求：</w:t>
      </w:r>
    </w:p>
    <w:p w14:paraId="7EEA0D5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（1）投报产品有“节能产品政府采购品目清单、环境标志产品政府采购品目清单”中非政府强制采购产品的将给予适当加分。</w:t>
      </w:r>
    </w:p>
    <w:p w14:paraId="318B318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（2）投标人须如实填写《非政府强制采购产品明细表》（格式自制），并提供处于有效期之内的节能产品、环境标志产品认证证书扫描件。</w:t>
      </w:r>
    </w:p>
    <w:p w14:paraId="4BEDAA9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8.6.7</w:t>
      </w:r>
      <w:r>
        <w:rPr>
          <w:rFonts w:hint="eastAsia" w:ascii="宋体" w:hAnsi="宋体" w:eastAsia="宋体" w:cs="宋体"/>
          <w:color w:val="auto"/>
          <w:sz w:val="24"/>
          <w:szCs w:val="24"/>
          <w:highlight w:val="none"/>
        </w:rPr>
        <w:t>本项目涉及正版软件的要求：</w:t>
      </w:r>
    </w:p>
    <w:p w14:paraId="56AFDC0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投标人需承诺投报的计算机产品预装正版操作系统，投报的硬件产品内的预装软件为正版软件。</w:t>
      </w:r>
    </w:p>
    <w:p w14:paraId="51BA8F4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8.6.8</w:t>
      </w:r>
      <w:r>
        <w:rPr>
          <w:rFonts w:hint="eastAsia" w:ascii="宋体" w:hAnsi="宋体" w:eastAsia="宋体" w:cs="宋体"/>
          <w:color w:val="auto"/>
          <w:sz w:val="24"/>
          <w:szCs w:val="24"/>
          <w:highlight w:val="none"/>
        </w:rPr>
        <w:t>本项目涉及信息安全产品的要求：</w:t>
      </w:r>
    </w:p>
    <w:p w14:paraId="4429AEE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5C5FAF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8.6.</w:t>
      </w: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 xml:space="preserve"> 小型和微型企业的评审要求。</w:t>
      </w:r>
    </w:p>
    <w:p w14:paraId="7E3DF12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329E1FB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（2）供应商提供的货物、工程或者服务符合下列情形的，享受中小企业扶持政策：</w:t>
      </w:r>
    </w:p>
    <w:p w14:paraId="42F17F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a.在货物采购项目中，货物由中小企业制造，即货物由中小企业生产且使用该中小企业商号或者注册商标；</w:t>
      </w:r>
    </w:p>
    <w:p w14:paraId="688944A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b.在工程采购项目中，工程由中小企业承建，即工程施工单位为中小企业；</w:t>
      </w:r>
    </w:p>
    <w:p w14:paraId="49F74FF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c.在服务采购项目中，服务由中小企业承接，即提供服务的人员为中小企业依照《中华人民共和国民法典》订立劳动合同的从业人员。</w:t>
      </w:r>
    </w:p>
    <w:p w14:paraId="12CF6E1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73268EF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4EEA346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6E5A9F0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相应的扣除。</w:t>
      </w:r>
    </w:p>
    <w:p w14:paraId="07C7D32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残疾人福利性单位参加本项目投标的要求：</w:t>
      </w:r>
    </w:p>
    <w:p w14:paraId="3642081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1）须根据财库【2017】141号《关于促进残疾人就业政府采购政策的通知》的要求，如实填写残疾人福利性单位声明函（格式见第八部分）。</w:t>
      </w:r>
    </w:p>
    <w:p w14:paraId="524BE33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2）投标人提供的《残疾人福利性单位声明函》与事实不符的，依照《政府采购法》第七十七条第一款的规定追究法律责任。</w:t>
      </w:r>
    </w:p>
    <w:p w14:paraId="6C80F66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6EBB165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本项目涉及创新产品、创新服务的要求：</w:t>
      </w:r>
    </w:p>
    <w:p w14:paraId="551CDB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1）投标人所报产品或服务属于《山西省创新产品和服务推荐清单》中创新产品或创新服务的，在评审时，享受所报产品或服务价格折扣。</w:t>
      </w:r>
    </w:p>
    <w:p w14:paraId="611A4F6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2）投标人所报创新产品或创新服务的，应在投标文件中提供《山西省创新产品和服务推荐清单》，并填写《创新产品或创新服务明细表》（格式见第八部分）。</w:t>
      </w:r>
    </w:p>
    <w:p w14:paraId="7BBD1B2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监狱企业参加本项目投标的要求：</w:t>
      </w:r>
    </w:p>
    <w:p w14:paraId="28F6352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1）监狱企业参加投标视同小微企业，需提供由省级以上监狱管理局或戒毒管理局出具的属于监狱企业的证明文件。</w:t>
      </w:r>
    </w:p>
    <w:p w14:paraId="165A0AE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07E907F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3）监狱企业与中型企业组成联合体参加投标的，或者向监狱企业分包，且联合体协议或分包意向协议约定监狱企业的协议金额占到合同金额30%以上的，享受价格折扣。</w:t>
      </w:r>
    </w:p>
    <w:p w14:paraId="285891B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实施本国产品标准及相关政策：</w:t>
      </w:r>
    </w:p>
    <w:p w14:paraId="3B1DCF7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9497441">
      <w:pPr>
        <w:keepNext/>
        <w:keepLines/>
        <w:pageBreakBefore w:val="0"/>
        <w:widowControl/>
        <w:wordWrap/>
        <w:overflowPunct/>
        <w:topLinePunct w:val="0"/>
        <w:bidi w:val="0"/>
        <w:spacing w:line="476"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val="en-US" w:eastAsia="zh-CN"/>
        </w:rPr>
        <w:t>8.6.5</w:t>
      </w:r>
      <w:r>
        <w:rPr>
          <w:rFonts w:hint="eastAsia" w:ascii="宋体" w:hAnsi="宋体" w:eastAsia="宋体" w:cs="宋体"/>
          <w:b w:val="0"/>
          <w:bCs/>
          <w:color w:val="auto"/>
          <w:kern w:val="0"/>
          <w:sz w:val="24"/>
          <w:szCs w:val="24"/>
          <w:highlight w:val="none"/>
          <w:lang w:eastAsia="zh-CN"/>
        </w:rPr>
        <w:t>政采智贷</w:t>
      </w:r>
    </w:p>
    <w:p w14:paraId="43E6872F">
      <w:pPr>
        <w:keepNext/>
        <w:keepLines/>
        <w:pageBreakBefore w:val="0"/>
        <w:widowControl/>
        <w:kinsoku w:val="0"/>
        <w:wordWrap/>
        <w:overflowPunct/>
        <w:topLinePunct w:val="0"/>
        <w:autoSpaceDE w:val="0"/>
        <w:autoSpaceDN w:val="0"/>
        <w:bidi w:val="0"/>
        <w:adjustRightInd w:val="0"/>
        <w:snapToGrid w:val="0"/>
        <w:spacing w:before="1" w:line="480" w:lineRule="exact"/>
        <w:ind w:left="7" w:firstLine="478"/>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62ED9265">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九、投标内容填写说明</w:t>
      </w:r>
    </w:p>
    <w:p w14:paraId="44BBCA5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28ED8B3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投标文件应按照招标文件</w:t>
      </w:r>
      <w:r>
        <w:rPr>
          <w:rFonts w:hint="eastAsia" w:ascii="宋体" w:hAnsi="宋体" w:eastAsia="宋体" w:cs="宋体"/>
          <w:b/>
          <w:color w:val="auto"/>
          <w:kern w:val="0"/>
          <w:sz w:val="24"/>
          <w:szCs w:val="24"/>
          <w:highlight w:val="none"/>
        </w:rPr>
        <w:t>第六部分</w:t>
      </w:r>
      <w:r>
        <w:rPr>
          <w:rFonts w:hint="eastAsia" w:ascii="宋体" w:hAnsi="宋体" w:eastAsia="宋体" w:cs="宋体"/>
          <w:color w:val="auto"/>
          <w:kern w:val="0"/>
          <w:sz w:val="24"/>
          <w:szCs w:val="24"/>
          <w:highlight w:val="none"/>
        </w:rPr>
        <w:t xml:space="preserve">的要求提交，并按规定的统一格式逐项填写，不准有空项；投标人可对表格格式及内容做适当调整，但不得有实质性变更。无相应内容可填的项应填写“无”、“未测试”、“没有相应指标”等明确的回答文字。   </w:t>
      </w:r>
    </w:p>
    <w:p w14:paraId="40D9B91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 开标一览表为在开标仪式上唱标的内容，要求按格式统一填写，不得自行增减内容。</w:t>
      </w:r>
    </w:p>
    <w:p w14:paraId="2055E75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 投标人必须保证投标文件所提供的全部资料真实可靠，并接受评标委员会对其中任何资料进一步审查的要求。</w:t>
      </w:r>
    </w:p>
    <w:p w14:paraId="06E9D3B2">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十、投标文件的有效期</w:t>
      </w:r>
    </w:p>
    <w:p w14:paraId="2F13E0CF">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10.1 本项目投标文件的有效期为90日历天。</w:t>
      </w:r>
      <w:r>
        <w:rPr>
          <w:rFonts w:hint="eastAsia" w:ascii="宋体" w:hAnsi="宋体" w:eastAsia="宋体" w:cs="宋体"/>
          <w:b/>
          <w:color w:val="auto"/>
          <w:kern w:val="0"/>
          <w:sz w:val="24"/>
          <w:szCs w:val="24"/>
          <w:highlight w:val="none"/>
        </w:rPr>
        <w:t>有效期短于该规定期限的投标将被拒绝。</w:t>
      </w:r>
    </w:p>
    <w:p w14:paraId="2446F79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57EACE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10.3</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投标有效期内投标人撤销投标文件的，采购人或者采购代理机构可以不退还投标保证金。</w:t>
      </w:r>
    </w:p>
    <w:p w14:paraId="0C9B1FE0">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十一、投标文件的签署及规定</w:t>
      </w:r>
    </w:p>
    <w:p w14:paraId="3B7BBA0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投标人在投标文件及相关文件的签订、履行、通知等事项的书面文件中的“单位盖章”、“印章”、“公章”等处均仅指与当事人名称全称相一致的标准公章</w:t>
      </w:r>
      <w:r>
        <w:rPr>
          <w:rFonts w:hint="eastAsia" w:ascii="宋体" w:hAnsi="宋体" w:eastAsia="宋体" w:cs="宋体"/>
          <w:b/>
          <w:color w:val="auto"/>
          <w:kern w:val="0"/>
          <w:sz w:val="24"/>
          <w:szCs w:val="24"/>
          <w:highlight w:val="none"/>
        </w:rPr>
        <w:t>。</w:t>
      </w:r>
    </w:p>
    <w:p w14:paraId="742CB6F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投标人应按照招标文件要求签署、盖章。投标文件正本无需逐页小签，副本允许是正本完整的复印件，与正本具有同等的法律效应。若正本和副本不一致，以正本为准。</w:t>
      </w:r>
    </w:p>
    <w:p w14:paraId="205E418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11.3 </w:t>
      </w:r>
      <w:r>
        <w:rPr>
          <w:rFonts w:hint="eastAsia" w:ascii="宋体" w:hAnsi="宋体" w:eastAsia="宋体" w:cs="宋体"/>
          <w:color w:val="auto"/>
          <w:sz w:val="24"/>
          <w:szCs w:val="24"/>
          <w:highlight w:val="none"/>
        </w:rPr>
        <w:t>投标人须注意：在本次投标文件的偏离表和其它偏离文件中，以审慎的态度明确、清楚地披露各项偏离。若投标人对某一事项是否存在或是否属于偏离不能确定，亦必须在偏离表中清楚地表明该偏离事项，并可以注明‘不能确定’的字样。对于投标人没有在偏离表中明确、清楚地披露的事项，包括可能属于被投标人在偏离表中遗漏的事项，评标委员会有权认定为其属于负偏离。</w:t>
      </w:r>
    </w:p>
    <w:p w14:paraId="54AA667D">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11.4 投标人应按本招标文件所要求的投标文件的份数提交投标文件。</w:t>
      </w:r>
    </w:p>
    <w:p w14:paraId="2A4780C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（1）投标人应保证投标文件副本与正本内容一致；</w:t>
      </w:r>
    </w:p>
    <w:p w14:paraId="213B33A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（2）投标人对本招标文件第六部分“投标文件格式”中提供格式的资料，应按照样表格式要求在指定位置加盖与</w:t>
      </w:r>
      <w:r>
        <w:rPr>
          <w:rFonts w:hint="eastAsia" w:ascii="宋体" w:hAnsi="宋体" w:eastAsia="宋体" w:cs="宋体"/>
          <w:b/>
          <w:color w:val="auto"/>
          <w:kern w:val="0"/>
          <w:sz w:val="24"/>
          <w:szCs w:val="24"/>
          <w:highlight w:val="none"/>
        </w:rPr>
        <w:t>投标人全称相一致的标准公章并经法定代表人或投标人代表签字，投标人仅可对表格格式和内容作细微调整，不允许实质性变更。</w:t>
      </w:r>
    </w:p>
    <w:p w14:paraId="74530065">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投标文件应字迹清楚、内容齐全、不得涂改或增删。如有修改和增删，必须有投标人公章及法定代表人或其授权的投标人代表签字。</w:t>
      </w:r>
    </w:p>
    <w:p w14:paraId="3E83FBB9">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 因投标文件字迹潦草或表达不清所引起的不利后果由投标人承担。</w:t>
      </w:r>
    </w:p>
    <w:p w14:paraId="5B07FF54">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十二、投标文件的密封及标记</w:t>
      </w:r>
    </w:p>
    <w:p w14:paraId="430ACB68">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12.1  响应文件的加密、修改、提交</w:t>
      </w:r>
    </w:p>
    <w:p w14:paraId="24D4FB5D">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12.1.1供应商应使用</w:t>
      </w:r>
      <w:r>
        <w:rPr>
          <w:rFonts w:hint="eastAsia" w:ascii="宋体" w:hAnsi="宋体" w:eastAsia="宋体" w:cs="宋体"/>
          <w:color w:val="auto"/>
          <w:highlight w:val="none"/>
        </w:rPr>
        <w:t>山西省政府采购网（http://www.ccgp-shanxi.gov.cn/home.html）</w:t>
      </w:r>
      <w:r>
        <w:rPr>
          <w:rFonts w:hint="eastAsia" w:ascii="宋体" w:hAnsi="宋体" w:eastAsia="宋体" w:cs="宋体"/>
          <w:color w:val="auto"/>
          <w:szCs w:val="22"/>
          <w:highlight w:val="none"/>
        </w:rPr>
        <w:t>提供的“投标文件编写工具” 软件，对电子投标文件进行加密，未按要求加密的电子投标文件，交易平台将拒收。</w:t>
      </w:r>
    </w:p>
    <w:p w14:paraId="21F67356">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12.1.2供应商应在投标截止时间前，登录</w:t>
      </w:r>
      <w:r>
        <w:rPr>
          <w:rFonts w:hint="eastAsia" w:ascii="宋体" w:hAnsi="宋体" w:eastAsia="宋体" w:cs="宋体"/>
          <w:color w:val="auto"/>
          <w:highlight w:val="none"/>
        </w:rPr>
        <w:t>山西省政府采购网（http://www.ccgp-shanxi.gov.cn/home.html）</w:t>
      </w:r>
      <w:r>
        <w:rPr>
          <w:rFonts w:hint="eastAsia" w:ascii="宋体" w:hAnsi="宋体" w:eastAsia="宋体" w:cs="宋体"/>
          <w:color w:val="auto"/>
          <w:szCs w:val="22"/>
          <w:highlight w:val="none"/>
        </w:rPr>
        <w:t>在线提交电子投标文件。投标截止时间之前允许供应商多次提交投标文件，每次提交将覆盖上一次提交的报价文件。供应商应对已上传的电子加密文件自行下载解密验证。</w:t>
      </w:r>
    </w:p>
    <w:p w14:paraId="64113455">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12.1.3供应商应当在投标截止时间前完成电子投标文件的传输递交，投标截止时间前未完成投标文件传输的，视为其撤回其投标文件。投标截止后传输的投标文件，交易平台将拒收。</w:t>
      </w:r>
    </w:p>
    <w:p w14:paraId="576AC61D">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十三、投标截止时间</w:t>
      </w:r>
    </w:p>
    <w:p w14:paraId="7F87182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13.1投标文件须按照招标文件规定的投标时间、地点提交，原则上投标截止时间即为开标时间。投标文件逾期递交的，</w:t>
      </w:r>
      <w:r>
        <w:rPr>
          <w:rFonts w:hint="eastAsia" w:ascii="宋体" w:hAnsi="宋体" w:eastAsia="宋体" w:cs="宋体"/>
          <w:b/>
          <w:color w:val="auto"/>
          <w:kern w:val="0"/>
          <w:sz w:val="24"/>
          <w:szCs w:val="24"/>
          <w:highlight w:val="none"/>
        </w:rPr>
        <w:t>采购代理机构（或采购人)拒绝接收</w:t>
      </w:r>
      <w:r>
        <w:rPr>
          <w:rFonts w:hint="eastAsia" w:ascii="宋体" w:hAnsi="宋体" w:eastAsia="宋体" w:cs="宋体"/>
          <w:color w:val="auto"/>
          <w:kern w:val="0"/>
          <w:sz w:val="24"/>
          <w:szCs w:val="24"/>
          <w:highlight w:val="none"/>
        </w:rPr>
        <w:t>。</w:t>
      </w:r>
    </w:p>
    <w:p w14:paraId="27380B51">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采购人通过修改招标文件或自行决定延长投标截止日期的，采购人和投标人受投标截止日期制约的所有权利和义务均延长至新的截止日期。</w:t>
      </w:r>
    </w:p>
    <w:p w14:paraId="5E30CFEC">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十四、投标文件的补充、修改和撤回</w:t>
      </w:r>
    </w:p>
    <w:p w14:paraId="1F6153D3">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4.1 在</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截止时间之前，报价人可以修改已上传的</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文件。但应当对修改后</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文件重新加密和上传。新上传的</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文件将自动覆盖原</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w:t>
      </w:r>
    </w:p>
    <w:p w14:paraId="2A664BF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4.2 在</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截止时间前，报价人可以撤回已上传的</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w:t>
      </w:r>
    </w:p>
    <w:p w14:paraId="5F99A26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在</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文件提交截止时间之后，</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人不得修改和撤回</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w:t>
      </w:r>
    </w:p>
    <w:p w14:paraId="51006A63">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十五、开标及其有关事项</w:t>
      </w:r>
    </w:p>
    <w:p w14:paraId="36892F6E">
      <w:pPr>
        <w:keepNext/>
        <w:keepLines/>
        <w:pageBreakBefore w:val="0"/>
        <w:widowControl/>
        <w:wordWrap/>
        <w:overflowPunct/>
        <w:topLinePunct w:val="0"/>
        <w:bidi w:val="0"/>
        <w:spacing w:before="217" w:line="329" w:lineRule="auto"/>
        <w:ind w:left="10"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投标</w:t>
      </w:r>
      <w:r>
        <w:rPr>
          <w:rFonts w:hint="eastAsia" w:ascii="宋体" w:hAnsi="宋体" w:eastAsia="宋体" w:cs="宋体"/>
          <w:color w:val="auto"/>
          <w:spacing w:val="-4"/>
          <w:sz w:val="24"/>
          <w:szCs w:val="24"/>
          <w:highlight w:val="none"/>
        </w:rPr>
        <w:t>人应按照</w:t>
      </w:r>
      <w:r>
        <w:rPr>
          <w:rFonts w:hint="eastAsia" w:ascii="宋体" w:hAnsi="宋体" w:eastAsia="宋体" w:cs="宋体"/>
          <w:color w:val="auto"/>
          <w:spacing w:val="-4"/>
          <w:sz w:val="24"/>
          <w:szCs w:val="24"/>
          <w:highlight w:val="none"/>
          <w:lang w:eastAsia="zh-CN"/>
        </w:rPr>
        <w:t>招标</w:t>
      </w:r>
      <w:r>
        <w:rPr>
          <w:rFonts w:hint="eastAsia" w:ascii="宋体" w:hAnsi="宋体" w:eastAsia="宋体" w:cs="宋体"/>
          <w:color w:val="auto"/>
          <w:spacing w:val="-4"/>
          <w:sz w:val="24"/>
          <w:szCs w:val="24"/>
          <w:highlight w:val="none"/>
        </w:rPr>
        <w:t>文件要求，“</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4"/>
          <w:sz w:val="24"/>
          <w:szCs w:val="24"/>
          <w:highlight w:val="none"/>
        </w:rPr>
        <w:t>电子签章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”指编制响应文件时所使用的山西</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4"/>
          <w:sz w:val="24"/>
          <w:szCs w:val="24"/>
          <w:highlight w:val="none"/>
        </w:rPr>
        <w:t>CA</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数字证书的电子签章，电子签章包含磋商人电子公章、法定代表人电子签章和经授权的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本项目的项目负责人电子签章。</w:t>
      </w:r>
    </w:p>
    <w:p w14:paraId="7D620CAF">
      <w:pPr>
        <w:keepNext/>
        <w:keepLines/>
        <w:pageBreakBefore w:val="0"/>
        <w:widowControl/>
        <w:wordWrap/>
        <w:overflowPunct/>
        <w:topLinePunct w:val="0"/>
        <w:bidi w:val="0"/>
        <w:spacing w:before="219" w:line="329" w:lineRule="auto"/>
        <w:ind w:left="10" w:firstLine="48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6"/>
          <w:sz w:val="24"/>
          <w:szCs w:val="24"/>
          <w:highlight w:val="none"/>
        </w:rPr>
        <w:t>开标时间起</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6"/>
          <w:sz w:val="24"/>
          <w:szCs w:val="24"/>
          <w:highlight w:val="none"/>
        </w:rPr>
        <w:t>30</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6"/>
          <w:sz w:val="24"/>
          <w:szCs w:val="24"/>
          <w:highlight w:val="none"/>
        </w:rPr>
        <w:t>分钟内报价人可登陆“</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6"/>
          <w:sz w:val="24"/>
          <w:szCs w:val="24"/>
          <w:highlight w:val="none"/>
        </w:rPr>
        <w:t>山西政府采购平台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”，在“项目采购开评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”模块对响应文件进行在线解密。若在规定时间</w:t>
      </w:r>
      <w:r>
        <w:rPr>
          <w:rFonts w:hint="eastAsia" w:ascii="宋体" w:hAnsi="宋体" w:eastAsia="宋体" w:cs="宋体"/>
          <w:color w:val="auto"/>
          <w:spacing w:val="-3"/>
          <w:sz w:val="24"/>
          <w:szCs w:val="24"/>
          <w:highlight w:val="none"/>
        </w:rPr>
        <w:t>内响应文件无法解密或解密失败，则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投标无效。</w:t>
      </w:r>
    </w:p>
    <w:p w14:paraId="39FEE815">
      <w:pPr>
        <w:keepNext/>
        <w:keepLines/>
        <w:pageBreakBefore w:val="0"/>
        <w:widowControl/>
        <w:wordWrap/>
        <w:overflowPunct/>
        <w:topLinePunct w:val="0"/>
        <w:bidi w:val="0"/>
        <w:spacing w:before="215" w:line="219" w:lineRule="auto"/>
        <w:ind w:left="11"/>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6"/>
          <w:sz w:val="24"/>
          <w:szCs w:val="24"/>
          <w:highlight w:val="none"/>
          <w:lang w:val="en-US" w:eastAsia="zh-CN"/>
        </w:rPr>
        <w:t>15.3</w:t>
      </w:r>
      <w:r>
        <w:rPr>
          <w:rFonts w:hint="eastAsia" w:ascii="宋体" w:hAnsi="宋体" w:eastAsia="宋体" w:cs="宋体"/>
          <w:b w:val="0"/>
          <w:bCs w:val="0"/>
          <w:color w:val="auto"/>
          <w:spacing w:val="-6"/>
          <w:sz w:val="24"/>
          <w:szCs w:val="24"/>
          <w:highlight w:val="none"/>
        </w:rPr>
        <w:t>公布程序</w:t>
      </w:r>
    </w:p>
    <w:p w14:paraId="64567CE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主持人按下列程序进行公布：</w:t>
      </w:r>
    </w:p>
    <w:p w14:paraId="0EBBEDE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（1）报价人进行电子签到；</w:t>
      </w:r>
    </w:p>
    <w:p w14:paraId="37E0B1B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（2）参会人员进行签到；</w:t>
      </w:r>
    </w:p>
    <w:p w14:paraId="36E48E2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（3）宣读会场纪律；</w:t>
      </w:r>
    </w:p>
    <w:p w14:paraId="2D11C5E2">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（4）宣布开标人、唱标人、记录人、监标人等有关人员姓名；</w:t>
      </w:r>
    </w:p>
    <w:p w14:paraId="69D808DD">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（5）报价人解密响应文件；</w:t>
      </w:r>
    </w:p>
    <w:p w14:paraId="55C748F8">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（6）报价人确认自己的报价；</w:t>
      </w:r>
    </w:p>
    <w:p w14:paraId="1238927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（7）抽取专家并录入专家信息、设置专家权限,专家进行电子签到；</w:t>
      </w:r>
    </w:p>
    <w:p w14:paraId="3774D30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（8）开始评标。</w:t>
      </w:r>
    </w:p>
    <w:p w14:paraId="2D4058C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15.4 </w:t>
      </w:r>
      <w:r>
        <w:rPr>
          <w:rFonts w:hint="eastAsia" w:ascii="宋体" w:hAnsi="宋体" w:eastAsia="宋体" w:cs="宋体"/>
          <w:color w:val="auto"/>
          <w:kern w:val="0"/>
          <w:sz w:val="24"/>
          <w:szCs w:val="24"/>
          <w:highlight w:val="none"/>
        </w:rPr>
        <w:t>响应文件有效性</w:t>
      </w:r>
    </w:p>
    <w:p w14:paraId="4E5CA398">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15.4.1</w:t>
      </w:r>
      <w:r>
        <w:rPr>
          <w:rFonts w:hint="eastAsia" w:ascii="宋体" w:hAnsi="宋体" w:eastAsia="宋体" w:cs="宋体"/>
          <w:color w:val="auto"/>
          <w:kern w:val="0"/>
          <w:sz w:val="24"/>
          <w:szCs w:val="24"/>
          <w:highlight w:val="none"/>
        </w:rPr>
        <w:t xml:space="preserve"> 磋商时，有下列情形之一的，响应文件无效，不得进入评标：</w:t>
      </w:r>
    </w:p>
    <w:p w14:paraId="34AA1C0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（1）响应文件未按照采购操作规范加密的或不能成功解密的；</w:t>
      </w:r>
    </w:p>
    <w:p w14:paraId="39136BD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（2）响应文件有关内容未按操作规范进行电子签章的；</w:t>
      </w:r>
    </w:p>
    <w:p w14:paraId="4B1E8DD5">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十六、组建评标委员会</w:t>
      </w:r>
    </w:p>
    <w:p w14:paraId="3538D02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采购人或采购代理机构根据有关法律法规和本招标文件的规定，结合本招标项目的特点组建评标委员会，对具备实质性响应的投标文件进行评估和比较。评标委员会由采购人代表和评审专家组成，人数为</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人及以上单数，其中评审专家不得少于成员总数的三分之二。</w:t>
      </w:r>
    </w:p>
    <w:p w14:paraId="5E84766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采购人或采购代理机构就招标文件征询过意见的专家,不得作为评标专家参加评标，采购代理机构工作人员不得参加评标，采购人代表参与评标时须持有采购人授权函，其他人不得参与评标。</w:t>
      </w:r>
    </w:p>
    <w:p w14:paraId="2C68B6D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评标中因评标委员会成员缺席、回避或者健康等特殊原因导致评标不能继续的，采购人或者采购代理机构应当依法补足后继续评标。被更换的评标委员会成员所作出的评标意见无效。</w:t>
      </w:r>
    </w:p>
    <w:p w14:paraId="39F4508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0CEF81D">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十七、投标文件审查</w:t>
      </w:r>
    </w:p>
    <w:p w14:paraId="3AEB4E4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开标后，采购人或采购代理机构对投标人投标文件进行资格性审查，以确定参加投标的投标人是否具备投标资格。审查后合格投标人不足3家的，不得评标。</w:t>
      </w:r>
    </w:p>
    <w:p w14:paraId="7A965C7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评标委员会负责对符合资格的投标人的投标文件（商务技术文件）进行符合性审查和商务、技术部分的评标事务。符合性审查是指依据招标文件的规定，从商务和技术角度对投标文件的有效性和完整性进行审查，以确定是否对招标文件的实质性要求做出响应。</w:t>
      </w:r>
    </w:p>
    <w:p w14:paraId="435C3E41">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 审核时，要审核每份投标文件是否实质上响应了招标文件的要求：</w:t>
      </w:r>
    </w:p>
    <w:p w14:paraId="625CAB8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（1）实质上响应的投标是指与招标文件的主要条款、条件和规格相符，没有重大偏离。</w:t>
      </w:r>
    </w:p>
    <w:p w14:paraId="481A9A7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重大偏离</w:t>
      </w:r>
      <w:r>
        <w:rPr>
          <w:rFonts w:hint="eastAsia" w:ascii="宋体" w:hAnsi="宋体" w:eastAsia="宋体" w:cs="宋体"/>
          <w:color w:val="auto"/>
          <w:kern w:val="0"/>
          <w:sz w:val="24"/>
          <w:szCs w:val="24"/>
          <w:highlight w:val="none"/>
        </w:rPr>
        <w:t>（主要技术、商务要求）系指投标货物的质量、数量等明显不能满足招标文件的要求，或者实质上与招标文件不一致，而且限制了采购人的权利或其他投标人的义务，纠正这些偏离将对其他实质上响应要求的投标人的竞争地位产生不公正的影响。重大偏离不允许在开标后修正。</w:t>
      </w:r>
    </w:p>
    <w:p w14:paraId="073D1C2E">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（3）如果投标文件实质上没有响应招标文件的要求，</w:t>
      </w:r>
      <w:r>
        <w:rPr>
          <w:rFonts w:hint="eastAsia" w:ascii="宋体" w:hAnsi="宋体" w:eastAsia="宋体" w:cs="宋体"/>
          <w:b/>
          <w:color w:val="auto"/>
          <w:kern w:val="0"/>
          <w:sz w:val="24"/>
          <w:szCs w:val="24"/>
          <w:highlight w:val="none"/>
        </w:rPr>
        <w:t>将被视为无效投标，</w:t>
      </w:r>
      <w:r>
        <w:rPr>
          <w:rFonts w:hint="eastAsia" w:ascii="宋体" w:hAnsi="宋体" w:eastAsia="宋体" w:cs="宋体"/>
          <w:color w:val="auto"/>
          <w:kern w:val="0"/>
          <w:sz w:val="24"/>
          <w:szCs w:val="24"/>
          <w:highlight w:val="none"/>
        </w:rPr>
        <w:t>投标人不得再对投标文件进行任何修正从而使其投标成为实质上响应的投标。</w:t>
      </w:r>
    </w:p>
    <w:p w14:paraId="7817D64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（4）投标文件的</w:t>
      </w:r>
      <w:r>
        <w:rPr>
          <w:rFonts w:hint="eastAsia" w:ascii="宋体" w:hAnsi="宋体" w:eastAsia="宋体" w:cs="宋体"/>
          <w:color w:val="auto"/>
          <w:kern w:val="0"/>
          <w:sz w:val="24"/>
          <w:szCs w:val="24"/>
          <w:highlight w:val="none"/>
          <w:u w:val="single"/>
        </w:rPr>
        <w:t>细微偏差</w:t>
      </w:r>
      <w:r>
        <w:rPr>
          <w:rFonts w:hint="eastAsia" w:ascii="宋体" w:hAnsi="宋体" w:eastAsia="宋体" w:cs="宋体"/>
          <w:color w:val="auto"/>
          <w:kern w:val="0"/>
          <w:sz w:val="24"/>
          <w:szCs w:val="24"/>
          <w:highlight w:val="none"/>
        </w:rPr>
        <w:t>（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AF4CAB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17.4 审核中，对明显的文字和计算错误按下述原则处理：</w:t>
      </w:r>
    </w:p>
    <w:p w14:paraId="57271A9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（1）开标一览表内容与投标文件中相应内容不一致的,以开标一览表为准。</w:t>
      </w:r>
    </w:p>
    <w:p w14:paraId="2967636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（2）如果以文字表示的数据与数字表示的有差别，以文字表示的为准。如果大小写金额不一致的，以大写金额为准。</w:t>
      </w:r>
    </w:p>
    <w:p w14:paraId="5493C40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（3）单价金额小数点或百分比有明显错误的，以开标报价一览表的总价为准，并修改单价；</w:t>
      </w:r>
    </w:p>
    <w:p w14:paraId="21F4564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（4）总价金额与按单价汇总金额不一致的，以单价金额计算结果为准； </w:t>
      </w:r>
    </w:p>
    <w:p w14:paraId="2551908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评标委员会将要求投标人按上述原则以书面形式调整确认，投标人确认后的报价对投标人具有约束力，如果投标人不予确认，</w:t>
      </w:r>
      <w:r>
        <w:rPr>
          <w:rFonts w:hint="eastAsia" w:ascii="宋体" w:hAnsi="宋体" w:eastAsia="宋体" w:cs="宋体"/>
          <w:b/>
          <w:color w:val="auto"/>
          <w:kern w:val="0"/>
          <w:sz w:val="24"/>
          <w:szCs w:val="24"/>
          <w:highlight w:val="none"/>
        </w:rPr>
        <w:t>其投标无效。</w:t>
      </w:r>
    </w:p>
    <w:p w14:paraId="6093DF30">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17.5 在评标过程中发现投标人有下列情形的，评标委员会应认定其投标无效，并书面报告本级财政部门： </w:t>
      </w:r>
    </w:p>
    <w:p w14:paraId="6DEF4CF9">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A、有恶意串通的；</w:t>
      </w:r>
    </w:p>
    <w:p w14:paraId="37432E24">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B、有妨碍其他投标人的竞争行为的；</w:t>
      </w:r>
    </w:p>
    <w:p w14:paraId="3F7F7CC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C、有损害采购人或者其他投标人的合法权益的。</w:t>
      </w:r>
    </w:p>
    <w:p w14:paraId="0FB9BD91">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17.6 投标人有下列情形之一的，视为串通投标，其投标无效：</w:t>
      </w:r>
    </w:p>
    <w:p w14:paraId="4883DA9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A、不同投标人的投标文件由同一单位或者个人编制；</w:t>
      </w:r>
    </w:p>
    <w:p w14:paraId="27FE332E">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B、不同投标人委托同一单位或者个人办理投标事宜；</w:t>
      </w:r>
    </w:p>
    <w:p w14:paraId="65AEC23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C、不同投标人的投标文件载明的项目管理成员或者联系人为同一人；</w:t>
      </w:r>
    </w:p>
    <w:p w14:paraId="5753DBF7">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D、不同投标人的投标文件异常一致或者投标报价呈规律性差异；</w:t>
      </w:r>
    </w:p>
    <w:p w14:paraId="7EAAE15A">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E、不同投标人的投标文件相互混装；</w:t>
      </w:r>
    </w:p>
    <w:p w14:paraId="2F61F8C5">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F、不同投标人的投标保证金从同一单位或者个人的账户转出；</w:t>
      </w:r>
    </w:p>
    <w:p w14:paraId="009F28A8">
      <w:pPr>
        <w:keepNext/>
        <w:keepLines/>
        <w:pageBreakBefore w:val="0"/>
        <w:widowControl/>
        <w:shd w:val="clear" w:color="auto" w:fill="FFFFFF"/>
        <w:wordWrap/>
        <w:overflowPunct/>
        <w:topLinePunct w:val="0"/>
        <w:bidi w:val="0"/>
        <w:spacing w:line="46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J、不同投标人的单位负责人为同一人或者存在直接控股、管理关系。</w:t>
      </w:r>
    </w:p>
    <w:p w14:paraId="1D0198EF">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17.7  如果多个投标人所投核心产品全部为同一品牌的按下述原则处理：</w:t>
      </w:r>
    </w:p>
    <w:p w14:paraId="0C6A524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3ED16AD5">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04E1E9F6">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C、非单一产品采购项目，投标产品未注明“非核心产品”字样的，均视为核心产品。多家投标人提供的核心产品品牌完全相同的，按前两款规定处理。  </w:t>
      </w:r>
    </w:p>
    <w:p w14:paraId="02D76FC1">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十八、投标的澄清</w:t>
      </w:r>
    </w:p>
    <w:p w14:paraId="2A8B605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评标委员会有权要求投标人对投标文件中含义不明确、对同类问题表述不一致或者有明显文字和计算错误等内容作必要的澄清、说明或者补正。该要求应当采用书面形式,并由评标委员会专家共同签字。</w:t>
      </w:r>
    </w:p>
    <w:p w14:paraId="0207DB1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1447C23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如评标委员会成员一致认为某个投标人的报价明显不合理或明显低于其他投标人的报价，有降低服务质量、不能诚信履行的可能时，有权决定是否要求该投标人在评标现场合理的时间内提供书面说明，必要时提供相关证明材料；该投标人在规定时间内未做出解释、作出的解释不合理，不能证明其报价合理性的，评标委员会有权拒绝该响应。</w:t>
      </w:r>
    </w:p>
    <w:p w14:paraId="11547E1F">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十九、详细评审</w:t>
      </w:r>
    </w:p>
    <w:p w14:paraId="0CB1ABA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19.1 评标委员会只对通过符合性审查的投标文件进行评价和比较；评审应严格按照招标文件的要求和条件进行；具体评审原则、方法和中标条件详见招标文件</w:t>
      </w:r>
      <w:r>
        <w:rPr>
          <w:rFonts w:hint="eastAsia" w:ascii="宋体" w:hAnsi="宋体" w:eastAsia="宋体" w:cs="宋体"/>
          <w:b/>
          <w:color w:val="auto"/>
          <w:kern w:val="0"/>
          <w:sz w:val="24"/>
          <w:szCs w:val="24"/>
          <w:highlight w:val="none"/>
        </w:rPr>
        <w:t>第三部分“评标标准和评标办法”。</w:t>
      </w:r>
    </w:p>
    <w:p w14:paraId="0E21170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评标委员会对须要共同认定的事项存在争议的，应当按照少数服从多数的原则做出结论。持不同意见的评委应当在评标报告上签署不同意见及理由，否则视为同意评标报告。</w:t>
      </w:r>
    </w:p>
    <w:p w14:paraId="6169393A">
      <w:pPr>
        <w:pStyle w:val="29"/>
        <w:keepNext/>
        <w:keepLines/>
        <w:pageBreakBefore w:val="0"/>
        <w:widowControl/>
        <w:shd w:val="clear" w:color="auto" w:fill="FFFFFF"/>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采购人或采购代理机构应对评审数据进行校对、核对。除下列情形外，任何人不得修改评标结果：</w:t>
      </w:r>
    </w:p>
    <w:p w14:paraId="3AF40271">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A、分值汇总计算错误的；</w:t>
      </w:r>
    </w:p>
    <w:p w14:paraId="7D719213">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B、分项评分超出评分标准范围的；</w:t>
      </w:r>
    </w:p>
    <w:p w14:paraId="6B28A4EF">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C、评标委员会成员对客观评审因素评分不一致的；</w:t>
      </w:r>
    </w:p>
    <w:p w14:paraId="08F166C2">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D、经评标委员会认定评分畸高、畸低的；</w:t>
      </w:r>
    </w:p>
    <w:p w14:paraId="5073CCE4">
      <w:pPr>
        <w:pStyle w:val="29"/>
        <w:keepNext/>
        <w:keepLines/>
        <w:pageBreakBefore w:val="0"/>
        <w:widowControl/>
        <w:shd w:val="clear" w:color="auto" w:fill="FFFFFF"/>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评标报告签署前，经复核发现存在19.3的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69FA7A0F">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二十、</w:t>
      </w:r>
      <w:r>
        <w:rPr>
          <w:rFonts w:hint="eastAsia" w:ascii="宋体" w:hAnsi="宋体" w:eastAsia="宋体" w:cs="宋体"/>
          <w:b/>
          <w:color w:val="auto"/>
          <w:sz w:val="24"/>
          <w:szCs w:val="24"/>
          <w:highlight w:val="none"/>
          <w:lang w:val="en-US" w:eastAsia="zh-CN"/>
        </w:rPr>
        <w:t>确定成交</w:t>
      </w:r>
      <w:r>
        <w:rPr>
          <w:rFonts w:hint="eastAsia" w:ascii="宋体" w:hAnsi="宋体" w:eastAsia="宋体" w:cs="宋体"/>
          <w:b/>
          <w:color w:val="auto"/>
          <w:sz w:val="24"/>
          <w:szCs w:val="24"/>
          <w:highlight w:val="none"/>
        </w:rPr>
        <w:t>供应商</w:t>
      </w:r>
    </w:p>
    <w:p w14:paraId="20BECB71">
      <w:pPr>
        <w:pStyle w:val="29"/>
        <w:keepNext/>
        <w:keepLines/>
        <w:pageBreakBefore w:val="0"/>
        <w:widowControl/>
        <w:wordWrap/>
        <w:overflowPunct/>
        <w:topLinePunct w:val="0"/>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en-US" w:eastAsia="zh-CN"/>
        </w:rPr>
        <w:t>20.1</w:t>
      </w:r>
      <w:r>
        <w:rPr>
          <w:rFonts w:hint="eastAsia" w:ascii="宋体" w:hAnsi="宋体" w:eastAsia="宋体" w:cs="宋体"/>
          <w:bCs/>
          <w:color w:val="auto"/>
          <w:sz w:val="24"/>
          <w:szCs w:val="24"/>
          <w:highlight w:val="none"/>
        </w:rPr>
        <w:t>经</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确定最终采购需求和提交最后报价的供应商后，由</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小组采用综合评分法对提交最后报价的供应商的响应文件和最后报价进行综合评分，按照评审得分由高到低的顺序确定排名第一的成交候选人为成交人，成交候选人的</w:t>
      </w:r>
      <w:r>
        <w:rPr>
          <w:rFonts w:hint="eastAsia" w:ascii="宋体" w:hAnsi="宋体" w:eastAsia="宋体" w:cs="宋体"/>
          <w:bCs/>
          <w:color w:val="auto"/>
          <w:sz w:val="24"/>
          <w:szCs w:val="24"/>
          <w:highlight w:val="none"/>
          <w:lang w:eastAsia="zh-CN"/>
        </w:rPr>
        <w:t>最终</w:t>
      </w:r>
      <w:r>
        <w:rPr>
          <w:rFonts w:hint="eastAsia" w:ascii="宋体" w:hAnsi="宋体" w:eastAsia="宋体" w:cs="宋体"/>
          <w:bCs/>
          <w:color w:val="auto"/>
          <w:sz w:val="24"/>
          <w:szCs w:val="24"/>
          <w:highlight w:val="none"/>
        </w:rPr>
        <w:t>报价即为成交价。</w:t>
      </w:r>
    </w:p>
    <w:p w14:paraId="7AAABF2F">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二十一、评标过程保密</w:t>
      </w:r>
    </w:p>
    <w:p w14:paraId="39311DA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开标之后，直到授予中标人合同止，凡是属于审查、澄清、评价和比较投标的有关资料以及授标意向等，均不得向投标人或其他与评标无关的人员透露。</w:t>
      </w:r>
    </w:p>
    <w:p w14:paraId="539C751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在评标期间，投标人企图影响采购代理机构或评标委员会的任何活动，将导致投标被拒绝，并由其承担相应的法律责任。</w:t>
      </w:r>
    </w:p>
    <w:p w14:paraId="571E4489">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评标结束后，参与评标的所有人员不得带走评标现场的任何资料。</w:t>
      </w:r>
    </w:p>
    <w:p w14:paraId="79F2C8CD">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二十二、关于投标人非实质性响应滞后发现的处理规则</w:t>
      </w:r>
    </w:p>
    <w:p w14:paraId="30054EB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eastAsia="宋体" w:cs="宋体"/>
          <w:b/>
          <w:color w:val="auto"/>
          <w:kern w:val="0"/>
          <w:sz w:val="24"/>
          <w:szCs w:val="24"/>
          <w:highlight w:val="none"/>
        </w:rPr>
        <w:t>采购人或采购代理机构均有权决定取消该投标人的此前评议结果，或决定对该投标予以拒绝，并有权采取相应的补救及纠正措施。</w:t>
      </w:r>
    </w:p>
    <w:p w14:paraId="2D28CD73">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二十三、采购项目中止及废标情形</w:t>
      </w:r>
    </w:p>
    <w:p w14:paraId="50712098">
      <w:pPr>
        <w:keepNext/>
        <w:keepLines/>
        <w:pageBreakBefore w:val="0"/>
        <w:widowControl/>
        <w:shd w:val="clear" w:color="auto" w:fill="FFFFFF"/>
        <w:tabs>
          <w:tab w:val="left" w:pos="567"/>
        </w:tabs>
        <w:wordWrap/>
        <w:overflowPunct/>
        <w:topLinePunct w:val="0"/>
        <w:bidi w:val="0"/>
        <w:spacing w:line="460" w:lineRule="exact"/>
        <w:ind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除因重大变故采购任务取消情况外，任何人均不得擅自终止招标活动。终止招标的，采购代理机构须及时在原公告发布媒体上发布终止公告，并于5个工作日内，退还所收取的招标文件费用和所收取的投标保证金及其在银行产生的孳息。</w:t>
      </w:r>
    </w:p>
    <w:p w14:paraId="4EF69F13">
      <w:pPr>
        <w:keepNext/>
        <w:keepLines/>
        <w:pageBreakBefore w:val="0"/>
        <w:widowControl/>
        <w:shd w:val="clear" w:color="auto" w:fill="FFFFFF"/>
        <w:tabs>
          <w:tab w:val="left" w:pos="567"/>
        </w:tabs>
        <w:wordWrap/>
        <w:overflowPunct/>
        <w:topLinePunct w:val="0"/>
        <w:bidi w:val="0"/>
        <w:spacing w:line="460" w:lineRule="exact"/>
        <w:ind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在评标过程中，评标委员会发现有下列情形之一的，应对采购项目予以废标：</w:t>
      </w:r>
    </w:p>
    <w:p w14:paraId="107A0310">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（1）符合专业条件的投标人或者对招标文件作实质响应的投标人数量不足 3家的；</w:t>
      </w:r>
    </w:p>
    <w:p w14:paraId="598D984D">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（2）投标人的报价均超过了采购预算，采购人不能支付的；</w:t>
      </w:r>
    </w:p>
    <w:p w14:paraId="4E73F1DD">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（3）出现影响采购公正的违法、违规行为的；</w:t>
      </w:r>
    </w:p>
    <w:p w14:paraId="59F2C48D">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（4）因重大变故，采购任务取消的。</w:t>
      </w:r>
    </w:p>
    <w:p w14:paraId="5EA986FC">
      <w:pPr>
        <w:keepNext/>
        <w:keepLines/>
        <w:pageBreakBefore w:val="0"/>
        <w:widowControl/>
        <w:shd w:val="clear" w:color="auto" w:fill="FFFFFF"/>
        <w:wordWrap/>
        <w:overflowPunct/>
        <w:topLinePunct w:val="0"/>
        <w:bidi w:val="0"/>
        <w:spacing w:line="460" w:lineRule="exact"/>
        <w:ind w:left="609" w:leftChars="267" w:hanging="48" w:hangingChars="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 采购项目废标后，评标委员会应做出书面报告。</w:t>
      </w:r>
    </w:p>
    <w:p w14:paraId="4BEE6483">
      <w:pPr>
        <w:keepNext/>
        <w:keepLines/>
        <w:pageBreakBefore w:val="0"/>
        <w:widowControl/>
        <w:shd w:val="clear" w:color="auto" w:fill="FFFFFF"/>
        <w:wordWrap/>
        <w:overflowPunct/>
        <w:topLinePunct w:val="0"/>
        <w:bidi w:val="0"/>
        <w:spacing w:line="460" w:lineRule="exact"/>
        <w:ind w:left="609" w:leftChars="267" w:hanging="48" w:hangingChars="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废标后，采购代理机构应当将废标原因通知所有投标人，并依法重新</w:t>
      </w:r>
    </w:p>
    <w:p w14:paraId="05F6E3FE">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组织采购活动。</w:t>
      </w:r>
    </w:p>
    <w:p w14:paraId="2C02FF2C">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二十四、中标通知</w:t>
      </w:r>
    </w:p>
    <w:p w14:paraId="72917805">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中标人确定后, 采购人或采购代理机构将在省级以上财政部门指定的媒体上发布中标结果，并以书面形式向中标人发出中标通知书，并告知未通过资格审查的投标人其未通过的原因。</w:t>
      </w:r>
    </w:p>
    <w:p w14:paraId="57944E9C">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中标通知书对采购人和中标人具有同等法律效力。中标通知书发出以后，采购人改变中标结果或者中标人放弃中标，应当承担相应的法律责任。</w:t>
      </w:r>
    </w:p>
    <w:p w14:paraId="7B240197">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除法律法规规定告知的内容以外，采购代理机构不作其他事项的解释。</w:t>
      </w:r>
    </w:p>
    <w:p w14:paraId="32C1069C">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二十五、代理服务费</w:t>
      </w:r>
      <w:bookmarkStart w:id="13" w:name="_Toc489430981"/>
    </w:p>
    <w:p w14:paraId="49855B29">
      <w:pPr>
        <w:keepNext/>
        <w:keepLines/>
        <w:pageBreakBefore w:val="0"/>
        <w:widowControl/>
        <w:shd w:val="clear" w:color="auto" w:fill="FFFFFF"/>
        <w:wordWrap/>
        <w:overflowPunct/>
        <w:topLinePunct w:val="0"/>
        <w:bidi w:val="0"/>
        <w:spacing w:line="460" w:lineRule="exact"/>
        <w:ind w:firstLine="480" w:firstLineChars="200"/>
        <w:outlineLvl w:val="0"/>
        <w:rPr>
          <w:rFonts w:hint="eastAsia" w:ascii="宋体" w:hAnsi="宋体" w:eastAsia="宋体" w:cs="宋体"/>
          <w:color w:val="auto"/>
          <w:sz w:val="24"/>
          <w:szCs w:val="24"/>
          <w:highlight w:val="none"/>
        </w:rPr>
      </w:pPr>
      <w:bookmarkStart w:id="14" w:name="_Toc64566189"/>
      <w:bookmarkStart w:id="15" w:name="_Toc12121"/>
      <w:r>
        <w:rPr>
          <w:rFonts w:hint="eastAsia" w:ascii="宋体" w:hAnsi="宋体" w:eastAsia="宋体" w:cs="宋体"/>
          <w:color w:val="auto"/>
          <w:sz w:val="24"/>
          <w:szCs w:val="24"/>
          <w:highlight w:val="none"/>
        </w:rPr>
        <w:t>25.1中</w:t>
      </w:r>
      <w:bookmarkStart w:id="16" w:name="_Toc421891904"/>
      <w:bookmarkStart w:id="17" w:name="_Toc421891963"/>
      <w:r>
        <w:rPr>
          <w:rFonts w:hint="eastAsia" w:ascii="宋体" w:hAnsi="宋体" w:eastAsia="宋体" w:cs="宋体"/>
          <w:color w:val="auto"/>
          <w:sz w:val="24"/>
          <w:szCs w:val="24"/>
          <w:highlight w:val="none"/>
        </w:rPr>
        <w:t>标人在接受“中标通知书”一周内应向采购代理机构缴纳代理服务费。</w:t>
      </w:r>
      <w:bookmarkEnd w:id="14"/>
      <w:bookmarkEnd w:id="15"/>
    </w:p>
    <w:p w14:paraId="4E339D03">
      <w:pPr>
        <w:keepNext/>
        <w:keepLines/>
        <w:pageBreakBefore w:val="0"/>
        <w:widowControl/>
        <w:shd w:val="clear" w:color="auto" w:fill="FFFFFF"/>
        <w:wordWrap/>
        <w:overflowPunct/>
        <w:topLinePunct w:val="0"/>
        <w:bidi w:val="0"/>
        <w:spacing w:line="460" w:lineRule="exact"/>
        <w:ind w:firstLine="480" w:firstLineChars="200"/>
        <w:outlineLvl w:val="0"/>
        <w:rPr>
          <w:rFonts w:hint="eastAsia" w:ascii="宋体" w:hAnsi="宋体" w:eastAsia="宋体" w:cs="宋体"/>
          <w:color w:val="auto"/>
          <w:sz w:val="24"/>
          <w:szCs w:val="24"/>
          <w:highlight w:val="none"/>
        </w:rPr>
      </w:pPr>
      <w:bookmarkStart w:id="18" w:name="_Toc64566190"/>
      <w:bookmarkStart w:id="19" w:name="_Toc12890"/>
      <w:r>
        <w:rPr>
          <w:rFonts w:hint="eastAsia" w:ascii="宋体" w:hAnsi="宋体" w:eastAsia="宋体" w:cs="宋体"/>
          <w:color w:val="auto"/>
          <w:sz w:val="24"/>
          <w:szCs w:val="24"/>
          <w:highlight w:val="none"/>
        </w:rPr>
        <w:t>25.2根据国家发改委第31号令《关于废止部分规章和规范性文件的决定》，原国家发改委计价格[2002]1980号”文件废止，代理服务费按照采购代理机构的收费标准收取。</w:t>
      </w:r>
      <w:bookmarkEnd w:id="18"/>
      <w:bookmarkEnd w:id="19"/>
    </w:p>
    <w:bookmarkEnd w:id="13"/>
    <w:p w14:paraId="361F714A">
      <w:pPr>
        <w:keepNext/>
        <w:keepLines/>
        <w:pageBreakBefore w:val="0"/>
        <w:widowControl/>
        <w:shd w:val="clear" w:color="auto" w:fill="FFFFFF"/>
        <w:wordWrap/>
        <w:overflowPunct/>
        <w:topLinePunct w:val="0"/>
        <w:bidi w:val="0"/>
        <w:spacing w:line="460" w:lineRule="exact"/>
        <w:ind w:firstLine="480" w:firstLineChars="200"/>
        <w:outlineLvl w:val="0"/>
        <w:rPr>
          <w:rFonts w:hint="eastAsia" w:ascii="宋体" w:hAnsi="宋体" w:eastAsia="宋体" w:cs="宋体"/>
          <w:bCs/>
          <w:color w:val="auto"/>
          <w:sz w:val="24"/>
          <w:szCs w:val="24"/>
          <w:highlight w:val="none"/>
        </w:rPr>
      </w:pPr>
      <w:bookmarkStart w:id="20" w:name="_Toc64566191"/>
      <w:bookmarkStart w:id="21" w:name="_Toc1404"/>
      <w:r>
        <w:rPr>
          <w:rFonts w:hint="eastAsia" w:ascii="宋体" w:hAnsi="宋体" w:eastAsia="宋体" w:cs="宋体"/>
          <w:bCs/>
          <w:color w:val="auto"/>
          <w:sz w:val="24"/>
          <w:szCs w:val="24"/>
          <w:highlight w:val="none"/>
        </w:rPr>
        <w:t>25.3代理服务费收取具体标准如下：</w:t>
      </w:r>
      <w:bookmarkEnd w:id="20"/>
      <w:bookmarkEnd w:id="21"/>
    </w:p>
    <w:bookmarkEnd w:id="16"/>
    <w:bookmarkEnd w:id="17"/>
    <w:p w14:paraId="042D8964">
      <w:pPr>
        <w:keepNext/>
        <w:keepLines/>
        <w:pageBreakBefore w:val="0"/>
        <w:widowControl/>
        <w:shd w:val="clear" w:color="auto" w:fill="FFFFFF"/>
        <w:wordWrap/>
        <w:overflowPunct/>
        <w:topLinePunct w:val="0"/>
        <w:bidi w:val="0"/>
        <w:spacing w:after="120" w:afterLines="50" w:line="460" w:lineRule="exact"/>
        <w:ind w:firstLine="480" w:firstLineChars="200"/>
        <w:outlineLvl w:val="0"/>
        <w:rPr>
          <w:rFonts w:hint="eastAsia" w:ascii="宋体" w:hAnsi="宋体" w:eastAsia="宋体" w:cs="宋体"/>
          <w:color w:val="auto"/>
          <w:sz w:val="24"/>
          <w:szCs w:val="24"/>
          <w:highlight w:val="none"/>
        </w:rPr>
      </w:pPr>
      <w:bookmarkStart w:id="22" w:name="_Toc64566192"/>
      <w:bookmarkStart w:id="23" w:name="_Toc10008"/>
      <w:bookmarkStart w:id="24" w:name="_Toc421891975"/>
      <w:bookmarkStart w:id="25" w:name="_Toc421891916"/>
      <w:r>
        <w:rPr>
          <w:rFonts w:hint="eastAsia" w:ascii="宋体" w:hAnsi="宋体" w:eastAsia="宋体" w:cs="宋体"/>
          <w:color w:val="auto"/>
          <w:sz w:val="24"/>
          <w:szCs w:val="24"/>
          <w:highlight w:val="none"/>
        </w:rPr>
        <w:t>中标人在接受“中标通知书”一周内应向采购代理机构缴纳代理服务费。服务费金额参照国家发改委“计价格[2002]1980号”文件规定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收取。具体标准如下：</w:t>
      </w:r>
      <w:bookmarkEnd w:id="22"/>
      <w:bookmarkEnd w:id="23"/>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BBD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61DF2F6C">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26" w:name="_Toc8946"/>
            <w:bookmarkStart w:id="27" w:name="_Toc64566193"/>
            <w:bookmarkStart w:id="28" w:name="_Toc489430982"/>
            <w:bookmarkStart w:id="29" w:name="_Toc421891964"/>
            <w:bookmarkStart w:id="30" w:name="_Toc421891905"/>
            <w:bookmarkStart w:id="31" w:name="_Toc489430992"/>
            <w:r>
              <w:rPr>
                <w:rFonts w:hint="eastAsia" w:ascii="宋体" w:hAnsi="宋体" w:eastAsia="宋体" w:cs="宋体"/>
                <w:color w:val="auto"/>
                <w:sz w:val="24"/>
                <w:szCs w:val="24"/>
                <w:highlight w:val="none"/>
              </w:rPr>
              <w:t>成交金额(万元)</w:t>
            </w:r>
            <w:bookmarkEnd w:id="26"/>
            <w:bookmarkEnd w:id="27"/>
            <w:bookmarkEnd w:id="28"/>
          </w:p>
        </w:tc>
        <w:tc>
          <w:tcPr>
            <w:tcW w:w="1667" w:type="pct"/>
            <w:noWrap w:val="0"/>
            <w:vAlign w:val="center"/>
          </w:tcPr>
          <w:p w14:paraId="6343CBC4">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32" w:name="_Toc489430983"/>
            <w:bookmarkStart w:id="33" w:name="_Toc14410"/>
            <w:bookmarkStart w:id="34" w:name="_Toc64566194"/>
            <w:r>
              <w:rPr>
                <w:rFonts w:hint="eastAsia" w:ascii="宋体" w:hAnsi="宋体" w:eastAsia="宋体" w:cs="宋体"/>
                <w:color w:val="auto"/>
                <w:sz w:val="24"/>
                <w:szCs w:val="24"/>
                <w:highlight w:val="none"/>
              </w:rPr>
              <w:t>货</w:t>
            </w:r>
            <w:bookmarkStart w:id="35" w:name="_Toc421891965"/>
            <w:bookmarkStart w:id="36" w:name="_Toc421891906"/>
            <w:r>
              <w:rPr>
                <w:rFonts w:hint="eastAsia" w:ascii="宋体" w:hAnsi="宋体" w:eastAsia="宋体" w:cs="宋体"/>
                <w:color w:val="auto"/>
                <w:sz w:val="24"/>
                <w:szCs w:val="24"/>
                <w:highlight w:val="none"/>
              </w:rPr>
              <w:t>物</w:t>
            </w:r>
            <w:bookmarkEnd w:id="32"/>
            <w:r>
              <w:rPr>
                <w:rFonts w:hint="eastAsia" w:ascii="宋体" w:hAnsi="宋体" w:eastAsia="宋体" w:cs="宋体"/>
                <w:color w:val="auto"/>
                <w:sz w:val="24"/>
                <w:szCs w:val="24"/>
                <w:highlight w:val="none"/>
              </w:rPr>
              <w:t>项目</w:t>
            </w:r>
            <w:bookmarkEnd w:id="33"/>
            <w:bookmarkEnd w:id="34"/>
          </w:p>
          <w:bookmarkEnd w:id="35"/>
          <w:bookmarkEnd w:id="36"/>
        </w:tc>
        <w:tc>
          <w:tcPr>
            <w:tcW w:w="1667" w:type="pct"/>
            <w:noWrap w:val="0"/>
            <w:vAlign w:val="top"/>
          </w:tcPr>
          <w:p w14:paraId="3BAB4CE2">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37" w:name="_Toc64566195"/>
            <w:bookmarkStart w:id="38" w:name="_Toc7360"/>
            <w:r>
              <w:rPr>
                <w:rFonts w:hint="eastAsia" w:ascii="宋体" w:hAnsi="宋体" w:eastAsia="宋体" w:cs="宋体"/>
                <w:color w:val="auto"/>
                <w:sz w:val="24"/>
                <w:szCs w:val="24"/>
                <w:highlight w:val="none"/>
              </w:rPr>
              <w:t>服务项目</w:t>
            </w:r>
            <w:bookmarkEnd w:id="37"/>
            <w:bookmarkEnd w:id="38"/>
          </w:p>
          <w:bookmarkEnd w:id="29"/>
          <w:bookmarkEnd w:id="30"/>
        </w:tc>
      </w:tr>
      <w:tr w14:paraId="7589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7AA3D9EF">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39" w:name="_Toc64566196"/>
            <w:bookmarkStart w:id="40" w:name="_Toc1108"/>
            <w:bookmarkStart w:id="41" w:name="_Toc421891966"/>
            <w:bookmarkStart w:id="42" w:name="_Toc421891907"/>
            <w:r>
              <w:rPr>
                <w:rFonts w:hint="eastAsia" w:ascii="宋体" w:hAnsi="宋体" w:eastAsia="宋体" w:cs="宋体"/>
                <w:color w:val="auto"/>
                <w:sz w:val="24"/>
                <w:szCs w:val="24"/>
                <w:highlight w:val="none"/>
              </w:rPr>
              <w:t>0-100</w:t>
            </w:r>
            <w:bookmarkEnd w:id="39"/>
            <w:bookmarkEnd w:id="40"/>
          </w:p>
        </w:tc>
        <w:tc>
          <w:tcPr>
            <w:tcW w:w="1667" w:type="pct"/>
            <w:noWrap w:val="0"/>
            <w:vAlign w:val="center"/>
          </w:tcPr>
          <w:p w14:paraId="4B5DF5CC">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43" w:name="_Toc489430985"/>
            <w:bookmarkStart w:id="44" w:name="_Toc64566197"/>
            <w:bookmarkStart w:id="45" w:name="_Toc18276"/>
            <w:r>
              <w:rPr>
                <w:rFonts w:hint="eastAsia" w:ascii="宋体" w:hAnsi="宋体" w:eastAsia="宋体" w:cs="宋体"/>
                <w:color w:val="auto"/>
                <w:sz w:val="24"/>
                <w:szCs w:val="24"/>
                <w:highlight w:val="none"/>
              </w:rPr>
              <w:t>1</w:t>
            </w:r>
            <w:bookmarkStart w:id="46" w:name="_Toc421891967"/>
            <w:bookmarkStart w:id="47" w:name="_Toc421891908"/>
            <w:r>
              <w:rPr>
                <w:rFonts w:hint="eastAsia" w:ascii="宋体" w:hAnsi="宋体" w:eastAsia="宋体" w:cs="宋体"/>
                <w:color w:val="auto"/>
                <w:sz w:val="24"/>
                <w:szCs w:val="24"/>
                <w:highlight w:val="none"/>
              </w:rPr>
              <w:t>.5%</w:t>
            </w:r>
            <w:bookmarkEnd w:id="43"/>
            <w:bookmarkEnd w:id="44"/>
            <w:bookmarkEnd w:id="45"/>
          </w:p>
          <w:bookmarkEnd w:id="46"/>
          <w:bookmarkEnd w:id="47"/>
        </w:tc>
        <w:tc>
          <w:tcPr>
            <w:tcW w:w="1667" w:type="pct"/>
            <w:noWrap w:val="0"/>
            <w:vAlign w:val="top"/>
          </w:tcPr>
          <w:p w14:paraId="18B9F3D7">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48" w:name="_Toc9917"/>
            <w:bookmarkStart w:id="49" w:name="_Toc64566198"/>
            <w:r>
              <w:rPr>
                <w:rFonts w:hint="eastAsia" w:ascii="宋体" w:hAnsi="宋体" w:eastAsia="宋体" w:cs="宋体"/>
                <w:color w:val="auto"/>
                <w:sz w:val="24"/>
                <w:szCs w:val="24"/>
                <w:highlight w:val="none"/>
              </w:rPr>
              <w:t>1.5%</w:t>
            </w:r>
            <w:bookmarkEnd w:id="48"/>
            <w:bookmarkEnd w:id="49"/>
          </w:p>
          <w:bookmarkEnd w:id="41"/>
          <w:bookmarkEnd w:id="42"/>
        </w:tc>
      </w:tr>
      <w:tr w14:paraId="04B3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53CD4D41">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50" w:name="_Toc64566199"/>
            <w:bookmarkStart w:id="51" w:name="_Toc3396"/>
            <w:bookmarkStart w:id="52" w:name="_Toc489430986"/>
            <w:r>
              <w:rPr>
                <w:rFonts w:hint="eastAsia" w:ascii="宋体" w:hAnsi="宋体" w:eastAsia="宋体" w:cs="宋体"/>
                <w:color w:val="auto"/>
                <w:sz w:val="24"/>
                <w:szCs w:val="24"/>
                <w:highlight w:val="none"/>
              </w:rPr>
              <w:t>1</w:t>
            </w:r>
            <w:bookmarkStart w:id="53" w:name="_Toc421891909"/>
            <w:bookmarkStart w:id="54" w:name="_Toc421891968"/>
            <w:r>
              <w:rPr>
                <w:rFonts w:hint="eastAsia" w:ascii="宋体" w:hAnsi="宋体" w:eastAsia="宋体" w:cs="宋体"/>
                <w:color w:val="auto"/>
                <w:sz w:val="24"/>
                <w:szCs w:val="24"/>
                <w:highlight w:val="none"/>
              </w:rPr>
              <w:t>00-500</w:t>
            </w:r>
            <w:bookmarkEnd w:id="50"/>
            <w:bookmarkEnd w:id="51"/>
            <w:bookmarkEnd w:id="52"/>
          </w:p>
        </w:tc>
        <w:tc>
          <w:tcPr>
            <w:tcW w:w="1667" w:type="pct"/>
            <w:noWrap w:val="0"/>
            <w:vAlign w:val="center"/>
          </w:tcPr>
          <w:p w14:paraId="665099EA">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55" w:name="_Toc64566200"/>
            <w:bookmarkStart w:id="56" w:name="_Toc4457"/>
            <w:bookmarkStart w:id="57" w:name="_Toc489430987"/>
            <w:r>
              <w:rPr>
                <w:rFonts w:hint="eastAsia" w:ascii="宋体" w:hAnsi="宋体" w:eastAsia="宋体" w:cs="宋体"/>
                <w:color w:val="auto"/>
                <w:sz w:val="24"/>
                <w:szCs w:val="24"/>
                <w:highlight w:val="none"/>
              </w:rPr>
              <w:t>1</w:t>
            </w:r>
            <w:bookmarkStart w:id="58" w:name="_Toc421891969"/>
            <w:bookmarkStart w:id="59" w:name="_Toc421891910"/>
            <w:r>
              <w:rPr>
                <w:rFonts w:hint="eastAsia" w:ascii="宋体" w:hAnsi="宋体" w:eastAsia="宋体" w:cs="宋体"/>
                <w:color w:val="auto"/>
                <w:sz w:val="24"/>
                <w:szCs w:val="24"/>
                <w:highlight w:val="none"/>
              </w:rPr>
              <w:t>.1%</w:t>
            </w:r>
            <w:bookmarkEnd w:id="55"/>
            <w:bookmarkEnd w:id="56"/>
            <w:bookmarkEnd w:id="57"/>
          </w:p>
          <w:bookmarkEnd w:id="58"/>
          <w:bookmarkEnd w:id="59"/>
        </w:tc>
        <w:tc>
          <w:tcPr>
            <w:tcW w:w="1667" w:type="pct"/>
            <w:noWrap w:val="0"/>
            <w:vAlign w:val="top"/>
          </w:tcPr>
          <w:p w14:paraId="4FF14B3D">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60" w:name="_Toc64566201"/>
            <w:bookmarkStart w:id="61" w:name="_Toc19841"/>
            <w:r>
              <w:rPr>
                <w:rFonts w:hint="eastAsia" w:ascii="宋体" w:hAnsi="宋体" w:eastAsia="宋体" w:cs="宋体"/>
                <w:color w:val="auto"/>
                <w:sz w:val="24"/>
                <w:szCs w:val="24"/>
                <w:highlight w:val="none"/>
              </w:rPr>
              <w:t>0.8%</w:t>
            </w:r>
            <w:bookmarkEnd w:id="60"/>
            <w:bookmarkEnd w:id="61"/>
          </w:p>
          <w:bookmarkEnd w:id="53"/>
          <w:bookmarkEnd w:id="54"/>
        </w:tc>
      </w:tr>
      <w:tr w14:paraId="40D7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4199318F">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62" w:name="_Toc489430988"/>
            <w:bookmarkStart w:id="63" w:name="_Toc64566202"/>
            <w:bookmarkStart w:id="64" w:name="_Toc12434"/>
            <w:r>
              <w:rPr>
                <w:rFonts w:hint="eastAsia" w:ascii="宋体" w:hAnsi="宋体" w:eastAsia="宋体" w:cs="宋体"/>
                <w:color w:val="auto"/>
                <w:sz w:val="24"/>
                <w:szCs w:val="24"/>
                <w:highlight w:val="none"/>
              </w:rPr>
              <w:t>5</w:t>
            </w:r>
            <w:bookmarkStart w:id="65" w:name="_Toc421891911"/>
            <w:bookmarkStart w:id="66" w:name="_Toc421891970"/>
            <w:r>
              <w:rPr>
                <w:rFonts w:hint="eastAsia" w:ascii="宋体" w:hAnsi="宋体" w:eastAsia="宋体" w:cs="宋体"/>
                <w:color w:val="auto"/>
                <w:sz w:val="24"/>
                <w:szCs w:val="24"/>
                <w:highlight w:val="none"/>
              </w:rPr>
              <w:t>00-1000</w:t>
            </w:r>
            <w:bookmarkEnd w:id="62"/>
            <w:bookmarkEnd w:id="63"/>
            <w:bookmarkEnd w:id="64"/>
          </w:p>
        </w:tc>
        <w:tc>
          <w:tcPr>
            <w:tcW w:w="1667" w:type="pct"/>
            <w:noWrap w:val="0"/>
            <w:vAlign w:val="center"/>
          </w:tcPr>
          <w:p w14:paraId="5EBA0985">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67" w:name="_Toc64566203"/>
            <w:bookmarkStart w:id="68" w:name="_Toc11906"/>
            <w:bookmarkStart w:id="69" w:name="_Toc489430989"/>
            <w:r>
              <w:rPr>
                <w:rFonts w:hint="eastAsia" w:ascii="宋体" w:hAnsi="宋体" w:eastAsia="宋体" w:cs="宋体"/>
                <w:color w:val="auto"/>
                <w:sz w:val="24"/>
                <w:szCs w:val="24"/>
                <w:highlight w:val="none"/>
              </w:rPr>
              <w:t>0</w:t>
            </w:r>
            <w:bookmarkStart w:id="70" w:name="_Toc421891912"/>
            <w:bookmarkStart w:id="71" w:name="_Toc421891971"/>
            <w:r>
              <w:rPr>
                <w:rFonts w:hint="eastAsia" w:ascii="宋体" w:hAnsi="宋体" w:eastAsia="宋体" w:cs="宋体"/>
                <w:color w:val="auto"/>
                <w:sz w:val="24"/>
                <w:szCs w:val="24"/>
                <w:highlight w:val="none"/>
              </w:rPr>
              <w:t>.8%</w:t>
            </w:r>
            <w:bookmarkEnd w:id="67"/>
            <w:bookmarkEnd w:id="68"/>
            <w:bookmarkEnd w:id="69"/>
          </w:p>
          <w:bookmarkEnd w:id="70"/>
          <w:bookmarkEnd w:id="71"/>
        </w:tc>
        <w:tc>
          <w:tcPr>
            <w:tcW w:w="1667" w:type="pct"/>
            <w:noWrap w:val="0"/>
            <w:vAlign w:val="top"/>
          </w:tcPr>
          <w:p w14:paraId="79E463E3">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72" w:name="_Toc14266"/>
            <w:bookmarkStart w:id="73" w:name="_Toc64566204"/>
            <w:r>
              <w:rPr>
                <w:rFonts w:hint="eastAsia" w:ascii="宋体" w:hAnsi="宋体" w:eastAsia="宋体" w:cs="宋体"/>
                <w:color w:val="auto"/>
                <w:sz w:val="24"/>
                <w:szCs w:val="24"/>
                <w:highlight w:val="none"/>
              </w:rPr>
              <w:t>0.45%</w:t>
            </w:r>
            <w:bookmarkEnd w:id="72"/>
            <w:bookmarkEnd w:id="73"/>
          </w:p>
          <w:bookmarkEnd w:id="65"/>
          <w:bookmarkEnd w:id="66"/>
        </w:tc>
      </w:tr>
      <w:tr w14:paraId="7CC4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3A030B40">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74" w:name="_Toc64566205"/>
            <w:bookmarkStart w:id="75" w:name="_Toc489430990"/>
            <w:bookmarkStart w:id="76" w:name="_Toc27056"/>
            <w:r>
              <w:rPr>
                <w:rFonts w:hint="eastAsia" w:ascii="宋体" w:hAnsi="宋体" w:eastAsia="宋体" w:cs="宋体"/>
                <w:color w:val="auto"/>
                <w:sz w:val="24"/>
                <w:szCs w:val="24"/>
                <w:highlight w:val="none"/>
              </w:rPr>
              <w:t>1</w:t>
            </w:r>
            <w:bookmarkStart w:id="77" w:name="_Toc421891972"/>
            <w:bookmarkStart w:id="78" w:name="_Toc421891913"/>
            <w:r>
              <w:rPr>
                <w:rFonts w:hint="eastAsia" w:ascii="宋体" w:hAnsi="宋体" w:eastAsia="宋体" w:cs="宋体"/>
                <w:color w:val="auto"/>
                <w:sz w:val="24"/>
                <w:szCs w:val="24"/>
                <w:highlight w:val="none"/>
              </w:rPr>
              <w:t>000-5000</w:t>
            </w:r>
            <w:bookmarkEnd w:id="74"/>
            <w:bookmarkEnd w:id="75"/>
            <w:bookmarkEnd w:id="76"/>
          </w:p>
        </w:tc>
        <w:tc>
          <w:tcPr>
            <w:tcW w:w="1667" w:type="pct"/>
            <w:noWrap w:val="0"/>
            <w:vAlign w:val="center"/>
          </w:tcPr>
          <w:p w14:paraId="5C44C564">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79" w:name="_Toc64566206"/>
            <w:bookmarkStart w:id="80" w:name="_Toc9954"/>
            <w:bookmarkStart w:id="81" w:name="_Toc489430991"/>
            <w:r>
              <w:rPr>
                <w:rFonts w:hint="eastAsia" w:ascii="宋体" w:hAnsi="宋体" w:eastAsia="宋体" w:cs="宋体"/>
                <w:color w:val="auto"/>
                <w:sz w:val="24"/>
                <w:szCs w:val="24"/>
                <w:highlight w:val="none"/>
              </w:rPr>
              <w:t>0</w:t>
            </w:r>
            <w:bookmarkStart w:id="82" w:name="_Toc421891914"/>
            <w:bookmarkStart w:id="83" w:name="_Toc421891973"/>
            <w:r>
              <w:rPr>
                <w:rFonts w:hint="eastAsia" w:ascii="宋体" w:hAnsi="宋体" w:eastAsia="宋体" w:cs="宋体"/>
                <w:color w:val="auto"/>
                <w:sz w:val="24"/>
                <w:szCs w:val="24"/>
                <w:highlight w:val="none"/>
              </w:rPr>
              <w:t>.5%</w:t>
            </w:r>
            <w:bookmarkEnd w:id="79"/>
            <w:bookmarkEnd w:id="80"/>
            <w:bookmarkEnd w:id="81"/>
          </w:p>
          <w:bookmarkEnd w:id="82"/>
          <w:bookmarkEnd w:id="83"/>
        </w:tc>
        <w:tc>
          <w:tcPr>
            <w:tcW w:w="1667" w:type="pct"/>
            <w:noWrap w:val="0"/>
            <w:vAlign w:val="top"/>
          </w:tcPr>
          <w:p w14:paraId="63E4A9E4">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84" w:name="_Toc571"/>
            <w:bookmarkStart w:id="85" w:name="_Toc64566207"/>
            <w:r>
              <w:rPr>
                <w:rFonts w:hint="eastAsia" w:ascii="宋体" w:hAnsi="宋体" w:eastAsia="宋体" w:cs="宋体"/>
                <w:color w:val="auto"/>
                <w:sz w:val="24"/>
                <w:szCs w:val="24"/>
                <w:highlight w:val="none"/>
              </w:rPr>
              <w:t>0.25%</w:t>
            </w:r>
            <w:bookmarkEnd w:id="84"/>
            <w:bookmarkEnd w:id="85"/>
          </w:p>
          <w:bookmarkEnd w:id="77"/>
          <w:bookmarkEnd w:id="78"/>
        </w:tc>
      </w:tr>
    </w:tbl>
    <w:p w14:paraId="7A0AA5D1">
      <w:pPr>
        <w:keepNext/>
        <w:keepLines/>
        <w:pageBreakBefore w:val="0"/>
        <w:widowControl/>
        <w:shd w:val="clear" w:color="auto" w:fill="FFFFFF"/>
        <w:wordWrap/>
        <w:overflowPunct/>
        <w:topLinePunct w:val="0"/>
        <w:bidi w:val="0"/>
        <w:spacing w:before="120" w:beforeLines="50" w:line="460" w:lineRule="exact"/>
        <w:ind w:firstLine="480" w:firstLineChars="200"/>
        <w:outlineLvl w:val="0"/>
        <w:rPr>
          <w:rFonts w:hint="eastAsia" w:ascii="宋体" w:hAnsi="宋体" w:eastAsia="宋体" w:cs="宋体"/>
          <w:b/>
          <w:color w:val="auto"/>
          <w:kern w:val="0"/>
          <w:sz w:val="24"/>
          <w:szCs w:val="24"/>
          <w:highlight w:val="none"/>
        </w:rPr>
      </w:pPr>
      <w:bookmarkStart w:id="86" w:name="_Toc64566208"/>
      <w:bookmarkStart w:id="87" w:name="_Toc21200"/>
      <w:r>
        <w:rPr>
          <w:rFonts w:hint="eastAsia" w:ascii="宋体" w:hAnsi="宋体" w:eastAsia="宋体" w:cs="宋体"/>
          <w:bCs/>
          <w:color w:val="auto"/>
          <w:sz w:val="24"/>
          <w:szCs w:val="24"/>
          <w:highlight w:val="none"/>
        </w:rPr>
        <w:t>注</w:t>
      </w:r>
      <w:bookmarkStart w:id="88" w:name="_Toc421891915"/>
      <w:bookmarkStart w:id="89" w:name="_Toc421891974"/>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代理</w:t>
      </w:r>
      <w:r>
        <w:rPr>
          <w:rFonts w:hint="eastAsia" w:ascii="宋体" w:hAnsi="宋体" w:eastAsia="宋体" w:cs="宋体"/>
          <w:bCs/>
          <w:color w:val="auto"/>
          <w:sz w:val="24"/>
          <w:szCs w:val="24"/>
          <w:highlight w:val="none"/>
        </w:rPr>
        <w:t>服务收费按差额定率累进法计算。</w:t>
      </w:r>
      <w:bookmarkEnd w:id="24"/>
      <w:bookmarkEnd w:id="25"/>
      <w:bookmarkEnd w:id="31"/>
      <w:bookmarkEnd w:id="86"/>
      <w:bookmarkEnd w:id="87"/>
      <w:bookmarkEnd w:id="88"/>
      <w:bookmarkEnd w:id="89"/>
    </w:p>
    <w:p w14:paraId="101D7824">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二十六、签订合同</w:t>
      </w:r>
    </w:p>
    <w:p w14:paraId="085D5EF9">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26.1采购人应当自中标通知书发出之日起30日内，按照招标文件和中标人投标文件的规定，与中标人签订书面合同。</w:t>
      </w:r>
    </w:p>
    <w:p w14:paraId="0974B7E3">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 中标人应按照招标文件、投标文件及评标过程中的有关澄清、说明或者补正文件的内容与采购人签订合同。中标人不得再与采购人签订背离合同实质性内容的其它协议或声明。</w:t>
      </w:r>
    </w:p>
    <w:p w14:paraId="555531AA">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 在合同履行中，采购人如需追加与合同标的相同的货物，在不改变合同其他条款的前提下，中标人可与采购人协商签订补充合同，但所有补充合同的采购金额不得超过原合同金额的百分之十。</w:t>
      </w:r>
    </w:p>
    <w:p w14:paraId="5B218D79">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26.4 中标人一旦中标，未经采购人或采购代理机构事先给予书面同意不得转包、分包，亦不得将合同全部及任何权利、义务向第三方转让，否则将被视为严重违约，采购人或采购代理机构有权决定按照中标人中标后毁标、终止或解除合同等依约处理。</w:t>
      </w:r>
    </w:p>
    <w:p w14:paraId="4DFA77F5">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26.5 中标人应在合同签订当天，将合同副本一份送采购代理机构存档。</w:t>
      </w:r>
    </w:p>
    <w:p w14:paraId="040A34CC">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26.6 采购人应在签订合同2个工作日内，将合同公示在财政部门指定的媒体上公示。</w:t>
      </w:r>
    </w:p>
    <w:p w14:paraId="7B5014D3">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26.7 如中标人拒绝与采购人签订合同的，采购人可以按照评标报告推荐的中标候选人排序，确定下一中标候选人为中标人，也可以重新开展采购活动。当出现法律法规规定的中标无效或中标结果无效情形时，采购人可与排名下一位的中标候选人另行签订合同，或依法重新开展采购活动。</w:t>
      </w:r>
    </w:p>
    <w:p w14:paraId="29D28E54">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违反27.1-27.7所列规定，给采购人和采购代理机构造成损失的，应承担赔偿责任。</w:t>
      </w:r>
    </w:p>
    <w:p w14:paraId="4E856B08">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二十七、保密</w:t>
      </w:r>
    </w:p>
    <w:p w14:paraId="03E7D214">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投标人自领取招标文件之日起，招标文件仅可用于本项目招标过程，招标过程结束后，相关所有资料均不能以任何形式进行传播和使用。</w:t>
      </w:r>
    </w:p>
    <w:p w14:paraId="70EB3706">
      <w:pPr>
        <w:keepNext/>
        <w:keepLines/>
        <w:pageBreakBefore w:val="0"/>
        <w:widowControl/>
        <w:shd w:val="clear" w:color="auto" w:fill="FFFFFF"/>
        <w:wordWrap/>
        <w:overflowPunct/>
        <w:topLinePunct w:val="0"/>
        <w:bidi w:val="0"/>
        <w:spacing w:line="460" w:lineRule="exact"/>
        <w:ind w:right="-359" w:rightChars="-1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 除非经采购人的书面同意，否则任何时候均不得向任何第三方透露从本次招标获得的信息。</w:t>
      </w:r>
    </w:p>
    <w:p w14:paraId="517A194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 投标人应确保其雇员遵守同样的保密义务。</w:t>
      </w:r>
    </w:p>
    <w:p w14:paraId="59F9FB8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27.4 如投标人因故意、过失或任何其它原因导致任何保密信息泄露、公开或为第三方知晓，由此造成的各项损失均由投标人承担全部责任。</w:t>
      </w:r>
    </w:p>
    <w:p w14:paraId="5A74B4E5">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二十八、披露</w:t>
      </w:r>
    </w:p>
    <w:p w14:paraId="6A9555BF">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 采购代理机构（或采购人）有权将投标人提供的所有资料向有关政府部门或评审标书的有关人员披露。</w:t>
      </w:r>
    </w:p>
    <w:p w14:paraId="6D2619A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 在采购代理机构（或采购人）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9A45089">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bCs/>
          <w:color w:val="auto"/>
          <w:kern w:val="0"/>
          <w:sz w:val="24"/>
          <w:szCs w:val="24"/>
          <w:highlight w:val="none"/>
        </w:rPr>
      </w:pPr>
      <w:bookmarkStart w:id="90" w:name="_Toc20521"/>
      <w:bookmarkStart w:id="91" w:name="_Toc64566209"/>
      <w:bookmarkStart w:id="92" w:name="_Toc489430994"/>
      <w:bookmarkStart w:id="93" w:name="_Toc421891976"/>
      <w:bookmarkStart w:id="94" w:name="_Toc421891917"/>
      <w:r>
        <w:rPr>
          <w:rFonts w:hint="eastAsia" w:ascii="宋体" w:hAnsi="宋体" w:eastAsia="宋体" w:cs="宋体"/>
          <w:b/>
          <w:bCs/>
          <w:color w:val="auto"/>
          <w:kern w:val="0"/>
          <w:sz w:val="24"/>
          <w:szCs w:val="24"/>
          <w:highlight w:val="none"/>
        </w:rPr>
        <w:t>二十九、询问和质疑</w:t>
      </w:r>
      <w:bookmarkEnd w:id="90"/>
      <w:bookmarkEnd w:id="91"/>
      <w:bookmarkEnd w:id="92"/>
    </w:p>
    <w:bookmarkEnd w:id="93"/>
    <w:bookmarkEnd w:id="94"/>
    <w:p w14:paraId="6FCBB1AC">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29.1 投标人有权就招标事宜提出询问和质疑。</w:t>
      </w:r>
    </w:p>
    <w:p w14:paraId="185614A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 招标程序受《中华人民共和国政府采购法》和相关法律法规的约束，并受到严格的内部监督，以确保授予合同过程的公平公正。</w:t>
      </w:r>
    </w:p>
    <w:p w14:paraId="77B2DBC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29.1.2 投标人对采购事项有疑问的，可以向采购代理机构（或采购人）提出询问。询问事项若属于采购人提交的采购需求范畴的，询问方式为口头询问的，采购代理机构告知询问对象直接向采购人询问；采购人须在法定时间内向询问投标人进行书面答复。</w:t>
      </w:r>
    </w:p>
    <w:p w14:paraId="1ADB17A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29.1.3 投标人认为招标文件、招标过程和中标结果使自己的权益受到损害的，可以根据《中华人民共和国政府采购法》、《中华人民共和国政府采购法实施条例》和《政府采购质疑和投诉办法》的有关规定，并应按照财政部制定的《政府采购质疑函范本》格式（可从财政部官方网站下载）在法定质疑期内以书面形式提出质疑。</w:t>
      </w:r>
    </w:p>
    <w:p w14:paraId="32A680E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对可以质疑的招标文件提出质疑的，在收到招标文件之日起七个工作日内开标之日前提出；</w:t>
      </w:r>
    </w:p>
    <w:p w14:paraId="4C030D0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对采购过程提出质疑的，可以在知道或者应知其权益受到损害之日起七个工作日内提出；</w:t>
      </w:r>
    </w:p>
    <w:p w14:paraId="47B15D2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对中标结果提出质疑的，在中标公告期限届满之日起七个工作日内提出。</w:t>
      </w:r>
    </w:p>
    <w:p w14:paraId="1F53B66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投标人针对同一采购程序环节的质疑须在法定质疑期内一次性提出，重复或分次提出的、内容或形式不符合《政府采购质疑和投诉办法》的，视为无效质疑。</w:t>
      </w:r>
    </w:p>
    <w:p w14:paraId="6D4B81D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质疑函内容包括：</w:t>
      </w:r>
    </w:p>
    <w:p w14:paraId="23EBACDF">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（1）投标人的姓名或者名称、地址、邮编、联系人及联系电话；</w:t>
      </w:r>
    </w:p>
    <w:p w14:paraId="0FAFCE9B">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（2）质疑项目的名称、编号；</w:t>
      </w:r>
    </w:p>
    <w:p w14:paraId="07C2DC1E">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（3）具体、明确的质疑事项和与质疑事项相关的请求；</w:t>
      </w:r>
    </w:p>
    <w:p w14:paraId="699EE02C">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（4）事实依据；</w:t>
      </w:r>
    </w:p>
    <w:p w14:paraId="60FEF447">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（5）必要的法律依据；</w:t>
      </w:r>
    </w:p>
    <w:p w14:paraId="0EB07895">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（6）提出质疑的日期。</w:t>
      </w:r>
    </w:p>
    <w:p w14:paraId="704A3C0E">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投标人为自然人的，应当由本人签字；投标人为法人或者其他组织的，应当由法定代表人、主要负责人签字或者盖章，并加盖公章。</w:t>
      </w:r>
    </w:p>
    <w:p w14:paraId="40DEB29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提出质疑应当提交质疑函和必要的证明材料。</w:t>
      </w:r>
    </w:p>
    <w:p w14:paraId="6F87217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29.1.7</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有下列情形之一的，属于无效质疑：</w:t>
      </w:r>
    </w:p>
    <w:p w14:paraId="2227488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（1）未参与本次政府采购活动的投标人；</w:t>
      </w:r>
    </w:p>
    <w:p w14:paraId="2FB184D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（2）不符合本次政府采购活动特定条件的投标人；</w:t>
      </w:r>
    </w:p>
    <w:p w14:paraId="3D35E5B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（3）未在有效期内提出质疑的；</w:t>
      </w:r>
    </w:p>
    <w:p w14:paraId="416C824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（4）不同质疑人委托同一人办理质疑事宜的；</w:t>
      </w:r>
    </w:p>
    <w:p w14:paraId="1D18E08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（5）质疑没有明确请求和必要的证明材料；</w:t>
      </w:r>
    </w:p>
    <w:p w14:paraId="3B5932A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（6）针对同一采购程序环节的质疑未在法定质疑期内一次性提出;</w:t>
      </w:r>
    </w:p>
    <w:p w14:paraId="4058F2E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（7）其它不符合受理条件的情形。</w:t>
      </w:r>
    </w:p>
    <w:p w14:paraId="428A408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29.1.8采购代理机构（或采购人）将在收到书面质疑后7个工作日内做出答复或相关处理决定，并以书面形式通知质疑投标人和其他有关投标人，但答复的内容不涉及商业秘密。</w:t>
      </w:r>
    </w:p>
    <w:p w14:paraId="357E9E4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29.1.9质疑投标人对采购代理机构（或采购人）的答复不满意以及采购代理机构（或采购人）未在规定的时间内做出答复的，可以在答复期满后15个工作日内向政府采购监管部门投诉。</w:t>
      </w:r>
    </w:p>
    <w:p w14:paraId="0054B4C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29.1.10 质疑投标人有下列情形之一的，属于虚假、恶意质疑，采购代理机构、采购人应当驳回质疑，并向政府采购监督管理部门报告将其列入不良行为记录名单，并依法予以处罚：</w:t>
      </w:r>
    </w:p>
    <w:p w14:paraId="54661FE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A、一年内三次以上质疑均查无实据的；</w:t>
      </w:r>
    </w:p>
    <w:p w14:paraId="74817B7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B、捏造事实或者提供虚假质疑材料的。</w:t>
      </w:r>
    </w:p>
    <w:p w14:paraId="731018DA">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bCs/>
          <w:color w:val="auto"/>
          <w:kern w:val="0"/>
          <w:sz w:val="24"/>
          <w:szCs w:val="24"/>
          <w:highlight w:val="none"/>
        </w:rPr>
      </w:pPr>
      <w:bookmarkStart w:id="95" w:name="_Toc16143"/>
      <w:bookmarkStart w:id="96" w:name="_Toc489430995"/>
      <w:bookmarkStart w:id="97" w:name="_Toc64566210"/>
      <w:r>
        <w:rPr>
          <w:rFonts w:hint="eastAsia" w:ascii="宋体" w:hAnsi="宋体" w:eastAsia="宋体" w:cs="宋体"/>
          <w:b/>
          <w:bCs/>
          <w:color w:val="auto"/>
          <w:kern w:val="0"/>
          <w:sz w:val="24"/>
          <w:szCs w:val="24"/>
          <w:highlight w:val="none"/>
        </w:rPr>
        <w:t>三</w:t>
      </w:r>
      <w:bookmarkStart w:id="98" w:name="_Toc421891918"/>
      <w:bookmarkStart w:id="99" w:name="_Toc421891977"/>
      <w:r>
        <w:rPr>
          <w:rFonts w:hint="eastAsia" w:ascii="宋体" w:hAnsi="宋体" w:eastAsia="宋体" w:cs="宋体"/>
          <w:b/>
          <w:bCs/>
          <w:color w:val="auto"/>
          <w:kern w:val="0"/>
          <w:sz w:val="24"/>
          <w:szCs w:val="24"/>
          <w:highlight w:val="none"/>
        </w:rPr>
        <w:t>十、违约处罚</w:t>
      </w:r>
      <w:bookmarkEnd w:id="95"/>
      <w:bookmarkEnd w:id="96"/>
      <w:bookmarkEnd w:id="97"/>
    </w:p>
    <w:bookmarkEnd w:id="98"/>
    <w:bookmarkEnd w:id="99"/>
    <w:p w14:paraId="5E453E6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发生下列情况之一，投标人的投标保证金将被没收，并可能被列入不良记录名单，投标人今后参与同类政府采购项目的机会可能会受到影响：</w:t>
      </w:r>
    </w:p>
    <w:p w14:paraId="2C65571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（1）开标后在投标有效期内，投标人撤回其投标；</w:t>
      </w:r>
    </w:p>
    <w:p w14:paraId="66606A8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（2）在评标期间，投标人企图影响采购机构或评标委员会的任何活动，将导致投标被拒绝，并由其承担相应的法律责任。</w:t>
      </w:r>
    </w:p>
    <w:p w14:paraId="1026525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（3）中标人未按本招标文件规定签约； </w:t>
      </w:r>
    </w:p>
    <w:p w14:paraId="6E14239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（4）中标人与采购人订立背离合同实质性内容的其它协议； </w:t>
      </w:r>
      <w:bookmarkEnd w:id="10"/>
    </w:p>
    <w:p w14:paraId="387C10A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（5）投标人未按招标文件规定和合同约定履行义务的。</w:t>
      </w:r>
    </w:p>
    <w:p w14:paraId="40779E7A">
      <w:pPr>
        <w:keepNext/>
        <w:keepLines/>
        <w:pageBreakBefore w:val="0"/>
        <w:widowControl/>
        <w:wordWrap/>
        <w:overflowPunct/>
        <w:topLinePunct w:val="0"/>
        <w:bidi w:val="0"/>
        <w:spacing w:before="215" w:line="219" w:lineRule="auto"/>
        <w:ind w:left="10"/>
        <w:rPr>
          <w:rFonts w:hint="eastAsia" w:ascii="宋体" w:hAnsi="宋体" w:eastAsia="宋体" w:cs="宋体"/>
          <w:color w:val="auto"/>
          <w:sz w:val="24"/>
          <w:szCs w:val="24"/>
          <w:highlight w:val="none"/>
        </w:rPr>
      </w:pPr>
      <w:bookmarkStart w:id="100" w:name="_Toc421891919"/>
      <w:r>
        <w:rPr>
          <w:rFonts w:hint="eastAsia" w:ascii="宋体" w:hAnsi="宋体" w:eastAsia="宋体" w:cs="宋体"/>
          <w:b/>
          <w:bCs/>
          <w:color w:val="auto"/>
          <w:spacing w:val="-3"/>
          <w:sz w:val="24"/>
          <w:szCs w:val="24"/>
          <w:highlight w:val="none"/>
          <w:lang w:eastAsia="zh-CN"/>
        </w:rPr>
        <w:t>三十一、</w:t>
      </w:r>
      <w:r>
        <w:rPr>
          <w:rFonts w:hint="eastAsia" w:ascii="宋体" w:hAnsi="宋体" w:eastAsia="宋体" w:cs="宋体"/>
          <w:b/>
          <w:bCs/>
          <w:color w:val="auto"/>
          <w:spacing w:val="-3"/>
          <w:sz w:val="24"/>
          <w:szCs w:val="24"/>
          <w:highlight w:val="none"/>
        </w:rPr>
        <w:t>政策性因素</w:t>
      </w:r>
    </w:p>
    <w:p w14:paraId="37D2311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.1 按照财政部《政府采购进口产品管理办法》（财库 [2007]119 号）的有关规定 ，本采购文件涉及的所有采购内容除特别标注为“可接受进口产品 ”外， 均必须采购国产产品 。进口产品特指“通过中国海关报关验放进入中国境内且产 自关境外的产品 ”。投标产品各项技术标准必须符合国家强制性标准 ，否则投标无效；</w:t>
      </w:r>
    </w:p>
    <w:p w14:paraId="2AF37D5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32</w:t>
      </w:r>
      <w:r>
        <w:rPr>
          <w:rFonts w:hint="eastAsia" w:ascii="宋体" w:hAnsi="宋体" w:eastAsia="宋体" w:cs="宋体"/>
          <w:color w:val="auto"/>
          <w:kern w:val="0"/>
          <w:sz w:val="24"/>
          <w:szCs w:val="24"/>
          <w:highlight w:val="none"/>
        </w:rPr>
        <w:t>.2 《关于进一步加大政府采购支持中小企业力度的通知》 （财库〔2022〕19 号）；</w:t>
      </w:r>
    </w:p>
    <w:p w14:paraId="05F786F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.3 《政府采购促进中小企业发展管理办法》 （财库〔2020〕46 号）；</w:t>
      </w:r>
    </w:p>
    <w:p w14:paraId="3982608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.4 《财政部、司法部关于政府采购支持监狱企业发展有关问题的通知》 （财库[2014]68 号）；</w:t>
      </w:r>
    </w:p>
    <w:p w14:paraId="398904C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3.5 《财政部 民政部 中国残疾人联合会关于促进残疾人就业政府采购政策的通知》 （财库〔2017〕 141 号）；</w:t>
      </w:r>
    </w:p>
    <w:p w14:paraId="18C6C9B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3.6 关于印发《节能产品政府采购实施意见》 的通知（财库〔2004〕 185 号）；</w:t>
      </w:r>
    </w:p>
    <w:p w14:paraId="45A445F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3.7 关于环境标志产品政府采购实施的意见（财库〔2006〕90 号）；</w:t>
      </w:r>
    </w:p>
    <w:p w14:paraId="6F95D76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3.8 政府采购支持绿色、创新等方面发展。</w:t>
      </w:r>
    </w:p>
    <w:p w14:paraId="48F568DD">
      <w:pPr>
        <w:pStyle w:val="2"/>
        <w:keepNext/>
        <w:keepLines/>
        <w:pageBreakBefore w:val="0"/>
        <w:widowControl/>
        <w:shd w:val="clear" w:color="auto" w:fill="FFFFFF"/>
        <w:wordWrap/>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1" w:name="_Toc24738"/>
      <w:bookmarkStart w:id="102" w:name="_Toc64566211"/>
      <w:r>
        <w:rPr>
          <w:rFonts w:hint="eastAsia" w:ascii="宋体" w:hAnsi="宋体" w:eastAsia="宋体" w:cs="宋体"/>
          <w:color w:val="auto"/>
          <w:highlight w:val="none"/>
        </w:rPr>
        <w:t>第</w:t>
      </w:r>
      <w:bookmarkEnd w:id="100"/>
      <w:r>
        <w:rPr>
          <w:rFonts w:hint="eastAsia" w:ascii="宋体" w:hAnsi="宋体" w:eastAsia="宋体" w:cs="宋体"/>
          <w:color w:val="auto"/>
          <w:highlight w:val="none"/>
        </w:rPr>
        <w:t>三部分 评标标准和评标办法</w:t>
      </w:r>
      <w:bookmarkEnd w:id="101"/>
      <w:bookmarkEnd w:id="102"/>
    </w:p>
    <w:p w14:paraId="16F9332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kern w:val="0"/>
          <w:sz w:val="32"/>
          <w:szCs w:val="32"/>
          <w:highlight w:val="none"/>
        </w:rPr>
      </w:pPr>
    </w:p>
    <w:p w14:paraId="50291B9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一、评标内容及评标原则</w:t>
      </w:r>
    </w:p>
    <w:p w14:paraId="095693D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评标委员会在评标时，依据投标报价和各项技术、服务因素对投标人及投标货物进行综合评价。</w:t>
      </w:r>
    </w:p>
    <w:p w14:paraId="32C8595C">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二、评分办法</w:t>
      </w:r>
    </w:p>
    <w:p w14:paraId="44A5415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本次评标采用</w:t>
      </w:r>
      <w:r>
        <w:rPr>
          <w:rFonts w:hint="eastAsia" w:ascii="宋体" w:hAnsi="宋体" w:eastAsia="宋体" w:cs="宋体"/>
          <w:color w:val="auto"/>
          <w:kern w:val="0"/>
          <w:sz w:val="24"/>
          <w:szCs w:val="24"/>
          <w:highlight w:val="none"/>
          <w:u w:val="single"/>
        </w:rPr>
        <w:t>综合评分法</w:t>
      </w:r>
      <w:r>
        <w:rPr>
          <w:rFonts w:hint="eastAsia" w:ascii="宋体" w:hAnsi="宋体" w:eastAsia="宋体" w:cs="宋体"/>
          <w:color w:val="auto"/>
          <w:kern w:val="0"/>
          <w:sz w:val="24"/>
          <w:szCs w:val="24"/>
          <w:highlight w:val="none"/>
        </w:rPr>
        <w:t>，综合评分因素的主要因素为价格、技术、信誉、业绩、服务以及对招标文件的响应程度。每一投标人的最终得分为所有评委评分的算数平均值。</w:t>
      </w:r>
      <w:r>
        <w:rPr>
          <w:rFonts w:hint="eastAsia" w:ascii="宋体" w:hAnsi="宋体" w:eastAsia="宋体" w:cs="宋体"/>
          <w:color w:val="auto"/>
          <w:kern w:val="0"/>
          <w:sz w:val="24"/>
          <w:szCs w:val="24"/>
          <w:highlight w:val="none"/>
          <w:u w:val="single"/>
        </w:rPr>
        <w:t>最低报价不能作为中标的唯一保证。</w:t>
      </w:r>
    </w:p>
    <w:p w14:paraId="664B6DB0">
      <w:pPr>
        <w:keepNext/>
        <w:keepLines/>
        <w:pageBreakBefore w:val="0"/>
        <w:widowControl/>
        <w:numPr>
          <w:ilvl w:val="0"/>
          <w:numId w:val="1"/>
        </w:numPr>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b/>
          <w:color w:val="auto"/>
          <w:sz w:val="24"/>
          <w:szCs w:val="24"/>
          <w:highlight w:val="none"/>
        </w:rPr>
        <w:t>资格性审查的内容及标准</w:t>
      </w:r>
    </w:p>
    <w:tbl>
      <w:tblPr>
        <w:tblStyle w:val="22"/>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3645"/>
        <w:gridCol w:w="4552"/>
      </w:tblGrid>
      <w:tr w14:paraId="2EAC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6C7E252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65984B52">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评审因素</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084EF604">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评审标准</w:t>
            </w:r>
          </w:p>
        </w:tc>
      </w:tr>
      <w:tr w14:paraId="2906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7028353E">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3E6D5D7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具有独立承担民事责任的能力</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419F631">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5B976BC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68A4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1578E6D">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392A808E">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具有良好的商业信誉和健全的财务会计制度</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1CC10277">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756C9B0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3E73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2648BB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161EC120">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具有履行合同所必需的设备和专业技术能力</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5DACF701">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2431769D">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0D7E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78A275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73E3E55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有依法缴纳税收和社会保障资金的良好记录</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6ACA655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0428A525">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7807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0A183687">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67408B7F">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参加政府采购活动前三年内，在经营活动中没有重大违法记录</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2574068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1DDC601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4DC4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8BF20B9">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0F1EDA6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营业执照副本</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15205ED2">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有效且符合招标文件要求</w:t>
            </w:r>
          </w:p>
        </w:tc>
      </w:tr>
      <w:tr w14:paraId="4AE2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706E3064">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5CBEC440">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基本账户开户许可证或基本存款账户信息</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61FF1411">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有效且符合招标文件要求</w:t>
            </w:r>
          </w:p>
        </w:tc>
      </w:tr>
      <w:tr w14:paraId="778E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514C3D02">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7D67B58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特定资格要求</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23E7B39">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如属于医疗器械生产企业直接参加投标的，一类医疗器械提供生产备案凭证；二类医疗器械提供生产企业许可证和经营备案凭证；三类医疗器械提供生产企业许可证和经营许可证；投标人如属于医疗器械经营企业的参加投标的，二类医疗器械提供经营备案凭证，三类医疗器械提供经营许可证，一类医疗器械可不提供。（响应产品不属于医疗器械的，投标人可不提供）；（2）本次投标产品属于二类、三类医疗器械的，须提供医疗器械注册证或注册登记表，属于一类医疗器械提供备案凭证；（投标产品不属于医疗器械的，供应商可不提供）；（3）本次响应产品若为国产设备，须提供本次响应产品生产厂家的企业法人营业执照、医疗器械生产企业许可证或备案凭证。</w:t>
            </w:r>
          </w:p>
        </w:tc>
      </w:tr>
    </w:tbl>
    <w:tbl>
      <w:tblPr>
        <w:tblStyle w:val="22"/>
        <w:tblpPr w:leftFromText="180" w:rightFromText="180" w:vertAnchor="text" w:tblpX="13707" w:tblpY="-29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320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noWrap w:val="0"/>
            <w:vAlign w:val="top"/>
          </w:tcPr>
          <w:p w14:paraId="786B7D92">
            <w:pPr>
              <w:keepNext/>
              <w:keepLines/>
              <w:pageBreakBefore w:val="0"/>
              <w:widowControl/>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tc>
      </w:tr>
    </w:tbl>
    <w:p w14:paraId="7F8EEA84">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p w14:paraId="49294D94">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tbl>
      <w:tblPr>
        <w:tblStyle w:val="22"/>
        <w:tblpPr w:leftFromText="180" w:rightFromText="180" w:vertAnchor="text" w:tblpX="13707" w:tblpY="3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5"/>
      </w:tblGrid>
      <w:tr w14:paraId="531B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5" w:type="dxa"/>
          <w:trHeight w:val="30" w:hRule="atLeast"/>
        </w:trPr>
        <w:tc>
          <w:tcPr>
            <w:tcW w:w="1082" w:type="dxa"/>
            <w:noWrap w:val="0"/>
            <w:vAlign w:val="top"/>
          </w:tcPr>
          <w:p w14:paraId="3CF087EE">
            <w:pPr>
              <w:keepNext/>
              <w:keepLines/>
              <w:pageBreakBefore w:val="0"/>
              <w:widowControl/>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tc>
      </w:tr>
      <w:tr w14:paraId="3E02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67" w:type="dxa"/>
            <w:gridSpan w:val="2"/>
            <w:noWrap w:val="0"/>
            <w:vAlign w:val="top"/>
          </w:tcPr>
          <w:p w14:paraId="2719CB54">
            <w:pPr>
              <w:keepNext/>
              <w:keepLines/>
              <w:pageBreakBefore w:val="0"/>
              <w:widowControl/>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tc>
      </w:tr>
    </w:tbl>
    <w:p w14:paraId="30219004">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tbl>
      <w:tblPr>
        <w:tblStyle w:val="22"/>
        <w:tblpPr w:leftFromText="180" w:rightFromText="180" w:vertAnchor="text" w:tblpX="13707" w:tblpY="-59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tblGrid>
      <w:tr w14:paraId="56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52" w:type="dxa"/>
            <w:noWrap w:val="0"/>
            <w:vAlign w:val="top"/>
          </w:tcPr>
          <w:p w14:paraId="125EA141">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color w:val="auto"/>
                <w:highlight w:val="none"/>
              </w:rPr>
            </w:pPr>
          </w:p>
        </w:tc>
      </w:tr>
    </w:tbl>
    <w:p w14:paraId="02BB1C73">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p w14:paraId="0514DF80">
      <w:pPr>
        <w:keepNext/>
        <w:keepLines/>
        <w:pageBreakBefore w:val="0"/>
        <w:widowControl/>
        <w:numPr>
          <w:ilvl w:val="0"/>
          <w:numId w:val="0"/>
        </w:numPr>
        <w:shd w:val="clear" w:color="auto" w:fill="FFFFFF"/>
        <w:kinsoku/>
        <w:wordWrap/>
        <w:overflowPunct/>
        <w:topLinePunct w:val="0"/>
        <w:autoSpaceDE/>
        <w:autoSpaceDN/>
        <w:bidi w:val="0"/>
        <w:snapToGrid w:val="0"/>
        <w:spacing w:line="460" w:lineRule="exact"/>
        <w:ind w:leftChars="0"/>
        <w:textAlignment w:val="auto"/>
        <w:rPr>
          <w:rFonts w:hint="eastAsia" w:ascii="宋体" w:hAnsi="宋体" w:eastAsia="宋体" w:cs="宋体"/>
          <w:b/>
          <w:color w:val="auto"/>
          <w:sz w:val="24"/>
          <w:szCs w:val="24"/>
          <w:highlight w:val="none"/>
          <w:shd w:val="clear" w:color="auto" w:fill="FFFFFF"/>
          <w:lang w:val="en-US" w:eastAsia="zh-CN"/>
        </w:rPr>
      </w:pPr>
      <w:r>
        <w:rPr>
          <w:rFonts w:hint="eastAsia" w:ascii="宋体" w:hAnsi="宋体" w:eastAsia="宋体" w:cs="宋体"/>
          <w:b/>
          <w:color w:val="auto"/>
          <w:sz w:val="24"/>
          <w:szCs w:val="24"/>
          <w:highlight w:val="none"/>
          <w:shd w:val="clear" w:color="auto" w:fill="FFFFFF"/>
          <w:lang w:val="en-US" w:eastAsia="zh-CN"/>
        </w:rPr>
        <w:t>注：供应商信用承诺函为格式所提供“长治市政府采购供应商应用信用承诺函”为准。</w:t>
      </w:r>
    </w:p>
    <w:p w14:paraId="714DA103">
      <w:pPr>
        <w:keepNext/>
        <w:keepLines/>
        <w:pageBreakBefore w:val="0"/>
        <w:widowControl/>
        <w:numPr>
          <w:ilvl w:val="0"/>
          <w:numId w:val="0"/>
        </w:numPr>
        <w:shd w:val="clear" w:color="auto" w:fill="FFFFFF"/>
        <w:kinsoku/>
        <w:wordWrap/>
        <w:overflowPunct/>
        <w:topLinePunct w:val="0"/>
        <w:autoSpaceDE/>
        <w:autoSpaceDN/>
        <w:bidi w:val="0"/>
        <w:snapToGrid w:val="0"/>
        <w:spacing w:line="460" w:lineRule="exact"/>
        <w:ind w:leftChars="0"/>
        <w:textAlignment w:val="auto"/>
        <w:rPr>
          <w:rFonts w:hint="eastAsia" w:ascii="宋体" w:hAnsi="宋体" w:eastAsia="宋体" w:cs="宋体"/>
          <w:b/>
          <w:color w:val="auto"/>
          <w:sz w:val="24"/>
          <w:szCs w:val="24"/>
          <w:highlight w:val="none"/>
          <w:shd w:val="clear" w:color="auto" w:fill="FFFFFF"/>
          <w:lang w:eastAsia="zh-CN"/>
        </w:rPr>
      </w:pPr>
    </w:p>
    <w:p w14:paraId="18E68F09">
      <w:pPr>
        <w:keepNext/>
        <w:keepLines/>
        <w:pageBreakBefore w:val="0"/>
        <w:widowControl/>
        <w:numPr>
          <w:ilvl w:val="0"/>
          <w:numId w:val="0"/>
        </w:numPr>
        <w:shd w:val="clear" w:color="auto" w:fill="FFFFFF"/>
        <w:kinsoku/>
        <w:wordWrap/>
        <w:overflowPunct/>
        <w:topLinePunct w:val="0"/>
        <w:autoSpaceDE/>
        <w:autoSpaceDN/>
        <w:bidi w:val="0"/>
        <w:snapToGrid w:val="0"/>
        <w:spacing w:line="460" w:lineRule="exact"/>
        <w:ind w:leftChars="0"/>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lang w:eastAsia="zh-CN"/>
        </w:rPr>
        <w:t>四、</w:t>
      </w:r>
      <w:r>
        <w:rPr>
          <w:rFonts w:hint="eastAsia" w:ascii="宋体" w:hAnsi="宋体" w:eastAsia="宋体" w:cs="宋体"/>
          <w:b/>
          <w:color w:val="auto"/>
          <w:sz w:val="24"/>
          <w:szCs w:val="24"/>
          <w:highlight w:val="none"/>
          <w:shd w:val="clear" w:color="auto" w:fill="FFFFFF"/>
        </w:rPr>
        <w:t>符合性审查的内容及标准</w:t>
      </w:r>
    </w:p>
    <w:p w14:paraId="29C4A9D6">
      <w:pPr>
        <w:pStyle w:val="2"/>
        <w:keepNext/>
        <w:keepLines/>
        <w:pageBreakBefore w:val="0"/>
        <w:widowControl/>
        <w:numPr>
          <w:ilvl w:val="0"/>
          <w:numId w:val="0"/>
        </w:numPr>
        <w:shd w:val="clear" w:color="auto" w:fill="FFFFFF"/>
        <w:kinsoku/>
        <w:wordWrap/>
        <w:overflowPunct/>
        <w:topLinePunct w:val="0"/>
        <w:autoSpaceDE/>
        <w:autoSpaceDN/>
        <w:bidi w:val="0"/>
        <w:ind w:leftChars="0"/>
        <w:textAlignment w:val="auto"/>
        <w:rPr>
          <w:rFonts w:hint="eastAsia" w:ascii="宋体" w:hAnsi="宋体" w:eastAsia="宋体" w:cs="宋体"/>
          <w:color w:val="auto"/>
          <w:highlight w:val="none"/>
        </w:rPr>
      </w:pPr>
    </w:p>
    <w:tbl>
      <w:tblPr>
        <w:tblStyle w:val="22"/>
        <w:tblW w:w="4625"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4794"/>
      </w:tblGrid>
      <w:tr w14:paraId="31F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59" w:type="pct"/>
            <w:noWrap w:val="0"/>
            <w:vAlign w:val="center"/>
          </w:tcPr>
          <w:p w14:paraId="2F134C43">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3040" w:type="pct"/>
            <w:noWrap w:val="0"/>
            <w:vAlign w:val="center"/>
          </w:tcPr>
          <w:p w14:paraId="5DA5D97F">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  准</w:t>
            </w:r>
          </w:p>
        </w:tc>
      </w:tr>
      <w:tr w14:paraId="6D3C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959" w:type="pct"/>
            <w:noWrap w:val="0"/>
            <w:vAlign w:val="center"/>
          </w:tcPr>
          <w:p w14:paraId="7DC2CC0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投标文件格式</w:t>
            </w:r>
          </w:p>
        </w:tc>
        <w:tc>
          <w:tcPr>
            <w:tcW w:w="3040" w:type="pct"/>
            <w:noWrap w:val="0"/>
            <w:vAlign w:val="center"/>
          </w:tcPr>
          <w:p w14:paraId="3C5C492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6D00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59" w:type="pct"/>
            <w:noWrap w:val="0"/>
            <w:vAlign w:val="center"/>
          </w:tcPr>
          <w:p w14:paraId="4587AAE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投标文件</w:t>
            </w:r>
            <w:r>
              <w:rPr>
                <w:rFonts w:hint="eastAsia" w:ascii="宋体" w:hAnsi="宋体" w:cs="宋体"/>
                <w:color w:val="auto"/>
                <w:kern w:val="0"/>
                <w:sz w:val="24"/>
                <w:szCs w:val="24"/>
                <w:highlight w:val="none"/>
                <w:lang w:val="en-US" w:eastAsia="zh-CN" w:bidi="ar-SA"/>
              </w:rPr>
              <w:t>实质性参数</w:t>
            </w:r>
          </w:p>
        </w:tc>
        <w:tc>
          <w:tcPr>
            <w:tcW w:w="3040" w:type="pct"/>
            <w:noWrap w:val="0"/>
            <w:vAlign w:val="center"/>
          </w:tcPr>
          <w:p w14:paraId="6F427D4E">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提供证明材料，符合招标文件要求</w:t>
            </w:r>
          </w:p>
        </w:tc>
      </w:tr>
      <w:tr w14:paraId="7EA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959" w:type="pct"/>
            <w:noWrap w:val="0"/>
            <w:vAlign w:val="center"/>
          </w:tcPr>
          <w:p w14:paraId="262DEDF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投标文件签署、盖章</w:t>
            </w:r>
          </w:p>
        </w:tc>
        <w:tc>
          <w:tcPr>
            <w:tcW w:w="3040" w:type="pct"/>
            <w:noWrap w:val="0"/>
            <w:vAlign w:val="center"/>
          </w:tcPr>
          <w:p w14:paraId="198292D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152E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9" w:type="pct"/>
            <w:noWrap w:val="0"/>
            <w:vAlign w:val="center"/>
          </w:tcPr>
          <w:p w14:paraId="7A3CAE3E">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投标有效期</w:t>
            </w:r>
          </w:p>
        </w:tc>
        <w:tc>
          <w:tcPr>
            <w:tcW w:w="3040" w:type="pct"/>
            <w:noWrap w:val="0"/>
            <w:vAlign w:val="center"/>
          </w:tcPr>
          <w:p w14:paraId="2B09355A">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652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59" w:type="pct"/>
            <w:noWrap w:val="0"/>
            <w:vAlign w:val="center"/>
          </w:tcPr>
          <w:p w14:paraId="34AA2AFC">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32"/>
                <w:highlight w:val="none"/>
                <w:lang w:val="en-US" w:eastAsia="zh-CN"/>
              </w:rPr>
              <w:t>合同履行期限(供货期限)</w:t>
            </w:r>
            <w:r>
              <w:rPr>
                <w:rFonts w:hint="eastAsia" w:ascii="宋体" w:hAnsi="宋体" w:eastAsia="宋体" w:cs="宋体"/>
                <w:color w:val="auto"/>
                <w:kern w:val="0"/>
                <w:sz w:val="24"/>
                <w:szCs w:val="24"/>
                <w:highlight w:val="none"/>
                <w:lang w:val="en-US" w:eastAsia="zh-CN" w:bidi="ar-SA"/>
              </w:rPr>
              <w:t>、交货地点、质保期、质量标准</w:t>
            </w:r>
          </w:p>
        </w:tc>
        <w:tc>
          <w:tcPr>
            <w:tcW w:w="3040" w:type="pct"/>
            <w:noWrap w:val="0"/>
            <w:vAlign w:val="center"/>
          </w:tcPr>
          <w:p w14:paraId="6E89AF4F">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508E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59" w:type="pct"/>
            <w:noWrap w:val="0"/>
            <w:vAlign w:val="center"/>
          </w:tcPr>
          <w:p w14:paraId="4065337B">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投标保证金</w:t>
            </w:r>
          </w:p>
        </w:tc>
        <w:tc>
          <w:tcPr>
            <w:tcW w:w="3040" w:type="pct"/>
            <w:noWrap w:val="0"/>
            <w:vAlign w:val="center"/>
          </w:tcPr>
          <w:p w14:paraId="26CEB4E4">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717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9" w:type="pct"/>
            <w:noWrap w:val="0"/>
            <w:vAlign w:val="center"/>
          </w:tcPr>
          <w:p w14:paraId="12D92481">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3040" w:type="pct"/>
            <w:noWrap w:val="0"/>
            <w:vAlign w:val="center"/>
          </w:tcPr>
          <w:p w14:paraId="03B622FE">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低于（含等于）最高限价</w:t>
            </w:r>
          </w:p>
        </w:tc>
      </w:tr>
    </w:tbl>
    <w:p w14:paraId="4A9FBD7F">
      <w:pPr>
        <w:keepNext/>
        <w:keepLines/>
        <w:pageBreakBefore w:val="0"/>
        <w:widowControl/>
        <w:shd w:val="clear" w:color="auto" w:fill="FFFFFF"/>
        <w:kinsoku/>
        <w:wordWrap/>
        <w:overflowPunct/>
        <w:topLinePunct w:val="0"/>
        <w:autoSpaceDE/>
        <w:autoSpaceDN/>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五、评定内容及评分标准</w:t>
      </w:r>
    </w:p>
    <w:p w14:paraId="5E680CBC">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包1、包2、包3评分标准</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985"/>
        <w:gridCol w:w="5661"/>
      </w:tblGrid>
      <w:tr w14:paraId="6457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00" w:type="pct"/>
            <w:gridSpan w:val="3"/>
            <w:noWrap w:val="0"/>
            <w:vAlign w:val="center"/>
          </w:tcPr>
          <w:p w14:paraId="5D8D7913">
            <w:pPr>
              <w:keepNext/>
              <w:keepLines/>
              <w:pageBreakBefore w:val="0"/>
              <w:widowControl/>
              <w:shd w:val="clear" w:color="auto" w:fill="FFFFFF"/>
              <w:wordWrap/>
              <w:overflowPunct/>
              <w:topLinePunct w:val="0"/>
              <w:bidi w:val="0"/>
              <w:spacing w:line="440" w:lineRule="exact"/>
              <w:ind w:firstLine="3"/>
              <w:jc w:val="center"/>
              <w:rPr>
                <w:rFonts w:hint="eastAsia" w:ascii="宋体" w:hAnsi="宋体" w:eastAsia="宋体" w:cs="宋体"/>
                <w:bCs/>
                <w:color w:val="auto"/>
                <w:sz w:val="24"/>
                <w:szCs w:val="24"/>
                <w:highlight w:val="none"/>
              </w:rPr>
            </w:pPr>
            <w:bookmarkStart w:id="103" w:name="_Toc64566212"/>
            <w:bookmarkStart w:id="104" w:name="_Toc421891920"/>
            <w:r>
              <w:rPr>
                <w:rFonts w:hint="eastAsia" w:ascii="宋体" w:hAnsi="宋体" w:eastAsia="宋体" w:cs="宋体"/>
                <w:b/>
                <w:bCs w:val="0"/>
                <w:color w:val="auto"/>
                <w:sz w:val="24"/>
                <w:szCs w:val="24"/>
                <w:highlight w:val="none"/>
              </w:rPr>
              <w:t>商务部分 (</w:t>
            </w: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rPr>
              <w:t>分)</w:t>
            </w:r>
          </w:p>
        </w:tc>
      </w:tr>
      <w:tr w14:paraId="5F02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5000" w:type="pct"/>
            <w:gridSpan w:val="3"/>
            <w:noWrap w:val="0"/>
            <w:vAlign w:val="center"/>
          </w:tcPr>
          <w:p w14:paraId="24485DA4">
            <w:pPr>
              <w:keepNext/>
              <w:keepLines/>
              <w:pageBreakBefore w:val="0"/>
              <w:widowControl/>
              <w:numPr>
                <w:ilvl w:val="0"/>
                <w:numId w:val="0"/>
              </w:numPr>
              <w:shd w:val="clear" w:color="auto" w:fill="FFFFFF"/>
              <w:wordWrap/>
              <w:overflowPunct/>
              <w:topLinePunct w:val="0"/>
              <w:bidi w:val="0"/>
              <w:spacing w:line="360" w:lineRule="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rPr>
              <w:t>投标人业绩（</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1B9B573B">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提供在投标截止日期三个年度（2023年</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 xml:space="preserve">月至今）内类似合同案例，要求必须提供供应商与最终用户签订的合同协议书；每个业绩2分，本项最高得6分，投标文件中应附相应合同复印件。 </w:t>
            </w:r>
          </w:p>
          <w:p w14:paraId="6950C306">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spacing w:val="6"/>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 xml:space="preserve">注：本款合同案例仅指供应商自身的合同案例，即合同案例合同的乙方必须与供应商的名称完全一致，如公司名称发生变更，必须提供工商部门的证明文件。合同协议书必须包含以下所有内容为一个有效业绩：合同首末页、金额页、签字盖章页、合同内容。 </w:t>
            </w:r>
          </w:p>
        </w:tc>
      </w:tr>
      <w:tr w14:paraId="363A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000" w:type="pct"/>
            <w:gridSpan w:val="3"/>
            <w:noWrap w:val="0"/>
            <w:vAlign w:val="center"/>
          </w:tcPr>
          <w:p w14:paraId="72795417">
            <w:pPr>
              <w:keepNext/>
              <w:keepLines/>
              <w:pageBreakBefore w:val="0"/>
              <w:widowControl/>
              <w:shd w:val="clear" w:color="auto" w:fill="FFFFFF"/>
              <w:wordWrap/>
              <w:overflowPunct/>
              <w:topLinePunct w:val="0"/>
              <w:bidi w:val="0"/>
              <w:spacing w:line="440" w:lineRule="exact"/>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技术部分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64分</w:t>
            </w:r>
            <w:r>
              <w:rPr>
                <w:rFonts w:hint="eastAsia" w:ascii="宋体" w:hAnsi="宋体" w:eastAsia="宋体" w:cs="宋体"/>
                <w:b/>
                <w:bCs/>
                <w:color w:val="auto"/>
                <w:sz w:val="24"/>
                <w:szCs w:val="24"/>
                <w:highlight w:val="none"/>
                <w:lang w:eastAsia="zh-CN"/>
              </w:rPr>
              <w:t>）</w:t>
            </w:r>
          </w:p>
        </w:tc>
      </w:tr>
      <w:tr w14:paraId="005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318F99D1">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供</w:t>
            </w:r>
            <w:r>
              <w:rPr>
                <w:rFonts w:hint="eastAsia" w:ascii="宋体" w:hAnsi="宋体" w:eastAsia="宋体" w:cs="宋体"/>
                <w:b/>
                <w:bCs/>
                <w:color w:val="auto"/>
                <w:sz w:val="24"/>
                <w:szCs w:val="24"/>
                <w:highlight w:val="none"/>
                <w:lang w:val="en-US" w:eastAsia="zh-CN"/>
              </w:rPr>
              <w:t>货方案（16分）</w:t>
            </w:r>
          </w:p>
          <w:p w14:paraId="1B19A480">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供货方案应急措施</w:t>
            </w:r>
          </w:p>
          <w:p w14:paraId="6A797D93">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供货方案实施计划</w:t>
            </w:r>
          </w:p>
          <w:p w14:paraId="6489BD48">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供货产品备品备件措施</w:t>
            </w:r>
          </w:p>
          <w:p w14:paraId="5518ACF4">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供货方案运输方案</w:t>
            </w:r>
          </w:p>
          <w:p w14:paraId="44C0A7B0">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供货方案包装存储方案</w:t>
            </w:r>
          </w:p>
          <w:p w14:paraId="2F3D07FB">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供货方案时间安排满足项目需求</w:t>
            </w:r>
          </w:p>
          <w:p w14:paraId="7FEF3EF1">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全过程调度产品方案</w:t>
            </w:r>
          </w:p>
          <w:p w14:paraId="19827FAB">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供货方案风险控制</w:t>
            </w:r>
          </w:p>
          <w:p w14:paraId="68FC8111">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注：以上方案每提供一项内容不存在瑕疵的方案得2分，内容存在1处瑕疵的得1.5分，内容存在2处瑕疵的得1分，内容存在3处及以上瑕疵的或不提供的不得分。</w:t>
            </w:r>
          </w:p>
          <w:p w14:paraId="410742D7">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37DE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43BE5935">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产品质量保证措施（7分）</w:t>
            </w:r>
          </w:p>
          <w:p w14:paraId="33848A7B">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质量控制目标</w:t>
            </w:r>
          </w:p>
          <w:p w14:paraId="7A8EFECE">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质量过程检验检测方法满足本项目需求</w:t>
            </w:r>
          </w:p>
          <w:p w14:paraId="3D9C067B">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严格控制供货方，确保原材料和零部件质量满足项目需求</w:t>
            </w:r>
          </w:p>
          <w:p w14:paraId="3A992F7D">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质量控制纠错与改进措施</w:t>
            </w:r>
          </w:p>
          <w:p w14:paraId="5DB48A41">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质量控制统计方法</w:t>
            </w:r>
          </w:p>
          <w:p w14:paraId="03620C6D">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质量控制全过程可追溯性</w:t>
            </w:r>
          </w:p>
          <w:p w14:paraId="4BD742C3">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质量控制内部审核和外部评估方法</w:t>
            </w:r>
          </w:p>
          <w:p w14:paraId="0B9C1F0B">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注：以上方案每提供一项内容不存在瑕疵的方案得1分，内容存在1处瑕疵的得0.8分，内容存在2处瑕疵的得0.5分，内容存在3处及以上瑕疵的或不提供的不得分。</w:t>
            </w:r>
          </w:p>
          <w:p w14:paraId="4646AD80">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41E7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6A2D6C34">
            <w:pPr>
              <w:keepNext/>
              <w:keepLines/>
              <w:pageBreakBefore w:val="0"/>
              <w:widowControl/>
              <w:numPr>
                <w:ilvl w:val="0"/>
                <w:numId w:val="0"/>
              </w:numPr>
              <w:kinsoku/>
              <w:wordWrap/>
              <w:overflowPunct/>
              <w:topLinePunct w:val="0"/>
              <w:autoSpaceDE/>
              <w:autoSpaceDN/>
              <w:bidi w:val="0"/>
              <w:adjustRightInd w:val="0"/>
              <w:snapToGrid w:val="0"/>
              <w:spacing w:after="0" w:afterLines="0" w:afterAutospacing="0" w:line="400" w:lineRule="exact"/>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技术团队人员配备情况（6分）</w:t>
            </w:r>
          </w:p>
          <w:p w14:paraId="3377411C">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具备稳定的技术支持团队</w:t>
            </w:r>
          </w:p>
          <w:p w14:paraId="2822E1DA">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具备现场技术支援能力</w:t>
            </w:r>
          </w:p>
          <w:p w14:paraId="449776C8">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提供技术团队人员配备情况（包括职务、主要负责事项、项目内职务等）</w:t>
            </w:r>
          </w:p>
          <w:p w14:paraId="35971F14">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注：以上方案每提供一项内容不存在瑕疵的方案得2分，内容存在1处瑕疵的得1.5分，内容存在2处瑕疵的得1分，内容存在3处及以上瑕疵的或不提供的不得分。</w:t>
            </w:r>
          </w:p>
          <w:p w14:paraId="6A59AABA">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341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2A4EA175">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培训方案（6分）</w:t>
            </w:r>
          </w:p>
          <w:p w14:paraId="33332817">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培训内容、培训计划、培训方法、培训资料、培训师资力量、培训考核评估方案</w:t>
            </w:r>
          </w:p>
          <w:p w14:paraId="07277068">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注：以上方案每提供一项内容不存在瑕疵的方案得1分，内容存在1处瑕疵的得0.8分，内容存在2处瑕疵的得0.5分，内容存在3处及以上瑕疵的或不提供的不得分。</w:t>
            </w:r>
          </w:p>
          <w:p w14:paraId="4DD4E141">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56C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3"/>
            <w:noWrap w:val="0"/>
            <w:vAlign w:val="center"/>
          </w:tcPr>
          <w:p w14:paraId="419E0A94">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售后服务（9分）</w:t>
            </w:r>
          </w:p>
          <w:p w14:paraId="440444DA">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kern w:val="2"/>
                <w:sz w:val="24"/>
                <w:szCs w:val="24"/>
                <w:highlight w:val="none"/>
                <w:shd w:val="clear" w:color="auto" w:fill="FFFFFF"/>
                <w:lang w:val="en-US" w:eastAsia="zh-CN" w:bidi="ar-SA"/>
              </w:rPr>
              <w:t>售后服务体系、售后服务内容、售后应急解决方案</w:t>
            </w:r>
          </w:p>
          <w:p w14:paraId="3C3AF406">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注：以上方案每提供一项内容不存在瑕疵的方案得3分，内容存在1处瑕疵的得2分，内容存在2处瑕疵的得1.5分，内容存在3处及以上瑕疵的或不提供的不得分。</w:t>
            </w:r>
          </w:p>
          <w:p w14:paraId="6AB5B598">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606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5000" w:type="pct"/>
            <w:gridSpan w:val="3"/>
            <w:noWrap w:val="0"/>
            <w:vAlign w:val="center"/>
          </w:tcPr>
          <w:p w14:paraId="6F2F148C">
            <w:pPr>
              <w:keepNext/>
              <w:keepLines/>
              <w:pageBreakBefore w:val="0"/>
              <w:widowControl/>
              <w:shd w:val="clear" w:color="auto" w:fill="FFFFFF"/>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投标产品性能指标（20分）</w:t>
            </w:r>
          </w:p>
          <w:p w14:paraId="4B40DE30">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的全部技术指标得20分，评委要充分考虑供应商提供投标产品的详细技术指标，参考其相关证明材料（证明材料可以是生产厂家官方网站截图或产品白皮书或第三方机构检验报告或其他相关证明材料）进行认定；</w:t>
            </w:r>
          </w:p>
          <w:p w14:paraId="75024AB4">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每有一项非实质性参数负偏离扣1分，扣完为止（如技术参数偏离表的响应情况与技术证明文件资料或其它合法证明文件描述不符，专家有权认定为负偏离）。</w:t>
            </w:r>
          </w:p>
          <w:p w14:paraId="21DA2470">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评标委员会在评审意见中注明扣分的理由。</w:t>
            </w:r>
          </w:p>
          <w:p w14:paraId="315F4762">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任何一项关键性技术指标（指技术要求中加“</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 xml:space="preserve">”号项）没有实质性响应招标文件的要求，将导致响应无效。 </w:t>
            </w:r>
          </w:p>
        </w:tc>
      </w:tr>
      <w:tr w14:paraId="4542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000" w:type="pct"/>
            <w:gridSpan w:val="3"/>
            <w:noWrap w:val="0"/>
            <w:vAlign w:val="center"/>
          </w:tcPr>
          <w:p w14:paraId="6DFBFC1B">
            <w:pPr>
              <w:keepNext/>
              <w:keepLines/>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shd w:val="clear" w:color="auto" w:fill="FFFFFF"/>
                <w:lang w:val="zh-CN" w:eastAsia="zh-CN"/>
              </w:rPr>
            </w:pPr>
            <w:r>
              <w:rPr>
                <w:rFonts w:hint="eastAsia" w:ascii="宋体" w:hAnsi="宋体" w:eastAsia="宋体" w:cs="宋体"/>
                <w:b/>
                <w:bCs w:val="0"/>
                <w:color w:val="auto"/>
                <w:sz w:val="24"/>
                <w:szCs w:val="24"/>
                <w:highlight w:val="none"/>
              </w:rPr>
              <w:t>价格分（30分）</w:t>
            </w:r>
          </w:p>
        </w:tc>
      </w:tr>
      <w:tr w14:paraId="431D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000" w:type="pct"/>
            <w:gridSpan w:val="3"/>
            <w:noWrap w:val="0"/>
            <w:vAlign w:val="center"/>
          </w:tcPr>
          <w:p w14:paraId="4500CC71">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满足招标文件要求且投标报价最低的报价为评标基准价，其价格分为满分。其他投标人的价格分统一按照下列公式计算：</w:t>
            </w:r>
          </w:p>
          <w:p w14:paraId="558718C6">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价格分=(评标基准价／投标报价)×30%×100。</w:t>
            </w:r>
          </w:p>
          <w:p w14:paraId="7A366EB6">
            <w:pPr>
              <w:keepNext/>
              <w:keepLines/>
              <w:pageBreakBefore w:val="0"/>
              <w:widowControl/>
              <w:shd w:val="clear" w:color="auto" w:fill="FFFFFF"/>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注：报价得分计算保留小数点后二位。</w:t>
            </w:r>
          </w:p>
          <w:p w14:paraId="3BA56E53">
            <w:pPr>
              <w:keepNext/>
              <w:keepLines/>
              <w:pageBreakBefore w:val="0"/>
              <w:widowControl/>
              <w:shd w:val="clear" w:color="auto" w:fill="FFFFFF"/>
              <w:kinsoku/>
              <w:wordWrap/>
              <w:overflowPunct/>
              <w:topLinePunct w:val="0"/>
              <w:autoSpaceDE/>
              <w:autoSpaceDN/>
              <w:bidi w:val="0"/>
              <w:adjustRightInd/>
              <w:snapToGrid/>
              <w:spacing w:line="440" w:lineRule="exact"/>
              <w:ind w:firstLine="883" w:firstLineChars="4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因落实政府采购政策进行价格调整的，以调整后的价格计算评标基准价和投标报价。</w:t>
            </w:r>
          </w:p>
          <w:p w14:paraId="41BB30A4">
            <w:pPr>
              <w:keepNext/>
              <w:keepLines/>
              <w:pageBreakBefore w:val="0"/>
              <w:widowControl/>
              <w:shd w:val="clear" w:color="auto" w:fill="FFFFFF"/>
              <w:kinsoku/>
              <w:wordWrap/>
              <w:overflowPunct/>
              <w:topLinePunct w:val="0"/>
              <w:autoSpaceDE/>
              <w:autoSpaceDN/>
              <w:bidi w:val="0"/>
              <w:adjustRightInd/>
              <w:snapToGrid/>
              <w:spacing w:line="440" w:lineRule="exact"/>
              <w:ind w:firstLine="883" w:firstLineChars="4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关于政府采购价格折扣政策说明及政府采购异常低价问题见下表：</w:t>
            </w:r>
          </w:p>
        </w:tc>
      </w:tr>
      <w:tr w14:paraId="1343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42D0489D">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政府采购价格折扣政策说明</w:t>
            </w:r>
          </w:p>
        </w:tc>
        <w:tc>
          <w:tcPr>
            <w:tcW w:w="1165" w:type="pct"/>
            <w:noWrap w:val="0"/>
            <w:vAlign w:val="center"/>
          </w:tcPr>
          <w:p w14:paraId="07638458">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中小企业</w:t>
            </w:r>
          </w:p>
        </w:tc>
        <w:tc>
          <w:tcPr>
            <w:tcW w:w="3320" w:type="pct"/>
            <w:noWrap w:val="0"/>
            <w:vAlign w:val="center"/>
          </w:tcPr>
          <w:p w14:paraId="5E80A052">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中小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部分）。</w:t>
            </w:r>
          </w:p>
          <w:p w14:paraId="3ACE754F">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部分）</w:t>
            </w:r>
          </w:p>
          <w:p w14:paraId="163C001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（3）供应商提供的货物、工程或者服务符合下列情形的，享受中小企业扶持政策：</w:t>
            </w:r>
          </w:p>
          <w:p w14:paraId="440D329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a.在货物采购项目中，货物由中小企业制造，即货物由中小企业生产且使用该中小企业商号或者注册商标；</w:t>
            </w:r>
          </w:p>
          <w:p w14:paraId="2030E4A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b.在工程采购项目中，工程由中小企业承建，即工程施工单位为中小企业；</w:t>
            </w:r>
          </w:p>
          <w:p w14:paraId="468F2F5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c.在服务采购项目中，服务由中小企业承接，即提供服务的人员为中小企业依照《中华人民共和国民法典》订立劳动合同的从业人员。</w:t>
            </w:r>
          </w:p>
          <w:p w14:paraId="0573430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在货物采购项目中，供应商提供的货物既有中小企业制造货物，也有大型企业制造货物的，不享受本办法规定的中小企业扶持政策。</w:t>
            </w:r>
          </w:p>
          <w:p w14:paraId="0ED43951">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以联合体形式参加政府采购活动，联合体各方均为中小企业的，联合体视同中小企业。其中，联合体各方均为小微企业的，联合体视同小微企业。</w:t>
            </w:r>
          </w:p>
          <w:p w14:paraId="15AC59A6">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468101E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（5）中小型企业提供的货物既有中小企业制造货物，也有大型企业制造货物的，不享受价格折扣。</w:t>
            </w:r>
          </w:p>
          <w:p w14:paraId="1F3682B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（6）联合体价格折扣：本项目若允许联合体参加，大型企业与中小企业组成联合体的，联合协议约定中小企业的合同份额占到合同总金额30%以上的，对联合体的报价给予3%的扣除，用扣除后价格参加评审。</w:t>
            </w:r>
          </w:p>
          <w:p w14:paraId="53843FB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（7）大型企业向中小企业分包的价格折扣：大型企业向一家或者多家中小企业分包的，分包意向协议约定中小企业的合同份额占到合同总金额30%以上的，对大型企业的报价给予3%的扣除，用扣除后价格参加评审。</w:t>
            </w:r>
          </w:p>
        </w:tc>
      </w:tr>
      <w:tr w14:paraId="2D6C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13" w:type="pct"/>
            <w:noWrap w:val="0"/>
            <w:vAlign w:val="center"/>
          </w:tcPr>
          <w:p w14:paraId="60B9DF0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6C2326F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监狱企业</w:t>
            </w:r>
          </w:p>
        </w:tc>
        <w:tc>
          <w:tcPr>
            <w:tcW w:w="3320" w:type="pct"/>
            <w:noWrap w:val="0"/>
            <w:vAlign w:val="center"/>
          </w:tcPr>
          <w:p w14:paraId="338B57D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（1）监狱企业参加投标视同小微企业，需提供由省级以上监狱管理局或戒毒管理局出具的属于监狱企业的证明文件。</w:t>
            </w:r>
          </w:p>
          <w:p w14:paraId="03B6341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（2）监狱企业只有提供本企业制造的货物或服务，或者提供其他小、微企业制造的货物，享受投标货物的价格折扣。</w:t>
            </w:r>
          </w:p>
          <w:p w14:paraId="33162C9F">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（3）监狱企业与中型企业组成联合体参加投标的，或者向监狱企业分包，且联合体协议或分包意向协议约定监狱企业的协议金额占到合同金额30%以上的，享受投标的3%的价格扣除，用扣除后的价格参与评审。</w:t>
            </w:r>
          </w:p>
        </w:tc>
      </w:tr>
      <w:tr w14:paraId="4F09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13" w:type="pct"/>
            <w:noWrap w:val="0"/>
            <w:vAlign w:val="center"/>
          </w:tcPr>
          <w:p w14:paraId="6A55C295">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5D173A5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残疾人福利性单位</w:t>
            </w:r>
          </w:p>
        </w:tc>
        <w:tc>
          <w:tcPr>
            <w:tcW w:w="3320" w:type="pct"/>
            <w:noWrap w:val="0"/>
            <w:vAlign w:val="center"/>
          </w:tcPr>
          <w:p w14:paraId="54F0AE2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（1）须根据财库【2017】141号《关于促进残疾人就业政府采购政策的通知》的要求，如实填写残疾人福利性单位声明函（格式见第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部分），残疾人福利性单位参加本项目投标时，享受10%的价格折扣，用扣除后的价格参与评审。</w:t>
            </w:r>
          </w:p>
          <w:p w14:paraId="3055F2B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（2）享受政府采购支持政策的残疾人福利性单位应当同时满足以下条件：</w:t>
            </w:r>
          </w:p>
          <w:p w14:paraId="6C4D73E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A.安置的残疾人占本单位在职职工人数的比例不低于25%（含25%），并且安置的残疾人人数不少于10人（含10人）；</w:t>
            </w:r>
          </w:p>
          <w:p w14:paraId="726456C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B.依法与安置的每位残疾人签订了一年以上（含一年）的劳动合同或服务协议；</w:t>
            </w:r>
          </w:p>
          <w:p w14:paraId="0E6320A3">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C.为安置的每位残疾人按月足额缴纳了基本养老保险、基本医疗保险、失业保险、工伤保险和生育保险等社会保险费；</w:t>
            </w:r>
          </w:p>
          <w:p w14:paraId="0BE7D42D">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D.通过银行等金融机构向安置的每位残疾人，按月支付了不低于单位所在区县适用的经省级人民政府批准的月最低工资标准的工资；</w:t>
            </w:r>
          </w:p>
          <w:p w14:paraId="57C3765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E．提供本单位制造的货物、承担的工程或者服务（以下简称产品），或者提供其他残疾人福利性单位制造的货物（不包括使用非残疾人福利性单位注册商标的货物）。</w:t>
            </w:r>
          </w:p>
          <w:p w14:paraId="00A0106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017C03">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（3）残疾人福利性单位属于小型、微型企业的，不重复享受政策。</w:t>
            </w:r>
          </w:p>
        </w:tc>
      </w:tr>
      <w:tr w14:paraId="4E3D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43A034B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4CC60DCD">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创新产品</w:t>
            </w:r>
          </w:p>
          <w:p w14:paraId="5834B928">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创新服务</w:t>
            </w:r>
          </w:p>
        </w:tc>
        <w:tc>
          <w:tcPr>
            <w:tcW w:w="3320" w:type="pct"/>
            <w:noWrap w:val="0"/>
            <w:vAlign w:val="center"/>
          </w:tcPr>
          <w:p w14:paraId="2361915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1）投标人投标产品或服务属于《山西省创新产品和服务推荐清单》中创新产品或创新服务的，在评审时，享受投标产品10%的价格折扣，以折扣后的价格参与评审。</w:t>
            </w:r>
          </w:p>
          <w:p w14:paraId="711229BF">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（2）投标人投标创新产品或创新服务的，应在投标文件中填写《创新产品或创新服务明细表》，并提供《山西省创新产品和服务推荐清单》。</w:t>
            </w:r>
          </w:p>
          <w:p w14:paraId="2D7BECF5">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（3）创新产品或创新服务的价格折扣政策可与其他政府采购政策叠加。</w:t>
            </w:r>
          </w:p>
        </w:tc>
      </w:tr>
      <w:tr w14:paraId="3834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13" w:type="pct"/>
            <w:noWrap w:val="0"/>
            <w:vAlign w:val="center"/>
          </w:tcPr>
          <w:p w14:paraId="5A6EC44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01C57886">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对本国产品的支持政策</w:t>
            </w:r>
          </w:p>
        </w:tc>
        <w:tc>
          <w:tcPr>
            <w:tcW w:w="3320" w:type="pct"/>
            <w:noWrap w:val="0"/>
            <w:vAlign w:val="center"/>
          </w:tcPr>
          <w:p w14:paraId="4C9BECB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D813F93">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6E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62CB95C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政府采购异常低价问题</w:t>
            </w:r>
          </w:p>
        </w:tc>
        <w:tc>
          <w:tcPr>
            <w:tcW w:w="1165" w:type="pct"/>
            <w:noWrap w:val="0"/>
            <w:vAlign w:val="center"/>
          </w:tcPr>
          <w:p w14:paraId="3E5687B1">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强化政府采购异常低价审查</w:t>
            </w:r>
          </w:p>
        </w:tc>
        <w:tc>
          <w:tcPr>
            <w:tcW w:w="3320" w:type="pct"/>
            <w:noWrap w:val="0"/>
            <w:vAlign w:val="center"/>
          </w:tcPr>
          <w:p w14:paraId="073C947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强化政府采购异常低价审查 </w:t>
            </w:r>
          </w:p>
          <w:p w14:paraId="6B47C1C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（一）采购人应当在采购文件中明确，政府采购评审中出现下列情形之一的，评审委员会应当启动异常低价投标（响应）审查程序： </w:t>
            </w:r>
          </w:p>
          <w:p w14:paraId="0375091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1.投标（响应）报价低于全部通过符合性审查供应商投标（响应）报价平均值50%的，即投标（响应）报价&lt;全部通过符合性审查供应商投标（响应）报价平均值×50%； </w:t>
            </w:r>
          </w:p>
          <w:p w14:paraId="384E469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2.投标（响应）报价低于通过符合性审查的次低报价供应商投标（响应）报价50%的，即投标（响应）报价&lt;通过符合性审查的次低报价供应商投标（响应）报价×50%； </w:t>
            </w:r>
          </w:p>
          <w:p w14:paraId="5F3C18D2">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3.投标（响应）报价低于采购项目最高限价45%的，即投标（响应）报价&lt;采购项目最高限价×45%； </w:t>
            </w:r>
          </w:p>
          <w:p w14:paraId="1C916AE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4.评审委员会基于专业判断，认为供应商报价过低，有可能影响产品质量或者不能诚信履约的其他情形。 </w:t>
            </w:r>
          </w:p>
          <w:p w14:paraId="53D4103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采购人可以结合具体项目实际情况，提高上述第1项至第3项中启动异常低价投标（响应）审查的数值标准，但是最高不得超过65%。 </w:t>
            </w:r>
          </w:p>
          <w:p w14:paraId="6830AB30">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相关法律法规对供应商报价有规定的，从其规定。 </w:t>
            </w:r>
          </w:p>
          <w:p w14:paraId="3E230432">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5D9353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AAA2DC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A317DB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异常低价投标（响应）审查的启动原因、审查意见和审查结果应当在评审报告中记录，并随供应商提供的相关书面说明及证明材料，以及评审委员会有关互联网浏览、查询历史一并归档。</w:t>
            </w:r>
          </w:p>
        </w:tc>
      </w:tr>
    </w:tbl>
    <w:p w14:paraId="4A741C90">
      <w:pPr>
        <w:pStyle w:val="2"/>
        <w:keepNext/>
        <w:keepLines/>
        <w:pageBreakBefore w:val="0"/>
        <w:widowControl/>
        <w:numPr>
          <w:ilvl w:val="0"/>
          <w:numId w:val="0"/>
        </w:numPr>
        <w:shd w:val="clear" w:color="auto" w:fill="FFFFFF"/>
        <w:wordWrap/>
        <w:overflowPunct/>
        <w:topLinePunct w:val="0"/>
        <w:bidi w:val="0"/>
        <w:spacing w:line="360" w:lineRule="auto"/>
        <w:jc w:val="both"/>
        <w:rPr>
          <w:rFonts w:hint="eastAsia" w:ascii="宋体" w:hAnsi="宋体" w:eastAsia="宋体" w:cs="宋体"/>
          <w:b w:val="0"/>
          <w:bCs w:val="0"/>
          <w:color w:val="auto"/>
          <w:highlight w:val="none"/>
          <w:lang w:val="en-US" w:eastAsia="zh-CN"/>
        </w:rPr>
      </w:pPr>
    </w:p>
    <w:p w14:paraId="5F5F2C5C">
      <w:pPr>
        <w:rPr>
          <w:rFonts w:hint="eastAsia" w:ascii="宋体" w:hAnsi="宋体" w:eastAsia="宋体" w:cs="宋体"/>
          <w:color w:val="auto"/>
          <w:sz w:val="28"/>
          <w:szCs w:val="28"/>
          <w:highlight w:val="none"/>
          <w:lang w:val="en-US" w:eastAsia="zh-CN"/>
        </w:rPr>
      </w:pPr>
      <w:bookmarkStart w:id="105" w:name="_Toc26056"/>
      <w:r>
        <w:rPr>
          <w:rFonts w:hint="eastAsia" w:ascii="宋体" w:hAnsi="宋体" w:eastAsia="宋体" w:cs="宋体"/>
          <w:color w:val="auto"/>
          <w:sz w:val="28"/>
          <w:szCs w:val="28"/>
          <w:highlight w:val="none"/>
          <w:lang w:val="en-US" w:eastAsia="zh-CN"/>
        </w:rPr>
        <w:br w:type="page"/>
      </w:r>
    </w:p>
    <w:p w14:paraId="034177CD">
      <w:pPr>
        <w:pStyle w:val="2"/>
        <w:keepNext/>
        <w:keepLines/>
        <w:pageBreakBefore w:val="0"/>
        <w:widowControl/>
        <w:numPr>
          <w:ilvl w:val="0"/>
          <w:numId w:val="0"/>
        </w:numPr>
        <w:shd w:val="clear" w:color="auto" w:fill="FFFFFF"/>
        <w:wordWrap/>
        <w:overflowPunct/>
        <w:topLinePunct w:val="0"/>
        <w:bidi w:val="0"/>
        <w:spacing w:line="360" w:lineRule="auto"/>
        <w:jc w:val="center"/>
        <w:rPr>
          <w:rFonts w:hint="eastAsia" w:ascii="宋体" w:hAnsi="宋体" w:eastAsia="宋体" w:cs="宋体"/>
          <w:bCs w:val="0"/>
          <w:color w:val="auto"/>
          <w:kern w:val="2"/>
          <w:sz w:val="28"/>
          <w:szCs w:val="28"/>
          <w:highlight w:val="none"/>
        </w:rPr>
      </w:pPr>
      <w:r>
        <w:rPr>
          <w:rFonts w:hint="eastAsia" w:ascii="宋体" w:hAnsi="宋体" w:eastAsia="宋体" w:cs="宋体"/>
          <w:color w:val="auto"/>
          <w:sz w:val="28"/>
          <w:szCs w:val="28"/>
          <w:highlight w:val="none"/>
          <w:lang w:val="en-US" w:eastAsia="zh-CN"/>
        </w:rPr>
        <w:t xml:space="preserve">第四部分 </w:t>
      </w:r>
      <w:r>
        <w:rPr>
          <w:rFonts w:hint="eastAsia" w:ascii="宋体" w:hAnsi="宋体" w:eastAsia="宋体" w:cs="宋体"/>
          <w:bCs w:val="0"/>
          <w:color w:val="auto"/>
          <w:kern w:val="2"/>
          <w:sz w:val="28"/>
          <w:szCs w:val="28"/>
          <w:highlight w:val="none"/>
        </w:rPr>
        <w:t>采购需求</w:t>
      </w:r>
      <w:bookmarkEnd w:id="103"/>
      <w:bookmarkEnd w:id="104"/>
      <w:bookmarkEnd w:id="105"/>
    </w:p>
    <w:p w14:paraId="758925B4">
      <w:pPr>
        <w:keepNext/>
        <w:keepLines/>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32"/>
          <w:highlight w:val="none"/>
          <w:lang w:val="en-US" w:eastAsia="zh-CN"/>
        </w:rPr>
      </w:pPr>
      <w:bookmarkStart w:id="106" w:name="_Toc64566213"/>
      <w:r>
        <w:rPr>
          <w:rFonts w:hint="eastAsia" w:ascii="宋体" w:hAnsi="宋体" w:eastAsia="宋体" w:cs="宋体"/>
          <w:b/>
          <w:bCs/>
          <w:color w:val="auto"/>
          <w:sz w:val="24"/>
          <w:szCs w:val="32"/>
          <w:highlight w:val="none"/>
          <w:lang w:val="en-US" w:eastAsia="zh-CN"/>
        </w:rPr>
        <w:t>一、商务要求</w:t>
      </w:r>
    </w:p>
    <w:p w14:paraId="6500B55A">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1、项目名称：长治市屯留区医疗集团医疗设备购置；</w:t>
      </w:r>
    </w:p>
    <w:p w14:paraId="20F72211">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2、</w:t>
      </w:r>
      <w:r>
        <w:rPr>
          <w:rFonts w:hint="eastAsia" w:ascii="宋体" w:hAnsi="宋体" w:eastAsia="宋体" w:cs="宋体"/>
          <w:color w:val="auto"/>
          <w:sz w:val="24"/>
          <w:szCs w:val="32"/>
          <w:highlight w:val="none"/>
          <w:lang w:val="en-US" w:eastAsia="zh-CN"/>
        </w:rPr>
        <w:t>预算金额（元）：1686822</w:t>
      </w:r>
    </w:p>
    <w:p w14:paraId="7BF77069">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3、</w:t>
      </w:r>
      <w:r>
        <w:rPr>
          <w:rFonts w:hint="eastAsia" w:ascii="宋体" w:hAnsi="宋体" w:eastAsia="宋体" w:cs="宋体"/>
          <w:color w:val="auto"/>
          <w:sz w:val="24"/>
          <w:szCs w:val="32"/>
          <w:highlight w:val="none"/>
          <w:lang w:val="en-US" w:eastAsia="zh-CN"/>
        </w:rPr>
        <w:t>最高限价（元）：1686822</w:t>
      </w:r>
      <w:r>
        <w:rPr>
          <w:rFonts w:hint="eastAsia" w:ascii="宋体" w:hAnsi="宋体" w:cs="宋体"/>
          <w:color w:val="auto"/>
          <w:sz w:val="24"/>
          <w:szCs w:val="32"/>
          <w:highlight w:val="none"/>
          <w:lang w:val="en-US" w:eastAsia="zh-CN"/>
        </w:rPr>
        <w:t>（包1：</w:t>
      </w:r>
      <w:r>
        <w:rPr>
          <w:rFonts w:hint="eastAsia" w:ascii="宋体" w:hAnsi="宋体" w:eastAsia="宋体" w:cs="宋体"/>
          <w:color w:val="auto"/>
          <w:sz w:val="24"/>
          <w:szCs w:val="32"/>
          <w:highlight w:val="none"/>
          <w:lang w:val="en-US" w:eastAsia="zh-CN"/>
        </w:rPr>
        <w:t>410000</w:t>
      </w:r>
      <w:r>
        <w:rPr>
          <w:rFonts w:hint="eastAsia" w:ascii="宋体" w:hAnsi="宋体" w:cs="宋体"/>
          <w:color w:val="auto"/>
          <w:sz w:val="24"/>
          <w:szCs w:val="32"/>
          <w:highlight w:val="none"/>
          <w:lang w:val="en-US" w:eastAsia="zh-CN"/>
        </w:rPr>
        <w:t>；包2：</w:t>
      </w:r>
      <w:r>
        <w:rPr>
          <w:rFonts w:hint="eastAsia" w:ascii="宋体" w:hAnsi="宋体" w:eastAsia="宋体" w:cs="宋体"/>
          <w:color w:val="auto"/>
          <w:sz w:val="24"/>
          <w:szCs w:val="32"/>
          <w:highlight w:val="none"/>
          <w:lang w:val="en-US" w:eastAsia="zh-CN"/>
        </w:rPr>
        <w:t>645000</w:t>
      </w:r>
      <w:r>
        <w:rPr>
          <w:rFonts w:hint="eastAsia" w:ascii="宋体" w:hAnsi="宋体" w:cs="宋体"/>
          <w:color w:val="auto"/>
          <w:sz w:val="24"/>
          <w:szCs w:val="32"/>
          <w:highlight w:val="none"/>
          <w:lang w:val="en-US" w:eastAsia="zh-CN"/>
        </w:rPr>
        <w:t>；包3：</w:t>
      </w:r>
      <w:r>
        <w:rPr>
          <w:rFonts w:hint="eastAsia" w:ascii="宋体" w:hAnsi="宋体" w:eastAsia="宋体" w:cs="宋体"/>
          <w:color w:val="auto"/>
          <w:sz w:val="24"/>
          <w:szCs w:val="32"/>
          <w:highlight w:val="none"/>
          <w:lang w:val="en-US" w:eastAsia="zh-CN"/>
        </w:rPr>
        <w:t>631822</w:t>
      </w:r>
      <w:r>
        <w:rPr>
          <w:rFonts w:hint="eastAsia" w:ascii="宋体" w:hAnsi="宋体" w:cs="宋体"/>
          <w:color w:val="auto"/>
          <w:sz w:val="24"/>
          <w:szCs w:val="32"/>
          <w:highlight w:val="none"/>
          <w:lang w:val="en-US" w:eastAsia="zh-CN"/>
        </w:rPr>
        <w:t>）</w:t>
      </w:r>
    </w:p>
    <w:p w14:paraId="7BB316FF">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4、合同履约期限(供货期限)：自合同签订之日起15个工作日内。</w:t>
      </w:r>
    </w:p>
    <w:p w14:paraId="106ABEE9">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5、交货地点：</w:t>
      </w:r>
      <w:r>
        <w:rPr>
          <w:rFonts w:hint="eastAsia" w:ascii="宋体" w:hAnsi="宋体" w:eastAsia="宋体" w:cs="宋体"/>
          <w:color w:val="auto"/>
          <w:sz w:val="24"/>
          <w:szCs w:val="24"/>
          <w:highlight w:val="none"/>
          <w:lang w:val="en-US" w:eastAsia="zh-CN"/>
        </w:rPr>
        <w:t>长治市屯留区</w:t>
      </w:r>
      <w:r>
        <w:rPr>
          <w:rFonts w:hint="eastAsia" w:ascii="宋体" w:hAnsi="宋体" w:eastAsia="宋体" w:cs="宋体"/>
          <w:color w:val="auto"/>
          <w:sz w:val="24"/>
          <w:szCs w:val="32"/>
          <w:highlight w:val="none"/>
          <w:lang w:val="en-US" w:eastAsia="zh-CN"/>
        </w:rPr>
        <w:t>；</w:t>
      </w:r>
    </w:p>
    <w:p w14:paraId="690DD932">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6、质保期：三年；</w:t>
      </w:r>
    </w:p>
    <w:p w14:paraId="3947BAE6">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7、质量标准：合格；</w:t>
      </w:r>
    </w:p>
    <w:p w14:paraId="60775864">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8、</w:t>
      </w:r>
      <w:r>
        <w:rPr>
          <w:rFonts w:hint="eastAsia" w:ascii="宋体" w:hAnsi="宋体" w:eastAsia="宋体" w:cs="宋体"/>
          <w:color w:val="auto"/>
          <w:sz w:val="24"/>
          <w:szCs w:val="24"/>
          <w:highlight w:val="none"/>
          <w:lang w:val="en-US" w:eastAsia="zh-CN"/>
        </w:rPr>
        <w:t>付款方式：货到且安装完成并验收合格后，一次性支付</w:t>
      </w:r>
      <w:r>
        <w:rPr>
          <w:rFonts w:hint="eastAsia" w:ascii="宋体" w:hAnsi="宋体" w:eastAsia="宋体" w:cs="宋体"/>
          <w:b w:val="0"/>
          <w:bCs/>
          <w:color w:val="auto"/>
          <w:sz w:val="24"/>
          <w:szCs w:val="24"/>
          <w:highlight w:val="none"/>
          <w:lang w:val="en-US" w:eastAsia="zh-CN"/>
        </w:rPr>
        <w:t>。</w:t>
      </w:r>
    </w:p>
    <w:p w14:paraId="60640EC6">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9、履约验收：供应商供货完成，提供供货清单及产品合格证，并递交书面申请，经甲方同意后甲方及专家开展验收；</w:t>
      </w:r>
    </w:p>
    <w:p w14:paraId="0BE03637">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10、本项目采购预算包含货物的供应、运输、安装、调试、培训和售后服务、税金等完成本项目所需的所有费用；</w:t>
      </w:r>
    </w:p>
    <w:p w14:paraId="14DD0800">
      <w:pPr>
        <w:widowControl w:val="0"/>
        <w:numPr>
          <w:ilvl w:val="0"/>
          <w:numId w:val="0"/>
        </w:numPr>
        <w:jc w:val="left"/>
        <w:rPr>
          <w:rFonts w:hint="eastAsia" w:ascii="宋体" w:hAnsi="宋体" w:eastAsia="宋体" w:cs="宋体"/>
          <w:b/>
          <w:bCs/>
          <w:color w:val="auto"/>
          <w:sz w:val="24"/>
          <w:szCs w:val="32"/>
          <w:highlight w:val="none"/>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color w:val="auto"/>
          <w:sz w:val="24"/>
          <w:szCs w:val="32"/>
          <w:highlight w:val="none"/>
          <w:lang w:val="en-US" w:eastAsia="zh-CN"/>
        </w:rPr>
        <w:t>二、技术要求</w:t>
      </w:r>
    </w:p>
    <w:p w14:paraId="6FCA0CFD">
      <w:pPr>
        <w:jc w:val="center"/>
        <w:rPr>
          <w:rFonts w:hint="eastAsia" w:ascii="宋体" w:hAnsi="宋体" w:eastAsia="宋体" w:cs="宋体"/>
          <w:b/>
          <w:bCs/>
          <w:sz w:val="32"/>
          <w:szCs w:val="36"/>
          <w:highlight w:val="none"/>
        </w:rPr>
      </w:pPr>
      <w:r>
        <w:rPr>
          <w:rFonts w:hint="eastAsia" w:ascii="宋体" w:hAnsi="宋体" w:eastAsia="宋体" w:cs="宋体"/>
          <w:b/>
          <w:bCs/>
          <w:sz w:val="32"/>
          <w:szCs w:val="36"/>
          <w:highlight w:val="none"/>
          <w:lang w:val="en-US" w:eastAsia="zh-CN"/>
        </w:rPr>
        <w:t xml:space="preserve"> 长治市屯留区医疗集团医疗设备购置</w:t>
      </w:r>
    </w:p>
    <w:p w14:paraId="555E5715">
      <w:pPr>
        <w:jc w:val="center"/>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rPr>
        <w:t>配套设施设备类</w:t>
      </w:r>
      <w:r>
        <w:rPr>
          <w:rFonts w:hint="eastAsia" w:ascii="宋体" w:hAnsi="宋体" w:eastAsia="宋体" w:cs="宋体"/>
          <w:b/>
          <w:bCs/>
          <w:sz w:val="32"/>
          <w:szCs w:val="36"/>
          <w:highlight w:val="none"/>
          <w:lang w:val="en-US" w:eastAsia="zh-CN"/>
        </w:rPr>
        <w:t>明细表</w:t>
      </w:r>
    </w:p>
    <w:p w14:paraId="3833BCEC">
      <w:pPr>
        <w:widowControl w:val="0"/>
        <w:numPr>
          <w:ilvl w:val="0"/>
          <w:numId w:val="0"/>
        </w:numPr>
        <w:jc w:val="left"/>
        <w:rPr>
          <w:rFonts w:hint="eastAsia" w:ascii="宋体" w:hAnsi="宋体" w:eastAsia="宋体" w:cs="宋体"/>
          <w:b/>
          <w:bCs/>
          <w:color w:val="auto"/>
          <w:sz w:val="24"/>
          <w:szCs w:val="32"/>
          <w:highlight w:val="none"/>
          <w:lang w:val="en-US" w:eastAsia="zh-CN"/>
        </w:rPr>
      </w:pPr>
    </w:p>
    <w:tbl>
      <w:tblPr>
        <w:tblStyle w:val="2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3384"/>
        <w:gridCol w:w="733"/>
        <w:gridCol w:w="733"/>
        <w:gridCol w:w="1460"/>
        <w:gridCol w:w="1460"/>
        <w:gridCol w:w="1454"/>
      </w:tblGrid>
      <w:tr w14:paraId="3B96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4629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699" w:type="pct"/>
            <w:tcBorders>
              <w:top w:val="single" w:color="000000" w:sz="8" w:space="0"/>
              <w:left w:val="nil"/>
              <w:bottom w:val="single" w:color="000000" w:sz="8" w:space="0"/>
              <w:right w:val="single" w:color="000000" w:sz="8" w:space="0"/>
            </w:tcBorders>
            <w:shd w:val="clear" w:color="auto" w:fill="auto"/>
            <w:vAlign w:val="center"/>
          </w:tcPr>
          <w:p w14:paraId="00D9FF2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368" w:type="pct"/>
            <w:tcBorders>
              <w:top w:val="single" w:color="000000" w:sz="8" w:space="0"/>
              <w:left w:val="nil"/>
              <w:bottom w:val="single" w:color="000000" w:sz="8" w:space="0"/>
              <w:right w:val="single" w:color="000000" w:sz="8" w:space="0"/>
            </w:tcBorders>
            <w:shd w:val="clear" w:color="auto" w:fill="auto"/>
            <w:vAlign w:val="center"/>
          </w:tcPr>
          <w:p w14:paraId="3DF1F6C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368" w:type="pct"/>
            <w:tcBorders>
              <w:top w:val="single" w:color="000000" w:sz="8" w:space="0"/>
              <w:left w:val="nil"/>
              <w:bottom w:val="single" w:color="000000" w:sz="8" w:space="0"/>
              <w:right w:val="single" w:color="000000" w:sz="8" w:space="0"/>
            </w:tcBorders>
            <w:shd w:val="clear" w:color="auto" w:fill="auto"/>
            <w:vAlign w:val="center"/>
          </w:tcPr>
          <w:p w14:paraId="6CAAD69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33" w:type="pct"/>
            <w:tcBorders>
              <w:top w:val="single" w:color="000000" w:sz="8" w:space="0"/>
              <w:left w:val="nil"/>
              <w:bottom w:val="single" w:color="000000" w:sz="8" w:space="0"/>
              <w:right w:val="single" w:color="000000" w:sz="8" w:space="0"/>
            </w:tcBorders>
            <w:shd w:val="clear" w:color="auto" w:fill="auto"/>
            <w:vAlign w:val="center"/>
          </w:tcPr>
          <w:p w14:paraId="2A8F673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单价（元）</w:t>
            </w:r>
          </w:p>
        </w:tc>
        <w:tc>
          <w:tcPr>
            <w:tcW w:w="733" w:type="pct"/>
            <w:tcBorders>
              <w:top w:val="single" w:color="000000" w:sz="8" w:space="0"/>
              <w:left w:val="nil"/>
              <w:bottom w:val="single" w:color="000000" w:sz="8" w:space="0"/>
              <w:right w:val="single" w:color="000000" w:sz="8" w:space="0"/>
            </w:tcBorders>
            <w:shd w:val="clear" w:color="auto" w:fill="auto"/>
            <w:vAlign w:val="center"/>
          </w:tcPr>
          <w:p w14:paraId="1DC911D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总价（元）</w:t>
            </w:r>
          </w:p>
        </w:tc>
        <w:tc>
          <w:tcPr>
            <w:tcW w:w="730" w:type="pct"/>
            <w:tcBorders>
              <w:top w:val="single" w:color="000000" w:sz="8" w:space="0"/>
              <w:left w:val="nil"/>
              <w:bottom w:val="single" w:color="000000" w:sz="8" w:space="0"/>
              <w:right w:val="single" w:color="000000" w:sz="8" w:space="0"/>
            </w:tcBorders>
            <w:shd w:val="clear" w:color="auto" w:fill="auto"/>
            <w:vAlign w:val="center"/>
          </w:tcPr>
          <w:p w14:paraId="58E27AB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备注</w:t>
            </w:r>
          </w:p>
        </w:tc>
      </w:tr>
      <w:tr w14:paraId="3E30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6" w:type="pct"/>
            <w:tcBorders>
              <w:top w:val="nil"/>
              <w:left w:val="single" w:color="000000" w:sz="8" w:space="0"/>
              <w:bottom w:val="single" w:color="000000" w:sz="8" w:space="0"/>
              <w:right w:val="single" w:color="000000" w:sz="8" w:space="0"/>
            </w:tcBorders>
            <w:shd w:val="clear" w:color="auto" w:fill="auto"/>
            <w:vAlign w:val="center"/>
          </w:tcPr>
          <w:p w14:paraId="0AF9B6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包1</w:t>
            </w:r>
          </w:p>
        </w:tc>
        <w:tc>
          <w:tcPr>
            <w:tcW w:w="1699" w:type="pct"/>
            <w:tcBorders>
              <w:top w:val="nil"/>
              <w:left w:val="nil"/>
              <w:bottom w:val="single" w:color="000000" w:sz="8" w:space="0"/>
              <w:right w:val="single" w:color="000000" w:sz="8" w:space="0"/>
            </w:tcBorders>
            <w:shd w:val="clear" w:color="auto" w:fill="auto"/>
            <w:vAlign w:val="center"/>
          </w:tcPr>
          <w:p w14:paraId="4EA91A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超声骨密度检查仪</w:t>
            </w:r>
          </w:p>
        </w:tc>
        <w:tc>
          <w:tcPr>
            <w:tcW w:w="368" w:type="pct"/>
            <w:tcBorders>
              <w:top w:val="nil"/>
              <w:left w:val="nil"/>
              <w:bottom w:val="single" w:color="000000" w:sz="8" w:space="0"/>
              <w:right w:val="single" w:color="000000" w:sz="8" w:space="0"/>
            </w:tcBorders>
            <w:shd w:val="clear" w:color="auto" w:fill="auto"/>
            <w:vAlign w:val="center"/>
          </w:tcPr>
          <w:p w14:paraId="34906E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68" w:type="pct"/>
            <w:tcBorders>
              <w:top w:val="nil"/>
              <w:left w:val="nil"/>
              <w:bottom w:val="single" w:color="000000" w:sz="8" w:space="0"/>
              <w:right w:val="single" w:color="000000" w:sz="8" w:space="0"/>
            </w:tcBorders>
            <w:shd w:val="clear" w:color="auto" w:fill="auto"/>
            <w:vAlign w:val="center"/>
          </w:tcPr>
          <w:p w14:paraId="695C8B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4DC503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205000</w:t>
            </w:r>
          </w:p>
        </w:tc>
        <w:tc>
          <w:tcPr>
            <w:tcW w:w="733" w:type="pct"/>
            <w:tcBorders>
              <w:top w:val="nil"/>
              <w:left w:val="nil"/>
              <w:bottom w:val="single" w:color="000000" w:sz="8" w:space="0"/>
              <w:right w:val="single" w:color="000000" w:sz="8" w:space="0"/>
            </w:tcBorders>
            <w:shd w:val="clear" w:color="auto" w:fill="auto"/>
            <w:vAlign w:val="center"/>
          </w:tcPr>
          <w:p w14:paraId="03F1F2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410000</w:t>
            </w:r>
          </w:p>
        </w:tc>
        <w:tc>
          <w:tcPr>
            <w:tcW w:w="730" w:type="pct"/>
            <w:tcBorders>
              <w:top w:val="nil"/>
              <w:left w:val="nil"/>
              <w:bottom w:val="single" w:color="000000" w:sz="8" w:space="0"/>
              <w:right w:val="single" w:color="000000" w:sz="8" w:space="0"/>
            </w:tcBorders>
            <w:shd w:val="clear" w:color="auto" w:fill="auto"/>
            <w:vAlign w:val="center"/>
          </w:tcPr>
          <w:p w14:paraId="4C0300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3CDA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restart"/>
            <w:tcBorders>
              <w:top w:val="nil"/>
              <w:left w:val="single" w:color="000000" w:sz="8" w:space="0"/>
              <w:bottom w:val="single" w:color="000000" w:sz="8" w:space="0"/>
              <w:right w:val="single" w:color="000000" w:sz="8" w:space="0"/>
            </w:tcBorders>
            <w:shd w:val="clear" w:color="auto" w:fill="auto"/>
            <w:vAlign w:val="center"/>
          </w:tcPr>
          <w:p w14:paraId="5389A5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包2</w:t>
            </w:r>
          </w:p>
        </w:tc>
        <w:tc>
          <w:tcPr>
            <w:tcW w:w="1699" w:type="pct"/>
            <w:tcBorders>
              <w:top w:val="nil"/>
              <w:left w:val="nil"/>
              <w:bottom w:val="single" w:color="000000" w:sz="8" w:space="0"/>
              <w:right w:val="single" w:color="000000" w:sz="8" w:space="0"/>
            </w:tcBorders>
            <w:shd w:val="clear" w:color="auto" w:fill="auto"/>
            <w:vAlign w:val="center"/>
          </w:tcPr>
          <w:p w14:paraId="3ED3F0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健康一体机</w:t>
            </w:r>
          </w:p>
        </w:tc>
        <w:tc>
          <w:tcPr>
            <w:tcW w:w="368" w:type="pct"/>
            <w:tcBorders>
              <w:top w:val="nil"/>
              <w:left w:val="nil"/>
              <w:bottom w:val="single" w:color="000000" w:sz="8" w:space="0"/>
              <w:right w:val="single" w:color="000000" w:sz="8" w:space="0"/>
            </w:tcBorders>
            <w:shd w:val="clear" w:color="auto" w:fill="auto"/>
            <w:vAlign w:val="center"/>
          </w:tcPr>
          <w:p w14:paraId="1E232F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68" w:type="pct"/>
            <w:tcBorders>
              <w:top w:val="nil"/>
              <w:left w:val="nil"/>
              <w:bottom w:val="single" w:color="000000" w:sz="8" w:space="0"/>
              <w:right w:val="single" w:color="000000" w:sz="8" w:space="0"/>
            </w:tcBorders>
            <w:shd w:val="clear" w:color="auto" w:fill="auto"/>
            <w:vAlign w:val="center"/>
          </w:tcPr>
          <w:p w14:paraId="00FEE2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4823C3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145000</w:t>
            </w:r>
          </w:p>
        </w:tc>
        <w:tc>
          <w:tcPr>
            <w:tcW w:w="733" w:type="pct"/>
            <w:tcBorders>
              <w:top w:val="nil"/>
              <w:left w:val="nil"/>
              <w:bottom w:val="single" w:color="000000" w:sz="8" w:space="0"/>
              <w:right w:val="single" w:color="000000" w:sz="8" w:space="0"/>
            </w:tcBorders>
            <w:shd w:val="clear" w:color="auto" w:fill="auto"/>
            <w:vAlign w:val="center"/>
          </w:tcPr>
          <w:p w14:paraId="216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145000</w:t>
            </w:r>
          </w:p>
        </w:tc>
        <w:tc>
          <w:tcPr>
            <w:tcW w:w="730" w:type="pct"/>
            <w:tcBorders>
              <w:top w:val="nil"/>
              <w:left w:val="nil"/>
              <w:bottom w:val="single" w:color="000000" w:sz="8" w:space="0"/>
              <w:right w:val="single" w:color="000000" w:sz="8" w:space="0"/>
            </w:tcBorders>
            <w:shd w:val="clear" w:color="auto" w:fill="auto"/>
            <w:vAlign w:val="center"/>
          </w:tcPr>
          <w:p w14:paraId="615046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区人民医院</w:t>
            </w:r>
          </w:p>
        </w:tc>
      </w:tr>
      <w:tr w14:paraId="448D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1886FAB5">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093D67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健康一体机</w:t>
            </w:r>
          </w:p>
        </w:tc>
        <w:tc>
          <w:tcPr>
            <w:tcW w:w="368" w:type="pct"/>
            <w:tcBorders>
              <w:top w:val="nil"/>
              <w:left w:val="nil"/>
              <w:bottom w:val="single" w:color="000000" w:sz="8" w:space="0"/>
              <w:right w:val="single" w:color="000000" w:sz="8" w:space="0"/>
            </w:tcBorders>
            <w:shd w:val="clear" w:color="auto" w:fill="auto"/>
            <w:vAlign w:val="center"/>
          </w:tcPr>
          <w:p w14:paraId="79F06C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8" w:type="pct"/>
            <w:tcBorders>
              <w:top w:val="nil"/>
              <w:left w:val="nil"/>
              <w:bottom w:val="single" w:color="000000" w:sz="8" w:space="0"/>
              <w:right w:val="single" w:color="000000" w:sz="8" w:space="0"/>
            </w:tcBorders>
            <w:shd w:val="clear" w:color="auto" w:fill="auto"/>
            <w:vAlign w:val="center"/>
          </w:tcPr>
          <w:p w14:paraId="6C11CE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5EFBE9B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100000</w:t>
            </w:r>
          </w:p>
        </w:tc>
        <w:tc>
          <w:tcPr>
            <w:tcW w:w="733" w:type="pct"/>
            <w:tcBorders>
              <w:top w:val="nil"/>
              <w:left w:val="nil"/>
              <w:bottom w:val="single" w:color="000000" w:sz="8" w:space="0"/>
              <w:right w:val="single" w:color="000000" w:sz="8" w:space="0"/>
            </w:tcBorders>
            <w:shd w:val="clear" w:color="auto" w:fill="auto"/>
            <w:vAlign w:val="center"/>
          </w:tcPr>
          <w:p w14:paraId="556E7C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500000</w:t>
            </w:r>
          </w:p>
        </w:tc>
        <w:tc>
          <w:tcPr>
            <w:tcW w:w="730" w:type="pct"/>
            <w:tcBorders>
              <w:top w:val="nil"/>
              <w:left w:val="nil"/>
              <w:bottom w:val="single" w:color="000000" w:sz="8" w:space="0"/>
              <w:right w:val="single" w:color="000000" w:sz="8" w:space="0"/>
            </w:tcBorders>
            <w:shd w:val="clear" w:color="auto" w:fill="auto"/>
            <w:vAlign w:val="center"/>
          </w:tcPr>
          <w:p w14:paraId="7FA961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乡镇卫生院</w:t>
            </w:r>
          </w:p>
        </w:tc>
      </w:tr>
      <w:tr w14:paraId="5D4A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restart"/>
            <w:tcBorders>
              <w:top w:val="nil"/>
              <w:left w:val="single" w:color="000000" w:sz="8" w:space="0"/>
              <w:bottom w:val="single" w:color="000000" w:sz="8" w:space="0"/>
              <w:right w:val="single" w:color="000000" w:sz="8" w:space="0"/>
            </w:tcBorders>
            <w:shd w:val="clear" w:color="auto" w:fill="auto"/>
            <w:vAlign w:val="center"/>
          </w:tcPr>
          <w:p w14:paraId="074EF0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包3</w:t>
            </w:r>
          </w:p>
        </w:tc>
        <w:tc>
          <w:tcPr>
            <w:tcW w:w="1699" w:type="pct"/>
            <w:tcBorders>
              <w:top w:val="nil"/>
              <w:left w:val="nil"/>
              <w:bottom w:val="single" w:color="000000" w:sz="8" w:space="0"/>
              <w:right w:val="single" w:color="000000" w:sz="8" w:space="0"/>
            </w:tcBorders>
            <w:shd w:val="clear" w:color="auto" w:fill="auto"/>
            <w:vAlign w:val="center"/>
          </w:tcPr>
          <w:p w14:paraId="7B3F00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便携式全自动多功能检测仪</w:t>
            </w:r>
          </w:p>
        </w:tc>
        <w:tc>
          <w:tcPr>
            <w:tcW w:w="368" w:type="pct"/>
            <w:tcBorders>
              <w:top w:val="nil"/>
              <w:left w:val="nil"/>
              <w:bottom w:val="single" w:color="000000" w:sz="8" w:space="0"/>
              <w:right w:val="single" w:color="000000" w:sz="8" w:space="0"/>
            </w:tcBorders>
            <w:shd w:val="clear" w:color="auto" w:fill="auto"/>
            <w:vAlign w:val="center"/>
          </w:tcPr>
          <w:p w14:paraId="609DF3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8" w:type="pct"/>
            <w:tcBorders>
              <w:top w:val="nil"/>
              <w:left w:val="nil"/>
              <w:bottom w:val="single" w:color="000000" w:sz="8" w:space="0"/>
              <w:right w:val="single" w:color="000000" w:sz="8" w:space="0"/>
            </w:tcBorders>
            <w:shd w:val="clear" w:color="auto" w:fill="auto"/>
            <w:vAlign w:val="center"/>
          </w:tcPr>
          <w:p w14:paraId="7CC194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1A8A6C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59760</w:t>
            </w:r>
          </w:p>
        </w:tc>
        <w:tc>
          <w:tcPr>
            <w:tcW w:w="733" w:type="pct"/>
            <w:tcBorders>
              <w:top w:val="nil"/>
              <w:left w:val="nil"/>
              <w:bottom w:val="single" w:color="000000" w:sz="8" w:space="0"/>
              <w:right w:val="single" w:color="000000" w:sz="8" w:space="0"/>
            </w:tcBorders>
            <w:shd w:val="clear" w:color="auto" w:fill="auto"/>
            <w:vAlign w:val="center"/>
          </w:tcPr>
          <w:p w14:paraId="7D2550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298800</w:t>
            </w:r>
          </w:p>
        </w:tc>
        <w:tc>
          <w:tcPr>
            <w:tcW w:w="730" w:type="pct"/>
            <w:tcBorders>
              <w:top w:val="nil"/>
              <w:left w:val="nil"/>
              <w:bottom w:val="single" w:color="000000" w:sz="8" w:space="0"/>
              <w:right w:val="single" w:color="000000" w:sz="8" w:space="0"/>
            </w:tcBorders>
            <w:shd w:val="clear" w:color="auto" w:fill="auto"/>
            <w:vAlign w:val="center"/>
          </w:tcPr>
          <w:p w14:paraId="65B263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576B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0F51B93D">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68C788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超声波身高体重测量仪</w:t>
            </w:r>
          </w:p>
        </w:tc>
        <w:tc>
          <w:tcPr>
            <w:tcW w:w="368" w:type="pct"/>
            <w:tcBorders>
              <w:top w:val="nil"/>
              <w:left w:val="nil"/>
              <w:bottom w:val="single" w:color="000000" w:sz="8" w:space="0"/>
              <w:right w:val="single" w:color="000000" w:sz="8" w:space="0"/>
            </w:tcBorders>
            <w:shd w:val="clear" w:color="auto" w:fill="auto"/>
            <w:vAlign w:val="center"/>
          </w:tcPr>
          <w:p w14:paraId="2F60DA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368" w:type="pct"/>
            <w:tcBorders>
              <w:top w:val="nil"/>
              <w:left w:val="nil"/>
              <w:bottom w:val="single" w:color="000000" w:sz="8" w:space="0"/>
              <w:right w:val="single" w:color="000000" w:sz="8" w:space="0"/>
            </w:tcBorders>
            <w:shd w:val="clear" w:color="auto" w:fill="auto"/>
            <w:vAlign w:val="center"/>
          </w:tcPr>
          <w:p w14:paraId="344626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33B1C0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948</w:t>
            </w:r>
          </w:p>
        </w:tc>
        <w:tc>
          <w:tcPr>
            <w:tcW w:w="733" w:type="pct"/>
            <w:tcBorders>
              <w:top w:val="nil"/>
              <w:left w:val="nil"/>
              <w:bottom w:val="single" w:color="000000" w:sz="8" w:space="0"/>
              <w:right w:val="single" w:color="000000" w:sz="8" w:space="0"/>
            </w:tcBorders>
            <w:shd w:val="clear" w:color="auto" w:fill="auto"/>
            <w:vAlign w:val="center"/>
          </w:tcPr>
          <w:p w14:paraId="49FD142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88164</w:t>
            </w:r>
          </w:p>
        </w:tc>
        <w:tc>
          <w:tcPr>
            <w:tcW w:w="730" w:type="pct"/>
            <w:tcBorders>
              <w:top w:val="nil"/>
              <w:left w:val="nil"/>
              <w:bottom w:val="single" w:color="000000" w:sz="8" w:space="0"/>
              <w:right w:val="single" w:color="000000" w:sz="8" w:space="0"/>
            </w:tcBorders>
            <w:shd w:val="clear" w:color="auto" w:fill="auto"/>
            <w:vAlign w:val="center"/>
          </w:tcPr>
          <w:p w14:paraId="123A92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4E91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39AF2B5D">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5C5D98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急救箱</w:t>
            </w:r>
          </w:p>
        </w:tc>
        <w:tc>
          <w:tcPr>
            <w:tcW w:w="368" w:type="pct"/>
            <w:tcBorders>
              <w:top w:val="nil"/>
              <w:left w:val="nil"/>
              <w:bottom w:val="single" w:color="000000" w:sz="8" w:space="0"/>
              <w:right w:val="single" w:color="000000" w:sz="8" w:space="0"/>
            </w:tcBorders>
            <w:shd w:val="clear" w:color="auto" w:fill="auto"/>
            <w:vAlign w:val="center"/>
          </w:tcPr>
          <w:p w14:paraId="6E698C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68" w:type="pct"/>
            <w:tcBorders>
              <w:top w:val="nil"/>
              <w:left w:val="nil"/>
              <w:bottom w:val="single" w:color="000000" w:sz="8" w:space="0"/>
              <w:right w:val="single" w:color="000000" w:sz="8" w:space="0"/>
            </w:tcBorders>
            <w:shd w:val="clear" w:color="auto" w:fill="auto"/>
            <w:vAlign w:val="center"/>
          </w:tcPr>
          <w:p w14:paraId="78AA36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733" w:type="pct"/>
            <w:tcBorders>
              <w:top w:val="nil"/>
              <w:left w:val="nil"/>
              <w:bottom w:val="single" w:color="000000" w:sz="8" w:space="0"/>
              <w:right w:val="single" w:color="000000" w:sz="8" w:space="0"/>
            </w:tcBorders>
            <w:shd w:val="clear" w:color="auto" w:fill="auto"/>
            <w:vAlign w:val="center"/>
          </w:tcPr>
          <w:p w14:paraId="5762D61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w:t>
            </w:r>
          </w:p>
        </w:tc>
        <w:tc>
          <w:tcPr>
            <w:tcW w:w="733" w:type="pct"/>
            <w:tcBorders>
              <w:top w:val="nil"/>
              <w:left w:val="nil"/>
              <w:bottom w:val="single" w:color="000000" w:sz="8" w:space="0"/>
              <w:right w:val="single" w:color="000000" w:sz="8" w:space="0"/>
            </w:tcBorders>
            <w:shd w:val="clear" w:color="auto" w:fill="auto"/>
            <w:vAlign w:val="center"/>
          </w:tcPr>
          <w:p w14:paraId="3936831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1800</w:t>
            </w:r>
          </w:p>
        </w:tc>
        <w:tc>
          <w:tcPr>
            <w:tcW w:w="730" w:type="pct"/>
            <w:tcBorders>
              <w:top w:val="nil"/>
              <w:left w:val="nil"/>
              <w:bottom w:val="single" w:color="000000" w:sz="8" w:space="0"/>
              <w:right w:val="single" w:color="000000" w:sz="8" w:space="0"/>
            </w:tcBorders>
            <w:shd w:val="clear" w:color="auto" w:fill="auto"/>
            <w:vAlign w:val="center"/>
          </w:tcPr>
          <w:p w14:paraId="5A5CB1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7B09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1343DA6F">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6B6CFB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脉搏波血压计</w:t>
            </w:r>
          </w:p>
        </w:tc>
        <w:tc>
          <w:tcPr>
            <w:tcW w:w="368" w:type="pct"/>
            <w:tcBorders>
              <w:top w:val="nil"/>
              <w:left w:val="nil"/>
              <w:bottom w:val="single" w:color="000000" w:sz="8" w:space="0"/>
              <w:right w:val="single" w:color="000000" w:sz="8" w:space="0"/>
            </w:tcBorders>
            <w:shd w:val="clear" w:color="auto" w:fill="auto"/>
            <w:vAlign w:val="center"/>
          </w:tcPr>
          <w:p w14:paraId="40DDE3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368" w:type="pct"/>
            <w:tcBorders>
              <w:top w:val="nil"/>
              <w:left w:val="nil"/>
              <w:bottom w:val="single" w:color="000000" w:sz="8" w:space="0"/>
              <w:right w:val="single" w:color="000000" w:sz="8" w:space="0"/>
            </w:tcBorders>
            <w:shd w:val="clear" w:color="auto" w:fill="auto"/>
            <w:vAlign w:val="center"/>
          </w:tcPr>
          <w:p w14:paraId="1F37B4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274AB5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408</w:t>
            </w:r>
          </w:p>
        </w:tc>
        <w:tc>
          <w:tcPr>
            <w:tcW w:w="733" w:type="pct"/>
            <w:tcBorders>
              <w:top w:val="nil"/>
              <w:left w:val="nil"/>
              <w:bottom w:val="single" w:color="000000" w:sz="8" w:space="0"/>
              <w:right w:val="single" w:color="000000" w:sz="8" w:space="0"/>
            </w:tcBorders>
            <w:shd w:val="clear" w:color="auto" w:fill="auto"/>
            <w:vAlign w:val="center"/>
          </w:tcPr>
          <w:p w14:paraId="3343DD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37944</w:t>
            </w:r>
          </w:p>
        </w:tc>
        <w:tc>
          <w:tcPr>
            <w:tcW w:w="730" w:type="pct"/>
            <w:tcBorders>
              <w:top w:val="nil"/>
              <w:left w:val="nil"/>
              <w:bottom w:val="single" w:color="000000" w:sz="8" w:space="0"/>
              <w:right w:val="single" w:color="000000" w:sz="8" w:space="0"/>
            </w:tcBorders>
            <w:shd w:val="clear" w:color="auto" w:fill="auto"/>
            <w:vAlign w:val="center"/>
          </w:tcPr>
          <w:p w14:paraId="368E59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1EDC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3E831E50">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72395B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神经检查工具包</w:t>
            </w:r>
          </w:p>
        </w:tc>
        <w:tc>
          <w:tcPr>
            <w:tcW w:w="368" w:type="pct"/>
            <w:tcBorders>
              <w:top w:val="nil"/>
              <w:left w:val="nil"/>
              <w:bottom w:val="single" w:color="000000" w:sz="8" w:space="0"/>
              <w:right w:val="single" w:color="000000" w:sz="8" w:space="0"/>
            </w:tcBorders>
            <w:shd w:val="clear" w:color="auto" w:fill="auto"/>
            <w:vAlign w:val="center"/>
          </w:tcPr>
          <w:p w14:paraId="3CCEF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8" w:type="pct"/>
            <w:tcBorders>
              <w:top w:val="nil"/>
              <w:left w:val="nil"/>
              <w:bottom w:val="single" w:color="000000" w:sz="8" w:space="0"/>
              <w:right w:val="single" w:color="000000" w:sz="8" w:space="0"/>
            </w:tcBorders>
            <w:shd w:val="clear" w:color="auto" w:fill="auto"/>
            <w:vAlign w:val="center"/>
          </w:tcPr>
          <w:p w14:paraId="3101BC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49C97F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520</w:t>
            </w:r>
          </w:p>
        </w:tc>
        <w:tc>
          <w:tcPr>
            <w:tcW w:w="733" w:type="pct"/>
            <w:tcBorders>
              <w:top w:val="nil"/>
              <w:left w:val="nil"/>
              <w:bottom w:val="single" w:color="000000" w:sz="8" w:space="0"/>
              <w:right w:val="single" w:color="000000" w:sz="8" w:space="0"/>
            </w:tcBorders>
            <w:shd w:val="clear" w:color="auto" w:fill="auto"/>
            <w:vAlign w:val="center"/>
          </w:tcPr>
          <w:p w14:paraId="708D45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2600</w:t>
            </w:r>
          </w:p>
        </w:tc>
        <w:tc>
          <w:tcPr>
            <w:tcW w:w="730" w:type="pct"/>
            <w:tcBorders>
              <w:top w:val="nil"/>
              <w:left w:val="nil"/>
              <w:bottom w:val="single" w:color="000000" w:sz="8" w:space="0"/>
              <w:right w:val="single" w:color="000000" w:sz="8" w:space="0"/>
            </w:tcBorders>
            <w:shd w:val="clear" w:color="auto" w:fill="auto"/>
            <w:vAlign w:val="center"/>
          </w:tcPr>
          <w:p w14:paraId="2CB96B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21C4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0520D523">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20A851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健康随诊箱</w:t>
            </w:r>
          </w:p>
        </w:tc>
        <w:tc>
          <w:tcPr>
            <w:tcW w:w="368" w:type="pct"/>
            <w:tcBorders>
              <w:top w:val="nil"/>
              <w:left w:val="nil"/>
              <w:bottom w:val="single" w:color="000000" w:sz="8" w:space="0"/>
              <w:right w:val="single" w:color="000000" w:sz="8" w:space="0"/>
            </w:tcBorders>
            <w:shd w:val="clear" w:color="auto" w:fill="auto"/>
            <w:vAlign w:val="center"/>
          </w:tcPr>
          <w:p w14:paraId="53D785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68" w:type="pct"/>
            <w:tcBorders>
              <w:top w:val="nil"/>
              <w:left w:val="nil"/>
              <w:bottom w:val="single" w:color="000000" w:sz="8" w:space="0"/>
              <w:right w:val="single" w:color="000000" w:sz="8" w:space="0"/>
            </w:tcBorders>
            <w:shd w:val="clear" w:color="auto" w:fill="auto"/>
            <w:vAlign w:val="center"/>
          </w:tcPr>
          <w:p w14:paraId="37A274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733" w:type="pct"/>
            <w:tcBorders>
              <w:top w:val="nil"/>
              <w:left w:val="nil"/>
              <w:bottom w:val="single" w:color="000000" w:sz="8" w:space="0"/>
              <w:right w:val="single" w:color="000000" w:sz="8" w:space="0"/>
            </w:tcBorders>
            <w:shd w:val="clear" w:color="auto" w:fill="auto"/>
            <w:vAlign w:val="center"/>
          </w:tcPr>
          <w:p w14:paraId="5F433A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18000</w:t>
            </w:r>
          </w:p>
        </w:tc>
        <w:tc>
          <w:tcPr>
            <w:tcW w:w="733" w:type="pct"/>
            <w:tcBorders>
              <w:top w:val="nil"/>
              <w:left w:val="nil"/>
              <w:bottom w:val="single" w:color="000000" w:sz="8" w:space="0"/>
              <w:right w:val="single" w:color="000000" w:sz="8" w:space="0"/>
            </w:tcBorders>
            <w:shd w:val="clear" w:color="auto" w:fill="auto"/>
            <w:vAlign w:val="center"/>
          </w:tcPr>
          <w:p w14:paraId="1F51F7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108000</w:t>
            </w:r>
          </w:p>
        </w:tc>
        <w:tc>
          <w:tcPr>
            <w:tcW w:w="730" w:type="pct"/>
            <w:tcBorders>
              <w:top w:val="nil"/>
              <w:left w:val="nil"/>
              <w:bottom w:val="single" w:color="000000" w:sz="8" w:space="0"/>
              <w:right w:val="single" w:color="000000" w:sz="8" w:space="0"/>
            </w:tcBorders>
            <w:shd w:val="clear" w:color="auto" w:fill="auto"/>
            <w:vAlign w:val="center"/>
          </w:tcPr>
          <w:p w14:paraId="58C9AB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09C2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008C95BF">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515823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血糖尿酸血酮仪</w:t>
            </w:r>
          </w:p>
        </w:tc>
        <w:tc>
          <w:tcPr>
            <w:tcW w:w="368" w:type="pct"/>
            <w:tcBorders>
              <w:top w:val="nil"/>
              <w:left w:val="nil"/>
              <w:bottom w:val="single" w:color="000000" w:sz="8" w:space="0"/>
              <w:right w:val="single" w:color="000000" w:sz="8" w:space="0"/>
            </w:tcBorders>
            <w:shd w:val="clear" w:color="auto" w:fill="auto"/>
            <w:vAlign w:val="center"/>
          </w:tcPr>
          <w:p w14:paraId="536E95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w:t>
            </w:r>
          </w:p>
        </w:tc>
        <w:tc>
          <w:tcPr>
            <w:tcW w:w="368" w:type="pct"/>
            <w:tcBorders>
              <w:top w:val="nil"/>
              <w:left w:val="nil"/>
              <w:bottom w:val="single" w:color="000000" w:sz="8" w:space="0"/>
              <w:right w:val="single" w:color="000000" w:sz="8" w:space="0"/>
            </w:tcBorders>
            <w:shd w:val="clear" w:color="auto" w:fill="auto"/>
            <w:vAlign w:val="center"/>
          </w:tcPr>
          <w:p w14:paraId="677A7B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0B930E7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348</w:t>
            </w:r>
          </w:p>
        </w:tc>
        <w:tc>
          <w:tcPr>
            <w:tcW w:w="733" w:type="pct"/>
            <w:tcBorders>
              <w:top w:val="nil"/>
              <w:left w:val="nil"/>
              <w:bottom w:val="single" w:color="000000" w:sz="8" w:space="0"/>
              <w:right w:val="single" w:color="000000" w:sz="8" w:space="0"/>
            </w:tcBorders>
            <w:shd w:val="clear" w:color="auto" w:fill="auto"/>
            <w:vAlign w:val="center"/>
          </w:tcPr>
          <w:p w14:paraId="7A2132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34104</w:t>
            </w:r>
          </w:p>
        </w:tc>
        <w:tc>
          <w:tcPr>
            <w:tcW w:w="730" w:type="pct"/>
            <w:tcBorders>
              <w:top w:val="nil"/>
              <w:left w:val="nil"/>
              <w:bottom w:val="single" w:color="000000" w:sz="8" w:space="0"/>
              <w:right w:val="single" w:color="000000" w:sz="8" w:space="0"/>
            </w:tcBorders>
            <w:shd w:val="clear" w:color="auto" w:fill="auto"/>
            <w:vAlign w:val="center"/>
          </w:tcPr>
          <w:p w14:paraId="2CA05B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520D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27472920">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6AF4B2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医用冷藏保温箱</w:t>
            </w:r>
          </w:p>
        </w:tc>
        <w:tc>
          <w:tcPr>
            <w:tcW w:w="368" w:type="pct"/>
            <w:tcBorders>
              <w:top w:val="nil"/>
              <w:left w:val="nil"/>
              <w:bottom w:val="single" w:color="000000" w:sz="8" w:space="0"/>
              <w:right w:val="single" w:color="000000" w:sz="8" w:space="0"/>
            </w:tcBorders>
            <w:shd w:val="clear" w:color="auto" w:fill="auto"/>
            <w:vAlign w:val="center"/>
          </w:tcPr>
          <w:p w14:paraId="07A3BE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8" w:type="pct"/>
            <w:tcBorders>
              <w:top w:val="nil"/>
              <w:left w:val="nil"/>
              <w:bottom w:val="single" w:color="000000" w:sz="8" w:space="0"/>
              <w:right w:val="single" w:color="000000" w:sz="8" w:space="0"/>
            </w:tcBorders>
            <w:shd w:val="clear" w:color="auto" w:fill="auto"/>
            <w:vAlign w:val="center"/>
          </w:tcPr>
          <w:p w14:paraId="7BD445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16CFAF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10300</w:t>
            </w:r>
          </w:p>
        </w:tc>
        <w:tc>
          <w:tcPr>
            <w:tcW w:w="733" w:type="pct"/>
            <w:tcBorders>
              <w:top w:val="nil"/>
              <w:left w:val="nil"/>
              <w:bottom w:val="single" w:color="000000" w:sz="8" w:space="0"/>
              <w:right w:val="single" w:color="000000" w:sz="8" w:space="0"/>
            </w:tcBorders>
            <w:shd w:val="clear" w:color="auto" w:fill="auto"/>
            <w:vAlign w:val="center"/>
          </w:tcPr>
          <w:p w14:paraId="02768D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51500</w:t>
            </w:r>
          </w:p>
        </w:tc>
        <w:tc>
          <w:tcPr>
            <w:tcW w:w="730" w:type="pct"/>
            <w:tcBorders>
              <w:top w:val="nil"/>
              <w:left w:val="nil"/>
              <w:bottom w:val="single" w:color="000000" w:sz="8" w:space="0"/>
              <w:right w:val="single" w:color="000000" w:sz="8" w:space="0"/>
            </w:tcBorders>
            <w:shd w:val="clear" w:color="auto" w:fill="auto"/>
            <w:vAlign w:val="center"/>
          </w:tcPr>
          <w:p w14:paraId="0D847E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14:paraId="2226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6" w:type="pct"/>
            <w:vMerge w:val="continue"/>
            <w:tcBorders>
              <w:top w:val="nil"/>
              <w:left w:val="single" w:color="000000" w:sz="8" w:space="0"/>
              <w:bottom w:val="single" w:color="000000" w:sz="8" w:space="0"/>
              <w:right w:val="single" w:color="000000" w:sz="8" w:space="0"/>
            </w:tcBorders>
            <w:shd w:val="clear" w:color="auto" w:fill="auto"/>
            <w:vAlign w:val="center"/>
          </w:tcPr>
          <w:p w14:paraId="04B48705">
            <w:pPr>
              <w:jc w:val="center"/>
              <w:rPr>
                <w:rFonts w:hint="eastAsia" w:ascii="宋体" w:hAnsi="宋体" w:eastAsia="宋体" w:cs="宋体"/>
                <w:i w:val="0"/>
                <w:iCs w:val="0"/>
                <w:color w:val="000000"/>
                <w:sz w:val="21"/>
                <w:szCs w:val="21"/>
                <w:highlight w:val="none"/>
                <w:u w:val="none"/>
              </w:rPr>
            </w:pPr>
          </w:p>
        </w:tc>
        <w:tc>
          <w:tcPr>
            <w:tcW w:w="1699" w:type="pct"/>
            <w:tcBorders>
              <w:top w:val="nil"/>
              <w:left w:val="nil"/>
              <w:bottom w:val="single" w:color="000000" w:sz="8" w:space="0"/>
              <w:right w:val="single" w:color="000000" w:sz="8" w:space="0"/>
            </w:tcBorders>
            <w:shd w:val="clear" w:color="auto" w:fill="auto"/>
            <w:vAlign w:val="center"/>
          </w:tcPr>
          <w:p w14:paraId="69C0B7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医用离心机</w:t>
            </w:r>
          </w:p>
        </w:tc>
        <w:tc>
          <w:tcPr>
            <w:tcW w:w="368" w:type="pct"/>
            <w:tcBorders>
              <w:top w:val="nil"/>
              <w:left w:val="nil"/>
              <w:bottom w:val="single" w:color="000000" w:sz="8" w:space="0"/>
              <w:right w:val="single" w:color="000000" w:sz="8" w:space="0"/>
            </w:tcBorders>
            <w:shd w:val="clear" w:color="auto" w:fill="auto"/>
            <w:vAlign w:val="center"/>
          </w:tcPr>
          <w:p w14:paraId="6C98F0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8" w:type="pct"/>
            <w:tcBorders>
              <w:top w:val="nil"/>
              <w:left w:val="nil"/>
              <w:bottom w:val="single" w:color="000000" w:sz="8" w:space="0"/>
              <w:right w:val="single" w:color="000000" w:sz="8" w:space="0"/>
            </w:tcBorders>
            <w:shd w:val="clear" w:color="auto" w:fill="auto"/>
            <w:vAlign w:val="center"/>
          </w:tcPr>
          <w:p w14:paraId="457158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733" w:type="pct"/>
            <w:tcBorders>
              <w:top w:val="nil"/>
              <w:left w:val="nil"/>
              <w:bottom w:val="single" w:color="000000" w:sz="8" w:space="0"/>
              <w:right w:val="single" w:color="000000" w:sz="8" w:space="0"/>
            </w:tcBorders>
            <w:shd w:val="clear" w:color="auto" w:fill="auto"/>
            <w:vAlign w:val="center"/>
          </w:tcPr>
          <w:p w14:paraId="7A6BDD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1782</w:t>
            </w:r>
          </w:p>
        </w:tc>
        <w:tc>
          <w:tcPr>
            <w:tcW w:w="733" w:type="pct"/>
            <w:tcBorders>
              <w:top w:val="nil"/>
              <w:left w:val="nil"/>
              <w:bottom w:val="single" w:color="000000" w:sz="8" w:space="0"/>
              <w:right w:val="single" w:color="000000" w:sz="8" w:space="0"/>
            </w:tcBorders>
            <w:shd w:val="clear" w:color="auto" w:fill="auto"/>
            <w:vAlign w:val="center"/>
          </w:tcPr>
          <w:p w14:paraId="153B7F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8910</w:t>
            </w:r>
          </w:p>
        </w:tc>
        <w:tc>
          <w:tcPr>
            <w:tcW w:w="730" w:type="pct"/>
            <w:tcBorders>
              <w:top w:val="nil"/>
              <w:left w:val="nil"/>
              <w:bottom w:val="single" w:color="000000" w:sz="8" w:space="0"/>
              <w:right w:val="single" w:color="000000" w:sz="8" w:space="0"/>
            </w:tcBorders>
            <w:shd w:val="clear" w:color="auto" w:fill="auto"/>
            <w:vAlign w:val="center"/>
          </w:tcPr>
          <w:p w14:paraId="4EA5B9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bl>
    <w:p w14:paraId="501683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textWrapping"/>
      </w:r>
      <w:r>
        <w:rPr>
          <w:rFonts w:hint="eastAsia" w:ascii="宋体" w:hAnsi="宋体" w:cs="宋体"/>
          <w:b/>
          <w:bCs/>
          <w:color w:val="auto"/>
          <w:sz w:val="24"/>
          <w:szCs w:val="24"/>
          <w:highlight w:val="none"/>
          <w:lang w:val="en-US" w:eastAsia="zh-CN"/>
        </w:rPr>
        <w:t>注：1.本项目所投报价均不得高于最高限价及单价限价。</w:t>
      </w:r>
    </w:p>
    <w:p w14:paraId="295FA5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技术参数前加“★”号的参数指标为主要技术指标(符合性审查内容)，投标人所投产品必须满足或优于这些指标；未加“★”号的参数指标为一般性技术指标(评分考量内容)投标人所投产品应尽量满足这些技术指标要求，若所投产品不能满足一般性技术指标要求，评标委员会将按照评标标准和方法对一般性技术指标响应情况进行扣分。</w:t>
      </w:r>
      <w:r>
        <w:rPr>
          <w:rFonts w:hint="eastAsia" w:ascii="宋体" w:hAnsi="宋体" w:eastAsia="宋体" w:cs="宋体"/>
          <w:b/>
          <w:bCs/>
          <w:color w:val="auto"/>
          <w:sz w:val="24"/>
          <w:szCs w:val="24"/>
          <w:highlight w:val="none"/>
          <w:lang w:val="en-US" w:eastAsia="zh-CN"/>
        </w:rPr>
        <w:br w:type="page"/>
      </w:r>
    </w:p>
    <w:p w14:paraId="249423C8">
      <w:pPr>
        <w:jc w:val="center"/>
        <w:rPr>
          <w:rFonts w:hint="eastAsia" w:ascii="宋体" w:hAnsi="宋体" w:eastAsia="宋体" w:cs="宋体"/>
          <w:b/>
          <w:bCs w:val="0"/>
          <w:color w:val="000000"/>
          <w:kern w:val="0"/>
          <w:sz w:val="32"/>
          <w:szCs w:val="32"/>
          <w:highlight w:val="none"/>
          <w:lang w:val="en-US" w:eastAsia="zh-CN"/>
        </w:rPr>
      </w:pPr>
      <w:r>
        <w:rPr>
          <w:rFonts w:hint="eastAsia" w:ascii="宋体" w:hAnsi="宋体" w:eastAsia="宋体" w:cs="宋体"/>
          <w:b/>
          <w:bCs w:val="0"/>
          <w:color w:val="000000"/>
          <w:kern w:val="0"/>
          <w:sz w:val="32"/>
          <w:szCs w:val="32"/>
          <w:highlight w:val="none"/>
          <w:lang w:val="en-US" w:eastAsia="zh-CN"/>
        </w:rPr>
        <w:t>项目技术参数</w:t>
      </w:r>
    </w:p>
    <w:p w14:paraId="1DB0E3E8">
      <w:pPr>
        <w:rPr>
          <w:rFonts w:hint="eastAsia" w:ascii="宋体" w:hAnsi="宋体" w:eastAsia="宋体" w:cs="宋体"/>
          <w:b/>
          <w:bCs w:val="0"/>
          <w:color w:val="000000"/>
          <w:kern w:val="0"/>
          <w:sz w:val="32"/>
          <w:szCs w:val="32"/>
          <w:highlight w:val="none"/>
          <w:lang w:val="en-US" w:eastAsia="zh-CN"/>
        </w:rPr>
      </w:pPr>
      <w:r>
        <w:rPr>
          <w:rFonts w:hint="eastAsia" w:ascii="宋体" w:hAnsi="宋体" w:eastAsia="宋体" w:cs="宋体"/>
          <w:b/>
          <w:bCs w:val="0"/>
          <w:color w:val="000000"/>
          <w:kern w:val="0"/>
          <w:sz w:val="32"/>
          <w:szCs w:val="32"/>
          <w:highlight w:val="none"/>
          <w:lang w:val="en-US" w:eastAsia="zh-CN"/>
        </w:rPr>
        <w:t>包1：</w:t>
      </w:r>
    </w:p>
    <w:p w14:paraId="287A3A1F">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※超声骨密度检查仪（区）</w:t>
      </w:r>
    </w:p>
    <w:p w14:paraId="5161F37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1.探头工作频率:核心频率1.25MHz，偏差≤±15%；</w:t>
      </w:r>
    </w:p>
    <w:p w14:paraId="31DDBFF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2.探头组成:四晶体超声探头；</w:t>
      </w:r>
    </w:p>
    <w:p w14:paraId="3F31C03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3.收发模式:轴向超声波传导技术，双晶体发射双晶体接收，自动消除软组织干扰，确保数据的高准确度、高重复性；</w:t>
      </w:r>
    </w:p>
    <w:p w14:paraId="6A995BF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4.检测部位:桡骨、胫骨；</w:t>
      </w:r>
    </w:p>
    <w:p w14:paraId="122014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5.测量参数:SOS值、T值、Z值、相对骨折风险、骨强度指数、骨质疏松预计发生年龄、身高预测、骨骼生理年龄；</w:t>
      </w:r>
    </w:p>
    <w:p w14:paraId="5EFB55C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6.Z值趋势图、 T值趋势图；</w:t>
      </w:r>
    </w:p>
    <w:p w14:paraId="6F76592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7.声速显示范围:2200m/s～4700m/s；；</w:t>
      </w:r>
    </w:p>
    <w:p w14:paraId="1E6AB8A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8.高测量重复性:≤±0.15%；</w:t>
      </w:r>
    </w:p>
    <w:p w14:paraId="69E4022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9.★支持探头类型：LM、LU、LS、LR；</w:t>
      </w:r>
    </w:p>
    <w:p w14:paraId="3AEB5DC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10.在黄铜、有机玻璃双重校准下误差≤±50m/s；</w:t>
      </w:r>
    </w:p>
    <w:p w14:paraId="5182870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11.快速、高精度两种测量模式；</w:t>
      </w:r>
    </w:p>
    <w:p w14:paraId="165E06C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12.单点检测速度:≤0.4s；</w:t>
      </w:r>
    </w:p>
    <w:p w14:paraId="2D503A0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13.★探头导航:显示器实时可视探头与皮肤接触状态、探头与骨骼平面夹角，便于快速矫正检测角度，提高检测速度、提高数据准确性；角度显示偏转精度0.2°</w:t>
      </w:r>
    </w:p>
    <w:p w14:paraId="34029E9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14.动画播放功能：儿童检查时吸引其注意力，使医生轻松完成检查。动画片内容可更换、增减。</w:t>
      </w:r>
    </w:p>
    <w:p w14:paraId="7356453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15.便携式校验模块（带温度指示条）：用于检测前设备的校验，确保检测数据准确性；</w:t>
      </w:r>
    </w:p>
    <w:p w14:paraId="3D10F0F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16.网络接口:可提供内、外网连接协议，能与院内网络系统对接处理数据信息；</w:t>
      </w:r>
    </w:p>
    <w:p w14:paraId="4090AFB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17.探头自动休眠，有效延长探头使用寿命；</w:t>
      </w:r>
    </w:p>
    <w:p w14:paraId="3AA0E6B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18.筛查模式下检测结束后无需切换界面即可完成报告打印、检测结果上传服务器；</w:t>
      </w:r>
    </w:p>
    <w:p w14:paraId="186D6DD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19.★云服务功能：检测结果直接传输至受检者微信；受检者多次检测结果统计、分析；</w:t>
      </w:r>
    </w:p>
    <w:p w14:paraId="7AB9842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20.探头配置：LU探头1个；</w:t>
      </w:r>
    </w:p>
    <w:p w14:paraId="63FE998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21.全中文彩色报告单，可以单独保存，并随时预览、打印。</w:t>
      </w:r>
    </w:p>
    <w:p w14:paraId="2ABE38AC">
      <w:pPr>
        <w:rPr>
          <w:rFonts w:hint="eastAsia" w:ascii="宋体" w:hAnsi="宋体" w:eastAsia="宋体" w:cs="宋体"/>
          <w:b/>
          <w:bCs w:val="0"/>
          <w:color w:val="000000"/>
          <w:kern w:val="0"/>
          <w:sz w:val="28"/>
          <w:szCs w:val="28"/>
          <w:highlight w:val="none"/>
        </w:rPr>
      </w:pPr>
      <w:r>
        <w:rPr>
          <w:rFonts w:hint="eastAsia" w:ascii="宋体" w:hAnsi="宋体" w:eastAsia="宋体" w:cs="宋体"/>
          <w:b/>
          <w:bCs w:val="0"/>
          <w:color w:val="000000"/>
          <w:kern w:val="0"/>
          <w:sz w:val="28"/>
          <w:szCs w:val="28"/>
          <w:highlight w:val="none"/>
        </w:rPr>
        <w:br w:type="page"/>
      </w:r>
    </w:p>
    <w:p w14:paraId="694BF0C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kern w:val="0"/>
          <w:sz w:val="28"/>
          <w:szCs w:val="28"/>
          <w:highlight w:val="none"/>
          <w:lang w:val="en-US" w:eastAsia="zh-CN"/>
        </w:rPr>
      </w:pPr>
      <w:r>
        <w:rPr>
          <w:rFonts w:hint="eastAsia" w:ascii="宋体" w:hAnsi="宋体" w:eastAsia="宋体" w:cs="宋体"/>
          <w:b/>
          <w:bCs w:val="0"/>
          <w:color w:val="000000"/>
          <w:kern w:val="0"/>
          <w:sz w:val="28"/>
          <w:szCs w:val="28"/>
          <w:highlight w:val="none"/>
          <w:lang w:val="en-US" w:eastAsia="zh-CN"/>
        </w:rPr>
        <w:t>包2：</w:t>
      </w:r>
    </w:p>
    <w:p w14:paraId="4A389E76">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※健康一体机（区人民医院）</w:t>
      </w:r>
    </w:p>
    <w:p w14:paraId="089E01B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一、基本要求</w:t>
      </w:r>
    </w:p>
    <w:p w14:paraId="2C73365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1.适用范围：测量人体健康参数，支持慢病管理。</w:t>
      </w:r>
    </w:p>
    <w:p w14:paraId="53350C4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2.检查项目</w:t>
      </w:r>
    </w:p>
    <w:p w14:paraId="00ABC88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2.1 基本项目：可测量血氧饱和度、体温、腰围、臀围、腰臀比、身高、体重、BMI、血压、脉率、视力、肺功能等；</w:t>
      </w:r>
    </w:p>
    <w:p w14:paraId="75E9B9D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2.2 可拓展项目：十二导心电检测、中医体质识别、血糖、视力表、尿常规、骨密度、动脉硬化、血脂四项（总胆固醇、高密度脂蛋白、甘油三酯、低密度脂蛋白）、血红蛋白、视力、人体成分、人体脂肪、快速心电检测、心血管评估、B超、生化分析仪等。</w:t>
      </w:r>
    </w:p>
    <w:p w14:paraId="1CA0743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3.交互操作：主机采用正版系统，配备大屏触控屏，方便用户自助操作。</w:t>
      </w:r>
    </w:p>
    <w:p w14:paraId="2B1F6CF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4.数据对接：支持多种联网传输方式，支持对接至指定数据平台。</w:t>
      </w:r>
    </w:p>
    <w:p w14:paraId="1E02292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二、健康一体机管理系统软件</w:t>
      </w:r>
    </w:p>
    <w:p w14:paraId="41949DD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1.智能用户识别系统：常规支持身份证登录、微信登录以及手机号登录；可扩展社保卡、二维码、条形码等登录方式；可定制人脸识别和指纹识别等用户识别方式。</w:t>
      </w:r>
    </w:p>
    <w:p w14:paraId="3A8C806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2.自助建立电子健康档案</w:t>
      </w:r>
    </w:p>
    <w:p w14:paraId="3761449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2.1 初次使用的用户，可在健康一体机显示屏上通过界面指引自助建档，建档数据自动归入个人健康档案病例库。</w:t>
      </w:r>
    </w:p>
    <w:p w14:paraId="77B3846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2.2 自助建档支持从二代身份证上自动读取用户信息（人员姓名、性别、出生日期、住址等身份证基本信息）并自动形成个人健康档案，同时支持微信以及手机号快速建立健康档案。</w:t>
      </w:r>
    </w:p>
    <w:p w14:paraId="75885B9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3.检测模式：支持单人检测、多人检测、主从机等多种检测模式，用户可根据检查项目多少自行配置多人检测模式或主从机模式，提高检测效率。</w:t>
      </w:r>
    </w:p>
    <w:p w14:paraId="1E0E6DA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4.语音指导：每个检查项目都配有真人语音讲解说明，指导客户达到自助使用目的。</w:t>
      </w:r>
    </w:p>
    <w:p w14:paraId="21C7BC9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5.报告单</w:t>
      </w:r>
    </w:p>
    <w:p w14:paraId="38CE879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5.1 支持个人体检结果自动生成综合体检报告，并根据测量结果给出科学的健康建议，可支持网络加密传输。</w:t>
      </w:r>
    </w:p>
    <w:p w14:paraId="6825889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5.2 结合多次测量结果，可以形成历史趋势图，进行汇总分析、评估、干预，并从饮食、运动、养生等方面给出健康指导建议。</w:t>
      </w:r>
    </w:p>
    <w:p w14:paraId="0EB117B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5.3 具有慢病风险评估功能，对肥胖症、高血压、高血脂、糖尿病等慢病进行风险评估预测，并从饮食、运动、心理等方面给出指导建议。</w:t>
      </w:r>
    </w:p>
    <w:p w14:paraId="4A31012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三、检查设备配置</w:t>
      </w:r>
    </w:p>
    <w:p w14:paraId="71F31F0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（一）医用红外体温计</w:t>
      </w:r>
    </w:p>
    <w:p w14:paraId="33E35E6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1.体温测量范围：35℃～42℃；分辨率：0.1℃；体温模式测量精度：±0.2℃；</w:t>
      </w:r>
    </w:p>
    <w:p w14:paraId="0447EC3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2.1秒钟快速检测；</w:t>
      </w:r>
    </w:p>
    <w:p w14:paraId="1339C97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3.支持≥15组记忆数据；</w:t>
      </w:r>
    </w:p>
    <w:p w14:paraId="6A0E26E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4.配备蜂鸣器提示功能；</w:t>
      </w:r>
    </w:p>
    <w:p w14:paraId="7B4088E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5.具有无线传输功能，可对接APP，实现数据管理。</w:t>
      </w:r>
    </w:p>
    <w:p w14:paraId="49885F9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（二）超声波身高体重测量仪</w:t>
      </w:r>
    </w:p>
    <w:p w14:paraId="70D45C8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1.身高测量范围：70cm～198cm，分辨率≤0.1 cm；</w:t>
      </w:r>
    </w:p>
    <w:p w14:paraId="018E8F2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2.体重测量范围：5kg～200kg，最大误差≤±0.1kg；</w:t>
      </w:r>
    </w:p>
    <w:p w14:paraId="5023447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3.温度补偿功能：双温度传感器，具有温度补偿功能，可提高身高测量结果的准确性；</w:t>
      </w:r>
    </w:p>
    <w:p w14:paraId="7D771CE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4.语音播报功能：可播报操作指导、注意事项、测量结果、异常提示，并可对播报内容进行选择设置；</w:t>
      </w:r>
    </w:p>
    <w:p w14:paraId="1C5C671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5.离线保存测量结果：本机可保存≥1500例测量结果。</w:t>
      </w:r>
    </w:p>
    <w:p w14:paraId="5C2D092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（三）全自动电子血压计</w:t>
      </w:r>
    </w:p>
    <w:p w14:paraId="7CC442D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1.测量方法：示波法；</w:t>
      </w:r>
    </w:p>
    <w:p w14:paraId="2F2E2C8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2.显示方法：LED数码管显示屏；</w:t>
      </w:r>
    </w:p>
    <w:p w14:paraId="2FDC080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3.测量范围：压力：0-295mmHg；脉搏数:35-185次/分；</w:t>
      </w:r>
    </w:p>
    <w:p w14:paraId="3B9771C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4.测量位置：左右臂均可测量；</w:t>
      </w:r>
    </w:p>
    <w:p w14:paraId="0214C3C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5.精确度：血压:±3mmHg以内； 脉搏:±3%以内；</w:t>
      </w:r>
    </w:p>
    <w:p w14:paraId="29B56D0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6.适用臂周：16cm-42cm；</w:t>
      </w:r>
    </w:p>
    <w:p w14:paraId="407C88F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7.语音提示功能：真人语音对操作指导、注意事项、测量结果进行播报以及血压计异常状态进行提示；</w:t>
      </w:r>
    </w:p>
    <w:p w14:paraId="2A189E1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8.袖带驱动方式：电机自动裹袖带，提高测量精准度和受检者舒适度；</w:t>
      </w:r>
    </w:p>
    <w:p w14:paraId="73418FC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9.超压保护：压力超过300mmHg时，急速排气保护，排气时间不大于10秒；</w:t>
      </w:r>
    </w:p>
    <w:p w14:paraId="1B170C2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10.臂姿确认功能：通过臂姿检测按钮和红外传感器可使人体臂姿和位置处于最佳检测状态，提高测量结果准确度；</w:t>
      </w:r>
    </w:p>
    <w:p w14:paraId="2CE28CD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11.臂筒角度调节：卷筒角度上下可调，适应不同高度的人群；</w:t>
      </w:r>
    </w:p>
    <w:p w14:paraId="7EE4529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12.干扰提示：对干扰情况进行用户提醒、干扰波形图打印显示。</w:t>
      </w:r>
    </w:p>
    <w:p w14:paraId="0FCF6C7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（四）血氧饱和度检测仪</w:t>
      </w:r>
    </w:p>
    <w:p w14:paraId="3428C0C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1.血氧饱和度测量范围：35%～100%；</w:t>
      </w:r>
    </w:p>
    <w:p w14:paraId="1E4D2C3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2.血氧饱和度测量精度：80%～100%：±2%；70%～79%：±3%；精准率：1%；</w:t>
      </w:r>
    </w:p>
    <w:p w14:paraId="5584A64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3.脉率测量范围：25bpm～250bpm；测量精度：±3bpm；</w:t>
      </w:r>
    </w:p>
    <w:p w14:paraId="5596406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4.显示屏：OLED屏；</w:t>
      </w:r>
    </w:p>
    <w:p w14:paraId="6B056E3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5.可显示血氧波形；</w:t>
      </w:r>
    </w:p>
    <w:p w14:paraId="0AC48C9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6.★可连接蓝牙，对接APP“OXICARE”，实现数据管理；</w:t>
      </w:r>
    </w:p>
    <w:p w14:paraId="3AE45AB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7.认证：ISO13485、NMPA（二类医疗器械注册证）；</w:t>
      </w:r>
    </w:p>
    <w:p w14:paraId="2C41565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8.环境要求：温度范围：工作：+5℃+40℃；运输和贮存：-10℃+50℃；相对湿度：操作：15%80%（无凝结）；运输和贮存：10%90%（无凝结）。</w:t>
      </w:r>
    </w:p>
    <w:p w14:paraId="5184673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（五）肺功能仪</w:t>
      </w:r>
    </w:p>
    <w:p w14:paraId="2F4E6B0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1、主要技术规格</w:t>
      </w:r>
    </w:p>
    <w:p w14:paraId="5DD8E3A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 ★主机与工作站为无线蓝牙高速稳定连接；</w:t>
      </w:r>
    </w:p>
    <w:p w14:paraId="0C61541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 工作站分辨率不低于1920*1080；</w:t>
      </w:r>
    </w:p>
    <w:p w14:paraId="38644E8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 ★PEF（流量）测量性能</w:t>
      </w:r>
    </w:p>
    <w:p w14:paraId="5DDDC9C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（1）测量范围：0～16L/s；</w:t>
      </w:r>
    </w:p>
    <w:p w14:paraId="7D5B964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（2）测量误差：读数的±5%或±0.17L/s，两者取较大值；</w:t>
      </w:r>
    </w:p>
    <w:p w14:paraId="57E5325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1.4 ★FVC（容量）测量性能</w:t>
      </w:r>
    </w:p>
    <w:p w14:paraId="1EDC736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（1）测量范围：0L～10L；</w:t>
      </w:r>
    </w:p>
    <w:p w14:paraId="1363AD5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（2）准确性：±3%或±0.05L；</w:t>
      </w:r>
    </w:p>
    <w:p w14:paraId="788C11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1.5 呼吸频率：测量范围：0-300次/min；测量误差：±1bpm或±2%；</w:t>
      </w:r>
    </w:p>
    <w:p w14:paraId="22A3E42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1.6 ★配置温湿度、大气压传感器，可自动获取环境监测数据；</w:t>
      </w:r>
    </w:p>
    <w:p w14:paraId="281739D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1.7 FVC用力肺活量检测：流量-容积测量曲线、容积-时间测量曲线，质量控制，测量参数FVC、FEV0.5、FEV1、FEV2、FEV3、FEV6、FEV0.5/FVC、FEV1/FVC、FEV1/VC、FEV2/FVC、FEV3/FVC、FEV1/VCpr、FEV0.75、FET、Text、EV、EV/FVC、FIVC、FIV0.5、FIV1、MEF、VC、IC、VT、VC/H、ERV、VCin、IRV、VCex、RR等70余种；</w:t>
      </w:r>
    </w:p>
    <w:p w14:paraId="11DFE9F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1.8 VC静态肺活量检测：容积-时间测量曲线，QC检查，测量参数VC、IC、VT、VC/H、ERV、VCin、IRV、VCex、RR、MV；</w:t>
      </w:r>
    </w:p>
    <w:p w14:paraId="736A6B6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1.9 MVV最大自主通气量检测：容积-时间测量曲线，QC检查，测量参数MVV、VT、MVV%、RR、BSA、AVI、MVV/BSA；</w:t>
      </w:r>
    </w:p>
    <w:p w14:paraId="6755E64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1.10 MV静息流量检测：容积-时间测量曲线，测量参数MV、VT、BR、RR、VR；</w:t>
      </w:r>
    </w:p>
    <w:p w14:paraId="30812AE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1.11 ★支气管舒张检测：可输出“ATS标准化报告单”，可对比用药前后各参数值并显示变化率；</w:t>
      </w:r>
    </w:p>
    <w:p w14:paraId="20DEA7C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1.12 ★（可选）支气管激发检测：可对比用药前后各参数值并显示变化率；</w:t>
      </w:r>
    </w:p>
    <w:p w14:paraId="2AAD7F9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1.13 ★多重质控功能：设备准确性（校准）质控、检查过程实时质控、检查结果质控、预计值公式可靠性质控；</w:t>
      </w:r>
    </w:p>
    <w:p w14:paraId="0D03B60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1.14 ★产品质量：产品使用期限≧8年，使用过程中支持软件在线升级。</w:t>
      </w:r>
    </w:p>
    <w:p w14:paraId="2926622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（六）一体机</w:t>
      </w:r>
    </w:p>
    <w:p w14:paraId="3AB50AA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1.CPU：四核处理器；</w:t>
      </w:r>
    </w:p>
    <w:p w14:paraId="4D87E38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2.LED 屏：≥20寸；</w:t>
      </w:r>
    </w:p>
    <w:p w14:paraId="6B3C36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3.RAM（内存）：≥2GB；存储容量≥8GB；</w:t>
      </w:r>
    </w:p>
    <w:p w14:paraId="1630810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4.网络：支持WIFI、以太网；配备蓝牙4.0，支持外置3G；</w:t>
      </w:r>
    </w:p>
    <w:p w14:paraId="77D9F84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5.标配前置摄像头；</w:t>
      </w:r>
    </w:p>
    <w:p w14:paraId="4DFE047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6.配置电容触摸屏。</w:t>
      </w:r>
    </w:p>
    <w:p w14:paraId="1D039EE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（七）身份证读卡器</w:t>
      </w:r>
    </w:p>
    <w:p w14:paraId="6C71ACD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1.射频技术符合ISO14443 Type B标准，具备查询功能，可读取、查询第二代居民身份证全部信息，可验证第二代居民身份证真伪；</w:t>
      </w:r>
    </w:p>
    <w:p w14:paraId="29058EC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2.保密模块：身份证核验系统专用模块；</w:t>
      </w:r>
    </w:p>
    <w:p w14:paraId="19FA6DA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3.最大读卡距离：不小于5cm；</w:t>
      </w:r>
    </w:p>
    <w:p w14:paraId="19041CD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4.读卡时间：&lt;1s；</w:t>
      </w:r>
    </w:p>
    <w:p w14:paraId="0F0F73A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5.卡片与感应区平面最大张角≥70度；</w:t>
      </w:r>
    </w:p>
    <w:p w14:paraId="525B094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6.校验：循环冗余校验（CRC）；</w:t>
      </w:r>
    </w:p>
    <w:p w14:paraId="0460158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7.通讯接口：USB通讯接口；</w:t>
      </w:r>
    </w:p>
    <w:p w14:paraId="0FB649C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8.平均无故障工作时间：≥5000小时。</w:t>
      </w:r>
    </w:p>
    <w:p w14:paraId="0BC234F1">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※健康一体机（乡镇卫生院）</w:t>
      </w:r>
    </w:p>
    <w:p w14:paraId="09329AD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一、基本要求</w:t>
      </w:r>
    </w:p>
    <w:p w14:paraId="15B56E3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1.适用范围：测量人体健康参数，支持慢病管理。</w:t>
      </w:r>
    </w:p>
    <w:p w14:paraId="5130033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2.检查项目</w:t>
      </w:r>
    </w:p>
    <w:p w14:paraId="02D83E0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2.1 基本项目：可测量血氧饱和度、体温、腰围、臀围、腰臀比、身高、体重、BMI、血压、脉率、视力等；</w:t>
      </w:r>
    </w:p>
    <w:p w14:paraId="709FCF8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2.2 可拓展项目：十二导心电检测、中医体质识别、血糖、视力表、尿常规、骨密度、动脉硬化、血脂四项（总胆固醇、高密度脂蛋白、甘油三酯、低密度脂蛋白）、血红蛋白、视力、人体成分、人体脂肪、快速心电检测、心血管评估、B超、生化分析仪等。</w:t>
      </w:r>
    </w:p>
    <w:p w14:paraId="3C80FB8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3.交互操作：主机采用正版系统，配备大屏触控屏，方便用户自助操作。</w:t>
      </w:r>
    </w:p>
    <w:p w14:paraId="7C4FF40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4.数据对接：支持多种联网传输方式，支持对接至指定数据平台。</w:t>
      </w:r>
    </w:p>
    <w:p w14:paraId="0099820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二、健康一体机管理系统软件</w:t>
      </w:r>
    </w:p>
    <w:p w14:paraId="01C833F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1.智能用户识别系统：常规支持身份证登录、微信登录以及手机号登录；可扩展社保卡、二维码、条形码等登录方式；可定制人脸识别和指纹识别等用户识别方式。</w:t>
      </w:r>
    </w:p>
    <w:p w14:paraId="31E09EC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2.自助建立电子健康档案</w:t>
      </w:r>
    </w:p>
    <w:p w14:paraId="5E22D1F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2.1 初次使用的用户，可在健康一体机显示屏上通过界面指引自助建档，建档数据自动归入个人健康档案病例库。</w:t>
      </w:r>
    </w:p>
    <w:p w14:paraId="557D53C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2.2 自助建档支持从二代身份证上自动读取用户信息（人员姓名、性别、出生日期、住址等身份证基本信息）并自动形成个人健康档案，同时支持微信以及手机号快速建立健康档案。</w:t>
      </w:r>
    </w:p>
    <w:p w14:paraId="5732A9D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3.检测模式：支持单人检测、多人检测、主从机等多种检测模式，用户可根据检查项目多少自行配置多人检测模式或主从机模式，提高检测效率。</w:t>
      </w:r>
    </w:p>
    <w:p w14:paraId="551B535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4.语音指导：每个检查项目都配有真人语音讲解说明，指导客户达到自助使用目的。</w:t>
      </w:r>
    </w:p>
    <w:p w14:paraId="3D47917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5.报告单</w:t>
      </w:r>
    </w:p>
    <w:p w14:paraId="15AC6F3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5.1 支持个人体检结果自动生成综合体检报告，并根据测量结果给出科学的健康建议，可支持网络加密传输。</w:t>
      </w:r>
    </w:p>
    <w:p w14:paraId="78551D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5.2 结合多次测量结果，可以形成历史趋势图，进行汇总分析、评估、干预，并从饮食、运动、养生等方面给出健康指导建议。</w:t>
      </w:r>
    </w:p>
    <w:p w14:paraId="4F9B71C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5.3 具有慢病风险评估功能，对肥胖症、高血压、高血脂、糖尿病等慢病进行风险评估预测，并从饮食、运动、心理等方面给出指导建议。</w:t>
      </w:r>
    </w:p>
    <w:p w14:paraId="6E5F38F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三、检查设备配置</w:t>
      </w:r>
    </w:p>
    <w:p w14:paraId="599D2A2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（一）医用红外体温计</w:t>
      </w:r>
    </w:p>
    <w:p w14:paraId="45FC191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1.体温测量范围：35℃～42℃；分辨率：0.1℃；体温模式测量精度：±0.2℃；</w:t>
      </w:r>
    </w:p>
    <w:p w14:paraId="5DD9D38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2.1秒钟快速检测；</w:t>
      </w:r>
    </w:p>
    <w:p w14:paraId="68357B1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3.支持≥15组记忆数据；</w:t>
      </w:r>
    </w:p>
    <w:p w14:paraId="7806B2C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4.配备蜂鸣器提示功能；</w:t>
      </w:r>
    </w:p>
    <w:p w14:paraId="06EB01B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5.具有无线传输功能，可对接APP，实现数据管理。</w:t>
      </w:r>
    </w:p>
    <w:p w14:paraId="2998C02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（二）超声波身高体重测量仪</w:t>
      </w:r>
    </w:p>
    <w:p w14:paraId="7D5B41C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1.身高测量范围：70cm～198cm，分辨率≤0.1 cm；</w:t>
      </w:r>
    </w:p>
    <w:p w14:paraId="7A2D47E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2.体重测量范围：5kg～200kg，最大误差≤±0.1kg；</w:t>
      </w:r>
    </w:p>
    <w:p w14:paraId="1189CE0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3.温度补偿功能：双温度传感器，具有温度补偿功能，可提高身高测量结果的准确性；</w:t>
      </w:r>
    </w:p>
    <w:p w14:paraId="414E521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4.语音播报功能：可播报操作指导、注意事项、测量结果、异常提示，并可对播报内容进行选择设置；</w:t>
      </w:r>
    </w:p>
    <w:p w14:paraId="73CE5C9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5.离线保存测量结果：本机可保存≥1500例测量结果。</w:t>
      </w:r>
    </w:p>
    <w:p w14:paraId="7FE1F83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（三）全自动电子血压计</w:t>
      </w:r>
    </w:p>
    <w:p w14:paraId="1D7B776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1.测量方法：示波法；</w:t>
      </w:r>
    </w:p>
    <w:p w14:paraId="33EAC9A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2.显示方法：LED数码管显示屏；</w:t>
      </w:r>
    </w:p>
    <w:p w14:paraId="6A4CB08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3.测量范围：压力：0-295mmHg；脉搏数:35-185次/分；</w:t>
      </w:r>
    </w:p>
    <w:p w14:paraId="2202D81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4.测量位置：左右臂均可测量；</w:t>
      </w:r>
    </w:p>
    <w:p w14:paraId="07E0445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5.精确度：血压:±3mmHg以内； 脉搏:±3%以内；</w:t>
      </w:r>
    </w:p>
    <w:p w14:paraId="0702770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6.适用臂周：16cm-42cm；</w:t>
      </w:r>
    </w:p>
    <w:p w14:paraId="2AFB543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7.语音提示功能：真人语音对操作指导、注意事项、测量结果进行播报以及血压计异常状态进行提示；</w:t>
      </w:r>
    </w:p>
    <w:p w14:paraId="03F12B8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8.袖带驱动方式：电机自动裹袖带，提高测量精准度和受检者舒适度；</w:t>
      </w:r>
    </w:p>
    <w:p w14:paraId="41DE3D2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9.超压保护：压力超过300mmHg时，急速排气保护，排气时间不大于10秒；</w:t>
      </w:r>
    </w:p>
    <w:p w14:paraId="2F41E97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10.臂姿确认功能：通过臂姿检测按钮和红外传感器可使人体臂姿和位置处于最佳检测状态，提高测量结果准确度；</w:t>
      </w:r>
    </w:p>
    <w:p w14:paraId="5B713D1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11.臂筒角度调节：卷筒角度上下可调，适应不同高度的人群；</w:t>
      </w:r>
    </w:p>
    <w:p w14:paraId="5B23B7F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12.干扰提示：对干扰情况进行用户提醒、干扰波形图打印显示。</w:t>
      </w:r>
    </w:p>
    <w:p w14:paraId="7C76C25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（四）血氧饱和度检测仪</w:t>
      </w:r>
    </w:p>
    <w:p w14:paraId="0211802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1.血氧饱和度测量范围：35%～100%；</w:t>
      </w:r>
    </w:p>
    <w:p w14:paraId="5D820F0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2.血氧饱和度测量精度：80%～100%：±2%；70%～79%：±3%；精准率：1%；</w:t>
      </w:r>
    </w:p>
    <w:p w14:paraId="2871D61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3.脉率测量范围：25bpm～250bpm；测量精度：±3bpm；</w:t>
      </w:r>
    </w:p>
    <w:p w14:paraId="7FA35D9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4.显示屏：OLED屏；</w:t>
      </w:r>
    </w:p>
    <w:p w14:paraId="32DBE3D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5.可显示血氧波形；</w:t>
      </w:r>
    </w:p>
    <w:p w14:paraId="5691414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6.★可连接蓝牙，对接APP“OXICARE”，实现数据管理；</w:t>
      </w:r>
    </w:p>
    <w:p w14:paraId="158A6A7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7.认证：ISO13485、NMPA（二类医疗器械注册证）；</w:t>
      </w:r>
    </w:p>
    <w:p w14:paraId="11781FC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8.环境要求：温度范围：工作：+5℃+40℃；运输和贮存：-10℃+50℃；相对湿度：操作：15%80%（无凝结）；运输和贮存：10%90%（无凝结）。</w:t>
      </w:r>
    </w:p>
    <w:p w14:paraId="409136F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（五）安卓一体机</w:t>
      </w:r>
    </w:p>
    <w:p w14:paraId="7BD7C0E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1.CPU：四核处理器；</w:t>
      </w:r>
    </w:p>
    <w:p w14:paraId="5E8C393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2.LED 屏：≥20寸；</w:t>
      </w:r>
    </w:p>
    <w:p w14:paraId="08AEF05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3.RAM（内存）：≥2GB；存储容量≥8GB；</w:t>
      </w:r>
    </w:p>
    <w:p w14:paraId="515B690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4.网络：支持WIFI、以太网；配备蓝牙4.0，支持外置3G；</w:t>
      </w:r>
    </w:p>
    <w:p w14:paraId="17D33BB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5.标配前置摄像头；</w:t>
      </w:r>
    </w:p>
    <w:p w14:paraId="0F50473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6.配置电容触摸屏。</w:t>
      </w:r>
    </w:p>
    <w:p w14:paraId="7E2C175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（六）身份证读卡器</w:t>
      </w:r>
    </w:p>
    <w:p w14:paraId="3053613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1.射频技术符合ISO14443 Type B标准，具备查询功能，可读取、查询第二代居民身份证全部信息，可验证第二代居民身份证真伪；</w:t>
      </w:r>
    </w:p>
    <w:p w14:paraId="3D9D8AD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2.保密模块：身份证核验系统专用模块；</w:t>
      </w:r>
    </w:p>
    <w:p w14:paraId="7E09950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3.最大读卡距离：不小于5cm；</w:t>
      </w:r>
    </w:p>
    <w:p w14:paraId="1BCDC5A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4.读卡时间：&lt;1s；</w:t>
      </w:r>
    </w:p>
    <w:p w14:paraId="1C616F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5.卡片与感应区平面最大张角≥70度；</w:t>
      </w:r>
    </w:p>
    <w:p w14:paraId="6BC3A08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6.校验：循环冗余校验（CRC）；</w:t>
      </w:r>
    </w:p>
    <w:p w14:paraId="7FCF4BD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7.通讯接口：USB通讯接口；</w:t>
      </w:r>
    </w:p>
    <w:p w14:paraId="043DD1B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8.平均无故障工作时间：≥5000小时。</w:t>
      </w:r>
    </w:p>
    <w:p w14:paraId="2922BB1D">
      <w:pPr>
        <w:rPr>
          <w:rFonts w:hint="eastAsia" w:ascii="宋体" w:hAnsi="宋体" w:eastAsia="宋体" w:cs="宋体"/>
          <w:b/>
          <w:bCs w:val="0"/>
          <w:color w:val="000000"/>
          <w:kern w:val="0"/>
          <w:sz w:val="28"/>
          <w:szCs w:val="28"/>
          <w:highlight w:val="none"/>
        </w:rPr>
      </w:pPr>
      <w:r>
        <w:rPr>
          <w:rFonts w:hint="eastAsia" w:ascii="宋体" w:hAnsi="宋体" w:eastAsia="宋体" w:cs="宋体"/>
          <w:b/>
          <w:bCs w:val="0"/>
          <w:color w:val="000000"/>
          <w:kern w:val="0"/>
          <w:sz w:val="28"/>
          <w:szCs w:val="28"/>
          <w:highlight w:val="none"/>
        </w:rPr>
        <w:br w:type="page"/>
      </w:r>
    </w:p>
    <w:p w14:paraId="6C13E2FF">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kern w:val="0"/>
          <w:sz w:val="28"/>
          <w:szCs w:val="28"/>
          <w:highlight w:val="none"/>
          <w:lang w:val="en-US" w:eastAsia="zh-CN"/>
        </w:rPr>
      </w:pPr>
      <w:r>
        <w:rPr>
          <w:rFonts w:hint="eastAsia" w:ascii="宋体" w:hAnsi="宋体" w:eastAsia="宋体" w:cs="宋体"/>
          <w:b/>
          <w:bCs w:val="0"/>
          <w:color w:val="000000"/>
          <w:kern w:val="0"/>
          <w:sz w:val="28"/>
          <w:szCs w:val="28"/>
          <w:highlight w:val="none"/>
          <w:lang w:val="en-US" w:eastAsia="zh-CN"/>
        </w:rPr>
        <w:t>包3：</w:t>
      </w:r>
    </w:p>
    <w:p w14:paraId="1D4A7DD5">
      <w:pPr>
        <w:keepNext w:val="0"/>
        <w:keepLines w:val="0"/>
        <w:pageBreakBefore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便携式全自动多功能检测仪参数</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区、乡</w:t>
      </w:r>
      <w:r>
        <w:rPr>
          <w:rFonts w:hint="eastAsia" w:ascii="宋体" w:hAnsi="宋体" w:eastAsia="宋体" w:cs="宋体"/>
          <w:b/>
          <w:bCs/>
          <w:sz w:val="28"/>
          <w:szCs w:val="28"/>
          <w:highlight w:val="none"/>
          <w:lang w:eastAsia="zh-CN"/>
        </w:rPr>
        <w:t>）</w:t>
      </w:r>
    </w:p>
    <w:p w14:paraId="170E168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一、设备参数</w:t>
      </w:r>
    </w:p>
    <w:p w14:paraId="0DED935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1.可检测全血、血浆、血清或者尿液标本；</w:t>
      </w:r>
    </w:p>
    <w:p w14:paraId="4DAE2C3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2.样本量：5-400 μl</w:t>
      </w:r>
    </w:p>
    <w:p w14:paraId="600AE57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3.支持二维条码自动读取；</w:t>
      </w:r>
    </w:p>
    <w:p w14:paraId="52D5BE4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4.检测时间：3-15分钟/样本</w:t>
      </w:r>
    </w:p>
    <w:p w14:paraId="109BE71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5.透射系统：在最大吸光度不小于2.0时，线性相关系数R≥0.995</w:t>
      </w:r>
    </w:p>
    <w:p w14:paraId="18F2030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6.荧光系统：在荧光强度500~2300范围时，线性相关系数R≥0.99</w:t>
      </w:r>
    </w:p>
    <w:p w14:paraId="7A7F2B7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7.反射系统：反射率在5.5%~80%范围内时，线性相关系数R≥0.99</w:t>
      </w:r>
    </w:p>
    <w:p w14:paraId="119A8FA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8.分析方法：终点法、速率法、酶法、酶动力法、凝固法、胶乳免疫比浊法</w:t>
      </w:r>
    </w:p>
    <w:p w14:paraId="01604FC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9.具备蓝牙、wifi、4G功能；</w:t>
      </w:r>
    </w:p>
    <w:p w14:paraId="5865EF0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10.温控精度：37±0.5℃</w:t>
      </w:r>
    </w:p>
    <w:p w14:paraId="0B3794E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11.检测波长：340nm，405nm，455nm，505nm，546nm，578nm，630nm，635nm，660nm，700nm等</w:t>
      </w:r>
    </w:p>
    <w:p w14:paraId="11A9699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12.数据接口：≥2个USB，≥1个LAN网口，≥1个RS232</w:t>
      </w:r>
    </w:p>
    <w:p w14:paraId="5DA0FF9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13.单机测量通道：≥2个独立通道</w:t>
      </w:r>
    </w:p>
    <w:p w14:paraId="2BC1075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14.加样方式：一次性TIP头加样</w:t>
      </w:r>
    </w:p>
    <w:p w14:paraId="694FD71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15.质控图：仪器自动生成质控图谱</w:t>
      </w:r>
    </w:p>
    <w:p w14:paraId="3296649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16.检测指标：≥29张试剂卡、≥62个检测项目</w:t>
      </w:r>
    </w:p>
    <w:p w14:paraId="7C61852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17.打印机：内置热敏打印机</w:t>
      </w:r>
    </w:p>
    <w:p w14:paraId="39147FF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18.显示方式：≥10寸触摸屏，≥1024*768像素</w:t>
      </w:r>
    </w:p>
    <w:p w14:paraId="7B72D0A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19.无需上、下水等特殊安装，无试剂盒外其他一次性耗材</w:t>
      </w:r>
    </w:p>
    <w:p w14:paraId="3D97946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20.可无缝对接医院HIS、LIS系统</w:t>
      </w:r>
    </w:p>
    <w:p w14:paraId="3AFF0E0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21.辅助系统：配套iPOCT系统，数据通过无线/有线方式上传到系统。</w:t>
      </w:r>
    </w:p>
    <w:p w14:paraId="72AC3B7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22.需与国家糖尿病标准化防控中心（DPCC）管理平台对接,并实现数据自动上传。</w:t>
      </w:r>
    </w:p>
    <w:p w14:paraId="00612AA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二、专用耗材</w:t>
      </w:r>
    </w:p>
    <w:p w14:paraId="48BCAB96">
      <w:pPr>
        <w:widowControl w:val="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1.若投标设备在正常使用过程中，需配置专用耗材方能运行、使用的，投标人须在投标文件中如实列明该设备所需全部专用耗材名称、规格型号、生产厂家、医疗器械注册证号及单价，并单独报价。</w:t>
      </w:r>
    </w:p>
    <w:p w14:paraId="5B93DEB0">
      <w:pPr>
        <w:widowControl w:val="0"/>
        <w:ind w:left="0" w:leftChars="0" w:firstLine="0" w:firstLineChars="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2.所列专用耗材必须为设备原厂原装或原厂指定适配耗材，确保与投标设备完全匹配、兼容稳定，满足临床使用要求。</w:t>
      </w:r>
    </w:p>
    <w:p w14:paraId="4F328D77">
      <w:pPr>
        <w:widowControl w:val="0"/>
        <w:ind w:left="0" w:leftChars="0" w:firstLine="0" w:firstLineChars="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3.专用耗材单价为落地结算单价，包含货物、配送、税费、售后服务等全部费用，合同约定服务期限内单价不予上涨。</w:t>
      </w:r>
    </w:p>
    <w:p w14:paraId="182ACEEA">
      <w:pPr>
        <w:widowControl w:val="0"/>
        <w:ind w:left="0" w:leftChars="0" w:firstLine="0" w:firstLineChars="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4.中标后，医院有权按照临床实际需求，根据中标单价据实采购上述专用耗材，中标人须保障长期、稳定、及时供货，不得拒绝供应、擅自涨价或更换耗材型号。</w:t>
      </w:r>
    </w:p>
    <w:p w14:paraId="525F5447">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12E55E06">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超声波身高体重测量仪参数（区、乡、村）</w:t>
      </w:r>
    </w:p>
    <w:p w14:paraId="5036390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1.体重测量范围：7-180kg，分度值 0.1kg；</w:t>
      </w:r>
    </w:p>
    <w:p w14:paraId="0C9B5B0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2.身高测量范围：85-195cm，分度值 0.5cm；</w:t>
      </w:r>
    </w:p>
    <w:p w14:paraId="261ADB0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3.检测年龄范围：3-99 岁；</w:t>
      </w:r>
    </w:p>
    <w:p w14:paraId="3E06D85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4.具备真人语音播报；</w:t>
      </w:r>
    </w:p>
    <w:p w14:paraId="01D899D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5.显示屏：≥3寸 TFT-LCD 屏，分辨率 ≥480*320，测量完成可同屏显示二维码及身高、体重、BMI 数据；</w:t>
      </w:r>
    </w:p>
    <w:p w14:paraId="7FA677B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6.供电方式：5V/1A 电源适配器，3.7V/2500mAh 可充电锂电池；</w:t>
      </w:r>
    </w:p>
    <w:p w14:paraId="09890D2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7.测量指标：15+项.（体重、身高、BMI、体脂率、体水分、骨骼肌 率、肌肉量、骨量、去脂体重、皮下脂肪、内脏脂肪、体年龄、无机盐、蛋白质、 脂肪、体型、基础代谢等</w:t>
      </w:r>
    </w:p>
    <w:p w14:paraId="7FE4F0D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8.脂肪测量：金属 2 电极（手部）；</w:t>
      </w:r>
    </w:p>
    <w:p w14:paraId="5E76065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9.具备滑轮；</w:t>
      </w:r>
    </w:p>
    <w:p w14:paraId="486D56F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10.测量时间：≤20s ；</w:t>
      </w:r>
    </w:p>
    <w:p w14:paraId="6681305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11.支持中文、英语切换；</w:t>
      </w:r>
    </w:p>
    <w:p w14:paraId="5AA5236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12.支持单位：Kg、cm 公制单位；</w:t>
      </w:r>
    </w:p>
    <w:p w14:paraId="646EFDF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13.存储记录：可存储在手机端，不限存储记录数；</w:t>
      </w:r>
    </w:p>
    <w:p w14:paraId="1C4A2A3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14.数据传输：二维码、WIfI、蓝牙；</w:t>
      </w:r>
    </w:p>
    <w:p w14:paraId="338AE48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15.报告类型：青少年报告、成人报告；</w:t>
      </w:r>
    </w:p>
    <w:p w14:paraId="3010214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16.具备营养食谱、减脂计划、运动建议等功能</w:t>
      </w:r>
    </w:p>
    <w:p w14:paraId="1F3319A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17.报告形式：电子版报告（可通过公众号、小程序查看）；</w:t>
      </w:r>
    </w:p>
    <w:p w14:paraId="39D92C21">
      <w:pPr>
        <w:jc w:val="left"/>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18.需与国家糖尿病标准化防控中心（DPCC）管理平台对接,并实现数据自动上传。</w:t>
      </w:r>
    </w:p>
    <w:p w14:paraId="43160F89">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急救箱（区、乡、村）</w:t>
      </w:r>
    </w:p>
    <w:p w14:paraId="354F468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技术参数 1.≥14寸；尺寸：35cm*20cm*22cm（±2cm）；材质：铝合金；</w:t>
      </w:r>
    </w:p>
    <w:p w14:paraId="1487B396">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kern w:val="0"/>
          <w:sz w:val="28"/>
          <w:szCs w:val="28"/>
          <w:highlight w:val="none"/>
          <w:lang w:eastAsia="zh-CN"/>
        </w:rPr>
      </w:pPr>
      <w:r>
        <w:rPr>
          <w:rFonts w:hint="eastAsia" w:ascii="宋体" w:hAnsi="宋体" w:eastAsia="宋体" w:cs="宋体"/>
          <w:b/>
          <w:bCs w:val="0"/>
          <w:color w:val="000000"/>
          <w:kern w:val="0"/>
          <w:sz w:val="28"/>
          <w:szCs w:val="28"/>
          <w:highlight w:val="none"/>
        </w:rPr>
        <w:t>脉搏波血压计参数</w:t>
      </w:r>
      <w:r>
        <w:rPr>
          <w:rFonts w:hint="eastAsia" w:ascii="宋体" w:hAnsi="宋体" w:eastAsia="宋体" w:cs="宋体"/>
          <w:b/>
          <w:bCs w:val="0"/>
          <w:color w:val="000000"/>
          <w:kern w:val="0"/>
          <w:sz w:val="28"/>
          <w:szCs w:val="28"/>
          <w:highlight w:val="none"/>
          <w:lang w:eastAsia="zh-CN"/>
        </w:rPr>
        <w:t>（</w:t>
      </w:r>
      <w:r>
        <w:rPr>
          <w:rFonts w:hint="eastAsia" w:ascii="宋体" w:hAnsi="宋体" w:eastAsia="宋体" w:cs="宋体"/>
          <w:b/>
          <w:bCs w:val="0"/>
          <w:color w:val="000000"/>
          <w:kern w:val="0"/>
          <w:sz w:val="28"/>
          <w:szCs w:val="28"/>
          <w:highlight w:val="none"/>
          <w:lang w:val="en-US" w:eastAsia="zh-CN"/>
        </w:rPr>
        <w:t>区、乡、村通用</w:t>
      </w:r>
      <w:r>
        <w:rPr>
          <w:rFonts w:hint="eastAsia" w:ascii="宋体" w:hAnsi="宋体" w:eastAsia="宋体" w:cs="宋体"/>
          <w:b/>
          <w:bCs w:val="0"/>
          <w:color w:val="000000"/>
          <w:kern w:val="0"/>
          <w:sz w:val="28"/>
          <w:szCs w:val="28"/>
          <w:highlight w:val="none"/>
          <w:lang w:eastAsia="zh-CN"/>
        </w:rPr>
        <w:t>）</w:t>
      </w:r>
    </w:p>
    <w:p w14:paraId="1B1D1443">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1.测量方法：脉搏波法，双气囊双传感器设计；</w:t>
      </w:r>
    </w:p>
    <w:p w14:paraId="58E0B08B">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2.测量范围：压力（0～270）mmHg［(0～36)kPa］</w:t>
      </w:r>
    </w:p>
    <w:p w14:paraId="0CF9EF00">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脉率数 40 次/分～180 次/分；</w:t>
      </w:r>
    </w:p>
    <w:p w14:paraId="6F69562B">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3.测量准确度：压力±3mmHg(±0.4kPa)以内</w:t>
      </w:r>
    </w:p>
    <w:p w14:paraId="5E3825C5">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脉率数±5%以内；</w:t>
      </w:r>
    </w:p>
    <w:p w14:paraId="4DBD36A1">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auto"/>
          <w:spacing w:val="0"/>
          <w:kern w:val="0"/>
          <w:sz w:val="28"/>
          <w:szCs w:val="28"/>
          <w:highlight w:val="none"/>
          <w:lang w:val="en-US" w:eastAsia="zh-CN" w:bidi="ar"/>
        </w:rPr>
      </w:pPr>
      <w:r>
        <w:rPr>
          <w:rFonts w:hint="eastAsia" w:ascii="宋体" w:hAnsi="宋体" w:eastAsia="宋体" w:cs="宋体"/>
          <w:b w:val="0"/>
          <w:bCs w:val="0"/>
          <w:i w:val="0"/>
          <w:iCs w:val="0"/>
          <w:caps w:val="0"/>
          <w:color w:val="auto"/>
          <w:spacing w:val="0"/>
          <w:kern w:val="0"/>
          <w:sz w:val="28"/>
          <w:szCs w:val="28"/>
          <w:highlight w:val="none"/>
          <w:lang w:val="en-US" w:eastAsia="zh-CN" w:bidi="ar"/>
        </w:rPr>
        <w:t>4.存储容量：可存储两个用户，每个用户各≥50 组测量数据 ；</w:t>
      </w:r>
    </w:p>
    <w:p w14:paraId="33EC48D3">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auto"/>
          <w:spacing w:val="0"/>
          <w:kern w:val="0"/>
          <w:sz w:val="28"/>
          <w:szCs w:val="28"/>
          <w:highlight w:val="none"/>
          <w:lang w:val="en-US" w:eastAsia="zh-CN" w:bidi="ar"/>
        </w:rPr>
        <w:t>5.信息传输方式：USB，蓝牙传输；</w:t>
      </w:r>
      <w:r>
        <w:rPr>
          <w:rFonts w:hint="eastAsia" w:ascii="宋体" w:hAnsi="宋体" w:eastAsia="宋体" w:cs="宋体"/>
          <w:b w:val="0"/>
          <w:bCs w:val="0"/>
          <w:i w:val="0"/>
          <w:iCs w:val="0"/>
          <w:caps w:val="0"/>
          <w:color w:val="333333"/>
          <w:spacing w:val="0"/>
          <w:kern w:val="0"/>
          <w:sz w:val="28"/>
          <w:szCs w:val="28"/>
          <w:highlight w:val="none"/>
          <w:lang w:val="en-US" w:eastAsia="zh-CN" w:bidi="ar"/>
        </w:rPr>
        <w:t>需与国家糖尿病标准化防控中心（DPCC）管理平台对接,并实现数据自动上传。</w:t>
      </w:r>
    </w:p>
    <w:p w14:paraId="700845CD">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auto"/>
          <w:spacing w:val="0"/>
          <w:kern w:val="0"/>
          <w:sz w:val="28"/>
          <w:szCs w:val="28"/>
          <w:highlight w:val="none"/>
          <w:lang w:val="en-US" w:eastAsia="zh-CN" w:bidi="ar"/>
        </w:rPr>
      </w:pPr>
      <w:r>
        <w:rPr>
          <w:rFonts w:hint="eastAsia" w:ascii="宋体" w:hAnsi="宋体" w:eastAsia="宋体" w:cs="宋体"/>
          <w:b w:val="0"/>
          <w:bCs w:val="0"/>
          <w:i w:val="0"/>
          <w:iCs w:val="0"/>
          <w:caps w:val="0"/>
          <w:color w:val="auto"/>
          <w:spacing w:val="0"/>
          <w:kern w:val="0"/>
          <w:sz w:val="28"/>
          <w:szCs w:val="28"/>
          <w:highlight w:val="none"/>
          <w:lang w:val="en-US" w:eastAsia="zh-CN" w:bidi="ar"/>
        </w:rPr>
        <w:t>6.电 源：支持锂电池充电功能更节约环保（DC3.7V）；</w:t>
      </w:r>
    </w:p>
    <w:p w14:paraId="3126F13F">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auto"/>
          <w:spacing w:val="0"/>
          <w:kern w:val="0"/>
          <w:sz w:val="28"/>
          <w:szCs w:val="28"/>
          <w:highlight w:val="none"/>
          <w:lang w:val="en-US" w:eastAsia="zh-CN" w:bidi="ar"/>
        </w:rPr>
        <w:t>7</w:t>
      </w:r>
      <w:r>
        <w:rPr>
          <w:rFonts w:hint="eastAsia" w:ascii="宋体" w:hAnsi="宋体" w:eastAsia="宋体" w:cs="宋体"/>
          <w:b w:val="0"/>
          <w:bCs w:val="0"/>
          <w:i w:val="0"/>
          <w:iCs w:val="0"/>
          <w:caps w:val="0"/>
          <w:color w:val="FF0000"/>
          <w:spacing w:val="0"/>
          <w:kern w:val="0"/>
          <w:sz w:val="28"/>
          <w:szCs w:val="28"/>
          <w:highlight w:val="none"/>
          <w:lang w:val="en-US" w:eastAsia="zh-CN" w:bidi="ar"/>
        </w:rPr>
        <w:t>.</w:t>
      </w:r>
      <w:r>
        <w:rPr>
          <w:rFonts w:hint="eastAsia" w:ascii="宋体" w:hAnsi="宋体" w:eastAsia="宋体" w:cs="宋体"/>
          <w:b w:val="0"/>
          <w:bCs w:val="0"/>
          <w:i w:val="0"/>
          <w:iCs w:val="0"/>
          <w:caps w:val="0"/>
          <w:color w:val="333333"/>
          <w:spacing w:val="0"/>
          <w:kern w:val="0"/>
          <w:sz w:val="28"/>
          <w:szCs w:val="28"/>
          <w:highlight w:val="none"/>
          <w:lang w:val="en-US" w:eastAsia="zh-CN" w:bidi="ar"/>
        </w:rPr>
        <w:t>使用温湿度：5℃~40℃ , 15%RH～80%RH；</w:t>
      </w:r>
    </w:p>
    <w:p w14:paraId="142957F8">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8.运输和贮存温湿度：-20℃~+55℃ , ≤93%RH；</w:t>
      </w:r>
    </w:p>
    <w:p w14:paraId="340BD2A7">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9.运行大气压力： 80kPa～106kPa；</w:t>
      </w:r>
    </w:p>
    <w:p w14:paraId="0D565748">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10.运输和贮存大气压力：50kPa～106kPa；</w:t>
      </w:r>
    </w:p>
    <w:p w14:paraId="5F7055FB">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11.外形尺寸：（长）≤148mm×（宽）≤102.5mm×（高）≤79mm；</w:t>
      </w:r>
    </w:p>
    <w:p w14:paraId="5BC43B59">
      <w:pPr>
        <w:keepNext w:val="0"/>
        <w:keepLines w:val="0"/>
        <w:widowControl/>
        <w:suppressLineNumbers w:val="0"/>
        <w:pBdr>
          <w:top w:val="none" w:color="auto" w:sz="0" w:space="0"/>
          <w:left w:val="none" w:color="auto" w:sz="0" w:space="0"/>
          <w:bottom w:val="single" w:color="E8EAEC" w:sz="4" w:space="0"/>
          <w:right w:val="none" w:color="auto" w:sz="0" w:space="0"/>
        </w:pBdr>
        <w:spacing w:before="0" w:beforeAutospacing="0" w:after="0" w:afterAutospacing="0" w:line="10" w:lineRule="atLeast"/>
        <w:ind w:left="0" w:right="0" w:firstLine="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12.电击保护：内部电源设备、BF 型应用部分；</w:t>
      </w:r>
    </w:p>
    <w:p w14:paraId="545611B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13.袖带适用周长范围：20cm～35cm。</w:t>
      </w:r>
    </w:p>
    <w:p w14:paraId="31B78AE4">
      <w:pPr>
        <w:jc w:val="center"/>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神经检查工具包参数</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lang w:val="en-US" w:eastAsia="zh-CN"/>
        </w:rPr>
        <w:t>区、乡</w:t>
      </w:r>
      <w:r>
        <w:rPr>
          <w:rFonts w:hint="eastAsia" w:ascii="宋体" w:hAnsi="宋体" w:eastAsia="宋体" w:cs="宋体"/>
          <w:b/>
          <w:bCs w:val="0"/>
          <w:sz w:val="28"/>
          <w:szCs w:val="28"/>
          <w:highlight w:val="none"/>
          <w:lang w:eastAsia="zh-CN"/>
        </w:rPr>
        <w:t>）</w:t>
      </w:r>
    </w:p>
    <w:p w14:paraId="5A845A3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1.丁字型叩诊锤</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：手柄采用不锈钢材质，锤头为优质硅胶；丁字型结构；头端配备大头针，尾端配备毛刷；尺寸 17.0×4cm。</w:t>
      </w:r>
    </w:p>
    <w:p w14:paraId="0480C41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2.凉温觉检查器：两端分别采用特殊聚氨酯材质、金属合金聚合物导热材料；尺寸 97×20×15mm。</w:t>
      </w:r>
    </w:p>
    <w:p w14:paraId="4C2FCC6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3.10g 尼龙丝：采用进口增强尼龙材质，绿色环保、无异味；单丝检测力 10 克；配备专用手柄。</w:t>
      </w:r>
    </w:p>
    <w:p w14:paraId="23D8018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4.半定量音叉：采用 LY12 铝镁合金材质，频率 128Hz，长度 27cm；左右各配置 1 支带刻度滑块，可半定量检测。</w:t>
      </w:r>
    </w:p>
    <w:p w14:paraId="504B2A1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5.配置清单：</w:t>
      </w:r>
    </w:p>
    <w:p w14:paraId="0EFAE6D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128Hz 半定量音叉 1 把</w:t>
      </w:r>
    </w:p>
    <w:p w14:paraId="437D929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凉温觉检查器 1 支</w:t>
      </w:r>
    </w:p>
    <w:p w14:paraId="1146B5D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 克尼龙丝 1 套</w:t>
      </w:r>
    </w:p>
    <w:p w14:paraId="03AF12E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丁字型叩诊锤 1 把</w:t>
      </w:r>
    </w:p>
    <w:p w14:paraId="6E0F42D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说明书 1 份</w:t>
      </w:r>
    </w:p>
    <w:p w14:paraId="7A38368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铝合金保管箱 1 个</w:t>
      </w:r>
    </w:p>
    <w:p w14:paraId="2C743636">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随诊箱参数（区、乡）</w:t>
      </w:r>
    </w:p>
    <w:p w14:paraId="7877E59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1、整机介绍</w:t>
      </w:r>
    </w:p>
    <w:p w14:paraId="4940E34C">
      <w:pPr>
        <w:ind w:firstLine="560" w:firstLineChars="20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健康随诊箱是把人体各项健康指标的设备集成到一台设备上，可以通过身份证、社保卡等进行自主登记、自主建档、自助体检、自动生成体检报告等各项功能。检测者可以按照机器屏幕引导和语音提示自助完成一系列健康检测项目，体检完成后自动生成健康体检报告，并给予检测者健康指导、膳食指导等。</w:t>
      </w:r>
    </w:p>
    <w:p w14:paraId="66E90E9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同时具有家医签约、基础诊疗等功能，配置灵活，适用于广大村医、家庭医生为辖区居民提供家庭医生服务、基本公卫服务。</w:t>
      </w:r>
    </w:p>
    <w:p w14:paraId="5729106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2、产品配置</w:t>
      </w:r>
    </w:p>
    <w:p w14:paraId="24D6150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2.1、标准检测项目：身份识别、血压、脉率、血氧饱和度、体温、腰臀围、腰臀比；</w:t>
      </w:r>
    </w:p>
    <w:p w14:paraId="4319284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2.2、拓展检测项目：视力、体重、血糖、尿酸、总胆固醇、尿常规、血红蛋白、快速心电、12导心电、肺活量、肺功能、血脂四项（总胆固醇、高密度脂蛋白、甘油三酯、低密度脂蛋白）等；</w:t>
      </w:r>
    </w:p>
    <w:p w14:paraId="6D9303A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2.3、操作平台：安卓触摸屏触控操作；</w:t>
      </w:r>
    </w:p>
    <w:p w14:paraId="099ECF8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2.4、所有医疗器械均有医疗器械注册证；</w:t>
      </w:r>
    </w:p>
    <w:p w14:paraId="36B3DDD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3、软硬件参数</w:t>
      </w:r>
    </w:p>
    <w:p w14:paraId="12DFCFB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3.1、健康随诊箱管理系统软件</w:t>
      </w:r>
    </w:p>
    <w:p w14:paraId="7668E40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3.1.1、自助建档</w:t>
      </w:r>
    </w:p>
    <w:p w14:paraId="040875E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3.1.1.1、初次使用的居民，在所有的健康一体机显示屏上可提示并引导居民自助建档，建档数据自动归入个人健康档案库。</w:t>
      </w:r>
    </w:p>
    <w:p w14:paraId="189792B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3.1.1.2、自助建档支持通过身份证、IC卡（医保卡、健康卡等）、微信扫码、条形码、人脸识别等方式采集人员信息（姓名、性别、出生日期、住址、身份证号等基础信息）并自动形成个人健康档案。</w:t>
      </w:r>
    </w:p>
    <w:p w14:paraId="2AFF230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3.1.2、自助体检</w:t>
      </w:r>
    </w:p>
    <w:p w14:paraId="077E734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3.1.2.1、从登记到集成体检报告，各设备均可由检测者自助或自动完成，用户可以对检测指标进行查看，实现全程自助理念。</w:t>
      </w:r>
    </w:p>
    <w:p w14:paraId="55F7650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3.1.2.2、软件数据处理模块可以把测量的项目：身高、体重、BMI、血压、心率、心电图、血氧、血糖、尿酸、高密度、低密度、甘油三脂、总胆固醇、体温、脂肪率（人体水分率、基础代谢、脂肪率）、腰臀比例、中医体质辨识等检测数据自动上传到系统，无需手动输入，数据结果汇总并生成体检报告，方便医护人员查看检测者信息。</w:t>
      </w:r>
    </w:p>
    <w:p w14:paraId="4C94E49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3.1.2.3、每个检查项目都配有专业的动画操作说明，通过指导客户达到自助检测的目的。（需附软件截图）</w:t>
      </w:r>
    </w:p>
    <w:p w14:paraId="1141FE5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3.1.2.4、每个检查项目都配有真人语音讲解说明，指导客户达到自助使用目的。（需附软件截图）</w:t>
      </w:r>
    </w:p>
    <w:p w14:paraId="0433164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3.1.3、数据传输</w:t>
      </w:r>
    </w:p>
    <w:p w14:paraId="1740320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设备开机后通过蓝牙/USB连接，采用先进的通讯模式，传输稳定、高效；每个设备连接情况在系统主界面显示。</w:t>
      </w:r>
    </w:p>
    <w:p w14:paraId="404063D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3.1.4、报告查看</w:t>
      </w:r>
    </w:p>
    <w:p w14:paraId="193EF5B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3.1.4.1、在未联网单机使用的情况下，可打印纸质报告单。</w:t>
      </w:r>
    </w:p>
    <w:p w14:paraId="5471752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3.1.4.2、接入网络后，可实现数据共享，电子报告单等健康服务工作。</w:t>
      </w:r>
    </w:p>
    <w:p w14:paraId="3BF0294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3.1.4.3、结合测量结果，从饮食、运动、养生等方面给出健康指导建议。（需附软件截图）</w:t>
      </w:r>
    </w:p>
    <w:p w14:paraId="649BDE6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★3.1.4.3、提供微信端查询功能，体检者可通过公众号自助查询个人体检报告。</w:t>
      </w:r>
    </w:p>
    <w:p w14:paraId="008EA6A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3.1.5、支持测量项目拓展。（需附软件截图）</w:t>
      </w:r>
    </w:p>
    <w:p w14:paraId="2145E9F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3.1.6、可对系统参数自行设置。</w:t>
      </w:r>
    </w:p>
    <w:p w14:paraId="3D98A4B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3.1.7、数据对接</w:t>
      </w:r>
    </w:p>
    <w:p w14:paraId="543863E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支持数据对接，提供完整的数据传输接口协议，支持多种联网传输方式（数据库直连、HTTP、Webservice以及xml文件等）。也可根据第三方软件系统接口协议，做定制接口开发，最终实现与His系统，公卫系统、体检系统第三方系统对接。</w:t>
      </w:r>
    </w:p>
    <w:p w14:paraId="799C3EE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3.1.8、升级维护：联网后支持远程升级，故障上报，数据备份，软件更新等服务。（需附软件截图）</w:t>
      </w:r>
    </w:p>
    <w:p w14:paraId="0F75187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★3.1.9、具有健康随诊箱管理系统的计算机软件著作权证书。</w:t>
      </w:r>
    </w:p>
    <w:p w14:paraId="14B08F9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3.2、全科问诊系统</w:t>
      </w:r>
    </w:p>
    <w:p w14:paraId="2E6D662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3.2.1、按照《国家基本公共卫生服务规范（第三版）》要求，包括居民健康档案、个人基本信息表、健康体检表、新生儿家庭访视记录表、1-8月龄儿童健康检查记录表、12-30月龄儿童健康检查记录表、3-6岁儿童健康检查记录表、老年人生活自理能力评估表、高血压患者随访服务记录表、2型糖尿病患者随访服务记录表、老年人中医药健康管理服务记录表等表单；</w:t>
      </w:r>
    </w:p>
    <w:p w14:paraId="7107759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3.2.2、支持健康随诊箱测量结果自动填入相应表单，提升用户体验，提高填写效率；</w:t>
      </w:r>
    </w:p>
    <w:p w14:paraId="130F431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3.2.3、支持联网自动获取公卫体检数据并自动填写至相应表单，避免重复填写，节省时间，提高填写效率；（需附软件截图）</w:t>
      </w:r>
    </w:p>
    <w:p w14:paraId="75AA367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3.2.4、支持表单数据的本地存储与查询，方便用户查看历史检测数据。</w:t>
      </w:r>
    </w:p>
    <w:p w14:paraId="44FE8BC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3.3、臂式电子血压计</w:t>
      </w:r>
    </w:p>
    <w:p w14:paraId="4832AFB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（1）压力测量范围：30mmHg～280mmHg；测量精度：±3mmHg；</w:t>
      </w:r>
    </w:p>
    <w:p w14:paraId="2232A59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（2）脉率测量范围：40bpm～195bpm；测量精度：±5%；</w:t>
      </w:r>
    </w:p>
    <w:p w14:paraId="3A9DB12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（3）50组数据存储；</w:t>
      </w:r>
    </w:p>
    <w:p w14:paraId="0F68E68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（4）心率不起提醒、二次加压、自动泄压、断电数据保存；</w:t>
      </w:r>
    </w:p>
    <w:p w14:paraId="008E7E1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（5）3分钟自动关机，节能省电；</w:t>
      </w:r>
    </w:p>
    <w:p w14:paraId="12C22B9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★（6）具有无线传输功能，可对接APP，实现数据管理。</w:t>
      </w:r>
    </w:p>
    <w:p w14:paraId="2DD3141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3.4、蓝牙血糖仪</w:t>
      </w:r>
    </w:p>
    <w:p w14:paraId="6D71D21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用 血 量</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1μL</w:t>
      </w:r>
    </w:p>
    <w:p w14:paraId="704A234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测试样本</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新鲜毛细血管全血、静脉全血、动脉全血及新生儿全血</w:t>
      </w:r>
    </w:p>
    <w:p w14:paraId="2653055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检测原理</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葡萄糖脱氢酶法</w:t>
      </w:r>
    </w:p>
    <w:p w14:paraId="720BE2F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执行标准</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ISO 15197: 2013和GB/T 19634-2021</w:t>
      </w:r>
    </w:p>
    <w:p w14:paraId="423DCB7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测试范围</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1.1-33.3mmol/L</w:t>
      </w:r>
    </w:p>
    <w:p w14:paraId="436A0E4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测量时间</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5s</w:t>
      </w:r>
    </w:p>
    <w:p w14:paraId="7EF981A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加样方式</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顶端加样+自动虹吸</w:t>
      </w:r>
    </w:p>
    <w:p w14:paraId="012445C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记忆容量</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500个血糖测试值，100个质控液测试值</w:t>
      </w:r>
    </w:p>
    <w:p w14:paraId="2F74444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调码方式</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自动调码</w:t>
      </w:r>
    </w:p>
    <w:p w14:paraId="2ACFF8B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准 确 度</w:t>
      </w:r>
      <w:r>
        <w:rPr>
          <w:rFonts w:hint="eastAsia" w:ascii="宋体" w:hAnsi="宋体" w:eastAsia="宋体" w:cs="宋体"/>
          <w:b w:val="0"/>
          <w:bCs w:val="0"/>
          <w:i w:val="0"/>
          <w:iCs w:val="0"/>
          <w:caps w:val="0"/>
          <w:color w:val="333333"/>
          <w:spacing w:val="0"/>
          <w:kern w:val="0"/>
          <w:sz w:val="28"/>
          <w:szCs w:val="28"/>
          <w:highlight w:val="none"/>
          <w:lang w:val="en-US" w:eastAsia="zh-CN" w:bidi="ar"/>
        </w:rPr>
        <w:tab/>
      </w:r>
      <w:r>
        <w:rPr>
          <w:rFonts w:hint="eastAsia" w:ascii="宋体" w:hAnsi="宋体" w:eastAsia="宋体" w:cs="宋体"/>
          <w:b w:val="0"/>
          <w:bCs w:val="0"/>
          <w:i w:val="0"/>
          <w:iCs w:val="0"/>
          <w:caps w:val="0"/>
          <w:color w:val="333333"/>
          <w:spacing w:val="0"/>
          <w:kern w:val="0"/>
          <w:sz w:val="28"/>
          <w:szCs w:val="28"/>
          <w:highlight w:val="none"/>
          <w:lang w:val="en-US" w:eastAsia="zh-CN" w:bidi="ar"/>
        </w:rPr>
        <w:t>±15%</w:t>
      </w:r>
    </w:p>
    <w:p w14:paraId="4990B56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3.5、红外线额温枪</w:t>
      </w:r>
    </w:p>
    <w:p w14:paraId="165524A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（1）产品尺寸：157*88*45mm；</w:t>
      </w:r>
    </w:p>
    <w:p w14:paraId="32334BB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（2）机身重量：约120g（不含电池）；</w:t>
      </w:r>
    </w:p>
    <w:p w14:paraId="4324DEC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（3）外壳材质：ABS；</w:t>
      </w:r>
    </w:p>
    <w:p w14:paraId="7351E11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（4）显示类型：LCD显示；</w:t>
      </w:r>
    </w:p>
    <w:p w14:paraId="347C428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（5）分辨率：0.1℃；</w:t>
      </w:r>
    </w:p>
    <w:p w14:paraId="76B0722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（6）供电方式：DC3V（可选USB5V）；</w:t>
      </w:r>
    </w:p>
    <w:p w14:paraId="3B2DE4F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（7）最佳测试距离：1~5cm；</w:t>
      </w:r>
    </w:p>
    <w:p w14:paraId="3C7EC4A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（8）串口（选配）：Serial port；</w:t>
      </w:r>
    </w:p>
    <w:p w14:paraId="0A2E405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（9）储存环境温度：-20℃~55℃（-4℉~131℉），湿度：≤90%；</w:t>
      </w:r>
    </w:p>
    <w:p w14:paraId="514B3C6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（10）操作环境温度：16℃~35℃；</w:t>
      </w:r>
    </w:p>
    <w:p w14:paraId="6FCFE70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（11）测量范围：32℃~43℃(低于32℃显示Lo、高于43℃显示Hi)</w:t>
      </w:r>
    </w:p>
    <w:p w14:paraId="632BFB9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（12）测量精度：±0.2℃（35℃~42℃以内）</w:t>
      </w:r>
    </w:p>
    <w:p w14:paraId="685CC04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                ±0.3℃（35℃~42℃以外）；</w:t>
      </w:r>
    </w:p>
    <w:p w14:paraId="6F567E2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（13）记忆值：32组</w:t>
      </w:r>
    </w:p>
    <w:p w14:paraId="05BB8A6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（14）自动关机时间：无任何操作10S内</w:t>
      </w:r>
    </w:p>
    <w:p w14:paraId="709050A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（15）使用期限：5年</w:t>
      </w:r>
    </w:p>
    <w:p w14:paraId="18C1F84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3.6、蓝牙体重秤</w:t>
      </w:r>
    </w:p>
    <w:p w14:paraId="181B85D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（1）体重检测范围：2kg～150kg；分辨率：0.1kg；</w:t>
      </w:r>
    </w:p>
    <w:p w14:paraId="1829BF9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（2）测量精度：2kg～100kg范围内±0.4kg；100.1kg～150kg范围内±1kg；</w:t>
      </w:r>
    </w:p>
    <w:p w14:paraId="40D4581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（3）LED显示屏；</w:t>
      </w:r>
    </w:p>
    <w:p w14:paraId="298EA9B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（4）机身一体化成型设计，防尘防潮；</w:t>
      </w:r>
    </w:p>
    <w:p w14:paraId="5EAA471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（5）采用高工艺钢化玻璃抗压抗摔打；</w:t>
      </w:r>
    </w:p>
    <w:p w14:paraId="0504D10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（6）上称自动感应唤醒主机，一分钟无测量自动关机；</w:t>
      </w:r>
    </w:p>
    <w:p w14:paraId="6E76252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★（7）具有无线传输功能，可对接APP，实现数据管理。</w:t>
      </w:r>
    </w:p>
    <w:p w14:paraId="414E70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3.7、视力表</w:t>
      </w:r>
    </w:p>
    <w:p w14:paraId="141C72C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（1）标准纸质对数视力表（共4张)；</w:t>
      </w:r>
    </w:p>
    <w:p w14:paraId="7476E77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（2）按国家标准GB11533-89制作，是符合现行标准的视力表；</w:t>
      </w:r>
    </w:p>
    <w:p w14:paraId="3A068E2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（3）5M处检测。</w:t>
      </w:r>
    </w:p>
    <w:p w14:paraId="5E1CE59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3.8、脉搏血氧仪</w:t>
      </w:r>
    </w:p>
    <w:p w14:paraId="152B31B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（1）血氧饱和度测量范围：35%～100%； </w:t>
      </w:r>
    </w:p>
    <w:p w14:paraId="225076D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（2）血氧饱和度测量精度：80%～100%：±2%；70%～79%：±3%；精准率：1%；</w:t>
      </w:r>
    </w:p>
    <w:p w14:paraId="17FB6D5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（3）脉率测量范围：25bpm～250bpm；测量精度：±3bpm；</w:t>
      </w:r>
    </w:p>
    <w:p w14:paraId="35E465A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（4）显示屏：OLED屏；</w:t>
      </w:r>
    </w:p>
    <w:p w14:paraId="123E16F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（5）可显示血氧波形； </w:t>
      </w:r>
    </w:p>
    <w:p w14:paraId="30D07A6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★（6）可连接蓝牙，对接APP“OXICARE”，实现数据管理；</w:t>
      </w:r>
    </w:p>
    <w:p w14:paraId="7C3D644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（7）认证：ISO13485、NMPA（二类医疗器械注册证）；</w:t>
      </w:r>
    </w:p>
    <w:p w14:paraId="10E3921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（8）环境要求：温度范围：工作：+5℃~+40℃；运输和贮存：-10℃~+50℃；</w:t>
      </w:r>
    </w:p>
    <w:p w14:paraId="1468163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相对湿度：操作：15%~80%（无凝结）；运输和贮存：10%~90%（无凝结）；大气压力：操作：860hpa~1060hpa；运输和贮存：700hpa~1060hpa。</w:t>
      </w:r>
    </w:p>
    <w:p w14:paraId="11813AE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3.9、心电检测仪</w:t>
      </w:r>
    </w:p>
    <w:p w14:paraId="0BB4C18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（1）设备功能：检测心电波形，并根据波形给出17种检测结果；</w:t>
      </w:r>
    </w:p>
    <w:p w14:paraId="33EE786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（2）手持即可检测，省去安装电极的繁琐；</w:t>
      </w:r>
    </w:p>
    <w:p w14:paraId="295A729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（3）彩色LCD液晶显示；</w:t>
      </w:r>
    </w:p>
    <w:p w14:paraId="504E9C0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（4）使用心电导联线测量，可持续检测长达22.5小时高质量心电波形；</w:t>
      </w:r>
    </w:p>
    <w:p w14:paraId="236907C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（5）机内可存储2700条记录，并可回放；</w:t>
      </w:r>
    </w:p>
    <w:p w14:paraId="6D83F38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（6）连续超过1分钟无信号后，具有自动关机功能；</w:t>
      </w:r>
    </w:p>
    <w:p w14:paraId="150FB93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（7）可将机内数据通过 USB 数据线或者无线传输到电脑中存储。</w:t>
      </w:r>
    </w:p>
    <w:p w14:paraId="0AF1B51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（8）技术参数：</w:t>
      </w:r>
    </w:p>
    <w:p w14:paraId="084693D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幅频特性：1Hz~40Hz；</w:t>
      </w:r>
    </w:p>
    <w:p w14:paraId="43BECC8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内部噪声：≤30μVp-p；</w:t>
      </w:r>
    </w:p>
    <w:p w14:paraId="71DDAF0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心率测量范围：30bpm~240bpm；</w:t>
      </w:r>
    </w:p>
    <w:p w14:paraId="1FB90C9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心率测量精度：±2bpm或±2%两者取最大值；</w:t>
      </w:r>
    </w:p>
    <w:p w14:paraId="36D562F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波形显示灵敏度：5.0mm/mV；误差：±10%</w:t>
      </w:r>
    </w:p>
    <w:p w14:paraId="6EA6527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共模抑制比： ≥60dB；</w:t>
      </w:r>
    </w:p>
    <w:p w14:paraId="7426C84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扫描速度：20mm/s；误差：±10%；　</w:t>
      </w:r>
    </w:p>
    <w:p w14:paraId="1D9A96C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输入回路电流：≤ 0.1 µA；</w:t>
      </w:r>
    </w:p>
    <w:p w14:paraId="7090316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输入阻抗: ≥5 MΩ；</w:t>
      </w:r>
    </w:p>
    <w:p w14:paraId="2DF5613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3.10、腰围尺</w:t>
      </w:r>
    </w:p>
    <w:p w14:paraId="121138B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（1）测量范围：0m～1.5m；</w:t>
      </w:r>
    </w:p>
    <w:p w14:paraId="3A61269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（2）精度：±0.1m；</w:t>
      </w:r>
    </w:p>
    <w:p w14:paraId="7054CB8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（3）附带BMI显示功能，身体肥胖等级划分，降低，正常，偏重，肥胖。</w:t>
      </w:r>
    </w:p>
    <w:p w14:paraId="5AF611C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3.11、平板电脑</w:t>
      </w:r>
    </w:p>
    <w:p w14:paraId="3CAB2EE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（1）CPU：四核</w:t>
      </w:r>
    </w:p>
    <w:p w14:paraId="439D30F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（2）产品尺寸：长约246.5mm；宽约163mm；高约9.8mm</w:t>
      </w:r>
    </w:p>
    <w:p w14:paraId="2E37A75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（3）屏幕类型：LCD</w:t>
      </w:r>
    </w:p>
    <w:p w14:paraId="2550A77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（4）电池容量：不低于6000mAh</w:t>
      </w:r>
    </w:p>
    <w:p w14:paraId="2B92787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（5）后置摄像头像素：500W</w:t>
      </w:r>
    </w:p>
    <w:p w14:paraId="38DF09C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（6）前置摄像头像素：200W</w:t>
      </w:r>
    </w:p>
    <w:p w14:paraId="56AA813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（7）网络类型：4G+WIFI</w:t>
      </w:r>
    </w:p>
    <w:p w14:paraId="508668E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（8）屏幕尺寸：10.1英寸</w:t>
      </w:r>
    </w:p>
    <w:p w14:paraId="148E82D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（9）存储容量：256GB</w:t>
      </w:r>
    </w:p>
    <w:p w14:paraId="7752507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（10）分辨率：1280*800</w:t>
      </w:r>
    </w:p>
    <w:p w14:paraId="0458F29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3.12、身份证读卡器</w:t>
      </w:r>
    </w:p>
    <w:p w14:paraId="281A423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（1）符合居民身份证阅读器通用技术要求，兼容 ISO14443（TypeB）标准；采用非接触式 IC 卡技术，与计算机或其它设备连接可用于读取居民身份证专用芯片内相关信息；</w:t>
      </w:r>
    </w:p>
    <w:p w14:paraId="569CF51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（2）2400mA大容量可充电电池，保证场时间连续工作；</w:t>
      </w:r>
    </w:p>
    <w:p w14:paraId="4B4DB9F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（3）根据需求，自动以表格，可导出打印；</w:t>
      </w:r>
    </w:p>
    <w:p w14:paraId="47383A7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（4）工作频率：13.56MHz±7kHz；</w:t>
      </w:r>
    </w:p>
    <w:p w14:paraId="179F779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（5）读卡距离：0-3cm；</w:t>
      </w:r>
    </w:p>
    <w:p w14:paraId="7FF335D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（6）阅读时间：＜1.5s；</w:t>
      </w:r>
    </w:p>
    <w:p w14:paraId="572DCC7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（7）支持蓝牙传输，方便使用。</w:t>
      </w:r>
    </w:p>
    <w:p w14:paraId="791A676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3.13、随诊箱</w:t>
      </w:r>
    </w:p>
    <w:p w14:paraId="620C41F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（1）高档手提箱；</w:t>
      </w:r>
    </w:p>
    <w:p w14:paraId="45B5EBA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（2）抗压能力强，不易变形；</w:t>
      </w:r>
    </w:p>
    <w:p w14:paraId="6058D29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（3）专用泡棉设计，每个设备都有固定孔位。</w:t>
      </w:r>
    </w:p>
    <w:p w14:paraId="3D07EDD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（4）皮质内衬；</w:t>
      </w:r>
    </w:p>
    <w:p w14:paraId="54E10F9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（5）尺寸：约460*350*150（mm）。</w:t>
      </w:r>
    </w:p>
    <w:p w14:paraId="180B66B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（6）重量：约为6kg±20%（根据配置不同，重量有些许差异）。</w:t>
      </w:r>
    </w:p>
    <w:p w14:paraId="04E1CDB9">
      <w:pPr>
        <w:jc w:val="center"/>
        <w:rPr>
          <w:rFonts w:hint="eastAsia" w:ascii="宋体" w:hAnsi="宋体" w:eastAsia="宋体" w:cs="宋体"/>
          <w:b/>
          <w:bCs w:val="0"/>
          <w:i w:val="0"/>
          <w:iCs w:val="0"/>
          <w:caps w:val="0"/>
          <w:color w:val="333333"/>
          <w:spacing w:val="0"/>
          <w:kern w:val="0"/>
          <w:sz w:val="28"/>
          <w:szCs w:val="28"/>
          <w:highlight w:val="none"/>
          <w:lang w:val="en-US" w:eastAsia="zh-CN" w:bidi="ar"/>
        </w:rPr>
      </w:pPr>
      <w:r>
        <w:rPr>
          <w:rFonts w:hint="eastAsia" w:ascii="宋体" w:hAnsi="宋体" w:eastAsia="宋体" w:cs="宋体"/>
          <w:b/>
          <w:bCs w:val="0"/>
          <w:color w:val="000000"/>
          <w:kern w:val="0"/>
          <w:sz w:val="28"/>
          <w:szCs w:val="28"/>
          <w:highlight w:val="none"/>
          <w:vertAlign w:val="baseline"/>
          <w:lang w:val="en-US" w:eastAsia="zh-CN"/>
        </w:rPr>
        <w:t>血糖尿酸血酮仪</w:t>
      </w:r>
      <w:r>
        <w:rPr>
          <w:rFonts w:hint="eastAsia" w:ascii="宋体" w:hAnsi="宋体" w:eastAsia="宋体" w:cs="宋体"/>
          <w:b/>
          <w:bCs w:val="0"/>
          <w:color w:val="000000"/>
          <w:kern w:val="0"/>
          <w:sz w:val="28"/>
          <w:szCs w:val="28"/>
          <w:highlight w:val="none"/>
          <w:lang w:val="en-US" w:eastAsia="zh-CN"/>
        </w:rPr>
        <w:t>参数（区、乡、村）</w:t>
      </w:r>
    </w:p>
    <w:p w14:paraId="7EF564F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一、设备参数</w:t>
      </w:r>
    </w:p>
    <w:p w14:paraId="38231CE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1.设备用途：可用于监测血糖、尿酸、血酮等数值</w:t>
      </w:r>
    </w:p>
    <w:p w14:paraId="2457F78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2.报警及自动关机功能：拔条关机。滴血等待时间约 3 分钟，3 分钟无动作可自动关机。测试结果出现后，如不拔试条，结果显示 约 1 分钟，1 分钟无动作可 自动关机。其他任何操作环节，约 1 分钟无动作可自动关机。</w:t>
      </w:r>
    </w:p>
    <w:p w14:paraId="0C75A26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3.存储量：≥300 个血糖数值、≥100 个尿酸数值、≥100 个血酮数据</w:t>
      </w:r>
    </w:p>
    <w:p w14:paraId="08C7CE3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4.传输方式：蓝牙上传结果至 DPCC 管理平台，可实现数据共享</w:t>
      </w:r>
    </w:p>
    <w:p w14:paraId="6144284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5.具有血酮预警功能</w:t>
      </w:r>
    </w:p>
    <w:p w14:paraId="399B279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6.仪器使用期限≥10 年</w:t>
      </w:r>
    </w:p>
    <w:p w14:paraId="44067F9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7.校正类型：免调码</w:t>
      </w:r>
    </w:p>
    <w:p w14:paraId="0084F1D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8.电池：两节 7 号碱性电池</w:t>
      </w:r>
    </w:p>
    <w:p w14:paraId="591498C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9.加样方式：顶端加样+自动虹吸</w:t>
      </w:r>
    </w:p>
    <w:p w14:paraId="3EB3CD0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10.需与国家糖尿病标准化防控中心（DPCC）管理平台对接,并实现数据自动上传.</w:t>
      </w:r>
    </w:p>
    <w:p w14:paraId="7F0B485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二、专用耗材</w:t>
      </w:r>
    </w:p>
    <w:p w14:paraId="5109AB19">
      <w:pPr>
        <w:widowControl w:val="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1.若投标设备在正常使用过程中，需配置专用耗材方能运行、使用的，投标人须在投标文件中如实列明该设备所需全部专用耗材名称、规格型号、生产厂家、医疗器械注册证号及单价，并单独报价。</w:t>
      </w:r>
    </w:p>
    <w:p w14:paraId="6656C551">
      <w:pPr>
        <w:widowControl w:val="0"/>
        <w:ind w:left="0" w:leftChars="0" w:firstLine="0" w:firstLineChars="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2.所列专用耗材必须为设备原厂原装或原厂指定适配耗材，确保与投标设备完全匹配、兼容稳定，满足临床使用要求。</w:t>
      </w:r>
    </w:p>
    <w:p w14:paraId="18FB9DE5">
      <w:pPr>
        <w:widowControl w:val="0"/>
        <w:ind w:left="0" w:leftChars="0" w:firstLine="0" w:firstLineChars="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3.专用耗材单价为落地结算单价，包含货物、配送、税费、售后服务等全部费用，合同约定服务期限内单价不予上涨。</w:t>
      </w:r>
    </w:p>
    <w:p w14:paraId="7D84EDFD">
      <w:pPr>
        <w:widowControl w:val="0"/>
        <w:ind w:left="0" w:leftChars="0" w:firstLine="0" w:firstLineChars="0"/>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4.中标后，医院有权按照临床实际需求，根据中标单价据实采购上述专用耗材，中标人须保障长期、稳定、及时供货，不得拒绝供应、擅自涨价或更换耗材型号。</w:t>
      </w:r>
    </w:p>
    <w:p w14:paraId="7FE06C75">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医用冷藏保温箱参数</w:t>
      </w:r>
    </w:p>
    <w:p w14:paraId="5479FB7F">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1.样式：立式。</w:t>
      </w:r>
    </w:p>
    <w:p w14:paraId="0603EC3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2.容积：≥60L。</w:t>
      </w:r>
    </w:p>
    <w:p w14:paraId="2844CB8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3.净重：33kg。</w:t>
      </w:r>
    </w:p>
    <w:p w14:paraId="52E4D98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4.额定功率：78W。</w:t>
      </w:r>
    </w:p>
    <w:p w14:paraId="5934D4A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5.耗电量：0.87 kW.h/24h。 </w:t>
      </w:r>
    </w:p>
    <w:p w14:paraId="11A0878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6.噪音值：50dB。</w:t>
      </w:r>
    </w:p>
    <w:p w14:paraId="7C5A0A0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7.气候类型：SN/N。</w:t>
      </w:r>
    </w:p>
    <w:p w14:paraId="63DB972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8.制冷方式：风冷。</w:t>
      </w:r>
    </w:p>
    <w:p w14:paraId="66E018B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9.箱内温度：2℃～8℃。</w:t>
      </w:r>
    </w:p>
    <w:p w14:paraId="0CE7B0A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10.工作条件：环境温度10～32℃，电源220V/50Hz。</w:t>
      </w:r>
    </w:p>
    <w:p w14:paraId="1F37F54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11.外部尺寸（宽*深*高）：490*440*710（mm）。</w:t>
      </w:r>
    </w:p>
    <w:p w14:paraId="63C92DC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12.内部尺寸（宽*深*高）：410*315*560（mm）。</w:t>
      </w:r>
    </w:p>
    <w:p w14:paraId="68E20A0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13.外部材料：喷涂钢板。</w:t>
      </w:r>
    </w:p>
    <w:p w14:paraId="5070B40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14.内部材料：喷涂钢板。</w:t>
      </w:r>
    </w:p>
    <w:p w14:paraId="51347A2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15.门体数量：1扇。</w:t>
      </w:r>
    </w:p>
    <w:p w14:paraId="0F44FCF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16.门体结构：双层中空保温LOW-E玻璃门。</w:t>
      </w:r>
    </w:p>
    <w:p w14:paraId="0ADF013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17.网架：2层，浸塑材质。 </w:t>
      </w:r>
    </w:p>
    <w:p w14:paraId="1D1ACDC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18.底脚：4个调平脚。</w:t>
      </w:r>
    </w:p>
    <w:p w14:paraId="25A9859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19.冷凝器：丝管式冷凝器。</w:t>
      </w:r>
    </w:p>
    <w:p w14:paraId="5ECB682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20.蒸发器：盘管式蒸发器。</w:t>
      </w:r>
    </w:p>
    <w:p w14:paraId="753EDC16">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21.制冷剂：采用绿色环保制冷剂。</w:t>
      </w:r>
    </w:p>
    <w:p w14:paraId="2EB4994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22.压缩机：国际知名品牌压缩机，数量1个。</w:t>
      </w:r>
    </w:p>
    <w:p w14:paraId="606874D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23.风道设计：循环风冷背吹技术，避免因储存物品的阻挡导致通风不畅或温度不均匀。</w:t>
      </w:r>
    </w:p>
    <w:p w14:paraId="749FFCCE">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24.制冷系统：高效的制冷系统设计，实现更均匀的温度布局，同时保证更小的温度波动，从而实现样本储存温度的稳定。</w:t>
      </w:r>
    </w:p>
    <w:p w14:paraId="577FFA6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 xml:space="preserve">25.温度控制：微电脑控制系统，LED数码显示温度数据，可确保精确稳定的运行；精准的电子温度控制及显示，精度达到0.1℃。 </w:t>
      </w:r>
    </w:p>
    <w:p w14:paraId="3693E91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26.显示方式：LED数码显示屏，可显示箱内温度及报警信息。</w:t>
      </w:r>
    </w:p>
    <w:p w14:paraId="23BCA82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27.报警系统：高低温报警、门开报警、传感器故障报警、断电报警。</w:t>
      </w:r>
    </w:p>
    <w:p w14:paraId="04829A8D">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28.报警方式：具备声音蜂鸣和灯光闪烁双重报警方式。</w:t>
      </w:r>
    </w:p>
    <w:p w14:paraId="66518905">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29.电器安全：</w:t>
      </w:r>
    </w:p>
    <w:p w14:paraId="0CD475C3">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（1）键盘锁定、密码保护功能，防止随意调整运行参数；</w:t>
      </w:r>
    </w:p>
    <w:p w14:paraId="1CD2844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断电保护：在恢复供电时，所有设备的同时启动会对电网造成较大冲击，从而可能导致断路器跳闸；针对这种情况特别设计的设备延时启动功能可使设备在恢复期间延时数分钟启动，使设备平稳的重新运行；</w:t>
      </w:r>
    </w:p>
    <w:p w14:paraId="16D0A961">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（3）宽电压带适用，可在187V～242V范围内正常使用。</w:t>
      </w:r>
    </w:p>
    <w:p w14:paraId="5BF1FEE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30.特色功能：</w:t>
      </w:r>
    </w:p>
    <w:p w14:paraId="7AE7CBEA">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（1）标配1个门锁设计，保障存储安全；</w:t>
      </w:r>
    </w:p>
    <w:p w14:paraId="0E589AD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（2）LED数码显示屏，便于观察；</w:t>
      </w:r>
    </w:p>
    <w:p w14:paraId="7F37058B">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（3）内设LED冷光源照明灯，使箱体内部一目了然；</w:t>
      </w:r>
    </w:p>
    <w:p w14:paraId="565BA6D0">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（4）2层浸塑网架设计；</w:t>
      </w:r>
    </w:p>
    <w:p w14:paraId="465737C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（5）标配测试孔，方便安装温度记录仪；</w:t>
      </w:r>
    </w:p>
    <w:p w14:paraId="7DEBB84C">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（6）标配测试孔，方便用户选配温度记录仪。</w:t>
      </w:r>
    </w:p>
    <w:p w14:paraId="3CD7C8B2">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31.可选配件：温湿度记录仪。</w:t>
      </w:r>
    </w:p>
    <w:p w14:paraId="59B958FD">
      <w:pPr>
        <w:jc w:val="center"/>
        <w:rPr>
          <w:rFonts w:hint="eastAsia" w:ascii="宋体" w:hAnsi="宋体" w:eastAsia="宋体" w:cs="宋体"/>
          <w:b/>
          <w:bCs/>
          <w:i w:val="0"/>
          <w:iCs w:val="0"/>
          <w:caps w:val="0"/>
          <w:color w:val="333333"/>
          <w:spacing w:val="0"/>
          <w:kern w:val="0"/>
          <w:sz w:val="28"/>
          <w:szCs w:val="28"/>
          <w:highlight w:val="none"/>
          <w:lang w:val="en-US" w:eastAsia="zh-CN" w:bidi="ar"/>
        </w:rPr>
      </w:pPr>
      <w:r>
        <w:rPr>
          <w:rFonts w:hint="eastAsia" w:ascii="宋体" w:hAnsi="宋体" w:eastAsia="宋体" w:cs="宋体"/>
          <w:b/>
          <w:bCs/>
          <w:i w:val="0"/>
          <w:iCs w:val="0"/>
          <w:caps w:val="0"/>
          <w:color w:val="333333"/>
          <w:spacing w:val="0"/>
          <w:kern w:val="0"/>
          <w:sz w:val="28"/>
          <w:szCs w:val="28"/>
          <w:highlight w:val="none"/>
          <w:lang w:val="en-US" w:eastAsia="zh-CN" w:bidi="ar"/>
        </w:rPr>
        <w:t>医用离心机参数（区、乡）</w:t>
      </w:r>
    </w:p>
    <w:p w14:paraId="133252C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1.最高转速≥4000r/min</w:t>
      </w:r>
    </w:p>
    <w:p w14:paraId="5E90AA78">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2.最大容量≥10mlx12 支</w:t>
      </w:r>
    </w:p>
    <w:p w14:paraId="773E0C14">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3.最大相对离心力≥2155Xg</w:t>
      </w:r>
    </w:p>
    <w:p w14:paraId="3CB59A39">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4.定时范围 1s-99min</w:t>
      </w:r>
    </w:p>
    <w:p w14:paraId="77E0C2B7">
      <w:pPr>
        <w:jc w:val="left"/>
        <w:rPr>
          <w:rFonts w:hint="eastAsia" w:ascii="宋体" w:hAnsi="宋体" w:eastAsia="宋体" w:cs="宋体"/>
          <w:b w:val="0"/>
          <w:bCs w:val="0"/>
          <w:i w:val="0"/>
          <w:iCs w:val="0"/>
          <w:caps w:val="0"/>
          <w:color w:val="333333"/>
          <w:spacing w:val="0"/>
          <w:kern w:val="0"/>
          <w:sz w:val="28"/>
          <w:szCs w:val="28"/>
          <w:highlight w:val="none"/>
          <w:lang w:val="en-US" w:eastAsia="zh-CN" w:bidi="ar"/>
        </w:rPr>
      </w:pPr>
      <w:r>
        <w:rPr>
          <w:rFonts w:hint="eastAsia" w:ascii="宋体" w:hAnsi="宋体" w:eastAsia="宋体" w:cs="宋体"/>
          <w:b w:val="0"/>
          <w:bCs w:val="0"/>
          <w:i w:val="0"/>
          <w:iCs w:val="0"/>
          <w:caps w:val="0"/>
          <w:color w:val="333333"/>
          <w:spacing w:val="0"/>
          <w:kern w:val="0"/>
          <w:sz w:val="28"/>
          <w:szCs w:val="28"/>
          <w:highlight w:val="none"/>
          <w:lang w:val="en-US" w:eastAsia="zh-CN" w:bidi="ar"/>
        </w:rPr>
        <w:t>5.噪声 ≤60dB (A)</w:t>
      </w:r>
    </w:p>
    <w:p w14:paraId="00044970">
      <w:pPr>
        <w:rPr>
          <w:rFonts w:hint="eastAsia" w:ascii="宋体" w:hAnsi="宋体" w:eastAsia="宋体" w:cs="宋体"/>
          <w:b/>
          <w:bCs/>
          <w:highlight w:val="none"/>
        </w:rPr>
      </w:pPr>
    </w:p>
    <w:p w14:paraId="4FCA00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注：1、一旦中标，供应商供货时需提供相关产品的检测报告或合格证。</w:t>
      </w:r>
    </w:p>
    <w:p w14:paraId="065FE9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2.“★”号条款为实质性参数，不允许负偏离。</w:t>
      </w:r>
    </w:p>
    <w:p w14:paraId="0279B7D1">
      <w:pPr>
        <w:pStyle w:val="17"/>
        <w:ind w:left="0" w:lef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3.“※”为核心产品。</w:t>
      </w:r>
    </w:p>
    <w:p w14:paraId="575630DD">
      <w:pPr>
        <w:widowControl w:val="0"/>
        <w:numPr>
          <w:ilvl w:val="0"/>
          <w:numId w:val="0"/>
        </w:numPr>
        <w:ind w:firstLine="482" w:firstLineChars="200"/>
        <w:jc w:val="left"/>
        <w:rPr>
          <w:rFonts w:hint="eastAsia" w:ascii="宋体" w:hAnsi="宋体" w:eastAsia="宋体" w:cs="宋体"/>
          <w:b/>
          <w:bCs/>
          <w:color w:val="auto"/>
          <w:sz w:val="24"/>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color w:val="auto"/>
          <w:kern w:val="2"/>
          <w:sz w:val="24"/>
          <w:szCs w:val="24"/>
          <w:highlight w:val="none"/>
          <w:lang w:val="en-US" w:eastAsia="zh-CN" w:bidi="ar-SA"/>
        </w:rPr>
        <w:t>4.本项目不接受进口产品投标，必须采购国产产品。所采购的货物、服务必须符合国家相关标准</w:t>
      </w:r>
    </w:p>
    <w:p w14:paraId="40BBE439">
      <w:pPr>
        <w:rPr>
          <w:rFonts w:hint="eastAsia" w:ascii="宋体" w:hAnsi="宋体" w:eastAsia="宋体" w:cs="宋体"/>
          <w:b/>
          <w:bCs/>
          <w:color w:val="auto"/>
          <w:kern w:val="2"/>
          <w:sz w:val="24"/>
          <w:szCs w:val="32"/>
          <w:highlight w:val="none"/>
          <w:lang w:val="en-US" w:eastAsia="zh-CN" w:bidi="ar-SA"/>
        </w:rPr>
      </w:pPr>
      <w:bookmarkStart w:id="107" w:name="_Toc3588"/>
      <w:bookmarkStart w:id="108" w:name="_Toc421891921"/>
    </w:p>
    <w:p w14:paraId="2D8C1B8C">
      <w:pPr>
        <w:pStyle w:val="2"/>
        <w:keepNext/>
        <w:keepLines/>
        <w:pageBreakBefore w:val="0"/>
        <w:widowControl/>
        <w:shd w:val="clear" w:color="auto" w:fill="FFFFFF"/>
        <w:wordWrap/>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第五</w:t>
      </w:r>
      <w:r>
        <w:rPr>
          <w:rFonts w:hint="eastAsia" w:ascii="宋体" w:hAnsi="宋体" w:eastAsia="宋体" w:cs="宋体"/>
          <w:color w:val="auto"/>
          <w:highlight w:val="none"/>
        </w:rPr>
        <w:t>部分  合同格式（参考）</w:t>
      </w:r>
      <w:bookmarkEnd w:id="106"/>
      <w:bookmarkEnd w:id="107"/>
    </w:p>
    <w:bookmarkEnd w:id="108"/>
    <w:p w14:paraId="17D68077">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64837053">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1986122E">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1CF3D26C">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341E0F74">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2E496ED5">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7F6E742B">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12A38581">
      <w:pPr>
        <w:pStyle w:val="8"/>
        <w:keepNext/>
        <w:keepLines/>
        <w:pageBreakBefore w:val="0"/>
        <w:widowControl/>
        <w:wordWrap/>
        <w:overflowPunct/>
        <w:topLinePunct w:val="0"/>
        <w:bidi w:val="0"/>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6FDE74E0">
      <w:pPr>
        <w:pStyle w:val="8"/>
        <w:keepNext/>
        <w:keepLines/>
        <w:pageBreakBefore w:val="0"/>
        <w:widowControl/>
        <w:wordWrap/>
        <w:overflowPunct/>
        <w:topLinePunct w:val="0"/>
        <w:bidi w:val="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BD60242">
      <w:pPr>
        <w:keepNext/>
        <w:keepLines/>
        <w:pageBreakBefore w:val="0"/>
        <w:widowControl/>
        <w:wordWrap/>
        <w:overflowPunct/>
        <w:topLinePunct w:val="0"/>
        <w:bidi w:val="0"/>
        <w:rPr>
          <w:rFonts w:hint="eastAsia" w:ascii="宋体" w:hAnsi="宋体" w:eastAsia="宋体" w:cs="宋体"/>
          <w:b/>
          <w:bCs/>
          <w:color w:val="auto"/>
          <w:spacing w:val="-20"/>
          <w:kern w:val="44"/>
          <w:sz w:val="40"/>
          <w:szCs w:val="40"/>
          <w:highlight w:val="none"/>
        </w:rPr>
      </w:pPr>
    </w:p>
    <w:p w14:paraId="6E4F6D24">
      <w:pPr>
        <w:keepNext/>
        <w:keepLines/>
        <w:pageBreakBefore w:val="0"/>
        <w:widowControl/>
        <w:wordWrap/>
        <w:overflowPunct/>
        <w:topLinePunct w:val="0"/>
        <w:bidi w:val="0"/>
        <w:rPr>
          <w:rFonts w:hint="eastAsia" w:ascii="宋体" w:hAnsi="宋体" w:eastAsia="宋体" w:cs="宋体"/>
          <w:b/>
          <w:bCs/>
          <w:color w:val="auto"/>
          <w:spacing w:val="-20"/>
          <w:kern w:val="44"/>
          <w:sz w:val="40"/>
          <w:szCs w:val="40"/>
          <w:highlight w:val="none"/>
        </w:rPr>
      </w:pPr>
    </w:p>
    <w:p w14:paraId="603D0219">
      <w:pPr>
        <w:pStyle w:val="3"/>
        <w:keepNext/>
        <w:keepLines/>
        <w:pageBreakBefore w:val="0"/>
        <w:widowControl/>
        <w:wordWrap/>
        <w:overflowPunct/>
        <w:topLinePunct w:val="0"/>
        <w:bidi w:val="0"/>
        <w:rPr>
          <w:rFonts w:hint="eastAsia" w:ascii="宋体" w:hAnsi="宋体" w:eastAsia="宋体" w:cs="宋体"/>
          <w:b/>
          <w:bCs/>
          <w:color w:val="auto"/>
          <w:spacing w:val="-20"/>
          <w:kern w:val="44"/>
          <w:sz w:val="40"/>
          <w:szCs w:val="40"/>
          <w:highlight w:val="none"/>
        </w:rPr>
      </w:pPr>
    </w:p>
    <w:p w14:paraId="7DA391A3">
      <w:pPr>
        <w:keepNext/>
        <w:keepLines/>
        <w:pageBreakBefore w:val="0"/>
        <w:widowControl/>
        <w:wordWrap/>
        <w:overflowPunct/>
        <w:topLinePunct w:val="0"/>
        <w:bidi w:val="0"/>
        <w:rPr>
          <w:rFonts w:hint="eastAsia" w:ascii="宋体" w:hAnsi="宋体" w:eastAsia="宋体" w:cs="宋体"/>
          <w:b/>
          <w:bCs/>
          <w:color w:val="auto"/>
          <w:spacing w:val="-20"/>
          <w:kern w:val="44"/>
          <w:sz w:val="40"/>
          <w:szCs w:val="40"/>
          <w:highlight w:val="none"/>
        </w:rPr>
      </w:pPr>
    </w:p>
    <w:p w14:paraId="541B1D20">
      <w:pPr>
        <w:keepNext/>
        <w:keepLines/>
        <w:pageBreakBefore w:val="0"/>
        <w:widowControl/>
        <w:wordWrap/>
        <w:overflowPunct/>
        <w:topLinePunct w:val="0"/>
        <w:bidi w:val="0"/>
        <w:rPr>
          <w:rFonts w:hint="eastAsia" w:ascii="宋体" w:hAnsi="宋体" w:eastAsia="宋体" w:cs="宋体"/>
          <w:b/>
          <w:bCs/>
          <w:color w:val="auto"/>
          <w:spacing w:val="-20"/>
          <w:kern w:val="44"/>
          <w:sz w:val="40"/>
          <w:szCs w:val="40"/>
          <w:highlight w:val="none"/>
        </w:rPr>
      </w:pPr>
    </w:p>
    <w:p w14:paraId="176D606F">
      <w:pPr>
        <w:keepNext/>
        <w:keepLines/>
        <w:pageBreakBefore w:val="0"/>
        <w:widowControl/>
        <w:wordWrap/>
        <w:overflowPunct/>
        <w:topLinePunct w:val="0"/>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7C9AC123">
      <w:pPr>
        <w:keepNext/>
        <w:keepLines/>
        <w:pageBreakBefore w:val="0"/>
        <w:widowControl/>
        <w:wordWrap/>
        <w:overflowPunct/>
        <w:topLinePunct w:val="0"/>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889C25C">
      <w:pPr>
        <w:keepNext/>
        <w:keepLines/>
        <w:pageBreakBefore w:val="0"/>
        <w:widowControl/>
        <w:wordWrap/>
        <w:overflowPunct/>
        <w:topLinePunct w:val="0"/>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22458F19">
      <w:pPr>
        <w:keepNext/>
        <w:keepLines/>
        <w:pageBreakBefore w:val="0"/>
        <w:widowControl/>
        <w:wordWrap/>
        <w:overflowPunct/>
        <w:topLinePunct w:val="0"/>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568BE968">
      <w:pPr>
        <w:keepNext/>
        <w:keepLines/>
        <w:pageBreakBefore w:val="0"/>
        <w:widowControl/>
        <w:wordWrap/>
        <w:overflowPunct/>
        <w:topLinePunct w:val="0"/>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037309D">
      <w:pPr>
        <w:keepNext/>
        <w:keepLines/>
        <w:pageBreakBefore w:val="0"/>
        <w:widowControl/>
        <w:wordWrap/>
        <w:overflowPunct/>
        <w:topLinePunct w:val="0"/>
        <w:bidi w:val="0"/>
        <w:rPr>
          <w:rFonts w:hint="eastAsia" w:ascii="宋体" w:hAnsi="宋体" w:eastAsia="宋体" w:cs="宋体"/>
          <w:color w:val="auto"/>
          <w:highlight w:val="none"/>
        </w:rPr>
      </w:pPr>
    </w:p>
    <w:p w14:paraId="3A4A0DD9">
      <w:pPr>
        <w:keepNext/>
        <w:keepLines/>
        <w:pageBreakBefore w:val="0"/>
        <w:widowControl/>
        <w:wordWrap/>
        <w:overflowPunct/>
        <w:topLinePunct w:val="0"/>
        <w:bidi w:val="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B1709CE">
      <w:pPr>
        <w:keepNext/>
        <w:keepLines/>
        <w:pageBreakBefore w:val="0"/>
        <w:widowControl/>
        <w:wordWrap/>
        <w:overflowPunct/>
        <w:topLinePunct w:val="0"/>
        <w:bidi w:val="0"/>
        <w:rPr>
          <w:rFonts w:hint="eastAsia" w:ascii="宋体" w:hAnsi="宋体" w:eastAsia="宋体" w:cs="宋体"/>
          <w:color w:val="auto"/>
          <w:sz w:val="44"/>
          <w:szCs w:val="44"/>
          <w:highlight w:val="none"/>
        </w:rPr>
      </w:pPr>
    </w:p>
    <w:p w14:paraId="1E064D61">
      <w:pPr>
        <w:keepNext/>
        <w:keepLines/>
        <w:pageBreakBefore w:val="0"/>
        <w:widowControl/>
        <w:wordWrap/>
        <w:overflowPunct/>
        <w:topLinePunct w:val="0"/>
        <w:bidi w:val="0"/>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6910B6D9">
      <w:pPr>
        <w:keepNext/>
        <w:keepLines/>
        <w:pageBreakBefore w:val="0"/>
        <w:widowControl/>
        <w:wordWrap/>
        <w:overflowPunct/>
        <w:topLinePunct w:val="0"/>
        <w:bidi w:val="0"/>
        <w:ind w:firstLine="640" w:firstLineChars="200"/>
        <w:rPr>
          <w:rFonts w:hint="eastAsia" w:ascii="宋体" w:hAnsi="宋体" w:eastAsia="宋体" w:cs="宋体"/>
          <w:color w:val="auto"/>
          <w:sz w:val="32"/>
          <w:szCs w:val="32"/>
          <w:highlight w:val="none"/>
          <w:lang w:val="en-US" w:eastAsia="zh-CN"/>
        </w:rPr>
      </w:pPr>
    </w:p>
    <w:p w14:paraId="71B89587">
      <w:pPr>
        <w:keepNext/>
        <w:keepLines/>
        <w:pageBreakBefore w:val="0"/>
        <w:widowControl/>
        <w:wordWrap/>
        <w:overflowPunct/>
        <w:topLinePunct w:val="0"/>
        <w:bidi w:val="0"/>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14F585D4">
      <w:pPr>
        <w:keepNext/>
        <w:keepLines/>
        <w:pageBreakBefore w:val="0"/>
        <w:widowControl/>
        <w:wordWrap/>
        <w:overflowPunct/>
        <w:topLinePunct w:val="0"/>
        <w:bidi w:val="0"/>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7BB5F332">
      <w:pPr>
        <w:keepNext/>
        <w:keepLines/>
        <w:pageBreakBefore w:val="0"/>
        <w:widowControl/>
        <w:wordWrap/>
        <w:overflowPunct/>
        <w:topLinePunct w:val="0"/>
        <w:bidi w:val="0"/>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56779304">
      <w:pPr>
        <w:keepNext/>
        <w:keepLines/>
        <w:pageBreakBefore w:val="0"/>
        <w:widowControl/>
        <w:wordWrap/>
        <w:overflowPunct/>
        <w:topLinePunct w:val="0"/>
        <w:bidi w:val="0"/>
        <w:ind w:firstLine="880" w:firstLineChars="200"/>
        <w:jc w:val="both"/>
        <w:rPr>
          <w:rFonts w:hint="eastAsia" w:ascii="宋体" w:hAnsi="宋体" w:eastAsia="宋体" w:cs="宋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20666B3">
      <w:pPr>
        <w:pStyle w:val="3"/>
        <w:keepNext/>
        <w:keepLines/>
        <w:pageBreakBefore w:val="0"/>
        <w:widowControl/>
        <w:wordWrap/>
        <w:overflowPunct/>
        <w:topLinePunct w:val="0"/>
        <w:bidi w:val="0"/>
        <w:adjustRightInd w:val="0"/>
        <w:snapToGrid w:val="0"/>
        <w:spacing w:beforeLines="0" w:line="400" w:lineRule="exact"/>
        <w:jc w:val="center"/>
        <w:rPr>
          <w:rFonts w:hint="eastAsia" w:ascii="宋体" w:hAnsi="宋体" w:eastAsia="宋体" w:cs="宋体"/>
          <w:color w:val="auto"/>
          <w:sz w:val="28"/>
          <w:szCs w:val="28"/>
          <w:highlight w:val="none"/>
        </w:rPr>
      </w:pPr>
      <w:bookmarkStart w:id="109" w:name="_Toc22209"/>
    </w:p>
    <w:p w14:paraId="161AB124">
      <w:pPr>
        <w:pStyle w:val="3"/>
        <w:keepNext/>
        <w:keepLines/>
        <w:pageBreakBefore w:val="0"/>
        <w:widowControl/>
        <w:wordWrap/>
        <w:overflowPunct/>
        <w:topLinePunct w:val="0"/>
        <w:bidi w:val="0"/>
        <w:adjustRightInd w:val="0"/>
        <w:snapToGrid w:val="0"/>
        <w:spacing w:beforeLines="0" w:line="400" w:lineRule="exact"/>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第一节 政府采购合同协议书</w:t>
      </w:r>
      <w:bookmarkEnd w:id="109"/>
    </w:p>
    <w:p w14:paraId="0E0542E7">
      <w:pPr>
        <w:pStyle w:val="3"/>
        <w:keepNext/>
        <w:keepLines/>
        <w:pageBreakBefore w:val="0"/>
        <w:widowControl/>
        <w:wordWrap/>
        <w:overflowPunct/>
        <w:topLinePunct w:val="0"/>
        <w:bidi w:val="0"/>
        <w:adjustRightInd w:val="0"/>
        <w:snapToGrid w:val="0"/>
        <w:spacing w:beforeLines="0" w:line="400" w:lineRule="exact"/>
        <w:jc w:val="center"/>
        <w:rPr>
          <w:rFonts w:hint="eastAsia" w:ascii="宋体" w:hAnsi="宋体" w:eastAsia="宋体" w:cs="宋体"/>
          <w:b w:val="0"/>
          <w:bCs w:val="0"/>
          <w:color w:val="auto"/>
          <w:sz w:val="28"/>
          <w:szCs w:val="28"/>
          <w:highlight w:val="none"/>
        </w:rPr>
      </w:pPr>
    </w:p>
    <w:p w14:paraId="1AE22534">
      <w:pPr>
        <w:keepNext/>
        <w:keepLines/>
        <w:pageBreakBefore w:val="0"/>
        <w:widowControl/>
        <w:wordWrap/>
        <w:overflowPunct/>
        <w:topLinePunct w:val="0"/>
        <w:bidi w:val="0"/>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251BE99C">
      <w:pPr>
        <w:keepNext/>
        <w:keepLines/>
        <w:pageBreakBefore w:val="0"/>
        <w:widowControl/>
        <w:wordWrap/>
        <w:overflowPunct/>
        <w:topLinePunct w:val="0"/>
        <w:bidi w:val="0"/>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4F3AFEF9">
      <w:pPr>
        <w:keepNext/>
        <w:keepLines/>
        <w:pageBreakBefore w:val="0"/>
        <w:widowControl/>
        <w:wordWrap/>
        <w:overflowPunct/>
        <w:topLinePunct w:val="0"/>
        <w:bidi w:val="0"/>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2518ECCD">
      <w:pPr>
        <w:keepNext/>
        <w:keepLines/>
        <w:pageBreakBefore w:val="0"/>
        <w:widowControl/>
        <w:wordWrap/>
        <w:overflowPunct/>
        <w:topLinePunct w:val="0"/>
        <w:bidi w:val="0"/>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6E6E70B1">
      <w:pPr>
        <w:keepNext/>
        <w:keepLines/>
        <w:pageBreakBefore w:val="0"/>
        <w:widowControl/>
        <w:wordWrap/>
        <w:overflowPunct/>
        <w:topLinePunct w:val="0"/>
        <w:bidi w:val="0"/>
        <w:spacing w:beforeLines="0" w:line="400" w:lineRule="exact"/>
        <w:rPr>
          <w:rFonts w:hint="eastAsia" w:ascii="宋体" w:hAnsi="宋体" w:eastAsia="宋体" w:cs="宋体"/>
          <w:color w:val="auto"/>
          <w:highlight w:val="none"/>
          <w:lang w:val="en-US" w:eastAsia="zh-CN"/>
        </w:rPr>
      </w:pPr>
    </w:p>
    <w:p w14:paraId="7D8421DD">
      <w:pPr>
        <w:pStyle w:val="9"/>
        <w:keepNext/>
        <w:keepLines/>
        <w:pageBreakBefore w:val="0"/>
        <w:widowControl/>
        <w:wordWrap/>
        <w:overflowPunct/>
        <w:topLinePunct w:val="0"/>
        <w:bidi w:val="0"/>
        <w:adjustRightInd w:val="0"/>
        <w:snapToGrid w:val="0"/>
        <w:spacing w:before="0" w:beforeLines="0" w:after="0" w:line="40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《中华人民共和国政府采购法》等有关的法律法规，以及</w:t>
      </w:r>
      <w:r>
        <w:rPr>
          <w:rFonts w:hint="eastAsia" w:ascii="宋体" w:hAnsi="宋体" w:eastAsia="宋体" w:cs="宋体"/>
          <w:i w:val="0"/>
          <w:iCs w:val="0"/>
          <w:color w:val="auto"/>
          <w:szCs w:val="21"/>
          <w:highlight w:val="none"/>
          <w:u w:val="none"/>
          <w:lang w:eastAsia="zh-CN"/>
        </w:rPr>
        <w:t>本采购项目</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文件等</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乙方的《投标（响应）文件》及《中标（成交）通知书》，甲乙双方同意签订本合同。具体情况及要求如下：     </w:t>
      </w:r>
    </w:p>
    <w:p w14:paraId="5646BF8A">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5D29A5B1">
      <w:pPr>
        <w:pStyle w:val="9"/>
        <w:keepNext/>
        <w:keepLines/>
        <w:pageBreakBefore w:val="0"/>
        <w:widowControl/>
        <w:numPr>
          <w:ilvl w:val="0"/>
          <w:numId w:val="3"/>
        </w:numPr>
        <w:wordWrap/>
        <w:overflowPunct/>
        <w:topLinePunct w:val="0"/>
        <w:bidi w:val="0"/>
        <w:adjustRightInd w:val="0"/>
        <w:snapToGrid w:val="0"/>
        <w:spacing w:before="0" w:beforeLines="0" w:after="0" w:line="400" w:lineRule="exact"/>
        <w:ind w:left="0" w:leftChars="0"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3E526196">
      <w:pPr>
        <w:pStyle w:val="9"/>
        <w:keepNext/>
        <w:keepLines/>
        <w:pageBreakBefore w:val="0"/>
        <w:widowControl/>
        <w:numPr>
          <w:ilvl w:val="-1"/>
          <w:numId w:val="0"/>
        </w:numPr>
        <w:tabs>
          <w:tab w:val="left" w:pos="999"/>
        </w:tabs>
        <w:wordWrap/>
        <w:overflowPunct/>
        <w:topLinePunct w:val="0"/>
        <w:bidi w:val="0"/>
        <w:adjustRightInd w:val="0"/>
        <w:snapToGrid w:val="0"/>
        <w:spacing w:before="0" w:beforeLines="0" w:after="0" w:line="400" w:lineRule="exact"/>
        <w:ind w:left="0" w:leftChars="0" w:firstLine="0" w:firstLineChars="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采购项目编号：</w:t>
      </w:r>
      <w:r>
        <w:rPr>
          <w:rFonts w:hint="eastAsia" w:ascii="宋体" w:hAnsi="宋体" w:eastAsia="宋体" w:cs="宋体"/>
          <w:color w:val="auto"/>
          <w:szCs w:val="21"/>
          <w:highlight w:val="none"/>
          <w:u w:val="single"/>
        </w:rPr>
        <w:t xml:space="preserve">                                          </w:t>
      </w:r>
    </w:p>
    <w:p w14:paraId="7A414104">
      <w:pPr>
        <w:pStyle w:val="9"/>
        <w:keepNext/>
        <w:keepLines/>
        <w:pageBreakBefore w:val="0"/>
        <w:widowControl/>
        <w:wordWrap/>
        <w:overflowPunct/>
        <w:topLinePunct w:val="0"/>
        <w:bidi w:val="0"/>
        <w:adjustRightInd w:val="0"/>
        <w:snapToGrid w:val="0"/>
        <w:spacing w:before="0" w:beforeLines="0" w:after="0" w:line="40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196F409">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481D530C">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69834657">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65D54225">
      <w:pPr>
        <w:keepNext/>
        <w:keepLines/>
        <w:pageBreakBefore w:val="0"/>
        <w:widowControl/>
        <w:wordWrap/>
        <w:overflowPunct/>
        <w:topLinePunct w:val="0"/>
        <w:bidi w:val="0"/>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230A7F44">
      <w:pPr>
        <w:keepNext/>
        <w:keepLines/>
        <w:pageBreakBefore w:val="0"/>
        <w:widowControl/>
        <w:numPr>
          <w:ilvl w:val="-1"/>
          <w:numId w:val="0"/>
        </w:numPr>
        <w:wordWrap/>
        <w:overflowPunct/>
        <w:topLinePunct w:val="0"/>
        <w:bidi w:val="0"/>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47A2F6F1">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7F33FEB0">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05EBB006">
      <w:pPr>
        <w:pStyle w:val="27"/>
        <w:keepNext/>
        <w:keepLines/>
        <w:pageBreakBefore w:val="0"/>
        <w:widowControl/>
        <w:wordWrap/>
        <w:overflowPunct/>
        <w:topLinePunct w:val="0"/>
        <w:bidi w:val="0"/>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57F0060">
      <w:pPr>
        <w:pStyle w:val="27"/>
        <w:keepNext/>
        <w:keepLines/>
        <w:pageBreakBefore w:val="0"/>
        <w:widowControl/>
        <w:wordWrap/>
        <w:overflowPunct/>
        <w:topLinePunct w:val="0"/>
        <w:bidi w:val="0"/>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1B5051F0">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7872D3">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35C678A2">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61E7F9E3">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D48B641">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E7B78EF">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46BF0E60">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62FDDA5">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F1C527">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FE"/>
      </w:r>
      <w:r>
        <w:rPr>
          <w:rFonts w:hint="eastAsia" w:ascii="宋体" w:hAnsi="宋体" w:eastAsia="宋体" w:cs="宋体"/>
          <w:color w:val="auto"/>
          <w:w w:val="100"/>
          <w:kern w:val="2"/>
          <w:sz w:val="21"/>
          <w:szCs w:val="21"/>
          <w:highlight w:val="none"/>
          <w:lang w:val="en-US" w:eastAsia="zh-CN" w:bidi="ar-SA"/>
        </w:rPr>
        <w:t>否</w:t>
      </w:r>
    </w:p>
    <w:p w14:paraId="5BCBC916">
      <w:pPr>
        <w:keepNext/>
        <w:keepLines/>
        <w:pageBreakBefore w:val="0"/>
        <w:widowControl/>
        <w:numPr>
          <w:ilvl w:val="-1"/>
          <w:numId w:val="0"/>
        </w:numPr>
        <w:wordWrap/>
        <w:overflowPunct/>
        <w:topLinePunct w:val="0"/>
        <w:bidi w:val="0"/>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lang w:eastAsia="zh-CN"/>
        </w:rPr>
        <w:t>购</w:t>
      </w:r>
      <w:r>
        <w:rPr>
          <w:rFonts w:hint="eastAsia" w:ascii="宋体" w:hAnsi="宋体" w:eastAsia="宋体" w:cs="宋体"/>
          <w:color w:val="auto"/>
          <w:w w:val="100"/>
          <w:szCs w:val="21"/>
          <w:highlight w:val="none"/>
          <w:shd w:val="clear"/>
        </w:rPr>
        <w:t>合同</w:t>
      </w:r>
      <w:r>
        <w:rPr>
          <w:rFonts w:hint="eastAsia" w:ascii="宋体" w:hAnsi="宋体" w:eastAsia="宋体" w:cs="宋体"/>
          <w:color w:val="auto"/>
          <w:w w:val="100"/>
          <w:szCs w:val="21"/>
          <w:highlight w:val="none"/>
          <w:shd w:val="clear"/>
          <w:lang w:eastAsia="zh-CN"/>
        </w:rPr>
        <w:t>（中小企业预留合同）</w:t>
      </w:r>
      <w:r>
        <w:rPr>
          <w:rFonts w:hint="eastAsia" w:ascii="宋体" w:hAnsi="宋体" w:eastAsia="宋体" w:cs="宋体"/>
          <w:color w:val="auto"/>
          <w:szCs w:val="21"/>
          <w:highlight w:val="none"/>
          <w:shd w:val="clear"/>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33B6196">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25F19FDC">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7F500DB">
      <w:pPr>
        <w:keepNext/>
        <w:keepLines/>
        <w:pageBreakBefore w:val="0"/>
        <w:widowControl/>
        <w:numPr>
          <w:ilvl w:val="0"/>
          <w:numId w:val="0"/>
        </w:numPr>
        <w:wordWrap/>
        <w:overflowPunct/>
        <w:topLinePunct w:val="0"/>
        <w:bidi w:val="0"/>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1EE613CA">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19114867">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DFD16EF">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1995D47A">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2BDE7DC8">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37FD02F7">
      <w:pPr>
        <w:keepNext/>
        <w:keepLines/>
        <w:pageBreakBefore w:val="0"/>
        <w:widowControl/>
        <w:wordWrap/>
        <w:overflowPunct/>
        <w:topLinePunct w:val="0"/>
        <w:bidi w:val="0"/>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159B5030">
      <w:pPr>
        <w:keepNext/>
        <w:keepLines/>
        <w:pageBreakBefore w:val="0"/>
        <w:widowControl/>
        <w:wordWrap/>
        <w:overflowPunct/>
        <w:topLinePunct w:val="0"/>
        <w:bidi w:val="0"/>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70D9152F">
      <w:pPr>
        <w:keepNext/>
        <w:keepLines/>
        <w:pageBreakBefore w:val="0"/>
        <w:widowControl/>
        <w:numPr>
          <w:ilvl w:val="-1"/>
          <w:numId w:val="0"/>
        </w:numPr>
        <w:wordWrap/>
        <w:overflowPunct/>
        <w:topLinePunct w:val="0"/>
        <w:bidi w:val="0"/>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331AA97">
      <w:pPr>
        <w:pStyle w:val="27"/>
        <w:keepNext/>
        <w:keepLines/>
        <w:pageBreakBefore w:val="0"/>
        <w:widowControl/>
        <w:tabs>
          <w:tab w:val="left" w:pos="1340"/>
        </w:tabs>
        <w:wordWrap/>
        <w:overflowPunct/>
        <w:topLinePunct w:val="0"/>
        <w:bidi w:val="0"/>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9BCB58D">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47B43C5B">
      <w:pPr>
        <w:keepNext/>
        <w:keepLines/>
        <w:pageBreakBefore w:val="0"/>
        <w:widowControl/>
        <w:numPr>
          <w:ilvl w:val="-1"/>
          <w:numId w:val="0"/>
        </w:numPr>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75D7F85B">
      <w:pPr>
        <w:keepNext/>
        <w:keepLines/>
        <w:pageBreakBefore w:val="0"/>
        <w:widowControl/>
        <w:numPr>
          <w:ilvl w:val="-1"/>
          <w:numId w:val="0"/>
        </w:numPr>
        <w:wordWrap/>
        <w:overflowPunct/>
        <w:topLinePunct w:val="0"/>
        <w:bidi w:val="0"/>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6DB01C1C">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2722DB49">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0FE01A8C">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4736573F">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579244FD">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13CD26CC">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2CA846E5">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30458CAD">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356C014E">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47132FF7">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7120B577">
      <w:pPr>
        <w:pStyle w:val="27"/>
        <w:keepNext/>
        <w:keepLines/>
        <w:pageBreakBefore w:val="0"/>
        <w:widowControl/>
        <w:wordWrap/>
        <w:overflowPunct/>
        <w:topLinePunct w:val="0"/>
        <w:bidi w:val="0"/>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32E13C95">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3F82C261">
      <w:pPr>
        <w:pStyle w:val="27"/>
        <w:keepNext/>
        <w:keepLines/>
        <w:pageBreakBefore w:val="0"/>
        <w:widowControl/>
        <w:wordWrap/>
        <w:overflowPunct/>
        <w:topLinePunct w:val="0"/>
        <w:bidi w:val="0"/>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2FA5B790">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7B48ABE7">
      <w:pPr>
        <w:keepNext/>
        <w:keepLines/>
        <w:pageBreakBefore w:val="0"/>
        <w:widowControl/>
        <w:numPr>
          <w:ilvl w:val="-1"/>
          <w:numId w:val="0"/>
        </w:numPr>
        <w:wordWrap/>
        <w:overflowPunct/>
        <w:topLinePunct w:val="0"/>
        <w:bidi w:val="0"/>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2C90C270">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59F6B7F1">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2D10A38">
      <w:pPr>
        <w:keepNext/>
        <w:keepLines/>
        <w:pageBreakBefore w:val="0"/>
        <w:widowControl/>
        <w:wordWrap/>
        <w:overflowPunct/>
        <w:topLinePunct w:val="0"/>
        <w:bidi w:val="0"/>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22C8B10">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652718E1">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86F4248">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225702D9">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3BF2208E">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5C4A642D">
      <w:pPr>
        <w:pStyle w:val="31"/>
        <w:keepNext/>
        <w:keepLines/>
        <w:pageBreakBefore w:val="0"/>
        <w:widowControl/>
        <w:wordWrap/>
        <w:overflowPunct/>
        <w:topLinePunct w:val="0"/>
        <w:bidi w:val="0"/>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0D060C49">
      <w:pPr>
        <w:keepNext/>
        <w:keepLines/>
        <w:pageBreakBefore w:val="0"/>
        <w:widowControl/>
        <w:wordWrap/>
        <w:overflowPunct/>
        <w:topLinePunct w:val="0"/>
        <w:bidi w:val="0"/>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4A86B005">
      <w:pPr>
        <w:keepNext/>
        <w:keepLines/>
        <w:pageBreakBefore w:val="0"/>
        <w:widowControl/>
        <w:wordWrap/>
        <w:overflowPunct/>
        <w:topLinePunct w:val="0"/>
        <w:bidi w:val="0"/>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（应明确预付款的支付比例和支付条件） </w:t>
      </w:r>
    </w:p>
    <w:p w14:paraId="5582AC91">
      <w:pPr>
        <w:keepNext/>
        <w:keepLines/>
        <w:pageBreakBefore w:val="0"/>
        <w:widowControl/>
        <w:wordWrap/>
        <w:overflowPunct/>
        <w:topLinePunct w:val="0"/>
        <w:bidi w:val="0"/>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46885115">
      <w:pPr>
        <w:keepNext/>
        <w:keepLines/>
        <w:pageBreakBefore w:val="0"/>
        <w:widowControl/>
        <w:wordWrap/>
        <w:overflowPunct/>
        <w:topLinePunct w:val="0"/>
        <w:bidi w:val="0"/>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5D954ED3">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1A98B26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02551F3">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50606BCC">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DB0C9FF">
      <w:pPr>
        <w:pStyle w:val="27"/>
        <w:keepNext/>
        <w:keepLines/>
        <w:pageBreakBefore w:val="0"/>
        <w:widowControl/>
        <w:wordWrap/>
        <w:overflowPunct/>
        <w:topLinePunct w:val="0"/>
        <w:bidi w:val="0"/>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F71F341">
      <w:pPr>
        <w:pStyle w:val="27"/>
        <w:keepNext/>
        <w:keepLines/>
        <w:pageBreakBefore w:val="0"/>
        <w:widowControl/>
        <w:wordWrap/>
        <w:overflowPunct/>
        <w:topLinePunct w:val="0"/>
        <w:bidi w:val="0"/>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B4CD945">
      <w:pPr>
        <w:keepNext/>
        <w:keepLines/>
        <w:pageBreakBefore w:val="0"/>
        <w:widowControl/>
        <w:wordWrap/>
        <w:overflowPunct/>
        <w:topLinePunct w:val="0"/>
        <w:bidi w:val="0"/>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DB4881F">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69BD03E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18A58196">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0F0BE9AA">
      <w:pPr>
        <w:keepNext/>
        <w:keepLines/>
        <w:pageBreakBefore w:val="0"/>
        <w:widowControl/>
        <w:numPr>
          <w:ilvl w:val="0"/>
          <w:numId w:val="4"/>
        </w:numPr>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593AB410">
      <w:pPr>
        <w:keepNext/>
        <w:keepLines/>
        <w:pageBreakBefore w:val="0"/>
        <w:widowControl/>
        <w:numPr>
          <w:ilvl w:val="0"/>
          <w:numId w:val="0"/>
        </w:numPr>
        <w:wordWrap/>
        <w:overflowPunct/>
        <w:topLinePunct w:val="0"/>
        <w:bidi w:val="0"/>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11B81371">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72864BEF">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87A11A4">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3F45062">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627D4C4">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5E00070">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7433BACB">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14C600AD">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098049F5">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65E057C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6921DC48">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0678CDFF">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0BCF2960">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49E2A0C2">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41ED07B6">
      <w:pPr>
        <w:pStyle w:val="27"/>
        <w:keepNext/>
        <w:keepLines/>
        <w:pageBreakBefore w:val="0"/>
        <w:widowControl/>
        <w:wordWrap/>
        <w:overflowPunct/>
        <w:topLinePunct w:val="0"/>
        <w:bidi w:val="0"/>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6F392A0">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25E68099">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716B7BF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2C004D11">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04DF043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460382A1">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3379836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7F74FADE">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0E75C5FF">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7BCB9602">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230988F6">
      <w:pPr>
        <w:pStyle w:val="27"/>
        <w:keepNext/>
        <w:keepLines/>
        <w:pageBreakBefore w:val="0"/>
        <w:widowControl/>
        <w:wordWrap/>
        <w:overflowPunct/>
        <w:topLinePunct w:val="0"/>
        <w:bidi w:val="0"/>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6AC5F66B">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1A96F2D6">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2F95015D">
      <w:pPr>
        <w:keepNext/>
        <w:keepLines/>
        <w:pageBreakBefore w:val="0"/>
        <w:widowControl/>
        <w:numPr>
          <w:ilvl w:val="0"/>
          <w:numId w:val="2"/>
        </w:numPr>
        <w:wordWrap/>
        <w:overflowPunct/>
        <w:topLinePunct w:val="0"/>
        <w:bidi w:val="0"/>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39D80CFC">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65B956DC">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51D9D22">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1DA6BD90">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5D7179D1">
      <w:pPr>
        <w:pStyle w:val="31"/>
        <w:keepNext/>
        <w:keepLines/>
        <w:pageBreakBefore w:val="0"/>
        <w:widowControl/>
        <w:wordWrap/>
        <w:overflowPunct/>
        <w:topLinePunct w:val="0"/>
        <w:bidi w:val="0"/>
        <w:spacing w:beforeLines="0" w:line="400" w:lineRule="exact"/>
        <w:rPr>
          <w:rFonts w:hint="eastAsia" w:ascii="宋体" w:hAnsi="宋体" w:eastAsia="宋体" w:cs="宋体"/>
          <w:color w:val="auto"/>
          <w:highlight w:val="none"/>
        </w:rPr>
      </w:pPr>
    </w:p>
    <w:p w14:paraId="69651E25">
      <w:pPr>
        <w:pStyle w:val="3"/>
        <w:keepNext/>
        <w:keepLines/>
        <w:pageBreakBefore w:val="0"/>
        <w:widowControl/>
        <w:wordWrap/>
        <w:overflowPunct/>
        <w:topLinePunct w:val="0"/>
        <w:bidi w:val="0"/>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52A732D0">
      <w:pPr>
        <w:keepNext/>
        <w:keepLines/>
        <w:pageBreakBefore w:val="0"/>
        <w:widowControl/>
        <w:wordWrap/>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490DA">
      <w:pPr>
        <w:pStyle w:val="31"/>
        <w:keepNext/>
        <w:keepLines/>
        <w:pageBreakBefore w:val="0"/>
        <w:widowControl/>
        <w:wordWrap/>
        <w:overflowPunct/>
        <w:topLinePunct w:val="0"/>
        <w:bidi w:val="0"/>
        <w:rPr>
          <w:rFonts w:hint="eastAsia" w:ascii="宋体" w:hAnsi="宋体" w:eastAsia="宋体" w:cs="宋体"/>
          <w:color w:val="auto"/>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7"/>
        <w:gridCol w:w="2311"/>
        <w:gridCol w:w="2473"/>
      </w:tblGrid>
      <w:tr w14:paraId="21C67A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4B01E2F">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5513CAFE">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08716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2F12EEE">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0BEDED9">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A59DDF">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744DAED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27948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244447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221E6729">
            <w:pPr>
              <w:keepNext/>
              <w:keepLines/>
              <w:pageBreakBefore w:val="0"/>
              <w:widowControl/>
              <w:wordWrap/>
              <w:overflowPunct/>
              <w:topLinePunct w:val="0"/>
              <w:bidi w:val="0"/>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F8D278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46DC9667">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4710C6C">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FD43FE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r>
      <w:tr w14:paraId="176605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560F91B">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91F8B27">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CBF5A9">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F70AA31">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39712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4A1662">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1FD62DB">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865496">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0E1882D5">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3855A8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EF503">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13B9295">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FE9A22">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0BE1CBE">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0B62A4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7B89DC">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1C506A3">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ED7D33">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1CC5543">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3E60B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F377FE">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1558DAD">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825C4">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B06D8B6">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1D0DFF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666C9C">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3C95E77">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C63E53">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7F614938">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0E44C2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CFCAD5">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CB3E4F9">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AAB457">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BACC325">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14F6F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BC4F8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8A8E031">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48352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224C352">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D3520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581071">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5A7150">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709C01">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1BEDA18">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2DFB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548B29">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2DA581B">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CCB3EB">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4C2E489">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564A8A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FC8C1E">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15B77A">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CB5D5C1">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E78FF7B">
            <w:pPr>
              <w:keepNext/>
              <w:keepLines/>
              <w:pageBreakBefore w:val="0"/>
              <w:widowControl/>
              <w:wordWrap/>
              <w:overflowPunct/>
              <w:topLinePunct w:val="0"/>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38E88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61EAF9D">
            <w:pPr>
              <w:pStyle w:val="9"/>
              <w:keepNext/>
              <w:keepLines/>
              <w:pageBreakBefore w:val="0"/>
              <w:widowControl/>
              <w:wordWrap/>
              <w:overflowPunct/>
              <w:topLinePunct w:val="0"/>
              <w:bidi w:val="0"/>
              <w:adjustRightInd w:val="0"/>
              <w:snapToGrid w:val="0"/>
              <w:spacing w:before="156" w:beforeLines="50" w:after="0" w:line="360" w:lineRule="auto"/>
              <w:ind w:left="0" w:left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2DC2D827">
      <w:pPr>
        <w:pStyle w:val="3"/>
        <w:keepNext/>
        <w:keepLines/>
        <w:pageBreakBefore w:val="0"/>
        <w:widowControl/>
        <w:wordWrap/>
        <w:overflowPunct/>
        <w:topLinePunct w:val="0"/>
        <w:bidi w:val="0"/>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10" w:name="_Toc27624"/>
      <w:r>
        <w:rPr>
          <w:rFonts w:hint="eastAsia" w:ascii="宋体" w:hAnsi="宋体" w:eastAsia="宋体" w:cs="宋体"/>
          <w:b w:val="0"/>
          <w:bCs w:val="0"/>
          <w:color w:val="auto"/>
          <w:sz w:val="28"/>
          <w:szCs w:val="28"/>
          <w:highlight w:val="none"/>
        </w:rPr>
        <w:t>第二节 政府采购合同通用条款</w:t>
      </w:r>
      <w:bookmarkEnd w:id="110"/>
    </w:p>
    <w:p w14:paraId="5A01B803">
      <w:pPr>
        <w:keepNext/>
        <w:keepLines/>
        <w:pageBreakBefore w:val="0"/>
        <w:widowControl/>
        <w:tabs>
          <w:tab w:val="left" w:pos="8820"/>
          <w:tab w:val="left" w:pos="9345"/>
          <w:tab w:val="left" w:pos="9765"/>
        </w:tabs>
        <w:wordWrap/>
        <w:overflowPunct/>
        <w:topLinePunct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02489CFF">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16E3784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24D88E9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04F28E1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695B530E">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059FA32A">
      <w:pPr>
        <w:keepNext/>
        <w:keepLines/>
        <w:pageBreakBefore w:val="0"/>
        <w:widowControl/>
        <w:wordWrap/>
        <w:overflowPunct/>
        <w:topLinePunct w:val="0"/>
        <w:bidi w:val="0"/>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2D2DD651">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2125CEAB">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1793E41A">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3B5C991F">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4374DA42">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00BDF60E">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DDAAF80">
      <w:pPr>
        <w:keepNext/>
        <w:keepLines/>
        <w:pageBreakBefore w:val="0"/>
        <w:widowControl/>
        <w:numPr>
          <w:ilvl w:val="0"/>
          <w:numId w:val="5"/>
        </w:numPr>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3C11382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099481DF">
      <w:pPr>
        <w:keepNext/>
        <w:keepLines/>
        <w:pageBreakBefore w:val="0"/>
        <w:widowControl/>
        <w:wordWrap/>
        <w:overflowPunct/>
        <w:topLinePunct w:val="0"/>
        <w:bidi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33E117AB">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2E6F4B4">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5F6168BB">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2BEDAA6D">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32A325E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08458E74">
      <w:pPr>
        <w:keepNext/>
        <w:keepLines/>
        <w:pageBreakBefore w:val="0"/>
        <w:widowControl/>
        <w:wordWrap/>
        <w:overflowPunct/>
        <w:topLinePunct w:val="0"/>
        <w:bidi w:val="0"/>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09E94C2B">
      <w:pPr>
        <w:keepNext/>
        <w:keepLines/>
        <w:pageBreakBefore w:val="0"/>
        <w:widowControl/>
        <w:wordWrap/>
        <w:overflowPunct/>
        <w:topLinePunct w:val="0"/>
        <w:autoSpaceDE w:val="0"/>
        <w:autoSpaceDN w:val="0"/>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1732AAF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6B07ADBF">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0B81B5A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7F3021D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4A02903D">
      <w:pPr>
        <w:pStyle w:val="8"/>
        <w:keepNext/>
        <w:keepLines/>
        <w:pageBreakBefore w:val="0"/>
        <w:widowControl/>
        <w:wordWrap/>
        <w:overflowPunct/>
        <w:topLinePunct w:val="0"/>
        <w:bidi w:val="0"/>
        <w:spacing w:after="0" w:line="400" w:lineRule="exact"/>
        <w:ind w:firstLine="42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1F96D8E1">
      <w:pPr>
        <w:pStyle w:val="8"/>
        <w:keepNext/>
        <w:keepLines/>
        <w:pageBreakBefore w:val="0"/>
        <w:widowControl/>
        <w:wordWrap/>
        <w:overflowPunct/>
        <w:topLinePunct w:val="0"/>
        <w:bidi w:val="0"/>
        <w:spacing w:after="0" w:line="400" w:lineRule="exact"/>
        <w:ind w:firstLine="42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073CA113">
      <w:pPr>
        <w:keepNext/>
        <w:keepLines/>
        <w:pageBreakBefore w:val="0"/>
        <w:widowControl/>
        <w:numPr>
          <w:ilvl w:val="0"/>
          <w:numId w:val="6"/>
        </w:numPr>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36DA2C4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06D11DE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7F1E87F">
      <w:pPr>
        <w:keepNext/>
        <w:keepLines/>
        <w:pageBreakBefore w:val="0"/>
        <w:widowControl/>
        <w:wordWrap/>
        <w:overflowPunct/>
        <w:topLinePunct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7793F31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322C88E4">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510EAF72">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68305985">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69C3972D">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203B4F7D">
      <w:pPr>
        <w:pStyle w:val="27"/>
        <w:keepNext/>
        <w:keepLines/>
        <w:pageBreakBefore w:val="0"/>
        <w:widowControl/>
        <w:wordWrap/>
        <w:overflowPunct/>
        <w:topLinePunct w:val="0"/>
        <w:bidi w:val="0"/>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59F4DAE9">
      <w:pPr>
        <w:keepNext/>
        <w:keepLines/>
        <w:pageBreakBefore w:val="0"/>
        <w:widowControl/>
        <w:wordWrap/>
        <w:overflowPunct/>
        <w:topLinePunct w:val="0"/>
        <w:bidi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2ECEE0AA">
      <w:pPr>
        <w:pStyle w:val="10"/>
        <w:keepNext/>
        <w:keepLines/>
        <w:pageBreakBefore w:val="0"/>
        <w:widowControl/>
        <w:wordWrap/>
        <w:overflowPunct/>
        <w:topLinePunct w:val="0"/>
        <w:bidi w:val="0"/>
        <w:adjustRightInd w:val="0"/>
        <w:snapToGrid w:val="0"/>
        <w:spacing w:before="0" w:line="400" w:lineRule="exact"/>
        <w:ind w:firstLine="40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3C2F7E3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5DBDE3F3">
      <w:pPr>
        <w:pStyle w:val="10"/>
        <w:keepNext/>
        <w:keepLines/>
        <w:pageBreakBefore w:val="0"/>
        <w:widowControl/>
        <w:wordWrap/>
        <w:overflowPunct/>
        <w:topLinePunct w:val="0"/>
        <w:bidi w:val="0"/>
        <w:adjustRightInd w:val="0"/>
        <w:snapToGrid w:val="0"/>
        <w:spacing w:before="0"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7D37EBC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65CD4B1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3D14E24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06B8A55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04899DD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46552C69">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277434B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54DEE3C7">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4BAD4402">
      <w:pPr>
        <w:keepNext/>
        <w:keepLines/>
        <w:pageBreakBefore w:val="0"/>
        <w:widowControl/>
        <w:wordWrap/>
        <w:overflowPunct/>
        <w:topLinePunct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6295DDC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2846030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A98675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4590A8DE">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26656F9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111"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11"/>
      <w:r>
        <w:rPr>
          <w:rFonts w:hint="eastAsia" w:ascii="宋体" w:hAnsi="宋体" w:eastAsia="宋体" w:cs="宋体"/>
          <w:color w:val="auto"/>
          <w:szCs w:val="21"/>
          <w:highlight w:val="none"/>
        </w:rPr>
        <w:t>。</w:t>
      </w:r>
    </w:p>
    <w:p w14:paraId="02CB6D1D">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10C9676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2549BAC">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23D8E2DB">
      <w:pPr>
        <w:keepNext/>
        <w:keepLines/>
        <w:pageBreakBefore w:val="0"/>
        <w:widowControl/>
        <w:wordWrap/>
        <w:overflowPunct/>
        <w:topLinePunct w:val="0"/>
        <w:autoSpaceDE/>
        <w:autoSpaceDN/>
        <w:bidi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28A590F6">
      <w:pPr>
        <w:pStyle w:val="3"/>
        <w:keepNext/>
        <w:keepLines/>
        <w:pageBreakBefore w:val="0"/>
        <w:widowControl/>
        <w:wordWrap/>
        <w:overflowPunct/>
        <w:topLinePunct w:val="0"/>
        <w:bidi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14945AD9">
      <w:pPr>
        <w:pStyle w:val="8"/>
        <w:keepNext/>
        <w:keepLines/>
        <w:pageBreakBefore w:val="0"/>
        <w:widowControl/>
        <w:wordWrap/>
        <w:overflowPunct/>
        <w:topLinePunct w:val="0"/>
        <w:bidi w:val="0"/>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6CE4E14">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59032881">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1750BA1A">
      <w:pPr>
        <w:keepNext/>
        <w:keepLines/>
        <w:pageBreakBefore w:val="0"/>
        <w:widowControl/>
        <w:wordWrap/>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6529BFC7">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466FC97D">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6ACB997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3CEF949F">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072D844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1885CF8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7E3AF119">
      <w:pPr>
        <w:pStyle w:val="27"/>
        <w:keepNext/>
        <w:keepLines/>
        <w:pageBreakBefore w:val="0"/>
        <w:widowControl/>
        <w:wordWrap/>
        <w:overflowPunct/>
        <w:topLinePunct w:val="0"/>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59A6A2B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5B3D0359">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4C07FAED">
      <w:pPr>
        <w:keepNext/>
        <w:keepLines/>
        <w:pageBreakBefore w:val="0"/>
        <w:widowControl/>
        <w:wordWrap/>
        <w:overflowPunct/>
        <w:topLinePunct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08713401">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7F92CD91">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6B8FE97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48132180">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7623EF4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13DD8E8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11B37B7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14B737F5">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523DBE09">
      <w:pPr>
        <w:keepNext/>
        <w:keepLines/>
        <w:pageBreakBefore w:val="0"/>
        <w:widowControl/>
        <w:numPr>
          <w:ilvl w:val="0"/>
          <w:numId w:val="7"/>
        </w:numPr>
        <w:wordWrap/>
        <w:overflowPunct/>
        <w:topLinePunct w:val="0"/>
        <w:autoSpaceDE w:val="0"/>
        <w:autoSpaceDN w:val="0"/>
        <w:bidi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5AAA91A3">
      <w:pPr>
        <w:keepNext/>
        <w:keepLines/>
        <w:pageBreakBefore w:val="0"/>
        <w:widowControl/>
        <w:wordWrap/>
        <w:overflowPunct/>
        <w:topLinePunct w:val="0"/>
        <w:autoSpaceDE/>
        <w:autoSpaceDN/>
        <w:bidi w:val="0"/>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3BF67DA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6681BFBB">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9CBE7B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131F191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7FECF129">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4C6632D">
      <w:pPr>
        <w:keepNext/>
        <w:keepLines/>
        <w:pageBreakBefore w:val="0"/>
        <w:widowControl/>
        <w:wordWrap/>
        <w:overflowPunct/>
        <w:topLinePunct w:val="0"/>
        <w:bidi w:val="0"/>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036C470E">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469FBC5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60E77CFB">
      <w:pPr>
        <w:keepNext/>
        <w:keepLines/>
        <w:pageBreakBefore w:val="0"/>
        <w:widowControl/>
        <w:wordWrap/>
        <w:overflowPunct/>
        <w:topLinePunct w:val="0"/>
        <w:bidi w:val="0"/>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425D7E84">
      <w:pPr>
        <w:pStyle w:val="27"/>
        <w:keepNext/>
        <w:keepLines/>
        <w:pageBreakBefore w:val="0"/>
        <w:widowControl/>
        <w:wordWrap/>
        <w:overflowPunct/>
        <w:topLinePunct w:val="0"/>
        <w:bidi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95FC96F">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98D65BA">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42E0C39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6785E41F">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20493EF4">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4F64933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308DC1F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1020ED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58620D5C">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3537CC5E">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7369CEFF">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6FF34F1">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0A0AA447">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075C879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2464EED1">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01F451E">
      <w:pPr>
        <w:pStyle w:val="8"/>
        <w:keepNext/>
        <w:keepLines/>
        <w:pageBreakBefore w:val="0"/>
        <w:widowControl/>
        <w:wordWrap/>
        <w:overflowPunct/>
        <w:topLinePunct w:val="0"/>
        <w:bidi w:val="0"/>
        <w:spacing w:after="0"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65AC8A4">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7E15E6D9">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36F8367">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60731655">
      <w:pPr>
        <w:keepNext/>
        <w:keepLines/>
        <w:pageBreakBefore w:val="0"/>
        <w:widowControl/>
        <w:numPr>
          <w:ilvl w:val="-1"/>
          <w:numId w:val="0"/>
        </w:numPr>
        <w:wordWrap/>
        <w:overflowPunct/>
        <w:topLinePunct w:val="0"/>
        <w:autoSpaceDE w:val="0"/>
        <w:autoSpaceDN w:val="0"/>
        <w:bidi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30210B8B">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0F6B0A3C">
      <w:pPr>
        <w:pStyle w:val="27"/>
        <w:keepNext/>
        <w:keepLines/>
        <w:pageBreakBefore w:val="0"/>
        <w:widowControl/>
        <w:wordWrap/>
        <w:overflowPunct/>
        <w:topLinePunct w:val="0"/>
        <w:bidi w:val="0"/>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2FA297A0">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4F4997EA">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1C6C7CF9">
      <w:pPr>
        <w:keepNext/>
        <w:keepLines/>
        <w:pageBreakBefore w:val="0"/>
        <w:widowControl/>
        <w:numPr>
          <w:ilvl w:val="0"/>
          <w:numId w:val="8"/>
        </w:numPr>
        <w:wordWrap/>
        <w:overflowPunct/>
        <w:topLinePunct w:val="0"/>
        <w:bidi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61D3E245">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FEE5B53">
      <w:pPr>
        <w:keepNext/>
        <w:keepLines/>
        <w:pageBreakBefore w:val="0"/>
        <w:widowControl/>
        <w:wordWrap/>
        <w:overflowPunct/>
        <w:topLinePunct w:val="0"/>
        <w:bidi w:val="0"/>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112" w:name="_Toc20313"/>
    </w:p>
    <w:p w14:paraId="74F5C83A">
      <w:pPr>
        <w:keepNext/>
        <w:keepLines/>
        <w:pageBreakBefore w:val="0"/>
        <w:widowControl/>
        <w:wordWrap/>
        <w:overflowPunct/>
        <w:topLinePunct w:val="0"/>
        <w:bidi w:val="0"/>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26990AC8">
      <w:pPr>
        <w:pStyle w:val="3"/>
        <w:keepNext/>
        <w:keepLines/>
        <w:pageBreakBefore w:val="0"/>
        <w:widowControl/>
        <w:wordWrap/>
        <w:overflowPunct/>
        <w:topLinePunct w:val="0"/>
        <w:bidi w:val="0"/>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112"/>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DBCE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ADD6BF">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B909880">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1DBB9C9C">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vAlign w:val="center"/>
          </w:tcPr>
          <w:p w14:paraId="0310D05F">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59F0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E8E9007">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AC3622F">
            <w:pPr>
              <w:keepNext/>
              <w:keepLines/>
              <w:pageBreakBefore w:val="0"/>
              <w:widowControl/>
              <w:wordWrap/>
              <w:overflowPunct/>
              <w:topLinePunct w:val="0"/>
              <w:bidi w:val="0"/>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vAlign w:val="center"/>
          </w:tcPr>
          <w:p w14:paraId="373D58DC">
            <w:pPr>
              <w:keepNext/>
              <w:keepLines/>
              <w:pageBreakBefore w:val="0"/>
              <w:widowControl/>
              <w:wordWrap/>
              <w:overflowPunct/>
              <w:topLinePunct w:val="0"/>
              <w:bidi w:val="0"/>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vAlign w:val="center"/>
          </w:tcPr>
          <w:p w14:paraId="7E83694A">
            <w:pPr>
              <w:keepNext/>
              <w:keepLines/>
              <w:pageBreakBefore w:val="0"/>
              <w:widowControl/>
              <w:wordWrap/>
              <w:overflowPunct/>
              <w:topLinePunct w:val="0"/>
              <w:bidi w:val="0"/>
              <w:adjustRightInd w:val="0"/>
              <w:snapToGrid w:val="0"/>
              <w:jc w:val="left"/>
              <w:rPr>
                <w:rFonts w:hint="eastAsia" w:ascii="宋体" w:hAnsi="宋体" w:eastAsia="宋体" w:cs="宋体"/>
                <w:color w:val="auto"/>
                <w:kern w:val="2"/>
                <w:sz w:val="21"/>
                <w:szCs w:val="21"/>
                <w:highlight w:val="none"/>
                <w:lang w:val="en-US" w:eastAsia="zh-CN" w:bidi="ar-SA"/>
              </w:rPr>
            </w:pPr>
          </w:p>
        </w:tc>
      </w:tr>
      <w:tr w14:paraId="12122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A28941">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ED0251C">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vAlign w:val="center"/>
          </w:tcPr>
          <w:p w14:paraId="366874F2">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vAlign w:val="center"/>
          </w:tcPr>
          <w:p w14:paraId="44DEAFF4">
            <w:pPr>
              <w:keepNext/>
              <w:keepLines/>
              <w:pageBreakBefore w:val="0"/>
              <w:widowControl/>
              <w:wordWrap/>
              <w:overflowPunct/>
              <w:topLinePunct w:val="0"/>
              <w:bidi w:val="0"/>
              <w:adjustRightInd w:val="0"/>
              <w:snapToGrid w:val="0"/>
              <w:jc w:val="left"/>
              <w:rPr>
                <w:rFonts w:hint="eastAsia" w:ascii="宋体" w:hAnsi="宋体" w:eastAsia="宋体" w:cs="宋体"/>
                <w:color w:val="auto"/>
                <w:kern w:val="2"/>
                <w:sz w:val="21"/>
                <w:szCs w:val="21"/>
                <w:highlight w:val="none"/>
                <w:lang w:val="en-US" w:eastAsia="zh-CN" w:bidi="ar-SA"/>
              </w:rPr>
            </w:pPr>
          </w:p>
        </w:tc>
      </w:tr>
      <w:tr w14:paraId="760D0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24D6A2">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0D6B9DD">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vAlign w:val="center"/>
          </w:tcPr>
          <w:p w14:paraId="1EBE920C">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vAlign w:val="center"/>
          </w:tcPr>
          <w:p w14:paraId="55617A60">
            <w:pPr>
              <w:keepNext/>
              <w:keepLines/>
              <w:pageBreakBefore w:val="0"/>
              <w:widowControl/>
              <w:wordWrap/>
              <w:overflowPunct/>
              <w:topLinePunct w:val="0"/>
              <w:bidi w:val="0"/>
              <w:adjustRightInd w:val="0"/>
              <w:snapToGrid w:val="0"/>
              <w:jc w:val="left"/>
              <w:rPr>
                <w:rFonts w:hint="eastAsia" w:ascii="宋体" w:hAnsi="宋体" w:eastAsia="宋体" w:cs="宋体"/>
                <w:color w:val="auto"/>
                <w:kern w:val="2"/>
                <w:sz w:val="21"/>
                <w:szCs w:val="21"/>
                <w:highlight w:val="none"/>
                <w:lang w:val="en-US" w:eastAsia="zh-CN" w:bidi="ar-SA"/>
              </w:rPr>
            </w:pPr>
          </w:p>
        </w:tc>
      </w:tr>
      <w:tr w14:paraId="4C196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49EC5B">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50C495AB">
            <w:pPr>
              <w:keepNext/>
              <w:keepLines/>
              <w:pageBreakBefore w:val="0"/>
              <w:widowControl/>
              <w:wordWrap/>
              <w:overflowPunct/>
              <w:topLinePunct w:val="0"/>
              <w:bidi w:val="0"/>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vAlign w:val="center"/>
          </w:tcPr>
          <w:p w14:paraId="25E9B393">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vAlign w:val="center"/>
          </w:tcPr>
          <w:p w14:paraId="546418CF">
            <w:pPr>
              <w:keepNext/>
              <w:keepLines/>
              <w:pageBreakBefore w:val="0"/>
              <w:widowControl/>
              <w:wordWrap/>
              <w:overflowPunct/>
              <w:topLinePunct w:val="0"/>
              <w:bidi w:val="0"/>
              <w:adjustRightInd w:val="0"/>
              <w:snapToGrid w:val="0"/>
              <w:jc w:val="left"/>
              <w:rPr>
                <w:rFonts w:hint="eastAsia" w:ascii="宋体" w:hAnsi="宋体" w:eastAsia="宋体" w:cs="宋体"/>
                <w:color w:val="auto"/>
                <w:kern w:val="2"/>
                <w:sz w:val="21"/>
                <w:szCs w:val="21"/>
                <w:highlight w:val="none"/>
                <w:lang w:val="en-US" w:eastAsia="zh-CN" w:bidi="ar-SA"/>
              </w:rPr>
            </w:pPr>
          </w:p>
        </w:tc>
      </w:tr>
      <w:tr w14:paraId="181F9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F6DD3A">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0F908E5A">
            <w:pPr>
              <w:keepNext/>
              <w:keepLines/>
              <w:pageBreakBefore w:val="0"/>
              <w:widowControl/>
              <w:wordWrap/>
              <w:overflowPunct/>
              <w:topLinePunct w:val="0"/>
              <w:bidi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vAlign w:val="center"/>
          </w:tcPr>
          <w:p w14:paraId="66EAA644">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vAlign w:val="center"/>
          </w:tcPr>
          <w:p w14:paraId="4077CD47">
            <w:pPr>
              <w:keepNext/>
              <w:keepLines/>
              <w:pageBreakBefore w:val="0"/>
              <w:widowControl/>
              <w:wordWrap/>
              <w:overflowPunct/>
              <w:topLinePunct w:val="0"/>
              <w:bidi w:val="0"/>
              <w:adjustRightInd w:val="0"/>
              <w:snapToGrid w:val="0"/>
              <w:jc w:val="left"/>
              <w:rPr>
                <w:rFonts w:hint="eastAsia" w:ascii="宋体" w:hAnsi="宋体" w:eastAsia="宋体" w:cs="宋体"/>
                <w:color w:val="auto"/>
                <w:kern w:val="2"/>
                <w:sz w:val="21"/>
                <w:szCs w:val="21"/>
                <w:highlight w:val="none"/>
                <w:lang w:val="en-US" w:eastAsia="zh-CN" w:bidi="ar-SA"/>
              </w:rPr>
            </w:pPr>
          </w:p>
        </w:tc>
      </w:tr>
      <w:tr w14:paraId="0B5CB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0195EFD">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32E3F06">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vAlign w:val="center"/>
          </w:tcPr>
          <w:p w14:paraId="11094C22">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vAlign w:val="center"/>
          </w:tcPr>
          <w:p w14:paraId="2B9A6A90">
            <w:pPr>
              <w:keepNext/>
              <w:keepLines/>
              <w:pageBreakBefore w:val="0"/>
              <w:widowControl/>
              <w:wordWrap/>
              <w:overflowPunct/>
              <w:topLinePunct w:val="0"/>
              <w:bidi w:val="0"/>
              <w:rPr>
                <w:rFonts w:hint="eastAsia" w:ascii="宋体" w:hAnsi="宋体" w:eastAsia="宋体" w:cs="宋体"/>
                <w:color w:val="auto"/>
                <w:highlight w:val="none"/>
              </w:rPr>
            </w:pPr>
          </w:p>
        </w:tc>
      </w:tr>
      <w:tr w14:paraId="21575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79F283">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p>
        </w:tc>
        <w:tc>
          <w:tcPr>
            <w:tcW w:w="1742" w:type="dxa"/>
            <w:vAlign w:val="center"/>
          </w:tcPr>
          <w:p w14:paraId="7747BCC5">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vAlign w:val="center"/>
          </w:tcPr>
          <w:p w14:paraId="74AB5A71">
            <w:pPr>
              <w:keepNext/>
              <w:keepLines/>
              <w:pageBreakBefore w:val="0"/>
              <w:widowControl/>
              <w:wordWrap/>
              <w:overflowPunct/>
              <w:topLinePunct w:val="0"/>
              <w:bidi w:val="0"/>
              <w:rPr>
                <w:rFonts w:hint="eastAsia" w:ascii="宋体" w:hAnsi="宋体" w:eastAsia="宋体" w:cs="宋体"/>
                <w:color w:val="auto"/>
                <w:highlight w:val="none"/>
              </w:rPr>
            </w:pPr>
          </w:p>
        </w:tc>
      </w:tr>
      <w:tr w14:paraId="4DE41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FDA3154">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C2605F9">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vAlign w:val="center"/>
          </w:tcPr>
          <w:p w14:paraId="7407AF90">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vAlign w:val="center"/>
          </w:tcPr>
          <w:p w14:paraId="63372C61">
            <w:pPr>
              <w:keepNext/>
              <w:keepLines/>
              <w:pageBreakBefore w:val="0"/>
              <w:widowControl/>
              <w:wordWrap/>
              <w:overflowPunct/>
              <w:topLinePunct w:val="0"/>
              <w:bidi w:val="0"/>
              <w:rPr>
                <w:rFonts w:hint="eastAsia" w:ascii="宋体" w:hAnsi="宋体" w:eastAsia="宋体" w:cs="宋体"/>
                <w:color w:val="auto"/>
                <w:highlight w:val="none"/>
              </w:rPr>
            </w:pPr>
          </w:p>
        </w:tc>
      </w:tr>
      <w:tr w14:paraId="244E4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2BFF229">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A52C6D5">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vAlign w:val="center"/>
          </w:tcPr>
          <w:p w14:paraId="260FF787">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vAlign w:val="center"/>
          </w:tcPr>
          <w:p w14:paraId="48173C4B">
            <w:pPr>
              <w:keepNext/>
              <w:keepLines/>
              <w:pageBreakBefore w:val="0"/>
              <w:widowControl/>
              <w:wordWrap/>
              <w:overflowPunct/>
              <w:topLinePunct w:val="0"/>
              <w:bidi w:val="0"/>
              <w:rPr>
                <w:rFonts w:hint="eastAsia" w:ascii="宋体" w:hAnsi="宋体" w:eastAsia="宋体" w:cs="宋体"/>
                <w:color w:val="auto"/>
                <w:highlight w:val="none"/>
              </w:rPr>
            </w:pPr>
          </w:p>
        </w:tc>
      </w:tr>
      <w:tr w14:paraId="1C0BB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CF9E0">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66DC243">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vAlign w:val="center"/>
          </w:tcPr>
          <w:p w14:paraId="100A1CC5">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60F1C9D3">
            <w:pPr>
              <w:keepNext/>
              <w:keepLines/>
              <w:pageBreakBefore w:val="0"/>
              <w:widowControl/>
              <w:wordWrap/>
              <w:overflowPunct/>
              <w:topLinePunct w:val="0"/>
              <w:autoSpaceDE w:val="0"/>
              <w:autoSpaceDN w:val="0"/>
              <w:bidi w:val="0"/>
              <w:adjustRightInd w:val="0"/>
              <w:snapToGrid w:val="0"/>
              <w:ind w:firstLine="420" w:firstLineChars="200"/>
              <w:jc w:val="left"/>
              <w:rPr>
                <w:rFonts w:hint="eastAsia" w:ascii="宋体" w:hAnsi="宋体" w:eastAsia="宋体" w:cs="宋体"/>
                <w:color w:val="auto"/>
                <w:szCs w:val="21"/>
                <w:highlight w:val="none"/>
              </w:rPr>
            </w:pPr>
          </w:p>
        </w:tc>
      </w:tr>
      <w:tr w14:paraId="02AAF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85197F">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476C559">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vAlign w:val="center"/>
          </w:tcPr>
          <w:p w14:paraId="7683EDC5">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5564D5D4">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1D57604B">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6A243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FD73B">
            <w:pPr>
              <w:keepNext/>
              <w:keepLines/>
              <w:pageBreakBefore w:val="0"/>
              <w:widowControl/>
              <w:wordWrap/>
              <w:overflowPunct/>
              <w:topLinePunct w:val="0"/>
              <w:bidi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2A9B4A84">
            <w:pPr>
              <w:pStyle w:val="27"/>
              <w:keepNext/>
              <w:keepLines/>
              <w:pageBreakBefore w:val="0"/>
              <w:widowControl/>
              <w:wordWrap/>
              <w:overflowPunct/>
              <w:topLinePunct w:val="0"/>
              <w:bidi w:val="0"/>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09CFAA2">
            <w:pPr>
              <w:keepNext/>
              <w:keepLines/>
              <w:pageBreakBefore w:val="0"/>
              <w:widowControl/>
              <w:wordWrap/>
              <w:overflowPunct/>
              <w:topLinePunct w:val="0"/>
              <w:bidi w:val="0"/>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vAlign w:val="center"/>
          </w:tcPr>
          <w:p w14:paraId="7C376426">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1552E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A9EE83A">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9F7882">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vAlign w:val="center"/>
          </w:tcPr>
          <w:p w14:paraId="59ED19A6">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vAlign w:val="center"/>
          </w:tcPr>
          <w:p w14:paraId="4BA6FFEE">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69B167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6C187C">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F8996BE">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vAlign w:val="center"/>
          </w:tcPr>
          <w:p w14:paraId="4C9EE803">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vAlign w:val="center"/>
          </w:tcPr>
          <w:p w14:paraId="2DC98F91">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7E628D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EF021D">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3D062E0">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vAlign w:val="center"/>
          </w:tcPr>
          <w:p w14:paraId="7345781A">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vAlign w:val="center"/>
          </w:tcPr>
          <w:p w14:paraId="2971E755">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781C3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4FF40A5">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0191BCF">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vAlign w:val="center"/>
          </w:tcPr>
          <w:p w14:paraId="00D79A0F">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vAlign w:val="center"/>
          </w:tcPr>
          <w:p w14:paraId="6D724187">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3D7D4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48F1A4">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71A97D6">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vAlign w:val="center"/>
          </w:tcPr>
          <w:p w14:paraId="1E2612CA">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vAlign w:val="center"/>
          </w:tcPr>
          <w:p w14:paraId="7DEC20F9">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2C9C42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26FFF7">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338EFC8">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1B979790">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04E16BB0">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54A71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DE6805">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FFC7589">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vAlign w:val="center"/>
          </w:tcPr>
          <w:p w14:paraId="38A369D0">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49F5B969">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p>
        </w:tc>
      </w:tr>
      <w:tr w14:paraId="720D5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D50576">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7999F64">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vAlign w:val="center"/>
          </w:tcPr>
          <w:p w14:paraId="451B43AC">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666AE608">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u w:val="single"/>
              </w:rPr>
            </w:pPr>
          </w:p>
        </w:tc>
      </w:tr>
      <w:tr w14:paraId="42072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6639EC">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90FC13">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vAlign w:val="center"/>
          </w:tcPr>
          <w:p w14:paraId="62AFFE86">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63140240">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u w:val="single"/>
              </w:rPr>
            </w:pPr>
          </w:p>
        </w:tc>
      </w:tr>
      <w:tr w14:paraId="0CD6CC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ED46374">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32E51E9">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5C2D084">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5E3188A7">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u w:val="single"/>
              </w:rPr>
            </w:pPr>
          </w:p>
        </w:tc>
      </w:tr>
      <w:tr w14:paraId="2E6EE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38E1370">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7157CC5">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F994D4F">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51EFC529">
            <w:pPr>
              <w:keepNext/>
              <w:keepLines/>
              <w:pageBreakBefore w:val="0"/>
              <w:widowControl/>
              <w:wordWrap/>
              <w:overflowPunct/>
              <w:topLinePunct w:val="0"/>
              <w:autoSpaceDE w:val="0"/>
              <w:autoSpaceDN w:val="0"/>
              <w:bidi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8EA1F80">
            <w:pPr>
              <w:keepNext/>
              <w:keepLines/>
              <w:pageBreakBefore w:val="0"/>
              <w:widowControl/>
              <w:wordWrap/>
              <w:overflowPunct/>
              <w:topLinePunct w:val="0"/>
              <w:autoSpaceDE w:val="0"/>
              <w:autoSpaceDN w:val="0"/>
              <w:bidi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3BC3CD17">
            <w:pPr>
              <w:keepNext/>
              <w:keepLines/>
              <w:pageBreakBefore w:val="0"/>
              <w:widowControl/>
              <w:wordWrap/>
              <w:overflowPunct/>
              <w:topLinePunct w:val="0"/>
              <w:bidi w:val="0"/>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6176A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CFAE8C6">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1636038">
            <w:pPr>
              <w:keepNext/>
              <w:keepLines/>
              <w:pageBreakBefore w:val="0"/>
              <w:widowControl/>
              <w:wordWrap/>
              <w:overflowPunct/>
              <w:topLinePunct w:val="0"/>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vAlign w:val="center"/>
          </w:tcPr>
          <w:p w14:paraId="0CBEF034">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14:paraId="4D081E0B">
            <w:pPr>
              <w:keepNext/>
              <w:keepLines/>
              <w:pageBreakBefore w:val="0"/>
              <w:widowControl/>
              <w:wordWrap/>
              <w:overflowPunct/>
              <w:topLinePunct w:val="0"/>
              <w:bidi w:val="0"/>
              <w:adjustRightInd w:val="0"/>
              <w:snapToGrid w:val="0"/>
              <w:jc w:val="left"/>
              <w:rPr>
                <w:rFonts w:hint="eastAsia" w:ascii="宋体" w:hAnsi="宋体" w:eastAsia="宋体" w:cs="宋体"/>
                <w:color w:val="auto"/>
                <w:szCs w:val="21"/>
                <w:highlight w:val="none"/>
                <w:lang w:val="en-US" w:eastAsia="zh-CN"/>
              </w:rPr>
            </w:pPr>
          </w:p>
        </w:tc>
      </w:tr>
    </w:tbl>
    <w:p w14:paraId="253D7E8B">
      <w:pPr>
        <w:keepNext/>
        <w:keepLines/>
        <w:pageBreakBefore w:val="0"/>
        <w:widowControl/>
        <w:wordWrap/>
        <w:overflowPunct/>
        <w:topLinePunct w:val="0"/>
        <w:bidi w:val="0"/>
        <w:rPr>
          <w:rFonts w:hint="eastAsia" w:ascii="宋体" w:hAnsi="宋体" w:eastAsia="宋体" w:cs="宋体"/>
          <w:color w:val="auto"/>
          <w:highlight w:val="none"/>
        </w:rPr>
      </w:pPr>
    </w:p>
    <w:p w14:paraId="70BBF8C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2"/>
          <w:szCs w:val="24"/>
          <w:highlight w:val="none"/>
        </w:rPr>
      </w:pPr>
      <w:r>
        <w:rPr>
          <w:rFonts w:hint="eastAsia" w:ascii="宋体" w:hAnsi="宋体" w:eastAsia="宋体" w:cs="宋体"/>
          <w:color w:val="auto"/>
          <w:kern w:val="0"/>
          <w:sz w:val="24"/>
          <w:szCs w:val="24"/>
          <w:highlight w:val="none"/>
        </w:rPr>
        <w:t xml:space="preserve">                         </w:t>
      </w:r>
    </w:p>
    <w:p w14:paraId="225F217A">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3563DF10">
      <w:pPr>
        <w:keepNext/>
        <w:keepLines/>
        <w:pageBreakBefore w:val="0"/>
        <w:widowControl/>
        <w:shd w:val="clear" w:color="auto" w:fill="FFFFFF"/>
        <w:wordWrap/>
        <w:overflowPunct/>
        <w:topLinePunct w:val="0"/>
        <w:bidi w:val="0"/>
        <w:spacing w:line="460" w:lineRule="exact"/>
        <w:ind w:left="288"/>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p w14:paraId="04C9D3A1">
      <w:pPr>
        <w:pStyle w:val="2"/>
        <w:keepNext/>
        <w:keepLines/>
        <w:pageBreakBefore w:val="0"/>
        <w:widowControl/>
        <w:shd w:val="clear" w:color="auto" w:fill="FFFFFF"/>
        <w:wordWrap/>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kern w:val="44"/>
          <w:highlight w:val="none"/>
        </w:rPr>
        <w:br w:type="page"/>
      </w:r>
      <w:bookmarkStart w:id="113" w:name="_Toc64566214"/>
      <w:bookmarkStart w:id="114" w:name="_Toc8249"/>
      <w:r>
        <w:rPr>
          <w:rFonts w:hint="eastAsia" w:ascii="宋体" w:hAnsi="宋体" w:eastAsia="宋体" w:cs="宋体"/>
          <w:color w:val="auto"/>
          <w:highlight w:val="none"/>
        </w:rPr>
        <w:t>第</w:t>
      </w:r>
      <w:bookmarkStart w:id="115" w:name="_Toc421891922"/>
      <w:r>
        <w:rPr>
          <w:rFonts w:hint="eastAsia" w:ascii="宋体" w:hAnsi="宋体" w:eastAsia="宋体" w:cs="宋体"/>
          <w:color w:val="auto"/>
          <w:highlight w:val="none"/>
        </w:rPr>
        <w:t>六部分  投标文件格式</w:t>
      </w:r>
      <w:bookmarkEnd w:id="113"/>
      <w:bookmarkEnd w:id="114"/>
    </w:p>
    <w:bookmarkEnd w:id="115"/>
    <w:p w14:paraId="4A2E62A6">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b/>
          <w:bCs/>
          <w:color w:val="auto"/>
          <w:sz w:val="32"/>
          <w:szCs w:val="32"/>
          <w:highlight w:val="none"/>
        </w:rPr>
      </w:pPr>
    </w:p>
    <w:p w14:paraId="632068B6">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bCs/>
          <w:color w:val="auto"/>
          <w:sz w:val="24"/>
          <w:szCs w:val="24"/>
          <w:highlight w:val="none"/>
        </w:rPr>
      </w:pPr>
    </w:p>
    <w:p w14:paraId="39DB2B4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（项目名称）项目</w:t>
      </w:r>
    </w:p>
    <w:p w14:paraId="44A187C9">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p>
    <w:p w14:paraId="23857EB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5E3F692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包号：</w:t>
      </w:r>
    </w:p>
    <w:p w14:paraId="15844486">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p>
    <w:p w14:paraId="2698147A">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48"/>
          <w:szCs w:val="48"/>
          <w:highlight w:val="none"/>
        </w:rPr>
      </w:pPr>
    </w:p>
    <w:p w14:paraId="41FA55D2">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48"/>
          <w:szCs w:val="48"/>
          <w:highlight w:val="none"/>
        </w:rPr>
      </w:pPr>
    </w:p>
    <w:p w14:paraId="7D7EF1AB">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w:t>
      </w:r>
    </w:p>
    <w:p w14:paraId="21B9F169">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标</w:t>
      </w:r>
    </w:p>
    <w:p w14:paraId="0EE69911">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文</w:t>
      </w:r>
    </w:p>
    <w:p w14:paraId="6FBCA10B">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件</w:t>
      </w:r>
    </w:p>
    <w:p w14:paraId="36BC517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34F0332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25841E1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48"/>
          <w:szCs w:val="48"/>
          <w:highlight w:val="none"/>
        </w:rPr>
      </w:pPr>
    </w:p>
    <w:p w14:paraId="5A2D66C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5521054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36A74DCF">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p>
    <w:p w14:paraId="471F7D05">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电子</w:t>
      </w:r>
      <w:r>
        <w:rPr>
          <w:rFonts w:hint="eastAsia" w:ascii="宋体" w:hAnsi="宋体" w:eastAsia="宋体" w:cs="宋体"/>
          <w:color w:val="auto"/>
          <w:sz w:val="24"/>
          <w:szCs w:val="24"/>
          <w:highlight w:val="none"/>
          <w:u w:val="none"/>
        </w:rPr>
        <w:t>公章）</w:t>
      </w:r>
    </w:p>
    <w:p w14:paraId="6DB1EA3D">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p>
    <w:p w14:paraId="75B73FEB">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投标人授权代表：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（签字或</w:t>
      </w:r>
      <w:r>
        <w:rPr>
          <w:rFonts w:hint="eastAsia" w:ascii="宋体" w:hAnsi="宋体" w:eastAsia="宋体" w:cs="宋体"/>
          <w:color w:val="auto"/>
          <w:sz w:val="24"/>
          <w:szCs w:val="24"/>
          <w:highlight w:val="none"/>
          <w:u w:val="none"/>
          <w:lang w:eastAsia="zh-CN"/>
        </w:rPr>
        <w:t>电子签章</w:t>
      </w:r>
      <w:r>
        <w:rPr>
          <w:rFonts w:hint="eastAsia" w:ascii="宋体" w:hAnsi="宋体" w:eastAsia="宋体" w:cs="宋体"/>
          <w:color w:val="auto"/>
          <w:sz w:val="24"/>
          <w:szCs w:val="24"/>
          <w:highlight w:val="none"/>
          <w:u w:val="none"/>
        </w:rPr>
        <w:t>）</w:t>
      </w:r>
    </w:p>
    <w:p w14:paraId="5FC93D46">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p>
    <w:p w14:paraId="6426B3A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7C93372">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sectPr>
          <w:footerReference r:id="rId10"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5" w:charSpace="0"/>
        </w:sectPr>
      </w:pPr>
    </w:p>
    <w:p w14:paraId="49163BB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目录格式（参考）</w:t>
      </w:r>
    </w:p>
    <w:p w14:paraId="2E3FFB2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p w14:paraId="3118983B">
      <w:pPr>
        <w:keepNext/>
        <w:keepLines/>
        <w:pageBreakBefore w:val="0"/>
        <w:widowControl/>
        <w:shd w:val="clear" w:color="auto" w:fill="FFFFFF"/>
        <w:wordWrap/>
        <w:overflowPunct/>
        <w:topLinePunct w:val="0"/>
        <w:bidi w:val="0"/>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资格部分</w:t>
      </w:r>
    </w:p>
    <w:p w14:paraId="2E0BB3AB">
      <w:pPr>
        <w:keepNext/>
        <w:keepLines/>
        <w:pageBreakBefore w:val="0"/>
        <w:widowControl/>
        <w:shd w:val="clear" w:color="auto" w:fill="FFFFFF"/>
        <w:wordWrap/>
        <w:overflowPunct/>
        <w:topLinePunct w:val="0"/>
        <w:bidi w:val="0"/>
        <w:spacing w:line="300" w:lineRule="exact"/>
        <w:jc w:val="center"/>
        <w:rPr>
          <w:rFonts w:hint="eastAsia" w:ascii="宋体" w:hAnsi="宋体" w:eastAsia="宋体" w:cs="宋体"/>
          <w:b/>
          <w:bCs/>
          <w:color w:val="auto"/>
          <w:sz w:val="24"/>
          <w:szCs w:val="24"/>
          <w:highlight w:val="none"/>
        </w:rPr>
      </w:pPr>
    </w:p>
    <w:p w14:paraId="55FCD2ED">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（1）企业法人营业执照</w:t>
      </w:r>
    </w:p>
    <w:p w14:paraId="37F5344B">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（2）基本账户开户许可证或基本存款账户信息</w:t>
      </w:r>
    </w:p>
    <w:p w14:paraId="72548C7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（3）投标人履行合同能力的承诺书</w:t>
      </w:r>
    </w:p>
    <w:p w14:paraId="055BCC8A">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（4）法定代表人身份证明书</w:t>
      </w:r>
    </w:p>
    <w:p w14:paraId="332E84A5">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（5）法人授权委托书</w:t>
      </w:r>
    </w:p>
    <w:p w14:paraId="7CE510AF">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长治市政府采购供应商应用信用承诺函</w:t>
      </w:r>
    </w:p>
    <w:p w14:paraId="18FB4CFF">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）投标保证金交纳证明</w:t>
      </w:r>
    </w:p>
    <w:p w14:paraId="617F4DDD">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特定资格要求证明文件</w:t>
      </w:r>
    </w:p>
    <w:p w14:paraId="5B8D36CA">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p>
    <w:p w14:paraId="7E5155FF">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商务技术部分</w:t>
      </w:r>
    </w:p>
    <w:p w14:paraId="644E1C6A">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rPr>
      </w:pPr>
    </w:p>
    <w:p w14:paraId="3224DBA0">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rPr>
      </w:pPr>
    </w:p>
    <w:p w14:paraId="4E6445B9">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03761899">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14:paraId="2CC7CB4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（3）商务条款</w:t>
      </w:r>
      <w:r>
        <w:rPr>
          <w:rFonts w:hint="eastAsia" w:ascii="宋体" w:hAnsi="宋体" w:eastAsia="宋体" w:cs="宋体"/>
          <w:color w:val="auto"/>
          <w:sz w:val="24"/>
          <w:szCs w:val="24"/>
          <w:highlight w:val="none"/>
          <w:lang w:eastAsia="zh-CN"/>
        </w:rPr>
        <w:t>偏差表</w:t>
      </w:r>
    </w:p>
    <w:p w14:paraId="46F58A37">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（4）技术</w:t>
      </w:r>
      <w:r>
        <w:rPr>
          <w:rFonts w:hint="eastAsia" w:ascii="宋体" w:hAnsi="宋体" w:eastAsia="宋体" w:cs="宋体"/>
          <w:color w:val="auto"/>
          <w:sz w:val="24"/>
          <w:szCs w:val="24"/>
          <w:highlight w:val="none"/>
          <w:lang w:eastAsia="zh-CN"/>
        </w:rPr>
        <w:t>条款偏差表</w:t>
      </w:r>
    </w:p>
    <w:p w14:paraId="4AC8809E">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项目方案</w:t>
      </w:r>
    </w:p>
    <w:p w14:paraId="5E5B348D">
      <w:pPr>
        <w:keepNext/>
        <w:keepLines/>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eastAsia="zh-CN"/>
        </w:rPr>
        <w:t>投标产品需提供相关的技术资料</w:t>
      </w:r>
    </w:p>
    <w:p w14:paraId="5DCB7645">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2.提</w:t>
      </w:r>
      <w:r>
        <w:rPr>
          <w:rFonts w:hint="eastAsia" w:ascii="宋体" w:hAnsi="宋体" w:eastAsia="宋体" w:cs="宋体"/>
          <w:color w:val="auto"/>
          <w:kern w:val="0"/>
          <w:sz w:val="24"/>
          <w:szCs w:val="24"/>
          <w:highlight w:val="none"/>
          <w:lang w:eastAsia="zh-CN"/>
        </w:rPr>
        <w:t>供保障本项目采购产品的质量和售后服务的承诺函</w:t>
      </w:r>
      <w:r>
        <w:rPr>
          <w:rFonts w:hint="eastAsia" w:ascii="宋体" w:hAnsi="宋体" w:eastAsia="宋体" w:cs="宋体"/>
          <w:color w:val="auto"/>
          <w:kern w:val="0"/>
          <w:sz w:val="24"/>
          <w:szCs w:val="24"/>
          <w:highlight w:val="none"/>
        </w:rPr>
        <w:t>。</w:t>
      </w:r>
    </w:p>
    <w:p w14:paraId="0FC6EB7E">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（7）近三年类似项目合同书汇总表；</w:t>
      </w:r>
    </w:p>
    <w:p w14:paraId="2A64936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（8）投标人企业简况表(见‘投标文件格式’)；</w:t>
      </w:r>
    </w:p>
    <w:p w14:paraId="01B01C68">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（9）拟派往本项目的技术团队人员配备情况(见‘投标文件格式’)；</w:t>
      </w:r>
    </w:p>
    <w:p w14:paraId="36C57E01">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）关于符合本国产品标准的声明函</w:t>
      </w:r>
      <w:r>
        <w:rPr>
          <w:rFonts w:hint="eastAsia" w:ascii="宋体" w:hAnsi="宋体" w:eastAsia="宋体" w:cs="宋体"/>
          <w:color w:val="auto"/>
          <w:sz w:val="24"/>
          <w:szCs w:val="24"/>
          <w:highlight w:val="none"/>
        </w:rPr>
        <w:t>(见‘投标文件格式’)；</w:t>
      </w:r>
    </w:p>
    <w:p w14:paraId="0FF513E1">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）政府采购相关政策证明材料（若有的话填写）；</w:t>
      </w:r>
    </w:p>
    <w:p w14:paraId="10EC3E8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）投标人认为需要提供的其它资料</w:t>
      </w:r>
    </w:p>
    <w:p w14:paraId="00FDEDF4">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color w:val="auto"/>
          <w:sz w:val="24"/>
          <w:szCs w:val="24"/>
          <w:highlight w:val="none"/>
        </w:rPr>
      </w:pPr>
    </w:p>
    <w:p w14:paraId="09E534A4">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B687DA9">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6313C5D3">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24"/>
          <w:szCs w:val="24"/>
          <w:highlight w:val="none"/>
        </w:rPr>
      </w:pPr>
    </w:p>
    <w:p w14:paraId="2A0EB063">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84"/>
          <w:szCs w:val="84"/>
          <w:highlight w:val="none"/>
          <w:lang w:eastAsia="zh-CN"/>
        </w:rPr>
      </w:pPr>
    </w:p>
    <w:p w14:paraId="6C0998A7">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84"/>
          <w:szCs w:val="84"/>
          <w:highlight w:val="none"/>
          <w:lang w:eastAsia="zh-CN"/>
        </w:rPr>
      </w:pPr>
    </w:p>
    <w:p w14:paraId="3A07DBC6">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84"/>
          <w:szCs w:val="84"/>
          <w:highlight w:val="none"/>
          <w:lang w:eastAsia="zh-CN"/>
        </w:rPr>
      </w:pPr>
    </w:p>
    <w:p w14:paraId="2ADD9C53">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资</w:t>
      </w:r>
    </w:p>
    <w:p w14:paraId="20A3E92D">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格</w:t>
      </w:r>
    </w:p>
    <w:p w14:paraId="2769FFEA">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部</w:t>
      </w:r>
    </w:p>
    <w:p w14:paraId="4FCD4F8F">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84"/>
          <w:szCs w:val="84"/>
          <w:highlight w:val="none"/>
          <w:lang w:eastAsia="zh-CN"/>
        </w:rPr>
        <w:t>分</w:t>
      </w:r>
    </w:p>
    <w:p w14:paraId="5FEDD9AE">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DECFAD9">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62AB9AA0">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45FC605E">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15CB7F1">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5884ED35">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DC2850F">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5394F736">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72AB2EAB">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57925AF">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1E2960AC">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3414E10F">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5019E73C">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0B567034">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7855C70C">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65862B68">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一、营业执照</w:t>
      </w:r>
      <w:r>
        <w:rPr>
          <w:rFonts w:hint="eastAsia" w:ascii="宋体" w:hAnsi="宋体" w:eastAsia="宋体" w:cs="宋体"/>
          <w:b/>
          <w:bCs/>
          <w:color w:val="auto"/>
          <w:sz w:val="24"/>
          <w:szCs w:val="24"/>
          <w:highlight w:val="none"/>
          <w:lang w:val="en-US" w:eastAsia="zh-CN"/>
        </w:rPr>
        <w:t>副本</w:t>
      </w:r>
    </w:p>
    <w:p w14:paraId="3DB5F5A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9E6E71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311EA26">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255D0B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77D2D37">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1FB392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878FA18">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09C270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E678B0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11543E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3AD5B97">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8A337C1">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1A54F4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CC6C824">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91401D1">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4ED7D1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C676E42">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CB1D7D7">
      <w:pPr>
        <w:keepNext/>
        <w:keepLines/>
        <w:pageBreakBefore w:val="0"/>
        <w:widowControl/>
        <w:shd w:val="clear" w:color="auto" w:fill="FFFFFF"/>
        <w:tabs>
          <w:tab w:val="left" w:pos="1043"/>
          <w:tab w:val="center" w:pos="4284"/>
        </w:tabs>
        <w:wordWrap/>
        <w:overflowPunct/>
        <w:topLinePunct w:val="0"/>
        <w:bidi w:val="0"/>
        <w:spacing w:before="290" w:beforeLines="100" w:line="460" w:lineRule="exact"/>
        <w:jc w:val="left"/>
        <w:rPr>
          <w:rFonts w:hint="eastAsia" w:ascii="宋体" w:hAnsi="宋体" w:eastAsia="宋体" w:cs="宋体"/>
          <w:b/>
          <w:bCs/>
          <w:color w:val="auto"/>
          <w:kern w:val="0"/>
          <w:sz w:val="24"/>
          <w:szCs w:val="24"/>
          <w:highlight w:val="none"/>
          <w:lang w:eastAsia="zh-CN"/>
        </w:rPr>
        <w:sectPr>
          <w:footerReference r:id="rId11" w:type="default"/>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bCs/>
          <w:color w:val="auto"/>
          <w:kern w:val="0"/>
          <w:sz w:val="24"/>
          <w:szCs w:val="24"/>
          <w:highlight w:val="none"/>
          <w:lang w:eastAsia="zh-CN"/>
        </w:rPr>
        <w:tab/>
      </w:r>
      <w:r>
        <w:rPr>
          <w:rFonts w:hint="eastAsia" w:ascii="宋体" w:hAnsi="宋体" w:eastAsia="宋体" w:cs="宋体"/>
          <w:b/>
          <w:bCs/>
          <w:color w:val="auto"/>
          <w:kern w:val="0"/>
          <w:sz w:val="24"/>
          <w:szCs w:val="24"/>
          <w:highlight w:val="none"/>
          <w:lang w:eastAsia="zh-CN"/>
        </w:rPr>
        <w:tab/>
      </w:r>
    </w:p>
    <w:p w14:paraId="57A7DEEF">
      <w:pPr>
        <w:keepNext/>
        <w:keepLines/>
        <w:pageBreakBefore w:val="0"/>
        <w:widowControl/>
        <w:shd w:val="clear" w:color="auto" w:fill="FFFFFF"/>
        <w:tabs>
          <w:tab w:val="left" w:pos="1043"/>
          <w:tab w:val="center" w:pos="4284"/>
        </w:tabs>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二、基本账户开户许可证</w:t>
      </w:r>
      <w:r>
        <w:rPr>
          <w:rFonts w:hint="eastAsia" w:ascii="宋体" w:hAnsi="宋体" w:eastAsia="宋体" w:cs="宋体"/>
          <w:b/>
          <w:bCs/>
          <w:color w:val="auto"/>
          <w:kern w:val="0"/>
          <w:sz w:val="24"/>
          <w:szCs w:val="24"/>
          <w:highlight w:val="none"/>
        </w:rPr>
        <w:t>或基本存款账户信息</w:t>
      </w:r>
    </w:p>
    <w:p w14:paraId="1426C19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4F8E8F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69F187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259F6A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ADD8750">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1A7590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421A28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F96417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DFF8004">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6502DD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60A0EB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7DCE65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C97535D">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F0ED93C">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874185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62DEFA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EEF2814">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lang w:eastAsia="zh-CN"/>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6B8C12D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投标人履行合同能力承诺书</w:t>
      </w:r>
    </w:p>
    <w:p w14:paraId="0ACBE9E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532D85AE">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eastAsia="zh-CN"/>
        </w:rPr>
        <w:t>山西骅展工程项目管理有限责任公司</w:t>
      </w:r>
      <w:r>
        <w:rPr>
          <w:rFonts w:hint="eastAsia" w:ascii="宋体" w:hAnsi="宋体" w:eastAsia="宋体" w:cs="宋体"/>
          <w:color w:val="auto"/>
          <w:sz w:val="24"/>
          <w:szCs w:val="24"/>
          <w:highlight w:val="none"/>
        </w:rPr>
        <w:t>：</w:t>
      </w:r>
    </w:p>
    <w:p w14:paraId="4D740114">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本投标人现参与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包号：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）的采购活动，现承诺具备履行合同所必需的设备和专业技术能力，并承诺所投货物符合国家相关强制性技术、安全标准或规范。</w:t>
      </w:r>
    </w:p>
    <w:p w14:paraId="09317CA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如上述承诺不真实，愿意按照政府采购有关法律法规的规定接受处罚。</w:t>
      </w:r>
    </w:p>
    <w:p w14:paraId="014FA3AA">
      <w:pPr>
        <w:keepNext/>
        <w:keepLines/>
        <w:pageBreakBefore w:val="0"/>
        <w:widowControl/>
        <w:shd w:val="clear" w:color="auto" w:fill="FFFFFF"/>
        <w:wordWrap/>
        <w:overflowPunct/>
        <w:topLinePunct w:val="0"/>
        <w:bidi w:val="0"/>
        <w:spacing w:line="460" w:lineRule="exact"/>
        <w:ind w:firstLine="566" w:firstLineChars="2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4E90F98">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14DC5732">
      <w:pPr>
        <w:keepNext/>
        <w:keepLines/>
        <w:pageBreakBefore w:val="0"/>
        <w:widowControl/>
        <w:shd w:val="clear" w:color="auto" w:fill="FFFFFF"/>
        <w:wordWrap/>
        <w:overflowPunct/>
        <w:topLinePunct w:val="0"/>
        <w:bidi w:val="0"/>
        <w:spacing w:line="44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(电子公章) </w:t>
      </w:r>
    </w:p>
    <w:p w14:paraId="71D1BCA3">
      <w:pPr>
        <w:keepNext/>
        <w:keepLines/>
        <w:pageBreakBefore w:val="0"/>
        <w:widowControl/>
        <w:shd w:val="clear" w:color="auto" w:fill="FFFFFF"/>
        <w:wordWrap/>
        <w:overflowPunct/>
        <w:topLinePunct w:val="0"/>
        <w:bidi w:val="0"/>
        <w:spacing w:line="440" w:lineRule="exact"/>
        <w:ind w:firstLine="2940" w:firstLineChars="1225"/>
        <w:rPr>
          <w:rFonts w:hint="eastAsia" w:ascii="宋体" w:hAnsi="宋体" w:eastAsia="宋体" w:cs="宋体"/>
          <w:color w:val="auto"/>
          <w:sz w:val="24"/>
          <w:szCs w:val="24"/>
          <w:highlight w:val="none"/>
        </w:rPr>
      </w:pPr>
    </w:p>
    <w:p w14:paraId="3F188C72">
      <w:pPr>
        <w:keepNext/>
        <w:keepLines/>
        <w:pageBreakBefore w:val="0"/>
        <w:widowControl/>
        <w:shd w:val="clear" w:color="auto" w:fill="FFFFFF"/>
        <w:tabs>
          <w:tab w:val="left" w:pos="4000"/>
        </w:tabs>
        <w:wordWrap/>
        <w:overflowPunct/>
        <w:topLinePunct w:val="0"/>
        <w:bidi w:val="0"/>
        <w:spacing w:line="44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0"/>
          <w:kern w:val="0"/>
          <w:sz w:val="24"/>
          <w:highlight w:val="none"/>
          <w:u w:val="single"/>
        </w:rPr>
        <w:t>（</w:t>
      </w:r>
      <w:r>
        <w:rPr>
          <w:rFonts w:hint="eastAsia" w:ascii="宋体" w:hAnsi="宋体" w:eastAsia="宋体" w:cs="宋体"/>
          <w:color w:val="auto"/>
          <w:sz w:val="24"/>
          <w:szCs w:val="24"/>
          <w:highlight w:val="none"/>
        </w:rPr>
        <w:t>签字或电子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47A28D32">
      <w:pPr>
        <w:keepNext/>
        <w:keepLines/>
        <w:pageBreakBefore w:val="0"/>
        <w:widowControl/>
        <w:shd w:val="clear" w:color="auto" w:fill="FFFFFF"/>
        <w:tabs>
          <w:tab w:val="left" w:pos="4000"/>
        </w:tabs>
        <w:wordWrap/>
        <w:overflowPunct/>
        <w:topLinePunct w:val="0"/>
        <w:bidi w:val="0"/>
        <w:spacing w:line="440" w:lineRule="exact"/>
        <w:ind w:firstLine="2940" w:firstLineChars="1225"/>
        <w:rPr>
          <w:rFonts w:hint="eastAsia" w:ascii="宋体" w:hAnsi="宋体" w:eastAsia="宋体" w:cs="宋体"/>
          <w:color w:val="auto"/>
          <w:sz w:val="24"/>
          <w:szCs w:val="24"/>
          <w:highlight w:val="none"/>
        </w:rPr>
      </w:pPr>
    </w:p>
    <w:p w14:paraId="27FA252D">
      <w:pPr>
        <w:keepNext/>
        <w:keepLines/>
        <w:pageBreakBefore w:val="0"/>
        <w:widowControl/>
        <w:shd w:val="clear" w:color="auto" w:fill="FFFFFF"/>
        <w:tabs>
          <w:tab w:val="left" w:pos="4000"/>
        </w:tabs>
        <w:wordWrap/>
        <w:overflowPunct/>
        <w:topLinePunct w:val="0"/>
        <w:bidi w:val="0"/>
        <w:spacing w:line="44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8DD16C">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899DFB7">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C6E179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1BD1798">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0676BC8">
      <w:pPr>
        <w:keepNext/>
        <w:keepLines/>
        <w:pageBreakBefore w:val="0"/>
        <w:widowControl/>
        <w:shd w:val="clear" w:color="auto" w:fill="FFFFFF"/>
        <w:wordWrap/>
        <w:overflowPunct/>
        <w:topLinePunct w:val="0"/>
        <w:bidi w:val="0"/>
        <w:spacing w:line="240" w:lineRule="auto"/>
        <w:jc w:val="both"/>
        <w:rPr>
          <w:rFonts w:hint="eastAsia" w:ascii="宋体" w:hAnsi="宋体" w:eastAsia="宋体" w:cs="宋体"/>
          <w:b/>
          <w:bCs/>
          <w:color w:val="auto"/>
          <w:sz w:val="24"/>
          <w:szCs w:val="24"/>
          <w:highlight w:val="none"/>
          <w:lang w:val="en-US" w:eastAsia="zh-CN"/>
        </w:rPr>
      </w:pPr>
    </w:p>
    <w:p w14:paraId="43DD6FCF">
      <w:pPr>
        <w:pStyle w:val="2"/>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6236BCD2">
      <w:pPr>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4691941B">
      <w:pPr>
        <w:pStyle w:val="2"/>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76234E05">
      <w:pPr>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706250F8">
      <w:pPr>
        <w:keepNext/>
        <w:keepLines/>
        <w:pageBreakBefore w:val="0"/>
        <w:widowControl/>
        <w:shd w:val="clear" w:color="auto" w:fill="FFFFFF"/>
        <w:wordWrap/>
        <w:overflowPunct/>
        <w:topLinePunct w:val="0"/>
        <w:bidi w:val="0"/>
        <w:spacing w:line="240" w:lineRule="auto"/>
        <w:jc w:val="both"/>
        <w:rPr>
          <w:rFonts w:hint="eastAsia" w:ascii="宋体" w:hAnsi="宋体" w:eastAsia="宋体" w:cs="宋体"/>
          <w:b/>
          <w:bCs/>
          <w:color w:val="auto"/>
          <w:sz w:val="24"/>
          <w:szCs w:val="24"/>
          <w:highlight w:val="none"/>
        </w:rPr>
      </w:pPr>
    </w:p>
    <w:p w14:paraId="6E87A846">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0F9FBB6F">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法定代表人身份证明书</w:t>
      </w:r>
    </w:p>
    <w:p w14:paraId="057792D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7E15F5C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04603E60">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471B9CD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28A3E5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u w:val="single"/>
          <w:lang w:val="en-US" w:eastAsia="zh-CN"/>
        </w:rPr>
        <w:t xml:space="preserve">         </w:t>
      </w:r>
    </w:p>
    <w:p w14:paraId="12FF8F8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14:paraId="4466618C">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F3F162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lang w:val="en-US" w:eastAsia="zh-CN"/>
        </w:rPr>
        <w:t xml:space="preserve">               </w:t>
      </w:r>
    </w:p>
    <w:p w14:paraId="4B910E35">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2506EA9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特此证明。 </w:t>
      </w:r>
    </w:p>
    <w:p w14:paraId="3EF2806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445F8AD9">
      <w:pPr>
        <w:keepNext/>
        <w:keepLines/>
        <w:pageBreakBefore w:val="0"/>
        <w:widowControl/>
        <w:shd w:val="clear" w:color="auto" w:fill="FFFFFF"/>
        <w:wordWrap/>
        <w:overflowPunct/>
        <w:topLinePunct w:val="0"/>
        <w:bidi w:val="0"/>
        <w:spacing w:line="360" w:lineRule="exact"/>
        <w:ind w:firstLine="3388" w:firstLineChars="1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(电子公章)</w:t>
      </w:r>
    </w:p>
    <w:p w14:paraId="386BB5F0">
      <w:pPr>
        <w:keepNext/>
        <w:keepLines/>
        <w:pageBreakBefore w:val="0"/>
        <w:widowControl/>
        <w:shd w:val="clear" w:color="auto" w:fill="FFFFFF"/>
        <w:wordWrap/>
        <w:overflowPunct/>
        <w:topLinePunct w:val="0"/>
        <w:bidi w:val="0"/>
        <w:spacing w:line="360" w:lineRule="exact"/>
        <w:ind w:firstLine="3388" w:firstLineChars="1412"/>
        <w:rPr>
          <w:rFonts w:hint="eastAsia" w:ascii="宋体" w:hAnsi="宋体" w:eastAsia="宋体" w:cs="宋体"/>
          <w:color w:val="auto"/>
          <w:sz w:val="24"/>
          <w:szCs w:val="24"/>
          <w:highlight w:val="none"/>
        </w:rPr>
      </w:pPr>
    </w:p>
    <w:p w14:paraId="24D4BC62">
      <w:pPr>
        <w:keepNext/>
        <w:keepLines/>
        <w:pageBreakBefore w:val="0"/>
        <w:widowControl/>
        <w:shd w:val="clear" w:color="auto" w:fill="FFFFFF"/>
        <w:wordWrap/>
        <w:overflowPunct/>
        <w:topLinePunct w:val="0"/>
        <w:bidi w:val="0"/>
        <w:spacing w:line="360" w:lineRule="exact"/>
        <w:ind w:firstLine="3780" w:firstLineChars="15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2BFF2E16">
      <w:pPr>
        <w:keepNext/>
        <w:keepLines/>
        <w:pageBreakBefore w:val="0"/>
        <w:widowControl/>
        <w:shd w:val="clear" w:color="auto" w:fill="FFFFFF"/>
        <w:tabs>
          <w:tab w:val="left" w:pos="4000"/>
        </w:tabs>
        <w:wordWrap/>
        <w:overflowPunct/>
        <w:topLinePunct w:val="0"/>
        <w:bidi w:val="0"/>
        <w:spacing w:line="360" w:lineRule="exact"/>
        <w:rPr>
          <w:rFonts w:hint="eastAsia" w:ascii="宋体" w:hAnsi="宋体" w:eastAsia="宋体" w:cs="宋体"/>
          <w:color w:val="auto"/>
          <w:sz w:val="24"/>
          <w:szCs w:val="24"/>
          <w:highlight w:val="none"/>
        </w:rPr>
      </w:pPr>
    </w:p>
    <w:p w14:paraId="2DCCA472">
      <w:pPr>
        <w:keepNext/>
        <w:keepLines/>
        <w:pageBreakBefore w:val="0"/>
        <w:widowControl/>
        <w:shd w:val="clear" w:color="auto" w:fill="FFFFFF"/>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638252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p w14:paraId="305ADE8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附法定代表人有效的身份证正反两面复印件</w:t>
      </w:r>
    </w:p>
    <w:p w14:paraId="5D90C4DC">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sz w:val="24"/>
          <w:szCs w:val="24"/>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086E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4360" w:type="dxa"/>
            <w:noWrap w:val="0"/>
            <w:vAlign w:val="top"/>
          </w:tcPr>
          <w:p w14:paraId="3E395A47">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c>
          <w:tcPr>
            <w:tcW w:w="4360" w:type="dxa"/>
            <w:noWrap w:val="0"/>
            <w:vAlign w:val="top"/>
          </w:tcPr>
          <w:p w14:paraId="6ED2AC71">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r>
    </w:tbl>
    <w:p w14:paraId="4E645090">
      <w:pPr>
        <w:keepNext/>
        <w:keepLines/>
        <w:pageBreakBefore w:val="0"/>
        <w:widowControl/>
        <w:shd w:val="clear" w:color="auto" w:fill="FFFFFF"/>
        <w:wordWrap/>
        <w:overflowPunct/>
        <w:topLinePunct w:val="0"/>
        <w:bidi w:val="0"/>
        <w:spacing w:after="580" w:afterLines="200" w:line="460" w:lineRule="exact"/>
        <w:jc w:val="both"/>
        <w:rPr>
          <w:rFonts w:hint="eastAsia" w:ascii="宋体" w:hAnsi="宋体" w:eastAsia="宋体" w:cs="宋体"/>
          <w:b/>
          <w:bCs/>
          <w:color w:val="auto"/>
          <w:sz w:val="24"/>
          <w:szCs w:val="24"/>
          <w:highlight w:val="none"/>
        </w:rPr>
      </w:pPr>
    </w:p>
    <w:p w14:paraId="4D539F7F">
      <w:pPr>
        <w:keepNext/>
        <w:keepLines/>
        <w:pageBreakBefore w:val="0"/>
        <w:widowControl/>
        <w:shd w:val="clear" w:color="auto" w:fill="FFFFFF"/>
        <w:wordWrap/>
        <w:overflowPunct/>
        <w:topLinePunct w:val="0"/>
        <w:bidi w:val="0"/>
        <w:spacing w:after="580" w:afterLines="2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法定代表人授权委托书</w:t>
      </w:r>
    </w:p>
    <w:p w14:paraId="6650E24F">
      <w:pPr>
        <w:keepNext/>
        <w:keepLines/>
        <w:pageBreakBefore w:val="0"/>
        <w:widowControl/>
        <w:shd w:val="clear" w:color="auto" w:fill="FFFFFF"/>
        <w:wordWrap/>
        <w:overflowPunct/>
        <w:topLinePunct w:val="0"/>
        <w:bidi w:val="0"/>
        <w:spacing w:before="290" w:beforeLines="100" w:line="460" w:lineRule="exac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致：</w:t>
      </w:r>
      <w:r>
        <w:rPr>
          <w:rFonts w:hint="eastAsia" w:ascii="宋体" w:hAnsi="宋体" w:eastAsia="宋体" w:cs="宋体"/>
          <w:color w:val="000000"/>
          <w:sz w:val="24"/>
          <w:szCs w:val="24"/>
          <w:highlight w:val="none"/>
          <w:lang w:eastAsia="zh-CN"/>
        </w:rPr>
        <w:t>山西骅展工程项目管理有限责任公司</w:t>
      </w:r>
    </w:p>
    <w:p w14:paraId="145172C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（投标人住所）的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（法定代表人姓名、职务）代表本公司授权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highlight w:val="none"/>
        </w:rPr>
        <w:t>代表姓名、职务）为本公司的合法代理人，就贵方组织的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 xml:space="preserve"> (项目名称、项目编号)以本公司名义处理一切与之有关的事务。</w:t>
      </w:r>
    </w:p>
    <w:p w14:paraId="66BE154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57CA0A75">
      <w:pPr>
        <w:keepNext/>
        <w:keepLines/>
        <w:pageBreakBefore w:val="0"/>
        <w:widowControl/>
        <w:shd w:val="clear" w:color="auto" w:fill="FFFFFF"/>
        <w:tabs>
          <w:tab w:val="left" w:pos="7797"/>
        </w:tabs>
        <w:wordWrap/>
        <w:overflowPunct/>
        <w:topLinePunct w:val="0"/>
        <w:bidi w:val="0"/>
        <w:snapToGrid w:val="0"/>
        <w:spacing w:after="580" w:afterLines="200"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附：授权代表身份证复印件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552B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4360" w:type="dxa"/>
            <w:noWrap w:val="0"/>
            <w:vAlign w:val="top"/>
          </w:tcPr>
          <w:p w14:paraId="37B6457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c>
          <w:tcPr>
            <w:tcW w:w="4360" w:type="dxa"/>
            <w:noWrap w:val="0"/>
            <w:vAlign w:val="top"/>
          </w:tcPr>
          <w:p w14:paraId="70D654D1">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r>
    </w:tbl>
    <w:p w14:paraId="3568621D">
      <w:pPr>
        <w:keepNext/>
        <w:keepLines/>
        <w:pageBreakBefore w:val="0"/>
        <w:widowControl/>
        <w:shd w:val="clear" w:color="auto" w:fill="FFFFFF"/>
        <w:tabs>
          <w:tab w:val="left" w:pos="7797"/>
        </w:tabs>
        <w:wordWrap/>
        <w:overflowPunct/>
        <w:topLinePunct w:val="0"/>
        <w:bidi w:val="0"/>
        <w:snapToGrid w:val="0"/>
        <w:spacing w:after="580" w:afterLines="200" w:line="460" w:lineRule="exact"/>
        <w:ind w:firstLine="480" w:firstLineChars="200"/>
        <w:rPr>
          <w:rFonts w:hint="eastAsia" w:ascii="宋体" w:hAnsi="宋体" w:eastAsia="宋体" w:cs="宋体"/>
          <w:color w:val="auto"/>
          <w:kern w:val="0"/>
          <w:sz w:val="24"/>
          <w:highlight w:val="none"/>
        </w:rPr>
      </w:pPr>
    </w:p>
    <w:p w14:paraId="0F9EA91E">
      <w:pPr>
        <w:keepNext/>
        <w:keepLines/>
        <w:pageBreakBefore w:val="0"/>
        <w:widowControl/>
        <w:shd w:val="clear" w:color="auto" w:fill="FFFFFF"/>
        <w:wordWrap/>
        <w:overflowPunct/>
        <w:topLinePunct w:val="0"/>
        <w:bidi w:val="0"/>
        <w:snapToGrid w:val="0"/>
        <w:spacing w:line="460" w:lineRule="exact"/>
        <w:ind w:left="280" w:firstLine="3360" w:firstLineChars="1200"/>
        <w:jc w:val="left"/>
        <w:rPr>
          <w:rFonts w:hint="eastAsia" w:ascii="宋体" w:hAnsi="宋体" w:eastAsia="宋体" w:cs="宋体"/>
          <w:color w:val="auto"/>
          <w:kern w:val="0"/>
          <w:sz w:val="24"/>
          <w:highlight w:val="none"/>
        </w:rPr>
      </w:pPr>
      <w:bookmarkStart w:id="116" w:name="_Toc130455432"/>
      <w:bookmarkEnd w:id="116"/>
      <w:bookmarkStart w:id="117" w:name="_Toc130455286"/>
      <w:bookmarkEnd w:id="117"/>
      <w:bookmarkStart w:id="118" w:name="_Toc130455365"/>
      <w:bookmarkEnd w:id="118"/>
      <w:r>
        <w:rPr>
          <w:rFonts w:hint="eastAsia" w:ascii="宋体" w:hAnsi="宋体" w:eastAsia="宋体" w:cs="宋体"/>
          <w:color w:val="auto"/>
          <w:spacing w:val="20"/>
          <w:kern w:val="0"/>
          <w:sz w:val="24"/>
          <w:highlight w:val="none"/>
        </w:rPr>
        <w:t>法定代表人：</w:t>
      </w:r>
      <w:r>
        <w:rPr>
          <w:rFonts w:hint="eastAsia" w:ascii="宋体" w:hAnsi="宋体" w:eastAsia="宋体" w:cs="宋体"/>
          <w:color w:val="auto"/>
          <w:spacing w:val="20"/>
          <w:kern w:val="0"/>
          <w:sz w:val="24"/>
          <w:highlight w:val="none"/>
          <w:u w:val="single"/>
        </w:rPr>
        <w:t xml:space="preserve">         （</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2D40D30A">
      <w:pPr>
        <w:keepNext/>
        <w:keepLines/>
        <w:pageBreakBefore w:val="0"/>
        <w:widowControl/>
        <w:shd w:val="clear" w:color="auto" w:fill="FFFFFF"/>
        <w:wordWrap/>
        <w:overflowPunct/>
        <w:topLinePunct w:val="0"/>
        <w:bidi w:val="0"/>
        <w:snapToGrid w:val="0"/>
        <w:spacing w:line="460" w:lineRule="exact"/>
        <w:jc w:val="left"/>
        <w:rPr>
          <w:rFonts w:hint="eastAsia" w:ascii="宋体" w:hAnsi="宋体" w:eastAsia="宋体" w:cs="宋体"/>
          <w:color w:val="auto"/>
          <w:kern w:val="0"/>
          <w:sz w:val="24"/>
          <w:highlight w:val="none"/>
        </w:rPr>
      </w:pPr>
      <w:r>
        <w:rPr>
          <w:rFonts w:hint="eastAsia" w:ascii="宋体" w:hAnsi="宋体" w:eastAsia="宋体" w:cs="宋体"/>
          <w:color w:val="auto"/>
          <w:spacing w:val="20"/>
          <w:kern w:val="0"/>
          <w:sz w:val="24"/>
          <w:highlight w:val="none"/>
        </w:rPr>
        <w:t xml:space="preserve">    </w:t>
      </w:r>
    </w:p>
    <w:p w14:paraId="2837F533">
      <w:pPr>
        <w:keepNext/>
        <w:keepLines/>
        <w:pageBreakBefore w:val="0"/>
        <w:widowControl/>
        <w:shd w:val="clear" w:color="auto" w:fill="FFFFFF"/>
        <w:wordWrap/>
        <w:overflowPunct/>
        <w:topLinePunct w:val="0"/>
        <w:bidi w:val="0"/>
        <w:snapToGrid w:val="0"/>
        <w:spacing w:line="460" w:lineRule="exact"/>
        <w:ind w:firstLine="364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spacing w:val="20"/>
          <w:kern w:val="0"/>
          <w:sz w:val="24"/>
          <w:highlight w:val="none"/>
        </w:rPr>
        <w:t>授权代表签字：</w:t>
      </w:r>
      <w:r>
        <w:rPr>
          <w:rFonts w:hint="eastAsia" w:ascii="宋体" w:hAnsi="宋体" w:eastAsia="宋体" w:cs="宋体"/>
          <w:color w:val="auto"/>
          <w:spacing w:val="20"/>
          <w:kern w:val="0"/>
          <w:sz w:val="24"/>
          <w:highlight w:val="none"/>
          <w:u w:val="single"/>
        </w:rPr>
        <w:t xml:space="preserve">        （</w:t>
      </w:r>
      <w:r>
        <w:rPr>
          <w:rFonts w:hint="eastAsia" w:ascii="宋体" w:hAnsi="宋体" w:eastAsia="宋体" w:cs="宋体"/>
          <w:color w:val="auto"/>
          <w:sz w:val="24"/>
          <w:szCs w:val="24"/>
          <w:highlight w:val="none"/>
        </w:rPr>
        <w:t>签字或电子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1966FF0A">
      <w:pPr>
        <w:keepNext/>
        <w:keepLines/>
        <w:pageBreakBefore w:val="0"/>
        <w:widowControl/>
        <w:shd w:val="clear" w:color="auto" w:fill="FFFFFF"/>
        <w:tabs>
          <w:tab w:val="left" w:pos="730"/>
        </w:tabs>
        <w:wordWrap/>
        <w:overflowPunct/>
        <w:topLinePunct w:val="0"/>
        <w:bidi w:val="0"/>
        <w:snapToGrid w:val="0"/>
        <w:spacing w:line="460" w:lineRule="exact"/>
        <w:jc w:val="left"/>
        <w:rPr>
          <w:rFonts w:hint="eastAsia" w:ascii="宋体" w:hAnsi="宋体" w:eastAsia="宋体" w:cs="宋体"/>
          <w:color w:val="auto"/>
          <w:kern w:val="0"/>
          <w:sz w:val="24"/>
          <w:highlight w:val="none"/>
        </w:rPr>
      </w:pPr>
      <w:r>
        <w:rPr>
          <w:rFonts w:hint="eastAsia" w:ascii="宋体" w:hAnsi="宋体" w:eastAsia="宋体" w:cs="宋体"/>
          <w:color w:val="auto"/>
          <w:spacing w:val="20"/>
          <w:kern w:val="0"/>
          <w:sz w:val="24"/>
          <w:highlight w:val="none"/>
        </w:rPr>
        <w:tab/>
      </w:r>
    </w:p>
    <w:p w14:paraId="2BE91BE3">
      <w:pPr>
        <w:keepNext/>
        <w:keepLines/>
        <w:pageBreakBefore w:val="0"/>
        <w:widowControl/>
        <w:shd w:val="clear" w:color="auto" w:fill="FFFFFF"/>
        <w:tabs>
          <w:tab w:val="left" w:pos="730"/>
        </w:tabs>
        <w:wordWrap/>
        <w:overflowPunct/>
        <w:topLinePunct w:val="0"/>
        <w:bidi w:val="0"/>
        <w:snapToGrid w:val="0"/>
        <w:spacing w:line="460" w:lineRule="exact"/>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签</w:t>
      </w:r>
      <w:r>
        <w:rPr>
          <w:rFonts w:hint="eastAsia" w:ascii="宋体" w:hAnsi="宋体" w:eastAsia="宋体" w:cs="宋体"/>
          <w:color w:val="auto"/>
          <w:sz w:val="24"/>
          <w:szCs w:val="24"/>
          <w:highlight w:val="none"/>
        </w:rPr>
        <w:t>章)</w:t>
      </w:r>
      <w:r>
        <w:rPr>
          <w:rFonts w:hint="eastAsia" w:ascii="宋体" w:hAnsi="宋体" w:eastAsia="宋体" w:cs="宋体"/>
          <w:color w:val="auto"/>
          <w:spacing w:val="20"/>
          <w:kern w:val="0"/>
          <w:sz w:val="24"/>
          <w:highlight w:val="none"/>
        </w:rPr>
        <w:t xml:space="preserve"> </w:t>
      </w:r>
    </w:p>
    <w:p w14:paraId="730A08ED">
      <w:pPr>
        <w:keepNext/>
        <w:keepLines/>
        <w:pageBreakBefore w:val="0"/>
        <w:widowControl/>
        <w:shd w:val="clear" w:color="auto" w:fill="FFFFFF"/>
        <w:tabs>
          <w:tab w:val="left" w:pos="730"/>
        </w:tabs>
        <w:wordWrap/>
        <w:overflowPunct/>
        <w:topLinePunct w:val="0"/>
        <w:bidi w:val="0"/>
        <w:snapToGrid w:val="0"/>
        <w:spacing w:line="460" w:lineRule="exact"/>
        <w:jc w:val="left"/>
        <w:rPr>
          <w:rFonts w:hint="eastAsia" w:ascii="宋体" w:hAnsi="宋体" w:eastAsia="宋体" w:cs="宋体"/>
          <w:color w:val="auto"/>
          <w:kern w:val="0"/>
          <w:sz w:val="24"/>
          <w:highlight w:val="none"/>
        </w:rPr>
      </w:pPr>
    </w:p>
    <w:p w14:paraId="3B61CFC6">
      <w:pPr>
        <w:keepNext/>
        <w:keepLines/>
        <w:pageBreakBefore w:val="0"/>
        <w:widowControl/>
        <w:shd w:val="clear" w:color="auto" w:fill="FFFFFF"/>
        <w:tabs>
          <w:tab w:val="left" w:pos="730"/>
        </w:tabs>
        <w:wordWrap/>
        <w:overflowPunct/>
        <w:topLinePunct w:val="0"/>
        <w:bidi w:val="0"/>
        <w:snapToGrid w:val="0"/>
        <w:spacing w:line="460" w:lineRule="exact"/>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2CB6133">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供应商在投标(响应)时须提供长治市政府采购供应商应用信用承诺函</w:t>
      </w:r>
    </w:p>
    <w:p w14:paraId="0DC86382">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长治市政府采购供应商应用信用承诺函</w:t>
      </w:r>
    </w:p>
    <w:p w14:paraId="48B2F02B">
      <w:pPr>
        <w:keepNext/>
        <w:keepLines/>
        <w:pageBreakBefore w:val="0"/>
        <w:widowControl/>
        <w:wordWrap/>
        <w:overflowPunct/>
        <w:topLinePunct w:val="0"/>
        <w:bidi w:val="0"/>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（采购人或采购代理机构）   </w:t>
      </w:r>
      <w:r>
        <w:rPr>
          <w:rFonts w:hint="eastAsia" w:ascii="宋体" w:hAnsi="宋体" w:eastAsia="宋体" w:cs="宋体"/>
          <w:color w:val="auto"/>
          <w:sz w:val="24"/>
          <w:szCs w:val="24"/>
          <w:highlight w:val="none"/>
          <w:lang w:eastAsia="zh-CN"/>
        </w:rPr>
        <w:t>：</w:t>
      </w:r>
    </w:p>
    <w:p w14:paraId="151A5B5F">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p>
    <w:p w14:paraId="026E045C">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供应商名称（自然人姓名）：</w:t>
      </w:r>
      <w:r>
        <w:rPr>
          <w:rFonts w:hint="eastAsia" w:ascii="宋体" w:hAnsi="宋体" w:eastAsia="宋体" w:cs="宋体"/>
          <w:color w:val="auto"/>
          <w:sz w:val="24"/>
          <w:szCs w:val="24"/>
          <w:highlight w:val="none"/>
          <w:u w:val="single"/>
          <w:lang w:val="en-US" w:eastAsia="zh-CN"/>
        </w:rPr>
        <w:t xml:space="preserve">                   </w:t>
      </w:r>
    </w:p>
    <w:p w14:paraId="1C4DF217">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统一社会信用代码（身份证号码）：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63A4BBDC">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法定代表人（负责人）：</w:t>
      </w:r>
      <w:r>
        <w:rPr>
          <w:rFonts w:hint="eastAsia" w:ascii="宋体" w:hAnsi="宋体" w:eastAsia="宋体" w:cs="宋体"/>
          <w:color w:val="auto"/>
          <w:sz w:val="24"/>
          <w:szCs w:val="24"/>
          <w:highlight w:val="none"/>
          <w:u w:val="single"/>
          <w:lang w:eastAsia="zh-CN"/>
        </w:rPr>
        <w:t xml:space="preserve">                           </w:t>
      </w:r>
    </w:p>
    <w:p w14:paraId="79A5A852">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联系地址和电话：</w:t>
      </w:r>
      <w:r>
        <w:rPr>
          <w:rFonts w:hint="eastAsia" w:ascii="宋体" w:hAnsi="宋体" w:eastAsia="宋体" w:cs="宋体"/>
          <w:color w:val="auto"/>
          <w:sz w:val="24"/>
          <w:szCs w:val="24"/>
          <w:highlight w:val="none"/>
          <w:u w:val="single"/>
          <w:lang w:eastAsia="zh-CN"/>
        </w:rPr>
        <w:t xml:space="preserve">                                 </w:t>
      </w:r>
    </w:p>
    <w:p w14:paraId="4F82F539">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为维护公平、公正、公开的政府采购市场秩序，树立诚实守信的政府采购供应商形象，本单位（本人）自愿作出以下承诺：</w:t>
      </w:r>
    </w:p>
    <w:p w14:paraId="2640BB26">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一、我单位（本人）自愿参加本次政府采购活动（项目名称：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4E422DD3">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（一）具有独立承担民事责任的能力；</w:t>
      </w:r>
    </w:p>
    <w:p w14:paraId="55718EC5">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（二）具有良好的商业信誉和健全的财务会计制度；</w:t>
      </w:r>
    </w:p>
    <w:p w14:paraId="5FDD5A0D">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（三）具有履行合同所必需的设备和专业技术能力；</w:t>
      </w:r>
    </w:p>
    <w:p w14:paraId="0B9BD647">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（四）有依法缴纳税收和社会保障资金的良好记录；</w:t>
      </w:r>
    </w:p>
    <w:p w14:paraId="6ABE8CD8">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（五）参加政府采购活动前三年内，在经营活动中没有重大违法记录；</w:t>
      </w:r>
    </w:p>
    <w:p w14:paraId="7FF808FF">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（六）符合法律、行政法规规定的其他条件。</w:t>
      </w:r>
    </w:p>
    <w:p w14:paraId="659A65CB">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二、我单位（本人）保证上述承诺事项的真实性。如所作信用承诺不实，自愿承担一切法律责任，接受政府采购监管部门和其他机关的审查和处罚。</w:t>
      </w:r>
    </w:p>
    <w:p w14:paraId="7D013C15">
      <w:pPr>
        <w:keepNext/>
        <w:keepLines/>
        <w:pageBreakBefore w:val="0"/>
        <w:widowControl/>
        <w:wordWrap/>
        <w:overflowPunct/>
        <w:topLinePunct w:val="0"/>
        <w:bidi w:val="0"/>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52A7C437">
      <w:pPr>
        <w:keepNext/>
        <w:keepLines/>
        <w:pageBreakBefore w:val="0"/>
        <w:widowControl/>
        <w:wordWrap/>
        <w:overflowPunct/>
        <w:topLinePunct w:val="0"/>
        <w:bidi w:val="0"/>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0E88A252">
      <w:pPr>
        <w:keepNext/>
        <w:keepLines/>
        <w:pageBreakBefore w:val="0"/>
        <w:widowControl/>
        <w:shd w:val="clear" w:color="auto" w:fill="FFFFFF"/>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p>
    <w:p w14:paraId="179AF950">
      <w:pPr>
        <w:keepNext/>
        <w:keepLines/>
        <w:pageBreakBefore w:val="0"/>
        <w:widowControl/>
        <w:shd w:val="clear" w:color="auto" w:fill="FFFFFF"/>
        <w:wordWrap/>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p>
    <w:p w14:paraId="0319D56E">
      <w:pPr>
        <w:keepNext/>
        <w:keepLines/>
        <w:pageBreakBefore w:val="0"/>
        <w:widowControl/>
        <w:shd w:val="clear" w:color="auto" w:fill="FFFFFF"/>
        <w:wordWrap/>
        <w:overflowPunct/>
        <w:topLinePunct w:val="0"/>
        <w:bidi w:val="0"/>
        <w:snapToGrid w:val="0"/>
        <w:spacing w:line="500" w:lineRule="exact"/>
        <w:rPr>
          <w:rFonts w:hint="eastAsia" w:ascii="宋体" w:hAnsi="宋体" w:eastAsia="宋体" w:cs="宋体"/>
          <w:color w:val="auto"/>
          <w:sz w:val="24"/>
          <w:szCs w:val="24"/>
          <w:highlight w:val="none"/>
        </w:rPr>
      </w:pPr>
    </w:p>
    <w:p w14:paraId="0478879D">
      <w:pPr>
        <w:keepNext/>
        <w:keepLines/>
        <w:pageBreakBefore w:val="0"/>
        <w:widowControl/>
        <w:shd w:val="clear" w:color="auto" w:fill="FFFFFF"/>
        <w:wordWrap/>
        <w:overflowPunct/>
        <w:topLinePunct w:val="0"/>
        <w:bidi w:val="0"/>
        <w:snapToGrid w:val="0"/>
        <w:spacing w:line="5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 ：</w:t>
      </w:r>
      <w:r>
        <w:rPr>
          <w:rFonts w:hint="eastAsia" w:ascii="宋体" w:hAnsi="宋体" w:eastAsia="宋体" w:cs="宋体"/>
          <w:color w:val="auto"/>
          <w:sz w:val="24"/>
          <w:szCs w:val="24"/>
          <w:highlight w:val="none"/>
          <w:u w:val="single"/>
        </w:rPr>
        <w:t xml:space="preserve">                  </w:t>
      </w:r>
    </w:p>
    <w:p w14:paraId="7FB6A481">
      <w:pPr>
        <w:keepNext/>
        <w:keepLines/>
        <w:pageBreakBefore w:val="0"/>
        <w:widowControl/>
        <w:shd w:val="clear" w:color="auto" w:fill="FFFFFF"/>
        <w:wordWrap/>
        <w:overflowPunct/>
        <w:topLinePunct w:val="0"/>
        <w:bidi w:val="0"/>
        <w:snapToGrid w:val="0"/>
        <w:spacing w:line="5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法定代表人或授权代表、负责人、本人 (签字或电子签章) ：</w:t>
      </w:r>
      <w:r>
        <w:rPr>
          <w:rFonts w:hint="eastAsia" w:ascii="宋体" w:hAnsi="宋体" w:eastAsia="宋体" w:cs="宋体"/>
          <w:color w:val="auto"/>
          <w:sz w:val="24"/>
          <w:szCs w:val="24"/>
          <w:highlight w:val="none"/>
          <w:u w:val="single"/>
        </w:rPr>
        <w:t xml:space="preserve">               </w:t>
      </w:r>
    </w:p>
    <w:p w14:paraId="2F09933B">
      <w:pPr>
        <w:keepNext/>
        <w:keepLines/>
        <w:pageBreakBefore w:val="0"/>
        <w:widowControl/>
        <w:shd w:val="clear" w:color="auto" w:fill="FFFFFF"/>
        <w:wordWrap/>
        <w:overflowPunct/>
        <w:topLinePunct w:val="0"/>
        <w:bidi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586BDB">
      <w:pPr>
        <w:keepNext/>
        <w:keepLines/>
        <w:pageBreakBefore w:val="0"/>
        <w:widowControl/>
        <w:shd w:val="clear" w:color="auto" w:fill="FFFFFF"/>
        <w:wordWrap/>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p>
    <w:p w14:paraId="182F5E63">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4783330E">
      <w:pPr>
        <w:pStyle w:val="4"/>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206B68C8">
      <w:pPr>
        <w:keepNext/>
        <w:keepLines/>
        <w:pageBreakBefore w:val="0"/>
        <w:widowControl/>
        <w:shd w:val="clear" w:color="auto" w:fill="FFFFFF"/>
        <w:wordWrap/>
        <w:overflowPunct/>
        <w:topLinePunct w:val="0"/>
        <w:bidi w:val="0"/>
        <w:snapToGrid w:val="0"/>
        <w:spacing w:line="5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注：1.供应商须在投标（响应）文件中按此模板提供承诺函，未提供视为未实质性响应采购文件要求，按无效投标（响应）处理。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2.供应商的法定代表人或者授权代表的签字或盖章应真实、有效、如由授权代表签字或盖章的，应提供“法定代表人授权书”。</w:t>
      </w:r>
    </w:p>
    <w:p w14:paraId="29B4BBB8">
      <w:pPr>
        <w:keepNext/>
        <w:keepLines/>
        <w:pageBreakBefore w:val="0"/>
        <w:widowControl/>
        <w:shd w:val="clear" w:color="auto" w:fill="FFFFFF"/>
        <w:wordWrap/>
        <w:overflowPunct/>
        <w:topLinePunct w:val="0"/>
        <w:bidi w:val="0"/>
        <w:spacing w:line="460" w:lineRule="exact"/>
        <w:rPr>
          <w:rFonts w:hint="eastAsia" w:ascii="宋体" w:hAnsi="宋体" w:eastAsia="宋体" w:cs="宋体"/>
          <w:b/>
          <w:color w:val="auto"/>
          <w:sz w:val="24"/>
          <w:szCs w:val="24"/>
          <w:highlight w:val="none"/>
        </w:rPr>
      </w:pPr>
    </w:p>
    <w:p w14:paraId="18D45FC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p w14:paraId="3502EF08">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08362572">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2D9B97E2">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7872B924">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72CA824D">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61052B9C">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681D0D33">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5919C3CE">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471F1210">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0BAFF024">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4CA04218">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sz w:val="24"/>
          <w:szCs w:val="24"/>
          <w:highlight w:val="none"/>
        </w:rPr>
        <w:t>投标保证金交纳证明</w:t>
      </w:r>
    </w:p>
    <w:p w14:paraId="6F32F75B">
      <w:pPr>
        <w:bidi w:val="0"/>
        <w:rPr>
          <w:rFonts w:hint="eastAsia" w:ascii="宋体" w:hAnsi="宋体" w:eastAsia="宋体" w:cs="宋体"/>
          <w:kern w:val="2"/>
          <w:sz w:val="21"/>
          <w:szCs w:val="22"/>
          <w:highlight w:val="none"/>
          <w:lang w:val="en-US" w:eastAsia="zh-CN" w:bidi="ar-SA"/>
        </w:rPr>
      </w:pPr>
    </w:p>
    <w:p w14:paraId="731F7D7F">
      <w:pPr>
        <w:bidi w:val="0"/>
        <w:rPr>
          <w:rFonts w:hint="eastAsia" w:ascii="宋体" w:hAnsi="宋体" w:eastAsia="宋体" w:cs="宋体"/>
          <w:highlight w:val="none"/>
          <w:lang w:val="en-US" w:eastAsia="zh-CN"/>
        </w:rPr>
      </w:pPr>
    </w:p>
    <w:p w14:paraId="1B4F48EB">
      <w:pPr>
        <w:tabs>
          <w:tab w:val="left" w:pos="4195"/>
        </w:tabs>
        <w:bidi w:val="0"/>
        <w:jc w:val="center"/>
        <w:rPr>
          <w:rFonts w:hint="eastAsia" w:ascii="宋体" w:hAnsi="宋体" w:eastAsia="宋体" w:cs="宋体"/>
          <w:highlight w:val="none"/>
          <w:lang w:val="en-US" w:eastAsia="zh-CN"/>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highlight w:val="none"/>
          <w:lang w:val="en-US" w:eastAsia="zh-CN"/>
        </w:rPr>
        <w:t>（提供投标保证金交纳证明扫描件）</w:t>
      </w:r>
    </w:p>
    <w:p w14:paraId="68DF26D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lang w:val="en-US" w:eastAsia="zh-CN"/>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bCs/>
          <w:color w:val="auto"/>
          <w:sz w:val="24"/>
          <w:szCs w:val="24"/>
          <w:highlight w:val="none"/>
          <w:lang w:val="en-US" w:eastAsia="zh-CN"/>
        </w:rPr>
        <w:t>八、特定资格要求证明文件</w:t>
      </w:r>
    </w:p>
    <w:p w14:paraId="3F22178E">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2ED7E1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57BEFA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7CFEA4E">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A840A9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453C242">
      <w:pPr>
        <w:pStyle w:val="2"/>
        <w:keepNext/>
        <w:keepLines/>
        <w:pageBreakBefore w:val="0"/>
        <w:widowControl/>
        <w:shd w:val="clear" w:color="auto" w:fill="FFFFFF"/>
        <w:wordWrap/>
        <w:overflowPunct/>
        <w:topLinePunct w:val="0"/>
        <w:bidi w:val="0"/>
        <w:rPr>
          <w:rFonts w:hint="eastAsia" w:ascii="宋体" w:hAnsi="宋体" w:eastAsia="宋体" w:cs="宋体"/>
          <w:color w:val="auto"/>
          <w:highlight w:val="none"/>
        </w:rPr>
      </w:pPr>
    </w:p>
    <w:p w14:paraId="29B09B8A">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商</w:t>
      </w:r>
    </w:p>
    <w:p w14:paraId="08435137">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务</w:t>
      </w:r>
    </w:p>
    <w:p w14:paraId="193F4554">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技</w:t>
      </w:r>
    </w:p>
    <w:p w14:paraId="0FB6D62A">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术</w:t>
      </w:r>
    </w:p>
    <w:p w14:paraId="7F7A4210">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部</w:t>
      </w:r>
    </w:p>
    <w:p w14:paraId="7BF33FC8">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分</w:t>
      </w:r>
    </w:p>
    <w:p w14:paraId="5681020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8F9962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9E6348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D9E98E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782866C">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CCA6546">
      <w:pPr>
        <w:keepNext/>
        <w:keepLines/>
        <w:pageBreakBefore w:val="0"/>
        <w:widowControl/>
        <w:shd w:val="clear" w:color="auto" w:fill="FFFFFF"/>
        <w:wordWrap/>
        <w:overflowPunct/>
        <w:topLinePunct w:val="0"/>
        <w:bidi w:val="0"/>
        <w:rPr>
          <w:rFonts w:hint="eastAsia" w:ascii="宋体" w:hAnsi="宋体" w:eastAsia="宋体" w:cs="宋体"/>
          <w:color w:val="auto"/>
          <w:highlight w:val="none"/>
        </w:rPr>
      </w:pPr>
    </w:p>
    <w:p w14:paraId="199DF421">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投</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标</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函</w:t>
      </w:r>
    </w:p>
    <w:p w14:paraId="75DEF1E9">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（采购人）：</w:t>
      </w:r>
    </w:p>
    <w:p w14:paraId="5FCD00B9">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(投标人全称)授权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(职务)为我方代表，参加贵方组织的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)招标的有关活动，并对此项目进行投标。为此：</w:t>
      </w:r>
    </w:p>
    <w:p w14:paraId="397A9E08">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1、我方同意在本项目招标文件中规定的开标日起的有效期内遵守本投标文件中的承诺且在此期限期满之前均具有约束力。</w:t>
      </w:r>
    </w:p>
    <w:p w14:paraId="0E7E3BFA">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2、我方承诺已经具备《中华人民共和国政府采购法》中规定的参加政府采购活动的投标人应当具备的全部条件和本招标文件规定的条件。</w:t>
      </w:r>
    </w:p>
    <w:p w14:paraId="21136C1F">
      <w:pPr>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3、提供投标须知规定的全部投标文件，包括投标文件、开标报价一览表。</w:t>
      </w:r>
    </w:p>
    <w:p w14:paraId="5627860C">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4、按招标文件要求提供和交付的货物或服务的投标报价详见开标报价一览表。</w:t>
      </w:r>
    </w:p>
    <w:p w14:paraId="6FF1A6F8">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5、我方承诺：完全理解投标报价超过开标后公布的预算金额时，导致投标无效。</w:t>
      </w:r>
    </w:p>
    <w:p w14:paraId="0F522206">
      <w:pPr>
        <w:pStyle w:val="29"/>
        <w:keepNext/>
        <w:keepLines/>
        <w:pageBreakBefore w:val="0"/>
        <w:widowControl/>
        <w:shd w:val="clear" w:color="auto" w:fill="FFFFFF"/>
        <w:tabs>
          <w:tab w:val="left" w:pos="1680"/>
        </w:tabs>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6、保证忠实地执行双方所签订的合同，并承担合同规定的责任和义务。</w:t>
      </w:r>
    </w:p>
    <w:p w14:paraId="6D14EDA1">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7、承诺完全满足和响应招标文件中的各项商务和技术要求，若有偏差，已在投标文件偏离表中予以明确特别说明。</w:t>
      </w:r>
    </w:p>
    <w:p w14:paraId="0FE42F42">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8、保证遵守招标文件的所有规定。</w:t>
      </w:r>
    </w:p>
    <w:p w14:paraId="109D5C49">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9、保证在投标截止时间前，对所递交的投标文件进行补充、修改或者撤回时，我方会以书面形式通知代理机构，否则可视为无效。</w:t>
      </w:r>
    </w:p>
    <w:p w14:paraId="639B6AA1">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757F6A1A">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11、如果在开标后规定的投标有效期内撤回投标，我方的投标保证金可被贵方没收。</w:t>
      </w:r>
    </w:p>
    <w:p w14:paraId="588926D7">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12、我方完全理解贵方不一定接受最低价的投标或收到的任何投标。</w:t>
      </w:r>
    </w:p>
    <w:p w14:paraId="1B091DA4">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13、我方愿意向贵方提供任何与本项投标有关的数据、情况和技术资料。若贵方需要，我方愿意提供我方做出的一切承诺的证明材料。   </w:t>
      </w:r>
    </w:p>
    <w:p w14:paraId="355503A4">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14、我方已详细审核全部投标文件，包括投标文件修改书（如有的话）、参考资料及有关附件，确认无误。</w:t>
      </w:r>
    </w:p>
    <w:p w14:paraId="5CB6D987">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15、我方承诺：采购人若需追加本项目招标文件所列货物及相关服务的，在不改变合同其他实质性条款的前提下，按相同或更优惠的折扣率保证供货。</w:t>
      </w:r>
    </w:p>
    <w:p w14:paraId="1904E319">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16、我方承诺接受招标文件中《合同原则》的全部条款且无任何异议。</w:t>
      </w:r>
    </w:p>
    <w:p w14:paraId="0E48AF38">
      <w:pPr>
        <w:pStyle w:val="29"/>
        <w:keepNext/>
        <w:keepLines/>
        <w:pageBreakBefore w:val="0"/>
        <w:widowControl/>
        <w:shd w:val="clear" w:color="auto" w:fill="FFFFFF"/>
        <w:wordWrap/>
        <w:overflowPunct/>
        <w:topLinePunct w:val="0"/>
        <w:bidi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我方将严格遵守《中华人民共和国政府采购法》的有关规定，若有下列情形之一的，将被处以招标金额5‰以上10‰以下的罚款，列入不良行为记录名单，在一至三年内禁止参加政府采购活动；有违法所得的，并处没收违法所得；情节严重的，由工商行政管理机关吊销营业执照；构成犯罪的，依法追究刑事责任：</w:t>
      </w:r>
    </w:p>
    <w:p w14:paraId="3CD93B5D">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（1）提供虚假材料谋取中标、成交的；</w:t>
      </w:r>
    </w:p>
    <w:p w14:paraId="55354046">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（2）采取不正当手段诋毁、排挤其他投标人的；</w:t>
      </w:r>
    </w:p>
    <w:p w14:paraId="08632B77">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（3）与采购人、其它投标人或者代理机构工作人员恶意串通的；</w:t>
      </w:r>
    </w:p>
    <w:p w14:paraId="20EBF416">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（4）向采购人、代理机构工作人员行贿或者提供其他不正当利益的；</w:t>
      </w:r>
    </w:p>
    <w:p w14:paraId="603C027B">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（5）未经代理机构同意，在采购过程中与采购人进行协商谈判的；</w:t>
      </w:r>
    </w:p>
    <w:p w14:paraId="7931B39E">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（6）拒绝有关部门监督检查或提供虚假情况的。</w:t>
      </w:r>
    </w:p>
    <w:p w14:paraId="052D1711">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所有有关本投标的一切往来联系方式为：</w:t>
      </w:r>
    </w:p>
    <w:p w14:paraId="2266ECFE">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rPr>
        <w:tab/>
      </w:r>
    </w:p>
    <w:p w14:paraId="6D315C22">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传真：</w:t>
      </w:r>
    </w:p>
    <w:p w14:paraId="325EBD15">
      <w:pPr>
        <w:keepNext/>
        <w:keepLines/>
        <w:pageBreakBefore w:val="0"/>
        <w:widowControl/>
        <w:shd w:val="clear" w:color="auto" w:fill="FFFFFF"/>
        <w:tabs>
          <w:tab w:val="left" w:pos="480"/>
        </w:tabs>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p>
    <w:p w14:paraId="5DE6E1ED">
      <w:pPr>
        <w:keepNext/>
        <w:keepLines/>
        <w:pageBreakBefore w:val="0"/>
        <w:widowControl/>
        <w:shd w:val="clear" w:color="auto" w:fill="FFFFFF"/>
        <w:tabs>
          <w:tab w:val="left" w:pos="480"/>
        </w:tabs>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投标人代表姓名：</w:t>
      </w:r>
    </w:p>
    <w:p w14:paraId="73510802">
      <w:pPr>
        <w:keepNext/>
        <w:keepLines/>
        <w:pageBreakBefore w:val="0"/>
        <w:widowControl/>
        <w:shd w:val="clear" w:color="auto" w:fill="FFFFFF"/>
        <w:tabs>
          <w:tab w:val="left" w:pos="480"/>
        </w:tabs>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投标人代表联系电话：      （办公）           （手机）</w:t>
      </w:r>
    </w:p>
    <w:p w14:paraId="5E0A5E67">
      <w:pPr>
        <w:keepNext/>
        <w:keepLines/>
        <w:pageBreakBefore w:val="0"/>
        <w:widowControl/>
        <w:shd w:val="clear" w:color="auto" w:fill="FFFFFF"/>
        <w:tabs>
          <w:tab w:val="left" w:pos="480"/>
        </w:tabs>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p w14:paraId="6B7C301C">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3864F700">
      <w:pPr>
        <w:keepNext/>
        <w:keepLines/>
        <w:pageBreakBefore w:val="0"/>
        <w:widowControl/>
        <w:shd w:val="clear" w:color="auto" w:fill="FFFFFF"/>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法定代表人或投标人代表（签字或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1B9B72A3">
      <w:pPr>
        <w:keepNext/>
        <w:keepLines/>
        <w:pageBreakBefore w:val="0"/>
        <w:widowControl/>
        <w:shd w:val="clear" w:color="auto" w:fill="FFFFFF"/>
        <w:tabs>
          <w:tab w:val="left" w:pos="3825"/>
        </w:tabs>
        <w:wordWrap/>
        <w:overflowPunct/>
        <w:topLinePunct w:val="0"/>
        <w:bidi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01F2EAA">
      <w:pPr>
        <w:keepNext/>
        <w:keepLines/>
        <w:pageBreakBefore w:val="0"/>
        <w:widowControl/>
        <w:shd w:val="clear" w:color="auto" w:fill="FFFFFF"/>
        <w:wordWrap/>
        <w:overflowPunct/>
        <w:topLinePunct w:val="0"/>
        <w:bidi w:val="0"/>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说明：除可填报项目外，对本投标函的任何修改将被视为非实质性响应投标，从而导致该投标被拒绝。</w:t>
      </w:r>
    </w:p>
    <w:p w14:paraId="74B08044">
      <w:pPr>
        <w:keepNext/>
        <w:keepLines/>
        <w:pageBreakBefore w:val="0"/>
        <w:widowControl/>
        <w:shd w:val="clear" w:color="auto" w:fill="FFFFFF"/>
        <w:wordWrap/>
        <w:overflowPunct/>
        <w:topLinePunct w:val="0"/>
        <w:bidi w:val="0"/>
        <w:spacing w:before="290" w:beforeLines="100" w:line="460" w:lineRule="exact"/>
        <w:jc w:val="left"/>
        <w:rPr>
          <w:rFonts w:hint="eastAsia" w:ascii="宋体" w:hAnsi="宋体" w:eastAsia="宋体" w:cs="宋体"/>
          <w:b/>
          <w:bCs/>
          <w:color w:val="auto"/>
          <w:sz w:val="24"/>
          <w:szCs w:val="24"/>
          <w:highlight w:val="none"/>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4933558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开标一览表</w:t>
      </w:r>
    </w:p>
    <w:p w14:paraId="09FDD42F">
      <w:pPr>
        <w:keepNext/>
        <w:keepLines/>
        <w:pageBreakBefore w:val="0"/>
        <w:widowControl/>
        <w:shd w:val="clear" w:color="auto" w:fill="FFFFFF"/>
        <w:wordWrap/>
        <w:overflowPunct/>
        <w:topLinePunct w:val="0"/>
        <w:bidi w:val="0"/>
        <w:spacing w:line="460" w:lineRule="exact"/>
        <w:ind w:left="140" w:leftChars="-400" w:hanging="980" w:hangingChars="35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color w:val="auto"/>
          <w:sz w:val="24"/>
          <w:szCs w:val="24"/>
          <w:highlight w:val="none"/>
          <w:lang w:eastAsia="zh-CN"/>
        </w:rPr>
        <w:t>项目</w:t>
      </w: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     </w:t>
      </w:r>
    </w:p>
    <w:p w14:paraId="793A9801">
      <w:pPr>
        <w:keepNext/>
        <w:keepLines/>
        <w:pageBreakBefore w:val="0"/>
        <w:widowControl/>
        <w:shd w:val="clear" w:color="auto" w:fill="FFFFFF"/>
        <w:wordWrap/>
        <w:overflowPunct/>
        <w:topLinePunct w:val="0"/>
        <w:bidi w:val="0"/>
        <w:spacing w:line="460" w:lineRule="exact"/>
        <w:ind w:left="0" w:leftChars="-400" w:hanging="840" w:hanging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项目编号：</w:t>
      </w:r>
      <w:r>
        <w:rPr>
          <w:rFonts w:hint="eastAsia" w:ascii="宋体" w:hAnsi="宋体" w:eastAsia="宋体" w:cs="宋体"/>
          <w:b w:val="0"/>
          <w:bCs/>
          <w:color w:val="auto"/>
          <w:sz w:val="24"/>
          <w:szCs w:val="24"/>
          <w:highlight w:val="none"/>
        </w:rPr>
        <w:t xml:space="preserve">   </w:t>
      </w:r>
    </w:p>
    <w:p w14:paraId="05CA9168">
      <w:pPr>
        <w:keepNext/>
        <w:keepLines/>
        <w:pageBreakBefore w:val="0"/>
        <w:widowControl/>
        <w:shd w:val="clear" w:color="auto" w:fill="FFFFFF"/>
        <w:wordWrap/>
        <w:overflowPunct/>
        <w:topLinePunct w:val="0"/>
        <w:bidi w:val="0"/>
        <w:spacing w:line="460" w:lineRule="exact"/>
        <w:ind w:left="0" w:leftChars="-400" w:hanging="840" w:hangingChars="35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lang w:val="en-US" w:eastAsia="zh-CN"/>
        </w:rPr>
        <w:t xml:space="preserve">      包    号：</w:t>
      </w:r>
      <w:r>
        <w:rPr>
          <w:rFonts w:hint="eastAsia" w:ascii="宋体" w:hAnsi="宋体" w:eastAsia="宋体" w:cs="宋体"/>
          <w:b w:val="0"/>
          <w:bCs/>
          <w:color w:val="auto"/>
          <w:sz w:val="24"/>
          <w:szCs w:val="24"/>
          <w:highlight w:val="none"/>
        </w:rPr>
        <w:t xml:space="preserve">                                                                              </w:t>
      </w:r>
    </w:p>
    <w:tbl>
      <w:tblPr>
        <w:tblStyle w:val="22"/>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02"/>
        <w:gridCol w:w="1964"/>
        <w:gridCol w:w="679"/>
        <w:gridCol w:w="1118"/>
        <w:gridCol w:w="1610"/>
        <w:gridCol w:w="1459"/>
        <w:gridCol w:w="2086"/>
        <w:gridCol w:w="3103"/>
      </w:tblGrid>
      <w:tr w14:paraId="6411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638" w:type="dxa"/>
            <w:noWrap w:val="0"/>
            <w:vAlign w:val="center"/>
          </w:tcPr>
          <w:p w14:paraId="36E2EBF2">
            <w:pPr>
              <w:keepNext/>
              <w:keepLines/>
              <w:pageBreakBefore w:val="0"/>
              <w:widowControl/>
              <w:shd w:val="clear" w:color="auto" w:fill="FFFFFF"/>
              <w:wordWrap/>
              <w:overflowPunct/>
              <w:topLinePunct w:val="0"/>
              <w:bidi w:val="0"/>
              <w:spacing w:line="240" w:lineRule="exac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802" w:type="dxa"/>
            <w:noWrap w:val="0"/>
            <w:vAlign w:val="center"/>
          </w:tcPr>
          <w:p w14:paraId="34071C44">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货物名称</w:t>
            </w:r>
          </w:p>
        </w:tc>
        <w:tc>
          <w:tcPr>
            <w:tcW w:w="1964" w:type="dxa"/>
            <w:noWrap w:val="0"/>
            <w:vAlign w:val="center"/>
          </w:tcPr>
          <w:p w14:paraId="61BADFE9">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规格参数</w:t>
            </w:r>
          </w:p>
        </w:tc>
        <w:tc>
          <w:tcPr>
            <w:tcW w:w="679" w:type="dxa"/>
            <w:noWrap w:val="0"/>
            <w:vAlign w:val="center"/>
          </w:tcPr>
          <w:p w14:paraId="042AAFE5">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单位</w:t>
            </w:r>
          </w:p>
        </w:tc>
        <w:tc>
          <w:tcPr>
            <w:tcW w:w="1118" w:type="dxa"/>
            <w:noWrap w:val="0"/>
            <w:vAlign w:val="center"/>
          </w:tcPr>
          <w:p w14:paraId="6D90F722">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数量</w:t>
            </w:r>
          </w:p>
        </w:tc>
        <w:tc>
          <w:tcPr>
            <w:tcW w:w="1610" w:type="dxa"/>
            <w:noWrap w:val="0"/>
            <w:vAlign w:val="center"/>
          </w:tcPr>
          <w:p w14:paraId="78E795FD">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单价(元)</w:t>
            </w:r>
          </w:p>
        </w:tc>
        <w:tc>
          <w:tcPr>
            <w:tcW w:w="1459" w:type="dxa"/>
            <w:noWrap w:val="0"/>
            <w:vAlign w:val="center"/>
          </w:tcPr>
          <w:p w14:paraId="04B18770">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总价(元)</w:t>
            </w:r>
          </w:p>
        </w:tc>
        <w:tc>
          <w:tcPr>
            <w:tcW w:w="2086" w:type="dxa"/>
            <w:noWrap w:val="0"/>
            <w:vAlign w:val="center"/>
          </w:tcPr>
          <w:p w14:paraId="54033FE1">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品牌</w:t>
            </w:r>
          </w:p>
        </w:tc>
        <w:tc>
          <w:tcPr>
            <w:tcW w:w="3103" w:type="dxa"/>
            <w:noWrap w:val="0"/>
            <w:vAlign w:val="center"/>
          </w:tcPr>
          <w:p w14:paraId="1DCC3DDF">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制造商及产地</w:t>
            </w:r>
          </w:p>
        </w:tc>
      </w:tr>
      <w:tr w14:paraId="7ADB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38" w:type="dxa"/>
            <w:noWrap w:val="0"/>
            <w:vAlign w:val="center"/>
          </w:tcPr>
          <w:p w14:paraId="558DB8F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802" w:type="dxa"/>
            <w:noWrap w:val="0"/>
            <w:vAlign w:val="center"/>
          </w:tcPr>
          <w:p w14:paraId="69F2266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964" w:type="dxa"/>
            <w:noWrap w:val="0"/>
            <w:vAlign w:val="center"/>
          </w:tcPr>
          <w:p w14:paraId="282E0C34">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70B3F91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176A36D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5DC89F16">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0615AD1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1DFEE1D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101F3390">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4F0D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38" w:type="dxa"/>
            <w:noWrap w:val="0"/>
            <w:vAlign w:val="center"/>
          </w:tcPr>
          <w:p w14:paraId="668EE9F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802" w:type="dxa"/>
            <w:noWrap w:val="0"/>
            <w:vAlign w:val="center"/>
          </w:tcPr>
          <w:p w14:paraId="6EC0E5B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964" w:type="dxa"/>
            <w:noWrap w:val="0"/>
            <w:vAlign w:val="center"/>
          </w:tcPr>
          <w:p w14:paraId="5BC61E19">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1BA6049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350315D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0F28AEE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3652BA94">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0D5E9323">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61D1F9DF">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7F9B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38" w:type="dxa"/>
            <w:noWrap w:val="0"/>
            <w:vAlign w:val="center"/>
          </w:tcPr>
          <w:p w14:paraId="7A3AC05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802" w:type="dxa"/>
            <w:noWrap w:val="0"/>
            <w:vAlign w:val="center"/>
          </w:tcPr>
          <w:p w14:paraId="1BA7092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964" w:type="dxa"/>
            <w:noWrap w:val="0"/>
            <w:vAlign w:val="center"/>
          </w:tcPr>
          <w:p w14:paraId="25CE2002">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6909B9A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5E651CF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450AB3F1">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505B4459">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738E9A5D">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482A1A6A">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1D3F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38" w:type="dxa"/>
            <w:noWrap w:val="0"/>
            <w:vAlign w:val="center"/>
          </w:tcPr>
          <w:p w14:paraId="4A532F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1802" w:type="dxa"/>
            <w:noWrap w:val="0"/>
            <w:vAlign w:val="center"/>
          </w:tcPr>
          <w:p w14:paraId="47B8B1A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1964" w:type="dxa"/>
            <w:noWrap w:val="0"/>
            <w:vAlign w:val="center"/>
          </w:tcPr>
          <w:p w14:paraId="2C5A8705">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7E77E2D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7E55062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27097C69">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56B49A90">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27B57FF1">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6B428663">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77B9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4404" w:type="dxa"/>
            <w:gridSpan w:val="3"/>
            <w:noWrap w:val="0"/>
            <w:vAlign w:val="center"/>
          </w:tcPr>
          <w:p w14:paraId="2305D97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     计</w:t>
            </w:r>
          </w:p>
        </w:tc>
        <w:tc>
          <w:tcPr>
            <w:tcW w:w="679" w:type="dxa"/>
            <w:noWrap w:val="0"/>
            <w:vAlign w:val="center"/>
          </w:tcPr>
          <w:p w14:paraId="12A70A8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598691A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636AB53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1459" w:type="dxa"/>
            <w:noWrap w:val="0"/>
            <w:vAlign w:val="center"/>
          </w:tcPr>
          <w:p w14:paraId="13C963E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5CBDCB4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66A359C3">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1A5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4459" w:type="dxa"/>
            <w:gridSpan w:val="9"/>
            <w:noWrap w:val="0"/>
            <w:vAlign w:val="center"/>
          </w:tcPr>
          <w:p w14:paraId="1DCB3681">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（大写）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（小写）</w:t>
            </w:r>
          </w:p>
        </w:tc>
      </w:tr>
      <w:tr w14:paraId="2C3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459" w:type="dxa"/>
            <w:gridSpan w:val="9"/>
            <w:noWrap w:val="0"/>
            <w:vAlign w:val="center"/>
          </w:tcPr>
          <w:p w14:paraId="22A95547">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8"/>
                <w:highlight w:val="none"/>
                <w:lang w:val="en-US" w:eastAsia="zh-CN"/>
              </w:rPr>
              <w:t>合同履行期限(供货期限)：</w:t>
            </w:r>
          </w:p>
        </w:tc>
      </w:tr>
      <w:tr w14:paraId="0012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459" w:type="dxa"/>
            <w:gridSpan w:val="9"/>
            <w:noWrap w:val="0"/>
            <w:vAlign w:val="center"/>
          </w:tcPr>
          <w:p w14:paraId="3DB38794">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lang w:eastAsia="zh-CN"/>
              </w:rPr>
            </w:pPr>
            <w:bookmarkStart w:id="119" w:name="OLE_LINK2"/>
            <w:r>
              <w:rPr>
                <w:rFonts w:hint="eastAsia" w:ascii="宋体" w:hAnsi="宋体" w:eastAsia="宋体" w:cs="宋体"/>
                <w:b w:val="0"/>
                <w:bCs/>
                <w:color w:val="auto"/>
                <w:sz w:val="24"/>
                <w:szCs w:val="24"/>
                <w:highlight w:val="none"/>
              </w:rPr>
              <w:t>质保期</w:t>
            </w:r>
            <w:bookmarkEnd w:id="119"/>
            <w:r>
              <w:rPr>
                <w:rFonts w:hint="eastAsia" w:ascii="宋体" w:hAnsi="宋体" w:eastAsia="宋体" w:cs="宋体"/>
                <w:b w:val="0"/>
                <w:bCs/>
                <w:color w:val="auto"/>
                <w:sz w:val="24"/>
                <w:szCs w:val="24"/>
                <w:highlight w:val="none"/>
                <w:lang w:eastAsia="zh-CN"/>
              </w:rPr>
              <w:t>：</w:t>
            </w:r>
          </w:p>
        </w:tc>
      </w:tr>
    </w:tbl>
    <w:p w14:paraId="139430F6">
      <w:pPr>
        <w:pStyle w:val="11"/>
        <w:keepNext/>
        <w:keepLines/>
        <w:pageBreakBefore w:val="0"/>
        <w:widowControl/>
        <w:shd w:val="clear" w:color="auto" w:fill="FFFFFF"/>
        <w:wordWrap/>
        <w:overflowPunct/>
        <w:topLinePunct w:val="0"/>
        <w:bidi w:val="0"/>
        <w:adjustRightInd/>
        <w:spacing w:line="460" w:lineRule="exact"/>
        <w:ind w:left="30" w:leftChars="-100" w:hanging="240" w:hanging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rPr>
        <w:t>注：</w:t>
      </w:r>
      <w:r>
        <w:rPr>
          <w:rFonts w:hint="eastAsia" w:ascii="宋体" w:hAnsi="宋体" w:eastAsia="宋体" w:cs="宋体"/>
          <w:color w:val="auto"/>
          <w:sz w:val="24"/>
          <w:szCs w:val="32"/>
          <w:highlight w:val="none"/>
          <w:lang w:val="en-US" w:eastAsia="zh-CN"/>
        </w:rPr>
        <w:t>本项目采购预算包含货物的供应、运输、安装、调试、培训和售后服务、税金等完成本项目所需的所有费用</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货物单价及总价均不得高于最高限价。</w:t>
      </w:r>
      <w:r>
        <w:rPr>
          <w:rFonts w:hint="eastAsia" w:ascii="宋体" w:hAnsi="宋体" w:eastAsia="宋体" w:cs="宋体"/>
          <w:b w:val="0"/>
          <w:bCs/>
          <w:color w:val="auto"/>
          <w:sz w:val="24"/>
          <w:szCs w:val="24"/>
          <w:highlight w:val="none"/>
        </w:rPr>
        <w:t xml:space="preserve">   </w:t>
      </w:r>
    </w:p>
    <w:p w14:paraId="00E48286">
      <w:pPr>
        <w:pStyle w:val="11"/>
        <w:keepNext/>
        <w:keepLines/>
        <w:pageBreakBefore w:val="0"/>
        <w:widowControl/>
        <w:shd w:val="clear" w:color="auto" w:fill="FFFFFF"/>
        <w:wordWrap/>
        <w:overflowPunct/>
        <w:topLinePunct w:val="0"/>
        <w:bidi w:val="0"/>
        <w:adjustRightInd/>
        <w:spacing w:line="460" w:lineRule="exact"/>
        <w:ind w:left="30" w:leftChars="-100" w:hanging="240" w:hangingChars="100"/>
        <w:textAlignment w:val="auto"/>
        <w:rPr>
          <w:rFonts w:hint="eastAsia" w:ascii="宋体" w:hAnsi="宋体" w:eastAsia="宋体" w:cs="宋体"/>
          <w:b w:val="0"/>
          <w:bCs/>
          <w:color w:val="auto"/>
          <w:sz w:val="24"/>
          <w:szCs w:val="24"/>
          <w:highlight w:val="none"/>
          <w:lang w:eastAsia="zh-CN"/>
        </w:rPr>
        <w:sectPr>
          <w:pgSz w:w="16838" w:h="11905" w:orient="landscape"/>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3" w:charSpace="0"/>
        </w:sectPr>
      </w:pPr>
      <w:r>
        <w:rPr>
          <w:rFonts w:hint="eastAsia" w:ascii="宋体" w:hAnsi="宋体" w:eastAsia="宋体" w:cs="宋体"/>
          <w:b w:val="0"/>
          <w:bCs/>
          <w:color w:val="auto"/>
          <w:sz w:val="24"/>
          <w:szCs w:val="24"/>
          <w:highlight w:val="none"/>
        </w:rPr>
        <w:t>投标人全称：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eastAsia="宋体" w:cs="宋体"/>
          <w:b w:val="0"/>
          <w:bCs/>
          <w:color w:val="auto"/>
          <w:sz w:val="24"/>
          <w:szCs w:val="24"/>
          <w:highlight w:val="none"/>
          <w:lang w:eastAsia="zh-CN"/>
        </w:rPr>
        <w:t>签</w:t>
      </w:r>
      <w:r>
        <w:rPr>
          <w:rFonts w:hint="eastAsia" w:ascii="宋体" w:hAnsi="宋体" w:eastAsia="宋体" w:cs="宋体"/>
          <w:b w:val="0"/>
          <w:bCs/>
          <w:color w:val="auto"/>
          <w:sz w:val="24"/>
          <w:szCs w:val="24"/>
          <w:highlight w:val="none"/>
        </w:rPr>
        <w:t>章)        授权代表：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(签字或</w:t>
      </w:r>
      <w:r>
        <w:rPr>
          <w:rFonts w:hint="eastAsia" w:ascii="宋体" w:hAnsi="宋体" w:eastAsia="宋体" w:cs="宋体"/>
          <w:color w:val="auto"/>
          <w:sz w:val="24"/>
          <w:szCs w:val="24"/>
          <w:highlight w:val="none"/>
          <w:lang w:eastAsia="zh-CN"/>
        </w:rPr>
        <w:t>电子</w:t>
      </w:r>
      <w:r>
        <w:rPr>
          <w:rFonts w:hint="eastAsia" w:ascii="宋体" w:hAnsi="宋体" w:eastAsia="宋体" w:cs="宋体"/>
          <w:b w:val="0"/>
          <w:bCs/>
          <w:color w:val="auto"/>
          <w:sz w:val="24"/>
          <w:szCs w:val="24"/>
          <w:highlight w:val="none"/>
          <w:lang w:eastAsia="zh-CN"/>
        </w:rPr>
        <w:t>签章</w:t>
      </w:r>
      <w:r>
        <w:rPr>
          <w:rFonts w:hint="eastAsia" w:ascii="宋体" w:hAnsi="宋体" w:eastAsia="宋体" w:cs="宋体"/>
          <w:b w:val="0"/>
          <w:bCs/>
          <w:color w:val="auto"/>
          <w:sz w:val="24"/>
          <w:szCs w:val="24"/>
          <w:highlight w:val="none"/>
        </w:rPr>
        <w:t>)      日期：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none"/>
          <w:lang w:eastAsia="zh-CN"/>
        </w:rPr>
        <w:t>日</w:t>
      </w:r>
    </w:p>
    <w:p w14:paraId="2696A5A3">
      <w:pPr>
        <w:keepNext/>
        <w:keepLines/>
        <w:pageBreakBefore w:val="0"/>
        <w:widowControl/>
        <w:shd w:val="clear" w:color="auto" w:fill="FFFFFF"/>
        <w:wordWrap/>
        <w:overflowPunct/>
        <w:topLinePunct w:val="0"/>
        <w:bidi w:val="0"/>
        <w:spacing w:before="312" w:beforeLines="100"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商务条款</w:t>
      </w:r>
      <w:r>
        <w:rPr>
          <w:rFonts w:hint="eastAsia" w:ascii="宋体" w:hAnsi="宋体" w:eastAsia="宋体" w:cs="宋体"/>
          <w:b/>
          <w:bCs/>
          <w:color w:val="auto"/>
          <w:sz w:val="24"/>
          <w:szCs w:val="24"/>
          <w:highlight w:val="none"/>
          <w:lang w:eastAsia="zh-CN"/>
        </w:rPr>
        <w:t>偏离表</w:t>
      </w:r>
    </w:p>
    <w:p w14:paraId="7E12279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FFD5A12">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80A0AE9">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14571491">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6F720C82">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包    号：</w:t>
      </w:r>
      <w:r>
        <w:rPr>
          <w:rFonts w:hint="eastAsia" w:ascii="宋体" w:hAnsi="宋体" w:eastAsia="宋体" w:cs="宋体"/>
          <w:color w:val="auto"/>
          <w:sz w:val="24"/>
          <w:szCs w:val="24"/>
          <w:highlight w:val="none"/>
          <w:u w:val="single"/>
        </w:rPr>
        <w:t xml:space="preserve">                                       </w:t>
      </w:r>
    </w:p>
    <w:p w14:paraId="79359C3E">
      <w:pPr>
        <w:keepNext/>
        <w:keepLines/>
        <w:pageBreakBefore w:val="0"/>
        <w:widowControl/>
        <w:shd w:val="clear" w:color="auto" w:fill="FFFFFF"/>
        <w:wordWrap/>
        <w:overflowPunct/>
        <w:topLinePunct w:val="0"/>
        <w:bidi w:val="0"/>
        <w:spacing w:line="460" w:lineRule="exact"/>
        <w:ind w:firstLine="708" w:firstLineChars="295"/>
        <w:rPr>
          <w:rFonts w:hint="eastAsia" w:ascii="宋体" w:hAnsi="宋体" w:eastAsia="宋体" w:cs="宋体"/>
          <w:snapToGrid w:val="0"/>
          <w:color w:val="auto"/>
          <w:sz w:val="24"/>
          <w:szCs w:val="24"/>
          <w:highlight w:val="none"/>
        </w:rPr>
      </w:pPr>
    </w:p>
    <w:p w14:paraId="4FAA73B0">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949"/>
        <w:gridCol w:w="3100"/>
        <w:gridCol w:w="3101"/>
      </w:tblGrid>
      <w:tr w14:paraId="6F8A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06" w:type="pct"/>
            <w:noWrap w:val="0"/>
            <w:vAlign w:val="center"/>
          </w:tcPr>
          <w:p w14:paraId="02030987">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0" w:type="pct"/>
            <w:noWrap w:val="0"/>
            <w:vAlign w:val="center"/>
          </w:tcPr>
          <w:p w14:paraId="0055CC63">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招标文件商务要求</w:t>
            </w:r>
          </w:p>
        </w:tc>
        <w:tc>
          <w:tcPr>
            <w:tcW w:w="1556" w:type="pct"/>
            <w:noWrap w:val="0"/>
            <w:vAlign w:val="center"/>
          </w:tcPr>
          <w:p w14:paraId="402A648D">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投标文件的应答内容</w:t>
            </w:r>
          </w:p>
        </w:tc>
        <w:tc>
          <w:tcPr>
            <w:tcW w:w="1556" w:type="pct"/>
            <w:noWrap w:val="0"/>
            <w:vAlign w:val="center"/>
          </w:tcPr>
          <w:p w14:paraId="7D656728">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49C4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0E687D02">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bookmarkStart w:id="120" w:name="_Hlk22621856"/>
            <w:r>
              <w:rPr>
                <w:rFonts w:hint="eastAsia" w:ascii="宋体" w:hAnsi="宋体" w:eastAsia="宋体" w:cs="宋体"/>
                <w:color w:val="auto"/>
                <w:sz w:val="24"/>
                <w:szCs w:val="24"/>
                <w:highlight w:val="none"/>
              </w:rPr>
              <w:t>1</w:t>
            </w:r>
          </w:p>
        </w:tc>
        <w:tc>
          <w:tcPr>
            <w:tcW w:w="1480" w:type="pct"/>
            <w:noWrap w:val="0"/>
            <w:vAlign w:val="center"/>
          </w:tcPr>
          <w:p w14:paraId="244DF105">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1F358B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3B1C151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635D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6572D893">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0" w:type="pct"/>
            <w:noWrap w:val="0"/>
            <w:vAlign w:val="center"/>
          </w:tcPr>
          <w:p w14:paraId="13D9F5EA">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30DC07F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0B1696C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5FBD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3A147E8F">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0" w:type="pct"/>
            <w:noWrap w:val="0"/>
            <w:vAlign w:val="center"/>
          </w:tcPr>
          <w:p w14:paraId="6F22BEEA">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2CDE811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3E36D45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bookmarkEnd w:id="120"/>
      <w:tr w14:paraId="3AC5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23C84F59">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0" w:type="pct"/>
            <w:noWrap w:val="0"/>
            <w:vAlign w:val="center"/>
          </w:tcPr>
          <w:p w14:paraId="60CAB80C">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02049A1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7903A3D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7650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057EC9F1">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0" w:type="pct"/>
            <w:noWrap w:val="0"/>
            <w:vAlign w:val="center"/>
          </w:tcPr>
          <w:p w14:paraId="5B4E150F">
            <w:pPr>
              <w:pStyle w:val="29"/>
              <w:keepNext/>
              <w:keepLines/>
              <w:pageBreakBefore w:val="0"/>
              <w:widowControl/>
              <w:shd w:val="clear" w:color="auto" w:fill="FFFFFF"/>
              <w:wordWrap/>
              <w:overflowPunct/>
              <w:topLinePunct w:val="0"/>
              <w:bidi w:val="0"/>
              <w:snapToGrid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145E564C">
            <w:pPr>
              <w:keepNext/>
              <w:keepLines/>
              <w:pageBreakBefore w:val="0"/>
              <w:widowControl/>
              <w:shd w:val="clear" w:color="auto" w:fill="FFFFFF"/>
              <w:wordWrap/>
              <w:overflowPunct/>
              <w:topLinePunct w:val="0"/>
              <w:bidi w:val="0"/>
              <w:spacing w:line="460" w:lineRule="exact"/>
              <w:ind w:left="720" w:hanging="720" w:hangingChars="300"/>
              <w:rPr>
                <w:rFonts w:hint="eastAsia" w:ascii="宋体" w:hAnsi="宋体" w:eastAsia="宋体" w:cs="宋体"/>
                <w:color w:val="auto"/>
                <w:sz w:val="24"/>
                <w:szCs w:val="24"/>
                <w:highlight w:val="none"/>
              </w:rPr>
            </w:pPr>
          </w:p>
        </w:tc>
        <w:tc>
          <w:tcPr>
            <w:tcW w:w="1556" w:type="pct"/>
            <w:noWrap w:val="0"/>
            <w:vAlign w:val="center"/>
          </w:tcPr>
          <w:p w14:paraId="29E8E882">
            <w:pPr>
              <w:keepNext/>
              <w:keepLines/>
              <w:pageBreakBefore w:val="0"/>
              <w:widowControl/>
              <w:shd w:val="clear" w:color="auto" w:fill="FFFFFF"/>
              <w:wordWrap/>
              <w:overflowPunct/>
              <w:topLinePunct w:val="0"/>
              <w:bidi w:val="0"/>
              <w:spacing w:line="460" w:lineRule="exact"/>
              <w:ind w:left="720" w:hanging="720" w:hangingChars="300"/>
              <w:rPr>
                <w:rFonts w:hint="eastAsia" w:ascii="宋体" w:hAnsi="宋体" w:eastAsia="宋体" w:cs="宋体"/>
                <w:color w:val="auto"/>
                <w:sz w:val="24"/>
                <w:szCs w:val="24"/>
                <w:highlight w:val="none"/>
              </w:rPr>
            </w:pPr>
          </w:p>
        </w:tc>
      </w:tr>
      <w:tr w14:paraId="017D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4FFFD0C7">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80" w:type="pct"/>
            <w:noWrap w:val="0"/>
            <w:vAlign w:val="center"/>
          </w:tcPr>
          <w:p w14:paraId="5E998165">
            <w:pPr>
              <w:pStyle w:val="29"/>
              <w:keepNext/>
              <w:keepLines/>
              <w:pageBreakBefore w:val="0"/>
              <w:widowControl/>
              <w:shd w:val="clear" w:color="auto" w:fill="FFFFFF"/>
              <w:wordWrap/>
              <w:overflowPunct/>
              <w:topLinePunct w:val="0"/>
              <w:bidi w:val="0"/>
              <w:snapToGrid w:val="0"/>
              <w:spacing w:line="460" w:lineRule="exact"/>
              <w:jc w:val="center"/>
              <w:rPr>
                <w:rFonts w:hint="eastAsia" w:ascii="宋体" w:hAnsi="宋体" w:eastAsia="宋体" w:cs="宋体"/>
                <w:color w:val="auto"/>
                <w:sz w:val="24"/>
                <w:szCs w:val="24"/>
                <w:highlight w:val="none"/>
                <w:lang w:val="en-US" w:eastAsia="zh-CN"/>
              </w:rPr>
            </w:pPr>
          </w:p>
        </w:tc>
        <w:tc>
          <w:tcPr>
            <w:tcW w:w="1556" w:type="pct"/>
            <w:noWrap w:val="0"/>
            <w:vAlign w:val="center"/>
          </w:tcPr>
          <w:p w14:paraId="6C46E7A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p>
        </w:tc>
        <w:tc>
          <w:tcPr>
            <w:tcW w:w="1556" w:type="pct"/>
            <w:noWrap w:val="0"/>
            <w:vAlign w:val="center"/>
          </w:tcPr>
          <w:p w14:paraId="0622F5C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p>
        </w:tc>
      </w:tr>
      <w:tr w14:paraId="506F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1BFC1308">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480" w:type="pct"/>
            <w:noWrap w:val="0"/>
            <w:vAlign w:val="center"/>
          </w:tcPr>
          <w:p w14:paraId="3A646E70">
            <w:pPr>
              <w:pStyle w:val="29"/>
              <w:keepNext/>
              <w:keepLines/>
              <w:pageBreakBefore w:val="0"/>
              <w:widowControl/>
              <w:shd w:val="clear" w:color="auto" w:fill="FFFFFF"/>
              <w:wordWrap/>
              <w:overflowPunct/>
              <w:topLinePunct w:val="0"/>
              <w:bidi w:val="0"/>
              <w:snapToGrid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556" w:type="pct"/>
            <w:noWrap w:val="0"/>
            <w:vAlign w:val="center"/>
          </w:tcPr>
          <w:p w14:paraId="5A57E9D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556" w:type="pct"/>
            <w:noWrap w:val="0"/>
            <w:vAlign w:val="center"/>
          </w:tcPr>
          <w:p w14:paraId="0E73A3B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p>
        </w:tc>
      </w:tr>
    </w:tbl>
    <w:p w14:paraId="19E13542">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u w:val="single"/>
        </w:rPr>
      </w:pPr>
    </w:p>
    <w:p w14:paraId="0CB0E5FE">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u w:val="single"/>
        </w:rPr>
      </w:pPr>
    </w:p>
    <w:p w14:paraId="67EF6559">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 xml:space="preserve">章)  </w:t>
      </w:r>
    </w:p>
    <w:p w14:paraId="3D909F80">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3CD04FB4">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495DDE37">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17022492">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3709D96">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b/>
          <w:bCs/>
          <w:color w:val="auto"/>
          <w:sz w:val="24"/>
          <w:szCs w:val="24"/>
          <w:highlight w:val="none"/>
        </w:rPr>
      </w:pPr>
    </w:p>
    <w:p w14:paraId="73C37E30">
      <w:pPr>
        <w:keepNext/>
        <w:keepLines/>
        <w:pageBreakBefore w:val="0"/>
        <w:widowControl/>
        <w:shd w:val="clear" w:color="auto" w:fill="FFFFFF"/>
        <w:wordWrap/>
        <w:overflowPunct/>
        <w:topLinePunct w:val="0"/>
        <w:bidi w:val="0"/>
        <w:spacing w:line="460" w:lineRule="exact"/>
        <w:jc w:val="both"/>
        <w:rPr>
          <w:rFonts w:hint="eastAsia" w:ascii="宋体" w:hAnsi="宋体" w:eastAsia="宋体" w:cs="宋体"/>
          <w:b/>
          <w:color w:val="auto"/>
          <w:sz w:val="24"/>
          <w:szCs w:val="24"/>
          <w:highlight w:val="none"/>
          <w:lang w:eastAsia="zh-CN"/>
        </w:rPr>
      </w:pPr>
    </w:p>
    <w:p w14:paraId="1F7154D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技术</w:t>
      </w:r>
      <w:r>
        <w:rPr>
          <w:rFonts w:hint="eastAsia" w:ascii="宋体" w:hAnsi="宋体" w:eastAsia="宋体" w:cs="宋体"/>
          <w:b/>
          <w:color w:val="auto"/>
          <w:sz w:val="24"/>
          <w:szCs w:val="24"/>
          <w:highlight w:val="none"/>
          <w:lang w:eastAsia="zh-CN"/>
        </w:rPr>
        <w:t>条款偏离表</w:t>
      </w:r>
    </w:p>
    <w:p w14:paraId="449E8F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p w14:paraId="1309B82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0BDCFB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7165C7D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3DDEC591">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包    号：</w:t>
      </w:r>
      <w:r>
        <w:rPr>
          <w:rFonts w:hint="eastAsia" w:ascii="宋体" w:hAnsi="宋体" w:eastAsia="宋体" w:cs="宋体"/>
          <w:color w:val="auto"/>
          <w:sz w:val="24"/>
          <w:szCs w:val="24"/>
          <w:highlight w:val="none"/>
          <w:u w:val="single"/>
        </w:rPr>
        <w:t xml:space="preserve">                                       </w:t>
      </w:r>
    </w:p>
    <w:p w14:paraId="0EF4CE36">
      <w:pPr>
        <w:keepNext/>
        <w:keepLines/>
        <w:pageBreakBefore w:val="0"/>
        <w:widowControl/>
        <w:shd w:val="clear" w:color="auto" w:fill="FFFFFF"/>
        <w:wordWrap/>
        <w:overflowPunct/>
        <w:topLinePunct w:val="0"/>
        <w:bidi w:val="0"/>
        <w:spacing w:line="460" w:lineRule="exact"/>
        <w:rPr>
          <w:rFonts w:hint="eastAsia" w:ascii="宋体" w:hAnsi="宋体" w:eastAsia="宋体" w:cs="宋体"/>
          <w:i/>
          <w:color w:val="auto"/>
          <w:sz w:val="24"/>
          <w:szCs w:val="24"/>
          <w:highlight w:val="none"/>
          <w:u w:val="single"/>
        </w:rPr>
      </w:pPr>
      <w:r>
        <w:rPr>
          <w:rFonts w:hint="eastAsia" w:ascii="宋体" w:hAnsi="宋体" w:eastAsia="宋体" w:cs="宋体"/>
          <w:b/>
          <w:color w:val="auto"/>
          <w:sz w:val="24"/>
          <w:szCs w:val="24"/>
          <w:highlight w:val="none"/>
        </w:rPr>
        <w:t xml:space="preserve">     </w:t>
      </w:r>
    </w:p>
    <w:tbl>
      <w:tblPr>
        <w:tblStyle w:val="22"/>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625"/>
        <w:gridCol w:w="2679"/>
        <w:gridCol w:w="1020"/>
        <w:gridCol w:w="828"/>
        <w:gridCol w:w="987"/>
        <w:gridCol w:w="1200"/>
      </w:tblGrid>
      <w:tr w14:paraId="50D2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restart"/>
            <w:noWrap w:val="0"/>
            <w:vAlign w:val="center"/>
          </w:tcPr>
          <w:p w14:paraId="33028E0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p>
          <w:p w14:paraId="0285289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2625" w:type="dxa"/>
            <w:vMerge w:val="restart"/>
            <w:noWrap w:val="0"/>
            <w:vAlign w:val="center"/>
          </w:tcPr>
          <w:p w14:paraId="74FCEC2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招标文件技术参数要求</w:t>
            </w:r>
          </w:p>
        </w:tc>
        <w:tc>
          <w:tcPr>
            <w:tcW w:w="2679" w:type="dxa"/>
            <w:vMerge w:val="restart"/>
            <w:noWrap w:val="0"/>
            <w:vAlign w:val="center"/>
          </w:tcPr>
          <w:p w14:paraId="7ECC3F9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投标文件技术参数应答</w:t>
            </w:r>
          </w:p>
        </w:tc>
        <w:tc>
          <w:tcPr>
            <w:tcW w:w="2835" w:type="dxa"/>
            <w:gridSpan w:val="3"/>
            <w:noWrap w:val="0"/>
            <w:vAlign w:val="center"/>
          </w:tcPr>
          <w:p w14:paraId="09188BE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1200" w:type="dxa"/>
            <w:vMerge w:val="restart"/>
            <w:noWrap w:val="0"/>
            <w:vAlign w:val="top"/>
          </w:tcPr>
          <w:p w14:paraId="17968DC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偏离原因</w:t>
            </w:r>
          </w:p>
        </w:tc>
      </w:tr>
      <w:tr w14:paraId="525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continue"/>
            <w:noWrap w:val="0"/>
            <w:vAlign w:val="center"/>
          </w:tcPr>
          <w:p w14:paraId="1CE087E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vMerge w:val="continue"/>
            <w:noWrap w:val="0"/>
            <w:vAlign w:val="center"/>
          </w:tcPr>
          <w:p w14:paraId="64B3679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vMerge w:val="continue"/>
            <w:noWrap w:val="0"/>
            <w:vAlign w:val="center"/>
          </w:tcPr>
          <w:p w14:paraId="5F49B75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403DFFD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w:t>
            </w:r>
          </w:p>
        </w:tc>
        <w:tc>
          <w:tcPr>
            <w:tcW w:w="828" w:type="dxa"/>
            <w:noWrap w:val="0"/>
            <w:vAlign w:val="center"/>
          </w:tcPr>
          <w:p w14:paraId="474747E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p>
        </w:tc>
        <w:tc>
          <w:tcPr>
            <w:tcW w:w="987" w:type="dxa"/>
            <w:noWrap w:val="0"/>
            <w:vAlign w:val="center"/>
          </w:tcPr>
          <w:p w14:paraId="0FDAF07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负偏离</w:t>
            </w:r>
          </w:p>
        </w:tc>
        <w:tc>
          <w:tcPr>
            <w:tcW w:w="1200" w:type="dxa"/>
            <w:vMerge w:val="continue"/>
            <w:noWrap w:val="0"/>
            <w:vAlign w:val="top"/>
          </w:tcPr>
          <w:p w14:paraId="645F38A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7DA4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70" w:type="dxa"/>
            <w:noWrap w:val="0"/>
            <w:vAlign w:val="center"/>
          </w:tcPr>
          <w:p w14:paraId="0F46978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26ABB65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7D2A5B9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9B82EC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3EAB1B7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1C9EDEB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4BEA641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5ACD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70" w:type="dxa"/>
            <w:noWrap w:val="0"/>
            <w:vAlign w:val="center"/>
          </w:tcPr>
          <w:p w14:paraId="22D97BF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7DD1AAB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3B34202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3A67E88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6AF85B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54A50ED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767F67E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08C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212DE19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353A9F4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54988E4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72F212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1DDFE4C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56432E4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46AB913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3B8F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52BC942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0F5C774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7B6B7F1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BCEEE7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09ABEBE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57CBF3B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550B318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50F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6B4E61A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54B8603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15D63AE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16F71E3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3AC1269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3C43CE1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3AC3EC5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6107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54DD368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69825EC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46318C4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D2C1E7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4611055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16F73A8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6A37135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bl>
    <w:p w14:paraId="2CD0DBD4">
      <w:pPr>
        <w:pStyle w:val="11"/>
        <w:keepNext/>
        <w:keepLines/>
        <w:pageBreakBefore w:val="0"/>
        <w:widowControl/>
        <w:shd w:val="clear" w:color="auto" w:fill="FFFFFF"/>
        <w:wordWrap/>
        <w:overflowPunct/>
        <w:topLinePunct w:val="0"/>
        <w:bidi w:val="0"/>
        <w:adjustRightInd/>
        <w:spacing w:line="4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eastAsia="宋体" w:cs="宋体"/>
          <w:color w:val="auto"/>
          <w:sz w:val="24"/>
          <w:szCs w:val="24"/>
          <w:highlight w:val="none"/>
        </w:rPr>
        <w:t>招标文件技术参数要求” 按照本文件第四部分的“采购需求”中的内容逐条排版，在</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投标文件技术参数应答”中逐条响应，并</w:t>
      </w:r>
      <w:r>
        <w:rPr>
          <w:rFonts w:hint="eastAsia" w:ascii="宋体" w:hAnsi="宋体" w:eastAsia="宋体" w:cs="宋体"/>
          <w:color w:val="auto"/>
          <w:kern w:val="2"/>
          <w:sz w:val="24"/>
          <w:szCs w:val="24"/>
          <w:highlight w:val="none"/>
        </w:rPr>
        <w:t>在“偏离情况”一栏中相应位置逐一标注。</w:t>
      </w:r>
    </w:p>
    <w:p w14:paraId="46BF1A72">
      <w:pPr>
        <w:keepNext/>
        <w:keepLines/>
        <w:pageBreakBefore w:val="0"/>
        <w:widowControl/>
        <w:shd w:val="clear" w:color="auto" w:fill="FFFFFF"/>
        <w:wordWrap/>
        <w:overflowPunct/>
        <w:topLinePunct w:val="0"/>
        <w:bidi w:val="0"/>
        <w:rPr>
          <w:rFonts w:hint="eastAsia" w:ascii="宋体" w:hAnsi="宋体" w:eastAsia="宋体" w:cs="宋体"/>
          <w:color w:val="auto"/>
          <w:highlight w:val="none"/>
        </w:rPr>
      </w:pPr>
    </w:p>
    <w:p w14:paraId="05F62CBB">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DEB71FE">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034A2029">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548EFF8">
      <w:pPr>
        <w:keepNext/>
        <w:keepLines/>
        <w:pageBreakBefore w:val="0"/>
        <w:widowControl/>
        <w:shd w:val="clear" w:color="auto" w:fill="FFFFFF"/>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电子公</w:t>
      </w:r>
      <w:r>
        <w:rPr>
          <w:rFonts w:hint="eastAsia" w:ascii="宋体" w:hAnsi="宋体" w:eastAsia="宋体" w:cs="宋体"/>
          <w:color w:val="auto"/>
          <w:sz w:val="24"/>
          <w:szCs w:val="24"/>
          <w:highlight w:val="none"/>
        </w:rPr>
        <w:t>章)</w:t>
      </w:r>
    </w:p>
    <w:p w14:paraId="37B4627A">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F5E5799">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151DCB30">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285D60DD">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D3C5D1">
      <w:pPr>
        <w:keepNext/>
        <w:keepLines/>
        <w:pageBreakBefore w:val="0"/>
        <w:widowControl/>
        <w:shd w:val="clear" w:color="auto" w:fill="FFFFFF"/>
        <w:wordWrap/>
        <w:overflowPunct/>
        <w:topLinePunct w:val="0"/>
        <w:bidi w:val="0"/>
        <w:spacing w:line="460" w:lineRule="exact"/>
        <w:rPr>
          <w:rFonts w:hint="eastAsia" w:ascii="宋体" w:hAnsi="宋体" w:eastAsia="宋体" w:cs="宋体"/>
          <w:b/>
          <w:color w:val="auto"/>
          <w:sz w:val="24"/>
          <w:szCs w:val="24"/>
          <w:highlight w:val="none"/>
        </w:rPr>
      </w:pPr>
    </w:p>
    <w:p w14:paraId="2E4F3C63">
      <w:pPr>
        <w:keepNext/>
        <w:keepLines/>
        <w:pageBreakBefore w:val="0"/>
        <w:widowControl/>
        <w:shd w:val="clear" w:color="auto" w:fill="FFFFFF"/>
        <w:wordWrap/>
        <w:overflowPunct/>
        <w:topLinePunct w:val="0"/>
        <w:bidi w:val="0"/>
        <w:spacing w:line="460" w:lineRule="exact"/>
        <w:ind w:firstLine="96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8"/>
          <w:szCs w:val="28"/>
          <w:highlight w:val="none"/>
        </w:rPr>
        <w:t xml:space="preserve">       </w:t>
      </w:r>
    </w:p>
    <w:p w14:paraId="6194201C">
      <w:pPr>
        <w:keepNext/>
        <w:keepLines/>
        <w:pageBreakBefore w:val="0"/>
        <w:widowControl/>
        <w:shd w:val="clear" w:color="auto" w:fill="FFFFFF"/>
        <w:wordWrap/>
        <w:overflowPunct/>
        <w:topLinePunct w:val="0"/>
        <w:bidi w:val="0"/>
        <w:spacing w:line="48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lang w:val="en-US" w:eastAsia="zh-CN"/>
        </w:rPr>
        <w:t>项目方案（自拟）</w:t>
      </w:r>
    </w:p>
    <w:p w14:paraId="5760CDE0">
      <w:pPr>
        <w:keepNext/>
        <w:keepLines/>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p>
    <w:p w14:paraId="551B3E6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7AE8EE4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6C27E86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21ED0B3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2FEFC202">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iCs/>
          <w:color w:val="auto"/>
          <w:sz w:val="24"/>
          <w:szCs w:val="24"/>
          <w:highlight w:val="none"/>
        </w:rPr>
      </w:pPr>
    </w:p>
    <w:p w14:paraId="18F21F8B">
      <w:pPr>
        <w:keepNext/>
        <w:keepLines/>
        <w:pageBreakBefore w:val="0"/>
        <w:widowControl/>
        <w:shd w:val="clear" w:color="auto" w:fill="FFFFFF"/>
        <w:wordWrap/>
        <w:overflowPunct/>
        <w:topLinePunct w:val="0"/>
        <w:bidi w:val="0"/>
        <w:spacing w:line="320" w:lineRule="exact"/>
        <w:rPr>
          <w:rFonts w:hint="eastAsia" w:ascii="宋体" w:hAnsi="宋体" w:eastAsia="宋体" w:cs="宋体"/>
          <w:b/>
          <w:bCs/>
          <w:color w:val="auto"/>
          <w:szCs w:val="24"/>
          <w:highlight w:val="none"/>
        </w:rPr>
      </w:pPr>
    </w:p>
    <w:p w14:paraId="310867E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p>
    <w:p w14:paraId="7C5DB571">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b/>
          <w:color w:val="auto"/>
          <w:sz w:val="24"/>
          <w:szCs w:val="24"/>
          <w:highlight w:val="none"/>
        </w:rPr>
      </w:pPr>
    </w:p>
    <w:p w14:paraId="6417428B">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b/>
          <w:bCs/>
          <w:color w:val="auto"/>
          <w:sz w:val="24"/>
          <w:szCs w:val="24"/>
          <w:highlight w:val="none"/>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A38BB08">
      <w:pPr>
        <w:keepNext/>
        <w:keepLines/>
        <w:pageBreakBefore w:val="0"/>
        <w:widowControl/>
        <w:wordWrap/>
        <w:overflowPunct/>
        <w:topLinePunct w:val="0"/>
        <w:bidi w:val="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六</w:t>
      </w:r>
      <w:bookmarkStart w:id="121" w:name="_Toc494736984"/>
      <w:bookmarkStart w:id="122" w:name="_Toc483296220"/>
      <w:bookmarkStart w:id="123" w:name="_Toc64566216"/>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lang w:eastAsia="zh-CN"/>
        </w:rPr>
        <w:t>投标产品需提供相关的技术资料</w:t>
      </w:r>
    </w:p>
    <w:p w14:paraId="6A95C922">
      <w:pPr>
        <w:keepNext/>
        <w:keepLines/>
        <w:pageBreakBefore w:val="0"/>
        <w:widowControl/>
        <w:wordWrap/>
        <w:overflowPunct/>
        <w:topLinePunct w:val="0"/>
        <w:bidi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2.提供保障本项目采购产品的质量和售后服务的承诺函。</w:t>
      </w:r>
    </w:p>
    <w:p w14:paraId="2AFA3AFA">
      <w:pPr>
        <w:keepNext/>
        <w:keepLines/>
        <w:pageBreakBefore w:val="0"/>
        <w:widowControl/>
        <w:wordWrap/>
        <w:overflowPunct/>
        <w:topLinePunct w:val="0"/>
        <w:bidi w:val="0"/>
        <w:rPr>
          <w:rFonts w:hint="eastAsia" w:ascii="宋体" w:hAnsi="宋体" w:eastAsia="宋体" w:cs="宋体"/>
          <w:b/>
          <w:bCs/>
          <w:color w:val="auto"/>
          <w:sz w:val="24"/>
          <w:szCs w:val="24"/>
          <w:highlight w:val="none"/>
          <w:lang w:val="en-US" w:eastAsia="zh-CN"/>
        </w:rPr>
      </w:pPr>
    </w:p>
    <w:p w14:paraId="5C9EC565">
      <w:pPr>
        <w:keepNext/>
        <w:keepLines/>
        <w:pageBreakBefore w:val="0"/>
        <w:widowControl/>
        <w:wordWrap/>
        <w:overflowPunct/>
        <w:topLinePunct w:val="0"/>
        <w:bidi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A313C04">
      <w:pPr>
        <w:keepNext/>
        <w:keepLines/>
        <w:pageBreakBefore w:val="0"/>
        <w:widowControl/>
        <w:wordWrap/>
        <w:overflowPunct/>
        <w:topLinePunct w:val="0"/>
        <w:bidi w:val="0"/>
        <w:rPr>
          <w:rFonts w:hint="eastAsia" w:ascii="宋体" w:hAnsi="宋体" w:eastAsia="宋体" w:cs="宋体"/>
          <w:b/>
          <w:bCs/>
          <w:color w:val="auto"/>
          <w:sz w:val="24"/>
          <w:szCs w:val="24"/>
          <w:highlight w:val="none"/>
          <w:lang w:val="en-US" w:eastAsia="zh-CN"/>
        </w:rPr>
      </w:pPr>
    </w:p>
    <w:p w14:paraId="6640705C">
      <w:pPr>
        <w:pStyle w:val="27"/>
        <w:keepNext/>
        <w:keepLines/>
        <w:pageBreakBefore w:val="0"/>
        <w:widowControl/>
        <w:wordWrap/>
        <w:overflowPunct/>
        <w:topLinePunct w:val="0"/>
        <w:bidi w:val="0"/>
        <w:ind w:left="0" w:leftChars="0" w:firstLine="0" w:firstLineChars="0"/>
        <w:jc w:val="center"/>
        <w:rPr>
          <w:rFonts w:hint="eastAsia" w:ascii="宋体" w:hAnsi="宋体" w:eastAsia="宋体" w:cs="宋体"/>
          <w:color w:val="auto"/>
          <w:sz w:val="24"/>
          <w:szCs w:val="24"/>
          <w:highlight w:val="none"/>
        </w:rPr>
      </w:pPr>
      <w:bookmarkStart w:id="124" w:name="_Toc29791"/>
      <w:r>
        <w:rPr>
          <w:rFonts w:hint="eastAsia" w:ascii="宋体" w:hAnsi="宋体" w:eastAsia="宋体" w:cs="宋体"/>
          <w:b/>
          <w:bCs/>
          <w:color w:val="auto"/>
          <w:sz w:val="24"/>
          <w:szCs w:val="24"/>
          <w:highlight w:val="none"/>
          <w:lang w:val="en-US" w:eastAsia="zh-CN"/>
        </w:rPr>
        <w:t>七、近三年类似项目</w:t>
      </w:r>
      <w:bookmarkEnd w:id="121"/>
      <w:bookmarkEnd w:id="122"/>
      <w:r>
        <w:rPr>
          <w:rFonts w:hint="eastAsia" w:ascii="宋体" w:hAnsi="宋体" w:eastAsia="宋体" w:cs="宋体"/>
          <w:b/>
          <w:bCs/>
          <w:color w:val="auto"/>
          <w:sz w:val="24"/>
          <w:szCs w:val="24"/>
          <w:highlight w:val="none"/>
          <w:lang w:val="en-US" w:eastAsia="zh-CN"/>
        </w:rPr>
        <w:t>合同书汇总表</w:t>
      </w:r>
      <w:bookmarkEnd w:id="123"/>
      <w:bookmarkEnd w:id="124"/>
    </w:p>
    <w:p w14:paraId="0FD143A7">
      <w:pPr>
        <w:keepNext/>
        <w:keepLines/>
        <w:pageBreakBefore w:val="0"/>
        <w:widowControl/>
        <w:shd w:val="clear" w:color="auto" w:fill="FFFFFF"/>
        <w:wordWrap/>
        <w:overflowPunct/>
        <w:topLinePunct w:val="0"/>
        <w:bidi w:val="0"/>
        <w:rPr>
          <w:rFonts w:hint="eastAsia" w:ascii="宋体" w:hAnsi="宋体" w:eastAsia="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857"/>
        <w:gridCol w:w="1743"/>
        <w:gridCol w:w="1728"/>
        <w:gridCol w:w="1851"/>
        <w:gridCol w:w="1275"/>
      </w:tblGrid>
      <w:tr w14:paraId="2FDA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63" w:type="dxa"/>
            <w:noWrap w:val="0"/>
            <w:vAlign w:val="center"/>
          </w:tcPr>
          <w:p w14:paraId="1A1481B4">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7" w:type="dxa"/>
            <w:noWrap w:val="0"/>
            <w:vAlign w:val="center"/>
          </w:tcPr>
          <w:p w14:paraId="06370A81">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743" w:type="dxa"/>
            <w:noWrap w:val="0"/>
            <w:vAlign w:val="center"/>
          </w:tcPr>
          <w:p w14:paraId="67F3E5E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1728" w:type="dxa"/>
            <w:noWrap w:val="0"/>
            <w:vAlign w:val="center"/>
          </w:tcPr>
          <w:p w14:paraId="79EEB2DF">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1851" w:type="dxa"/>
            <w:noWrap w:val="0"/>
            <w:vAlign w:val="center"/>
          </w:tcPr>
          <w:p w14:paraId="3D3D57C6">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1275" w:type="dxa"/>
            <w:noWrap w:val="0"/>
            <w:vAlign w:val="center"/>
          </w:tcPr>
          <w:p w14:paraId="1C1C0E9B">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B58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63" w:type="dxa"/>
            <w:noWrap w:val="0"/>
            <w:vAlign w:val="center"/>
          </w:tcPr>
          <w:p w14:paraId="070482F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7" w:type="dxa"/>
            <w:noWrap w:val="0"/>
            <w:vAlign w:val="center"/>
          </w:tcPr>
          <w:p w14:paraId="5EE3A967">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p>
        </w:tc>
        <w:tc>
          <w:tcPr>
            <w:tcW w:w="1743" w:type="dxa"/>
            <w:noWrap w:val="0"/>
            <w:vAlign w:val="center"/>
          </w:tcPr>
          <w:p w14:paraId="2CDBF3FF">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1C24B4AB">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2F8E1E8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4BAA38AB">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5AA6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63" w:type="dxa"/>
            <w:noWrap w:val="0"/>
            <w:vAlign w:val="center"/>
          </w:tcPr>
          <w:p w14:paraId="37539657">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p>
        </w:tc>
        <w:tc>
          <w:tcPr>
            <w:tcW w:w="1857" w:type="dxa"/>
            <w:noWrap w:val="0"/>
            <w:vAlign w:val="center"/>
          </w:tcPr>
          <w:p w14:paraId="59C6F4E5">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43" w:type="dxa"/>
            <w:noWrap w:val="0"/>
            <w:vAlign w:val="center"/>
          </w:tcPr>
          <w:p w14:paraId="3256E2FE">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08471F8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3F1D6603">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5A903DCF">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732E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3" w:type="dxa"/>
            <w:noWrap w:val="0"/>
            <w:vAlign w:val="center"/>
          </w:tcPr>
          <w:p w14:paraId="5E27E4A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57" w:type="dxa"/>
            <w:noWrap w:val="0"/>
            <w:vAlign w:val="center"/>
          </w:tcPr>
          <w:p w14:paraId="20E9446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43" w:type="dxa"/>
            <w:noWrap w:val="0"/>
            <w:vAlign w:val="center"/>
          </w:tcPr>
          <w:p w14:paraId="59BA28BC">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68AC77A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51EBD9C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737B7DB7">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1E9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3" w:type="dxa"/>
            <w:noWrap w:val="0"/>
            <w:vAlign w:val="center"/>
          </w:tcPr>
          <w:p w14:paraId="14905F04">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p>
        </w:tc>
        <w:tc>
          <w:tcPr>
            <w:tcW w:w="1857" w:type="dxa"/>
            <w:noWrap w:val="0"/>
            <w:vAlign w:val="center"/>
          </w:tcPr>
          <w:p w14:paraId="3A8B076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43" w:type="dxa"/>
            <w:noWrap w:val="0"/>
            <w:vAlign w:val="center"/>
          </w:tcPr>
          <w:p w14:paraId="5CC1809E">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396A594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0E1C62E6">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286BF71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728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3" w:type="dxa"/>
            <w:noWrap w:val="0"/>
            <w:vAlign w:val="center"/>
          </w:tcPr>
          <w:p w14:paraId="6FDEF4FA">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1857" w:type="dxa"/>
            <w:noWrap w:val="0"/>
            <w:vAlign w:val="center"/>
          </w:tcPr>
          <w:p w14:paraId="03E22906">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743" w:type="dxa"/>
            <w:noWrap w:val="0"/>
            <w:vAlign w:val="center"/>
          </w:tcPr>
          <w:p w14:paraId="2C47923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728" w:type="dxa"/>
            <w:noWrap w:val="0"/>
            <w:vAlign w:val="center"/>
          </w:tcPr>
          <w:p w14:paraId="264DFC7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851" w:type="dxa"/>
            <w:noWrap w:val="0"/>
            <w:vAlign w:val="center"/>
          </w:tcPr>
          <w:p w14:paraId="75AB195A">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275" w:type="dxa"/>
            <w:noWrap w:val="0"/>
            <w:vAlign w:val="center"/>
          </w:tcPr>
          <w:p w14:paraId="6B8AFCF1">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bl>
    <w:p w14:paraId="07081093">
      <w:pPr>
        <w:keepNext/>
        <w:keepLines/>
        <w:pageBreakBefore w:val="0"/>
        <w:widowControl/>
        <w:shd w:val="clear" w:color="auto" w:fill="FFFFFF"/>
        <w:tabs>
          <w:tab w:val="left" w:pos="5760"/>
        </w:tabs>
        <w:wordWrap/>
        <w:overflowPunct/>
        <w:topLinePunct w:val="0"/>
        <w:bidi w:val="0"/>
        <w:snapToGrid w:val="0"/>
        <w:spacing w:line="300" w:lineRule="auto"/>
        <w:rPr>
          <w:rFonts w:hint="eastAsia" w:ascii="宋体" w:hAnsi="宋体" w:eastAsia="宋体" w:cs="宋体"/>
          <w:b/>
          <w:color w:val="auto"/>
          <w:sz w:val="24"/>
          <w:szCs w:val="24"/>
          <w:highlight w:val="none"/>
        </w:rPr>
      </w:pPr>
    </w:p>
    <w:p w14:paraId="6EC875CA">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23128F84">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09392FC2">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lang w:val="zh-CN"/>
        </w:rPr>
      </w:pPr>
    </w:p>
    <w:p w14:paraId="50AB72D5">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6A0AFF15">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2536FD7A">
      <w:pPr>
        <w:keepNext/>
        <w:keepLines/>
        <w:pageBreakBefore w:val="0"/>
        <w:widowControl/>
        <w:shd w:val="clear" w:color="auto" w:fill="FFFFFF"/>
        <w:wordWrap/>
        <w:overflowPunct/>
        <w:topLinePunct w:val="0"/>
        <w:bidi w:val="0"/>
        <w:spacing w:line="440" w:lineRule="exact"/>
        <w:ind w:firstLine="3388" w:firstLineChars="1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375448B3">
      <w:pPr>
        <w:keepNext/>
        <w:keepLines/>
        <w:pageBreakBefore w:val="0"/>
        <w:widowControl/>
        <w:shd w:val="clear" w:color="auto" w:fill="FFFFFF"/>
        <w:wordWrap/>
        <w:overflowPunct/>
        <w:topLinePunct w:val="0"/>
        <w:bidi w:val="0"/>
        <w:spacing w:line="440" w:lineRule="exact"/>
        <w:ind w:firstLine="3388" w:firstLineChars="1412"/>
        <w:rPr>
          <w:rFonts w:hint="eastAsia" w:ascii="宋体" w:hAnsi="宋体" w:eastAsia="宋体" w:cs="宋体"/>
          <w:color w:val="auto"/>
          <w:sz w:val="24"/>
          <w:szCs w:val="24"/>
          <w:highlight w:val="none"/>
        </w:rPr>
      </w:pPr>
    </w:p>
    <w:p w14:paraId="3CFD9737">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458EED74">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10172F48">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8A0944F">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5104FBFB">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1DBBF9CF">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4F1613FE">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51F7342C">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b/>
          <w:bCs/>
          <w:color w:val="auto"/>
          <w:sz w:val="24"/>
          <w:szCs w:val="24"/>
          <w:highlight w:val="none"/>
          <w:lang w:val="en-US" w:eastAsia="zh-CN"/>
        </w:rPr>
      </w:pPr>
      <w:bookmarkStart w:id="125" w:name="_Toc64566217"/>
      <w:bookmarkStart w:id="126" w:name="_Toc435601037"/>
    </w:p>
    <w:p w14:paraId="497AF880">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b/>
          <w:bCs/>
          <w:color w:val="auto"/>
          <w:sz w:val="24"/>
          <w:szCs w:val="24"/>
          <w:highlight w:val="none"/>
          <w:lang w:val="en-US" w:eastAsia="zh-CN"/>
        </w:rPr>
      </w:pPr>
    </w:p>
    <w:p w14:paraId="621FC09A">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投标人企业简况表</w:t>
      </w:r>
      <w:bookmarkEnd w:id="125"/>
    </w:p>
    <w:p w14:paraId="63CBCE1E">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16"/>
        <w:gridCol w:w="111"/>
        <w:gridCol w:w="1231"/>
        <w:gridCol w:w="854"/>
        <w:gridCol w:w="66"/>
        <w:gridCol w:w="327"/>
        <w:gridCol w:w="919"/>
        <w:gridCol w:w="308"/>
        <w:gridCol w:w="420"/>
        <w:gridCol w:w="807"/>
        <w:gridCol w:w="1425"/>
      </w:tblGrid>
      <w:tr w14:paraId="0457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5006428C">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名称</w:t>
            </w:r>
          </w:p>
        </w:tc>
        <w:tc>
          <w:tcPr>
            <w:tcW w:w="7584" w:type="dxa"/>
            <w:gridSpan w:val="11"/>
            <w:noWrap w:val="0"/>
            <w:vAlign w:val="center"/>
          </w:tcPr>
          <w:p w14:paraId="40E4CD4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33EF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05E84E8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78" w:type="dxa"/>
            <w:gridSpan w:val="5"/>
            <w:noWrap w:val="0"/>
            <w:vAlign w:val="center"/>
          </w:tcPr>
          <w:p w14:paraId="6B5DA55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6" w:type="dxa"/>
            <w:gridSpan w:val="2"/>
            <w:noWrap w:val="0"/>
            <w:vAlign w:val="center"/>
          </w:tcPr>
          <w:p w14:paraId="1D1DF8B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960" w:type="dxa"/>
            <w:gridSpan w:val="4"/>
            <w:noWrap w:val="0"/>
            <w:vAlign w:val="center"/>
          </w:tcPr>
          <w:p w14:paraId="4E53D5B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22C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vMerge w:val="restart"/>
            <w:noWrap w:val="0"/>
            <w:vAlign w:val="center"/>
          </w:tcPr>
          <w:p w14:paraId="05EE07D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16" w:type="dxa"/>
            <w:noWrap w:val="0"/>
            <w:vAlign w:val="center"/>
          </w:tcPr>
          <w:p w14:paraId="743FE7A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62" w:type="dxa"/>
            <w:gridSpan w:val="4"/>
            <w:noWrap w:val="0"/>
            <w:vAlign w:val="center"/>
          </w:tcPr>
          <w:p w14:paraId="343B0F9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6" w:type="dxa"/>
            <w:gridSpan w:val="2"/>
            <w:noWrap w:val="0"/>
            <w:vAlign w:val="center"/>
          </w:tcPr>
          <w:p w14:paraId="3845733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960" w:type="dxa"/>
            <w:gridSpan w:val="4"/>
            <w:noWrap w:val="0"/>
            <w:vAlign w:val="center"/>
          </w:tcPr>
          <w:p w14:paraId="5E00927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2B22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vMerge w:val="continue"/>
            <w:noWrap w:val="0"/>
            <w:vAlign w:val="center"/>
          </w:tcPr>
          <w:p w14:paraId="2B726EF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116" w:type="dxa"/>
            <w:noWrap w:val="0"/>
            <w:vAlign w:val="center"/>
          </w:tcPr>
          <w:p w14:paraId="66A5443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262" w:type="dxa"/>
            <w:gridSpan w:val="4"/>
            <w:noWrap w:val="0"/>
            <w:vAlign w:val="center"/>
          </w:tcPr>
          <w:p w14:paraId="5287CE1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6" w:type="dxa"/>
            <w:gridSpan w:val="2"/>
            <w:noWrap w:val="0"/>
            <w:vAlign w:val="center"/>
          </w:tcPr>
          <w:p w14:paraId="268D9CF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960" w:type="dxa"/>
            <w:gridSpan w:val="4"/>
            <w:noWrap w:val="0"/>
            <w:vAlign w:val="center"/>
          </w:tcPr>
          <w:p w14:paraId="168D8EF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3241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460CE054">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584" w:type="dxa"/>
            <w:gridSpan w:val="11"/>
            <w:noWrap w:val="0"/>
            <w:vAlign w:val="center"/>
          </w:tcPr>
          <w:p w14:paraId="28F5A4D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0C3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7B755F8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27" w:type="dxa"/>
            <w:gridSpan w:val="2"/>
            <w:noWrap w:val="0"/>
            <w:vAlign w:val="center"/>
          </w:tcPr>
          <w:p w14:paraId="30E831B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31" w:type="dxa"/>
            <w:noWrap w:val="0"/>
            <w:vAlign w:val="center"/>
          </w:tcPr>
          <w:p w14:paraId="1733CDA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7" w:type="dxa"/>
            <w:gridSpan w:val="3"/>
            <w:noWrap w:val="0"/>
            <w:vAlign w:val="center"/>
          </w:tcPr>
          <w:p w14:paraId="270079B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27" w:type="dxa"/>
            <w:gridSpan w:val="2"/>
            <w:noWrap w:val="0"/>
            <w:vAlign w:val="center"/>
          </w:tcPr>
          <w:p w14:paraId="0B715FB2">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27" w:type="dxa"/>
            <w:gridSpan w:val="2"/>
            <w:noWrap w:val="0"/>
            <w:vAlign w:val="center"/>
          </w:tcPr>
          <w:p w14:paraId="2EFF29D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25" w:type="dxa"/>
            <w:noWrap w:val="0"/>
            <w:vAlign w:val="center"/>
          </w:tcPr>
          <w:p w14:paraId="6BBEF669">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74E4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1CB437F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技术经济负责人</w:t>
            </w:r>
          </w:p>
        </w:tc>
        <w:tc>
          <w:tcPr>
            <w:tcW w:w="1227" w:type="dxa"/>
            <w:gridSpan w:val="2"/>
            <w:noWrap w:val="0"/>
            <w:vAlign w:val="center"/>
          </w:tcPr>
          <w:p w14:paraId="04BADD8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31" w:type="dxa"/>
            <w:noWrap w:val="0"/>
            <w:vAlign w:val="center"/>
          </w:tcPr>
          <w:p w14:paraId="7D7EA67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7" w:type="dxa"/>
            <w:gridSpan w:val="3"/>
            <w:noWrap w:val="0"/>
            <w:vAlign w:val="center"/>
          </w:tcPr>
          <w:p w14:paraId="00212CC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27" w:type="dxa"/>
            <w:gridSpan w:val="2"/>
            <w:noWrap w:val="0"/>
            <w:vAlign w:val="center"/>
          </w:tcPr>
          <w:p w14:paraId="40C8822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27" w:type="dxa"/>
            <w:gridSpan w:val="2"/>
            <w:noWrap w:val="0"/>
            <w:vAlign w:val="center"/>
          </w:tcPr>
          <w:p w14:paraId="69976B1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25" w:type="dxa"/>
            <w:noWrap w:val="0"/>
            <w:vAlign w:val="center"/>
          </w:tcPr>
          <w:p w14:paraId="0A252DB2">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25DD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5079181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458" w:type="dxa"/>
            <w:gridSpan w:val="3"/>
            <w:noWrap w:val="0"/>
            <w:vAlign w:val="center"/>
          </w:tcPr>
          <w:p w14:paraId="1DFDF22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5126" w:type="dxa"/>
            <w:gridSpan w:val="8"/>
            <w:noWrap w:val="0"/>
            <w:vAlign w:val="center"/>
          </w:tcPr>
          <w:p w14:paraId="5B5E2CC6">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5012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2E9D18DD">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2458" w:type="dxa"/>
            <w:gridSpan w:val="3"/>
            <w:noWrap w:val="0"/>
            <w:vAlign w:val="center"/>
          </w:tcPr>
          <w:p w14:paraId="2BCA35A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restart"/>
            <w:noWrap w:val="0"/>
            <w:vAlign w:val="center"/>
          </w:tcPr>
          <w:p w14:paraId="501406D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040" w:type="dxa"/>
            <w:gridSpan w:val="5"/>
            <w:noWrap w:val="0"/>
            <w:vAlign w:val="center"/>
          </w:tcPr>
          <w:p w14:paraId="1A54C1F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232" w:type="dxa"/>
            <w:gridSpan w:val="2"/>
            <w:noWrap w:val="0"/>
            <w:vAlign w:val="center"/>
          </w:tcPr>
          <w:p w14:paraId="00972DE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156F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36B6F68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458" w:type="dxa"/>
            <w:gridSpan w:val="3"/>
            <w:noWrap w:val="0"/>
            <w:vAlign w:val="center"/>
          </w:tcPr>
          <w:p w14:paraId="11338CE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continue"/>
            <w:noWrap w:val="0"/>
            <w:vAlign w:val="center"/>
          </w:tcPr>
          <w:p w14:paraId="2E1C3C2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040" w:type="dxa"/>
            <w:gridSpan w:val="5"/>
            <w:noWrap w:val="0"/>
            <w:vAlign w:val="center"/>
          </w:tcPr>
          <w:p w14:paraId="2B98B22F">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232" w:type="dxa"/>
            <w:gridSpan w:val="2"/>
            <w:noWrap w:val="0"/>
            <w:vAlign w:val="center"/>
          </w:tcPr>
          <w:p w14:paraId="5A13A049">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w:t>
            </w:r>
          </w:p>
        </w:tc>
      </w:tr>
      <w:tr w14:paraId="14D2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075" w:type="dxa"/>
            <w:vMerge w:val="restart"/>
            <w:noWrap w:val="0"/>
            <w:vAlign w:val="center"/>
          </w:tcPr>
          <w:p w14:paraId="074F900D">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458" w:type="dxa"/>
            <w:gridSpan w:val="3"/>
            <w:vMerge w:val="restart"/>
            <w:noWrap w:val="0"/>
            <w:vAlign w:val="center"/>
          </w:tcPr>
          <w:p w14:paraId="1092283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continue"/>
            <w:noWrap w:val="0"/>
            <w:vAlign w:val="center"/>
          </w:tcPr>
          <w:p w14:paraId="1CBC602D">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040" w:type="dxa"/>
            <w:gridSpan w:val="5"/>
            <w:noWrap w:val="0"/>
            <w:vAlign w:val="center"/>
          </w:tcPr>
          <w:p w14:paraId="01AD571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232" w:type="dxa"/>
            <w:gridSpan w:val="2"/>
            <w:noWrap w:val="0"/>
            <w:vAlign w:val="center"/>
          </w:tcPr>
          <w:p w14:paraId="2C56D7D5">
            <w:pPr>
              <w:keepNext/>
              <w:keepLines/>
              <w:pageBreakBefore w:val="0"/>
              <w:widowControl/>
              <w:shd w:val="clear" w:color="auto" w:fill="FFFFFF"/>
              <w:wordWrap/>
              <w:overflowPunct/>
              <w:topLinePunct w:val="0"/>
              <w:bidi w:val="0"/>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14:paraId="17FE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75" w:type="dxa"/>
            <w:vMerge w:val="continue"/>
            <w:noWrap w:val="0"/>
            <w:vAlign w:val="center"/>
          </w:tcPr>
          <w:p w14:paraId="4E0163A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458" w:type="dxa"/>
            <w:gridSpan w:val="3"/>
            <w:vMerge w:val="continue"/>
            <w:noWrap w:val="0"/>
            <w:vAlign w:val="center"/>
          </w:tcPr>
          <w:p w14:paraId="54C7D28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continue"/>
            <w:noWrap w:val="0"/>
            <w:vAlign w:val="center"/>
          </w:tcPr>
          <w:p w14:paraId="116DB1A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040" w:type="dxa"/>
            <w:gridSpan w:val="5"/>
            <w:noWrap w:val="0"/>
            <w:vAlign w:val="center"/>
          </w:tcPr>
          <w:p w14:paraId="30004CA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执业/职业人员</w:t>
            </w:r>
          </w:p>
        </w:tc>
        <w:tc>
          <w:tcPr>
            <w:tcW w:w="2232" w:type="dxa"/>
            <w:gridSpan w:val="2"/>
            <w:noWrap w:val="0"/>
            <w:vAlign w:val="center"/>
          </w:tcPr>
          <w:p w14:paraId="028F20F0">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w:t>
            </w:r>
          </w:p>
        </w:tc>
      </w:tr>
      <w:tr w14:paraId="1DF8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3BE0893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458" w:type="dxa"/>
            <w:gridSpan w:val="3"/>
            <w:noWrap w:val="0"/>
            <w:vAlign w:val="center"/>
          </w:tcPr>
          <w:p w14:paraId="5DBF0EA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noWrap w:val="0"/>
            <w:vAlign w:val="center"/>
          </w:tcPr>
          <w:p w14:paraId="3F76306C">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272" w:type="dxa"/>
            <w:gridSpan w:val="7"/>
            <w:noWrap w:val="0"/>
            <w:vAlign w:val="center"/>
          </w:tcPr>
          <w:p w14:paraId="334FD421">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1521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075" w:type="dxa"/>
            <w:noWrap w:val="0"/>
            <w:vAlign w:val="center"/>
          </w:tcPr>
          <w:p w14:paraId="14338404">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584" w:type="dxa"/>
            <w:gridSpan w:val="11"/>
            <w:noWrap w:val="0"/>
            <w:vAlign w:val="center"/>
          </w:tcPr>
          <w:p w14:paraId="524F63C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47DF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5DBD07AF">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584" w:type="dxa"/>
            <w:gridSpan w:val="11"/>
            <w:noWrap w:val="0"/>
            <w:vAlign w:val="center"/>
          </w:tcPr>
          <w:p w14:paraId="0A8857F4">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bl>
    <w:p w14:paraId="62B13314">
      <w:pPr>
        <w:keepNext/>
        <w:keepLines/>
        <w:pageBreakBefore w:val="0"/>
        <w:widowControl/>
        <w:shd w:val="clear" w:color="auto" w:fill="FFFFFF"/>
        <w:wordWrap/>
        <w:overflowPunct/>
        <w:topLinePunct w:val="0"/>
        <w:bidi w:val="0"/>
        <w:snapToGrid w:val="0"/>
        <w:spacing w:line="340" w:lineRule="exact"/>
        <w:ind w:firstLine="480" w:firstLineChars="200"/>
        <w:rPr>
          <w:rFonts w:hint="eastAsia" w:ascii="宋体" w:hAnsi="宋体" w:eastAsia="宋体" w:cs="宋体"/>
          <w:bCs/>
          <w:color w:val="auto"/>
          <w:sz w:val="24"/>
          <w:szCs w:val="24"/>
          <w:highlight w:val="none"/>
        </w:rPr>
      </w:pPr>
    </w:p>
    <w:bookmarkEnd w:id="126"/>
    <w:p w14:paraId="0F534BB6">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0EB2DD4C">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23FA3DCA">
      <w:pPr>
        <w:keepNext/>
        <w:keepLines/>
        <w:pageBreakBefore w:val="0"/>
        <w:widowControl/>
        <w:shd w:val="clear" w:color="auto" w:fill="FFFFFF"/>
        <w:tabs>
          <w:tab w:val="left" w:pos="4000"/>
        </w:tabs>
        <w:wordWrap/>
        <w:overflowPunct/>
        <w:topLinePunct w:val="0"/>
        <w:bidi w:val="0"/>
        <w:spacing w:line="32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5676ABBB">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E898C59">
      <w:pPr>
        <w:keepNext/>
        <w:keepLines/>
        <w:pageBreakBefore w:val="0"/>
        <w:widowControl/>
        <w:shd w:val="clear" w:color="auto" w:fill="FFFFFF"/>
        <w:tabs>
          <w:tab w:val="left" w:pos="4000"/>
        </w:tabs>
        <w:wordWrap/>
        <w:overflowPunct/>
        <w:topLinePunct w:val="0"/>
        <w:bidi w:val="0"/>
        <w:spacing w:line="32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EBE749">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62E194F9">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拟派往本项目的</w:t>
      </w:r>
      <w:r>
        <w:rPr>
          <w:rFonts w:hint="eastAsia" w:ascii="宋体" w:hAnsi="宋体" w:eastAsia="宋体" w:cs="宋体"/>
          <w:b/>
          <w:bCs/>
          <w:color w:val="auto"/>
          <w:sz w:val="24"/>
          <w:szCs w:val="24"/>
          <w:highlight w:val="none"/>
          <w:lang w:val="zh-CN"/>
        </w:rPr>
        <w:t>技术团队人员配备情况表</w:t>
      </w:r>
    </w:p>
    <w:tbl>
      <w:tblPr>
        <w:tblStyle w:val="22"/>
        <w:tblpPr w:leftFromText="180" w:rightFromText="180" w:vertAnchor="text" w:horzAnchor="page" w:tblpX="1256" w:tblpY="987"/>
        <w:tblOverlap w:val="never"/>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6"/>
        <w:gridCol w:w="936"/>
        <w:gridCol w:w="1113"/>
        <w:gridCol w:w="862"/>
        <w:gridCol w:w="937"/>
        <w:gridCol w:w="937"/>
        <w:gridCol w:w="1104"/>
        <w:gridCol w:w="1348"/>
        <w:gridCol w:w="1348"/>
      </w:tblGrid>
      <w:tr w14:paraId="15D0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20" w:type="pct"/>
            <w:noWrap w:val="0"/>
            <w:vAlign w:val="center"/>
          </w:tcPr>
          <w:p w14:paraId="05D3F0BC">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序号</w:t>
            </w:r>
          </w:p>
        </w:tc>
        <w:tc>
          <w:tcPr>
            <w:tcW w:w="459" w:type="pct"/>
            <w:noWrap w:val="0"/>
            <w:vAlign w:val="center"/>
          </w:tcPr>
          <w:p w14:paraId="1FD013AB">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姓  名</w:t>
            </w:r>
          </w:p>
        </w:tc>
        <w:tc>
          <w:tcPr>
            <w:tcW w:w="459" w:type="pct"/>
            <w:noWrap w:val="0"/>
            <w:vAlign w:val="center"/>
          </w:tcPr>
          <w:p w14:paraId="74D077CB">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性别</w:t>
            </w:r>
          </w:p>
        </w:tc>
        <w:tc>
          <w:tcPr>
            <w:tcW w:w="547" w:type="pct"/>
            <w:noWrap w:val="0"/>
            <w:vAlign w:val="center"/>
          </w:tcPr>
          <w:p w14:paraId="55DA5C68">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身份证号</w:t>
            </w:r>
          </w:p>
        </w:tc>
        <w:tc>
          <w:tcPr>
            <w:tcW w:w="424" w:type="pct"/>
            <w:noWrap w:val="0"/>
            <w:vAlign w:val="center"/>
          </w:tcPr>
          <w:p w14:paraId="1022F738">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职务</w:t>
            </w:r>
          </w:p>
        </w:tc>
        <w:tc>
          <w:tcPr>
            <w:tcW w:w="460" w:type="pct"/>
            <w:noWrap w:val="0"/>
            <w:vAlign w:val="center"/>
          </w:tcPr>
          <w:p w14:paraId="4AEF42B9">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职  称</w:t>
            </w:r>
          </w:p>
        </w:tc>
        <w:tc>
          <w:tcPr>
            <w:tcW w:w="460" w:type="pct"/>
            <w:noWrap w:val="0"/>
            <w:vAlign w:val="center"/>
          </w:tcPr>
          <w:p w14:paraId="523EC366">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从事专业</w:t>
            </w:r>
          </w:p>
        </w:tc>
        <w:tc>
          <w:tcPr>
            <w:tcW w:w="542" w:type="pct"/>
            <w:noWrap w:val="0"/>
            <w:vAlign w:val="center"/>
          </w:tcPr>
          <w:p w14:paraId="442C56E2">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工作时间</w:t>
            </w:r>
          </w:p>
        </w:tc>
        <w:tc>
          <w:tcPr>
            <w:tcW w:w="662" w:type="pct"/>
            <w:noWrap w:val="0"/>
            <w:vAlign w:val="center"/>
          </w:tcPr>
          <w:p w14:paraId="6ABD85C2">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本项目职务</w:t>
            </w:r>
          </w:p>
        </w:tc>
        <w:tc>
          <w:tcPr>
            <w:tcW w:w="662" w:type="pct"/>
            <w:noWrap w:val="0"/>
            <w:vAlign w:val="center"/>
          </w:tcPr>
          <w:p w14:paraId="52922AAD">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联系方式</w:t>
            </w:r>
          </w:p>
        </w:tc>
      </w:tr>
      <w:tr w14:paraId="43F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320" w:type="pct"/>
            <w:noWrap w:val="0"/>
            <w:vAlign w:val="center"/>
          </w:tcPr>
          <w:p w14:paraId="10930A2D">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1</w:t>
            </w:r>
          </w:p>
        </w:tc>
        <w:tc>
          <w:tcPr>
            <w:tcW w:w="459" w:type="pct"/>
            <w:noWrap w:val="0"/>
            <w:vAlign w:val="center"/>
          </w:tcPr>
          <w:p w14:paraId="019E7D97">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503201B7">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31C55D8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29B1F1B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3E2F07EC">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28C0F91C">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59B6CE04">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1381592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项目负责人</w:t>
            </w:r>
          </w:p>
        </w:tc>
        <w:tc>
          <w:tcPr>
            <w:tcW w:w="662" w:type="pct"/>
            <w:noWrap w:val="0"/>
            <w:vAlign w:val="center"/>
          </w:tcPr>
          <w:p w14:paraId="24BAD205">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2FF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1D46E297">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2</w:t>
            </w:r>
          </w:p>
        </w:tc>
        <w:tc>
          <w:tcPr>
            <w:tcW w:w="459" w:type="pct"/>
            <w:noWrap w:val="0"/>
            <w:vAlign w:val="center"/>
          </w:tcPr>
          <w:p w14:paraId="6EF30EC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49376B3E">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628BDC8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276045B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65E7E6D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7696FC49">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61C86A8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7B2409FB">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 xml:space="preserve"> </w:t>
            </w:r>
          </w:p>
        </w:tc>
        <w:tc>
          <w:tcPr>
            <w:tcW w:w="662" w:type="pct"/>
            <w:noWrap w:val="0"/>
            <w:vAlign w:val="center"/>
          </w:tcPr>
          <w:p w14:paraId="0FBC009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620F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2BF25AAC">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459" w:type="pct"/>
            <w:noWrap w:val="0"/>
            <w:vAlign w:val="center"/>
          </w:tcPr>
          <w:p w14:paraId="5163D41C">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1EDCBA9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7084AB5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407966CA">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4E13DBC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61881E98">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6280BB49">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738A15D1">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662" w:type="pct"/>
            <w:noWrap w:val="0"/>
            <w:vAlign w:val="center"/>
          </w:tcPr>
          <w:p w14:paraId="4A06D4A0">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4C6B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3ABD755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459" w:type="pct"/>
            <w:noWrap w:val="0"/>
            <w:vAlign w:val="center"/>
          </w:tcPr>
          <w:p w14:paraId="41645C34">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74A3A707">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18394E7A">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7A8DA7E6">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7B7B0135">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1C7A988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0941BB84">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1693330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662" w:type="pct"/>
            <w:noWrap w:val="0"/>
            <w:vAlign w:val="center"/>
          </w:tcPr>
          <w:p w14:paraId="7D0879F9">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316B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0930B5B3">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459" w:type="pct"/>
            <w:noWrap w:val="0"/>
            <w:vAlign w:val="center"/>
          </w:tcPr>
          <w:p w14:paraId="334C86AB">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459" w:type="pct"/>
            <w:noWrap w:val="0"/>
            <w:vAlign w:val="center"/>
          </w:tcPr>
          <w:p w14:paraId="370D42B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547" w:type="pct"/>
            <w:noWrap w:val="0"/>
            <w:vAlign w:val="center"/>
          </w:tcPr>
          <w:p w14:paraId="1835980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22BACD73">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31874038">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460" w:type="pct"/>
            <w:noWrap w:val="0"/>
            <w:vAlign w:val="center"/>
          </w:tcPr>
          <w:p w14:paraId="7D8D5E5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542" w:type="pct"/>
            <w:noWrap w:val="0"/>
            <w:vAlign w:val="center"/>
          </w:tcPr>
          <w:p w14:paraId="08360C85">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662" w:type="pct"/>
            <w:noWrap w:val="0"/>
            <w:vAlign w:val="center"/>
          </w:tcPr>
          <w:p w14:paraId="46C2BCEB">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7C3F13D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r>
    </w:tbl>
    <w:p w14:paraId="748482A8">
      <w:pPr>
        <w:keepNext/>
        <w:keepLines/>
        <w:pageBreakBefore w:val="0"/>
        <w:widowControl/>
        <w:shd w:val="clear" w:color="auto" w:fill="FFFFFF"/>
        <w:wordWrap/>
        <w:overflowPunct/>
        <w:topLinePunct w:val="0"/>
        <w:bidi w:val="0"/>
        <w:snapToGrid w:val="0"/>
        <w:spacing w:line="440" w:lineRule="exact"/>
        <w:rPr>
          <w:rFonts w:hint="eastAsia" w:ascii="宋体" w:hAnsi="宋体" w:eastAsia="宋体" w:cs="宋体"/>
          <w:color w:val="auto"/>
          <w:sz w:val="24"/>
          <w:szCs w:val="24"/>
          <w:highlight w:val="none"/>
        </w:rPr>
      </w:pPr>
    </w:p>
    <w:tbl>
      <w:tblPr>
        <w:tblStyle w:val="22"/>
        <w:tblpPr w:leftFromText="180" w:rightFromText="180" w:vertAnchor="text" w:tblpX="14451" w:tblpY="-36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5279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14:paraId="55770032">
            <w:pPr>
              <w:keepNext/>
              <w:keepLines/>
              <w:pageBreakBefore w:val="0"/>
              <w:widowControl/>
              <w:shd w:val="clear" w:color="auto" w:fill="FFFFFF"/>
              <w:wordWrap/>
              <w:overflowPunct/>
              <w:topLinePunct w:val="0"/>
              <w:bidi w:val="0"/>
              <w:snapToGrid w:val="0"/>
              <w:spacing w:line="440" w:lineRule="exact"/>
              <w:rPr>
                <w:rFonts w:hint="eastAsia" w:ascii="宋体" w:hAnsi="宋体" w:eastAsia="宋体" w:cs="宋体"/>
                <w:color w:val="auto"/>
                <w:sz w:val="24"/>
                <w:szCs w:val="24"/>
                <w:highlight w:val="none"/>
              </w:rPr>
            </w:pPr>
          </w:p>
        </w:tc>
      </w:tr>
    </w:tbl>
    <w:p w14:paraId="2BD0D6A5">
      <w:pPr>
        <w:keepNext/>
        <w:keepLines/>
        <w:pageBreakBefore w:val="0"/>
        <w:widowControl/>
        <w:shd w:val="clear" w:color="auto" w:fill="FFFFFF"/>
        <w:wordWrap/>
        <w:overflowPunct/>
        <w:topLinePunct w:val="0"/>
        <w:bidi w:val="0"/>
        <w:snapToGrid w:val="0"/>
        <w:spacing w:line="440" w:lineRule="exact"/>
        <w:rPr>
          <w:rFonts w:hint="eastAsia" w:ascii="宋体" w:hAnsi="宋体" w:eastAsia="宋体" w:cs="宋体"/>
          <w:color w:val="auto"/>
          <w:sz w:val="24"/>
          <w:szCs w:val="24"/>
          <w:highlight w:val="none"/>
        </w:rPr>
      </w:pPr>
    </w:p>
    <w:p w14:paraId="2EA8C457">
      <w:pPr>
        <w:keepNext/>
        <w:keepLines/>
        <w:pageBreakBefore w:val="0"/>
        <w:widowControl/>
        <w:shd w:val="clear" w:color="auto" w:fill="FFFFFF"/>
        <w:tabs>
          <w:tab w:val="left" w:pos="5760"/>
        </w:tabs>
        <w:wordWrap/>
        <w:overflowPunct/>
        <w:topLinePunct w:val="0"/>
        <w:bidi w:val="0"/>
        <w:snapToGrid w:val="0"/>
        <w:spacing w:line="300" w:lineRule="auto"/>
        <w:ind w:firstLine="4920" w:firstLineChars="2050"/>
        <w:rPr>
          <w:rFonts w:hint="eastAsia" w:ascii="宋体" w:hAnsi="宋体" w:eastAsia="宋体" w:cs="宋体"/>
          <w:color w:val="auto"/>
          <w:sz w:val="24"/>
          <w:szCs w:val="24"/>
          <w:highlight w:val="none"/>
        </w:rPr>
      </w:pPr>
    </w:p>
    <w:p w14:paraId="4B2C2650">
      <w:pPr>
        <w:keepNext/>
        <w:keepLines/>
        <w:pageBreakBefore w:val="0"/>
        <w:widowControl/>
        <w:shd w:val="clear" w:color="auto" w:fill="FFFFFF"/>
        <w:tabs>
          <w:tab w:val="left" w:pos="5760"/>
        </w:tabs>
        <w:wordWrap/>
        <w:overflowPunct/>
        <w:topLinePunct w:val="0"/>
        <w:bidi w:val="0"/>
        <w:snapToGrid w:val="0"/>
        <w:spacing w:line="300" w:lineRule="auto"/>
        <w:ind w:firstLine="4920" w:firstLineChars="2050"/>
        <w:rPr>
          <w:rFonts w:hint="eastAsia" w:ascii="宋体" w:hAnsi="宋体" w:eastAsia="宋体" w:cs="宋体"/>
          <w:color w:val="auto"/>
          <w:sz w:val="24"/>
          <w:szCs w:val="24"/>
          <w:highlight w:val="none"/>
        </w:rPr>
      </w:pPr>
    </w:p>
    <w:p w14:paraId="75C46D6C">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u w:val="none"/>
        </w:rPr>
        <w:t xml:space="preserve">章) </w:t>
      </w:r>
      <w:r>
        <w:rPr>
          <w:rFonts w:hint="eastAsia" w:ascii="宋体" w:hAnsi="宋体" w:eastAsia="宋体" w:cs="宋体"/>
          <w:color w:val="auto"/>
          <w:sz w:val="24"/>
          <w:szCs w:val="24"/>
          <w:highlight w:val="none"/>
        </w:rPr>
        <w:t xml:space="preserve"> </w:t>
      </w:r>
    </w:p>
    <w:p w14:paraId="5EDF0683">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15F01B69">
      <w:pPr>
        <w:keepNext/>
        <w:keepLines/>
        <w:pageBreakBefore w:val="0"/>
        <w:widowControl/>
        <w:shd w:val="clear" w:color="auto" w:fill="FFFFFF"/>
        <w:tabs>
          <w:tab w:val="left" w:pos="4000"/>
        </w:tabs>
        <w:wordWrap/>
        <w:overflowPunct/>
        <w:topLinePunct w:val="0"/>
        <w:bidi w:val="0"/>
        <w:spacing w:line="320" w:lineRule="exact"/>
        <w:rPr>
          <w:rFonts w:hint="eastAsia" w:ascii="宋体" w:hAnsi="宋体" w:eastAsia="宋体" w:cs="宋体"/>
          <w:color w:val="auto"/>
          <w:sz w:val="24"/>
          <w:szCs w:val="24"/>
          <w:highlight w:val="none"/>
        </w:rPr>
      </w:pPr>
    </w:p>
    <w:p w14:paraId="23968B55">
      <w:pPr>
        <w:keepNext/>
        <w:keepLines/>
        <w:pageBreakBefore w:val="0"/>
        <w:widowControl/>
        <w:shd w:val="clear" w:color="auto" w:fill="FFFFFF"/>
        <w:tabs>
          <w:tab w:val="left" w:pos="4000"/>
        </w:tabs>
        <w:wordWrap/>
        <w:overflowPunct/>
        <w:topLinePunct w:val="0"/>
        <w:bidi w:val="0"/>
        <w:spacing w:line="32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2AF1B444">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4DFE425B">
      <w:pPr>
        <w:keepNext/>
        <w:keepLines/>
        <w:pageBreakBefore w:val="0"/>
        <w:widowControl/>
        <w:shd w:val="clear" w:color="auto" w:fill="FFFFFF"/>
        <w:tabs>
          <w:tab w:val="left" w:pos="4000"/>
        </w:tabs>
        <w:wordWrap/>
        <w:overflowPunct/>
        <w:topLinePunct w:val="0"/>
        <w:bidi w:val="0"/>
        <w:spacing w:line="320" w:lineRule="exact"/>
        <w:rPr>
          <w:rFonts w:hint="eastAsia" w:ascii="宋体" w:hAnsi="宋体" w:eastAsia="宋体" w:cs="宋体"/>
          <w:color w:val="auto"/>
          <w:sz w:val="24"/>
          <w:szCs w:val="24"/>
          <w:highlight w:val="none"/>
        </w:rPr>
      </w:pPr>
    </w:p>
    <w:p w14:paraId="7121295B">
      <w:pPr>
        <w:keepNext/>
        <w:keepLines/>
        <w:pageBreakBefore w:val="0"/>
        <w:widowControl/>
        <w:shd w:val="clear" w:color="auto" w:fill="FFFFFF"/>
        <w:tabs>
          <w:tab w:val="left" w:pos="4000"/>
        </w:tabs>
        <w:wordWrap/>
        <w:overflowPunct/>
        <w:topLinePunct w:val="0"/>
        <w:bidi w:val="0"/>
        <w:spacing w:line="32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51482D">
      <w:pPr>
        <w:keepNext/>
        <w:keepLines/>
        <w:pageBreakBefore w:val="0"/>
        <w:widowControl/>
        <w:shd w:val="clear" w:color="auto" w:fill="FFFFFF"/>
        <w:wordWrap/>
        <w:overflowPunct/>
        <w:topLinePunct w:val="0"/>
        <w:bidi w:val="0"/>
        <w:spacing w:line="500" w:lineRule="exact"/>
        <w:ind w:firstLine="2880" w:firstLineChars="1200"/>
        <w:rPr>
          <w:rFonts w:hint="eastAsia" w:ascii="宋体" w:hAnsi="宋体" w:eastAsia="宋体" w:cs="宋体"/>
          <w:color w:val="auto"/>
          <w:sz w:val="24"/>
          <w:szCs w:val="24"/>
          <w:highlight w:val="none"/>
        </w:rPr>
      </w:pPr>
    </w:p>
    <w:p w14:paraId="78090F3C">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55A2C5DA">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017EB2A2">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1CDB6B34">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0BCA50B5">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7840ACF4">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5A26073A">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5F6B59EA">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16994A05">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3C40F3BC">
      <w:pPr>
        <w:pStyle w:val="17"/>
        <w:rPr>
          <w:rFonts w:hint="eastAsia" w:ascii="宋体" w:hAnsi="宋体" w:eastAsia="宋体" w:cs="宋体"/>
          <w:color w:val="auto"/>
          <w:sz w:val="24"/>
          <w:szCs w:val="24"/>
          <w:highlight w:val="none"/>
        </w:rPr>
      </w:pPr>
    </w:p>
    <w:p w14:paraId="223C52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lang w:val="en-US" w:eastAsia="zh-CN"/>
        </w:rPr>
        <w:sectPr>
          <w:footerReference r:id="rId12"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730B871">
      <w:pPr>
        <w:spacing w:line="360" w:lineRule="auto"/>
        <w:ind w:firstLine="482" w:firstLineChars="200"/>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val="en-US" w:eastAsia="zh-CN" w:bidi="ar"/>
        </w:rPr>
        <w:t>十、</w:t>
      </w:r>
      <w:r>
        <w:rPr>
          <w:rFonts w:hint="eastAsia" w:ascii="宋体" w:hAnsi="宋体" w:eastAsia="宋体" w:cs="宋体"/>
          <w:b/>
          <w:sz w:val="24"/>
          <w:szCs w:val="24"/>
          <w:highlight w:val="none"/>
          <w:lang w:bidi="ar"/>
        </w:rPr>
        <w:t>关于符合本国产品标准的声明函</w:t>
      </w:r>
    </w:p>
    <w:p w14:paraId="122BC9E9">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7DBE3E86">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0B79F3FD">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产品名称2），生产厂为（厂名），厂址为（生产厂址）。（产品名称2）的中国境内生产的组件成本占比≥（规定比例）。（产品名称2）的（关键组件）在中国境内生产。（产品名称2）的（关键工序）在中国境内完成。</w:t>
      </w:r>
    </w:p>
    <w:p w14:paraId="0B3E3DC3">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w:t>
      </w:r>
    </w:p>
    <w:p w14:paraId="6AC878A0">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本公司（单位）对上述声明内容的真实性负责。如有虚假，愿承担相应法律责任。</w:t>
      </w:r>
    </w:p>
    <w:p w14:paraId="055D7200">
      <w:pPr>
        <w:spacing w:line="360" w:lineRule="auto"/>
        <w:ind w:firstLine="482" w:firstLineChars="200"/>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 xml:space="preserve"> </w:t>
      </w:r>
    </w:p>
    <w:p w14:paraId="16B3C837">
      <w:pPr>
        <w:spacing w:line="360" w:lineRule="auto"/>
        <w:ind w:firstLine="482" w:firstLineChars="200"/>
        <w:rPr>
          <w:rFonts w:hint="eastAsia" w:ascii="宋体" w:hAnsi="宋体" w:eastAsia="宋体" w:cs="宋体"/>
          <w:b/>
          <w:sz w:val="24"/>
          <w:szCs w:val="24"/>
          <w:highlight w:val="none"/>
          <w:lang w:bidi="ar"/>
        </w:rPr>
      </w:pPr>
    </w:p>
    <w:p w14:paraId="51400392">
      <w:pPr>
        <w:spacing w:line="360" w:lineRule="auto"/>
        <w:ind w:firstLine="480" w:firstLineChars="200"/>
        <w:jc w:val="righ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公司（单位）名称（盖章）：</w:t>
      </w:r>
    </w:p>
    <w:p w14:paraId="09AAD8AE">
      <w:pPr>
        <w:spacing w:line="360" w:lineRule="auto"/>
        <w:ind w:firstLine="480" w:firstLineChars="200"/>
        <w:jc w:val="right"/>
        <w:rPr>
          <w:rFonts w:hint="eastAsia" w:ascii="宋体" w:hAnsi="宋体" w:eastAsia="宋体" w:cs="宋体"/>
          <w:b/>
          <w:sz w:val="24"/>
          <w:szCs w:val="24"/>
          <w:highlight w:val="none"/>
          <w:lang w:bidi="ar"/>
        </w:rPr>
      </w:pPr>
      <w:r>
        <w:rPr>
          <w:rFonts w:hint="eastAsia" w:ascii="宋体" w:hAnsi="宋体" w:eastAsia="宋体" w:cs="宋体"/>
          <w:sz w:val="24"/>
          <w:szCs w:val="24"/>
          <w:highlight w:val="none"/>
          <w:lang w:bidi="ar"/>
        </w:rPr>
        <w:t>日期：  年　  月　  日 </w:t>
      </w:r>
      <w:r>
        <w:rPr>
          <w:rFonts w:hint="eastAsia" w:ascii="宋体" w:hAnsi="宋体" w:eastAsia="宋体" w:cs="宋体"/>
          <w:b/>
          <w:sz w:val="24"/>
          <w:szCs w:val="24"/>
          <w:highlight w:val="none"/>
          <w:lang w:bidi="ar"/>
        </w:rPr>
        <w:t>        </w:t>
      </w:r>
    </w:p>
    <w:p w14:paraId="01387ACA">
      <w:pPr>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1.产品如有型号，请在“产品名称”栏一并填写。</w:t>
      </w:r>
    </w:p>
    <w:p w14:paraId="716FCEFB">
      <w:pPr>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2.生产厂名与厂址应与生产厂营业执照载明的相关信息保持一致。</w:t>
      </w:r>
    </w:p>
    <w:p w14:paraId="24BB9091">
      <w:pPr>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3.该产品的中国境内生产的组件成本占比相关要求实施前，“规定比例”栏可不填，下同。</w:t>
      </w:r>
    </w:p>
    <w:p w14:paraId="15DCE501">
      <w:pPr>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4.该产品的关键组件要求实施前，“关键组件”栏可不填，下同。</w:t>
      </w:r>
    </w:p>
    <w:p w14:paraId="08737342">
      <w:pPr>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5.该产品的关键工序要求实施前，“关键工序”栏可不填，下同。</w:t>
      </w:r>
    </w:p>
    <w:p w14:paraId="36EF639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lang w:val="en-US" w:eastAsia="zh-CN"/>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438948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lang w:eastAsia="zh-CN"/>
        </w:rPr>
        <w:t>、政府采购相关政策证明材料（若有的话填写）</w:t>
      </w:r>
    </w:p>
    <w:p w14:paraId="76B954B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p>
    <w:p w14:paraId="257362FD">
      <w:pPr>
        <w:keepNext/>
        <w:keepLines/>
        <w:pageBreakBefore w:val="0"/>
        <w:widowControl/>
        <w:shd w:val="clear" w:color="auto" w:fill="FFFFFF"/>
        <w:wordWrap/>
        <w:overflowPunct/>
        <w:topLinePunct w:val="0"/>
        <w:bidi w:val="0"/>
        <w:adjustRightInd w:val="0"/>
        <w:snapToGrid w:val="0"/>
        <w:spacing w:line="460" w:lineRule="exact"/>
        <w:jc w:val="center"/>
        <w:rPr>
          <w:rFonts w:hint="eastAsia" w:ascii="宋体" w:hAnsi="宋体" w:eastAsia="宋体" w:cs="宋体"/>
          <w:b/>
          <w:bCs/>
          <w:color w:val="auto"/>
          <w:spacing w:val="20"/>
          <w:sz w:val="24"/>
          <w:szCs w:val="24"/>
          <w:highlight w:val="none"/>
          <w:lang w:eastAsia="zh-CN"/>
        </w:rPr>
      </w:pPr>
      <w:bookmarkStart w:id="127" w:name="OLE_LINK13"/>
      <w:bookmarkStart w:id="128" w:name="OLE_LINK14"/>
      <w:r>
        <w:rPr>
          <w:rFonts w:hint="eastAsia" w:ascii="宋体" w:hAnsi="宋体" w:eastAsia="宋体" w:cs="宋体"/>
          <w:b/>
          <w:bCs/>
          <w:color w:val="auto"/>
          <w:spacing w:val="20"/>
          <w:sz w:val="24"/>
          <w:szCs w:val="24"/>
          <w:highlight w:val="none"/>
        </w:rPr>
        <w:t>中小企业声明函</w:t>
      </w:r>
      <w:r>
        <w:rPr>
          <w:rFonts w:hint="eastAsia" w:ascii="宋体" w:hAnsi="宋体" w:eastAsia="宋体" w:cs="宋体"/>
          <w:b/>
          <w:bCs/>
          <w:color w:val="auto"/>
          <w:spacing w:val="20"/>
          <w:sz w:val="24"/>
          <w:szCs w:val="24"/>
          <w:highlight w:val="none"/>
          <w:lang w:eastAsia="zh-CN"/>
        </w:rPr>
        <w:t>（货物）</w:t>
      </w:r>
    </w:p>
    <w:p w14:paraId="1E85077B">
      <w:pPr>
        <w:keepNext/>
        <w:keepLines/>
        <w:pageBreakBefore w:val="0"/>
        <w:widowControl/>
        <w:shd w:val="clear" w:color="auto" w:fill="FFFFFF"/>
        <w:wordWrap/>
        <w:overflowPunct/>
        <w:topLinePunct w:val="0"/>
        <w:bidi w:val="0"/>
        <w:adjustRightInd w:val="0"/>
        <w:snapToGrid w:val="0"/>
        <w:spacing w:line="460" w:lineRule="exact"/>
        <w:jc w:val="center"/>
        <w:textAlignment w:val="baseline"/>
        <w:rPr>
          <w:rFonts w:hint="eastAsia" w:ascii="宋体" w:hAnsi="宋体" w:eastAsia="宋体" w:cs="宋体"/>
          <w:b/>
          <w:bCs/>
          <w:color w:val="auto"/>
          <w:spacing w:val="20"/>
          <w:sz w:val="24"/>
          <w:szCs w:val="24"/>
          <w:highlight w:val="none"/>
        </w:rPr>
      </w:pPr>
    </w:p>
    <w:p w14:paraId="57BACE0F">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sz w:val="24"/>
          <w:szCs w:val="24"/>
          <w:highlight w:val="none"/>
          <w:u w:val="single"/>
        </w:rPr>
        <w:t>（单位名称）</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508EAB46">
      <w:pPr>
        <w:keepNext/>
        <w:keepLines/>
        <w:pageBreakBefore w:val="0"/>
        <w:widowControl/>
        <w:numPr>
          <w:ilvl w:val="0"/>
          <w:numId w:val="9"/>
        </w:numPr>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（采购文件中明确的所属行业）行业</w:t>
      </w:r>
      <w:r>
        <w:rPr>
          <w:rFonts w:hint="eastAsia" w:ascii="宋体" w:hAnsi="宋体" w:eastAsia="宋体" w:cs="宋体"/>
          <w:color w:val="auto"/>
          <w:spacing w:val="0"/>
          <w:sz w:val="24"/>
          <w:szCs w:val="24"/>
          <w:highlight w:val="none"/>
        </w:rPr>
        <w:t>；制造商为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w:t>
      </w:r>
    </w:p>
    <w:p w14:paraId="002D22BA">
      <w:pPr>
        <w:keepNext/>
        <w:keepLines/>
        <w:pageBreakBefore w:val="0"/>
        <w:widowControl/>
        <w:numPr>
          <w:ilvl w:val="0"/>
          <w:numId w:val="9"/>
        </w:numPr>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（采购文件中明确的所属行业）行业</w:t>
      </w:r>
      <w:r>
        <w:rPr>
          <w:rFonts w:hint="eastAsia" w:ascii="宋体" w:hAnsi="宋体" w:eastAsia="宋体" w:cs="宋体"/>
          <w:color w:val="auto"/>
          <w:spacing w:val="0"/>
          <w:sz w:val="24"/>
          <w:szCs w:val="24"/>
          <w:highlight w:val="none"/>
        </w:rPr>
        <w:t>；制造商为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 xml:space="preserve">； </w:t>
      </w:r>
    </w:p>
    <w:p w14:paraId="06B0C81C">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79C99C5D">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w:t>
      </w:r>
    </w:p>
    <w:p w14:paraId="0633B00F">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本企业对上述声明内容的真实性负责。如有虚假，将依法承担相应责任。 </w:t>
      </w:r>
    </w:p>
    <w:p w14:paraId="21A315D7">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p>
    <w:p w14:paraId="717DC191">
      <w:pPr>
        <w:keepNext/>
        <w:keepLines/>
        <w:pageBreakBefore w:val="0"/>
        <w:widowControl/>
        <w:shd w:val="clear" w:color="auto" w:fill="FFFFFF"/>
        <w:wordWrap/>
        <w:overflowPunct/>
        <w:topLinePunct w:val="0"/>
        <w:bidi w:val="0"/>
        <w:adjustRightInd w:val="0"/>
        <w:snapToGrid w:val="0"/>
        <w:spacing w:line="460" w:lineRule="exact"/>
        <w:ind w:firstLine="480" w:firstLineChars="20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企业名称（</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pacing w:val="0"/>
          <w:sz w:val="24"/>
          <w:szCs w:val="24"/>
          <w:highlight w:val="none"/>
        </w:rPr>
        <w:t>章）：</w:t>
      </w:r>
    </w:p>
    <w:p w14:paraId="0FAEA037">
      <w:pPr>
        <w:keepNext/>
        <w:keepLines/>
        <w:pageBreakBefore w:val="0"/>
        <w:widowControl/>
        <w:shd w:val="clear" w:color="auto" w:fill="FFFFFF"/>
        <w:wordWrap/>
        <w:overflowPunct/>
        <w:topLinePunct w:val="0"/>
        <w:bidi w:val="0"/>
        <w:adjustRightInd w:val="0"/>
        <w:snapToGrid w:val="0"/>
        <w:spacing w:line="460" w:lineRule="exact"/>
        <w:ind w:firstLine="4560" w:firstLineChars="19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日 期： </w:t>
      </w:r>
    </w:p>
    <w:p w14:paraId="71FF5A2F">
      <w:pPr>
        <w:keepNext/>
        <w:keepLines/>
        <w:pageBreakBefore w:val="0"/>
        <w:widowControl/>
        <w:shd w:val="clear" w:color="auto" w:fill="FFFFFF"/>
        <w:tabs>
          <w:tab w:val="left" w:pos="2895"/>
        </w:tabs>
        <w:wordWrap/>
        <w:overflowPunct/>
        <w:topLinePunct w:val="0"/>
        <w:bidi w:val="0"/>
        <w:adjustRightInd w:val="0"/>
        <w:snapToGrid w:val="0"/>
        <w:spacing w:line="460" w:lineRule="exact"/>
        <w:textAlignment w:val="baseline"/>
        <w:rPr>
          <w:rFonts w:hint="eastAsia" w:ascii="宋体" w:hAnsi="宋体" w:eastAsia="宋体" w:cs="宋体"/>
          <w:color w:val="auto"/>
          <w:spacing w:val="0"/>
          <w:sz w:val="24"/>
          <w:szCs w:val="24"/>
          <w:highlight w:val="none"/>
          <w:vertAlign w:val="superscript"/>
        </w:rPr>
      </w:pPr>
    </w:p>
    <w:p w14:paraId="0CBC5CE8">
      <w:pPr>
        <w:pStyle w:val="28"/>
        <w:keepNext/>
        <w:keepLines/>
        <w:pageBreakBefore w:val="0"/>
        <w:widowControl/>
        <w:shd w:val="clear" w:color="auto" w:fill="FFFFFF"/>
        <w:wordWrap/>
        <w:overflowPunct/>
        <w:topLinePunct w:val="0"/>
        <w:bidi w:val="0"/>
        <w:adjustRightInd w:val="0"/>
        <w:snapToGrid w:val="0"/>
        <w:spacing w:line="460" w:lineRule="exact"/>
        <w:ind w:firstLine="480" w:firstLineChars="200"/>
        <w:jc w:val="both"/>
        <w:rPr>
          <w:rFonts w:hint="eastAsia" w:ascii="宋体" w:hAnsi="宋体" w:eastAsia="宋体" w:cs="宋体"/>
          <w:color w:val="auto"/>
          <w:spacing w:val="20"/>
          <w:highlight w:val="none"/>
        </w:rPr>
      </w:pPr>
      <w:r>
        <w:rPr>
          <w:rFonts w:hint="eastAsia" w:ascii="宋体" w:hAnsi="宋体" w:eastAsia="宋体" w:cs="宋体"/>
          <w:color w:val="auto"/>
          <w:spacing w:val="0"/>
          <w:sz w:val="24"/>
          <w:highlight w:val="none"/>
        </w:rPr>
        <w:t>从业人员、营业收入、资产总额填报上一年度数据，无上一年度数据的新成立企业可不填报。</w:t>
      </w:r>
    </w:p>
    <w:p w14:paraId="6EB05C7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pacing w:val="20"/>
          <w:sz w:val="24"/>
          <w:szCs w:val="24"/>
          <w:highlight w:val="none"/>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color w:val="auto"/>
          <w:spacing w:val="20"/>
          <w:sz w:val="24"/>
          <w:szCs w:val="24"/>
          <w:highlight w:val="none"/>
        </w:rPr>
        <w:br w:type="page"/>
      </w:r>
    </w:p>
    <w:p w14:paraId="4D430D2B">
      <w:pPr>
        <w:tabs>
          <w:tab w:val="left" w:pos="1680"/>
        </w:tabs>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属于监狱企业的证明文件（若有的话填写）</w:t>
      </w:r>
    </w:p>
    <w:p w14:paraId="2552E963">
      <w:pPr>
        <w:tabs>
          <w:tab w:val="left" w:pos="1680"/>
        </w:tabs>
        <w:snapToGrid w:val="0"/>
        <w:spacing w:line="360" w:lineRule="auto"/>
        <w:ind w:firstLine="480" w:firstLineChars="200"/>
        <w:rPr>
          <w:rFonts w:hint="eastAsia" w:ascii="宋体" w:hAnsi="宋体" w:eastAsia="宋体" w:cs="宋体"/>
          <w:color w:val="auto"/>
          <w:sz w:val="24"/>
          <w:szCs w:val="22"/>
          <w:highlight w:val="none"/>
        </w:rPr>
      </w:pPr>
    </w:p>
    <w:p w14:paraId="1CBBF26E">
      <w:pPr>
        <w:pStyle w:val="21"/>
        <w:spacing w:line="440" w:lineRule="exact"/>
        <w:ind w:firstLine="480"/>
        <w:rPr>
          <w:rFonts w:hint="eastAsia" w:ascii="宋体" w:hAnsi="宋体" w:eastAsia="宋体" w:cs="宋体"/>
          <w:b/>
          <w:color w:val="auto"/>
          <w:kern w:val="13"/>
          <w:sz w:val="24"/>
          <w:highlight w:val="none"/>
        </w:rPr>
      </w:pPr>
      <w:r>
        <w:rPr>
          <w:rFonts w:hint="eastAsia" w:ascii="宋体" w:hAnsi="宋体" w:eastAsia="宋体" w:cs="宋体"/>
          <w:color w:val="auto"/>
          <w:sz w:val="24"/>
          <w:highlight w:val="none"/>
        </w:rPr>
        <w:t>监狱企业须提供由省级以上监狱管理局、戒毒管理局（含新疆生产建设兵团）出具的“属于监狱企业的证明文件”</w:t>
      </w:r>
      <w:r>
        <w:rPr>
          <w:rFonts w:hint="eastAsia" w:ascii="宋体" w:hAnsi="宋体" w:eastAsia="宋体" w:cs="宋体"/>
          <w:bCs/>
          <w:color w:val="auto"/>
          <w:sz w:val="24"/>
          <w:highlight w:val="none"/>
        </w:rPr>
        <w:t>。</w:t>
      </w:r>
    </w:p>
    <w:p w14:paraId="3EAA326B">
      <w:pPr>
        <w:pStyle w:val="21"/>
        <w:ind w:firstLine="602"/>
        <w:rPr>
          <w:rFonts w:hint="eastAsia" w:ascii="宋体" w:hAnsi="宋体" w:eastAsia="宋体" w:cs="宋体"/>
          <w:b/>
          <w:color w:val="auto"/>
          <w:kern w:val="13"/>
          <w:sz w:val="30"/>
          <w:szCs w:val="30"/>
          <w:highlight w:val="none"/>
        </w:rPr>
      </w:pPr>
    </w:p>
    <w:p w14:paraId="482C79C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176301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pacing w:val="6"/>
          <w:sz w:val="24"/>
          <w:szCs w:val="24"/>
          <w:highlight w:val="none"/>
          <w:lang w:bidi="ar"/>
        </w:rPr>
        <w:t>残疾人福利性单位声明函</w:t>
      </w:r>
      <w:bookmarkEnd w:id="127"/>
      <w:bookmarkEnd w:id="128"/>
      <w:r>
        <w:rPr>
          <w:rFonts w:hint="eastAsia" w:ascii="宋体" w:hAnsi="宋体" w:eastAsia="宋体" w:cs="宋体"/>
          <w:b/>
          <w:bCs/>
          <w:color w:val="auto"/>
          <w:sz w:val="24"/>
          <w:szCs w:val="24"/>
          <w:highlight w:val="none"/>
        </w:rPr>
        <w:t>（若有的话填写）</w:t>
      </w:r>
    </w:p>
    <w:p w14:paraId="10C963E4">
      <w:pPr>
        <w:keepNext/>
        <w:keepLines/>
        <w:pageBreakBefore w:val="0"/>
        <w:widowControl/>
        <w:shd w:val="clear" w:color="auto" w:fill="FFFFFF"/>
        <w:wordWrap/>
        <w:overflowPunct/>
        <w:topLinePunct w:val="0"/>
        <w:bidi w:val="0"/>
        <w:spacing w:line="460" w:lineRule="exact"/>
        <w:rPr>
          <w:rFonts w:hint="eastAsia" w:ascii="宋体" w:hAnsi="宋体" w:eastAsia="宋体" w:cs="宋体"/>
          <w:b/>
          <w:color w:val="auto"/>
          <w:spacing w:val="6"/>
          <w:sz w:val="24"/>
          <w:szCs w:val="24"/>
          <w:highlight w:val="none"/>
          <w:lang w:bidi="ar"/>
        </w:rPr>
      </w:pPr>
    </w:p>
    <w:p w14:paraId="772D0E87">
      <w:pPr>
        <w:keepNext/>
        <w:keepLines/>
        <w:pageBreakBefore w:val="0"/>
        <w:widowControl/>
        <w:shd w:val="clear" w:color="auto" w:fill="FFFFFF"/>
        <w:wordWrap/>
        <w:overflowPunct/>
        <w:topLinePunct w:val="0"/>
        <w:bidi w:val="0"/>
        <w:spacing w:line="460" w:lineRule="exact"/>
        <w:ind w:firstLine="504" w:firstLineChars="200"/>
        <w:rPr>
          <w:rFonts w:hint="eastAsia" w:ascii="宋体" w:hAnsi="宋体" w:eastAsia="宋体" w:cs="宋体"/>
          <w:color w:val="auto"/>
          <w:spacing w:val="6"/>
          <w:sz w:val="24"/>
          <w:szCs w:val="24"/>
          <w:highlight w:val="none"/>
          <w:lang w:bidi="ar"/>
        </w:rPr>
      </w:pPr>
      <w:r>
        <w:rPr>
          <w:rFonts w:hint="eastAsia" w:ascii="宋体" w:hAnsi="宋体" w:eastAsia="宋体" w:cs="宋体"/>
          <w:color w:val="auto"/>
          <w:spacing w:val="6"/>
          <w:sz w:val="24"/>
          <w:szCs w:val="24"/>
          <w:highlight w:val="none"/>
          <w:lang w:bidi="ar"/>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lang w:bidi="ar"/>
        </w:rPr>
        <w:t>〔2017〕 141</w:t>
      </w:r>
      <w:r>
        <w:rPr>
          <w:rFonts w:hint="eastAsia" w:ascii="宋体" w:hAnsi="宋体" w:eastAsia="宋体" w:cs="宋体"/>
          <w:color w:val="auto"/>
          <w:spacing w:val="6"/>
          <w:sz w:val="24"/>
          <w:szCs w:val="24"/>
          <w:highlight w:val="none"/>
          <w:lang w:bidi="ar"/>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D55810C">
      <w:pPr>
        <w:keepNext/>
        <w:keepLines/>
        <w:pageBreakBefore w:val="0"/>
        <w:widowControl/>
        <w:shd w:val="clear" w:color="auto" w:fill="FFFFFF"/>
        <w:wordWrap/>
        <w:overflowPunct/>
        <w:topLinePunct w:val="0"/>
        <w:bidi w:val="0"/>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bidi="ar"/>
        </w:rPr>
        <w:t>本单位对上述声明的真实性负责。如有虚假，将依法承担相应责任。</w:t>
      </w:r>
    </w:p>
    <w:p w14:paraId="55F853A8">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exact"/>
        <w:ind w:left="6529" w:leftChars="2400" w:hanging="1489" w:hangingChars="591"/>
        <w:jc w:val="both"/>
        <w:rPr>
          <w:rFonts w:hint="eastAsia" w:ascii="宋体" w:hAnsi="宋体" w:eastAsia="宋体" w:cs="宋体"/>
          <w:color w:val="auto"/>
          <w:spacing w:val="6"/>
          <w:highlight w:val="none"/>
          <w:lang w:bidi="ar"/>
        </w:rPr>
      </w:pPr>
      <w:r>
        <w:rPr>
          <w:rFonts w:hint="eastAsia" w:ascii="宋体" w:hAnsi="宋体" w:eastAsia="宋体" w:cs="宋体"/>
          <w:color w:val="auto"/>
          <w:spacing w:val="6"/>
          <w:highlight w:val="none"/>
          <w:lang w:bidi="ar"/>
        </w:rPr>
        <w:t xml:space="preserve">               </w:t>
      </w:r>
    </w:p>
    <w:p w14:paraId="2FC7F88D">
      <w:pPr>
        <w:keepNext/>
        <w:keepLines/>
        <w:pageBreakBefore w:val="0"/>
        <w:widowControl/>
        <w:shd w:val="clear" w:color="auto" w:fill="FFFFFF"/>
        <w:wordWrap/>
        <w:overflowPunct/>
        <w:topLinePunct w:val="0"/>
        <w:bidi w:val="0"/>
        <w:spacing w:line="460" w:lineRule="exact"/>
        <w:ind w:left="8085" w:leftChars="1050" w:hanging="5880" w:hangingChars="2450"/>
        <w:jc w:val="right"/>
        <w:rPr>
          <w:rFonts w:hint="eastAsia" w:ascii="宋体" w:hAnsi="宋体" w:eastAsia="宋体" w:cs="宋体"/>
          <w:color w:val="auto"/>
          <w:sz w:val="24"/>
          <w:szCs w:val="24"/>
          <w:highlight w:val="none"/>
        </w:rPr>
      </w:pPr>
    </w:p>
    <w:p w14:paraId="2E62D222">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7CCDDA4D">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6E1B2FDC">
      <w:pPr>
        <w:keepNext/>
        <w:keepLines/>
        <w:pageBreakBefore w:val="0"/>
        <w:widowControl/>
        <w:shd w:val="clear" w:color="auto" w:fill="FFFFFF"/>
        <w:tabs>
          <w:tab w:val="left" w:pos="4000"/>
        </w:tabs>
        <w:wordWrap/>
        <w:overflowPunct/>
        <w:topLinePunct w:val="0"/>
        <w:bidi w:val="0"/>
        <w:spacing w:line="32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51350D42">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24B0EA55">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DE84C68">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lang w:bidi="ar"/>
        </w:rPr>
      </w:pPr>
    </w:p>
    <w:p w14:paraId="4F4027FF">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lang w:bidi="ar"/>
        </w:rPr>
      </w:pPr>
    </w:p>
    <w:p w14:paraId="2663CCEF">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注：中标人为残疾人福利性单位的，随中标结果同时公告其《残疾人福利性单位声明函》。</w:t>
      </w:r>
    </w:p>
    <w:p w14:paraId="0A8AB4D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lang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color w:val="auto"/>
          <w:sz w:val="24"/>
          <w:szCs w:val="24"/>
          <w:highlight w:val="none"/>
          <w:lang w:bidi="ar"/>
        </w:rPr>
        <w:br w:type="page"/>
      </w:r>
    </w:p>
    <w:p w14:paraId="38C5842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小、微企业/残疾人福利性单位提供货物、服务明细表格式</w:t>
      </w:r>
    </w:p>
    <w:p w14:paraId="7A17364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（以包为单位分别填写）</w:t>
      </w:r>
    </w:p>
    <w:p w14:paraId="1D066BF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（若有的话填写）</w:t>
      </w:r>
    </w:p>
    <w:p w14:paraId="3C7967FC">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u w:val="single"/>
        </w:rPr>
        <w:t xml:space="preserve">                                  </w:t>
      </w:r>
    </w:p>
    <w:p w14:paraId="27944A09">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项目编号：    </w:t>
      </w:r>
      <w:r>
        <w:rPr>
          <w:rFonts w:hint="eastAsia" w:ascii="宋体" w:hAnsi="宋体" w:eastAsia="宋体" w:cs="宋体"/>
          <w:color w:val="auto"/>
          <w:sz w:val="24"/>
          <w:szCs w:val="24"/>
          <w:highlight w:val="none"/>
          <w:u w:val="single"/>
        </w:rPr>
        <w:t xml:space="preserve">                                   </w:t>
      </w:r>
    </w:p>
    <w:p w14:paraId="253F0F9B">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3C2726">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81"/>
        <w:gridCol w:w="700"/>
        <w:gridCol w:w="932"/>
        <w:gridCol w:w="1050"/>
        <w:gridCol w:w="583"/>
        <w:gridCol w:w="1050"/>
        <w:gridCol w:w="1748"/>
        <w:gridCol w:w="1837"/>
      </w:tblGrid>
      <w:tr w14:paraId="1934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7E7613F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55635CA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4EE352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F04E8B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991A7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产地及厂家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1F9DB1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F73B3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1748" w:type="dxa"/>
            <w:tcBorders>
              <w:top w:val="single" w:color="auto" w:sz="4" w:space="0"/>
              <w:left w:val="single" w:color="auto" w:sz="4" w:space="0"/>
              <w:bottom w:val="single" w:color="auto" w:sz="4" w:space="0"/>
              <w:right w:val="single" w:color="auto" w:sz="4" w:space="0"/>
            </w:tcBorders>
            <w:noWrap w:val="0"/>
            <w:vAlign w:val="center"/>
          </w:tcPr>
          <w:p w14:paraId="26F2E67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代理小、微企业产品价格总价</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5814E5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残疾人福利单位产品</w:t>
            </w:r>
          </w:p>
          <w:p w14:paraId="4EF3E47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价格总价</w:t>
            </w:r>
          </w:p>
        </w:tc>
      </w:tr>
      <w:tr w14:paraId="1800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7AB1F4A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510F7AF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F46D2D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7A5565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96DC3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6657824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6847C5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13462AA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82E2B3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r>
      <w:tr w14:paraId="1FC0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0955260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FB4333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23F33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5E87FE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9FEA3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0415CD6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B6363B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1A1A898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A3FFB2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r>
      <w:tr w14:paraId="07A4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34B00A7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0B8DEAB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FAE94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C61C3F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E67667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7EEAB12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18100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22775E7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FFDDE5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r>
      <w:tr w14:paraId="5791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230059D6">
            <w:pPr>
              <w:keepNext/>
              <w:keepLines/>
              <w:pageBreakBefore w:val="0"/>
              <w:widowControl/>
              <w:shd w:val="clear" w:color="auto" w:fill="FFFFFF"/>
              <w:wordWrap/>
              <w:overflowPunct/>
              <w:topLinePunct w:val="0"/>
              <w:bidi w:val="0"/>
              <w:spacing w:line="460" w:lineRule="exact"/>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0DC44E1C">
            <w:pPr>
              <w:keepNext/>
              <w:keepLines/>
              <w:pageBreakBefore w:val="0"/>
              <w:widowControl/>
              <w:shd w:val="clear" w:color="auto" w:fill="FFFFFF"/>
              <w:wordWrap/>
              <w:overflowPunct/>
              <w:topLinePunct w:val="0"/>
              <w:bidi w:val="0"/>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代理小、微企业产品价格合计：</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48BFD6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残疾人福利单位产品价格合计：</w:t>
            </w:r>
          </w:p>
        </w:tc>
      </w:tr>
    </w:tbl>
    <w:p w14:paraId="2D3CF66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说明：投标人如实填写表格，无相应内容可填的，填写“无”、“未测试”、“没有相应指标”等明确的回答文字，或用“/”来表示。</w:t>
      </w:r>
    </w:p>
    <w:p w14:paraId="53F76039">
      <w:pPr>
        <w:keepNext/>
        <w:keepLines/>
        <w:pageBreakBefore w:val="0"/>
        <w:widowControl/>
        <w:shd w:val="clear" w:color="auto" w:fill="FFFFFF"/>
        <w:wordWrap/>
        <w:overflowPunct/>
        <w:topLinePunct w:val="0"/>
        <w:bidi w:val="0"/>
        <w:spacing w:line="460" w:lineRule="exact"/>
        <w:ind w:left="8085" w:leftChars="1050" w:hanging="5880" w:hangingChars="2450"/>
        <w:jc w:val="right"/>
        <w:rPr>
          <w:rFonts w:hint="eastAsia" w:ascii="宋体" w:hAnsi="宋体" w:eastAsia="宋体" w:cs="宋体"/>
          <w:color w:val="auto"/>
          <w:sz w:val="24"/>
          <w:szCs w:val="24"/>
          <w:highlight w:val="none"/>
        </w:rPr>
      </w:pPr>
    </w:p>
    <w:p w14:paraId="4630DA96">
      <w:pPr>
        <w:keepNext/>
        <w:keepLines/>
        <w:pageBreakBefore w:val="0"/>
        <w:widowControl/>
        <w:shd w:val="clear" w:color="auto" w:fill="FFFFFF"/>
        <w:wordWrap/>
        <w:overflowPunct/>
        <w:topLinePunct w:val="0"/>
        <w:bidi w:val="0"/>
        <w:spacing w:line="460" w:lineRule="exact"/>
        <w:ind w:left="8085" w:leftChars="1050" w:hanging="5880" w:hangingChars="2450"/>
        <w:jc w:val="right"/>
        <w:rPr>
          <w:rFonts w:hint="eastAsia" w:ascii="宋体" w:hAnsi="宋体" w:eastAsia="宋体" w:cs="宋体"/>
          <w:color w:val="auto"/>
          <w:sz w:val="24"/>
          <w:szCs w:val="24"/>
          <w:highlight w:val="none"/>
        </w:rPr>
      </w:pPr>
    </w:p>
    <w:p w14:paraId="728AE835">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 xml:space="preserve">章)  </w:t>
      </w:r>
    </w:p>
    <w:p w14:paraId="3A233432">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49D2F4EC">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58D7B566">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17F6E81B">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64BFEF">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lang w:bidi="ar"/>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0E8CF21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r>
        <w:rPr>
          <w:rFonts w:hint="eastAsia" w:ascii="宋体" w:hAnsi="宋体" w:eastAsia="宋体" w:cs="宋体"/>
          <w:b/>
          <w:color w:val="auto"/>
          <w:spacing w:val="6"/>
          <w:sz w:val="24"/>
          <w:szCs w:val="24"/>
          <w:highlight w:val="none"/>
          <w:lang w:val="en-US" w:eastAsia="zh-CN" w:bidi="ar"/>
        </w:rPr>
        <w:t>创新产品或创新服务明细表（若有的话填写；如不涉及，此表可不提供）</w:t>
      </w:r>
    </w:p>
    <w:p w14:paraId="4204DBB4">
      <w:pPr>
        <w:keepNext/>
        <w:keepLines/>
        <w:pageBreakBefore w:val="0"/>
        <w:widowControl/>
        <w:wordWrap/>
        <w:overflowPunct/>
        <w:topLinePunct w:val="0"/>
        <w:bidi w:val="0"/>
        <w:spacing w:before="114" w:line="228" w:lineRule="auto"/>
        <w:ind w:left="3201"/>
        <w:rPr>
          <w:rFonts w:hint="eastAsia" w:ascii="宋体" w:hAnsi="宋体" w:eastAsia="宋体" w:cs="宋体"/>
          <w:color w:val="auto"/>
          <w:sz w:val="20"/>
          <w:szCs w:val="20"/>
          <w:highlight w:val="none"/>
        </w:rPr>
      </w:pPr>
    </w:p>
    <w:p w14:paraId="3F9AC88B">
      <w:pPr>
        <w:keepNext/>
        <w:keepLines/>
        <w:pageBreakBefore w:val="0"/>
        <w:widowControl/>
        <w:wordWrap/>
        <w:overflowPunct/>
        <w:topLinePunct w:val="0"/>
        <w:bidi w:val="0"/>
        <w:spacing w:before="191" w:line="389" w:lineRule="auto"/>
        <w:ind w:left="10" w:right="8274"/>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项目名称：</w:t>
      </w:r>
      <w:r>
        <w:rPr>
          <w:rFonts w:hint="eastAsia" w:ascii="宋体" w:hAnsi="宋体" w:eastAsia="宋体" w:cs="宋体"/>
          <w:color w:val="auto"/>
          <w:spacing w:val="3"/>
          <w:sz w:val="24"/>
          <w:szCs w:val="24"/>
          <w:highlight w:val="none"/>
        </w:rPr>
        <w:t xml:space="preserve"> </w:t>
      </w:r>
    </w:p>
    <w:p w14:paraId="381DD0AB">
      <w:pPr>
        <w:keepNext/>
        <w:keepLines/>
        <w:pageBreakBefore w:val="0"/>
        <w:widowControl/>
        <w:wordWrap/>
        <w:overflowPunct/>
        <w:topLinePunct w:val="0"/>
        <w:bidi w:val="0"/>
        <w:spacing w:before="191" w:line="389" w:lineRule="auto"/>
        <w:ind w:left="10" w:right="82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项目编号：</w:t>
      </w:r>
    </w:p>
    <w:p w14:paraId="58767EB7">
      <w:pPr>
        <w:keepNext/>
        <w:keepLines/>
        <w:pageBreakBefore w:val="0"/>
        <w:widowControl/>
        <w:wordWrap/>
        <w:overflowPunct/>
        <w:topLinePunct w:val="0"/>
        <w:bidi w:val="0"/>
        <w:spacing w:before="34" w:line="227" w:lineRule="auto"/>
        <w:ind w:left="750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货币：人民币/元</w:t>
      </w:r>
    </w:p>
    <w:p w14:paraId="2C6E167B">
      <w:pPr>
        <w:keepNext/>
        <w:keepLines/>
        <w:pageBreakBefore w:val="0"/>
        <w:widowControl/>
        <w:wordWrap/>
        <w:overflowPunct/>
        <w:topLinePunct w:val="0"/>
        <w:bidi w:val="0"/>
        <w:spacing w:line="78" w:lineRule="exact"/>
        <w:rPr>
          <w:rFonts w:hint="eastAsia" w:ascii="宋体" w:hAnsi="宋体" w:eastAsia="宋体" w:cs="宋体"/>
          <w:color w:val="auto"/>
          <w:sz w:val="24"/>
          <w:szCs w:val="24"/>
          <w:highlight w:val="none"/>
        </w:rPr>
      </w:pPr>
    </w:p>
    <w:tbl>
      <w:tblPr>
        <w:tblStyle w:val="34"/>
        <w:tblW w:w="8993"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518"/>
        <w:gridCol w:w="1702"/>
        <w:gridCol w:w="944"/>
        <w:gridCol w:w="860"/>
        <w:gridCol w:w="859"/>
      </w:tblGrid>
      <w:tr w14:paraId="1F8F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72" w:type="dxa"/>
            <w:noWrap w:val="0"/>
            <w:vAlign w:val="top"/>
          </w:tcPr>
          <w:p w14:paraId="2506D912">
            <w:pPr>
              <w:pStyle w:val="33"/>
              <w:keepNext/>
              <w:keepLines/>
              <w:pageBreakBefore w:val="0"/>
              <w:widowControl/>
              <w:wordWrap/>
              <w:overflowPunct/>
              <w:topLinePunct w:val="0"/>
              <w:bidi w:val="0"/>
              <w:spacing w:before="109" w:line="226" w:lineRule="auto"/>
              <w:ind w:left="114"/>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序号</w:t>
            </w:r>
          </w:p>
        </w:tc>
        <w:tc>
          <w:tcPr>
            <w:tcW w:w="1446" w:type="dxa"/>
            <w:noWrap w:val="0"/>
            <w:vAlign w:val="top"/>
          </w:tcPr>
          <w:p w14:paraId="0C5288B1">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货物名称</w:t>
            </w:r>
          </w:p>
        </w:tc>
        <w:tc>
          <w:tcPr>
            <w:tcW w:w="992" w:type="dxa"/>
            <w:noWrap w:val="0"/>
            <w:vAlign w:val="top"/>
          </w:tcPr>
          <w:p w14:paraId="60166875">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品牌</w:t>
            </w:r>
          </w:p>
        </w:tc>
        <w:tc>
          <w:tcPr>
            <w:tcW w:w="1518" w:type="dxa"/>
            <w:noWrap w:val="0"/>
            <w:vAlign w:val="top"/>
          </w:tcPr>
          <w:p w14:paraId="7E59AD6E">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规格型号</w:t>
            </w:r>
          </w:p>
        </w:tc>
        <w:tc>
          <w:tcPr>
            <w:tcW w:w="1702" w:type="dxa"/>
            <w:noWrap w:val="0"/>
            <w:vAlign w:val="top"/>
          </w:tcPr>
          <w:p w14:paraId="243FD40D">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产地及</w:t>
            </w:r>
            <w:r>
              <w:rPr>
                <w:rFonts w:hint="eastAsia" w:ascii="宋体" w:hAnsi="宋体" w:eastAsia="宋体" w:cs="宋体"/>
                <w:color w:val="auto"/>
                <w:spacing w:val="9"/>
                <w:sz w:val="24"/>
                <w:szCs w:val="24"/>
                <w:highlight w:val="none"/>
                <w:lang w:eastAsia="zh-CN"/>
              </w:rPr>
              <w:t>厂</w:t>
            </w:r>
            <w:r>
              <w:rPr>
                <w:rFonts w:hint="eastAsia" w:ascii="宋体" w:hAnsi="宋体" w:eastAsia="宋体" w:cs="宋体"/>
                <w:color w:val="auto"/>
                <w:spacing w:val="9"/>
                <w:sz w:val="24"/>
                <w:szCs w:val="24"/>
                <w:highlight w:val="none"/>
              </w:rPr>
              <w:t>家</w:t>
            </w:r>
          </w:p>
        </w:tc>
        <w:tc>
          <w:tcPr>
            <w:tcW w:w="944" w:type="dxa"/>
            <w:noWrap w:val="0"/>
            <w:vAlign w:val="top"/>
          </w:tcPr>
          <w:p w14:paraId="0BD06D40">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数量</w:t>
            </w:r>
          </w:p>
        </w:tc>
        <w:tc>
          <w:tcPr>
            <w:tcW w:w="860" w:type="dxa"/>
            <w:noWrap w:val="0"/>
            <w:vAlign w:val="top"/>
          </w:tcPr>
          <w:p w14:paraId="0CFDD8A4">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单价</w:t>
            </w:r>
          </w:p>
        </w:tc>
        <w:tc>
          <w:tcPr>
            <w:tcW w:w="859" w:type="dxa"/>
            <w:noWrap w:val="0"/>
            <w:vAlign w:val="top"/>
          </w:tcPr>
          <w:p w14:paraId="3082EA8B">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总价</w:t>
            </w:r>
          </w:p>
        </w:tc>
      </w:tr>
      <w:tr w14:paraId="09B4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2" w:type="dxa"/>
            <w:noWrap w:val="0"/>
            <w:vAlign w:val="top"/>
          </w:tcPr>
          <w:p w14:paraId="23376DF2">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446" w:type="dxa"/>
            <w:noWrap w:val="0"/>
            <w:vAlign w:val="top"/>
          </w:tcPr>
          <w:p w14:paraId="550A459B">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92" w:type="dxa"/>
            <w:noWrap w:val="0"/>
            <w:vAlign w:val="top"/>
          </w:tcPr>
          <w:p w14:paraId="37AB7753">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518" w:type="dxa"/>
            <w:noWrap w:val="0"/>
            <w:vAlign w:val="top"/>
          </w:tcPr>
          <w:p w14:paraId="73B37DB1">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702" w:type="dxa"/>
            <w:noWrap w:val="0"/>
            <w:vAlign w:val="top"/>
          </w:tcPr>
          <w:p w14:paraId="7A1D2A16">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44" w:type="dxa"/>
            <w:noWrap w:val="0"/>
            <w:vAlign w:val="top"/>
          </w:tcPr>
          <w:p w14:paraId="49874966">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60" w:type="dxa"/>
            <w:noWrap w:val="0"/>
            <w:vAlign w:val="top"/>
          </w:tcPr>
          <w:p w14:paraId="7F080F2D">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59" w:type="dxa"/>
            <w:noWrap w:val="0"/>
            <w:vAlign w:val="top"/>
          </w:tcPr>
          <w:p w14:paraId="6AFAD894">
            <w:pPr>
              <w:keepNext/>
              <w:keepLines/>
              <w:pageBreakBefore w:val="0"/>
              <w:widowControl/>
              <w:wordWrap/>
              <w:overflowPunct/>
              <w:topLinePunct w:val="0"/>
              <w:bidi w:val="0"/>
              <w:rPr>
                <w:rFonts w:hint="eastAsia" w:ascii="宋体" w:hAnsi="宋体" w:eastAsia="宋体" w:cs="宋体"/>
                <w:color w:val="auto"/>
                <w:sz w:val="24"/>
                <w:szCs w:val="24"/>
                <w:highlight w:val="none"/>
              </w:rPr>
            </w:pPr>
          </w:p>
        </w:tc>
      </w:tr>
      <w:tr w14:paraId="17764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72" w:type="dxa"/>
            <w:noWrap w:val="0"/>
            <w:vAlign w:val="top"/>
          </w:tcPr>
          <w:p w14:paraId="30E4E0BD">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446" w:type="dxa"/>
            <w:noWrap w:val="0"/>
            <w:vAlign w:val="top"/>
          </w:tcPr>
          <w:p w14:paraId="0DB33421">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92" w:type="dxa"/>
            <w:noWrap w:val="0"/>
            <w:vAlign w:val="top"/>
          </w:tcPr>
          <w:p w14:paraId="57CB9877">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518" w:type="dxa"/>
            <w:noWrap w:val="0"/>
            <w:vAlign w:val="top"/>
          </w:tcPr>
          <w:p w14:paraId="7B05967F">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702" w:type="dxa"/>
            <w:noWrap w:val="0"/>
            <w:vAlign w:val="top"/>
          </w:tcPr>
          <w:p w14:paraId="2997F6BC">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44" w:type="dxa"/>
            <w:noWrap w:val="0"/>
            <w:vAlign w:val="top"/>
          </w:tcPr>
          <w:p w14:paraId="518428DA">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60" w:type="dxa"/>
            <w:noWrap w:val="0"/>
            <w:vAlign w:val="top"/>
          </w:tcPr>
          <w:p w14:paraId="1700AF12">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59" w:type="dxa"/>
            <w:noWrap w:val="0"/>
            <w:vAlign w:val="top"/>
          </w:tcPr>
          <w:p w14:paraId="41E5D691">
            <w:pPr>
              <w:keepNext/>
              <w:keepLines/>
              <w:pageBreakBefore w:val="0"/>
              <w:widowControl/>
              <w:wordWrap/>
              <w:overflowPunct/>
              <w:topLinePunct w:val="0"/>
              <w:bidi w:val="0"/>
              <w:rPr>
                <w:rFonts w:hint="eastAsia" w:ascii="宋体" w:hAnsi="宋体" w:eastAsia="宋体" w:cs="宋体"/>
                <w:color w:val="auto"/>
                <w:sz w:val="24"/>
                <w:szCs w:val="24"/>
                <w:highlight w:val="none"/>
              </w:rPr>
            </w:pPr>
          </w:p>
        </w:tc>
      </w:tr>
      <w:tr w14:paraId="203E9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993" w:type="dxa"/>
            <w:gridSpan w:val="8"/>
            <w:noWrap w:val="0"/>
            <w:vAlign w:val="top"/>
          </w:tcPr>
          <w:p w14:paraId="23223CB4">
            <w:pPr>
              <w:pStyle w:val="33"/>
              <w:keepNext/>
              <w:keepLines/>
              <w:pageBreakBefore w:val="0"/>
              <w:widowControl/>
              <w:wordWrap/>
              <w:overflowPunct/>
              <w:topLinePunct w:val="0"/>
              <w:bidi w:val="0"/>
              <w:spacing w:before="109" w:line="226"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创新产品或创新服务价格合计：</w:t>
            </w:r>
          </w:p>
        </w:tc>
      </w:tr>
    </w:tbl>
    <w:p w14:paraId="05CA5502">
      <w:pPr>
        <w:keepNext/>
        <w:keepLines/>
        <w:pageBreakBefore w:val="0"/>
        <w:widowControl/>
        <w:wordWrap/>
        <w:overflowPunct/>
        <w:topLinePunct w:val="0"/>
        <w:bidi w:val="0"/>
        <w:spacing w:before="112" w:line="228" w:lineRule="auto"/>
        <w:ind w:left="4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说明：</w:t>
      </w:r>
    </w:p>
    <w:p w14:paraId="07535E9C">
      <w:pPr>
        <w:keepNext/>
        <w:keepLines/>
        <w:pageBreakBefore w:val="0"/>
        <w:widowControl/>
        <w:wordWrap/>
        <w:overflowPunct/>
        <w:topLinePunct w:val="0"/>
        <w:bidi w:val="0"/>
        <w:spacing w:before="193" w:line="315" w:lineRule="auto"/>
        <w:ind w:left="8" w:firstLine="43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（1）投标人如实填写表格，无相应内容可填的，填</w:t>
      </w:r>
      <w:r>
        <w:rPr>
          <w:rFonts w:hint="eastAsia" w:ascii="宋体" w:hAnsi="宋体" w:eastAsia="宋体" w:cs="宋体"/>
          <w:color w:val="auto"/>
          <w:spacing w:val="10"/>
          <w:sz w:val="24"/>
          <w:szCs w:val="24"/>
          <w:highlight w:val="none"/>
        </w:rPr>
        <w:t>写“无</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10"/>
          <w:sz w:val="24"/>
          <w:szCs w:val="24"/>
          <w:highlight w:val="none"/>
        </w:rPr>
        <w:t>”、“未测试</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0"/>
          <w:sz w:val="24"/>
          <w:szCs w:val="24"/>
          <w:highlight w:val="none"/>
        </w:rPr>
        <w:t>”、“没有相应指标</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等明确的回答文字，或用“/</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7"/>
          <w:sz w:val="24"/>
          <w:szCs w:val="24"/>
          <w:highlight w:val="none"/>
        </w:rPr>
        <w:t>”来表示。</w:t>
      </w:r>
    </w:p>
    <w:p w14:paraId="4D829D92">
      <w:pPr>
        <w:keepNext/>
        <w:keepLines/>
        <w:pageBreakBefore w:val="0"/>
        <w:widowControl/>
        <w:wordWrap/>
        <w:overflowPunct/>
        <w:topLinePunct w:val="0"/>
        <w:bidi w:val="0"/>
        <w:spacing w:before="193" w:line="315" w:lineRule="auto"/>
        <w:ind w:left="7" w:right="205" w:firstLine="43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（2）投标人投报产品包含创新产品或创新服务，需填写此表后，提供《山</w:t>
      </w:r>
      <w:r>
        <w:rPr>
          <w:rFonts w:hint="eastAsia" w:ascii="宋体" w:hAnsi="宋体" w:eastAsia="宋体" w:cs="宋体"/>
          <w:color w:val="auto"/>
          <w:spacing w:val="7"/>
          <w:sz w:val="24"/>
          <w:szCs w:val="24"/>
          <w:highlight w:val="none"/>
        </w:rPr>
        <w:t>西省创新产品和服务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推荐清单》。</w:t>
      </w:r>
    </w:p>
    <w:p w14:paraId="4B4E4F58">
      <w:pPr>
        <w:pStyle w:val="8"/>
        <w:keepNext/>
        <w:keepLines/>
        <w:pageBreakBefore w:val="0"/>
        <w:widowControl/>
        <w:wordWrap/>
        <w:overflowPunct/>
        <w:topLinePunct w:val="0"/>
        <w:bidi w:val="0"/>
        <w:spacing w:line="271" w:lineRule="auto"/>
        <w:rPr>
          <w:rFonts w:hint="eastAsia" w:ascii="宋体" w:hAnsi="宋体" w:eastAsia="宋体" w:cs="宋体"/>
          <w:color w:val="auto"/>
          <w:sz w:val="24"/>
          <w:szCs w:val="24"/>
          <w:highlight w:val="none"/>
        </w:rPr>
      </w:pPr>
    </w:p>
    <w:p w14:paraId="0C021AEA">
      <w:pPr>
        <w:pStyle w:val="8"/>
        <w:keepNext/>
        <w:keepLines/>
        <w:pageBreakBefore w:val="0"/>
        <w:widowControl/>
        <w:wordWrap/>
        <w:overflowPunct/>
        <w:topLinePunct w:val="0"/>
        <w:bidi w:val="0"/>
        <w:spacing w:line="271" w:lineRule="auto"/>
        <w:rPr>
          <w:rFonts w:hint="eastAsia" w:ascii="宋体" w:hAnsi="宋体" w:eastAsia="宋体" w:cs="宋体"/>
          <w:color w:val="auto"/>
          <w:sz w:val="24"/>
          <w:szCs w:val="24"/>
          <w:highlight w:val="none"/>
        </w:rPr>
      </w:pPr>
    </w:p>
    <w:p w14:paraId="5C60E4B8">
      <w:pPr>
        <w:pStyle w:val="8"/>
        <w:keepNext/>
        <w:keepLines/>
        <w:pageBreakBefore w:val="0"/>
        <w:widowControl/>
        <w:wordWrap/>
        <w:overflowPunct/>
        <w:topLinePunct w:val="0"/>
        <w:bidi w:val="0"/>
        <w:spacing w:line="271" w:lineRule="auto"/>
        <w:rPr>
          <w:rFonts w:hint="eastAsia" w:ascii="宋体" w:hAnsi="宋体" w:eastAsia="宋体" w:cs="宋体"/>
          <w:color w:val="auto"/>
          <w:sz w:val="24"/>
          <w:szCs w:val="24"/>
          <w:highlight w:val="none"/>
        </w:rPr>
      </w:pPr>
    </w:p>
    <w:p w14:paraId="74F3B09A">
      <w:pPr>
        <w:keepNext/>
        <w:keepLines/>
        <w:pageBreakBefore w:val="0"/>
        <w:widowControl/>
        <w:wordWrap/>
        <w:overflowPunct/>
        <w:topLinePunct w:val="0"/>
        <w:bidi w:val="0"/>
        <w:spacing w:before="65" w:line="353" w:lineRule="auto"/>
        <w:ind w:right="3070"/>
        <w:jc w:val="right"/>
        <w:rPr>
          <w:rFonts w:hint="eastAsia" w:ascii="宋体" w:hAnsi="宋体" w:eastAsia="宋体" w:cs="宋体"/>
          <w:color w:val="auto"/>
          <w:spacing w:val="2"/>
          <w:sz w:val="24"/>
          <w:szCs w:val="24"/>
          <w:highlight w:val="none"/>
        </w:rPr>
      </w:pPr>
      <w:r>
        <w:rPr>
          <w:rFonts w:hint="eastAsia" w:ascii="宋体" w:hAnsi="宋体" w:eastAsia="宋体" w:cs="宋体"/>
          <w:color w:val="auto"/>
          <w:spacing w:val="5"/>
          <w:sz w:val="24"/>
          <w:szCs w:val="24"/>
          <w:highlight w:val="none"/>
        </w:rPr>
        <w:t>单位名称(全称并加盖</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pacing w:val="5"/>
          <w:sz w:val="24"/>
          <w:szCs w:val="24"/>
          <w:highlight w:val="none"/>
        </w:rPr>
        <w:t>章)：</w:t>
      </w:r>
      <w:r>
        <w:rPr>
          <w:rFonts w:hint="eastAsia" w:ascii="宋体" w:hAnsi="宋体" w:eastAsia="宋体" w:cs="宋体"/>
          <w:color w:val="auto"/>
          <w:spacing w:val="2"/>
          <w:sz w:val="24"/>
          <w:szCs w:val="24"/>
          <w:highlight w:val="none"/>
        </w:rPr>
        <w:t xml:space="preserve"> </w:t>
      </w:r>
    </w:p>
    <w:p w14:paraId="15641C6D">
      <w:pPr>
        <w:keepNext/>
        <w:keepLines/>
        <w:pageBreakBefore w:val="0"/>
        <w:widowControl/>
        <w:wordWrap/>
        <w:overflowPunct/>
        <w:topLinePunct w:val="0"/>
        <w:bidi w:val="0"/>
        <w:spacing w:before="65" w:line="353" w:lineRule="auto"/>
        <w:ind w:left="3630" w:right="3070" w:hanging="3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3"/>
          <w:sz w:val="24"/>
          <w:szCs w:val="24"/>
          <w:highlight w:val="none"/>
        </w:rPr>
        <w:t>期：</w:t>
      </w:r>
    </w:p>
    <w:p w14:paraId="06522317">
      <w:pPr>
        <w:pStyle w:val="8"/>
        <w:keepNext/>
        <w:keepLines/>
        <w:pageBreakBefore w:val="0"/>
        <w:widowControl/>
        <w:wordWrap/>
        <w:overflowPunct/>
        <w:topLinePunct w:val="0"/>
        <w:bidi w:val="0"/>
        <w:spacing w:line="276" w:lineRule="auto"/>
        <w:rPr>
          <w:rFonts w:hint="eastAsia" w:ascii="宋体" w:hAnsi="宋体" w:eastAsia="宋体" w:cs="宋体"/>
          <w:color w:val="auto"/>
          <w:highlight w:val="none"/>
        </w:rPr>
      </w:pPr>
    </w:p>
    <w:p w14:paraId="38AB9ECF">
      <w:pPr>
        <w:pStyle w:val="8"/>
        <w:keepNext/>
        <w:keepLines/>
        <w:pageBreakBefore w:val="0"/>
        <w:widowControl/>
        <w:wordWrap/>
        <w:overflowPunct/>
        <w:topLinePunct w:val="0"/>
        <w:bidi w:val="0"/>
        <w:spacing w:line="276" w:lineRule="auto"/>
        <w:rPr>
          <w:rFonts w:hint="eastAsia" w:ascii="宋体" w:hAnsi="宋体" w:eastAsia="宋体" w:cs="宋体"/>
          <w:color w:val="auto"/>
          <w:highlight w:val="none"/>
        </w:rPr>
      </w:pPr>
    </w:p>
    <w:p w14:paraId="4811F6A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p>
    <w:p w14:paraId="23518F3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p>
    <w:p w14:paraId="7A6D61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r>
        <w:rPr>
          <w:rFonts w:hint="eastAsia" w:ascii="宋体" w:hAnsi="宋体" w:eastAsia="宋体" w:cs="宋体"/>
          <w:b/>
          <w:color w:val="auto"/>
          <w:spacing w:val="6"/>
          <w:sz w:val="24"/>
          <w:szCs w:val="24"/>
          <w:highlight w:val="none"/>
          <w:lang w:val="en-US" w:eastAsia="zh-CN" w:bidi="ar"/>
        </w:rPr>
        <w:t>商品包装符合《商品包装政府采购需求标准（试行）》，快递包装符合《快递包装政府采购需求标准（试行）》，附承诺书，格式自拟。</w:t>
      </w:r>
    </w:p>
    <w:p w14:paraId="3702BBD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22EBA9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CCE249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15D8B1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AC25AF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23454C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482A3DD">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rPr>
      </w:pPr>
    </w:p>
    <w:p w14:paraId="0BE383B8">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2BFC01DE">
      <w:pPr>
        <w:keepNext/>
        <w:keepLines/>
        <w:pageBreakBefore w:val="0"/>
        <w:widowControl/>
        <w:shd w:val="clear" w:color="auto" w:fill="FFFFFF"/>
        <w:tabs>
          <w:tab w:val="left" w:pos="4000"/>
        </w:tabs>
        <w:wordWrap/>
        <w:overflowPunct/>
        <w:topLinePunct w:val="0"/>
        <w:bidi w:val="0"/>
        <w:spacing w:line="320" w:lineRule="exact"/>
        <w:rPr>
          <w:rFonts w:hint="eastAsia" w:ascii="宋体" w:hAnsi="宋体" w:eastAsia="宋体" w:cs="宋体"/>
          <w:color w:val="auto"/>
          <w:sz w:val="24"/>
          <w:szCs w:val="24"/>
          <w:highlight w:val="none"/>
        </w:rPr>
      </w:pPr>
    </w:p>
    <w:p w14:paraId="0E50093F">
      <w:pPr>
        <w:pStyle w:val="17"/>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6ED20933">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10D71610">
      <w:pPr>
        <w:pStyle w:val="17"/>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1B76FBAB">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46774929">
      <w:pPr>
        <w:pStyle w:val="17"/>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3454429F">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017D5BCB">
      <w:pPr>
        <w:pStyle w:val="17"/>
        <w:keepNext/>
        <w:keepLines/>
        <w:pageBreakBefore w:val="0"/>
        <w:widowControl/>
        <w:shd w:val="clear" w:color="auto" w:fill="FFFFFF"/>
        <w:wordWrap/>
        <w:overflowPunct/>
        <w:topLinePunct w:val="0"/>
        <w:bidi w:val="0"/>
        <w:ind w:left="0" w:leftChars="0" w:firstLine="0" w:firstLineChars="0"/>
        <w:rPr>
          <w:rFonts w:hint="eastAsia" w:ascii="宋体" w:hAnsi="宋体" w:eastAsia="宋体" w:cs="宋体"/>
          <w:color w:val="auto"/>
          <w:sz w:val="24"/>
          <w:szCs w:val="24"/>
          <w:highlight w:val="none"/>
        </w:rPr>
      </w:pPr>
    </w:p>
    <w:p w14:paraId="073BB8B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2AEE72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2F2B48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color w:val="auto"/>
          <w:spacing w:val="6"/>
          <w:sz w:val="24"/>
          <w:szCs w:val="24"/>
          <w:highlight w:val="none"/>
          <w:lang w:eastAsia="zh-CN" w:bidi="ar"/>
        </w:rPr>
        <w:br w:type="page"/>
      </w:r>
    </w:p>
    <w:p w14:paraId="6ECFF286">
      <w:pPr>
        <w:keepNext/>
        <w:keepLines/>
        <w:pageBreakBefore w:val="0"/>
        <w:widowControl/>
        <w:numPr>
          <w:ilvl w:val="0"/>
          <w:numId w:val="0"/>
        </w:numPr>
        <w:shd w:val="clear" w:color="auto" w:fill="FFFFFF"/>
        <w:tabs>
          <w:tab w:val="left" w:pos="4000"/>
        </w:tabs>
        <w:wordWrap/>
        <w:overflowPunct/>
        <w:topLinePunct w:val="0"/>
        <w:bidi w:val="0"/>
        <w:spacing w:line="440" w:lineRule="exact"/>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节能产品、环境标志产品情况一览表格式（若有的话填写）</w:t>
      </w:r>
    </w:p>
    <w:p w14:paraId="4DB998C9">
      <w:pPr>
        <w:keepNext/>
        <w:keepLines/>
        <w:pageBreakBefore w:val="0"/>
        <w:widowControl/>
        <w:shd w:val="clear" w:color="auto" w:fill="FFFFFF"/>
        <w:tabs>
          <w:tab w:val="left" w:pos="1680"/>
        </w:tabs>
        <w:wordWrap/>
        <w:overflowPunct/>
        <w:topLinePunct w:val="0"/>
        <w:bidi w:val="0"/>
        <w:snapToGrid w:val="0"/>
        <w:spacing w:line="360" w:lineRule="auto"/>
        <w:jc w:val="center"/>
        <w:rPr>
          <w:rFonts w:hint="eastAsia" w:ascii="宋体" w:hAnsi="宋体" w:eastAsia="宋体" w:cs="宋体"/>
          <w:b/>
          <w:snapToGrid w:val="0"/>
          <w:color w:val="auto"/>
          <w:sz w:val="24"/>
          <w:szCs w:val="24"/>
          <w:highlight w:val="none"/>
        </w:rPr>
      </w:pPr>
    </w:p>
    <w:p w14:paraId="269C1223">
      <w:pPr>
        <w:keepNext/>
        <w:keepLines/>
        <w:pageBreakBefore w:val="0"/>
        <w:widowControl/>
        <w:shd w:val="clear" w:color="auto" w:fill="FFFFFF"/>
        <w:tabs>
          <w:tab w:val="left" w:pos="1680"/>
        </w:tabs>
        <w:wordWrap/>
        <w:overflowPunct/>
        <w:topLinePunct w:val="0"/>
        <w:bidi w:val="0"/>
        <w:snapToGrid w:val="0"/>
        <w:spacing w:line="360" w:lineRule="auto"/>
        <w:jc w:val="center"/>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79"/>
        <w:gridCol w:w="1257"/>
        <w:gridCol w:w="885"/>
        <w:gridCol w:w="1200"/>
        <w:gridCol w:w="1545"/>
        <w:gridCol w:w="2223"/>
      </w:tblGrid>
      <w:tr w14:paraId="189B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58" w:type="dxa"/>
            <w:noWrap w:val="0"/>
            <w:vAlign w:val="center"/>
          </w:tcPr>
          <w:p w14:paraId="38BEADD7">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序号</w:t>
            </w:r>
          </w:p>
        </w:tc>
        <w:tc>
          <w:tcPr>
            <w:tcW w:w="1779" w:type="dxa"/>
            <w:noWrap w:val="0"/>
            <w:vAlign w:val="center"/>
          </w:tcPr>
          <w:p w14:paraId="692A1DF3">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产品名称</w:t>
            </w:r>
          </w:p>
        </w:tc>
        <w:tc>
          <w:tcPr>
            <w:tcW w:w="1257" w:type="dxa"/>
            <w:noWrap w:val="0"/>
            <w:vAlign w:val="center"/>
          </w:tcPr>
          <w:p w14:paraId="43DD7BC7">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生产厂家</w:t>
            </w:r>
          </w:p>
        </w:tc>
        <w:tc>
          <w:tcPr>
            <w:tcW w:w="885" w:type="dxa"/>
            <w:noWrap w:val="0"/>
            <w:vAlign w:val="center"/>
          </w:tcPr>
          <w:p w14:paraId="11451C1B">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品牌</w:t>
            </w:r>
          </w:p>
        </w:tc>
        <w:tc>
          <w:tcPr>
            <w:tcW w:w="1200" w:type="dxa"/>
            <w:noWrap w:val="0"/>
            <w:vAlign w:val="center"/>
          </w:tcPr>
          <w:p w14:paraId="1A20DB58">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型号或规格</w:t>
            </w:r>
          </w:p>
        </w:tc>
        <w:tc>
          <w:tcPr>
            <w:tcW w:w="1545" w:type="dxa"/>
            <w:noWrap w:val="0"/>
            <w:vAlign w:val="center"/>
          </w:tcPr>
          <w:p w14:paraId="0DD98379">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节字标志</w:t>
            </w:r>
          </w:p>
          <w:p w14:paraId="08EEF057">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认证证书号</w:t>
            </w:r>
          </w:p>
        </w:tc>
        <w:tc>
          <w:tcPr>
            <w:tcW w:w="2223" w:type="dxa"/>
            <w:noWrap w:val="0"/>
            <w:vAlign w:val="center"/>
          </w:tcPr>
          <w:p w14:paraId="556780D6">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认证证书</w:t>
            </w:r>
          </w:p>
          <w:p w14:paraId="1DFD0F82">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有效截止日期</w:t>
            </w:r>
          </w:p>
        </w:tc>
      </w:tr>
      <w:tr w14:paraId="2E7F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27C0932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779" w:type="dxa"/>
            <w:noWrap w:val="0"/>
            <w:vAlign w:val="top"/>
          </w:tcPr>
          <w:p w14:paraId="76376707">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48128F72">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3339D112">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302DE39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7A7E079F">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532B555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r w14:paraId="444D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757BE0E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779" w:type="dxa"/>
            <w:noWrap w:val="0"/>
            <w:vAlign w:val="top"/>
          </w:tcPr>
          <w:p w14:paraId="555287AB">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3C67148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355BBCD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1FE23E18">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12869E66">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36B24B9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r w14:paraId="76D1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2839C536">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779" w:type="dxa"/>
            <w:noWrap w:val="0"/>
            <w:vAlign w:val="top"/>
          </w:tcPr>
          <w:p w14:paraId="3EAA9849">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745F3A30">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3D40AF0E">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7455FAEA">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2818941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734F2539">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r w14:paraId="25E7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center"/>
          </w:tcPr>
          <w:p w14:paraId="633A14F7">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w:t>
            </w:r>
          </w:p>
        </w:tc>
        <w:tc>
          <w:tcPr>
            <w:tcW w:w="1779" w:type="dxa"/>
            <w:noWrap w:val="0"/>
            <w:vAlign w:val="top"/>
          </w:tcPr>
          <w:p w14:paraId="099B75F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005FE34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65649FE4">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269235A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6B4A7362">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2D5BC249">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bl>
    <w:p w14:paraId="6C07E967">
      <w:pPr>
        <w:keepNext/>
        <w:keepLines/>
        <w:pageBreakBefore w:val="0"/>
        <w:widowControl/>
        <w:shd w:val="clear" w:color="auto" w:fill="FFFFFF"/>
        <w:tabs>
          <w:tab w:val="left" w:pos="1680"/>
        </w:tabs>
        <w:wordWrap/>
        <w:overflowPunct/>
        <w:topLinePunct w:val="0"/>
        <w:bidi w:val="0"/>
        <w:snapToGrid w:val="0"/>
        <w:spacing w:line="360" w:lineRule="auto"/>
        <w:rPr>
          <w:rFonts w:hint="eastAsia" w:ascii="宋体" w:hAnsi="宋体" w:eastAsia="宋体" w:cs="宋体"/>
          <w:b/>
          <w:snapToGrid w:val="0"/>
          <w:color w:val="auto"/>
          <w:sz w:val="24"/>
          <w:szCs w:val="24"/>
          <w:highlight w:val="none"/>
        </w:rPr>
      </w:pPr>
    </w:p>
    <w:p w14:paraId="7F42AD32">
      <w:pPr>
        <w:keepNext/>
        <w:keepLines/>
        <w:pageBreakBefore w:val="0"/>
        <w:widowControl/>
        <w:shd w:val="clear" w:color="auto" w:fill="FFFFFF"/>
        <w:tabs>
          <w:tab w:val="left" w:pos="1680"/>
        </w:tabs>
        <w:wordWrap/>
        <w:overflowPunct/>
        <w:topLinePunct w:val="0"/>
        <w:bidi w:val="0"/>
        <w:snapToGrid w:val="0"/>
        <w:spacing w:line="360" w:lineRule="auto"/>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环境标志产品明细表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18"/>
        <w:gridCol w:w="1222"/>
        <w:gridCol w:w="990"/>
        <w:gridCol w:w="1095"/>
        <w:gridCol w:w="1650"/>
        <w:gridCol w:w="2103"/>
      </w:tblGrid>
      <w:tr w14:paraId="678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58" w:type="dxa"/>
            <w:noWrap w:val="0"/>
            <w:vAlign w:val="center"/>
          </w:tcPr>
          <w:p w14:paraId="34EBEA50">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序号</w:t>
            </w:r>
          </w:p>
        </w:tc>
        <w:tc>
          <w:tcPr>
            <w:tcW w:w="1618" w:type="dxa"/>
            <w:noWrap w:val="0"/>
            <w:vAlign w:val="center"/>
          </w:tcPr>
          <w:p w14:paraId="05D97E72">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产品名称</w:t>
            </w:r>
          </w:p>
        </w:tc>
        <w:tc>
          <w:tcPr>
            <w:tcW w:w="1222" w:type="dxa"/>
            <w:noWrap w:val="0"/>
            <w:vAlign w:val="center"/>
          </w:tcPr>
          <w:p w14:paraId="3ECDD983">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生产厂家</w:t>
            </w:r>
          </w:p>
        </w:tc>
        <w:tc>
          <w:tcPr>
            <w:tcW w:w="990" w:type="dxa"/>
            <w:noWrap w:val="0"/>
            <w:vAlign w:val="center"/>
          </w:tcPr>
          <w:p w14:paraId="4DF962CF">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品牌</w:t>
            </w:r>
          </w:p>
        </w:tc>
        <w:tc>
          <w:tcPr>
            <w:tcW w:w="1095" w:type="dxa"/>
            <w:noWrap w:val="0"/>
            <w:vAlign w:val="center"/>
          </w:tcPr>
          <w:p w14:paraId="451AEDEC">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型号或规格</w:t>
            </w:r>
          </w:p>
        </w:tc>
        <w:tc>
          <w:tcPr>
            <w:tcW w:w="1650" w:type="dxa"/>
            <w:noWrap w:val="0"/>
            <w:vAlign w:val="center"/>
          </w:tcPr>
          <w:p w14:paraId="5D795C85">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中国环境标志认证证书编号</w:t>
            </w:r>
          </w:p>
        </w:tc>
        <w:tc>
          <w:tcPr>
            <w:tcW w:w="2103" w:type="dxa"/>
            <w:noWrap w:val="0"/>
            <w:vAlign w:val="center"/>
          </w:tcPr>
          <w:p w14:paraId="5B7B8B9E">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认证证书</w:t>
            </w:r>
          </w:p>
          <w:p w14:paraId="71A950C8">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有效截止日期</w:t>
            </w:r>
          </w:p>
        </w:tc>
      </w:tr>
      <w:tr w14:paraId="350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1014A64E">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18" w:type="dxa"/>
            <w:noWrap w:val="0"/>
            <w:vAlign w:val="top"/>
          </w:tcPr>
          <w:p w14:paraId="04AA041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7D98BF8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1C67412E">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509CCE33">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10056865">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33C76D3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r w14:paraId="2DF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588CDC82">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18" w:type="dxa"/>
            <w:noWrap w:val="0"/>
            <w:vAlign w:val="top"/>
          </w:tcPr>
          <w:p w14:paraId="1BD9F6A6">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6788D279">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39D0CDC4">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76B8B44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391668E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187A597A">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r w14:paraId="6F29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32C8D64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18" w:type="dxa"/>
            <w:noWrap w:val="0"/>
            <w:vAlign w:val="top"/>
          </w:tcPr>
          <w:p w14:paraId="35E8A75F">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629058C4">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58C4465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2AFE8F6E">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6DD6A670">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5FD3191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r w14:paraId="7233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center"/>
          </w:tcPr>
          <w:p w14:paraId="6FA9CC2B">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tc>
        <w:tc>
          <w:tcPr>
            <w:tcW w:w="1618" w:type="dxa"/>
            <w:noWrap w:val="0"/>
            <w:vAlign w:val="top"/>
          </w:tcPr>
          <w:p w14:paraId="15EA7914">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29A1EB85">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48DE824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56C62D5D">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3E207C5F">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572EF3E6">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bl>
    <w:p w14:paraId="3E937BBD">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注：有效期之内的节能产品、环境标志产品证书附后：</w:t>
      </w:r>
    </w:p>
    <w:p w14:paraId="0CA3F902">
      <w:pPr>
        <w:keepNext/>
        <w:keepLines/>
        <w:pageBreakBefore w:val="0"/>
        <w:widowControl/>
        <w:shd w:val="clear" w:color="auto" w:fill="FFFFFF"/>
        <w:wordWrap/>
        <w:overflowPunct/>
        <w:topLinePunct w:val="0"/>
        <w:bidi w:val="0"/>
        <w:spacing w:line="460" w:lineRule="atLeast"/>
        <w:rPr>
          <w:rFonts w:hint="eastAsia" w:ascii="宋体" w:hAnsi="宋体" w:eastAsia="宋体" w:cs="宋体"/>
          <w:b/>
          <w:color w:val="auto"/>
          <w:sz w:val="24"/>
          <w:szCs w:val="24"/>
          <w:highlight w:val="none"/>
          <w:lang w:bidi="ar"/>
        </w:rPr>
      </w:pPr>
    </w:p>
    <w:p w14:paraId="1B1961FE">
      <w:pPr>
        <w:pStyle w:val="2"/>
        <w:keepNext/>
        <w:keepLines/>
        <w:pageBreakBefore w:val="0"/>
        <w:widowControl/>
        <w:shd w:val="clear" w:color="auto" w:fill="FFFFFF"/>
        <w:wordWrap/>
        <w:overflowPunct/>
        <w:topLinePunct w:val="0"/>
        <w:bidi w:val="0"/>
        <w:rPr>
          <w:rFonts w:hint="eastAsia" w:ascii="宋体" w:hAnsi="宋体" w:eastAsia="宋体" w:cs="宋体"/>
          <w:b w:val="0"/>
          <w:color w:val="auto"/>
          <w:sz w:val="24"/>
          <w:szCs w:val="24"/>
          <w:highlight w:val="none"/>
          <w:lang w:bidi="ar"/>
        </w:rPr>
      </w:pPr>
    </w:p>
    <w:p w14:paraId="74360C22">
      <w:pPr>
        <w:keepNext/>
        <w:keepLines/>
        <w:pageBreakBefore w:val="0"/>
        <w:widowControl/>
        <w:shd w:val="clear" w:color="auto" w:fill="FFFFFF"/>
        <w:wordWrap/>
        <w:overflowPunct/>
        <w:topLinePunct w:val="0"/>
        <w:bidi w:val="0"/>
        <w:rPr>
          <w:rFonts w:hint="eastAsia" w:ascii="宋体" w:hAnsi="宋体" w:eastAsia="宋体" w:cs="宋体"/>
          <w:b/>
          <w:color w:val="auto"/>
          <w:sz w:val="24"/>
          <w:szCs w:val="24"/>
          <w:highlight w:val="none"/>
          <w:lang w:bidi="ar"/>
        </w:rPr>
      </w:pPr>
    </w:p>
    <w:p w14:paraId="1EC15D1B">
      <w:pPr>
        <w:keepNext/>
        <w:keepLines/>
        <w:pageBreakBefore w:val="0"/>
        <w:widowControl/>
        <w:shd w:val="clear" w:color="auto" w:fill="FFFFFF"/>
        <w:wordWrap/>
        <w:overflowPunct/>
        <w:topLinePunct w:val="0"/>
        <w:bidi w:val="0"/>
        <w:spacing w:line="460" w:lineRule="atLeast"/>
        <w:jc w:val="both"/>
        <w:rPr>
          <w:rFonts w:hint="eastAsia" w:ascii="宋体" w:hAnsi="宋体" w:eastAsia="宋体" w:cs="宋体"/>
          <w:b/>
          <w:color w:val="auto"/>
          <w:sz w:val="24"/>
          <w:szCs w:val="24"/>
          <w:highlight w:val="none"/>
          <w:lang w:bidi="ar"/>
        </w:rPr>
      </w:pPr>
    </w:p>
    <w:p w14:paraId="150DA98D">
      <w:pPr>
        <w:keepNext/>
        <w:keepLines/>
        <w:pageBreakBefore w:val="0"/>
        <w:widowControl/>
        <w:shd w:val="clear" w:color="auto" w:fill="FFFFFF"/>
        <w:wordWrap/>
        <w:overflowPunct/>
        <w:topLinePunct w:val="0"/>
        <w:bidi w:val="0"/>
        <w:spacing w:line="460" w:lineRule="atLeast"/>
        <w:jc w:val="both"/>
        <w:rPr>
          <w:rFonts w:hint="eastAsia" w:ascii="宋体" w:hAnsi="宋体" w:eastAsia="宋体" w:cs="宋体"/>
          <w:b/>
          <w:color w:val="auto"/>
          <w:sz w:val="24"/>
          <w:szCs w:val="24"/>
          <w:highlight w:val="none"/>
          <w:lang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7E58AB16">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正版软件承诺格式（若有的话填写）</w:t>
      </w:r>
    </w:p>
    <w:p w14:paraId="0D978178">
      <w:pPr>
        <w:keepNext/>
        <w:keepLines/>
        <w:pageBreakBefore w:val="0"/>
        <w:widowControl/>
        <w:shd w:val="clear" w:color="auto" w:fill="FFFFFF"/>
        <w:wordWrap/>
        <w:overflowPunct/>
        <w:topLinePunct w:val="0"/>
        <w:bidi w:val="0"/>
        <w:spacing w:line="460" w:lineRule="atLeast"/>
        <w:ind w:left="840" w:firstLine="420"/>
        <w:rPr>
          <w:rFonts w:hint="eastAsia" w:ascii="宋体" w:hAnsi="宋体" w:eastAsia="宋体" w:cs="宋体"/>
          <w:b/>
          <w:color w:val="auto"/>
          <w:sz w:val="24"/>
          <w:szCs w:val="24"/>
          <w:highlight w:val="none"/>
          <w:lang w:bidi="ar"/>
        </w:rPr>
      </w:pPr>
    </w:p>
    <w:p w14:paraId="7F2E323A">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正 版 软 件 承 诺</w:t>
      </w:r>
    </w:p>
    <w:p w14:paraId="59ED1DEF">
      <w:pPr>
        <w:keepNext/>
        <w:keepLines/>
        <w:pageBreakBefore w:val="0"/>
        <w:widowControl/>
        <w:shd w:val="clear" w:color="auto" w:fill="FFFFFF"/>
        <w:wordWrap/>
        <w:overflowPunct/>
        <w:topLinePunct w:val="0"/>
        <w:bidi w:val="0"/>
        <w:spacing w:line="460" w:lineRule="atLeast"/>
        <w:ind w:firstLine="3267" w:firstLineChars="1356"/>
        <w:rPr>
          <w:rFonts w:hint="eastAsia" w:ascii="宋体" w:hAnsi="宋体" w:eastAsia="宋体" w:cs="宋体"/>
          <w:b/>
          <w:color w:val="auto"/>
          <w:sz w:val="24"/>
          <w:szCs w:val="24"/>
          <w:highlight w:val="none"/>
          <w:lang w:bidi="ar"/>
        </w:rPr>
      </w:pPr>
    </w:p>
    <w:p w14:paraId="001DA5A8">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bidi="ar"/>
        </w:rPr>
        <w:t>本投标人现参与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项目（项目编号：</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）的采购活动，本公司承诺投报的计算机产品预装正版操作系统，投报的硬件产品内的预装软件为正版软件。</w:t>
      </w:r>
    </w:p>
    <w:p w14:paraId="15F74D93">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bidi="ar"/>
        </w:rPr>
        <w:t>如上述声明不真实，愿意按照政府采购有关法律法规的规定接受处罚。</w:t>
      </w:r>
    </w:p>
    <w:p w14:paraId="1FC5B5A3">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bidi="ar"/>
        </w:rPr>
        <w:t>特此声明</w:t>
      </w:r>
    </w:p>
    <w:p w14:paraId="374B1D87">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71F2BE5F">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6A57E186">
      <w:pPr>
        <w:keepNext/>
        <w:keepLines/>
        <w:pageBreakBefore w:val="0"/>
        <w:widowControl/>
        <w:shd w:val="clear" w:color="auto" w:fill="FFFFFF"/>
        <w:tabs>
          <w:tab w:val="left" w:pos="4000"/>
        </w:tabs>
        <w:wordWrap/>
        <w:overflowPunct/>
        <w:topLinePunct w:val="0"/>
        <w:bidi w:val="0"/>
        <w:spacing w:line="32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67FB64A7">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827367B">
      <w:pPr>
        <w:keepNext/>
        <w:keepLines/>
        <w:pageBreakBefore w:val="0"/>
        <w:widowControl/>
        <w:shd w:val="clear" w:color="auto" w:fill="FFFFFF"/>
        <w:tabs>
          <w:tab w:val="left" w:pos="4000"/>
        </w:tabs>
        <w:wordWrap/>
        <w:overflowPunct/>
        <w:topLinePunct w:val="0"/>
        <w:bidi w:val="0"/>
        <w:spacing w:line="32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2B2A9C1">
      <w:pPr>
        <w:keepNext/>
        <w:keepLines/>
        <w:pageBreakBefore w:val="0"/>
        <w:widowControl/>
        <w:shd w:val="clear" w:color="auto" w:fill="FFFFFF"/>
        <w:wordWrap/>
        <w:overflowPunct/>
        <w:topLinePunct w:val="0"/>
        <w:bidi w:val="0"/>
        <w:snapToGrid w:val="0"/>
        <w:spacing w:line="460" w:lineRule="atLeast"/>
        <w:ind w:firstLine="480" w:firstLineChars="200"/>
        <w:rPr>
          <w:rFonts w:hint="eastAsia" w:ascii="宋体" w:hAnsi="宋体" w:eastAsia="宋体" w:cs="宋体"/>
          <w:color w:val="auto"/>
          <w:sz w:val="24"/>
          <w:szCs w:val="24"/>
          <w:highlight w:val="none"/>
          <w:lang w:bidi="ar"/>
        </w:rPr>
      </w:pPr>
    </w:p>
    <w:p w14:paraId="2529F840">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lang w:bidi="ar"/>
        </w:rPr>
      </w:pPr>
    </w:p>
    <w:p w14:paraId="4F06E81E">
      <w:pPr>
        <w:keepNext/>
        <w:keepLines/>
        <w:pageBreakBefore w:val="0"/>
        <w:widowControl/>
        <w:shd w:val="clear" w:color="auto" w:fill="FFFFFF"/>
        <w:wordWrap/>
        <w:overflowPunct/>
        <w:topLinePunct w:val="0"/>
        <w:bidi w:val="0"/>
        <w:spacing w:line="460" w:lineRule="atLeast"/>
        <w:jc w:val="both"/>
        <w:rPr>
          <w:rFonts w:hint="eastAsia" w:ascii="宋体" w:hAnsi="宋体" w:eastAsia="宋体" w:cs="宋体"/>
          <w:b/>
          <w:color w:val="auto"/>
          <w:sz w:val="24"/>
          <w:szCs w:val="24"/>
          <w:highlight w:val="none"/>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5A39CE2C">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非政府强制采购产品明细表格式</w:t>
      </w:r>
      <w:r>
        <w:rPr>
          <w:rFonts w:hint="eastAsia" w:ascii="宋体" w:hAnsi="宋体" w:eastAsia="宋体" w:cs="宋体"/>
          <w:b/>
          <w:snapToGrid w:val="0"/>
          <w:color w:val="auto"/>
          <w:sz w:val="24"/>
          <w:szCs w:val="24"/>
          <w:highlight w:val="none"/>
        </w:rPr>
        <w:t>（若有的话填写）</w:t>
      </w:r>
    </w:p>
    <w:p w14:paraId="37E4EC27">
      <w:pPr>
        <w:keepNext/>
        <w:keepLines/>
        <w:pageBreakBefore w:val="0"/>
        <w:widowControl/>
        <w:shd w:val="clear" w:color="auto" w:fill="FFFFFF"/>
        <w:wordWrap/>
        <w:overflowPunct/>
        <w:topLinePunct w:val="0"/>
        <w:bidi w:val="0"/>
        <w:spacing w:line="460" w:lineRule="atLeast"/>
        <w:ind w:left="420" w:firstLine="420"/>
        <w:rPr>
          <w:rFonts w:hint="eastAsia" w:ascii="宋体" w:hAnsi="宋体" w:eastAsia="宋体" w:cs="宋体"/>
          <w:b/>
          <w:color w:val="auto"/>
          <w:sz w:val="24"/>
          <w:szCs w:val="24"/>
          <w:highlight w:val="none"/>
        </w:rPr>
      </w:pPr>
    </w:p>
    <w:p w14:paraId="608713CD">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非政府强制采购产品明细表</w:t>
      </w:r>
    </w:p>
    <w:p w14:paraId="6C755169">
      <w:pPr>
        <w:keepNext/>
        <w:keepLines/>
        <w:pageBreakBefore w:val="0"/>
        <w:widowControl/>
        <w:shd w:val="clear" w:color="auto" w:fill="FFFFFF"/>
        <w:wordWrap/>
        <w:overflowPunct/>
        <w:topLinePunct w:val="0"/>
        <w:bidi w:val="0"/>
        <w:spacing w:line="460" w:lineRule="atLeast"/>
        <w:rPr>
          <w:rFonts w:hint="eastAsia" w:ascii="宋体" w:hAnsi="宋体" w:eastAsia="宋体" w:cs="宋体"/>
          <w:b/>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99"/>
        <w:gridCol w:w="1199"/>
        <w:gridCol w:w="1199"/>
        <w:gridCol w:w="2067"/>
        <w:gridCol w:w="2621"/>
      </w:tblGrid>
      <w:tr w14:paraId="4D7F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76E996A">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AF7203E">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96539C1">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607EDCA">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产品型号</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3258D1FD">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产品认证证书号</w:t>
            </w:r>
          </w:p>
        </w:tc>
        <w:tc>
          <w:tcPr>
            <w:tcW w:w="2621" w:type="dxa"/>
            <w:tcBorders>
              <w:top w:val="single" w:color="auto" w:sz="4" w:space="0"/>
              <w:left w:val="single" w:color="auto" w:sz="4" w:space="0"/>
              <w:bottom w:val="single" w:color="auto" w:sz="4" w:space="0"/>
              <w:right w:val="single" w:color="auto" w:sz="4" w:space="0"/>
            </w:tcBorders>
            <w:noWrap w:val="0"/>
            <w:vAlign w:val="center"/>
          </w:tcPr>
          <w:p w14:paraId="4EF0EE18">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r>
      <w:tr w14:paraId="1C83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7F7DFBB8">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9ABAFC1">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E8DCEE9">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3C2B246">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7601260C">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58DEA58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r w14:paraId="6A3C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75D68965">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FBA641A">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C61B69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BEC9796">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52AA528D">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3B6D0258">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r w14:paraId="3424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47D3834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990F8EC">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8890BF1">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3FCFD3B">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23B9AE5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2C648949">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r w14:paraId="582E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62FB1C0B">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D81C059">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825BD42">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A3C7FF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3245AA16">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121C5442">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bl>
    <w:p w14:paraId="1F4B7021">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1、投报“品目清单”中非政府强制采购产品的将给予适当加分</w:t>
      </w:r>
    </w:p>
    <w:p w14:paraId="67DE8A13">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color w:val="auto"/>
          <w:highlight w:val="none"/>
        </w:rPr>
        <w:t>2、认证证书附后（有效期之内的节能产品、环境标志产品证书）。</w:t>
      </w:r>
    </w:p>
    <w:p w14:paraId="201F5B0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7A01CB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r>
        <w:rPr>
          <w:rFonts w:hint="eastAsia" w:ascii="宋体" w:hAnsi="宋体" w:eastAsia="宋体" w:cs="宋体"/>
          <w:b/>
          <w:color w:val="auto"/>
          <w:spacing w:val="6"/>
          <w:sz w:val="24"/>
          <w:szCs w:val="24"/>
          <w:highlight w:val="none"/>
          <w:lang w:eastAsia="zh-CN" w:bidi="ar"/>
        </w:rPr>
        <w:t>十</w:t>
      </w:r>
      <w:r>
        <w:rPr>
          <w:rFonts w:hint="eastAsia" w:ascii="宋体" w:hAnsi="宋体" w:eastAsia="宋体" w:cs="宋体"/>
          <w:b/>
          <w:color w:val="auto"/>
          <w:spacing w:val="6"/>
          <w:sz w:val="24"/>
          <w:szCs w:val="24"/>
          <w:highlight w:val="none"/>
          <w:lang w:val="en-US" w:eastAsia="zh-CN" w:bidi="ar"/>
        </w:rPr>
        <w:t>二</w:t>
      </w:r>
      <w:r>
        <w:rPr>
          <w:rFonts w:hint="eastAsia" w:ascii="宋体" w:hAnsi="宋体" w:eastAsia="宋体" w:cs="宋体"/>
          <w:b/>
          <w:color w:val="auto"/>
          <w:spacing w:val="6"/>
          <w:sz w:val="24"/>
          <w:szCs w:val="24"/>
          <w:highlight w:val="none"/>
          <w:lang w:eastAsia="zh-CN" w:bidi="ar"/>
        </w:rPr>
        <w:t>、投标人认为需要提供的其它资料</w:t>
      </w:r>
    </w:p>
    <w:p w14:paraId="3C0940A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218E89B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DD1FA1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8DDB80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010813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91E4D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87127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54E67C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A6335F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9CDC0B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B8A407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0D87C4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5F79B3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B41D5A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2BAEC11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27DE952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B2E265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8DFA9E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05D76B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3257AE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CE7BB8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69ECC83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680400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25CD0C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50D3A2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F67BD4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08C5C5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08A974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AA38783">
      <w:pPr>
        <w:keepNext/>
        <w:keepLines/>
        <w:pageBreakBefore w:val="0"/>
        <w:widowControl/>
        <w:wordWrap/>
        <w:overflowPunct/>
        <w:topLinePunct w:val="0"/>
        <w:bidi w:val="0"/>
        <w:rPr>
          <w:rFonts w:hint="eastAsia" w:ascii="宋体" w:hAnsi="宋体" w:eastAsia="宋体" w:cs="宋体"/>
          <w:color w:val="auto"/>
          <w:highlight w:val="none"/>
        </w:rPr>
      </w:pPr>
    </w:p>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D57C688-7F97-4E69-898B-AFA4A4A79EA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 w:name="Akzidenz Grotesk BQ">
    <w:altName w:val="宋体"/>
    <w:panose1 w:val="00000000000000000000"/>
    <w:charset w:val="00"/>
    <w:family w:val="swiss"/>
    <w:pitch w:val="default"/>
    <w:sig w:usb0="00000000" w:usb1="00000000" w:usb2="00000010" w:usb3="00000000" w:csb0="00040001" w:csb1="00000000"/>
  </w:font>
  <w:font w:name="Vrind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B36F">
    <w:pPr>
      <w:pStyle w:val="13"/>
      <w:widowControl w:val="0"/>
      <w:pBdr>
        <w:top w:val="none" w:color="auto" w:sz="0" w:space="1"/>
        <w:left w:val="none" w:color="auto" w:sz="0" w:space="4"/>
        <w:bottom w:val="none" w:color="auto" w:sz="0" w:space="1"/>
        <w:right w:val="none" w:color="auto" w:sz="0" w:space="4"/>
        <w:between w:val="none" w:color="auto" w:sz="0" w:space="0"/>
      </w:pBdr>
      <w:snapToGrid w:val="0"/>
      <w:jc w:val="left"/>
      <w:rPr>
        <w:b/>
        <w:bCs/>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EEB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01F89">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C01F89">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7BE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FE660">
                          <w:pPr>
                            <w:pStyle w:val="1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0FE660">
                    <w:pPr>
                      <w:pStyle w:val="1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68D7">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B4A9E">
                          <w:pPr>
                            <w:pStyle w:val="13"/>
                          </w:pPr>
                          <w:r>
                            <w:t xml:space="preserve">— </w:t>
                          </w:r>
                          <w:r>
                            <w:fldChar w:fldCharType="begin"/>
                          </w:r>
                          <w:r>
                            <w:instrText xml:space="preserve"> PAGE  \* MERGEFORMAT </w:instrText>
                          </w:r>
                          <w:r>
                            <w:fldChar w:fldCharType="separate"/>
                          </w:r>
                          <w:r>
                            <w:t>79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7B4A9E">
                    <w:pPr>
                      <w:pStyle w:val="13"/>
                    </w:pPr>
                    <w:r>
                      <w:t xml:space="preserve">— </w:t>
                    </w:r>
                    <w:r>
                      <w:fldChar w:fldCharType="begin"/>
                    </w:r>
                    <w:r>
                      <w:instrText xml:space="preserve"> PAGE  \* MERGEFORMAT </w:instrText>
                    </w:r>
                    <w:r>
                      <w:fldChar w:fldCharType="separate"/>
                    </w:r>
                    <w:r>
                      <w:t>79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B22A">
    <w:pPr>
      <w:pStyle w:val="13"/>
      <w:widowControl w:val="0"/>
      <w:pBdr>
        <w:top w:val="none" w:color="auto" w:sz="0" w:space="1"/>
        <w:left w:val="none" w:color="auto" w:sz="0" w:space="4"/>
        <w:bottom w:val="none" w:color="auto" w:sz="0" w:space="1"/>
        <w:right w:val="none" w:color="auto" w:sz="0" w:space="4"/>
        <w:between w:val="none" w:color="auto" w:sz="0" w:space="0"/>
      </w:pBdr>
      <w:snapToGrid w:val="0"/>
      <w:jc w:val="left"/>
      <w:rPr>
        <w:b/>
        <w:bCs/>
        <w:i/>
        <w:iC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C5D8B">
                          <w:pPr>
                            <w:pStyle w:val="13"/>
                          </w:pPr>
                          <w:r>
                            <w:t xml:space="preserve">— </w:t>
                          </w:r>
                          <w:r>
                            <w:fldChar w:fldCharType="begin"/>
                          </w:r>
                          <w:r>
                            <w:instrText xml:space="preserve"> PAGE  \* MERGEFORMAT </w:instrText>
                          </w:r>
                          <w:r>
                            <w:fldChar w:fldCharType="separate"/>
                          </w:r>
                          <w:r>
                            <w:t>81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5C5D8B">
                    <w:pPr>
                      <w:pStyle w:val="13"/>
                    </w:pPr>
                    <w:r>
                      <w:t xml:space="preserve">— </w:t>
                    </w:r>
                    <w:r>
                      <w:fldChar w:fldCharType="begin"/>
                    </w:r>
                    <w:r>
                      <w:instrText xml:space="preserve"> PAGE  \* MERGEFORMAT </w:instrText>
                    </w:r>
                    <w:r>
                      <w:fldChar w:fldCharType="separate"/>
                    </w:r>
                    <w:r>
                      <w:t>81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9A36">
    <w:pPr>
      <w:pStyle w:val="13"/>
      <w:widowControl w:val="0"/>
      <w:pBdr>
        <w:top w:val="none" w:color="auto" w:sz="0" w:space="1"/>
        <w:left w:val="none" w:color="auto" w:sz="0" w:space="4"/>
        <w:bottom w:val="none" w:color="auto" w:sz="0" w:space="1"/>
        <w:right w:val="none" w:color="auto" w:sz="0" w:space="4"/>
        <w:between w:val="none" w:color="auto" w:sz="0" w:space="0"/>
      </w:pBdr>
      <w:snapToGrid w:val="0"/>
      <w:rPr>
        <w:b/>
        <w:bCs/>
        <w:i/>
        <w:iC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85989">
                          <w:pPr>
                            <w:pStyle w:val="13"/>
                          </w:pPr>
                          <w:r>
                            <w:t xml:space="preserve">— </w:t>
                          </w:r>
                          <w:r>
                            <w:fldChar w:fldCharType="begin"/>
                          </w:r>
                          <w:r>
                            <w:instrText xml:space="preserve"> PAGE  \* MERGEFORMAT </w:instrText>
                          </w:r>
                          <w:r>
                            <w:fldChar w:fldCharType="separate"/>
                          </w:r>
                          <w:r>
                            <w:t>96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385989">
                    <w:pPr>
                      <w:pStyle w:val="13"/>
                    </w:pPr>
                    <w:r>
                      <w:t xml:space="preserve">— </w:t>
                    </w:r>
                    <w:r>
                      <w:fldChar w:fldCharType="begin"/>
                    </w:r>
                    <w:r>
                      <w:instrText xml:space="preserve"> PAGE  \* MERGEFORMAT </w:instrText>
                    </w:r>
                    <w:r>
                      <w:fldChar w:fldCharType="separate"/>
                    </w:r>
                    <w:r>
                      <w:t>96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A987">
    <w:pPr>
      <w:pStyle w:val="13"/>
      <w:widowControl w:val="0"/>
      <w:pBdr>
        <w:top w:val="none" w:color="auto" w:sz="0" w:space="1"/>
        <w:left w:val="none" w:color="auto" w:sz="0" w:space="4"/>
        <w:bottom w:val="none" w:color="auto" w:sz="0" w:space="1"/>
        <w:right w:val="none" w:color="auto" w:sz="0" w:space="4"/>
        <w:between w:val="none" w:color="auto" w:sz="0" w:space="0"/>
      </w:pBdr>
      <w:snapToGrid w:val="0"/>
      <w:jc w:val="left"/>
      <w:rPr>
        <w:b/>
        <w:bCs/>
        <w:i/>
        <w:iC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96CE6">
                          <w:pPr>
                            <w:pStyle w:val="13"/>
                          </w:pPr>
                          <w:r>
                            <w:t xml:space="preserve">— </w:t>
                          </w:r>
                          <w:r>
                            <w:fldChar w:fldCharType="begin"/>
                          </w:r>
                          <w:r>
                            <w:instrText xml:space="preserve"> PAGE  \* MERGEFORMAT </w:instrText>
                          </w:r>
                          <w:r>
                            <w:fldChar w:fldCharType="separate"/>
                          </w:r>
                          <w:r>
                            <w:t>114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096CE6">
                    <w:pPr>
                      <w:pStyle w:val="13"/>
                    </w:pPr>
                    <w:r>
                      <w:t xml:space="preserve">— </w:t>
                    </w:r>
                    <w:r>
                      <w:fldChar w:fldCharType="begin"/>
                    </w:r>
                    <w:r>
                      <w:instrText xml:space="preserve"> PAGE  \* MERGEFORMAT </w:instrText>
                    </w:r>
                    <w:r>
                      <w:fldChar w:fldCharType="separate"/>
                    </w:r>
                    <w:r>
                      <w:t>114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8CFD">
    <w:pPr>
      <w:pStyle w:val="1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70C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2BD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2E20"/>
    <w:multiLevelType w:val="singleLevel"/>
    <w:tmpl w:val="8CFD2E20"/>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8EA9296"/>
    <w:multiLevelType w:val="singleLevel"/>
    <w:tmpl w:val="48EA9296"/>
    <w:lvl w:ilvl="0" w:tentative="0">
      <w:start w:val="3"/>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NzZiZGIzNDU4ZjAwYzMwZTQ4MDhiNjQ0YzEzZWYifQ=="/>
  </w:docVars>
  <w:rsids>
    <w:rsidRoot w:val="385F2D52"/>
    <w:rsid w:val="003E354B"/>
    <w:rsid w:val="00B571F8"/>
    <w:rsid w:val="00D17737"/>
    <w:rsid w:val="00DA5C53"/>
    <w:rsid w:val="00E865C2"/>
    <w:rsid w:val="01401F5A"/>
    <w:rsid w:val="017130ED"/>
    <w:rsid w:val="01851CF2"/>
    <w:rsid w:val="01FA01FD"/>
    <w:rsid w:val="02111B48"/>
    <w:rsid w:val="02174ECC"/>
    <w:rsid w:val="028247F4"/>
    <w:rsid w:val="029E535A"/>
    <w:rsid w:val="02D35DE5"/>
    <w:rsid w:val="035B751F"/>
    <w:rsid w:val="03916F6C"/>
    <w:rsid w:val="04767CCE"/>
    <w:rsid w:val="04CF340A"/>
    <w:rsid w:val="051708DB"/>
    <w:rsid w:val="055142A1"/>
    <w:rsid w:val="055D75CA"/>
    <w:rsid w:val="057104CB"/>
    <w:rsid w:val="05CE2604"/>
    <w:rsid w:val="05EF03F3"/>
    <w:rsid w:val="06245C04"/>
    <w:rsid w:val="063E4C65"/>
    <w:rsid w:val="066300A9"/>
    <w:rsid w:val="069E344E"/>
    <w:rsid w:val="07061550"/>
    <w:rsid w:val="077C69D1"/>
    <w:rsid w:val="07AC16BA"/>
    <w:rsid w:val="080812F8"/>
    <w:rsid w:val="084859A3"/>
    <w:rsid w:val="087F559D"/>
    <w:rsid w:val="089D4136"/>
    <w:rsid w:val="089F1C5C"/>
    <w:rsid w:val="08EA43A8"/>
    <w:rsid w:val="093B06D0"/>
    <w:rsid w:val="09565DE8"/>
    <w:rsid w:val="09AF5F44"/>
    <w:rsid w:val="09EA0C98"/>
    <w:rsid w:val="0A9130E9"/>
    <w:rsid w:val="0A99092D"/>
    <w:rsid w:val="0AE53B72"/>
    <w:rsid w:val="0B50723E"/>
    <w:rsid w:val="0B510EC7"/>
    <w:rsid w:val="0BC67500"/>
    <w:rsid w:val="0C1741FF"/>
    <w:rsid w:val="0CCF4BD0"/>
    <w:rsid w:val="0D6E4DCD"/>
    <w:rsid w:val="0E304136"/>
    <w:rsid w:val="0E833C77"/>
    <w:rsid w:val="0EB14497"/>
    <w:rsid w:val="0F421593"/>
    <w:rsid w:val="0F6D64A3"/>
    <w:rsid w:val="0FAD041C"/>
    <w:rsid w:val="0FAE09D7"/>
    <w:rsid w:val="0FC14530"/>
    <w:rsid w:val="0FC65D20"/>
    <w:rsid w:val="0FE663C2"/>
    <w:rsid w:val="10354C54"/>
    <w:rsid w:val="10613C9B"/>
    <w:rsid w:val="10831C7C"/>
    <w:rsid w:val="108F3BC8"/>
    <w:rsid w:val="10DB3162"/>
    <w:rsid w:val="10E52962"/>
    <w:rsid w:val="118B7221"/>
    <w:rsid w:val="11D65366"/>
    <w:rsid w:val="11DD5594"/>
    <w:rsid w:val="1231518F"/>
    <w:rsid w:val="12575356"/>
    <w:rsid w:val="125A1D38"/>
    <w:rsid w:val="12726336"/>
    <w:rsid w:val="12C54559"/>
    <w:rsid w:val="1312127D"/>
    <w:rsid w:val="139D148E"/>
    <w:rsid w:val="13A45A16"/>
    <w:rsid w:val="13FA6F3C"/>
    <w:rsid w:val="146B3728"/>
    <w:rsid w:val="14C34F24"/>
    <w:rsid w:val="154A11A2"/>
    <w:rsid w:val="15604DE5"/>
    <w:rsid w:val="15C1776C"/>
    <w:rsid w:val="15D950C7"/>
    <w:rsid w:val="161F262E"/>
    <w:rsid w:val="162E461F"/>
    <w:rsid w:val="164D59CA"/>
    <w:rsid w:val="1683189B"/>
    <w:rsid w:val="168B7CC4"/>
    <w:rsid w:val="16B66237"/>
    <w:rsid w:val="17683B61"/>
    <w:rsid w:val="17FB4AE6"/>
    <w:rsid w:val="18FA2EDF"/>
    <w:rsid w:val="19A31463"/>
    <w:rsid w:val="1A902108"/>
    <w:rsid w:val="1A905DA4"/>
    <w:rsid w:val="1A9F3D3E"/>
    <w:rsid w:val="1AA66D1C"/>
    <w:rsid w:val="1B1026EE"/>
    <w:rsid w:val="1B2C7B3F"/>
    <w:rsid w:val="1B302BE8"/>
    <w:rsid w:val="1BD57951"/>
    <w:rsid w:val="1BED4087"/>
    <w:rsid w:val="1BFB31F6"/>
    <w:rsid w:val="1C007D91"/>
    <w:rsid w:val="1C0A168B"/>
    <w:rsid w:val="1C292268"/>
    <w:rsid w:val="1C5A20E2"/>
    <w:rsid w:val="1CC21F65"/>
    <w:rsid w:val="1CCC6940"/>
    <w:rsid w:val="1DAD49D9"/>
    <w:rsid w:val="1DBA49EB"/>
    <w:rsid w:val="1DF12B02"/>
    <w:rsid w:val="1E0C0B57"/>
    <w:rsid w:val="1E4A2212"/>
    <w:rsid w:val="1F234F3D"/>
    <w:rsid w:val="1F792DAF"/>
    <w:rsid w:val="1FAD2E69"/>
    <w:rsid w:val="1FC840B4"/>
    <w:rsid w:val="20370574"/>
    <w:rsid w:val="207B12D7"/>
    <w:rsid w:val="20D81D57"/>
    <w:rsid w:val="21543494"/>
    <w:rsid w:val="216C51F8"/>
    <w:rsid w:val="2181419D"/>
    <w:rsid w:val="218B6DCA"/>
    <w:rsid w:val="21E7182E"/>
    <w:rsid w:val="22396826"/>
    <w:rsid w:val="22A144DF"/>
    <w:rsid w:val="22DB78DD"/>
    <w:rsid w:val="232B2612"/>
    <w:rsid w:val="2395377C"/>
    <w:rsid w:val="24855D52"/>
    <w:rsid w:val="248C58FD"/>
    <w:rsid w:val="24A51F50"/>
    <w:rsid w:val="24CD0CB7"/>
    <w:rsid w:val="256107E0"/>
    <w:rsid w:val="25CC175F"/>
    <w:rsid w:val="263425AA"/>
    <w:rsid w:val="26B02E2F"/>
    <w:rsid w:val="26B97F35"/>
    <w:rsid w:val="270A69E3"/>
    <w:rsid w:val="2774301B"/>
    <w:rsid w:val="28A864B3"/>
    <w:rsid w:val="29852351"/>
    <w:rsid w:val="29AB2A0C"/>
    <w:rsid w:val="29B6075C"/>
    <w:rsid w:val="2A3A138D"/>
    <w:rsid w:val="2A9632EB"/>
    <w:rsid w:val="2B332161"/>
    <w:rsid w:val="2BD31A99"/>
    <w:rsid w:val="2BF612E4"/>
    <w:rsid w:val="2C0A02BC"/>
    <w:rsid w:val="2C351E0C"/>
    <w:rsid w:val="2C637B18"/>
    <w:rsid w:val="2C8F5AC1"/>
    <w:rsid w:val="2CB371D5"/>
    <w:rsid w:val="2CC60412"/>
    <w:rsid w:val="2D045C82"/>
    <w:rsid w:val="2D2B1461"/>
    <w:rsid w:val="2D7921CC"/>
    <w:rsid w:val="2DC04A9C"/>
    <w:rsid w:val="2EA062A5"/>
    <w:rsid w:val="2EB90638"/>
    <w:rsid w:val="2F6226A8"/>
    <w:rsid w:val="2F95371E"/>
    <w:rsid w:val="30142680"/>
    <w:rsid w:val="3014442E"/>
    <w:rsid w:val="30CE0A81"/>
    <w:rsid w:val="31ED3189"/>
    <w:rsid w:val="32116E77"/>
    <w:rsid w:val="322E478E"/>
    <w:rsid w:val="32486254"/>
    <w:rsid w:val="32621481"/>
    <w:rsid w:val="32F26A71"/>
    <w:rsid w:val="330B1B18"/>
    <w:rsid w:val="33634ED9"/>
    <w:rsid w:val="33AB2E09"/>
    <w:rsid w:val="33B73BA0"/>
    <w:rsid w:val="34706036"/>
    <w:rsid w:val="355623C2"/>
    <w:rsid w:val="358856A2"/>
    <w:rsid w:val="358D585C"/>
    <w:rsid w:val="35D17C92"/>
    <w:rsid w:val="35E11256"/>
    <w:rsid w:val="366175C4"/>
    <w:rsid w:val="37265173"/>
    <w:rsid w:val="37996428"/>
    <w:rsid w:val="38184D3B"/>
    <w:rsid w:val="385F2D52"/>
    <w:rsid w:val="38760FFA"/>
    <w:rsid w:val="38ED42EC"/>
    <w:rsid w:val="39AF6875"/>
    <w:rsid w:val="39FD0BBC"/>
    <w:rsid w:val="3A1F234D"/>
    <w:rsid w:val="3A323E2F"/>
    <w:rsid w:val="3A4D2A17"/>
    <w:rsid w:val="3A4D5D50"/>
    <w:rsid w:val="3A555A5C"/>
    <w:rsid w:val="3AC0768C"/>
    <w:rsid w:val="3AC30F2B"/>
    <w:rsid w:val="3B5F3D5F"/>
    <w:rsid w:val="3B7E2BAF"/>
    <w:rsid w:val="3C3A6FCB"/>
    <w:rsid w:val="3D047194"/>
    <w:rsid w:val="3D2E4D81"/>
    <w:rsid w:val="3D45031D"/>
    <w:rsid w:val="3D62338C"/>
    <w:rsid w:val="3DB644B6"/>
    <w:rsid w:val="3DC14A8D"/>
    <w:rsid w:val="3E0E1FAB"/>
    <w:rsid w:val="3E353EED"/>
    <w:rsid w:val="3EBD5A23"/>
    <w:rsid w:val="3EEA07FE"/>
    <w:rsid w:val="3F1C5CDE"/>
    <w:rsid w:val="3F617B87"/>
    <w:rsid w:val="3F6F58FC"/>
    <w:rsid w:val="3F7F479C"/>
    <w:rsid w:val="3FAD560B"/>
    <w:rsid w:val="3FDD2A4C"/>
    <w:rsid w:val="40297A82"/>
    <w:rsid w:val="40580367"/>
    <w:rsid w:val="40A37834"/>
    <w:rsid w:val="42134546"/>
    <w:rsid w:val="426E5C20"/>
    <w:rsid w:val="43146C63"/>
    <w:rsid w:val="43FA2FA3"/>
    <w:rsid w:val="440076D0"/>
    <w:rsid w:val="440525B4"/>
    <w:rsid w:val="444035EC"/>
    <w:rsid w:val="44637801"/>
    <w:rsid w:val="44DC7733"/>
    <w:rsid w:val="452E7917"/>
    <w:rsid w:val="45405516"/>
    <w:rsid w:val="456552E9"/>
    <w:rsid w:val="45D90D3B"/>
    <w:rsid w:val="465D385C"/>
    <w:rsid w:val="46C45163"/>
    <w:rsid w:val="473A07C7"/>
    <w:rsid w:val="48336266"/>
    <w:rsid w:val="48A04659"/>
    <w:rsid w:val="48C15FC8"/>
    <w:rsid w:val="49144CE8"/>
    <w:rsid w:val="49957F36"/>
    <w:rsid w:val="49E012F6"/>
    <w:rsid w:val="4A040346"/>
    <w:rsid w:val="4A064390"/>
    <w:rsid w:val="4A145592"/>
    <w:rsid w:val="4A372D9B"/>
    <w:rsid w:val="4AAA7A11"/>
    <w:rsid w:val="4AB341A3"/>
    <w:rsid w:val="4B0B6702"/>
    <w:rsid w:val="4B1F21AD"/>
    <w:rsid w:val="4BC332A5"/>
    <w:rsid w:val="4BE96317"/>
    <w:rsid w:val="4BFD5E1D"/>
    <w:rsid w:val="4D1A10FE"/>
    <w:rsid w:val="4D4D3AFB"/>
    <w:rsid w:val="4D986247"/>
    <w:rsid w:val="4DC20265"/>
    <w:rsid w:val="4E6C31CD"/>
    <w:rsid w:val="4EAC5420"/>
    <w:rsid w:val="4EC72940"/>
    <w:rsid w:val="4EE60190"/>
    <w:rsid w:val="4F0C2A48"/>
    <w:rsid w:val="4F350502"/>
    <w:rsid w:val="4F6F7271"/>
    <w:rsid w:val="4F805842"/>
    <w:rsid w:val="4F832800"/>
    <w:rsid w:val="4F9C3DCC"/>
    <w:rsid w:val="505E6960"/>
    <w:rsid w:val="50621E6E"/>
    <w:rsid w:val="50E104DF"/>
    <w:rsid w:val="513200F4"/>
    <w:rsid w:val="513403C7"/>
    <w:rsid w:val="513F7280"/>
    <w:rsid w:val="51426BF5"/>
    <w:rsid w:val="516375F5"/>
    <w:rsid w:val="523F4EE3"/>
    <w:rsid w:val="5268443A"/>
    <w:rsid w:val="52C14279"/>
    <w:rsid w:val="52CB49C9"/>
    <w:rsid w:val="53780C68"/>
    <w:rsid w:val="538B57AC"/>
    <w:rsid w:val="546B7366"/>
    <w:rsid w:val="54890697"/>
    <w:rsid w:val="54CD4A28"/>
    <w:rsid w:val="54CE7C46"/>
    <w:rsid w:val="551F6CFF"/>
    <w:rsid w:val="55774994"/>
    <w:rsid w:val="565D5C49"/>
    <w:rsid w:val="56602A1A"/>
    <w:rsid w:val="567756F6"/>
    <w:rsid w:val="56EF42BA"/>
    <w:rsid w:val="572E1597"/>
    <w:rsid w:val="57476D14"/>
    <w:rsid w:val="575106FD"/>
    <w:rsid w:val="58AB3A19"/>
    <w:rsid w:val="58E95545"/>
    <w:rsid w:val="59172A24"/>
    <w:rsid w:val="591A2D58"/>
    <w:rsid w:val="594910BA"/>
    <w:rsid w:val="59F92CC7"/>
    <w:rsid w:val="5A475FD8"/>
    <w:rsid w:val="5A4A1A40"/>
    <w:rsid w:val="5A687760"/>
    <w:rsid w:val="5A7D47FA"/>
    <w:rsid w:val="5A7F74B7"/>
    <w:rsid w:val="5A9E34DE"/>
    <w:rsid w:val="5ACE4768"/>
    <w:rsid w:val="5AD563E4"/>
    <w:rsid w:val="5AEB3E5A"/>
    <w:rsid w:val="5B070568"/>
    <w:rsid w:val="5B2B4256"/>
    <w:rsid w:val="5B465534"/>
    <w:rsid w:val="5B4C6EF4"/>
    <w:rsid w:val="5B5715CF"/>
    <w:rsid w:val="5BA64F7B"/>
    <w:rsid w:val="5C085C82"/>
    <w:rsid w:val="5C321615"/>
    <w:rsid w:val="5CA13464"/>
    <w:rsid w:val="5CA84356"/>
    <w:rsid w:val="5D7376C2"/>
    <w:rsid w:val="5D971E0F"/>
    <w:rsid w:val="5E0B6892"/>
    <w:rsid w:val="5E6F6B50"/>
    <w:rsid w:val="5FDC3D8E"/>
    <w:rsid w:val="60681AA9"/>
    <w:rsid w:val="6098366A"/>
    <w:rsid w:val="60A07495"/>
    <w:rsid w:val="612D1541"/>
    <w:rsid w:val="615D5386"/>
    <w:rsid w:val="61871235"/>
    <w:rsid w:val="62854B94"/>
    <w:rsid w:val="62A74B0A"/>
    <w:rsid w:val="631303F2"/>
    <w:rsid w:val="6431359D"/>
    <w:rsid w:val="64763CBE"/>
    <w:rsid w:val="652A652C"/>
    <w:rsid w:val="65A96DEB"/>
    <w:rsid w:val="65AA44C4"/>
    <w:rsid w:val="65D025CA"/>
    <w:rsid w:val="65F30067"/>
    <w:rsid w:val="663C5202"/>
    <w:rsid w:val="665D24F3"/>
    <w:rsid w:val="66765184"/>
    <w:rsid w:val="66DE0D17"/>
    <w:rsid w:val="6727446C"/>
    <w:rsid w:val="68016447"/>
    <w:rsid w:val="68637725"/>
    <w:rsid w:val="689F14AC"/>
    <w:rsid w:val="68B26F25"/>
    <w:rsid w:val="68E4126E"/>
    <w:rsid w:val="69453654"/>
    <w:rsid w:val="69653029"/>
    <w:rsid w:val="69A55B1C"/>
    <w:rsid w:val="69CD0468"/>
    <w:rsid w:val="6A301889"/>
    <w:rsid w:val="6A5437CA"/>
    <w:rsid w:val="6A9040D6"/>
    <w:rsid w:val="6AAD6A36"/>
    <w:rsid w:val="6AC70588"/>
    <w:rsid w:val="6AD72F36"/>
    <w:rsid w:val="6ADE12E5"/>
    <w:rsid w:val="6AE508C6"/>
    <w:rsid w:val="6B4C44A1"/>
    <w:rsid w:val="6B5720A2"/>
    <w:rsid w:val="6B8F0831"/>
    <w:rsid w:val="6BAC601F"/>
    <w:rsid w:val="6BCE176C"/>
    <w:rsid w:val="6BD2744B"/>
    <w:rsid w:val="6C547EAB"/>
    <w:rsid w:val="6C580C23"/>
    <w:rsid w:val="6C5F043A"/>
    <w:rsid w:val="6CC17163"/>
    <w:rsid w:val="6D2154B9"/>
    <w:rsid w:val="6D7E46BA"/>
    <w:rsid w:val="6D8E3235"/>
    <w:rsid w:val="6DF37070"/>
    <w:rsid w:val="6E352F58"/>
    <w:rsid w:val="6E434133"/>
    <w:rsid w:val="6EF35E45"/>
    <w:rsid w:val="6F101C89"/>
    <w:rsid w:val="6F8A1770"/>
    <w:rsid w:val="6FB72105"/>
    <w:rsid w:val="6FE253D4"/>
    <w:rsid w:val="6FFA6A20"/>
    <w:rsid w:val="70381A0E"/>
    <w:rsid w:val="7055041B"/>
    <w:rsid w:val="709F3CB3"/>
    <w:rsid w:val="70CC641F"/>
    <w:rsid w:val="710E21F8"/>
    <w:rsid w:val="71107D1F"/>
    <w:rsid w:val="71B30C80"/>
    <w:rsid w:val="71E04C6F"/>
    <w:rsid w:val="71F92C75"/>
    <w:rsid w:val="72384674"/>
    <w:rsid w:val="727442DD"/>
    <w:rsid w:val="72D57833"/>
    <w:rsid w:val="732551F6"/>
    <w:rsid w:val="73353A6C"/>
    <w:rsid w:val="73667409"/>
    <w:rsid w:val="73D6524F"/>
    <w:rsid w:val="73F95119"/>
    <w:rsid w:val="740276AD"/>
    <w:rsid w:val="740421E5"/>
    <w:rsid w:val="745B5755"/>
    <w:rsid w:val="74A4476D"/>
    <w:rsid w:val="74D06143"/>
    <w:rsid w:val="74D8759C"/>
    <w:rsid w:val="753C3D66"/>
    <w:rsid w:val="75D01220"/>
    <w:rsid w:val="761E2EDE"/>
    <w:rsid w:val="762A7AD4"/>
    <w:rsid w:val="763224E5"/>
    <w:rsid w:val="766F7295"/>
    <w:rsid w:val="76B77650"/>
    <w:rsid w:val="76FB0FF5"/>
    <w:rsid w:val="771A518A"/>
    <w:rsid w:val="772067E2"/>
    <w:rsid w:val="778C5026"/>
    <w:rsid w:val="779571D0"/>
    <w:rsid w:val="77997B9A"/>
    <w:rsid w:val="78015F86"/>
    <w:rsid w:val="78191BAF"/>
    <w:rsid w:val="79265C73"/>
    <w:rsid w:val="79D044EF"/>
    <w:rsid w:val="79ED32F3"/>
    <w:rsid w:val="7A0A1C4D"/>
    <w:rsid w:val="7A456C8B"/>
    <w:rsid w:val="7AB36300"/>
    <w:rsid w:val="7B827A6B"/>
    <w:rsid w:val="7C88395E"/>
    <w:rsid w:val="7CD07D0E"/>
    <w:rsid w:val="7D027877"/>
    <w:rsid w:val="7D6768E5"/>
    <w:rsid w:val="7DE27AD1"/>
    <w:rsid w:val="7E046E5D"/>
    <w:rsid w:val="7E081E91"/>
    <w:rsid w:val="7E1D1CCD"/>
    <w:rsid w:val="7E8B4E88"/>
    <w:rsid w:val="7EB22415"/>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outlineLvl w:val="0"/>
    </w:pPr>
    <w:rPr>
      <w:rFonts w:ascii="宋体"/>
      <w:b/>
      <w:bCs/>
      <w:kern w:val="0"/>
      <w:sz w:val="24"/>
      <w:szCs w:val="2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5"/>
    <w:autoRedefine/>
    <w:qFormat/>
    <w:uiPriority w:val="9"/>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kern w:val="0"/>
      <w:sz w:val="20"/>
      <w:szCs w:val="20"/>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rFonts w:ascii="Times New Roman" w:hAnsi="Times New Roman"/>
      <w:szCs w:val="20"/>
    </w:rPr>
  </w:style>
  <w:style w:type="paragraph" w:styleId="7">
    <w:name w:val="annotation text"/>
    <w:basedOn w:val="1"/>
    <w:autoRedefine/>
    <w:qFormat/>
    <w:uiPriority w:val="0"/>
    <w:pPr>
      <w:jc w:val="left"/>
    </w:pPr>
    <w:rPr>
      <w:kern w:val="0"/>
      <w:sz w:val="20"/>
      <w:szCs w:val="20"/>
    </w:rPr>
  </w:style>
  <w:style w:type="paragraph" w:styleId="8">
    <w:name w:val="Body Text"/>
    <w:basedOn w:val="1"/>
    <w:next w:val="1"/>
    <w:autoRedefine/>
    <w:qFormat/>
    <w:uiPriority w:val="0"/>
    <w:rPr>
      <w:kern w:val="0"/>
      <w:sz w:val="24"/>
      <w:szCs w:val="24"/>
    </w:rPr>
  </w:style>
  <w:style w:type="paragraph" w:styleId="9">
    <w:name w:val="Body Text Indent"/>
    <w:basedOn w:val="1"/>
    <w:next w:val="8"/>
    <w:autoRedefine/>
    <w:qFormat/>
    <w:uiPriority w:val="0"/>
    <w:pPr>
      <w:spacing w:line="460" w:lineRule="exact"/>
      <w:ind w:left="567" w:leftChars="270"/>
      <w:jc w:val="left"/>
    </w:pPr>
    <w:rPr>
      <w:kern w:val="0"/>
      <w:sz w:val="24"/>
      <w:szCs w:val="24"/>
    </w:rPr>
  </w:style>
  <w:style w:type="paragraph" w:styleId="10">
    <w:name w:val="Plain Text"/>
    <w:basedOn w:val="1"/>
    <w:autoRedefine/>
    <w:qFormat/>
    <w:uiPriority w:val="0"/>
    <w:rPr>
      <w:rFonts w:ascii="宋体" w:hAnsi="Courier New"/>
      <w:kern w:val="0"/>
      <w:sz w:val="20"/>
      <w:szCs w:val="20"/>
    </w:rPr>
  </w:style>
  <w:style w:type="paragraph" w:styleId="11">
    <w:name w:val="Date"/>
    <w:basedOn w:val="1"/>
    <w:next w:val="1"/>
    <w:autoRedefine/>
    <w:qFormat/>
    <w:uiPriority w:val="0"/>
    <w:pPr>
      <w:adjustRightInd w:val="0"/>
      <w:spacing w:line="360" w:lineRule="atLeast"/>
      <w:textAlignment w:val="baseline"/>
    </w:pPr>
    <w:rPr>
      <w:rFonts w:ascii="Calibri" w:hAnsi="Calibri"/>
      <w:kern w:val="0"/>
      <w:sz w:val="20"/>
      <w:szCs w:val="20"/>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next w:val="1"/>
    <w:autoRedefine/>
    <w:qFormat/>
    <w:uiPriority w:val="99"/>
    <w:pPr>
      <w:tabs>
        <w:tab w:val="center" w:pos="4153"/>
        <w:tab w:val="right" w:pos="8306"/>
      </w:tabs>
      <w:snapToGrid w:val="0"/>
      <w:jc w:val="left"/>
    </w:pPr>
    <w:rPr>
      <w:kern w:val="0"/>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qFormat/>
    <w:uiPriority w:val="39"/>
  </w:style>
  <w:style w:type="paragraph" w:styleId="16">
    <w:name w:val="Subtitle"/>
    <w:basedOn w:val="1"/>
    <w:next w:val="1"/>
    <w:qFormat/>
    <w:uiPriority w:val="0"/>
    <w:pPr>
      <w:jc w:val="left"/>
      <w:outlineLvl w:val="1"/>
    </w:pPr>
    <w:rPr>
      <w:rFonts w:ascii="Calibri" w:hAnsi="Calibri" w:eastAsia="楷体"/>
      <w:bCs/>
      <w:kern w:val="28"/>
      <w:sz w:val="28"/>
      <w:szCs w:val="32"/>
    </w:rPr>
  </w:style>
  <w:style w:type="paragraph" w:styleId="17">
    <w:name w:val="toc 2"/>
    <w:basedOn w:val="1"/>
    <w:next w:val="1"/>
    <w:autoRedefine/>
    <w:qFormat/>
    <w:uiPriority w:val="39"/>
    <w:pPr>
      <w:ind w:left="420" w:leftChars="200"/>
    </w:pPr>
  </w:style>
  <w:style w:type="paragraph" w:styleId="18">
    <w:name w:val="HTML Preformatted"/>
    <w:basedOn w:val="1"/>
    <w:next w:val="1"/>
    <w:unhideWhenUsed/>
    <w:qFormat/>
    <w:uiPriority w:val="99"/>
    <w:rPr>
      <w:rFonts w:ascii="Courier New" w:hAnsi="Courier New" w:cs="Courier New"/>
      <w:sz w:val="20"/>
      <w:szCs w:val="20"/>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8"/>
    <w:qFormat/>
    <w:uiPriority w:val="0"/>
    <w:pPr>
      <w:spacing w:line="240" w:lineRule="auto"/>
      <w:ind w:firstLineChars="100"/>
      <w:jc w:val="both"/>
    </w:pPr>
    <w:rPr>
      <w:rFonts w:ascii="Calibri"/>
      <w:sz w:val="21"/>
      <w:szCs w:val="24"/>
    </w:rPr>
  </w:style>
  <w:style w:type="paragraph" w:styleId="21">
    <w:name w:val="Body Text First Indent 2"/>
    <w:basedOn w:val="9"/>
    <w:next w:val="8"/>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23">
    <w:name w:val="Table Grid"/>
    <w:basedOn w:val="22"/>
    <w:autoRedefine/>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TML Sample"/>
    <w:basedOn w:val="24"/>
    <w:qFormat/>
    <w:uiPriority w:val="0"/>
    <w:rPr>
      <w:rFonts w:ascii="Courier New" w:hAnsi="Courier New"/>
    </w:rPr>
  </w:style>
  <w:style w:type="paragraph" w:customStyle="1" w:styleId="2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样式"/>
    <w:autoRedefine/>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29">
    <w:name w:val="样式1"/>
    <w:basedOn w:val="1"/>
    <w:autoRedefine/>
    <w:qFormat/>
    <w:uiPriority w:val="0"/>
    <w:pPr>
      <w:adjustRightInd w:val="0"/>
      <w:textAlignment w:val="baseline"/>
    </w:pPr>
    <w:rPr>
      <w:rFonts w:ascii="宋体" w:hAnsi="宋体"/>
      <w:kern w:val="0"/>
      <w:szCs w:val="21"/>
    </w:rPr>
  </w:style>
  <w:style w:type="paragraph" w:styleId="30">
    <w:name w:val="List Paragraph"/>
    <w:basedOn w:val="1"/>
    <w:autoRedefine/>
    <w:qFormat/>
    <w:uiPriority w:val="34"/>
    <w:pPr>
      <w:spacing w:line="360" w:lineRule="auto"/>
      <w:ind w:left="357" w:leftChars="170" w:firstLine="420" w:firstLineChars="200"/>
    </w:pPr>
    <w:rPr>
      <w:rFonts w:ascii="宋体" w:hAnsi="宋体" w:eastAsia="宋体"/>
      <w:sz w:val="24"/>
      <w:szCs w:val="24"/>
    </w:rPr>
  </w:style>
  <w:style w:type="paragraph" w:customStyle="1" w:styleId="31">
    <w:name w:val="列出段落1"/>
    <w:basedOn w:val="1"/>
    <w:autoRedefine/>
    <w:qFormat/>
    <w:uiPriority w:val="34"/>
    <w:pPr>
      <w:ind w:firstLine="420" w:firstLineChars="200"/>
    </w:pPr>
  </w:style>
  <w:style w:type="paragraph" w:customStyle="1" w:styleId="32">
    <w:name w:val="Default"/>
    <w:autoRedefine/>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character" w:customStyle="1" w:styleId="35">
    <w:name w:val="font21"/>
    <w:basedOn w:val="24"/>
    <w:autoRedefine/>
    <w:qFormat/>
    <w:uiPriority w:val="0"/>
    <w:rPr>
      <w:rFonts w:hint="eastAsia" w:ascii="宋体" w:hAnsi="宋体" w:eastAsia="宋体" w:cs="宋体"/>
      <w:color w:val="000000"/>
      <w:sz w:val="24"/>
      <w:szCs w:val="24"/>
      <w:u w:val="none"/>
    </w:rPr>
  </w:style>
  <w:style w:type="character" w:customStyle="1" w:styleId="36">
    <w:name w:val="font11"/>
    <w:basedOn w:val="24"/>
    <w:autoRedefine/>
    <w:qFormat/>
    <w:uiPriority w:val="0"/>
    <w:rPr>
      <w:rFonts w:hint="eastAsia" w:ascii="宋体" w:hAnsi="宋体" w:eastAsia="宋体" w:cs="宋体"/>
      <w:color w:val="000000"/>
      <w:sz w:val="24"/>
      <w:szCs w:val="24"/>
      <w:u w:val="none"/>
      <w:vertAlign w:val="superscript"/>
    </w:rPr>
  </w:style>
  <w:style w:type="character" w:customStyle="1" w:styleId="37">
    <w:name w:val="font01"/>
    <w:basedOn w:val="24"/>
    <w:autoRedefine/>
    <w:qFormat/>
    <w:uiPriority w:val="0"/>
    <w:rPr>
      <w:rFonts w:hint="eastAsia" w:ascii="宋体" w:hAnsi="宋体" w:eastAsia="宋体" w:cs="宋体"/>
      <w:b/>
      <w:bCs/>
      <w:color w:val="000000"/>
      <w:sz w:val="24"/>
      <w:szCs w:val="24"/>
      <w:u w:val="none"/>
    </w:rPr>
  </w:style>
  <w:style w:type="character" w:customStyle="1" w:styleId="38">
    <w:name w:val="font31"/>
    <w:basedOn w:val="24"/>
    <w:autoRedefine/>
    <w:qFormat/>
    <w:uiPriority w:val="0"/>
    <w:rPr>
      <w:rFonts w:hint="eastAsia" w:ascii="宋体" w:hAnsi="宋体" w:eastAsia="宋体" w:cs="宋体"/>
      <w:color w:val="000000"/>
      <w:sz w:val="24"/>
      <w:szCs w:val="24"/>
      <w:u w:val="none"/>
    </w:rPr>
  </w:style>
  <w:style w:type="paragraph" w:customStyle="1" w:styleId="39">
    <w:name w:val="Table Paragraph"/>
    <w:basedOn w:val="1"/>
    <w:autoRedefine/>
    <w:qFormat/>
    <w:uiPriority w:val="1"/>
    <w:rPr>
      <w:rFonts w:ascii="宋体" w:hAnsi="宋体" w:eastAsia="宋体" w:cs="宋体"/>
    </w:rPr>
  </w:style>
  <w:style w:type="paragraph" w:customStyle="1" w:styleId="40">
    <w:name w:val="p0"/>
    <w:basedOn w:val="1"/>
    <w:qFormat/>
    <w:uiPriority w:val="0"/>
    <w:pPr>
      <w:widowControl/>
    </w:pPr>
    <w:rPr>
      <w:rFonts w:ascii="Times New Roman" w:hAnsi="Times New Roman" w:eastAsia="宋体" w:cs="Times New Roman"/>
      <w:kern w:val="0"/>
      <w:szCs w:val="21"/>
    </w:rPr>
  </w:style>
  <w:style w:type="character" w:customStyle="1" w:styleId="41">
    <w:name w:val="font41"/>
    <w:basedOn w:val="24"/>
    <w:qFormat/>
    <w:uiPriority w:val="0"/>
    <w:rPr>
      <w:rFonts w:hint="default" w:ascii="Vrinda" w:hAnsi="Vrinda" w:eastAsia="Vrinda" w:cs="Vrinda"/>
      <w:color w:val="000000"/>
      <w:sz w:val="22"/>
      <w:szCs w:val="22"/>
      <w:u w:val="none"/>
    </w:rPr>
  </w:style>
  <w:style w:type="character" w:customStyle="1" w:styleId="42">
    <w:name w:val="font51"/>
    <w:basedOn w:val="24"/>
    <w:qFormat/>
    <w:uiPriority w:val="0"/>
    <w:rPr>
      <w:rFonts w:ascii="宋体" w:hAnsi="宋体" w:eastAsia="宋体" w:cs="宋体"/>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24318</Words>
  <Characters>25677</Characters>
  <Lines>0</Lines>
  <Paragraphs>0</Paragraphs>
  <TotalTime>5</TotalTime>
  <ScaleCrop>false</ScaleCrop>
  <LinksUpToDate>false</LinksUpToDate>
  <CharactersWithSpaces>26453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2024-06-08T12:43:00Z</dcterms:created>
  <dc:creator>Mavis_&amp;F</dc:creator>
  <cp:lastModifiedBy>Mavis_&amp;F</cp:lastModifiedBy>
  <dcterms:modified xsi:type="dcterms:W3CDTF">2026-06-02T10:36:02Z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41E99624DD8F449D94B4CBD7540668E5_13</vt:lpwstr>
  </property>
  <property fmtid="{D5CDD505-2E9C-101B-9397-08002B2CF9AE}" pid="4" name="KSOTemplateDocerSaveRecord">
    <vt:lpwstr>eyJoZGlkIjoiZTllZDQ3MTVhMGFlZmJmOTExYmFjOTM2MGE2YTNiNmUiLCJ1c2VySWQiOiIxMDIyOTA2NzYzIn0=</vt:lpwstr>
  </property>
</Properties>
</file>