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B1485">
      <w:pPr>
        <w:adjustRightInd w:val="0"/>
        <w:snapToGrid w:val="0"/>
        <w:jc w:val="left"/>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0" distR="0">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14:paraId="281E85E1">
      <w:pPr>
        <w:adjustRightInd w:val="0"/>
        <w:snapToGrid w:val="0"/>
        <w:spacing w:line="480" w:lineRule="exact"/>
        <w:jc w:val="center"/>
        <w:rPr>
          <w:rFonts w:hint="eastAsia" w:ascii="仿宋" w:hAnsi="仿宋" w:eastAsia="仿宋" w:cs="仿宋"/>
          <w:bCs/>
          <w:color w:val="auto"/>
          <w:sz w:val="48"/>
          <w:szCs w:val="48"/>
          <w:highlight w:val="none"/>
        </w:rPr>
      </w:pPr>
    </w:p>
    <w:p w14:paraId="43486172">
      <w:pPr>
        <w:adjustRightInd w:val="0"/>
        <w:snapToGrid w:val="0"/>
        <w:spacing w:line="480" w:lineRule="exact"/>
        <w:jc w:val="center"/>
        <w:rPr>
          <w:rFonts w:hint="eastAsia" w:ascii="仿宋" w:hAnsi="仿宋" w:eastAsia="仿宋" w:cs="仿宋"/>
          <w:bCs/>
          <w:color w:val="auto"/>
          <w:sz w:val="48"/>
          <w:szCs w:val="48"/>
          <w:highlight w:val="none"/>
        </w:rPr>
      </w:pPr>
      <w:r>
        <w:rPr>
          <w:rFonts w:hint="eastAsia" w:ascii="仿宋" w:hAnsi="仿宋" w:eastAsia="仿宋" w:cs="仿宋"/>
          <w:bCs/>
          <w:color w:val="auto"/>
          <w:sz w:val="48"/>
          <w:szCs w:val="48"/>
          <w:highlight w:val="none"/>
        </w:rPr>
        <w:t>招 标 文 件</w:t>
      </w:r>
    </w:p>
    <w:p w14:paraId="4B5D7485">
      <w:pPr>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（公开招标-货物）</w:t>
      </w:r>
    </w:p>
    <w:p w14:paraId="01253B25">
      <w:pPr>
        <w:ind w:left="1574" w:right="-191" w:rightChars="-91" w:hanging="1574" w:hangingChars="492"/>
        <w:rPr>
          <w:rFonts w:hint="eastAsia" w:ascii="仿宋" w:hAnsi="仿宋" w:eastAsia="仿宋" w:cs="仿宋"/>
          <w:bCs/>
          <w:color w:val="auto"/>
          <w:kern w:val="0"/>
          <w:sz w:val="32"/>
          <w:szCs w:val="32"/>
          <w:highlight w:val="none"/>
        </w:rPr>
      </w:pPr>
    </w:p>
    <w:p w14:paraId="02BC04DF">
      <w:pPr>
        <w:ind w:left="1574" w:right="-191" w:rightChars="-91" w:hanging="1574" w:hangingChars="492"/>
        <w:rPr>
          <w:rFonts w:hint="eastAsia" w:ascii="仿宋" w:hAnsi="仿宋" w:eastAsia="仿宋" w:cs="仿宋"/>
          <w:bCs/>
          <w:color w:val="auto"/>
          <w:sz w:val="32"/>
          <w:highlight w:val="none"/>
          <w:lang w:eastAsia="zh-CN"/>
        </w:rPr>
      </w:pPr>
      <w:r>
        <w:rPr>
          <w:rFonts w:hint="eastAsia" w:ascii="仿宋" w:hAnsi="仿宋" w:eastAsia="仿宋" w:cs="仿宋"/>
          <w:bCs/>
          <w:color w:val="auto"/>
          <w:kern w:val="0"/>
          <w:sz w:val="32"/>
          <w:szCs w:val="32"/>
          <w:highlight w:val="none"/>
        </w:rPr>
        <w:t>项目名称：</w:t>
      </w:r>
      <w:r>
        <w:rPr>
          <w:rFonts w:hint="eastAsia" w:ascii="仿宋" w:hAnsi="仿宋" w:eastAsia="仿宋" w:cs="仿宋"/>
          <w:bCs/>
          <w:color w:val="auto"/>
          <w:sz w:val="32"/>
          <w:highlight w:val="none"/>
          <w:lang w:eastAsia="zh-CN"/>
        </w:rPr>
        <w:t>阿勒泰地区人民医院精神卫生科、儿科（新生儿科）能力提升医疗设备采购项目-精神卫生科</w:t>
      </w:r>
    </w:p>
    <w:p w14:paraId="2A026E38">
      <w:pPr>
        <w:adjustRightInd w:val="0"/>
        <w:snapToGrid w:val="0"/>
        <w:spacing w:line="480" w:lineRule="exact"/>
        <w:rPr>
          <w:rFonts w:hint="eastAsia" w:ascii="仿宋" w:hAnsi="仿宋" w:eastAsia="仿宋" w:cs="仿宋"/>
          <w:bCs/>
          <w:color w:val="auto"/>
          <w:kern w:val="0"/>
          <w:sz w:val="32"/>
          <w:szCs w:val="32"/>
          <w:highlight w:val="none"/>
        </w:rPr>
      </w:pPr>
    </w:p>
    <w:p w14:paraId="1BABD549">
      <w:pPr>
        <w:adjustRightInd w:val="0"/>
        <w:snapToGrid w:val="0"/>
        <w:spacing w:line="480" w:lineRule="exact"/>
        <w:rPr>
          <w:rFonts w:hint="eastAsia" w:ascii="仿宋" w:hAnsi="仿宋" w:eastAsia="仿宋" w:cs="仿宋"/>
          <w:bCs/>
          <w:color w:val="auto"/>
          <w:kern w:val="0"/>
          <w:sz w:val="32"/>
          <w:szCs w:val="32"/>
          <w:highlight w:val="none"/>
          <w:lang w:eastAsia="zh-CN"/>
        </w:rPr>
      </w:pPr>
      <w:r>
        <w:rPr>
          <w:rFonts w:hint="eastAsia" w:ascii="仿宋" w:hAnsi="仿宋" w:eastAsia="仿宋" w:cs="仿宋"/>
          <w:bCs/>
          <w:color w:val="auto"/>
          <w:kern w:val="0"/>
          <w:sz w:val="32"/>
          <w:szCs w:val="32"/>
          <w:highlight w:val="none"/>
        </w:rPr>
        <w:t>采购人(盖章)：</w:t>
      </w:r>
      <w:r>
        <w:rPr>
          <w:rFonts w:hint="eastAsia" w:ascii="仿宋" w:hAnsi="仿宋" w:eastAsia="仿宋" w:cs="仿宋"/>
          <w:bCs/>
          <w:color w:val="auto"/>
          <w:sz w:val="32"/>
          <w:highlight w:val="none"/>
          <w:lang w:eastAsia="zh-CN"/>
        </w:rPr>
        <w:t>新疆阿勒泰地区人民医院</w:t>
      </w:r>
    </w:p>
    <w:p w14:paraId="003989C3">
      <w:pPr>
        <w:adjustRightInd w:val="0"/>
        <w:snapToGrid w:val="0"/>
        <w:spacing w:line="480" w:lineRule="exact"/>
        <w:rPr>
          <w:rFonts w:hint="eastAsia" w:ascii="仿宋" w:hAnsi="仿宋" w:eastAsia="仿宋" w:cs="仿宋"/>
          <w:bCs/>
          <w:color w:val="auto"/>
          <w:sz w:val="32"/>
          <w:szCs w:val="32"/>
          <w:highlight w:val="none"/>
        </w:rPr>
      </w:pPr>
    </w:p>
    <w:p w14:paraId="7FD2A64E">
      <w:pPr>
        <w:adjustRightInd w:val="0"/>
        <w:snapToGrid w:val="0"/>
        <w:spacing w:line="276" w:lineRule="auto"/>
        <w:rPr>
          <w:rFonts w:hint="eastAsia" w:ascii="仿宋" w:hAnsi="仿宋" w:eastAsia="仿宋" w:cs="仿宋"/>
          <w:bCs/>
          <w:color w:val="auto"/>
          <w:sz w:val="32"/>
          <w:szCs w:val="24"/>
          <w:highlight w:val="none"/>
          <w:lang w:eastAsia="zh-CN"/>
        </w:rPr>
      </w:pPr>
      <w:r>
        <w:rPr>
          <w:rFonts w:hint="eastAsia" w:ascii="仿宋" w:hAnsi="仿宋" w:eastAsia="仿宋" w:cs="仿宋"/>
          <w:bCs/>
          <w:color w:val="auto"/>
          <w:sz w:val="32"/>
          <w:szCs w:val="24"/>
          <w:highlight w:val="none"/>
        </w:rPr>
        <w:t>联系人：</w:t>
      </w:r>
      <w:r>
        <w:rPr>
          <w:rFonts w:hint="eastAsia" w:ascii="仿宋" w:hAnsi="仿宋" w:eastAsia="仿宋" w:cs="仿宋"/>
          <w:bCs/>
          <w:color w:val="auto"/>
          <w:sz w:val="32"/>
          <w:highlight w:val="none"/>
          <w:lang w:eastAsia="zh-CN"/>
        </w:rPr>
        <w:t>张荣</w:t>
      </w:r>
    </w:p>
    <w:p w14:paraId="13BF5F7E">
      <w:pPr>
        <w:adjustRightInd w:val="0"/>
        <w:snapToGrid w:val="0"/>
        <w:spacing w:line="276" w:lineRule="auto"/>
        <w:rPr>
          <w:rFonts w:hint="eastAsia" w:ascii="仿宋" w:hAnsi="仿宋" w:eastAsia="仿宋" w:cs="仿宋"/>
          <w:bCs/>
          <w:color w:val="auto"/>
          <w:sz w:val="32"/>
          <w:szCs w:val="24"/>
          <w:highlight w:val="none"/>
        </w:rPr>
      </w:pPr>
      <w:bookmarkStart w:id="324" w:name="_GoBack"/>
      <w:bookmarkEnd w:id="324"/>
    </w:p>
    <w:p w14:paraId="5C4627F5">
      <w:pPr>
        <w:adjustRightInd w:val="0"/>
        <w:snapToGrid w:val="0"/>
        <w:spacing w:line="276" w:lineRule="auto"/>
        <w:jc w:val="left"/>
        <w:rPr>
          <w:rFonts w:hint="eastAsia" w:ascii="仿宋" w:hAnsi="仿宋" w:eastAsia="仿宋" w:cs="仿宋"/>
          <w:bCs/>
          <w:color w:val="auto"/>
          <w:sz w:val="32"/>
          <w:szCs w:val="24"/>
          <w:highlight w:val="none"/>
          <w:lang w:eastAsia="zh-CN"/>
        </w:rPr>
      </w:pPr>
      <w:r>
        <w:rPr>
          <w:rFonts w:hint="eastAsia" w:ascii="仿宋" w:hAnsi="仿宋" w:eastAsia="仿宋" w:cs="仿宋"/>
          <w:bCs/>
          <w:color w:val="auto"/>
          <w:sz w:val="32"/>
          <w:szCs w:val="24"/>
          <w:highlight w:val="none"/>
        </w:rPr>
        <w:t>电话：</w:t>
      </w:r>
      <w:r>
        <w:rPr>
          <w:rFonts w:hint="eastAsia" w:ascii="仿宋" w:hAnsi="仿宋" w:eastAsia="仿宋" w:cs="仿宋"/>
          <w:bCs/>
          <w:color w:val="auto"/>
          <w:sz w:val="32"/>
          <w:highlight w:val="none"/>
          <w:lang w:eastAsia="zh-CN"/>
        </w:rPr>
        <w:t>0906-2100902</w:t>
      </w:r>
    </w:p>
    <w:p w14:paraId="334FFE25">
      <w:pPr>
        <w:rPr>
          <w:rFonts w:hint="eastAsia" w:ascii="仿宋" w:hAnsi="仿宋" w:eastAsia="仿宋" w:cs="仿宋"/>
          <w:color w:val="auto"/>
          <w:highlight w:val="none"/>
        </w:rPr>
      </w:pPr>
    </w:p>
    <w:p w14:paraId="5A2A4FFC">
      <w:pPr>
        <w:adjustRightInd w:val="0"/>
        <w:snapToGrid w:val="0"/>
        <w:spacing w:line="480" w:lineRule="exact"/>
        <w:jc w:val="left"/>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w:t>
      </w:r>
    </w:p>
    <w:p w14:paraId="35A8C444">
      <w:pPr>
        <w:adjustRightInd w:val="0"/>
        <w:snapToGrid w:val="0"/>
        <w:spacing w:line="480" w:lineRule="exact"/>
        <w:jc w:val="center"/>
        <w:rPr>
          <w:rFonts w:hint="eastAsia" w:ascii="仿宋" w:hAnsi="仿宋" w:eastAsia="仿宋" w:cs="仿宋"/>
          <w:bCs/>
          <w:color w:val="auto"/>
          <w:sz w:val="32"/>
          <w:szCs w:val="32"/>
          <w:highlight w:val="none"/>
        </w:rPr>
      </w:pPr>
    </w:p>
    <w:p w14:paraId="1CDEE17F">
      <w:pPr>
        <w:adjustRightInd w:val="0"/>
        <w:snapToGrid w:val="0"/>
        <w:spacing w:line="480" w:lineRule="exact"/>
        <w:rPr>
          <w:rFonts w:hint="eastAsia" w:ascii="仿宋" w:hAnsi="仿宋" w:eastAsia="仿宋" w:cs="仿宋"/>
          <w:bCs/>
          <w:color w:val="auto"/>
          <w:sz w:val="32"/>
          <w:szCs w:val="32"/>
          <w:highlight w:val="none"/>
        </w:rPr>
      </w:pPr>
    </w:p>
    <w:p w14:paraId="48E9508C">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采购代理机构</w:t>
      </w:r>
      <w:r>
        <w:rPr>
          <w:rFonts w:hint="eastAsia" w:ascii="仿宋" w:hAnsi="仿宋" w:eastAsia="仿宋" w:cs="仿宋"/>
          <w:color w:val="auto"/>
          <w:sz w:val="32"/>
          <w:szCs w:val="32"/>
          <w:highlight w:val="none"/>
        </w:rPr>
        <w:t>(盖章)</w:t>
      </w:r>
      <w:r>
        <w:rPr>
          <w:rFonts w:hint="eastAsia" w:ascii="仿宋" w:hAnsi="仿宋" w:eastAsia="仿宋" w:cs="仿宋"/>
          <w:bCs/>
          <w:color w:val="auto"/>
          <w:sz w:val="32"/>
          <w:szCs w:val="32"/>
          <w:highlight w:val="none"/>
        </w:rPr>
        <w:t>：新疆新世纪招标有限公司</w:t>
      </w:r>
    </w:p>
    <w:p w14:paraId="16244D1B">
      <w:pPr>
        <w:adjustRightInd w:val="0"/>
        <w:snapToGrid w:val="0"/>
        <w:spacing w:line="480" w:lineRule="exact"/>
        <w:rPr>
          <w:rFonts w:hint="eastAsia" w:ascii="仿宋" w:hAnsi="仿宋" w:eastAsia="仿宋" w:cs="仿宋"/>
          <w:bCs/>
          <w:color w:val="auto"/>
          <w:sz w:val="32"/>
          <w:szCs w:val="32"/>
          <w:highlight w:val="none"/>
        </w:rPr>
      </w:pPr>
    </w:p>
    <w:p w14:paraId="6FFE116B">
      <w:pPr>
        <w:adjustRightInd w:val="0"/>
        <w:snapToGrid w:val="0"/>
        <w:spacing w:line="480" w:lineRule="exac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联系人：</w:t>
      </w:r>
      <w:r>
        <w:rPr>
          <w:rFonts w:hint="eastAsia" w:ascii="仿宋" w:hAnsi="仿宋" w:eastAsia="仿宋" w:cs="仿宋"/>
          <w:bCs/>
          <w:color w:val="auto"/>
          <w:sz w:val="32"/>
          <w:szCs w:val="32"/>
          <w:highlight w:val="none"/>
          <w:lang w:val="en-US" w:eastAsia="zh-CN"/>
        </w:rPr>
        <w:t>候永康</w:t>
      </w:r>
      <w:r>
        <w:rPr>
          <w:rFonts w:hint="eastAsia" w:ascii="仿宋" w:hAnsi="仿宋" w:eastAsia="仿宋" w:cs="仿宋"/>
          <w:bCs/>
          <w:color w:val="auto"/>
          <w:sz w:val="32"/>
          <w:szCs w:val="32"/>
          <w:highlight w:val="none"/>
          <w:lang w:eastAsia="zh-CN"/>
        </w:rPr>
        <w:t>、马丹阳</w:t>
      </w:r>
    </w:p>
    <w:p w14:paraId="1F97C145">
      <w:pPr>
        <w:adjustRightInd w:val="0"/>
        <w:snapToGrid w:val="0"/>
        <w:spacing w:line="480" w:lineRule="exact"/>
        <w:jc w:val="center"/>
        <w:rPr>
          <w:rFonts w:hint="eastAsia" w:ascii="仿宋" w:hAnsi="仿宋" w:eastAsia="仿宋" w:cs="仿宋"/>
          <w:bCs/>
          <w:color w:val="auto"/>
          <w:sz w:val="32"/>
          <w:szCs w:val="32"/>
          <w:highlight w:val="none"/>
        </w:rPr>
      </w:pPr>
    </w:p>
    <w:p w14:paraId="3DDC8E12">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kern w:val="0"/>
          <w:sz w:val="32"/>
          <w:szCs w:val="32"/>
          <w:highlight w:val="none"/>
        </w:rPr>
        <w:t>电话</w:t>
      </w:r>
      <w:r>
        <w:rPr>
          <w:rFonts w:hint="eastAsia" w:ascii="仿宋" w:hAnsi="仿宋" w:eastAsia="仿宋" w:cs="仿宋"/>
          <w:bCs/>
          <w:color w:val="auto"/>
          <w:sz w:val="32"/>
          <w:szCs w:val="32"/>
          <w:highlight w:val="none"/>
        </w:rPr>
        <w:t>：0991-4661782</w:t>
      </w:r>
    </w:p>
    <w:p w14:paraId="481DCC4D">
      <w:pPr>
        <w:adjustRightInd w:val="0"/>
        <w:snapToGrid w:val="0"/>
        <w:spacing w:line="480" w:lineRule="exact"/>
        <w:rPr>
          <w:rFonts w:hint="eastAsia" w:ascii="仿宋" w:hAnsi="仿宋" w:eastAsia="仿宋" w:cs="仿宋"/>
          <w:bCs/>
          <w:color w:val="auto"/>
          <w:sz w:val="32"/>
          <w:szCs w:val="32"/>
          <w:highlight w:val="none"/>
        </w:rPr>
      </w:pPr>
    </w:p>
    <w:p w14:paraId="26F4AA3D">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地址：乌鲁木齐市新兴街20号凤凰大厦五楼</w:t>
      </w:r>
    </w:p>
    <w:p w14:paraId="0201236A">
      <w:pPr>
        <w:adjustRightInd w:val="0"/>
        <w:snapToGrid w:val="0"/>
        <w:spacing w:line="480" w:lineRule="exact"/>
        <w:rPr>
          <w:rFonts w:hint="eastAsia" w:ascii="仿宋" w:hAnsi="仿宋" w:eastAsia="仿宋" w:cs="仿宋"/>
          <w:bCs/>
          <w:color w:val="auto"/>
          <w:sz w:val="32"/>
          <w:szCs w:val="32"/>
          <w:highlight w:val="none"/>
        </w:rPr>
      </w:pPr>
    </w:p>
    <w:p w14:paraId="613E143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bCs/>
          <w:color w:val="auto"/>
          <w:sz w:val="24"/>
          <w:szCs w:val="24"/>
          <w:highlight w:val="none"/>
        </w:rPr>
        <w:sectPr>
          <w:headerReference r:id="rId3" w:type="default"/>
          <w:footerReference r:id="rId4" w:type="default"/>
          <w:pgSz w:w="11906" w:h="16838"/>
          <w:pgMar w:top="1361" w:right="1134" w:bottom="1361" w:left="141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BF7D7D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目录</w:t>
      </w:r>
    </w:p>
    <w:p w14:paraId="7AB3FC52">
      <w:pPr>
        <w:pStyle w:val="23"/>
        <w:tabs>
          <w:tab w:val="right" w:leader="dot" w:pos="9354"/>
        </w:tabs>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TOC \o "1-3" \h \u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_Toc4442 </w:instrText>
      </w:r>
      <w:r>
        <w:rPr>
          <w:rFonts w:hint="eastAsia" w:ascii="仿宋" w:hAnsi="仿宋" w:eastAsia="仿宋" w:cs="仿宋"/>
          <w:highlight w:val="none"/>
        </w:rPr>
        <w:fldChar w:fldCharType="separate"/>
      </w:r>
      <w:r>
        <w:rPr>
          <w:rFonts w:hint="eastAsia" w:ascii="仿宋" w:hAnsi="仿宋" w:eastAsia="仿宋" w:cs="仿宋"/>
          <w:bCs/>
          <w:szCs w:val="32"/>
          <w:highlight w:val="none"/>
        </w:rPr>
        <w:t>招标公告</w:t>
      </w:r>
      <w:r>
        <w:tab/>
      </w:r>
      <w:r>
        <w:fldChar w:fldCharType="begin"/>
      </w:r>
      <w:r>
        <w:instrText xml:space="preserve"> PAGEREF _Toc4442 \h </w:instrText>
      </w:r>
      <w:r>
        <w:fldChar w:fldCharType="separate"/>
      </w:r>
      <w:r>
        <w:t>1</w:t>
      </w:r>
      <w:r>
        <w:fldChar w:fldCharType="end"/>
      </w:r>
      <w:r>
        <w:rPr>
          <w:rFonts w:hint="eastAsia" w:ascii="仿宋" w:hAnsi="仿宋" w:eastAsia="仿宋" w:cs="仿宋"/>
          <w:color w:val="auto"/>
          <w:highlight w:val="none"/>
        </w:rPr>
        <w:fldChar w:fldCharType="end"/>
      </w:r>
    </w:p>
    <w:p w14:paraId="56BCEBD4">
      <w:pPr>
        <w:pStyle w:val="23"/>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_Toc28197 </w:instrText>
      </w:r>
      <w:r>
        <w:rPr>
          <w:rFonts w:hint="eastAsia" w:ascii="仿宋" w:hAnsi="仿宋" w:eastAsia="仿宋" w:cs="仿宋"/>
          <w:highlight w:val="none"/>
        </w:rPr>
        <w:fldChar w:fldCharType="separate"/>
      </w:r>
      <w:r>
        <w:rPr>
          <w:rFonts w:hint="eastAsia" w:ascii="仿宋" w:hAnsi="仿宋" w:eastAsia="仿宋" w:cs="仿宋"/>
          <w:szCs w:val="24"/>
          <w:highlight w:val="none"/>
        </w:rPr>
        <w:t>投标人须知前附表</w:t>
      </w:r>
      <w:r>
        <w:tab/>
      </w:r>
      <w:r>
        <w:fldChar w:fldCharType="begin"/>
      </w:r>
      <w:r>
        <w:instrText xml:space="preserve"> PAGEREF _Toc28197 \h </w:instrText>
      </w:r>
      <w:r>
        <w:fldChar w:fldCharType="separate"/>
      </w:r>
      <w:r>
        <w:t>3</w:t>
      </w:r>
      <w:r>
        <w:fldChar w:fldCharType="end"/>
      </w:r>
      <w:r>
        <w:rPr>
          <w:rFonts w:hint="eastAsia" w:ascii="仿宋" w:hAnsi="仿宋" w:eastAsia="仿宋" w:cs="仿宋"/>
          <w:color w:val="auto"/>
          <w:highlight w:val="none"/>
        </w:rPr>
        <w:fldChar w:fldCharType="end"/>
      </w:r>
    </w:p>
    <w:p w14:paraId="392CAF3B">
      <w:pPr>
        <w:pStyle w:val="23"/>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_Toc22420 </w:instrText>
      </w:r>
      <w:r>
        <w:rPr>
          <w:rFonts w:hint="eastAsia" w:ascii="仿宋" w:hAnsi="仿宋" w:eastAsia="仿宋" w:cs="仿宋"/>
          <w:highlight w:val="none"/>
        </w:rPr>
        <w:fldChar w:fldCharType="separate"/>
      </w:r>
      <w:r>
        <w:rPr>
          <w:rFonts w:hint="eastAsia" w:ascii="仿宋" w:hAnsi="仿宋" w:eastAsia="仿宋" w:cs="仿宋"/>
          <w:szCs w:val="24"/>
          <w:highlight w:val="none"/>
        </w:rPr>
        <w:t>第一章 投标人须知</w:t>
      </w:r>
      <w:r>
        <w:tab/>
      </w:r>
      <w:r>
        <w:fldChar w:fldCharType="begin"/>
      </w:r>
      <w:r>
        <w:instrText xml:space="preserve"> PAGEREF _Toc22420 \h </w:instrText>
      </w:r>
      <w:r>
        <w:fldChar w:fldCharType="separate"/>
      </w:r>
      <w:r>
        <w:t>7</w:t>
      </w:r>
      <w:r>
        <w:fldChar w:fldCharType="end"/>
      </w:r>
      <w:r>
        <w:rPr>
          <w:rFonts w:hint="eastAsia" w:ascii="仿宋" w:hAnsi="仿宋" w:eastAsia="仿宋" w:cs="仿宋"/>
          <w:color w:val="auto"/>
          <w:highlight w:val="none"/>
        </w:rPr>
        <w:fldChar w:fldCharType="end"/>
      </w:r>
    </w:p>
    <w:p w14:paraId="2234DE12">
      <w:pPr>
        <w:pStyle w:val="29"/>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_Toc8133 </w:instrText>
      </w:r>
      <w:r>
        <w:rPr>
          <w:rFonts w:hint="eastAsia" w:ascii="仿宋" w:hAnsi="仿宋" w:eastAsia="仿宋" w:cs="仿宋"/>
          <w:highlight w:val="none"/>
        </w:rPr>
        <w:fldChar w:fldCharType="separate"/>
      </w:r>
      <w:r>
        <w:rPr>
          <w:rFonts w:hint="eastAsia" w:ascii="仿宋" w:hAnsi="仿宋" w:eastAsia="仿宋" w:cs="仿宋"/>
          <w:szCs w:val="24"/>
          <w:highlight w:val="none"/>
        </w:rPr>
        <w:t>一、总则</w:t>
      </w:r>
      <w:r>
        <w:tab/>
      </w:r>
      <w:r>
        <w:fldChar w:fldCharType="begin"/>
      </w:r>
      <w:r>
        <w:instrText xml:space="preserve"> PAGEREF _Toc8133 \h </w:instrText>
      </w:r>
      <w:r>
        <w:fldChar w:fldCharType="separate"/>
      </w:r>
      <w:r>
        <w:t>7</w:t>
      </w:r>
      <w:r>
        <w:fldChar w:fldCharType="end"/>
      </w:r>
      <w:r>
        <w:rPr>
          <w:rFonts w:hint="eastAsia" w:ascii="仿宋" w:hAnsi="仿宋" w:eastAsia="仿宋" w:cs="仿宋"/>
          <w:color w:val="auto"/>
          <w:highlight w:val="none"/>
        </w:rPr>
        <w:fldChar w:fldCharType="end"/>
      </w:r>
    </w:p>
    <w:p w14:paraId="552162C6">
      <w:pPr>
        <w:pStyle w:val="29"/>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_Toc28133 </w:instrText>
      </w:r>
      <w:r>
        <w:rPr>
          <w:rFonts w:hint="eastAsia" w:ascii="仿宋" w:hAnsi="仿宋" w:eastAsia="仿宋" w:cs="仿宋"/>
          <w:highlight w:val="none"/>
        </w:rPr>
        <w:fldChar w:fldCharType="separate"/>
      </w:r>
      <w:r>
        <w:rPr>
          <w:rFonts w:hint="eastAsia" w:ascii="仿宋" w:hAnsi="仿宋" w:eastAsia="仿宋" w:cs="仿宋"/>
          <w:szCs w:val="24"/>
          <w:highlight w:val="none"/>
        </w:rPr>
        <w:t>二、招标文件</w:t>
      </w:r>
      <w:r>
        <w:tab/>
      </w:r>
      <w:r>
        <w:fldChar w:fldCharType="begin"/>
      </w:r>
      <w:r>
        <w:instrText xml:space="preserve"> PAGEREF _Toc28133 \h </w:instrText>
      </w:r>
      <w:r>
        <w:fldChar w:fldCharType="separate"/>
      </w:r>
      <w:r>
        <w:t>8</w:t>
      </w:r>
      <w:r>
        <w:fldChar w:fldCharType="end"/>
      </w:r>
      <w:r>
        <w:rPr>
          <w:rFonts w:hint="eastAsia" w:ascii="仿宋" w:hAnsi="仿宋" w:eastAsia="仿宋" w:cs="仿宋"/>
          <w:color w:val="auto"/>
          <w:highlight w:val="none"/>
        </w:rPr>
        <w:fldChar w:fldCharType="end"/>
      </w:r>
    </w:p>
    <w:p w14:paraId="07F3E1FE">
      <w:pPr>
        <w:pStyle w:val="29"/>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_Toc13021 </w:instrText>
      </w:r>
      <w:r>
        <w:rPr>
          <w:rFonts w:hint="eastAsia" w:ascii="仿宋" w:hAnsi="仿宋" w:eastAsia="仿宋" w:cs="仿宋"/>
          <w:highlight w:val="none"/>
        </w:rPr>
        <w:fldChar w:fldCharType="separate"/>
      </w:r>
      <w:r>
        <w:rPr>
          <w:rFonts w:hint="eastAsia" w:ascii="仿宋" w:hAnsi="仿宋" w:eastAsia="仿宋" w:cs="仿宋"/>
          <w:szCs w:val="24"/>
          <w:highlight w:val="none"/>
        </w:rPr>
        <w:t>三、投标文件</w:t>
      </w:r>
      <w:r>
        <w:tab/>
      </w:r>
      <w:r>
        <w:fldChar w:fldCharType="begin"/>
      </w:r>
      <w:r>
        <w:instrText xml:space="preserve"> PAGEREF _Toc13021 \h </w:instrText>
      </w:r>
      <w:r>
        <w:fldChar w:fldCharType="separate"/>
      </w:r>
      <w:r>
        <w:t>10</w:t>
      </w:r>
      <w:r>
        <w:fldChar w:fldCharType="end"/>
      </w:r>
      <w:r>
        <w:rPr>
          <w:rFonts w:hint="eastAsia" w:ascii="仿宋" w:hAnsi="仿宋" w:eastAsia="仿宋" w:cs="仿宋"/>
          <w:color w:val="auto"/>
          <w:highlight w:val="none"/>
        </w:rPr>
        <w:fldChar w:fldCharType="end"/>
      </w:r>
    </w:p>
    <w:p w14:paraId="2B23FD48">
      <w:pPr>
        <w:pStyle w:val="29"/>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_Toc11162 </w:instrText>
      </w:r>
      <w:r>
        <w:rPr>
          <w:rFonts w:hint="eastAsia" w:ascii="仿宋" w:hAnsi="仿宋" w:eastAsia="仿宋" w:cs="仿宋"/>
          <w:highlight w:val="none"/>
        </w:rPr>
        <w:fldChar w:fldCharType="separate"/>
      </w:r>
      <w:r>
        <w:rPr>
          <w:rFonts w:hint="eastAsia" w:ascii="仿宋" w:hAnsi="仿宋" w:eastAsia="仿宋" w:cs="仿宋"/>
          <w:szCs w:val="24"/>
          <w:highlight w:val="none"/>
        </w:rPr>
        <w:t>四、投标</w:t>
      </w:r>
      <w:r>
        <w:tab/>
      </w:r>
      <w:r>
        <w:fldChar w:fldCharType="begin"/>
      </w:r>
      <w:r>
        <w:instrText xml:space="preserve"> PAGEREF _Toc11162 \h </w:instrText>
      </w:r>
      <w:r>
        <w:fldChar w:fldCharType="separate"/>
      </w:r>
      <w:r>
        <w:t>12</w:t>
      </w:r>
      <w:r>
        <w:fldChar w:fldCharType="end"/>
      </w:r>
      <w:r>
        <w:rPr>
          <w:rFonts w:hint="eastAsia" w:ascii="仿宋" w:hAnsi="仿宋" w:eastAsia="仿宋" w:cs="仿宋"/>
          <w:color w:val="auto"/>
          <w:highlight w:val="none"/>
        </w:rPr>
        <w:fldChar w:fldCharType="end"/>
      </w:r>
    </w:p>
    <w:p w14:paraId="3E142A83">
      <w:pPr>
        <w:pStyle w:val="29"/>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_Toc10601 </w:instrText>
      </w:r>
      <w:r>
        <w:rPr>
          <w:rFonts w:hint="eastAsia" w:ascii="仿宋" w:hAnsi="仿宋" w:eastAsia="仿宋" w:cs="仿宋"/>
          <w:highlight w:val="none"/>
        </w:rPr>
        <w:fldChar w:fldCharType="separate"/>
      </w:r>
      <w:r>
        <w:rPr>
          <w:rFonts w:hint="eastAsia" w:ascii="仿宋" w:hAnsi="仿宋" w:eastAsia="仿宋" w:cs="仿宋"/>
          <w:szCs w:val="24"/>
          <w:highlight w:val="none"/>
        </w:rPr>
        <w:t>五、开标</w:t>
      </w:r>
      <w:r>
        <w:tab/>
      </w:r>
      <w:r>
        <w:fldChar w:fldCharType="begin"/>
      </w:r>
      <w:r>
        <w:instrText xml:space="preserve"> PAGEREF _Toc10601 \h </w:instrText>
      </w:r>
      <w:r>
        <w:fldChar w:fldCharType="separate"/>
      </w:r>
      <w:r>
        <w:t>13</w:t>
      </w:r>
      <w:r>
        <w:fldChar w:fldCharType="end"/>
      </w:r>
      <w:r>
        <w:rPr>
          <w:rFonts w:hint="eastAsia" w:ascii="仿宋" w:hAnsi="仿宋" w:eastAsia="仿宋" w:cs="仿宋"/>
          <w:color w:val="auto"/>
          <w:highlight w:val="none"/>
        </w:rPr>
        <w:fldChar w:fldCharType="end"/>
      </w:r>
    </w:p>
    <w:p w14:paraId="6E70D6FE">
      <w:pPr>
        <w:pStyle w:val="29"/>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_Toc31511 </w:instrText>
      </w:r>
      <w:r>
        <w:rPr>
          <w:rFonts w:hint="eastAsia" w:ascii="仿宋" w:hAnsi="仿宋" w:eastAsia="仿宋" w:cs="仿宋"/>
          <w:highlight w:val="none"/>
        </w:rPr>
        <w:fldChar w:fldCharType="separate"/>
      </w:r>
      <w:r>
        <w:rPr>
          <w:rFonts w:hint="eastAsia" w:ascii="仿宋" w:hAnsi="仿宋" w:eastAsia="仿宋" w:cs="仿宋"/>
          <w:szCs w:val="24"/>
          <w:highlight w:val="none"/>
        </w:rPr>
        <w:t>六、评标</w:t>
      </w:r>
      <w:r>
        <w:tab/>
      </w:r>
      <w:r>
        <w:fldChar w:fldCharType="begin"/>
      </w:r>
      <w:r>
        <w:instrText xml:space="preserve"> PAGEREF _Toc31511 \h </w:instrText>
      </w:r>
      <w:r>
        <w:fldChar w:fldCharType="separate"/>
      </w:r>
      <w:r>
        <w:t>13</w:t>
      </w:r>
      <w:r>
        <w:fldChar w:fldCharType="end"/>
      </w:r>
      <w:r>
        <w:rPr>
          <w:rFonts w:hint="eastAsia" w:ascii="仿宋" w:hAnsi="仿宋" w:eastAsia="仿宋" w:cs="仿宋"/>
          <w:color w:val="auto"/>
          <w:highlight w:val="none"/>
        </w:rPr>
        <w:fldChar w:fldCharType="end"/>
      </w:r>
    </w:p>
    <w:p w14:paraId="70E5CEB0">
      <w:pPr>
        <w:pStyle w:val="29"/>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_Toc23340 </w:instrText>
      </w:r>
      <w:r>
        <w:rPr>
          <w:rFonts w:hint="eastAsia" w:ascii="仿宋" w:hAnsi="仿宋" w:eastAsia="仿宋" w:cs="仿宋"/>
          <w:highlight w:val="none"/>
        </w:rPr>
        <w:fldChar w:fldCharType="separate"/>
      </w:r>
      <w:r>
        <w:rPr>
          <w:rFonts w:hint="eastAsia" w:ascii="仿宋" w:hAnsi="仿宋" w:eastAsia="仿宋" w:cs="仿宋"/>
          <w:szCs w:val="24"/>
          <w:highlight w:val="none"/>
        </w:rPr>
        <w:t>七、定标及合同授予</w:t>
      </w:r>
      <w:r>
        <w:tab/>
      </w:r>
      <w:r>
        <w:fldChar w:fldCharType="begin"/>
      </w:r>
      <w:r>
        <w:instrText xml:space="preserve"> PAGEREF _Toc23340 \h </w:instrText>
      </w:r>
      <w:r>
        <w:fldChar w:fldCharType="separate"/>
      </w:r>
      <w:r>
        <w:t>14</w:t>
      </w:r>
      <w:r>
        <w:fldChar w:fldCharType="end"/>
      </w:r>
      <w:r>
        <w:rPr>
          <w:rFonts w:hint="eastAsia" w:ascii="仿宋" w:hAnsi="仿宋" w:eastAsia="仿宋" w:cs="仿宋"/>
          <w:color w:val="auto"/>
          <w:highlight w:val="none"/>
        </w:rPr>
        <w:fldChar w:fldCharType="end"/>
      </w:r>
    </w:p>
    <w:p w14:paraId="14C45AF7">
      <w:pPr>
        <w:pStyle w:val="29"/>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_Toc22590 </w:instrText>
      </w:r>
      <w:r>
        <w:rPr>
          <w:rFonts w:hint="eastAsia" w:ascii="仿宋" w:hAnsi="仿宋" w:eastAsia="仿宋" w:cs="仿宋"/>
          <w:highlight w:val="none"/>
        </w:rPr>
        <w:fldChar w:fldCharType="separate"/>
      </w:r>
      <w:r>
        <w:rPr>
          <w:rFonts w:hint="eastAsia" w:ascii="仿宋" w:hAnsi="仿宋" w:eastAsia="仿宋" w:cs="仿宋"/>
          <w:szCs w:val="24"/>
          <w:highlight w:val="none"/>
        </w:rPr>
        <w:t>八、纪律和监督</w:t>
      </w:r>
      <w:r>
        <w:tab/>
      </w:r>
      <w:r>
        <w:fldChar w:fldCharType="begin"/>
      </w:r>
      <w:r>
        <w:instrText xml:space="preserve"> PAGEREF _Toc22590 \h </w:instrText>
      </w:r>
      <w:r>
        <w:fldChar w:fldCharType="separate"/>
      </w:r>
      <w:r>
        <w:t>15</w:t>
      </w:r>
      <w:r>
        <w:fldChar w:fldCharType="end"/>
      </w:r>
      <w:r>
        <w:rPr>
          <w:rFonts w:hint="eastAsia" w:ascii="仿宋" w:hAnsi="仿宋" w:eastAsia="仿宋" w:cs="仿宋"/>
          <w:color w:val="auto"/>
          <w:highlight w:val="none"/>
        </w:rPr>
        <w:fldChar w:fldCharType="end"/>
      </w:r>
    </w:p>
    <w:p w14:paraId="740CB0EF">
      <w:pPr>
        <w:pStyle w:val="23"/>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_Toc29444 </w:instrText>
      </w:r>
      <w:r>
        <w:rPr>
          <w:rFonts w:hint="eastAsia" w:ascii="仿宋" w:hAnsi="仿宋" w:eastAsia="仿宋" w:cs="仿宋"/>
          <w:highlight w:val="none"/>
        </w:rPr>
        <w:fldChar w:fldCharType="separate"/>
      </w:r>
      <w:r>
        <w:rPr>
          <w:rFonts w:hint="eastAsia" w:ascii="仿宋" w:hAnsi="仿宋" w:eastAsia="仿宋" w:cs="仿宋"/>
          <w:szCs w:val="24"/>
          <w:highlight w:val="none"/>
        </w:rPr>
        <w:t>第二章 评标办法</w:t>
      </w:r>
      <w:r>
        <w:tab/>
      </w:r>
      <w:r>
        <w:fldChar w:fldCharType="begin"/>
      </w:r>
      <w:r>
        <w:instrText xml:space="preserve"> PAGEREF _Toc29444 \h </w:instrText>
      </w:r>
      <w:r>
        <w:fldChar w:fldCharType="separate"/>
      </w:r>
      <w:r>
        <w:t>16</w:t>
      </w:r>
      <w:r>
        <w:fldChar w:fldCharType="end"/>
      </w:r>
      <w:r>
        <w:rPr>
          <w:rFonts w:hint="eastAsia" w:ascii="仿宋" w:hAnsi="仿宋" w:eastAsia="仿宋" w:cs="仿宋"/>
          <w:color w:val="auto"/>
          <w:highlight w:val="none"/>
        </w:rPr>
        <w:fldChar w:fldCharType="end"/>
      </w:r>
    </w:p>
    <w:p w14:paraId="36562419">
      <w:pPr>
        <w:pStyle w:val="29"/>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_Toc28403 </w:instrText>
      </w:r>
      <w:r>
        <w:rPr>
          <w:rFonts w:hint="eastAsia" w:ascii="仿宋" w:hAnsi="仿宋" w:eastAsia="仿宋" w:cs="仿宋"/>
          <w:highlight w:val="none"/>
        </w:rPr>
        <w:fldChar w:fldCharType="separate"/>
      </w:r>
      <w:r>
        <w:rPr>
          <w:rFonts w:hint="eastAsia" w:ascii="仿宋" w:hAnsi="仿宋" w:eastAsia="仿宋" w:cs="仿宋"/>
          <w:szCs w:val="24"/>
          <w:highlight w:val="none"/>
        </w:rPr>
        <w:t>评审办法前附表</w:t>
      </w:r>
      <w:r>
        <w:tab/>
      </w:r>
      <w:r>
        <w:fldChar w:fldCharType="begin"/>
      </w:r>
      <w:r>
        <w:instrText xml:space="preserve"> PAGEREF _Toc28403 \h </w:instrText>
      </w:r>
      <w:r>
        <w:fldChar w:fldCharType="separate"/>
      </w:r>
      <w:r>
        <w:t>16</w:t>
      </w:r>
      <w:r>
        <w:fldChar w:fldCharType="end"/>
      </w:r>
      <w:r>
        <w:rPr>
          <w:rFonts w:hint="eastAsia" w:ascii="仿宋" w:hAnsi="仿宋" w:eastAsia="仿宋" w:cs="仿宋"/>
          <w:color w:val="auto"/>
          <w:highlight w:val="none"/>
        </w:rPr>
        <w:fldChar w:fldCharType="end"/>
      </w:r>
    </w:p>
    <w:p w14:paraId="5B012D4A">
      <w:pPr>
        <w:pStyle w:val="29"/>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_Toc20438 </w:instrText>
      </w:r>
      <w:r>
        <w:rPr>
          <w:rFonts w:hint="eastAsia" w:ascii="仿宋" w:hAnsi="仿宋" w:eastAsia="仿宋" w:cs="仿宋"/>
          <w:highlight w:val="none"/>
        </w:rPr>
        <w:fldChar w:fldCharType="separate"/>
      </w:r>
      <w:r>
        <w:rPr>
          <w:rFonts w:hint="eastAsia" w:ascii="仿宋" w:hAnsi="仿宋" w:eastAsia="仿宋" w:cs="仿宋"/>
          <w:szCs w:val="24"/>
          <w:highlight w:val="none"/>
        </w:rPr>
        <w:t>一、评标方法</w:t>
      </w:r>
      <w:r>
        <w:tab/>
      </w:r>
      <w:r>
        <w:fldChar w:fldCharType="begin"/>
      </w:r>
      <w:r>
        <w:instrText xml:space="preserve"> PAGEREF _Toc20438 \h </w:instrText>
      </w:r>
      <w:r>
        <w:fldChar w:fldCharType="separate"/>
      </w:r>
      <w:r>
        <w:t>19</w:t>
      </w:r>
      <w:r>
        <w:fldChar w:fldCharType="end"/>
      </w:r>
      <w:r>
        <w:rPr>
          <w:rFonts w:hint="eastAsia" w:ascii="仿宋" w:hAnsi="仿宋" w:eastAsia="仿宋" w:cs="仿宋"/>
          <w:color w:val="auto"/>
          <w:highlight w:val="none"/>
        </w:rPr>
        <w:fldChar w:fldCharType="end"/>
      </w:r>
    </w:p>
    <w:p w14:paraId="5C059A04">
      <w:pPr>
        <w:pStyle w:val="29"/>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_Toc17097 </w:instrText>
      </w:r>
      <w:r>
        <w:rPr>
          <w:rFonts w:hint="eastAsia" w:ascii="仿宋" w:hAnsi="仿宋" w:eastAsia="仿宋" w:cs="仿宋"/>
          <w:highlight w:val="none"/>
        </w:rPr>
        <w:fldChar w:fldCharType="separate"/>
      </w:r>
      <w:r>
        <w:rPr>
          <w:rFonts w:hint="eastAsia" w:ascii="仿宋" w:hAnsi="仿宋" w:eastAsia="仿宋" w:cs="仿宋"/>
          <w:szCs w:val="24"/>
          <w:highlight w:val="none"/>
        </w:rPr>
        <w:t>二、评审标准</w:t>
      </w:r>
      <w:r>
        <w:tab/>
      </w:r>
      <w:r>
        <w:fldChar w:fldCharType="begin"/>
      </w:r>
      <w:r>
        <w:instrText xml:space="preserve"> PAGEREF _Toc17097 \h </w:instrText>
      </w:r>
      <w:r>
        <w:fldChar w:fldCharType="separate"/>
      </w:r>
      <w:r>
        <w:t>20</w:t>
      </w:r>
      <w:r>
        <w:fldChar w:fldCharType="end"/>
      </w:r>
      <w:r>
        <w:rPr>
          <w:rFonts w:hint="eastAsia" w:ascii="仿宋" w:hAnsi="仿宋" w:eastAsia="仿宋" w:cs="仿宋"/>
          <w:color w:val="auto"/>
          <w:highlight w:val="none"/>
        </w:rPr>
        <w:fldChar w:fldCharType="end"/>
      </w:r>
    </w:p>
    <w:p w14:paraId="18F35703">
      <w:pPr>
        <w:pStyle w:val="29"/>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_Toc11788 </w:instrText>
      </w:r>
      <w:r>
        <w:rPr>
          <w:rFonts w:hint="eastAsia" w:ascii="仿宋" w:hAnsi="仿宋" w:eastAsia="仿宋" w:cs="仿宋"/>
          <w:highlight w:val="none"/>
        </w:rPr>
        <w:fldChar w:fldCharType="separate"/>
      </w:r>
      <w:r>
        <w:rPr>
          <w:rFonts w:hint="eastAsia" w:ascii="仿宋" w:hAnsi="仿宋" w:eastAsia="仿宋" w:cs="仿宋"/>
          <w:szCs w:val="24"/>
          <w:highlight w:val="none"/>
        </w:rPr>
        <w:t>三、评标程序</w:t>
      </w:r>
      <w:r>
        <w:tab/>
      </w:r>
      <w:r>
        <w:fldChar w:fldCharType="begin"/>
      </w:r>
      <w:r>
        <w:instrText xml:space="preserve"> PAGEREF _Toc11788 \h </w:instrText>
      </w:r>
      <w:r>
        <w:fldChar w:fldCharType="separate"/>
      </w:r>
      <w:r>
        <w:t>20</w:t>
      </w:r>
      <w:r>
        <w:fldChar w:fldCharType="end"/>
      </w:r>
      <w:r>
        <w:rPr>
          <w:rFonts w:hint="eastAsia" w:ascii="仿宋" w:hAnsi="仿宋" w:eastAsia="仿宋" w:cs="仿宋"/>
          <w:color w:val="auto"/>
          <w:highlight w:val="none"/>
        </w:rPr>
        <w:fldChar w:fldCharType="end"/>
      </w:r>
    </w:p>
    <w:p w14:paraId="1F479F58">
      <w:pPr>
        <w:pStyle w:val="23"/>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_Toc20770 </w:instrText>
      </w:r>
      <w:r>
        <w:rPr>
          <w:rFonts w:hint="eastAsia" w:ascii="仿宋" w:hAnsi="仿宋" w:eastAsia="仿宋" w:cs="仿宋"/>
          <w:highlight w:val="none"/>
        </w:rPr>
        <w:fldChar w:fldCharType="separate"/>
      </w:r>
      <w:r>
        <w:rPr>
          <w:rFonts w:hint="eastAsia" w:ascii="仿宋" w:hAnsi="仿宋" w:eastAsia="仿宋" w:cs="仿宋"/>
          <w:szCs w:val="24"/>
          <w:highlight w:val="none"/>
        </w:rPr>
        <w:t>第三章 合同文本</w:t>
      </w:r>
      <w:r>
        <w:tab/>
      </w:r>
      <w:r>
        <w:fldChar w:fldCharType="begin"/>
      </w:r>
      <w:r>
        <w:instrText xml:space="preserve"> PAGEREF _Toc20770 \h </w:instrText>
      </w:r>
      <w:r>
        <w:fldChar w:fldCharType="separate"/>
      </w:r>
      <w:r>
        <w:t>25</w:t>
      </w:r>
      <w:r>
        <w:fldChar w:fldCharType="end"/>
      </w:r>
      <w:r>
        <w:rPr>
          <w:rFonts w:hint="eastAsia" w:ascii="仿宋" w:hAnsi="仿宋" w:eastAsia="仿宋" w:cs="仿宋"/>
          <w:color w:val="auto"/>
          <w:highlight w:val="none"/>
        </w:rPr>
        <w:fldChar w:fldCharType="end"/>
      </w:r>
    </w:p>
    <w:p w14:paraId="07D82430">
      <w:pPr>
        <w:pStyle w:val="23"/>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_Toc26032 </w:instrText>
      </w:r>
      <w:r>
        <w:rPr>
          <w:rFonts w:hint="eastAsia" w:ascii="仿宋" w:hAnsi="仿宋" w:eastAsia="仿宋" w:cs="仿宋"/>
          <w:highlight w:val="none"/>
        </w:rPr>
        <w:fldChar w:fldCharType="separate"/>
      </w:r>
      <w:r>
        <w:rPr>
          <w:rFonts w:hint="eastAsia" w:ascii="仿宋" w:hAnsi="仿宋" w:eastAsia="仿宋" w:cs="仿宋"/>
          <w:szCs w:val="24"/>
          <w:highlight w:val="none"/>
        </w:rPr>
        <w:t>第四章 技术标准和要求</w:t>
      </w:r>
      <w:r>
        <w:tab/>
      </w:r>
      <w:r>
        <w:fldChar w:fldCharType="begin"/>
      </w:r>
      <w:r>
        <w:instrText xml:space="preserve"> PAGEREF _Toc26032 \h </w:instrText>
      </w:r>
      <w:r>
        <w:fldChar w:fldCharType="separate"/>
      </w:r>
      <w:r>
        <w:t>29</w:t>
      </w:r>
      <w:r>
        <w:fldChar w:fldCharType="end"/>
      </w:r>
      <w:r>
        <w:rPr>
          <w:rFonts w:hint="eastAsia" w:ascii="仿宋" w:hAnsi="仿宋" w:eastAsia="仿宋" w:cs="仿宋"/>
          <w:color w:val="auto"/>
          <w:highlight w:val="none"/>
        </w:rPr>
        <w:fldChar w:fldCharType="end"/>
      </w:r>
    </w:p>
    <w:p w14:paraId="63FACBDB">
      <w:pPr>
        <w:pStyle w:val="23"/>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_Toc26535 </w:instrText>
      </w:r>
      <w:r>
        <w:rPr>
          <w:rFonts w:hint="eastAsia" w:ascii="仿宋" w:hAnsi="仿宋" w:eastAsia="仿宋" w:cs="仿宋"/>
          <w:highlight w:val="none"/>
        </w:rPr>
        <w:fldChar w:fldCharType="separate"/>
      </w:r>
      <w:r>
        <w:rPr>
          <w:rFonts w:hint="eastAsia" w:ascii="仿宋" w:hAnsi="仿宋" w:eastAsia="仿宋" w:cs="仿宋"/>
          <w:szCs w:val="24"/>
          <w:highlight w:val="none"/>
        </w:rPr>
        <w:t>第五章 投标文件格式</w:t>
      </w:r>
      <w:r>
        <w:tab/>
      </w:r>
      <w:r>
        <w:fldChar w:fldCharType="begin"/>
      </w:r>
      <w:r>
        <w:instrText xml:space="preserve"> PAGEREF _Toc26535 \h </w:instrText>
      </w:r>
      <w:r>
        <w:fldChar w:fldCharType="separate"/>
      </w:r>
      <w:r>
        <w:t>37</w:t>
      </w:r>
      <w:r>
        <w:fldChar w:fldCharType="end"/>
      </w:r>
      <w:r>
        <w:rPr>
          <w:rFonts w:hint="eastAsia" w:ascii="仿宋" w:hAnsi="仿宋" w:eastAsia="仿宋" w:cs="仿宋"/>
          <w:color w:val="auto"/>
          <w:highlight w:val="none"/>
        </w:rPr>
        <w:fldChar w:fldCharType="end"/>
      </w:r>
    </w:p>
    <w:p w14:paraId="0F6ABCC9">
      <w:pPr>
        <w:pStyle w:val="29"/>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_Toc21636 </w:instrText>
      </w:r>
      <w:r>
        <w:rPr>
          <w:rFonts w:hint="eastAsia" w:ascii="仿宋" w:hAnsi="仿宋" w:eastAsia="仿宋" w:cs="仿宋"/>
          <w:highlight w:val="none"/>
        </w:rPr>
        <w:fldChar w:fldCharType="separate"/>
      </w:r>
      <w:r>
        <w:rPr>
          <w:rFonts w:hint="eastAsia" w:ascii="仿宋" w:hAnsi="仿宋" w:eastAsia="仿宋" w:cs="仿宋"/>
          <w:szCs w:val="24"/>
          <w:highlight w:val="none"/>
        </w:rPr>
        <w:t>一、开标一览表</w:t>
      </w:r>
      <w:r>
        <w:tab/>
      </w:r>
      <w:r>
        <w:fldChar w:fldCharType="begin"/>
      </w:r>
      <w:r>
        <w:instrText xml:space="preserve"> PAGEREF _Toc21636 \h </w:instrText>
      </w:r>
      <w:r>
        <w:fldChar w:fldCharType="separate"/>
      </w:r>
      <w:r>
        <w:t>39</w:t>
      </w:r>
      <w:r>
        <w:fldChar w:fldCharType="end"/>
      </w:r>
      <w:r>
        <w:rPr>
          <w:rFonts w:hint="eastAsia" w:ascii="仿宋" w:hAnsi="仿宋" w:eastAsia="仿宋" w:cs="仿宋"/>
          <w:color w:val="auto"/>
          <w:highlight w:val="none"/>
        </w:rPr>
        <w:fldChar w:fldCharType="end"/>
      </w:r>
    </w:p>
    <w:p w14:paraId="43986A4A">
      <w:pPr>
        <w:pStyle w:val="29"/>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_Toc20941 </w:instrText>
      </w:r>
      <w:r>
        <w:rPr>
          <w:rFonts w:hint="eastAsia" w:ascii="仿宋" w:hAnsi="仿宋" w:eastAsia="仿宋" w:cs="仿宋"/>
          <w:highlight w:val="none"/>
        </w:rPr>
        <w:fldChar w:fldCharType="separate"/>
      </w:r>
      <w:r>
        <w:rPr>
          <w:rFonts w:hint="eastAsia" w:ascii="仿宋" w:hAnsi="仿宋" w:eastAsia="仿宋" w:cs="仿宋"/>
          <w:szCs w:val="24"/>
          <w:highlight w:val="none"/>
        </w:rPr>
        <w:t>二、投标函</w:t>
      </w:r>
      <w:r>
        <w:tab/>
      </w:r>
      <w:r>
        <w:fldChar w:fldCharType="begin"/>
      </w:r>
      <w:r>
        <w:instrText xml:space="preserve"> PAGEREF _Toc20941 \h </w:instrText>
      </w:r>
      <w:r>
        <w:fldChar w:fldCharType="separate"/>
      </w:r>
      <w:r>
        <w:t>40</w:t>
      </w:r>
      <w:r>
        <w:fldChar w:fldCharType="end"/>
      </w:r>
      <w:r>
        <w:rPr>
          <w:rFonts w:hint="eastAsia" w:ascii="仿宋" w:hAnsi="仿宋" w:eastAsia="仿宋" w:cs="仿宋"/>
          <w:color w:val="auto"/>
          <w:highlight w:val="none"/>
        </w:rPr>
        <w:fldChar w:fldCharType="end"/>
      </w:r>
    </w:p>
    <w:p w14:paraId="3B81F730">
      <w:pPr>
        <w:pStyle w:val="29"/>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_Toc11656 </w:instrText>
      </w:r>
      <w:r>
        <w:rPr>
          <w:rFonts w:hint="eastAsia" w:ascii="仿宋" w:hAnsi="仿宋" w:eastAsia="仿宋" w:cs="仿宋"/>
          <w:highlight w:val="none"/>
        </w:rPr>
        <w:fldChar w:fldCharType="separate"/>
      </w:r>
      <w:r>
        <w:rPr>
          <w:rFonts w:hint="eastAsia" w:ascii="仿宋" w:hAnsi="仿宋" w:eastAsia="仿宋" w:cs="仿宋"/>
          <w:szCs w:val="24"/>
          <w:highlight w:val="none"/>
        </w:rPr>
        <w:t>三、投标价格明细表</w:t>
      </w:r>
      <w:r>
        <w:tab/>
      </w:r>
      <w:r>
        <w:fldChar w:fldCharType="begin"/>
      </w:r>
      <w:r>
        <w:instrText xml:space="preserve"> PAGEREF _Toc11656 \h </w:instrText>
      </w:r>
      <w:r>
        <w:fldChar w:fldCharType="separate"/>
      </w:r>
      <w:r>
        <w:t>41</w:t>
      </w:r>
      <w:r>
        <w:fldChar w:fldCharType="end"/>
      </w:r>
      <w:r>
        <w:rPr>
          <w:rFonts w:hint="eastAsia" w:ascii="仿宋" w:hAnsi="仿宋" w:eastAsia="仿宋" w:cs="仿宋"/>
          <w:color w:val="auto"/>
          <w:highlight w:val="none"/>
        </w:rPr>
        <w:fldChar w:fldCharType="end"/>
      </w:r>
    </w:p>
    <w:p w14:paraId="28BAA8F7">
      <w:pPr>
        <w:pStyle w:val="29"/>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_Toc516 </w:instrText>
      </w:r>
      <w:r>
        <w:rPr>
          <w:rFonts w:hint="eastAsia" w:ascii="仿宋" w:hAnsi="仿宋" w:eastAsia="仿宋" w:cs="仿宋"/>
          <w:highlight w:val="none"/>
        </w:rPr>
        <w:fldChar w:fldCharType="separate"/>
      </w:r>
      <w:r>
        <w:rPr>
          <w:rFonts w:hint="eastAsia" w:ascii="仿宋" w:hAnsi="仿宋" w:eastAsia="仿宋" w:cs="仿宋"/>
          <w:szCs w:val="24"/>
          <w:highlight w:val="none"/>
        </w:rPr>
        <w:t>四、商务条款偏离表</w:t>
      </w:r>
      <w:r>
        <w:tab/>
      </w:r>
      <w:r>
        <w:fldChar w:fldCharType="begin"/>
      </w:r>
      <w:r>
        <w:instrText xml:space="preserve"> PAGEREF _Toc516 \h </w:instrText>
      </w:r>
      <w:r>
        <w:fldChar w:fldCharType="separate"/>
      </w:r>
      <w:r>
        <w:t>42</w:t>
      </w:r>
      <w:r>
        <w:fldChar w:fldCharType="end"/>
      </w:r>
      <w:r>
        <w:rPr>
          <w:rFonts w:hint="eastAsia" w:ascii="仿宋" w:hAnsi="仿宋" w:eastAsia="仿宋" w:cs="仿宋"/>
          <w:color w:val="auto"/>
          <w:highlight w:val="none"/>
        </w:rPr>
        <w:fldChar w:fldCharType="end"/>
      </w:r>
    </w:p>
    <w:p w14:paraId="423D35ED">
      <w:pPr>
        <w:pStyle w:val="29"/>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_Toc26164 </w:instrText>
      </w:r>
      <w:r>
        <w:rPr>
          <w:rFonts w:hint="eastAsia" w:ascii="仿宋" w:hAnsi="仿宋" w:eastAsia="仿宋" w:cs="仿宋"/>
          <w:highlight w:val="none"/>
        </w:rPr>
        <w:fldChar w:fldCharType="separate"/>
      </w:r>
      <w:r>
        <w:rPr>
          <w:rFonts w:hint="eastAsia" w:ascii="仿宋" w:hAnsi="仿宋" w:eastAsia="仿宋" w:cs="仿宋"/>
          <w:szCs w:val="24"/>
          <w:highlight w:val="none"/>
        </w:rPr>
        <w:t>五、技术条款偏离表</w:t>
      </w:r>
      <w:r>
        <w:tab/>
      </w:r>
      <w:r>
        <w:fldChar w:fldCharType="begin"/>
      </w:r>
      <w:r>
        <w:instrText xml:space="preserve"> PAGEREF _Toc26164 \h </w:instrText>
      </w:r>
      <w:r>
        <w:fldChar w:fldCharType="separate"/>
      </w:r>
      <w:r>
        <w:t>43</w:t>
      </w:r>
      <w:r>
        <w:fldChar w:fldCharType="end"/>
      </w:r>
      <w:r>
        <w:rPr>
          <w:rFonts w:hint="eastAsia" w:ascii="仿宋" w:hAnsi="仿宋" w:eastAsia="仿宋" w:cs="仿宋"/>
          <w:color w:val="auto"/>
          <w:highlight w:val="none"/>
        </w:rPr>
        <w:fldChar w:fldCharType="end"/>
      </w:r>
    </w:p>
    <w:p w14:paraId="24C7E40E">
      <w:pPr>
        <w:pStyle w:val="29"/>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_Toc2726 </w:instrText>
      </w:r>
      <w:r>
        <w:rPr>
          <w:rFonts w:hint="eastAsia" w:ascii="仿宋" w:hAnsi="仿宋" w:eastAsia="仿宋" w:cs="仿宋"/>
          <w:highlight w:val="none"/>
        </w:rPr>
        <w:fldChar w:fldCharType="separate"/>
      </w:r>
      <w:r>
        <w:rPr>
          <w:rFonts w:hint="eastAsia" w:ascii="仿宋" w:hAnsi="仿宋" w:eastAsia="仿宋" w:cs="仿宋"/>
          <w:szCs w:val="24"/>
          <w:highlight w:val="none"/>
        </w:rPr>
        <w:t>六、法定代表人身份证明书</w:t>
      </w:r>
      <w:r>
        <w:tab/>
      </w:r>
      <w:r>
        <w:fldChar w:fldCharType="begin"/>
      </w:r>
      <w:r>
        <w:instrText xml:space="preserve"> PAGEREF _Toc2726 \h </w:instrText>
      </w:r>
      <w:r>
        <w:fldChar w:fldCharType="separate"/>
      </w:r>
      <w:r>
        <w:t>44</w:t>
      </w:r>
      <w:r>
        <w:fldChar w:fldCharType="end"/>
      </w:r>
      <w:r>
        <w:rPr>
          <w:rFonts w:hint="eastAsia" w:ascii="仿宋" w:hAnsi="仿宋" w:eastAsia="仿宋" w:cs="仿宋"/>
          <w:color w:val="auto"/>
          <w:highlight w:val="none"/>
        </w:rPr>
        <w:fldChar w:fldCharType="end"/>
      </w:r>
    </w:p>
    <w:p w14:paraId="460933CC">
      <w:pPr>
        <w:pStyle w:val="29"/>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_Toc2170 </w:instrText>
      </w:r>
      <w:r>
        <w:rPr>
          <w:rFonts w:hint="eastAsia" w:ascii="仿宋" w:hAnsi="仿宋" w:eastAsia="仿宋" w:cs="仿宋"/>
          <w:highlight w:val="none"/>
        </w:rPr>
        <w:fldChar w:fldCharType="separate"/>
      </w:r>
      <w:r>
        <w:rPr>
          <w:rFonts w:hint="eastAsia" w:ascii="仿宋" w:hAnsi="仿宋" w:eastAsia="仿宋" w:cs="仿宋"/>
          <w:szCs w:val="24"/>
          <w:highlight w:val="none"/>
        </w:rPr>
        <w:t>七、法定代表人授权委托书</w:t>
      </w:r>
      <w:r>
        <w:tab/>
      </w:r>
      <w:r>
        <w:fldChar w:fldCharType="begin"/>
      </w:r>
      <w:r>
        <w:instrText xml:space="preserve"> PAGEREF _Toc2170 \h </w:instrText>
      </w:r>
      <w:r>
        <w:fldChar w:fldCharType="separate"/>
      </w:r>
      <w:r>
        <w:t>45</w:t>
      </w:r>
      <w:r>
        <w:fldChar w:fldCharType="end"/>
      </w:r>
      <w:r>
        <w:rPr>
          <w:rFonts w:hint="eastAsia" w:ascii="仿宋" w:hAnsi="仿宋" w:eastAsia="仿宋" w:cs="仿宋"/>
          <w:color w:val="auto"/>
          <w:highlight w:val="none"/>
        </w:rPr>
        <w:fldChar w:fldCharType="end"/>
      </w:r>
    </w:p>
    <w:p w14:paraId="67557289">
      <w:pPr>
        <w:pStyle w:val="29"/>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_Toc29423 </w:instrText>
      </w:r>
      <w:r>
        <w:rPr>
          <w:rFonts w:hint="eastAsia" w:ascii="仿宋" w:hAnsi="仿宋" w:eastAsia="仿宋" w:cs="仿宋"/>
          <w:highlight w:val="none"/>
        </w:rPr>
        <w:fldChar w:fldCharType="separate"/>
      </w:r>
      <w:r>
        <w:rPr>
          <w:rFonts w:hint="eastAsia" w:ascii="仿宋" w:hAnsi="仿宋" w:eastAsia="仿宋" w:cs="仿宋"/>
          <w:szCs w:val="24"/>
          <w:highlight w:val="none"/>
        </w:rPr>
        <w:t>八、</w:t>
      </w:r>
      <w:r>
        <w:rPr>
          <w:rFonts w:hint="eastAsia" w:ascii="仿宋" w:hAnsi="仿宋" w:eastAsia="仿宋" w:cs="仿宋"/>
          <w:bCs/>
          <w:szCs w:val="24"/>
          <w:highlight w:val="none"/>
        </w:rPr>
        <w:t>投标人资格条件证明材料</w:t>
      </w:r>
      <w:r>
        <w:tab/>
      </w:r>
      <w:r>
        <w:fldChar w:fldCharType="begin"/>
      </w:r>
      <w:r>
        <w:instrText xml:space="preserve"> PAGEREF _Toc29423 \h </w:instrText>
      </w:r>
      <w:r>
        <w:fldChar w:fldCharType="separate"/>
      </w:r>
      <w:r>
        <w:t>46</w:t>
      </w:r>
      <w:r>
        <w:fldChar w:fldCharType="end"/>
      </w:r>
      <w:r>
        <w:rPr>
          <w:rFonts w:hint="eastAsia" w:ascii="仿宋" w:hAnsi="仿宋" w:eastAsia="仿宋" w:cs="仿宋"/>
          <w:color w:val="auto"/>
          <w:highlight w:val="none"/>
        </w:rPr>
        <w:fldChar w:fldCharType="end"/>
      </w:r>
    </w:p>
    <w:p w14:paraId="32C38EE2">
      <w:pPr>
        <w:pStyle w:val="29"/>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_Toc22386 </w:instrText>
      </w:r>
      <w:r>
        <w:rPr>
          <w:rFonts w:hint="eastAsia" w:ascii="仿宋" w:hAnsi="仿宋" w:eastAsia="仿宋" w:cs="仿宋"/>
          <w:highlight w:val="none"/>
        </w:rPr>
        <w:fldChar w:fldCharType="separate"/>
      </w:r>
      <w:r>
        <w:rPr>
          <w:rFonts w:hint="eastAsia" w:ascii="仿宋" w:hAnsi="仿宋" w:eastAsia="仿宋" w:cs="仿宋"/>
          <w:szCs w:val="24"/>
          <w:highlight w:val="none"/>
        </w:rPr>
        <w:t>8.1 法人或者其他组织的营业执照等证明文件，自然人的身份证明</w:t>
      </w:r>
      <w:r>
        <w:tab/>
      </w:r>
      <w:r>
        <w:fldChar w:fldCharType="begin"/>
      </w:r>
      <w:r>
        <w:instrText xml:space="preserve"> PAGEREF _Toc22386 \h </w:instrText>
      </w:r>
      <w:r>
        <w:fldChar w:fldCharType="separate"/>
      </w:r>
      <w:r>
        <w:t>47</w:t>
      </w:r>
      <w:r>
        <w:fldChar w:fldCharType="end"/>
      </w:r>
      <w:r>
        <w:rPr>
          <w:rFonts w:hint="eastAsia" w:ascii="仿宋" w:hAnsi="仿宋" w:eastAsia="仿宋" w:cs="仿宋"/>
          <w:color w:val="auto"/>
          <w:highlight w:val="none"/>
        </w:rPr>
        <w:fldChar w:fldCharType="end"/>
      </w:r>
    </w:p>
    <w:p w14:paraId="7C68CF76">
      <w:pPr>
        <w:pStyle w:val="29"/>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_Toc3898 </w:instrText>
      </w:r>
      <w:r>
        <w:rPr>
          <w:rFonts w:hint="eastAsia" w:ascii="仿宋" w:hAnsi="仿宋" w:eastAsia="仿宋" w:cs="仿宋"/>
          <w:highlight w:val="none"/>
        </w:rPr>
        <w:fldChar w:fldCharType="separate"/>
      </w:r>
      <w:r>
        <w:rPr>
          <w:rFonts w:hint="eastAsia" w:ascii="仿宋" w:hAnsi="仿宋" w:eastAsia="仿宋" w:cs="仿宋"/>
          <w:szCs w:val="24"/>
          <w:highlight w:val="none"/>
        </w:rPr>
        <w:t>8.2 财务状况报告，依法缴纳税收和社会保障资金的相关材料</w:t>
      </w:r>
      <w:r>
        <w:tab/>
      </w:r>
      <w:r>
        <w:fldChar w:fldCharType="begin"/>
      </w:r>
      <w:r>
        <w:instrText xml:space="preserve"> PAGEREF _Toc3898 \h </w:instrText>
      </w:r>
      <w:r>
        <w:fldChar w:fldCharType="separate"/>
      </w:r>
      <w:r>
        <w:t>48</w:t>
      </w:r>
      <w:r>
        <w:fldChar w:fldCharType="end"/>
      </w:r>
      <w:r>
        <w:rPr>
          <w:rFonts w:hint="eastAsia" w:ascii="仿宋" w:hAnsi="仿宋" w:eastAsia="仿宋" w:cs="仿宋"/>
          <w:color w:val="auto"/>
          <w:highlight w:val="none"/>
        </w:rPr>
        <w:fldChar w:fldCharType="end"/>
      </w:r>
    </w:p>
    <w:p w14:paraId="3A5742EA">
      <w:pPr>
        <w:pStyle w:val="29"/>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_Toc1309 </w:instrText>
      </w:r>
      <w:r>
        <w:rPr>
          <w:rFonts w:hint="eastAsia" w:ascii="仿宋" w:hAnsi="仿宋" w:eastAsia="仿宋" w:cs="仿宋"/>
          <w:highlight w:val="none"/>
        </w:rPr>
        <w:fldChar w:fldCharType="separate"/>
      </w:r>
      <w:r>
        <w:rPr>
          <w:rFonts w:hint="eastAsia" w:ascii="仿宋" w:hAnsi="仿宋" w:eastAsia="仿宋" w:cs="仿宋"/>
          <w:szCs w:val="24"/>
          <w:highlight w:val="none"/>
        </w:rPr>
        <w:t>8.3 具备履行合同所必需的设备和专业技术能力的证明材料</w:t>
      </w:r>
      <w:r>
        <w:tab/>
      </w:r>
      <w:r>
        <w:fldChar w:fldCharType="begin"/>
      </w:r>
      <w:r>
        <w:instrText xml:space="preserve"> PAGEREF _Toc1309 \h </w:instrText>
      </w:r>
      <w:r>
        <w:fldChar w:fldCharType="separate"/>
      </w:r>
      <w:r>
        <w:t>49</w:t>
      </w:r>
      <w:r>
        <w:fldChar w:fldCharType="end"/>
      </w:r>
      <w:r>
        <w:rPr>
          <w:rFonts w:hint="eastAsia" w:ascii="仿宋" w:hAnsi="仿宋" w:eastAsia="仿宋" w:cs="仿宋"/>
          <w:color w:val="auto"/>
          <w:highlight w:val="none"/>
        </w:rPr>
        <w:fldChar w:fldCharType="end"/>
      </w:r>
    </w:p>
    <w:p w14:paraId="750FDFD6">
      <w:pPr>
        <w:pStyle w:val="29"/>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_Toc9265 </w:instrText>
      </w:r>
      <w:r>
        <w:rPr>
          <w:rFonts w:hint="eastAsia" w:ascii="仿宋" w:hAnsi="仿宋" w:eastAsia="仿宋" w:cs="仿宋"/>
          <w:highlight w:val="none"/>
        </w:rPr>
        <w:fldChar w:fldCharType="separate"/>
      </w:r>
      <w:r>
        <w:rPr>
          <w:rFonts w:hint="eastAsia" w:ascii="仿宋" w:hAnsi="仿宋" w:eastAsia="仿宋" w:cs="仿宋"/>
          <w:szCs w:val="24"/>
          <w:highlight w:val="none"/>
        </w:rPr>
        <w:t>8.4 参加政府采购活动前3年内在经营活动中没有重大违法记录的书面声明</w:t>
      </w:r>
      <w:r>
        <w:tab/>
      </w:r>
      <w:r>
        <w:fldChar w:fldCharType="begin"/>
      </w:r>
      <w:r>
        <w:instrText xml:space="preserve"> PAGEREF _Toc9265 \h </w:instrText>
      </w:r>
      <w:r>
        <w:fldChar w:fldCharType="separate"/>
      </w:r>
      <w:r>
        <w:t>50</w:t>
      </w:r>
      <w:r>
        <w:fldChar w:fldCharType="end"/>
      </w:r>
      <w:r>
        <w:rPr>
          <w:rFonts w:hint="eastAsia" w:ascii="仿宋" w:hAnsi="仿宋" w:eastAsia="仿宋" w:cs="仿宋"/>
          <w:color w:val="auto"/>
          <w:highlight w:val="none"/>
        </w:rPr>
        <w:fldChar w:fldCharType="end"/>
      </w:r>
    </w:p>
    <w:p w14:paraId="4087B1FE">
      <w:pPr>
        <w:pStyle w:val="29"/>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_Toc31596 </w:instrText>
      </w:r>
      <w:r>
        <w:rPr>
          <w:rFonts w:hint="eastAsia" w:ascii="仿宋" w:hAnsi="仿宋" w:eastAsia="仿宋" w:cs="仿宋"/>
          <w:highlight w:val="none"/>
        </w:rPr>
        <w:fldChar w:fldCharType="separate"/>
      </w:r>
      <w:r>
        <w:rPr>
          <w:rFonts w:hint="eastAsia" w:ascii="仿宋" w:hAnsi="仿宋" w:eastAsia="仿宋" w:cs="仿宋"/>
          <w:szCs w:val="24"/>
          <w:highlight w:val="none"/>
        </w:rPr>
        <w:t>8.5 具备法律、行政法规规定的其他条件的证明材料</w:t>
      </w:r>
      <w:r>
        <w:tab/>
      </w:r>
      <w:r>
        <w:fldChar w:fldCharType="begin"/>
      </w:r>
      <w:r>
        <w:instrText xml:space="preserve"> PAGEREF _Toc31596 \h </w:instrText>
      </w:r>
      <w:r>
        <w:fldChar w:fldCharType="separate"/>
      </w:r>
      <w:r>
        <w:t>51</w:t>
      </w:r>
      <w:r>
        <w:fldChar w:fldCharType="end"/>
      </w:r>
      <w:r>
        <w:rPr>
          <w:rFonts w:hint="eastAsia" w:ascii="仿宋" w:hAnsi="仿宋" w:eastAsia="仿宋" w:cs="仿宋"/>
          <w:color w:val="auto"/>
          <w:highlight w:val="none"/>
        </w:rPr>
        <w:fldChar w:fldCharType="end"/>
      </w:r>
    </w:p>
    <w:p w14:paraId="1BABF251">
      <w:pPr>
        <w:pStyle w:val="29"/>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_Toc29769 </w:instrText>
      </w:r>
      <w:r>
        <w:rPr>
          <w:rFonts w:hint="eastAsia" w:ascii="仿宋" w:hAnsi="仿宋" w:eastAsia="仿宋" w:cs="仿宋"/>
          <w:highlight w:val="none"/>
        </w:rPr>
        <w:fldChar w:fldCharType="separate"/>
      </w:r>
      <w:r>
        <w:rPr>
          <w:rFonts w:hint="eastAsia" w:ascii="仿宋" w:hAnsi="仿宋" w:eastAsia="仿宋" w:cs="仿宋"/>
          <w:szCs w:val="24"/>
          <w:highlight w:val="none"/>
        </w:rPr>
        <w:t>九、投标人近年类似项目情况表</w:t>
      </w:r>
      <w:r>
        <w:tab/>
      </w:r>
      <w:r>
        <w:fldChar w:fldCharType="begin"/>
      </w:r>
      <w:r>
        <w:instrText xml:space="preserve"> PAGEREF _Toc29769 \h </w:instrText>
      </w:r>
      <w:r>
        <w:fldChar w:fldCharType="separate"/>
      </w:r>
      <w:r>
        <w:t>56</w:t>
      </w:r>
      <w:r>
        <w:fldChar w:fldCharType="end"/>
      </w:r>
      <w:r>
        <w:rPr>
          <w:rFonts w:hint="eastAsia" w:ascii="仿宋" w:hAnsi="仿宋" w:eastAsia="仿宋" w:cs="仿宋"/>
          <w:color w:val="auto"/>
          <w:highlight w:val="none"/>
        </w:rPr>
        <w:fldChar w:fldCharType="end"/>
      </w:r>
    </w:p>
    <w:p w14:paraId="70C90446">
      <w:pPr>
        <w:pStyle w:val="29"/>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_Toc31290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十、售后服务承诺书</w:t>
      </w:r>
      <w:r>
        <w:tab/>
      </w:r>
      <w:r>
        <w:fldChar w:fldCharType="begin"/>
      </w:r>
      <w:r>
        <w:instrText xml:space="preserve"> PAGEREF _Toc31290 \h </w:instrText>
      </w:r>
      <w:r>
        <w:fldChar w:fldCharType="separate"/>
      </w:r>
      <w:r>
        <w:t>57</w:t>
      </w:r>
      <w:r>
        <w:fldChar w:fldCharType="end"/>
      </w:r>
      <w:r>
        <w:rPr>
          <w:rFonts w:hint="eastAsia" w:ascii="仿宋" w:hAnsi="仿宋" w:eastAsia="仿宋" w:cs="仿宋"/>
          <w:color w:val="auto"/>
          <w:highlight w:val="none"/>
        </w:rPr>
        <w:fldChar w:fldCharType="end"/>
      </w:r>
    </w:p>
    <w:p w14:paraId="005F657D">
      <w:pPr>
        <w:pStyle w:val="29"/>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_Toc4670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十一、技术方案</w:t>
      </w:r>
      <w:r>
        <w:tab/>
      </w:r>
      <w:r>
        <w:fldChar w:fldCharType="begin"/>
      </w:r>
      <w:r>
        <w:instrText xml:space="preserve"> PAGEREF _Toc4670 \h </w:instrText>
      </w:r>
      <w:r>
        <w:fldChar w:fldCharType="separate"/>
      </w:r>
      <w:r>
        <w:t>58</w:t>
      </w:r>
      <w:r>
        <w:fldChar w:fldCharType="end"/>
      </w:r>
      <w:r>
        <w:rPr>
          <w:rFonts w:hint="eastAsia" w:ascii="仿宋" w:hAnsi="仿宋" w:eastAsia="仿宋" w:cs="仿宋"/>
          <w:color w:val="auto"/>
          <w:highlight w:val="none"/>
        </w:rPr>
        <w:fldChar w:fldCharType="end"/>
      </w:r>
    </w:p>
    <w:p w14:paraId="6D3521D4">
      <w:pPr>
        <w:pStyle w:val="29"/>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_Toc6748 </w:instrText>
      </w:r>
      <w:r>
        <w:rPr>
          <w:rFonts w:hint="eastAsia" w:ascii="仿宋" w:hAnsi="仿宋" w:eastAsia="仿宋" w:cs="仿宋"/>
          <w:highlight w:val="none"/>
        </w:rPr>
        <w:fldChar w:fldCharType="separate"/>
      </w:r>
      <w:r>
        <w:rPr>
          <w:rFonts w:hint="eastAsia" w:ascii="仿宋" w:hAnsi="仿宋" w:eastAsia="仿宋" w:cs="仿宋"/>
          <w:szCs w:val="24"/>
          <w:highlight w:val="none"/>
        </w:rPr>
        <w:t>十</w:t>
      </w:r>
      <w:r>
        <w:rPr>
          <w:rFonts w:hint="eastAsia" w:ascii="仿宋" w:hAnsi="仿宋" w:eastAsia="仿宋" w:cs="仿宋"/>
          <w:szCs w:val="24"/>
          <w:highlight w:val="none"/>
          <w:lang w:val="en-US" w:eastAsia="zh-CN"/>
        </w:rPr>
        <w:t>二</w:t>
      </w:r>
      <w:r>
        <w:rPr>
          <w:rFonts w:hint="eastAsia" w:ascii="仿宋" w:hAnsi="仿宋" w:eastAsia="仿宋" w:cs="仿宋"/>
          <w:szCs w:val="24"/>
          <w:highlight w:val="none"/>
        </w:rPr>
        <w:t>、保证金缴纳证明材料</w:t>
      </w:r>
      <w:r>
        <w:tab/>
      </w:r>
      <w:r>
        <w:fldChar w:fldCharType="begin"/>
      </w:r>
      <w:r>
        <w:instrText xml:space="preserve"> PAGEREF _Toc6748 \h </w:instrText>
      </w:r>
      <w:r>
        <w:fldChar w:fldCharType="separate"/>
      </w:r>
      <w:r>
        <w:t>59</w:t>
      </w:r>
      <w:r>
        <w:fldChar w:fldCharType="end"/>
      </w:r>
      <w:r>
        <w:rPr>
          <w:rFonts w:hint="eastAsia" w:ascii="仿宋" w:hAnsi="仿宋" w:eastAsia="仿宋" w:cs="仿宋"/>
          <w:color w:val="auto"/>
          <w:highlight w:val="none"/>
        </w:rPr>
        <w:fldChar w:fldCharType="end"/>
      </w:r>
    </w:p>
    <w:p w14:paraId="7E037475">
      <w:pPr>
        <w:pStyle w:val="29"/>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_Toc26742 </w:instrText>
      </w:r>
      <w:r>
        <w:rPr>
          <w:rFonts w:hint="eastAsia" w:ascii="仿宋" w:hAnsi="仿宋" w:eastAsia="仿宋" w:cs="仿宋"/>
          <w:highlight w:val="none"/>
        </w:rPr>
        <w:fldChar w:fldCharType="separate"/>
      </w:r>
      <w:r>
        <w:rPr>
          <w:rFonts w:hint="eastAsia" w:ascii="仿宋" w:hAnsi="仿宋" w:eastAsia="仿宋" w:cs="仿宋"/>
          <w:szCs w:val="24"/>
          <w:highlight w:val="none"/>
        </w:rPr>
        <w:t>十</w:t>
      </w:r>
      <w:r>
        <w:rPr>
          <w:rFonts w:hint="eastAsia" w:ascii="仿宋" w:hAnsi="仿宋" w:eastAsia="仿宋" w:cs="仿宋"/>
          <w:szCs w:val="24"/>
          <w:highlight w:val="none"/>
          <w:lang w:val="en-US" w:eastAsia="zh-CN"/>
        </w:rPr>
        <w:t>三</w:t>
      </w:r>
      <w:r>
        <w:rPr>
          <w:rFonts w:hint="eastAsia" w:ascii="仿宋" w:hAnsi="仿宋" w:eastAsia="仿宋" w:cs="仿宋"/>
          <w:szCs w:val="24"/>
          <w:highlight w:val="none"/>
        </w:rPr>
        <w:t>、其它需要提交的资料</w:t>
      </w:r>
      <w:r>
        <w:tab/>
      </w:r>
      <w:r>
        <w:fldChar w:fldCharType="begin"/>
      </w:r>
      <w:r>
        <w:instrText xml:space="preserve"> PAGEREF _Toc26742 \h </w:instrText>
      </w:r>
      <w:r>
        <w:fldChar w:fldCharType="separate"/>
      </w:r>
      <w:r>
        <w:t>60</w:t>
      </w:r>
      <w:r>
        <w:fldChar w:fldCharType="end"/>
      </w:r>
      <w:r>
        <w:rPr>
          <w:rFonts w:hint="eastAsia" w:ascii="仿宋" w:hAnsi="仿宋" w:eastAsia="仿宋" w:cs="仿宋"/>
          <w:color w:val="auto"/>
          <w:highlight w:val="none"/>
        </w:rPr>
        <w:fldChar w:fldCharType="end"/>
      </w:r>
    </w:p>
    <w:p w14:paraId="0723C203">
      <w:pPr>
        <w:pStyle w:val="23"/>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_Toc1527 </w:instrText>
      </w:r>
      <w:r>
        <w:rPr>
          <w:rFonts w:hint="eastAsia" w:ascii="仿宋" w:hAnsi="仿宋" w:eastAsia="仿宋" w:cs="仿宋"/>
          <w:highlight w:val="none"/>
        </w:rPr>
        <w:fldChar w:fldCharType="separate"/>
      </w:r>
      <w:r>
        <w:rPr>
          <w:rFonts w:hint="eastAsia" w:ascii="仿宋" w:hAnsi="仿宋" w:eastAsia="仿宋" w:cs="仿宋"/>
          <w:szCs w:val="24"/>
          <w:highlight w:val="none"/>
        </w:rPr>
        <w:t>第六章 补充条款</w:t>
      </w:r>
      <w:r>
        <w:tab/>
      </w:r>
      <w:r>
        <w:fldChar w:fldCharType="begin"/>
      </w:r>
      <w:r>
        <w:instrText xml:space="preserve"> PAGEREF _Toc1527 \h </w:instrText>
      </w:r>
      <w:r>
        <w:fldChar w:fldCharType="separate"/>
      </w:r>
      <w:r>
        <w:t>61</w:t>
      </w:r>
      <w:r>
        <w:fldChar w:fldCharType="end"/>
      </w:r>
      <w:r>
        <w:rPr>
          <w:rFonts w:hint="eastAsia" w:ascii="仿宋" w:hAnsi="仿宋" w:eastAsia="仿宋" w:cs="仿宋"/>
          <w:color w:val="auto"/>
          <w:highlight w:val="none"/>
        </w:rPr>
        <w:fldChar w:fldCharType="end"/>
      </w:r>
    </w:p>
    <w:p w14:paraId="07577E65">
      <w:pPr>
        <w:pStyle w:val="29"/>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_Toc9330 </w:instrText>
      </w:r>
      <w:r>
        <w:rPr>
          <w:rFonts w:hint="eastAsia" w:ascii="仿宋" w:hAnsi="仿宋" w:eastAsia="仿宋" w:cs="仿宋"/>
          <w:highlight w:val="none"/>
        </w:rPr>
        <w:fldChar w:fldCharType="separate"/>
      </w:r>
      <w:r>
        <w:rPr>
          <w:rFonts w:hint="eastAsia" w:ascii="仿宋" w:hAnsi="仿宋" w:eastAsia="仿宋" w:cs="仿宋"/>
          <w:spacing w:val="6"/>
          <w:szCs w:val="24"/>
          <w:highlight w:val="none"/>
        </w:rPr>
        <w:t>附件</w:t>
      </w:r>
      <w:r>
        <w:rPr>
          <w:rFonts w:hint="eastAsia" w:ascii="仿宋" w:hAnsi="仿宋" w:eastAsia="仿宋" w:cs="仿宋"/>
          <w:spacing w:val="6"/>
          <w:szCs w:val="24"/>
          <w:highlight w:val="none"/>
          <w:lang w:val="en-US" w:eastAsia="zh-CN"/>
        </w:rPr>
        <w:t>一</w:t>
      </w:r>
      <w:r>
        <w:rPr>
          <w:rFonts w:hint="eastAsia" w:ascii="仿宋" w:hAnsi="仿宋" w:eastAsia="仿宋" w:cs="仿宋"/>
          <w:spacing w:val="6"/>
          <w:szCs w:val="24"/>
          <w:highlight w:val="none"/>
        </w:rPr>
        <w:t>、</w:t>
      </w:r>
      <w:r>
        <w:rPr>
          <w:rFonts w:hint="eastAsia" w:ascii="仿宋" w:hAnsi="仿宋" w:eastAsia="仿宋" w:cs="仿宋"/>
          <w:spacing w:val="6"/>
          <w:szCs w:val="24"/>
          <w:highlight w:val="none"/>
          <w:lang w:val="en-US" w:eastAsia="zh-CN"/>
        </w:rPr>
        <w:t>中小企业扶持政策</w:t>
      </w:r>
      <w:r>
        <w:tab/>
      </w:r>
      <w:r>
        <w:fldChar w:fldCharType="begin"/>
      </w:r>
      <w:r>
        <w:instrText xml:space="preserve"> PAGEREF _Toc9330 \h </w:instrText>
      </w:r>
      <w:r>
        <w:fldChar w:fldCharType="separate"/>
      </w:r>
      <w:r>
        <w:t>61</w:t>
      </w:r>
      <w:r>
        <w:fldChar w:fldCharType="end"/>
      </w:r>
      <w:r>
        <w:rPr>
          <w:rFonts w:hint="eastAsia" w:ascii="仿宋" w:hAnsi="仿宋" w:eastAsia="仿宋" w:cs="仿宋"/>
          <w:color w:val="auto"/>
          <w:highlight w:val="none"/>
        </w:rPr>
        <w:fldChar w:fldCharType="end"/>
      </w:r>
    </w:p>
    <w:p w14:paraId="0AE207AA">
      <w:pPr>
        <w:pStyle w:val="29"/>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_Toc30906 </w:instrText>
      </w:r>
      <w:r>
        <w:rPr>
          <w:rFonts w:hint="eastAsia" w:ascii="仿宋" w:hAnsi="仿宋" w:eastAsia="仿宋" w:cs="仿宋"/>
          <w:highlight w:val="none"/>
        </w:rPr>
        <w:fldChar w:fldCharType="separate"/>
      </w:r>
      <w:r>
        <w:rPr>
          <w:rFonts w:hint="eastAsia" w:ascii="仿宋" w:hAnsi="仿宋" w:eastAsia="仿宋" w:cs="仿宋"/>
          <w:spacing w:val="6"/>
          <w:szCs w:val="24"/>
          <w:highlight w:val="none"/>
        </w:rPr>
        <w:t>附件</w:t>
      </w:r>
      <w:r>
        <w:rPr>
          <w:rFonts w:hint="eastAsia" w:ascii="仿宋" w:hAnsi="仿宋" w:eastAsia="仿宋" w:cs="仿宋"/>
          <w:spacing w:val="6"/>
          <w:szCs w:val="24"/>
          <w:highlight w:val="none"/>
          <w:lang w:val="en-US" w:eastAsia="zh-CN"/>
        </w:rPr>
        <w:t>二</w:t>
      </w:r>
      <w:r>
        <w:rPr>
          <w:rFonts w:hint="eastAsia" w:ascii="仿宋" w:hAnsi="仿宋" w:eastAsia="仿宋" w:cs="仿宋"/>
          <w:spacing w:val="6"/>
          <w:szCs w:val="24"/>
          <w:highlight w:val="none"/>
        </w:rPr>
        <w:t>、</w:t>
      </w:r>
      <w:r>
        <w:rPr>
          <w:rFonts w:hint="eastAsia" w:ascii="仿宋" w:hAnsi="仿宋" w:eastAsia="仿宋" w:cs="仿宋"/>
          <w:spacing w:val="6"/>
          <w:szCs w:val="24"/>
          <w:highlight w:val="none"/>
          <w:lang w:val="en-US" w:eastAsia="zh-CN"/>
        </w:rPr>
        <w:t>残疾人企业扶持政策</w:t>
      </w:r>
      <w:r>
        <w:tab/>
      </w:r>
      <w:r>
        <w:fldChar w:fldCharType="begin"/>
      </w:r>
      <w:r>
        <w:instrText xml:space="preserve"> PAGEREF _Toc30906 \h </w:instrText>
      </w:r>
      <w:r>
        <w:fldChar w:fldCharType="separate"/>
      </w:r>
      <w:r>
        <w:t>65</w:t>
      </w:r>
      <w:r>
        <w:fldChar w:fldCharType="end"/>
      </w:r>
      <w:r>
        <w:rPr>
          <w:rFonts w:hint="eastAsia" w:ascii="仿宋" w:hAnsi="仿宋" w:eastAsia="仿宋" w:cs="仿宋"/>
          <w:color w:val="auto"/>
          <w:highlight w:val="none"/>
        </w:rPr>
        <w:fldChar w:fldCharType="end"/>
      </w:r>
    </w:p>
    <w:p w14:paraId="159E44C8">
      <w:pPr>
        <w:pStyle w:val="29"/>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_Toc28332 </w:instrText>
      </w:r>
      <w:r>
        <w:rPr>
          <w:rFonts w:hint="eastAsia" w:ascii="仿宋" w:hAnsi="仿宋" w:eastAsia="仿宋" w:cs="仿宋"/>
          <w:highlight w:val="none"/>
        </w:rPr>
        <w:fldChar w:fldCharType="separate"/>
      </w:r>
      <w:r>
        <w:rPr>
          <w:rFonts w:hint="eastAsia" w:ascii="仿宋" w:hAnsi="仿宋" w:eastAsia="仿宋" w:cs="仿宋"/>
          <w:spacing w:val="6"/>
          <w:szCs w:val="24"/>
          <w:highlight w:val="none"/>
        </w:rPr>
        <w:t>附件</w:t>
      </w:r>
      <w:r>
        <w:rPr>
          <w:rFonts w:hint="eastAsia" w:ascii="仿宋" w:hAnsi="仿宋" w:eastAsia="仿宋" w:cs="仿宋"/>
          <w:spacing w:val="6"/>
          <w:szCs w:val="24"/>
          <w:highlight w:val="none"/>
          <w:lang w:val="en-US" w:eastAsia="zh-CN"/>
        </w:rPr>
        <w:t>三</w:t>
      </w:r>
      <w:r>
        <w:rPr>
          <w:rFonts w:hint="eastAsia" w:ascii="仿宋" w:hAnsi="仿宋" w:eastAsia="仿宋" w:cs="仿宋"/>
          <w:spacing w:val="6"/>
          <w:szCs w:val="24"/>
          <w:highlight w:val="none"/>
        </w:rPr>
        <w:t>、</w:t>
      </w:r>
      <w:r>
        <w:rPr>
          <w:rFonts w:hint="eastAsia" w:ascii="仿宋" w:hAnsi="仿宋" w:eastAsia="仿宋" w:cs="仿宋"/>
          <w:spacing w:val="6"/>
          <w:szCs w:val="24"/>
          <w:highlight w:val="none"/>
          <w:lang w:val="en-US" w:eastAsia="zh-CN"/>
        </w:rPr>
        <w:t>监狱扶持政策</w:t>
      </w:r>
      <w:r>
        <w:tab/>
      </w:r>
      <w:r>
        <w:fldChar w:fldCharType="begin"/>
      </w:r>
      <w:r>
        <w:instrText xml:space="preserve"> PAGEREF _Toc28332 \h </w:instrText>
      </w:r>
      <w:r>
        <w:fldChar w:fldCharType="separate"/>
      </w:r>
      <w:r>
        <w:t>67</w:t>
      </w:r>
      <w:r>
        <w:fldChar w:fldCharType="end"/>
      </w:r>
      <w:r>
        <w:rPr>
          <w:rFonts w:hint="eastAsia" w:ascii="仿宋" w:hAnsi="仿宋" w:eastAsia="仿宋" w:cs="仿宋"/>
          <w:color w:val="auto"/>
          <w:highlight w:val="none"/>
        </w:rPr>
        <w:fldChar w:fldCharType="end"/>
      </w:r>
    </w:p>
    <w:p w14:paraId="45C83983">
      <w:pPr>
        <w:pStyle w:val="29"/>
        <w:tabs>
          <w:tab w:val="right" w:leader="dot" w:pos="9354"/>
        </w:tabs>
      </w:pP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_Toc28331 </w:instrText>
      </w:r>
      <w:r>
        <w:rPr>
          <w:rFonts w:hint="eastAsia" w:ascii="仿宋" w:hAnsi="仿宋" w:eastAsia="仿宋" w:cs="仿宋"/>
          <w:highlight w:val="none"/>
        </w:rPr>
        <w:fldChar w:fldCharType="separate"/>
      </w:r>
      <w:r>
        <w:rPr>
          <w:rFonts w:hint="eastAsia" w:ascii="仿宋" w:hAnsi="仿宋" w:eastAsia="仿宋" w:cs="仿宋"/>
          <w:spacing w:val="6"/>
          <w:szCs w:val="24"/>
          <w:highlight w:val="none"/>
        </w:rPr>
        <w:t>附件</w:t>
      </w:r>
      <w:r>
        <w:rPr>
          <w:rFonts w:hint="eastAsia" w:ascii="仿宋" w:hAnsi="仿宋" w:eastAsia="仿宋" w:cs="仿宋"/>
          <w:spacing w:val="6"/>
          <w:szCs w:val="24"/>
          <w:highlight w:val="none"/>
          <w:lang w:val="en-US" w:eastAsia="zh-CN"/>
        </w:rPr>
        <w:t>四</w:t>
      </w:r>
      <w:r>
        <w:rPr>
          <w:rFonts w:hint="eastAsia" w:ascii="仿宋" w:hAnsi="仿宋" w:eastAsia="仿宋" w:cs="仿宋"/>
          <w:spacing w:val="6"/>
          <w:szCs w:val="24"/>
          <w:highlight w:val="none"/>
        </w:rPr>
        <w:t>、实施本国产品标准及相关政策</w:t>
      </w:r>
      <w:r>
        <w:tab/>
      </w:r>
      <w:r>
        <w:fldChar w:fldCharType="begin"/>
      </w:r>
      <w:r>
        <w:instrText xml:space="preserve"> PAGEREF _Toc28331 \h </w:instrText>
      </w:r>
      <w:r>
        <w:fldChar w:fldCharType="separate"/>
      </w:r>
      <w:r>
        <w:t>69</w:t>
      </w:r>
      <w:r>
        <w:fldChar w:fldCharType="end"/>
      </w:r>
      <w:r>
        <w:rPr>
          <w:rFonts w:hint="eastAsia" w:ascii="仿宋" w:hAnsi="仿宋" w:eastAsia="仿宋" w:cs="仿宋"/>
          <w:color w:val="auto"/>
          <w:highlight w:val="none"/>
        </w:rPr>
        <w:fldChar w:fldCharType="end"/>
      </w:r>
    </w:p>
    <w:p w14:paraId="3F99E842">
      <w:pPr>
        <w:rPr>
          <w:rFonts w:hint="eastAsia" w:ascii="仿宋" w:hAnsi="仿宋" w:eastAsia="仿宋" w:cs="仿宋"/>
          <w:color w:val="auto"/>
          <w:highlight w:val="none"/>
        </w:rPr>
      </w:pPr>
      <w:r>
        <w:rPr>
          <w:rFonts w:hint="eastAsia" w:ascii="仿宋" w:hAnsi="仿宋" w:eastAsia="仿宋" w:cs="仿宋"/>
          <w:color w:val="auto"/>
          <w:highlight w:val="none"/>
        </w:rPr>
        <w:fldChar w:fldCharType="end"/>
      </w:r>
      <w:bookmarkStart w:id="0" w:name="_Toc17403"/>
    </w:p>
    <w:p w14:paraId="4C979DF1">
      <w:pPr>
        <w:jc w:val="center"/>
        <w:outlineLvl w:val="0"/>
        <w:rPr>
          <w:rFonts w:hint="eastAsia" w:ascii="仿宋" w:hAnsi="仿宋" w:eastAsia="仿宋" w:cs="仿宋"/>
          <w:b/>
          <w:bCs/>
          <w:color w:val="auto"/>
          <w:sz w:val="32"/>
          <w:szCs w:val="32"/>
          <w:highlight w:val="none"/>
        </w:rPr>
        <w:sectPr>
          <w:footerReference r:id="rId5" w:type="default"/>
          <w:pgSz w:w="11906" w:h="16838"/>
          <w:pgMar w:top="1361" w:right="1134" w:bottom="1361" w:left="141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33B9E51C">
      <w:pPr>
        <w:jc w:val="center"/>
        <w:outlineLvl w:val="0"/>
        <w:rPr>
          <w:rFonts w:hint="eastAsia" w:ascii="仿宋" w:hAnsi="仿宋" w:eastAsia="仿宋" w:cs="仿宋"/>
          <w:b/>
          <w:bCs/>
          <w:color w:val="auto"/>
          <w:sz w:val="24"/>
          <w:szCs w:val="24"/>
          <w:highlight w:val="none"/>
        </w:rPr>
      </w:pPr>
      <w:bookmarkStart w:id="1" w:name="_Toc4442"/>
      <w:r>
        <w:rPr>
          <w:rFonts w:hint="eastAsia" w:ascii="仿宋" w:hAnsi="仿宋" w:eastAsia="仿宋" w:cs="仿宋"/>
          <w:b/>
          <w:bCs/>
          <w:color w:val="auto"/>
          <w:sz w:val="32"/>
          <w:szCs w:val="32"/>
          <w:highlight w:val="none"/>
        </w:rPr>
        <w:t>招标公告</w:t>
      </w:r>
      <w:bookmarkEnd w:id="0"/>
      <w:bookmarkEnd w:id="1"/>
    </w:p>
    <w:p w14:paraId="67D4A981">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5A20A311">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阿勒泰地区人民医院精神卫生科、儿科（新生儿科）能力提升医疗设备采购项目-精神卫生科</w:t>
      </w:r>
      <w:r>
        <w:rPr>
          <w:rFonts w:hint="eastAsia" w:ascii="仿宋" w:hAnsi="仿宋" w:eastAsia="仿宋" w:cs="仿宋"/>
          <w:color w:val="auto"/>
          <w:sz w:val="24"/>
          <w:szCs w:val="24"/>
          <w:highlight w:val="none"/>
        </w:rPr>
        <w:t>的潜在投标人应在政采云平台线上获取招标文件，并于</w:t>
      </w:r>
      <w:r>
        <w:rPr>
          <w:rFonts w:hint="eastAsia" w:ascii="仿宋" w:hAnsi="仿宋" w:eastAsia="仿宋" w:cs="仿宋"/>
          <w:color w:val="auto"/>
          <w:sz w:val="24"/>
          <w:szCs w:val="24"/>
          <w:highlight w:val="none"/>
          <w:lang w:eastAsia="zh-CN"/>
        </w:rPr>
        <w:t>2026年06月04日 11:00</w:t>
      </w:r>
      <w:r>
        <w:rPr>
          <w:rFonts w:hint="eastAsia" w:ascii="仿宋" w:hAnsi="仿宋" w:eastAsia="仿宋" w:cs="仿宋"/>
          <w:color w:val="auto"/>
          <w:sz w:val="24"/>
          <w:szCs w:val="24"/>
          <w:highlight w:val="none"/>
        </w:rPr>
        <w:t>（北京时间）前递交投标文件。</w:t>
      </w:r>
    </w:p>
    <w:p w14:paraId="60F3AA54">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一、项目基本情况</w:t>
      </w:r>
    </w:p>
    <w:p w14:paraId="0D9FC31E">
      <w:pPr>
        <w:spacing w:line="360" w:lineRule="auto"/>
        <w:ind w:firstLine="480" w:firstLineChars="2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XJXSJ-2026（ZC）-218</w:t>
      </w:r>
    </w:p>
    <w:p w14:paraId="1971BF0F">
      <w:pPr>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阿勒泰地区人民医院精神卫生科、儿科（新生儿科）能力提升医疗设备采购项目-精神卫生科</w:t>
      </w:r>
    </w:p>
    <w:p w14:paraId="54211E09">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594055D">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1150000.00</w:t>
      </w:r>
    </w:p>
    <w:p w14:paraId="24249EC3">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最高限价（元）：</w:t>
      </w:r>
      <w:r>
        <w:rPr>
          <w:rFonts w:hint="eastAsia" w:ascii="仿宋" w:hAnsi="仿宋" w:eastAsia="仿宋" w:cs="仿宋"/>
          <w:color w:val="auto"/>
          <w:sz w:val="24"/>
          <w:szCs w:val="24"/>
          <w:highlight w:val="none"/>
          <w:lang w:val="en-US" w:eastAsia="zh-CN"/>
        </w:rPr>
        <w:t>1150000.00</w:t>
      </w:r>
    </w:p>
    <w:p w14:paraId="35114F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val="en-US" w:eastAsia="zh-CN"/>
        </w:rPr>
        <w:t>1批</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val="en-US" w:eastAsia="zh-CN"/>
        </w:rPr>
        <w:t>医疗器械一批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采购要求详见招标文件</w:t>
      </w:r>
      <w:r>
        <w:rPr>
          <w:rFonts w:hint="eastAsia" w:ascii="仿宋" w:hAnsi="仿宋" w:eastAsia="仿宋" w:cs="仿宋"/>
          <w:color w:val="auto"/>
          <w:sz w:val="24"/>
          <w:szCs w:val="24"/>
          <w:highlight w:val="none"/>
          <w:lang w:eastAsia="zh-CN"/>
        </w:rPr>
        <w:t>。</w:t>
      </w:r>
    </w:p>
    <w:p w14:paraId="38C42184">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eastAsia="zh-CN"/>
        </w:rPr>
        <w:t>签订合同后14个工作日内完成供货、安装、调试验收、移交。</w:t>
      </w:r>
    </w:p>
    <w:p w14:paraId="28A2D503">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10C9980C">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二、投标人的资格要求：</w:t>
      </w:r>
    </w:p>
    <w:p w14:paraId="5278B92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088008B2">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p w14:paraId="074D826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投标人所投货物若属于医疗器械管理范畴，按照国家《医疗器械监督管理条例》，应符合以下标准：①投标人为制造商的，投标货物若属于第一类医疗器械产品，须提供第一类医疗器械生产备案证明，投标货物若属于第二类、三类医疗器械产品，须提供医疗器械生产许可证。②投标人为经销商的，投标货物若属于第三类医疗器械产品，须提供医疗器械经营许可证，投标货物若属于第二类医疗器械产品，须提供医疗器械经营备案证明，投标货物若属于第一类医疗器械产品，则无须提供此项；所有证件必须真实、有效。</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三、获取招标文件</w:t>
      </w:r>
    </w:p>
    <w:p w14:paraId="1037AA5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04</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日，每天上午00:00至14:00，下午14:00至23:59（北京时间，法定节假日除外）</w:t>
      </w:r>
    </w:p>
    <w:p w14:paraId="7B28BC73">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地点：政采云平台线上</w:t>
      </w:r>
    </w:p>
    <w:p w14:paraId="2179A05A">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投标人登录政采云平台https://www.zcygov.cn/在线申请获取采购文件（进入“项目采购”应用，在获取采购文件菜单中选择项目，申请获取采购文件），或者点击采购公告底部潜在投标人“获取采购文件”，页面跳转后登陆，直接获取采购文件。</w:t>
      </w:r>
    </w:p>
    <w:p w14:paraId="1F183AFD">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售价（元）：</w:t>
      </w:r>
      <w:r>
        <w:rPr>
          <w:rFonts w:hint="eastAsia" w:ascii="仿宋" w:hAnsi="仿宋" w:eastAsia="仿宋" w:cs="仿宋"/>
          <w:color w:val="auto"/>
          <w:sz w:val="24"/>
          <w:szCs w:val="24"/>
          <w:highlight w:val="none"/>
          <w:lang w:val="en-US" w:eastAsia="zh-CN"/>
        </w:rPr>
        <w:t>0</w:t>
      </w:r>
    </w:p>
    <w:p w14:paraId="5C8C973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四、提交投标文件截止时间、开标时间和地点</w:t>
      </w:r>
    </w:p>
    <w:p w14:paraId="0ED75AEB">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w:t>
      </w:r>
      <w:r>
        <w:rPr>
          <w:rFonts w:hint="eastAsia" w:ascii="仿宋" w:hAnsi="仿宋" w:eastAsia="仿宋" w:cs="仿宋"/>
          <w:color w:val="auto"/>
          <w:sz w:val="24"/>
          <w:szCs w:val="24"/>
          <w:highlight w:val="none"/>
          <w:lang w:eastAsia="zh-CN"/>
        </w:rPr>
        <w:t>2026年06月04日 11:00</w:t>
      </w:r>
      <w:r>
        <w:rPr>
          <w:rFonts w:hint="eastAsia" w:ascii="仿宋" w:hAnsi="仿宋" w:eastAsia="仿宋" w:cs="仿宋"/>
          <w:color w:val="auto"/>
          <w:sz w:val="24"/>
          <w:szCs w:val="24"/>
          <w:highlight w:val="none"/>
        </w:rPr>
        <w:t>（北京时间）</w:t>
      </w:r>
    </w:p>
    <w:p w14:paraId="116BF287">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投标地点：请登录政采云投标客户端投标</w:t>
      </w:r>
    </w:p>
    <w:p w14:paraId="4CB28AE4">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2026年06月04日 11:00</w:t>
      </w:r>
      <w:r>
        <w:rPr>
          <w:rFonts w:hint="eastAsia" w:ascii="仿宋" w:hAnsi="仿宋" w:eastAsia="仿宋" w:cs="仿宋"/>
          <w:color w:val="auto"/>
          <w:sz w:val="24"/>
          <w:szCs w:val="24"/>
          <w:highlight w:val="none"/>
        </w:rPr>
        <w:t>（北京时间）</w:t>
      </w:r>
    </w:p>
    <w:p w14:paraId="1A112FF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开标地点：投标人登录政采云平台https://www.zcygov.cn/，进入“项目采购-开标评标-右边选择对应项目点击“进入项目”进入开标大厅。</w:t>
      </w:r>
    </w:p>
    <w:p w14:paraId="267BB84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五、公告期限</w:t>
      </w:r>
    </w:p>
    <w:p w14:paraId="2345FBAE">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4E0AF9E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六、对本次采购提出询问，请按以下方式联系</w:t>
      </w:r>
    </w:p>
    <w:p w14:paraId="410FEDC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0B0E69D5">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新疆阿勒泰地区人民医院</w:t>
      </w:r>
    </w:p>
    <w:p w14:paraId="0DED1C4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i w:val="0"/>
          <w:iCs w:val="0"/>
          <w:caps w:val="0"/>
          <w:color w:val="auto"/>
          <w:spacing w:val="0"/>
          <w:sz w:val="24"/>
          <w:szCs w:val="24"/>
          <w:highlight w:val="none"/>
          <w:shd w:val="clear" w:fill="FFFFFF"/>
        </w:rPr>
        <w:t>阿勒泰市公园路29号</w:t>
      </w:r>
    </w:p>
    <w:p w14:paraId="620C4392">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eastAsia="zh-CN"/>
        </w:rPr>
        <w:t>0906-2100902</w:t>
      </w:r>
    </w:p>
    <w:p w14:paraId="23D963B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3AE25F7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称：新疆新世纪招标有限公司</w:t>
      </w:r>
    </w:p>
    <w:p w14:paraId="53578F7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址：乌鲁木齐市新兴街20号凤凰大厦五楼</w:t>
      </w:r>
    </w:p>
    <w:p w14:paraId="60A7EFE0">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val="en-US" w:eastAsia="zh-CN"/>
        </w:rPr>
        <w:t>13201239203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18690890996</w:t>
      </w:r>
    </w:p>
    <w:p w14:paraId="6BE5744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66E7DEE">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eastAsia="zh-CN"/>
        </w:rPr>
        <w:t>候永康、马丹阳</w:t>
      </w:r>
    </w:p>
    <w:p w14:paraId="06BA504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电 话：0991-4661782</w:t>
      </w:r>
    </w:p>
    <w:p w14:paraId="1F38179A">
      <w:pPr>
        <w:rPr>
          <w:rFonts w:hint="eastAsia" w:ascii="仿宋" w:hAnsi="仿宋" w:eastAsia="仿宋" w:cs="仿宋"/>
          <w:color w:val="auto"/>
          <w:sz w:val="24"/>
          <w:highlight w:val="none"/>
        </w:rPr>
        <w:sectPr>
          <w:footerReference r:id="rId6" w:type="default"/>
          <w:pgSz w:w="11906" w:h="16838"/>
          <w:pgMar w:top="1361" w:right="1134" w:bottom="1361" w:left="141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73F38540">
      <w:pPr>
        <w:spacing w:line="440" w:lineRule="exact"/>
        <w:jc w:val="center"/>
        <w:outlineLvl w:val="0"/>
        <w:rPr>
          <w:rFonts w:hint="eastAsia" w:ascii="仿宋" w:hAnsi="仿宋" w:eastAsia="仿宋" w:cs="仿宋"/>
          <w:b/>
          <w:color w:val="auto"/>
          <w:sz w:val="24"/>
          <w:szCs w:val="24"/>
          <w:highlight w:val="none"/>
        </w:rPr>
      </w:pPr>
      <w:bookmarkStart w:id="2" w:name="_Toc28197"/>
      <w:bookmarkStart w:id="3" w:name="_Toc23861"/>
      <w:r>
        <w:rPr>
          <w:rFonts w:hint="eastAsia" w:ascii="仿宋" w:hAnsi="仿宋" w:eastAsia="仿宋" w:cs="仿宋"/>
          <w:b/>
          <w:color w:val="auto"/>
          <w:sz w:val="24"/>
          <w:szCs w:val="24"/>
          <w:highlight w:val="none"/>
        </w:rPr>
        <w:t>投标人须知前附表</w:t>
      </w:r>
      <w:bookmarkEnd w:id="2"/>
      <w:bookmarkEnd w:id="3"/>
    </w:p>
    <w:tbl>
      <w:tblPr>
        <w:tblStyle w:val="38"/>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410"/>
        <w:gridCol w:w="7073"/>
      </w:tblGrid>
      <w:tr w14:paraId="52873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07317197">
            <w:pPr>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项号</w:t>
            </w:r>
          </w:p>
        </w:tc>
        <w:tc>
          <w:tcPr>
            <w:tcW w:w="8483" w:type="dxa"/>
            <w:gridSpan w:val="2"/>
            <w:vAlign w:val="center"/>
          </w:tcPr>
          <w:p w14:paraId="660C8486">
            <w:pPr>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编列内容</w:t>
            </w:r>
          </w:p>
        </w:tc>
      </w:tr>
      <w:tr w14:paraId="48B2A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631F3A7B">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1410" w:type="dxa"/>
            <w:vAlign w:val="center"/>
          </w:tcPr>
          <w:p w14:paraId="06DA83F6">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项目名称</w:t>
            </w:r>
          </w:p>
        </w:tc>
        <w:tc>
          <w:tcPr>
            <w:tcW w:w="7073" w:type="dxa"/>
            <w:vAlign w:val="center"/>
          </w:tcPr>
          <w:p w14:paraId="46FED05E">
            <w:pPr>
              <w:keepNext/>
              <w:widowControl/>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阿勒泰地区人民医院精神卫生科、儿科（新生儿科）能力提升医疗设备采购项目-精神卫生科</w:t>
            </w:r>
          </w:p>
        </w:tc>
      </w:tr>
      <w:tr w14:paraId="64419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120B5D5">
            <w:pPr>
              <w:jc w:val="center"/>
              <w:rPr>
                <w:rFonts w:hint="eastAsia" w:ascii="仿宋" w:hAnsi="仿宋" w:eastAsia="仿宋" w:cs="仿宋"/>
                <w:color w:val="auto"/>
                <w:kern w:val="0"/>
                <w:szCs w:val="21"/>
                <w:highlight w:val="none"/>
              </w:rPr>
            </w:pPr>
          </w:p>
        </w:tc>
        <w:tc>
          <w:tcPr>
            <w:tcW w:w="1410" w:type="dxa"/>
            <w:vAlign w:val="center"/>
          </w:tcPr>
          <w:p w14:paraId="365A0AE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项目编号</w:t>
            </w:r>
          </w:p>
        </w:tc>
        <w:tc>
          <w:tcPr>
            <w:tcW w:w="7073" w:type="dxa"/>
            <w:vAlign w:val="center"/>
          </w:tcPr>
          <w:p w14:paraId="53AD51D0">
            <w:pPr>
              <w:keepNext/>
              <w:widowControl/>
              <w:jc w:val="left"/>
              <w:rPr>
                <w:rFonts w:hint="default" w:ascii="仿宋" w:hAnsi="仿宋" w:eastAsia="仿宋" w:cs="仿宋"/>
                <w:color w:val="auto"/>
                <w:kern w:val="0"/>
                <w:szCs w:val="21"/>
                <w:highlight w:val="none"/>
                <w:lang w:val="en-US" w:eastAsia="zh-CN"/>
              </w:rPr>
            </w:pPr>
            <w:r>
              <w:rPr>
                <w:rFonts w:hint="default" w:ascii="仿宋" w:hAnsi="仿宋" w:eastAsia="仿宋" w:cs="仿宋"/>
                <w:color w:val="auto"/>
                <w:kern w:val="0"/>
                <w:szCs w:val="21"/>
                <w:highlight w:val="none"/>
                <w:lang w:val="en-US" w:eastAsia="zh-CN"/>
              </w:rPr>
              <w:t>XJXSJ-202</w:t>
            </w:r>
            <w:r>
              <w:rPr>
                <w:rFonts w:hint="eastAsia" w:ascii="仿宋" w:hAnsi="仿宋" w:eastAsia="仿宋" w:cs="仿宋"/>
                <w:color w:val="auto"/>
                <w:kern w:val="0"/>
                <w:szCs w:val="21"/>
                <w:highlight w:val="none"/>
                <w:lang w:val="en-US" w:eastAsia="zh-CN"/>
              </w:rPr>
              <w:t>6</w:t>
            </w:r>
            <w:r>
              <w:rPr>
                <w:rFonts w:hint="default" w:ascii="仿宋" w:hAnsi="仿宋" w:eastAsia="仿宋" w:cs="仿宋"/>
                <w:color w:val="auto"/>
                <w:kern w:val="0"/>
                <w:szCs w:val="21"/>
                <w:highlight w:val="none"/>
                <w:lang w:val="en-US" w:eastAsia="zh-CN"/>
              </w:rPr>
              <w:t>（ZC）-</w:t>
            </w:r>
            <w:r>
              <w:rPr>
                <w:rFonts w:hint="eastAsia" w:ascii="仿宋" w:hAnsi="仿宋" w:eastAsia="仿宋" w:cs="仿宋"/>
                <w:color w:val="auto"/>
                <w:kern w:val="0"/>
                <w:szCs w:val="21"/>
                <w:highlight w:val="none"/>
                <w:lang w:val="en-US" w:eastAsia="zh-CN"/>
              </w:rPr>
              <w:t>218</w:t>
            </w:r>
          </w:p>
        </w:tc>
      </w:tr>
      <w:tr w14:paraId="787A1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E1453FF">
            <w:pPr>
              <w:jc w:val="center"/>
              <w:rPr>
                <w:rFonts w:hint="eastAsia" w:ascii="仿宋" w:hAnsi="仿宋" w:eastAsia="仿宋" w:cs="仿宋"/>
                <w:color w:val="auto"/>
                <w:kern w:val="0"/>
                <w:szCs w:val="21"/>
                <w:highlight w:val="none"/>
              </w:rPr>
            </w:pPr>
          </w:p>
        </w:tc>
        <w:tc>
          <w:tcPr>
            <w:tcW w:w="1410" w:type="dxa"/>
            <w:vAlign w:val="center"/>
          </w:tcPr>
          <w:p w14:paraId="06F51068">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采购人</w:t>
            </w:r>
          </w:p>
        </w:tc>
        <w:tc>
          <w:tcPr>
            <w:tcW w:w="7073" w:type="dxa"/>
            <w:vAlign w:val="center"/>
          </w:tcPr>
          <w:p w14:paraId="320003BE">
            <w:pPr>
              <w:keepNext/>
              <w:widowControl/>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新疆阿勒泰地区人民医院</w:t>
            </w:r>
          </w:p>
        </w:tc>
      </w:tr>
      <w:tr w14:paraId="3A55C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85" w:hRule="atLeast"/>
          <w:jc w:val="center"/>
        </w:trPr>
        <w:tc>
          <w:tcPr>
            <w:tcW w:w="597" w:type="dxa"/>
            <w:vMerge w:val="continue"/>
            <w:vAlign w:val="center"/>
          </w:tcPr>
          <w:p w14:paraId="4A5394D2">
            <w:pPr>
              <w:jc w:val="center"/>
              <w:rPr>
                <w:rFonts w:hint="eastAsia" w:ascii="仿宋" w:hAnsi="仿宋" w:eastAsia="仿宋" w:cs="仿宋"/>
                <w:color w:val="auto"/>
                <w:kern w:val="0"/>
                <w:szCs w:val="21"/>
                <w:highlight w:val="none"/>
              </w:rPr>
            </w:pPr>
          </w:p>
        </w:tc>
        <w:tc>
          <w:tcPr>
            <w:tcW w:w="1410" w:type="dxa"/>
            <w:vAlign w:val="center"/>
          </w:tcPr>
          <w:p w14:paraId="645B288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采购代理机构</w:t>
            </w:r>
          </w:p>
        </w:tc>
        <w:tc>
          <w:tcPr>
            <w:tcW w:w="7073" w:type="dxa"/>
            <w:vAlign w:val="center"/>
          </w:tcPr>
          <w:p w14:paraId="2CE93CC6">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新疆新世纪招标有限公司</w:t>
            </w:r>
          </w:p>
        </w:tc>
      </w:tr>
      <w:tr w14:paraId="663C5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DE7153C">
            <w:pPr>
              <w:jc w:val="center"/>
              <w:rPr>
                <w:rFonts w:hint="eastAsia" w:ascii="仿宋" w:hAnsi="仿宋" w:eastAsia="仿宋" w:cs="仿宋"/>
                <w:color w:val="auto"/>
                <w:kern w:val="0"/>
                <w:szCs w:val="21"/>
                <w:highlight w:val="none"/>
              </w:rPr>
            </w:pPr>
          </w:p>
        </w:tc>
        <w:tc>
          <w:tcPr>
            <w:tcW w:w="1410" w:type="dxa"/>
            <w:vAlign w:val="center"/>
          </w:tcPr>
          <w:p w14:paraId="27B06FA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项目地点</w:t>
            </w:r>
          </w:p>
        </w:tc>
        <w:tc>
          <w:tcPr>
            <w:tcW w:w="7073" w:type="dxa"/>
            <w:vAlign w:val="center"/>
          </w:tcPr>
          <w:p w14:paraId="4D10BE5B">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阿勒泰市</w:t>
            </w:r>
          </w:p>
        </w:tc>
      </w:tr>
      <w:tr w14:paraId="36342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FD0260A">
            <w:pPr>
              <w:jc w:val="center"/>
              <w:rPr>
                <w:rFonts w:hint="eastAsia" w:ascii="仿宋" w:hAnsi="仿宋" w:eastAsia="仿宋" w:cs="仿宋"/>
                <w:color w:val="auto"/>
                <w:kern w:val="0"/>
                <w:szCs w:val="21"/>
                <w:highlight w:val="none"/>
              </w:rPr>
            </w:pPr>
          </w:p>
        </w:tc>
        <w:tc>
          <w:tcPr>
            <w:tcW w:w="1410" w:type="dxa"/>
            <w:vAlign w:val="center"/>
          </w:tcPr>
          <w:p w14:paraId="2C055750">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资金来源</w:t>
            </w:r>
          </w:p>
        </w:tc>
        <w:tc>
          <w:tcPr>
            <w:tcW w:w="7073" w:type="dxa"/>
            <w:vAlign w:val="center"/>
          </w:tcPr>
          <w:p w14:paraId="4099B549">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财政资金</w:t>
            </w:r>
          </w:p>
        </w:tc>
      </w:tr>
      <w:tr w14:paraId="14918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7DDA7C6">
            <w:pPr>
              <w:jc w:val="center"/>
              <w:rPr>
                <w:rFonts w:hint="eastAsia" w:ascii="仿宋" w:hAnsi="仿宋" w:eastAsia="仿宋" w:cs="仿宋"/>
                <w:color w:val="auto"/>
                <w:kern w:val="0"/>
                <w:szCs w:val="21"/>
                <w:highlight w:val="none"/>
              </w:rPr>
            </w:pPr>
          </w:p>
        </w:tc>
        <w:tc>
          <w:tcPr>
            <w:tcW w:w="1410" w:type="dxa"/>
            <w:vAlign w:val="center"/>
          </w:tcPr>
          <w:p w14:paraId="3E641FD3">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采购预算金额</w:t>
            </w:r>
          </w:p>
        </w:tc>
        <w:tc>
          <w:tcPr>
            <w:tcW w:w="7073" w:type="dxa"/>
            <w:vAlign w:val="center"/>
          </w:tcPr>
          <w:p w14:paraId="0B73B803">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1150000.00</w:t>
            </w:r>
            <w:r>
              <w:rPr>
                <w:rFonts w:hint="eastAsia" w:ascii="仿宋" w:hAnsi="仿宋" w:eastAsia="仿宋" w:cs="仿宋"/>
                <w:color w:val="auto"/>
                <w:kern w:val="0"/>
                <w:szCs w:val="21"/>
                <w:highlight w:val="none"/>
              </w:rPr>
              <w:t>元</w:t>
            </w:r>
          </w:p>
        </w:tc>
      </w:tr>
      <w:tr w14:paraId="30EFA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C46E238">
            <w:pPr>
              <w:jc w:val="center"/>
              <w:rPr>
                <w:rFonts w:hint="eastAsia" w:ascii="仿宋" w:hAnsi="仿宋" w:eastAsia="仿宋" w:cs="仿宋"/>
                <w:color w:val="auto"/>
                <w:kern w:val="0"/>
                <w:szCs w:val="21"/>
                <w:highlight w:val="none"/>
              </w:rPr>
            </w:pPr>
          </w:p>
        </w:tc>
        <w:tc>
          <w:tcPr>
            <w:tcW w:w="1410" w:type="dxa"/>
            <w:vAlign w:val="center"/>
          </w:tcPr>
          <w:p w14:paraId="1E1951E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最高限价</w:t>
            </w:r>
          </w:p>
        </w:tc>
        <w:tc>
          <w:tcPr>
            <w:tcW w:w="7073" w:type="dxa"/>
            <w:vAlign w:val="center"/>
          </w:tcPr>
          <w:p w14:paraId="2B9E9204">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1150000.00</w:t>
            </w:r>
            <w:r>
              <w:rPr>
                <w:rFonts w:hint="eastAsia" w:ascii="仿宋" w:hAnsi="仿宋" w:eastAsia="仿宋" w:cs="仿宋"/>
                <w:color w:val="auto"/>
                <w:kern w:val="0"/>
                <w:szCs w:val="21"/>
                <w:highlight w:val="none"/>
              </w:rPr>
              <w:t>元</w:t>
            </w:r>
          </w:p>
        </w:tc>
      </w:tr>
      <w:tr w14:paraId="59920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86" w:hRule="atLeast"/>
          <w:jc w:val="center"/>
        </w:trPr>
        <w:tc>
          <w:tcPr>
            <w:tcW w:w="597" w:type="dxa"/>
            <w:vMerge w:val="continue"/>
            <w:vAlign w:val="center"/>
          </w:tcPr>
          <w:p w14:paraId="5929876E">
            <w:pPr>
              <w:jc w:val="center"/>
              <w:rPr>
                <w:rFonts w:hint="eastAsia" w:ascii="仿宋" w:hAnsi="仿宋" w:eastAsia="仿宋" w:cs="仿宋"/>
                <w:color w:val="auto"/>
                <w:kern w:val="0"/>
                <w:szCs w:val="21"/>
                <w:highlight w:val="none"/>
              </w:rPr>
            </w:pPr>
          </w:p>
        </w:tc>
        <w:tc>
          <w:tcPr>
            <w:tcW w:w="1410" w:type="dxa"/>
            <w:vAlign w:val="center"/>
          </w:tcPr>
          <w:p w14:paraId="20E73394">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是否单一产品</w:t>
            </w:r>
          </w:p>
        </w:tc>
        <w:tc>
          <w:tcPr>
            <w:tcW w:w="7073" w:type="dxa"/>
            <w:vAlign w:val="center"/>
          </w:tcPr>
          <w:p w14:paraId="1449827E">
            <w:pPr>
              <w:keepNext/>
              <w:widowControl/>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否，核心产品为经颅磁刺激仪</w:t>
            </w:r>
          </w:p>
        </w:tc>
      </w:tr>
      <w:tr w14:paraId="53217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79" w:hRule="atLeast"/>
          <w:jc w:val="center"/>
        </w:trPr>
        <w:tc>
          <w:tcPr>
            <w:tcW w:w="597" w:type="dxa"/>
            <w:vMerge w:val="continue"/>
            <w:vAlign w:val="center"/>
          </w:tcPr>
          <w:p w14:paraId="03639FF5">
            <w:pPr>
              <w:jc w:val="center"/>
              <w:rPr>
                <w:rFonts w:hint="eastAsia" w:ascii="仿宋" w:hAnsi="仿宋" w:eastAsia="仿宋" w:cs="仿宋"/>
                <w:color w:val="auto"/>
                <w:kern w:val="0"/>
                <w:szCs w:val="21"/>
                <w:highlight w:val="none"/>
              </w:rPr>
            </w:pPr>
          </w:p>
        </w:tc>
        <w:tc>
          <w:tcPr>
            <w:tcW w:w="1410" w:type="dxa"/>
            <w:vAlign w:val="center"/>
          </w:tcPr>
          <w:p w14:paraId="4849C73C">
            <w:pPr>
              <w:keepNext/>
              <w:widowControl/>
              <w:jc w:val="distribute"/>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合同履约期限</w:t>
            </w:r>
          </w:p>
        </w:tc>
        <w:tc>
          <w:tcPr>
            <w:tcW w:w="7073" w:type="dxa"/>
            <w:vAlign w:val="center"/>
          </w:tcPr>
          <w:p w14:paraId="17364C19">
            <w:pPr>
              <w:keepNext/>
              <w:widowControl/>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签订合同后14个工作日内完成供货、安装、调试验收、移交</w:t>
            </w:r>
            <w:r>
              <w:rPr>
                <w:rFonts w:hint="eastAsia" w:ascii="仿宋" w:hAnsi="仿宋" w:eastAsia="仿宋" w:cs="仿宋"/>
                <w:color w:val="auto"/>
                <w:kern w:val="0"/>
                <w:szCs w:val="21"/>
                <w:highlight w:val="none"/>
                <w:lang w:eastAsia="zh-CN"/>
              </w:rPr>
              <w:t>。</w:t>
            </w:r>
          </w:p>
        </w:tc>
      </w:tr>
      <w:tr w14:paraId="13D03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Merge w:val="continue"/>
            <w:vAlign w:val="center"/>
          </w:tcPr>
          <w:p w14:paraId="29EA0B01">
            <w:pPr>
              <w:jc w:val="center"/>
              <w:rPr>
                <w:rFonts w:hint="eastAsia" w:ascii="仿宋" w:hAnsi="仿宋" w:eastAsia="仿宋" w:cs="仿宋"/>
                <w:color w:val="auto"/>
                <w:kern w:val="0"/>
                <w:szCs w:val="21"/>
                <w:highlight w:val="none"/>
              </w:rPr>
            </w:pPr>
          </w:p>
        </w:tc>
        <w:tc>
          <w:tcPr>
            <w:tcW w:w="1410" w:type="dxa"/>
            <w:vAlign w:val="center"/>
          </w:tcPr>
          <w:p w14:paraId="74435F94">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供货地点</w:t>
            </w:r>
          </w:p>
        </w:tc>
        <w:tc>
          <w:tcPr>
            <w:tcW w:w="7073" w:type="dxa"/>
            <w:vAlign w:val="center"/>
          </w:tcPr>
          <w:p w14:paraId="06B0B630">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采购人指定地点</w:t>
            </w:r>
            <w:r>
              <w:rPr>
                <w:rFonts w:hint="eastAsia" w:ascii="仿宋" w:hAnsi="仿宋" w:eastAsia="仿宋" w:cs="仿宋"/>
                <w:color w:val="auto"/>
                <w:kern w:val="0"/>
                <w:szCs w:val="21"/>
                <w:highlight w:val="none"/>
                <w:lang w:val="en-US" w:eastAsia="zh-CN"/>
              </w:rPr>
              <w:t>(</w:t>
            </w:r>
            <w:r>
              <w:rPr>
                <w:rFonts w:hint="eastAsia" w:ascii="仿宋" w:hAnsi="仿宋" w:eastAsia="仿宋" w:cs="仿宋"/>
                <w:color w:val="auto"/>
                <w:kern w:val="0"/>
                <w:szCs w:val="21"/>
                <w:highlight w:val="none"/>
                <w:lang w:eastAsia="zh-CN"/>
              </w:rPr>
              <w:t>新疆阿勒泰地区人民医院院</w:t>
            </w:r>
            <w:r>
              <w:rPr>
                <w:rFonts w:hint="eastAsia" w:ascii="仿宋" w:hAnsi="仿宋" w:eastAsia="仿宋" w:cs="仿宋"/>
                <w:color w:val="auto"/>
                <w:kern w:val="0"/>
                <w:szCs w:val="21"/>
                <w:highlight w:val="none"/>
                <w:lang w:val="en-US" w:eastAsia="zh-CN"/>
              </w:rPr>
              <w:t>内）</w:t>
            </w:r>
          </w:p>
        </w:tc>
      </w:tr>
      <w:tr w14:paraId="5FA15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8FD010F">
            <w:pPr>
              <w:jc w:val="center"/>
              <w:rPr>
                <w:rFonts w:hint="eastAsia" w:ascii="仿宋" w:hAnsi="仿宋" w:eastAsia="仿宋" w:cs="仿宋"/>
                <w:color w:val="auto"/>
                <w:kern w:val="0"/>
                <w:szCs w:val="21"/>
                <w:highlight w:val="none"/>
              </w:rPr>
            </w:pPr>
          </w:p>
        </w:tc>
        <w:tc>
          <w:tcPr>
            <w:tcW w:w="1410" w:type="dxa"/>
            <w:vAlign w:val="center"/>
          </w:tcPr>
          <w:p w14:paraId="44C0F9FF">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质保期</w:t>
            </w:r>
          </w:p>
        </w:tc>
        <w:tc>
          <w:tcPr>
            <w:tcW w:w="7073" w:type="dxa"/>
            <w:vAlign w:val="center"/>
          </w:tcPr>
          <w:p w14:paraId="0E1842D1">
            <w:pPr>
              <w:keepNext/>
              <w:widowControl/>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3年</w:t>
            </w:r>
          </w:p>
        </w:tc>
      </w:tr>
      <w:tr w14:paraId="42B04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7B8AD77">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1410" w:type="dxa"/>
            <w:vAlign w:val="center"/>
          </w:tcPr>
          <w:p w14:paraId="76CB735F">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采购范围</w:t>
            </w:r>
          </w:p>
        </w:tc>
        <w:tc>
          <w:tcPr>
            <w:tcW w:w="7073" w:type="dxa"/>
            <w:vAlign w:val="center"/>
          </w:tcPr>
          <w:p w14:paraId="3F6A9EE8">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阿勒泰地区人民医院精神卫生科、儿科（新生儿科）能力提升医疗设备采购项目-精神卫生科</w:t>
            </w:r>
            <w:r>
              <w:rPr>
                <w:rFonts w:hint="eastAsia" w:ascii="仿宋" w:hAnsi="仿宋" w:eastAsia="仿宋" w:cs="仿宋"/>
                <w:color w:val="auto"/>
                <w:kern w:val="0"/>
                <w:szCs w:val="21"/>
                <w:highlight w:val="none"/>
              </w:rPr>
              <w:t>范围内的所有工作内容，关于采购范围的详细说明见招标文件第四章“技术标准和要求”。</w:t>
            </w:r>
          </w:p>
        </w:tc>
      </w:tr>
      <w:tr w14:paraId="43E88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62AB5B9">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1410" w:type="dxa"/>
            <w:vAlign w:val="center"/>
          </w:tcPr>
          <w:p w14:paraId="69CF713E">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采购方式</w:t>
            </w:r>
          </w:p>
        </w:tc>
        <w:tc>
          <w:tcPr>
            <w:tcW w:w="7073" w:type="dxa"/>
            <w:vAlign w:val="center"/>
          </w:tcPr>
          <w:p w14:paraId="274C3DD0">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公开招标</w:t>
            </w:r>
          </w:p>
        </w:tc>
      </w:tr>
      <w:tr w14:paraId="70857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35C06DD">
            <w:pPr>
              <w:jc w:val="center"/>
              <w:rPr>
                <w:rFonts w:hint="eastAsia" w:ascii="仿宋" w:hAnsi="仿宋" w:eastAsia="仿宋" w:cs="仿宋"/>
                <w:color w:val="auto"/>
                <w:kern w:val="0"/>
                <w:szCs w:val="21"/>
                <w:highlight w:val="none"/>
              </w:rPr>
            </w:pPr>
          </w:p>
        </w:tc>
        <w:tc>
          <w:tcPr>
            <w:tcW w:w="1410" w:type="dxa"/>
            <w:vAlign w:val="center"/>
          </w:tcPr>
          <w:p w14:paraId="0FCA990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资格审查方式</w:t>
            </w:r>
          </w:p>
        </w:tc>
        <w:tc>
          <w:tcPr>
            <w:tcW w:w="7073" w:type="dxa"/>
            <w:vAlign w:val="center"/>
          </w:tcPr>
          <w:p w14:paraId="4E77333E">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资格后审</w:t>
            </w:r>
          </w:p>
        </w:tc>
      </w:tr>
      <w:tr w14:paraId="1EF31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C525654">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1410" w:type="dxa"/>
            <w:vAlign w:val="center"/>
          </w:tcPr>
          <w:p w14:paraId="394971F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评审办法</w:t>
            </w:r>
          </w:p>
        </w:tc>
        <w:tc>
          <w:tcPr>
            <w:tcW w:w="7073" w:type="dxa"/>
            <w:vAlign w:val="center"/>
          </w:tcPr>
          <w:p w14:paraId="008D5E6E">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综合评分法</w:t>
            </w:r>
          </w:p>
        </w:tc>
      </w:tr>
      <w:tr w14:paraId="4724C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7D755CC">
            <w:pPr>
              <w:jc w:val="center"/>
              <w:rPr>
                <w:rFonts w:hint="eastAsia" w:ascii="仿宋" w:hAnsi="仿宋" w:eastAsia="仿宋" w:cs="仿宋"/>
                <w:color w:val="auto"/>
                <w:kern w:val="0"/>
                <w:szCs w:val="21"/>
                <w:highlight w:val="none"/>
              </w:rPr>
            </w:pPr>
          </w:p>
        </w:tc>
        <w:tc>
          <w:tcPr>
            <w:tcW w:w="1410" w:type="dxa"/>
            <w:vAlign w:val="center"/>
          </w:tcPr>
          <w:p w14:paraId="6BBD8F52">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定标方法</w:t>
            </w:r>
          </w:p>
        </w:tc>
        <w:tc>
          <w:tcPr>
            <w:tcW w:w="7073" w:type="dxa"/>
            <w:vAlign w:val="center"/>
          </w:tcPr>
          <w:p w14:paraId="38ABAB9D">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评标委员会推荐三名中标候选人</w:t>
            </w:r>
          </w:p>
        </w:tc>
      </w:tr>
      <w:tr w14:paraId="265A5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3A6E0A4">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1410" w:type="dxa"/>
            <w:vAlign w:val="center"/>
          </w:tcPr>
          <w:p w14:paraId="473462FE">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投标人的资格要求</w:t>
            </w:r>
          </w:p>
        </w:tc>
        <w:tc>
          <w:tcPr>
            <w:tcW w:w="7073" w:type="dxa"/>
            <w:vAlign w:val="center"/>
          </w:tcPr>
          <w:p w14:paraId="136BD535">
            <w:pPr>
              <w:keepNext/>
              <w:widowControl/>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1、满足《中华人民共和国政府采购法》第二十二条规定。</w:t>
            </w:r>
          </w:p>
          <w:p w14:paraId="623331A8">
            <w:pPr>
              <w:keepNext/>
              <w:widowControl/>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p w14:paraId="1ED48F81">
            <w:pPr>
              <w:keepNext/>
              <w:widowControl/>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投标人所投货物若属于医疗器械管理范畴，按照国家《医疗器械监督管理条例》，应符合以下标准：①投标人为制造商的，投标货物若属于第一类医疗器械产品，须提供第一类医疗器械生产备案证明，投标货物若属于第二类、三类医疗器械产品，须提供医疗器械生产许可证。②投标人为经销商的，投标货物若属于第三类医疗器械产品，须提供医疗器械经营许可证，投标货物若属于第二类医疗器械产品，须提供医疗器械经营备案证明，投标货物若属于第一类医疗器械产品，则无须提供此项；所有证件必须真实、有效。</w:t>
            </w:r>
          </w:p>
        </w:tc>
      </w:tr>
      <w:tr w14:paraId="2DD76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7C718D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1410" w:type="dxa"/>
            <w:vAlign w:val="center"/>
          </w:tcPr>
          <w:p w14:paraId="2AD6D253">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投标人不得存在的情形</w:t>
            </w:r>
          </w:p>
        </w:tc>
        <w:tc>
          <w:tcPr>
            <w:tcW w:w="7073" w:type="dxa"/>
            <w:vAlign w:val="center"/>
          </w:tcPr>
          <w:p w14:paraId="22CCD4F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1、本项目不接受联合体。</w:t>
            </w:r>
          </w:p>
          <w:p w14:paraId="7B3F09D7">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2、单位负责人为同一人或者存在直接控股、管理关系的不同投标人，不得参加同一合同项下的政府采购活动。</w:t>
            </w:r>
          </w:p>
          <w:p w14:paraId="3B575EF0">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3、除单一来源采购项目外，为采购项目提供整体设计、规范编制或者项目管理、监理、检测等服务的投标人，不得再参加该采购项目的其他采购活动。</w:t>
            </w:r>
          </w:p>
          <w:p w14:paraId="2EFD5C1B">
            <w:pPr>
              <w:keepNext/>
              <w:widowControl/>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4、投标人处于被责令停业、财产被接管、冻结和破产状态，以及投标资格被取消或者被暂停且在暂停期内。</w:t>
            </w:r>
          </w:p>
          <w:p w14:paraId="37889D5B">
            <w:pPr>
              <w:keepNext/>
              <w:widowControl/>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5、法律规定的其它情形。</w:t>
            </w:r>
          </w:p>
        </w:tc>
      </w:tr>
      <w:tr w14:paraId="7E8BA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A0E620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w:t>
            </w:r>
          </w:p>
        </w:tc>
        <w:tc>
          <w:tcPr>
            <w:tcW w:w="1410" w:type="dxa"/>
            <w:vAlign w:val="center"/>
          </w:tcPr>
          <w:p w14:paraId="7F9A63F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招标文件费</w:t>
            </w:r>
          </w:p>
        </w:tc>
        <w:tc>
          <w:tcPr>
            <w:tcW w:w="7073" w:type="dxa"/>
            <w:vAlign w:val="center"/>
          </w:tcPr>
          <w:p w14:paraId="4F827EA7">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0元</w:t>
            </w:r>
          </w:p>
        </w:tc>
      </w:tr>
      <w:tr w14:paraId="32CB4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632841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w:t>
            </w:r>
          </w:p>
        </w:tc>
        <w:tc>
          <w:tcPr>
            <w:tcW w:w="1410" w:type="dxa"/>
            <w:vAlign w:val="center"/>
          </w:tcPr>
          <w:p w14:paraId="31CBCF65">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投标保证金</w:t>
            </w:r>
          </w:p>
        </w:tc>
        <w:tc>
          <w:tcPr>
            <w:tcW w:w="7073" w:type="dxa"/>
            <w:vAlign w:val="center"/>
          </w:tcPr>
          <w:p w14:paraId="4EAF22FB">
            <w:pPr>
              <w:widowControl/>
              <w:numPr>
                <w:ilvl w:val="0"/>
                <w:numId w:val="0"/>
              </w:numPr>
              <w:spacing w:line="288" w:lineRule="auto"/>
              <w:ind w:firstLine="420" w:firstLineChars="200"/>
              <w:jc w:val="left"/>
              <w:rPr>
                <w:rFonts w:hint="eastAsia" w:ascii="仿宋" w:hAnsi="仿宋" w:eastAsia="仿宋" w:cs="仿宋"/>
                <w:b/>
                <w:bCs/>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1、</w:t>
            </w:r>
            <w:r>
              <w:rPr>
                <w:rFonts w:hint="eastAsia" w:ascii="仿宋" w:hAnsi="仿宋" w:eastAsia="仿宋" w:cs="仿宋"/>
                <w:color w:val="auto"/>
                <w:kern w:val="0"/>
                <w:szCs w:val="21"/>
                <w:highlight w:val="none"/>
                <w:shd w:val="clear" w:color="auto" w:fill="FFFFFF" w:themeFill="background1"/>
              </w:rPr>
              <w:t>投标保证金金额：</w:t>
            </w:r>
            <w:r>
              <w:rPr>
                <w:rFonts w:hint="eastAsia" w:ascii="仿宋" w:hAnsi="仿宋" w:eastAsia="仿宋" w:cs="仿宋"/>
                <w:color w:val="auto"/>
                <w:kern w:val="0"/>
                <w:szCs w:val="21"/>
                <w:highlight w:val="none"/>
                <w:shd w:val="clear" w:color="auto" w:fill="FFFFFF" w:themeFill="background1"/>
                <w:lang w:val="en-US" w:eastAsia="zh-CN"/>
              </w:rPr>
              <w:t>23000.00元</w:t>
            </w:r>
          </w:p>
          <w:p w14:paraId="342595B4">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2、提交截止时间：同投标文件递交截止时间</w:t>
            </w:r>
          </w:p>
          <w:p w14:paraId="6A41B92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3、提交形式：投标保证金以支票、汇票、本票或者金融机构、担保机构出具的保函等非现金形式提交至采购代理机构。</w:t>
            </w:r>
          </w:p>
          <w:p w14:paraId="421A5C2C">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4、银行账户信息</w:t>
            </w:r>
          </w:p>
          <w:p w14:paraId="194AD7E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采购代理机构名称：新疆新世纪招标有限公司</w:t>
            </w:r>
          </w:p>
          <w:p w14:paraId="24389E0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纳税人识别号：91650100726988855F</w:t>
            </w:r>
          </w:p>
          <w:p w14:paraId="6C4A07F5">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开户行：中国农业银行乌鲁木齐新民西街支行</w:t>
            </w:r>
          </w:p>
          <w:p w14:paraId="2723FF8D">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账号：30014701040000595</w:t>
            </w:r>
          </w:p>
          <w:p w14:paraId="113B83E8">
            <w:pPr>
              <w:widowControl/>
              <w:spacing w:line="288"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shd w:val="clear" w:color="auto" w:fill="FFFFFF" w:themeFill="background1"/>
              </w:rPr>
              <w:t>5、投标人在提交投标保证金时需备注</w:t>
            </w:r>
            <w:r>
              <w:rPr>
                <w:rFonts w:hint="eastAsia" w:ascii="仿宋" w:hAnsi="仿宋" w:eastAsia="仿宋" w:cs="仿宋"/>
                <w:color w:val="auto"/>
                <w:kern w:val="0"/>
                <w:szCs w:val="21"/>
                <w:highlight w:val="none"/>
                <w:shd w:val="clear" w:color="auto" w:fill="FFFFFF" w:themeFill="background1"/>
                <w:lang w:val="en-US" w:eastAsia="zh-CN"/>
              </w:rPr>
              <w:t>项目</w:t>
            </w:r>
            <w:r>
              <w:rPr>
                <w:rFonts w:hint="eastAsia" w:ascii="仿宋" w:hAnsi="仿宋" w:eastAsia="仿宋" w:cs="仿宋"/>
                <w:color w:val="auto"/>
                <w:kern w:val="0"/>
                <w:szCs w:val="21"/>
                <w:highlight w:val="none"/>
                <w:shd w:val="clear" w:color="auto" w:fill="FFFFFF" w:themeFill="background1"/>
              </w:rPr>
              <w:t>名称简称。</w:t>
            </w:r>
          </w:p>
        </w:tc>
      </w:tr>
      <w:tr w14:paraId="1128F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CA7B9C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9</w:t>
            </w:r>
          </w:p>
        </w:tc>
        <w:tc>
          <w:tcPr>
            <w:tcW w:w="1410" w:type="dxa"/>
            <w:vAlign w:val="center"/>
          </w:tcPr>
          <w:p w14:paraId="6ED89D30">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现场踏勘</w:t>
            </w:r>
          </w:p>
        </w:tc>
        <w:tc>
          <w:tcPr>
            <w:tcW w:w="7073" w:type="dxa"/>
            <w:vAlign w:val="center"/>
          </w:tcPr>
          <w:p w14:paraId="3F09CCBD">
            <w:pPr>
              <w:jc w:val="lef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不组织</w:t>
            </w:r>
          </w:p>
        </w:tc>
      </w:tr>
      <w:tr w14:paraId="6583A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F500F63">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w:t>
            </w:r>
          </w:p>
        </w:tc>
        <w:tc>
          <w:tcPr>
            <w:tcW w:w="1410" w:type="dxa"/>
            <w:vAlign w:val="center"/>
          </w:tcPr>
          <w:p w14:paraId="3B1E135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招标答疑</w:t>
            </w:r>
          </w:p>
        </w:tc>
        <w:tc>
          <w:tcPr>
            <w:tcW w:w="7073" w:type="dxa"/>
            <w:vAlign w:val="center"/>
          </w:tcPr>
          <w:p w14:paraId="50CA851B">
            <w:pPr>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提出询问的，应当在投标文件递交截止时间15日前以书面形式（加盖公章）递交至新疆新世纪招标有限公司，否则采购人不作任何解释。</w:t>
            </w:r>
          </w:p>
          <w:p w14:paraId="1A013D4E">
            <w:pPr>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对招标文件提出质疑的，应当在获取招标文件或者招标文件公告期限届满之日起7个工作日内一次性以书面形式（按照财政部制定的质疑函范本编写）提出并递交至采购代理机构。</w:t>
            </w:r>
          </w:p>
          <w:p w14:paraId="7AAC3DF3">
            <w:pPr>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质疑接收人：</w:t>
            </w:r>
            <w:r>
              <w:rPr>
                <w:rFonts w:hint="eastAsia" w:ascii="仿宋" w:hAnsi="仿宋" w:eastAsia="仿宋" w:cs="仿宋"/>
                <w:color w:val="auto"/>
                <w:szCs w:val="21"/>
                <w:highlight w:val="none"/>
                <w:lang w:eastAsia="zh-CN"/>
              </w:rPr>
              <w:t>候永康、马丹阳</w:t>
            </w:r>
            <w:r>
              <w:rPr>
                <w:rFonts w:hint="eastAsia" w:ascii="仿宋" w:hAnsi="仿宋" w:eastAsia="仿宋" w:cs="仿宋"/>
                <w:color w:val="auto"/>
                <w:szCs w:val="21"/>
                <w:highlight w:val="none"/>
              </w:rPr>
              <w:t>；联系方式：0991-4661782。</w:t>
            </w:r>
          </w:p>
          <w:p w14:paraId="35AF6960">
            <w:pPr>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注：1、投标人必须在法定质疑期内一次性提出针对同一采购程序环节的质疑；</w:t>
            </w:r>
            <w:r>
              <w:rPr>
                <w:rFonts w:hint="eastAsia" w:ascii="仿宋" w:hAnsi="仿宋" w:eastAsia="仿宋" w:cs="仿宋"/>
                <w:color w:val="auto"/>
                <w:szCs w:val="21"/>
                <w:highlight w:val="none"/>
              </w:rPr>
              <w:t>投标人投诉的事项不得超出已质疑事项的范围。2、</w:t>
            </w:r>
            <w:r>
              <w:rPr>
                <w:rFonts w:hint="eastAsia" w:ascii="仿宋" w:hAnsi="仿宋" w:eastAsia="仿宋" w:cs="仿宋"/>
                <w:color w:val="auto"/>
                <w:kern w:val="0"/>
                <w:szCs w:val="21"/>
                <w:highlight w:val="none"/>
              </w:rPr>
              <w:t>投标人</w:t>
            </w:r>
            <w:r>
              <w:rPr>
                <w:rFonts w:hint="eastAsia" w:ascii="仿宋" w:hAnsi="仿宋" w:eastAsia="仿宋" w:cs="仿宋"/>
                <w:color w:val="auto"/>
                <w:szCs w:val="21"/>
                <w:highlight w:val="none"/>
              </w:rPr>
              <w:t>在国家法律规定的时间内未提出书面疑问，视为对招标文件的技术参数、资格条件、评审方法、合同文本等所有内容无异议。</w:t>
            </w:r>
          </w:p>
        </w:tc>
      </w:tr>
      <w:tr w14:paraId="370A3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85D35A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11</w:t>
            </w:r>
          </w:p>
        </w:tc>
        <w:tc>
          <w:tcPr>
            <w:tcW w:w="1410" w:type="dxa"/>
            <w:vAlign w:val="center"/>
          </w:tcPr>
          <w:p w14:paraId="56E5B00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w:t>
            </w:r>
          </w:p>
        </w:tc>
        <w:tc>
          <w:tcPr>
            <w:tcW w:w="7073" w:type="dxa"/>
            <w:shd w:val="clear" w:color="auto" w:fill="auto"/>
            <w:vAlign w:val="center"/>
          </w:tcPr>
          <w:p w14:paraId="17D7AE84">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065D4942">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 </w:t>
            </w:r>
          </w:p>
          <w:p w14:paraId="60FCFACE">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3、加密的电子投标文件应在投标文件递交截止时间前通过政采云平台上传完成。逾期上传或者未上传指定地点的投标文件，不予受理。</w:t>
            </w:r>
          </w:p>
          <w:p w14:paraId="196E10C0">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22E4F1ED">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5、如遇“政采云平台（https://www.zcygov.cn/）”电子交易规则调整，以最新要求为准。</w:t>
            </w:r>
          </w:p>
        </w:tc>
      </w:tr>
      <w:tr w14:paraId="70CE6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CE5CB67">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12</w:t>
            </w:r>
          </w:p>
        </w:tc>
        <w:tc>
          <w:tcPr>
            <w:tcW w:w="1410" w:type="dxa"/>
            <w:vAlign w:val="center"/>
          </w:tcPr>
          <w:p w14:paraId="3C85E10A">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投标文件递交</w:t>
            </w:r>
          </w:p>
        </w:tc>
        <w:tc>
          <w:tcPr>
            <w:tcW w:w="7073" w:type="dxa"/>
            <w:shd w:val="clear" w:color="auto" w:fill="auto"/>
            <w:vAlign w:val="center"/>
          </w:tcPr>
          <w:p w14:paraId="11A264D2">
            <w:pPr>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截止时间：</w:t>
            </w:r>
            <w:r>
              <w:rPr>
                <w:rFonts w:hint="eastAsia" w:ascii="仿宋" w:hAnsi="仿宋" w:eastAsia="仿宋" w:cs="仿宋"/>
                <w:color w:val="auto"/>
                <w:kern w:val="0"/>
                <w:szCs w:val="21"/>
                <w:highlight w:val="none"/>
                <w:u w:val="single"/>
                <w:lang w:eastAsia="zh-CN"/>
              </w:rPr>
              <w:t>2026年06月04日 11:00</w:t>
            </w:r>
            <w:r>
              <w:rPr>
                <w:rFonts w:hint="eastAsia" w:ascii="仿宋" w:hAnsi="仿宋" w:eastAsia="仿宋" w:cs="仿宋"/>
                <w:color w:val="auto"/>
                <w:kern w:val="0"/>
                <w:szCs w:val="21"/>
                <w:highlight w:val="none"/>
                <w:u w:val="single"/>
              </w:rPr>
              <w:t>（北京时间）</w:t>
            </w:r>
          </w:p>
          <w:p w14:paraId="26EA29D3">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递交地点：政采云平台（https://www.zcygov.cn/）</w:t>
            </w:r>
          </w:p>
        </w:tc>
      </w:tr>
      <w:tr w14:paraId="23D34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28D156A">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13</w:t>
            </w:r>
          </w:p>
        </w:tc>
        <w:tc>
          <w:tcPr>
            <w:tcW w:w="1410" w:type="dxa"/>
            <w:vAlign w:val="center"/>
          </w:tcPr>
          <w:p w14:paraId="64B9BA04">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开标</w:t>
            </w:r>
          </w:p>
        </w:tc>
        <w:tc>
          <w:tcPr>
            <w:tcW w:w="7073" w:type="dxa"/>
            <w:shd w:val="clear" w:color="auto" w:fill="auto"/>
            <w:vAlign w:val="center"/>
          </w:tcPr>
          <w:p w14:paraId="40CC704E">
            <w:pPr>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时间：</w:t>
            </w:r>
            <w:r>
              <w:rPr>
                <w:rFonts w:hint="eastAsia" w:ascii="仿宋" w:hAnsi="仿宋" w:eastAsia="仿宋" w:cs="仿宋"/>
                <w:color w:val="auto"/>
                <w:kern w:val="0"/>
                <w:szCs w:val="21"/>
                <w:highlight w:val="none"/>
                <w:u w:val="single"/>
                <w:lang w:eastAsia="zh-CN"/>
              </w:rPr>
              <w:t>2026年06月04日 11:00</w:t>
            </w:r>
            <w:r>
              <w:rPr>
                <w:rFonts w:hint="eastAsia" w:ascii="仿宋" w:hAnsi="仿宋" w:eastAsia="仿宋" w:cs="仿宋"/>
                <w:color w:val="auto"/>
                <w:kern w:val="0"/>
                <w:szCs w:val="21"/>
                <w:highlight w:val="none"/>
                <w:u w:val="single"/>
              </w:rPr>
              <w:t>（北京时间）</w:t>
            </w:r>
          </w:p>
          <w:p w14:paraId="6C2AC229">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地点：政采云平台（https://www.zcygov.cn/）</w:t>
            </w:r>
          </w:p>
        </w:tc>
      </w:tr>
      <w:tr w14:paraId="6723A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38990E9">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14</w:t>
            </w:r>
          </w:p>
        </w:tc>
        <w:tc>
          <w:tcPr>
            <w:tcW w:w="1410" w:type="dxa"/>
            <w:vAlign w:val="center"/>
          </w:tcPr>
          <w:p w14:paraId="4DF98F8C">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投标有效期</w:t>
            </w:r>
          </w:p>
        </w:tc>
        <w:tc>
          <w:tcPr>
            <w:tcW w:w="7073" w:type="dxa"/>
            <w:vAlign w:val="center"/>
          </w:tcPr>
          <w:p w14:paraId="1FC01D84">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自投标截止之日90日历日</w:t>
            </w:r>
          </w:p>
        </w:tc>
      </w:tr>
      <w:tr w14:paraId="2A97C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E428071">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15</w:t>
            </w:r>
          </w:p>
        </w:tc>
        <w:tc>
          <w:tcPr>
            <w:tcW w:w="1410" w:type="dxa"/>
            <w:vAlign w:val="center"/>
          </w:tcPr>
          <w:p w14:paraId="3A81AEAF">
            <w:pPr>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公告发布媒体</w:t>
            </w:r>
          </w:p>
        </w:tc>
        <w:tc>
          <w:tcPr>
            <w:tcW w:w="7073" w:type="dxa"/>
            <w:vAlign w:val="center"/>
          </w:tcPr>
          <w:p w14:paraId="62E2091B">
            <w:pPr>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shd w:val="clear" w:color="auto" w:fill="FFFFFF" w:themeFill="background1"/>
              </w:rPr>
              <w:t>新疆政府采购网</w:t>
            </w:r>
          </w:p>
        </w:tc>
      </w:tr>
      <w:tr w14:paraId="70B2E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4BFBAB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16</w:t>
            </w:r>
          </w:p>
        </w:tc>
        <w:tc>
          <w:tcPr>
            <w:tcW w:w="1410" w:type="dxa"/>
            <w:vAlign w:val="center"/>
          </w:tcPr>
          <w:p w14:paraId="29E4BB01">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履约保证金</w:t>
            </w:r>
          </w:p>
        </w:tc>
        <w:tc>
          <w:tcPr>
            <w:tcW w:w="7073" w:type="dxa"/>
            <w:vAlign w:val="center"/>
          </w:tcPr>
          <w:p w14:paraId="08B532DC">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1、履约保证金金额：</w:t>
            </w:r>
            <w:r>
              <w:rPr>
                <w:rFonts w:hint="eastAsia" w:ascii="仿宋" w:hAnsi="仿宋" w:eastAsia="仿宋" w:cs="仿宋"/>
                <w:color w:val="auto"/>
                <w:kern w:val="0"/>
                <w:szCs w:val="21"/>
                <w:highlight w:val="none"/>
                <w:shd w:val="clear" w:color="auto" w:fill="FFFFFF" w:themeFill="background1"/>
                <w:lang w:val="en-US" w:eastAsia="zh-CN"/>
              </w:rPr>
              <w:t>无</w:t>
            </w:r>
            <w:r>
              <w:rPr>
                <w:rFonts w:hint="eastAsia" w:ascii="仿宋" w:hAnsi="仿宋" w:eastAsia="仿宋" w:cs="仿宋"/>
                <w:color w:val="auto"/>
                <w:kern w:val="0"/>
                <w:szCs w:val="21"/>
                <w:highlight w:val="none"/>
                <w:shd w:val="clear" w:color="auto" w:fill="FFFFFF" w:themeFill="background1"/>
              </w:rPr>
              <w:t>。</w:t>
            </w:r>
          </w:p>
          <w:p w14:paraId="505236E5">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shd w:val="clear" w:color="auto" w:fill="FFFFFF" w:themeFill="background1"/>
              </w:rPr>
              <w:t>2、</w:t>
            </w:r>
            <w:r>
              <w:rPr>
                <w:rFonts w:hint="eastAsia" w:ascii="仿宋" w:hAnsi="仿宋" w:eastAsia="仿宋" w:cs="仿宋"/>
                <w:color w:val="auto"/>
                <w:kern w:val="0"/>
                <w:szCs w:val="21"/>
                <w:highlight w:val="none"/>
                <w:shd w:val="clear" w:color="auto" w:fill="FFFFFF" w:themeFill="background1"/>
                <w:lang w:eastAsia="zh-CN"/>
              </w:rPr>
              <w:t>投标人</w:t>
            </w:r>
            <w:r>
              <w:rPr>
                <w:rFonts w:hint="eastAsia" w:ascii="仿宋" w:hAnsi="仿宋" w:eastAsia="仿宋" w:cs="仿宋"/>
                <w:color w:val="auto"/>
                <w:kern w:val="0"/>
                <w:szCs w:val="21"/>
                <w:highlight w:val="none"/>
                <w:shd w:val="clear" w:color="auto" w:fill="FFFFFF" w:themeFill="background1"/>
              </w:rPr>
              <w:t>应当以支票、汇票、本票或者金融机构、担保机构出具的保函等非现金形式提交履约保证金。</w:t>
            </w:r>
          </w:p>
        </w:tc>
      </w:tr>
      <w:tr w14:paraId="11D94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323" w:hRule="atLeast"/>
          <w:jc w:val="center"/>
        </w:trPr>
        <w:tc>
          <w:tcPr>
            <w:tcW w:w="597" w:type="dxa"/>
            <w:vAlign w:val="center"/>
          </w:tcPr>
          <w:p w14:paraId="0EDEB88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17</w:t>
            </w:r>
          </w:p>
        </w:tc>
        <w:tc>
          <w:tcPr>
            <w:tcW w:w="1410" w:type="dxa"/>
            <w:vAlign w:val="center"/>
          </w:tcPr>
          <w:p w14:paraId="3AD8A846">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中小企业政策说明</w:t>
            </w:r>
          </w:p>
        </w:tc>
        <w:tc>
          <w:tcPr>
            <w:tcW w:w="7073" w:type="dxa"/>
            <w:vAlign w:val="center"/>
          </w:tcPr>
          <w:p w14:paraId="6529B869">
            <w:pPr>
              <w:keepNext/>
              <w:widowControl/>
              <w:ind w:firstLine="420" w:firstLineChars="200"/>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本项目不专门面向中小企业采购！</w:t>
            </w:r>
          </w:p>
          <w:p w14:paraId="4E4E312E">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845216A">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2、在政府采购活动中，</w:t>
            </w:r>
            <w:r>
              <w:rPr>
                <w:rFonts w:hint="eastAsia" w:ascii="仿宋" w:hAnsi="仿宋" w:eastAsia="仿宋" w:cs="仿宋"/>
                <w:color w:val="auto"/>
                <w:kern w:val="0"/>
                <w:szCs w:val="21"/>
                <w:highlight w:val="none"/>
                <w:lang w:eastAsia="zh-CN"/>
              </w:rPr>
              <w:t>投标人</w:t>
            </w:r>
            <w:r>
              <w:rPr>
                <w:rFonts w:hint="eastAsia" w:ascii="仿宋" w:hAnsi="仿宋" w:eastAsia="仿宋" w:cs="仿宋"/>
                <w:color w:val="auto"/>
                <w:kern w:val="0"/>
                <w:szCs w:val="21"/>
                <w:highlight w:val="none"/>
              </w:rPr>
              <w:t>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1E8B5ABA">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3、在货物采购项目中，</w:t>
            </w:r>
            <w:r>
              <w:rPr>
                <w:rFonts w:hint="eastAsia" w:ascii="仿宋" w:hAnsi="仿宋" w:eastAsia="仿宋" w:cs="仿宋"/>
                <w:color w:val="auto"/>
                <w:kern w:val="0"/>
                <w:szCs w:val="21"/>
                <w:highlight w:val="none"/>
                <w:lang w:eastAsia="zh-CN"/>
              </w:rPr>
              <w:t>投标人</w:t>
            </w:r>
            <w:r>
              <w:rPr>
                <w:rFonts w:hint="eastAsia" w:ascii="仿宋" w:hAnsi="仿宋" w:eastAsia="仿宋" w:cs="仿宋"/>
                <w:color w:val="auto"/>
                <w:kern w:val="0"/>
                <w:szCs w:val="21"/>
                <w:highlight w:val="none"/>
              </w:rPr>
              <w:t>提供的货物既有中小企业制造货物，也有大型企业制造货物的，不享受本办法规定的中小企业扶持政策。</w:t>
            </w:r>
          </w:p>
          <w:p w14:paraId="0B482C84">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4、以联合体形式参加政府采购活动，联合体各方均为中小企业的，联合体视同中小企业。其中，联合体各方均为小微企业的，联合体视同小微企业。</w:t>
            </w:r>
          </w:p>
          <w:p w14:paraId="5C9ABA26">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r>
              <w:rPr>
                <w:rFonts w:hint="eastAsia" w:ascii="仿宋" w:hAnsi="仿宋" w:eastAsia="仿宋" w:cs="仿宋"/>
                <w:color w:val="auto"/>
                <w:kern w:val="0"/>
                <w:szCs w:val="21"/>
                <w:highlight w:val="none"/>
                <w:lang w:eastAsia="zh-CN"/>
              </w:rPr>
              <w:t>投标人</w:t>
            </w:r>
            <w:r>
              <w:rPr>
                <w:rFonts w:hint="eastAsia" w:ascii="仿宋" w:hAnsi="仿宋" w:eastAsia="仿宋" w:cs="仿宋"/>
                <w:color w:val="auto"/>
                <w:kern w:val="0"/>
                <w:szCs w:val="21"/>
                <w:highlight w:val="none"/>
              </w:rPr>
              <w:t>经享受扶持政策获得政府采购合同的，小微企业不得将合同分包给大中型企业，中型企业不得将合同分包给大型企业；</w:t>
            </w:r>
          </w:p>
          <w:p w14:paraId="37C62828">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6、残疾人福利性单位和监狱企业视同小型、微型企业。</w:t>
            </w:r>
          </w:p>
          <w:p w14:paraId="37EDE47D">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7、根据“关于印发中小企业划型标准规定的通知(工信部联企业〔2011〕300号)”等有关规定，本项目标的所属行业为工业。</w:t>
            </w:r>
          </w:p>
        </w:tc>
      </w:tr>
      <w:tr w14:paraId="3A8DE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A246CDB">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18</w:t>
            </w:r>
          </w:p>
        </w:tc>
        <w:tc>
          <w:tcPr>
            <w:tcW w:w="1410" w:type="dxa"/>
            <w:vAlign w:val="center"/>
          </w:tcPr>
          <w:p w14:paraId="7DED8DB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合同分包</w:t>
            </w:r>
          </w:p>
        </w:tc>
        <w:tc>
          <w:tcPr>
            <w:tcW w:w="7073" w:type="dxa"/>
            <w:vAlign w:val="center"/>
          </w:tcPr>
          <w:p w14:paraId="0F6044F9">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不允许分包</w:t>
            </w:r>
          </w:p>
          <w:p w14:paraId="31BACF79">
            <w:pPr>
              <w:keepNext/>
              <w:widowControl/>
              <w:ind w:firstLine="420" w:firstLineChars="200"/>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允许分包</w:t>
            </w:r>
          </w:p>
        </w:tc>
      </w:tr>
      <w:tr w14:paraId="0CD74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F53522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19</w:t>
            </w:r>
          </w:p>
        </w:tc>
        <w:tc>
          <w:tcPr>
            <w:tcW w:w="1410" w:type="dxa"/>
            <w:vAlign w:val="center"/>
          </w:tcPr>
          <w:p w14:paraId="21C4580C">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进口产品</w:t>
            </w:r>
          </w:p>
        </w:tc>
        <w:tc>
          <w:tcPr>
            <w:tcW w:w="7073" w:type="dxa"/>
            <w:vAlign w:val="center"/>
          </w:tcPr>
          <w:p w14:paraId="6AA7E1E7">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☑不接受</w:t>
            </w:r>
          </w:p>
          <w:p w14:paraId="04D068DB">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□接受</w:t>
            </w:r>
          </w:p>
        </w:tc>
      </w:tr>
      <w:tr w14:paraId="60AC9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48AF78D">
            <w:pPr>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20</w:t>
            </w:r>
          </w:p>
        </w:tc>
        <w:tc>
          <w:tcPr>
            <w:tcW w:w="1410" w:type="dxa"/>
            <w:shd w:val="clear" w:color="auto" w:fill="auto"/>
            <w:vAlign w:val="center"/>
          </w:tcPr>
          <w:p w14:paraId="0C1865CD">
            <w:pPr>
              <w:keepNext/>
              <w:widowControl/>
              <w:jc w:val="distribute"/>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eastAsia="zh-CN"/>
              </w:rPr>
              <w:t>本国产品</w:t>
            </w:r>
            <w:r>
              <w:rPr>
                <w:rFonts w:hint="eastAsia" w:ascii="仿宋" w:hAnsi="仿宋" w:eastAsia="仿宋" w:cs="仿宋"/>
                <w:color w:val="auto"/>
                <w:kern w:val="0"/>
                <w:szCs w:val="21"/>
                <w:highlight w:val="none"/>
              </w:rPr>
              <w:t>政策说明</w:t>
            </w:r>
          </w:p>
        </w:tc>
        <w:tc>
          <w:tcPr>
            <w:tcW w:w="7073" w:type="dxa"/>
            <w:shd w:val="clear" w:color="auto" w:fill="auto"/>
            <w:vAlign w:val="center"/>
          </w:tcPr>
          <w:p w14:paraId="216B8CD7">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根据《国务院办公厅关于在政府采购中实施本国产品标准及相关政策的通知》（国办发〔2025〕34号）的相关规定，投标产品符合“本国产品标准”的，按照以下政策执行价格评审优惠：</w:t>
            </w:r>
          </w:p>
          <w:p w14:paraId="1C17ACD0">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408CD2E1">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79F453">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供应商对其提供的产品出具《关于符合本国产品标准的声明函》或财政部会同有关部门规定的有关证明文件。出具符合要求的《声明函》或有关证明文件的，该产品视为本国产品。</w:t>
            </w:r>
          </w:p>
          <w:p w14:paraId="541674F7">
            <w:pPr>
              <w:keepNext/>
              <w:widowControl/>
              <w:ind w:firstLine="420" w:firstLineChars="200"/>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根据“关于贯彻落实《国务院办公厅关于在政府采购中实施本国产品标准及相关政策的通知》的意见（财库〔2025〕30号）”</w:t>
            </w:r>
            <w:r>
              <w:rPr>
                <w:rFonts w:hint="default" w:ascii="仿宋" w:hAnsi="仿宋" w:eastAsia="仿宋" w:cs="仿宋"/>
                <w:color w:val="auto"/>
                <w:kern w:val="0"/>
                <w:szCs w:val="21"/>
                <w:highlight w:val="none"/>
                <w:lang w:val="en-US" w:eastAsia="zh-CN"/>
              </w:rPr>
              <w:t>对医疗器械产品，取得药品监督管理部门授予的准字号医疗器械注册证的，属于在中国境内生产的产品</w:t>
            </w:r>
            <w:r>
              <w:rPr>
                <w:rFonts w:hint="eastAsia" w:ascii="仿宋" w:hAnsi="仿宋" w:eastAsia="仿宋" w:cs="仿宋"/>
                <w:color w:val="auto"/>
                <w:kern w:val="0"/>
                <w:szCs w:val="21"/>
                <w:highlight w:val="none"/>
                <w:lang w:val="en-US" w:eastAsia="zh-CN"/>
              </w:rPr>
              <w:t>。</w:t>
            </w:r>
          </w:p>
        </w:tc>
      </w:tr>
      <w:tr w14:paraId="60B11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AA2BFC1">
            <w:pPr>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2</w:t>
            </w:r>
            <w:r>
              <w:rPr>
                <w:rFonts w:hint="eastAsia" w:ascii="仿宋" w:hAnsi="仿宋" w:eastAsia="仿宋" w:cs="仿宋"/>
                <w:color w:val="auto"/>
                <w:kern w:val="0"/>
                <w:szCs w:val="21"/>
                <w:highlight w:val="none"/>
                <w:lang w:val="en-US" w:eastAsia="zh-CN"/>
              </w:rPr>
              <w:t>1</w:t>
            </w:r>
          </w:p>
        </w:tc>
        <w:tc>
          <w:tcPr>
            <w:tcW w:w="1410" w:type="dxa"/>
            <w:vAlign w:val="center"/>
          </w:tcPr>
          <w:p w14:paraId="3E8B7309">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样品</w:t>
            </w:r>
          </w:p>
        </w:tc>
        <w:tc>
          <w:tcPr>
            <w:tcW w:w="7073" w:type="dxa"/>
            <w:vAlign w:val="center"/>
          </w:tcPr>
          <w:p w14:paraId="4C953453">
            <w:pPr>
              <w:keepNext/>
              <w:widowControl/>
              <w:ind w:firstLine="420" w:firstLineChars="200"/>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☑不</w:t>
            </w:r>
            <w:r>
              <w:rPr>
                <w:rFonts w:hint="eastAsia" w:ascii="仿宋" w:hAnsi="仿宋" w:eastAsia="仿宋" w:cs="仿宋"/>
                <w:color w:val="auto"/>
                <w:kern w:val="0"/>
                <w:szCs w:val="21"/>
                <w:highlight w:val="none"/>
                <w:lang w:val="en-US" w:eastAsia="zh-CN"/>
              </w:rPr>
              <w:t>要求</w:t>
            </w:r>
          </w:p>
          <w:p w14:paraId="4B33CB4A">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要求</w:t>
            </w:r>
          </w:p>
        </w:tc>
      </w:tr>
      <w:tr w14:paraId="30300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048FF18">
            <w:pPr>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2</w:t>
            </w:r>
            <w:r>
              <w:rPr>
                <w:rFonts w:hint="eastAsia" w:ascii="仿宋" w:hAnsi="仿宋" w:eastAsia="仿宋" w:cs="仿宋"/>
                <w:color w:val="auto"/>
                <w:kern w:val="0"/>
                <w:szCs w:val="21"/>
                <w:highlight w:val="none"/>
                <w:lang w:val="en-US" w:eastAsia="zh-CN"/>
              </w:rPr>
              <w:t>2</w:t>
            </w:r>
          </w:p>
        </w:tc>
        <w:tc>
          <w:tcPr>
            <w:tcW w:w="1410" w:type="dxa"/>
            <w:vAlign w:val="center"/>
          </w:tcPr>
          <w:p w14:paraId="2B4A4C9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说明</w:t>
            </w:r>
          </w:p>
        </w:tc>
        <w:tc>
          <w:tcPr>
            <w:tcW w:w="7073" w:type="dxa"/>
            <w:vAlign w:val="center"/>
          </w:tcPr>
          <w:p w14:paraId="3FB115EE">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1、招标文件中所述政策法规、标准规范等文件，如有新文件则按新文件执行，如已废止则仅为参考。</w:t>
            </w:r>
          </w:p>
          <w:p w14:paraId="164FB438">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2、投标人须根据招标文件要求在投标文件中提供评审所需的相应证明材料扫描件。</w:t>
            </w:r>
          </w:p>
          <w:p w14:paraId="75A5CD3E">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3、建议投标人对本招标文件技术要求进行点对点应答，根据本招标文件的要求,结合所投产品的实际参数值，进行逐条逐项答复、说明和解释。</w:t>
            </w:r>
          </w:p>
          <w:p w14:paraId="5A08F1C0">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4、采购代理咨询费</w:t>
            </w:r>
            <w:r>
              <w:rPr>
                <w:rFonts w:hint="eastAsia" w:ascii="仿宋" w:hAnsi="仿宋" w:eastAsia="仿宋" w:cs="仿宋"/>
                <w:color w:val="auto"/>
                <w:kern w:val="0"/>
                <w:szCs w:val="21"/>
                <w:highlight w:val="none"/>
                <w:lang w:eastAsia="zh-CN"/>
              </w:rPr>
              <w:t>以</w:t>
            </w:r>
            <w:r>
              <w:rPr>
                <w:rFonts w:hint="eastAsia" w:ascii="仿宋" w:hAnsi="仿宋" w:eastAsia="仿宋" w:cs="仿宋"/>
                <w:color w:val="auto"/>
                <w:kern w:val="0"/>
                <w:szCs w:val="21"/>
                <w:highlight w:val="none"/>
                <w:lang w:val="en-US" w:eastAsia="zh-CN"/>
              </w:rPr>
              <w:t>中标</w:t>
            </w:r>
            <w:r>
              <w:rPr>
                <w:rFonts w:hint="eastAsia" w:ascii="仿宋" w:hAnsi="仿宋" w:eastAsia="仿宋" w:cs="仿宋"/>
                <w:color w:val="auto"/>
                <w:kern w:val="0"/>
                <w:szCs w:val="21"/>
                <w:highlight w:val="none"/>
                <w:lang w:eastAsia="zh-CN"/>
              </w:rPr>
              <w:t>价格为基准，参照国家计委《招标代理服务费管理暂行办法》的通知(计价格[2002]1980号)</w:t>
            </w:r>
            <w:r>
              <w:rPr>
                <w:rFonts w:hint="eastAsia" w:ascii="仿宋" w:hAnsi="仿宋" w:eastAsia="仿宋" w:cs="仿宋"/>
                <w:color w:val="auto"/>
                <w:kern w:val="0"/>
                <w:szCs w:val="21"/>
                <w:highlight w:val="none"/>
                <w:lang w:val="en-US" w:eastAsia="zh-CN"/>
              </w:rPr>
              <w:t>计取</w:t>
            </w:r>
            <w:r>
              <w:rPr>
                <w:rFonts w:hint="eastAsia" w:ascii="仿宋" w:hAnsi="仿宋" w:eastAsia="仿宋" w:cs="仿宋"/>
                <w:color w:val="auto"/>
                <w:kern w:val="0"/>
                <w:szCs w:val="21"/>
                <w:highlight w:val="none"/>
                <w:lang w:eastAsia="zh-CN"/>
              </w:rPr>
              <w:t>，由</w:t>
            </w:r>
            <w:r>
              <w:rPr>
                <w:rFonts w:hint="eastAsia" w:ascii="仿宋" w:hAnsi="仿宋" w:eastAsia="仿宋" w:cs="仿宋"/>
                <w:color w:val="auto"/>
                <w:kern w:val="0"/>
                <w:szCs w:val="21"/>
                <w:highlight w:val="none"/>
                <w:lang w:val="en-US" w:eastAsia="zh-CN"/>
              </w:rPr>
              <w:t>中标人在领取中标通知书时支付</w:t>
            </w:r>
            <w:r>
              <w:rPr>
                <w:rFonts w:hint="eastAsia" w:ascii="仿宋" w:hAnsi="仿宋" w:eastAsia="仿宋" w:cs="仿宋"/>
                <w:color w:val="auto"/>
                <w:kern w:val="0"/>
                <w:szCs w:val="21"/>
                <w:highlight w:val="none"/>
              </w:rPr>
              <w:t>。</w:t>
            </w:r>
          </w:p>
          <w:p w14:paraId="6C1AF736">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5、最低报价不能作为中标的保证。</w:t>
            </w:r>
          </w:p>
          <w:p w14:paraId="74A32F1F">
            <w:pPr>
              <w:keepNext/>
              <w:widowControl/>
              <w:ind w:firstLine="420" w:firstLineChars="200"/>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6、</w:t>
            </w:r>
            <w:r>
              <w:rPr>
                <w:rFonts w:hint="eastAsia" w:ascii="仿宋" w:hAnsi="仿宋" w:eastAsia="仿宋" w:cs="仿宋"/>
                <w:color w:val="auto"/>
                <w:kern w:val="0"/>
                <w:szCs w:val="21"/>
                <w:highlight w:val="none"/>
              </w:rPr>
              <w:t>本表内容如与后文内容不一致处，以本表为准。</w:t>
            </w:r>
          </w:p>
        </w:tc>
      </w:tr>
    </w:tbl>
    <w:p w14:paraId="1A3D7AF9">
      <w:pPr>
        <w:rPr>
          <w:rFonts w:hint="eastAsia" w:ascii="仿宋" w:hAnsi="仿宋" w:eastAsia="仿宋" w:cs="仿宋"/>
          <w:color w:val="auto"/>
          <w:kern w:val="0"/>
          <w:sz w:val="24"/>
          <w:szCs w:val="24"/>
          <w:highlight w:val="none"/>
        </w:rPr>
      </w:pPr>
    </w:p>
    <w:p w14:paraId="09625969">
      <w:pPr>
        <w:spacing w:line="360" w:lineRule="auto"/>
        <w:jc w:val="center"/>
        <w:outlineLvl w:val="0"/>
        <w:rPr>
          <w:rFonts w:hint="eastAsia" w:ascii="仿宋" w:hAnsi="仿宋" w:eastAsia="仿宋" w:cs="仿宋"/>
          <w:b/>
          <w:color w:val="auto"/>
          <w:sz w:val="24"/>
          <w:szCs w:val="24"/>
          <w:highlight w:val="none"/>
        </w:rPr>
      </w:pPr>
      <w:bookmarkStart w:id="4" w:name="_BookMark_3"/>
      <w:bookmarkEnd w:id="4"/>
      <w:r>
        <w:rPr>
          <w:rFonts w:hint="eastAsia" w:ascii="仿宋" w:hAnsi="仿宋" w:eastAsia="仿宋" w:cs="仿宋"/>
          <w:color w:val="auto"/>
          <w:kern w:val="0"/>
          <w:sz w:val="24"/>
          <w:szCs w:val="24"/>
          <w:highlight w:val="none"/>
        </w:rPr>
        <w:br w:type="page"/>
      </w:r>
      <w:bookmarkStart w:id="5" w:name="_Toc3764"/>
      <w:bookmarkStart w:id="6" w:name="_Toc22420"/>
      <w:r>
        <w:rPr>
          <w:rFonts w:hint="eastAsia" w:ascii="仿宋" w:hAnsi="仿宋" w:eastAsia="仿宋" w:cs="仿宋"/>
          <w:b/>
          <w:color w:val="auto"/>
          <w:sz w:val="24"/>
          <w:szCs w:val="24"/>
          <w:highlight w:val="none"/>
        </w:rPr>
        <w:t>第一章 投标人须知</w:t>
      </w:r>
      <w:bookmarkEnd w:id="5"/>
      <w:bookmarkEnd w:id="6"/>
      <w:bookmarkStart w:id="7" w:name="_BookMark_2"/>
      <w:bookmarkEnd w:id="7"/>
    </w:p>
    <w:p w14:paraId="52F900C3">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8" w:name="_Toc31299"/>
      <w:bookmarkStart w:id="9" w:name="_Toc8133"/>
      <w:bookmarkStart w:id="10" w:name="_Toc130252597"/>
      <w:bookmarkStart w:id="11" w:name="_Toc25054"/>
      <w:r>
        <w:rPr>
          <w:rFonts w:hint="eastAsia" w:ascii="仿宋" w:hAnsi="仿宋" w:eastAsia="仿宋" w:cs="仿宋"/>
          <w:b/>
          <w:color w:val="auto"/>
          <w:sz w:val="24"/>
          <w:szCs w:val="24"/>
          <w:highlight w:val="none"/>
        </w:rPr>
        <w:t>一、总则</w:t>
      </w:r>
      <w:bookmarkEnd w:id="8"/>
      <w:bookmarkEnd w:id="9"/>
      <w:bookmarkEnd w:id="10"/>
      <w:bookmarkEnd w:id="11"/>
    </w:p>
    <w:p w14:paraId="06F2FCB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1.1采购项目概况</w:t>
      </w:r>
    </w:p>
    <w:p w14:paraId="3E8D89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1.1.1项目名称：见投标人须知前附表。</w:t>
      </w:r>
    </w:p>
    <w:p w14:paraId="55283CC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项目编号：见投标人须知前附表。</w:t>
      </w:r>
    </w:p>
    <w:p w14:paraId="07B1A8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采购人：见投标人须知前附表。</w:t>
      </w:r>
    </w:p>
    <w:p w14:paraId="796C1C0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采购代理机构：见投标人须知前附表。</w:t>
      </w:r>
    </w:p>
    <w:p w14:paraId="2B34551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项目地点：见投标人须知前附表。</w:t>
      </w:r>
    </w:p>
    <w:p w14:paraId="124713A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资金来源：见投标人须知前附表。</w:t>
      </w:r>
    </w:p>
    <w:p w14:paraId="0A3E86C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采购预算金额：见投标人须知前附表。</w:t>
      </w:r>
    </w:p>
    <w:p w14:paraId="51C0CEB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最高限价：见投标人须知前附表。</w:t>
      </w:r>
    </w:p>
    <w:p w14:paraId="424699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是否单一产品：见投标人须知前附表。</w:t>
      </w:r>
    </w:p>
    <w:p w14:paraId="020B0F7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合同履约期限：见投标人须知前附表。</w:t>
      </w:r>
    </w:p>
    <w:p w14:paraId="55210F6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供货地点：见投标人须知前附表。</w:t>
      </w:r>
    </w:p>
    <w:p w14:paraId="3B1B92E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质保期：见投标人须知前附表。</w:t>
      </w:r>
    </w:p>
    <w:p w14:paraId="2FE60FB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1.2采购范围：见投标人须知前附表。</w:t>
      </w:r>
    </w:p>
    <w:p w14:paraId="488528D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1.3采购方式和资格审查方式</w:t>
      </w:r>
    </w:p>
    <w:p w14:paraId="11D6A5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1.3.1采购方式：见投标人须知前附表。</w:t>
      </w:r>
    </w:p>
    <w:p w14:paraId="4F0B101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1.3.2资格审查方式：见投标人须知前附表。</w:t>
      </w:r>
    </w:p>
    <w:p w14:paraId="0E231D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 评审办法及定标方法</w:t>
      </w:r>
    </w:p>
    <w:p w14:paraId="510E259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1.4.1评审办法：见投标人须知前附表。</w:t>
      </w:r>
    </w:p>
    <w:p w14:paraId="71D9001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1.4.2定标方法：见投标人须知前附表。</w:t>
      </w:r>
    </w:p>
    <w:p w14:paraId="439416F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1.5投标人的资格要求：见投标人须知前附表。</w:t>
      </w:r>
    </w:p>
    <w:p w14:paraId="4986AB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1.6投标人不得存在的情形：见投标人须知前附表。</w:t>
      </w:r>
    </w:p>
    <w:p w14:paraId="6D297B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1.7费用承担</w:t>
      </w:r>
    </w:p>
    <w:p w14:paraId="76653F4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1.7.1招标文件费：见投标人须知前附表。</w:t>
      </w:r>
    </w:p>
    <w:p w14:paraId="153D2EA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1.7.2投标人应承担其编制投标文件与递交投标文件所涉及的一切费用，无论投标结果如何，采购人及采购代理机构对上述费用不作任何补偿。采购代理咨询费由中标人支付。</w:t>
      </w:r>
    </w:p>
    <w:p w14:paraId="5058D69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1.8投标保证金：见投标人须知前附表。</w:t>
      </w:r>
    </w:p>
    <w:p w14:paraId="6371FE2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1.9现场踏勘</w:t>
      </w:r>
    </w:p>
    <w:p w14:paraId="48D24AE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1.9.1投标人须知前附表如规定组织踏勘现场的，采购人或采购代理机构按投标人须知前附表规定的时间、地点组织投标人踏勘项目现场。</w:t>
      </w:r>
    </w:p>
    <w:p w14:paraId="2850ADD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1.9.2投标人踏勘现场发生的费用自理。</w:t>
      </w:r>
    </w:p>
    <w:p w14:paraId="7BB3C1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1.9.3除采购人或采购代理机构的原因外，投标人自行负责在踏勘现场中所发生的人员伤亡和财产损失。</w:t>
      </w:r>
    </w:p>
    <w:p w14:paraId="4FA3F97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1.9.4采购人或采购代理机构在踏勘现场中介绍的项目有关情况，供投标人在编制投标文件时参考，采购人或采购代理机构不对投标人据此作出的判断和决策负责。</w:t>
      </w:r>
    </w:p>
    <w:p w14:paraId="163628E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1.10招标答疑</w:t>
      </w:r>
    </w:p>
    <w:p w14:paraId="018B2EC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1.10.1投标人若有询问或质疑，应按投标人须知前附表规定的时间、方式向采购人或采购代理机构提出，要求采购人对招标文件予以澄清。</w:t>
      </w:r>
    </w:p>
    <w:p w14:paraId="7418DBB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1.11投标文件：见投标人须知前附表。</w:t>
      </w:r>
    </w:p>
    <w:p w14:paraId="216C909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1.12投标文件递交：见投标人须知前附表。</w:t>
      </w:r>
    </w:p>
    <w:p w14:paraId="033AFF3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1.13开标：见投标人须知前附表。</w:t>
      </w:r>
    </w:p>
    <w:p w14:paraId="250EAF9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1.14投标有效期：见投标人须知前附表。</w:t>
      </w:r>
    </w:p>
    <w:p w14:paraId="5B81D3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1.15公告发布媒体：见投标人须知前附表。</w:t>
      </w:r>
    </w:p>
    <w:p w14:paraId="49821F0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1.16履约保证金：见投标人须知前附表。</w:t>
      </w:r>
    </w:p>
    <w:p w14:paraId="791B5B1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1.17中小企业政策说明：见投标人须知前附表。</w:t>
      </w:r>
    </w:p>
    <w:p w14:paraId="3AA9A7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1.18合同分包：见投标人须知前附表。</w:t>
      </w:r>
    </w:p>
    <w:p w14:paraId="4666763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1.19进口产品：见投标人须知前附表。</w:t>
      </w:r>
    </w:p>
    <w:p w14:paraId="2136116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1.20本国产品政策说明</w:t>
      </w:r>
      <w:r>
        <w:rPr>
          <w:rFonts w:hint="eastAsia" w:ascii="仿宋" w:hAnsi="仿宋" w:eastAsia="仿宋" w:cs="仿宋"/>
          <w:color w:val="auto"/>
          <w:kern w:val="0"/>
          <w:sz w:val="24"/>
          <w:szCs w:val="24"/>
          <w:highlight w:val="none"/>
        </w:rPr>
        <w:t>：见投标人须知前附表。</w:t>
      </w:r>
    </w:p>
    <w:p w14:paraId="3DB204C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样品：见投标人须知前附表。</w:t>
      </w:r>
    </w:p>
    <w:p w14:paraId="439B384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保密</w:t>
      </w:r>
    </w:p>
    <w:p w14:paraId="5776D68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参与招标投标活动的各方应当对招标文件和投标文件中的商业和技术等秘密保密，否则应当承担相应的法律责任。</w:t>
      </w:r>
    </w:p>
    <w:p w14:paraId="3AEAFA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语言文字</w:t>
      </w:r>
    </w:p>
    <w:p w14:paraId="7B833BD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除专用术语外，与招标投标有关的语言均应当使用中文。必要时专用术语应附有中文注释。</w:t>
      </w:r>
    </w:p>
    <w:p w14:paraId="1A01609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计量单位</w:t>
      </w:r>
    </w:p>
    <w:p w14:paraId="4A4BBB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所有计量均采用中华人民共和国法定计量单位。</w:t>
      </w:r>
    </w:p>
    <w:p w14:paraId="76341FA2">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2" w:name="_Toc535592196"/>
      <w:bookmarkStart w:id="13" w:name="_Toc9197"/>
      <w:bookmarkStart w:id="14" w:name="_Toc21470"/>
      <w:bookmarkStart w:id="15" w:name="_Toc28133"/>
      <w:r>
        <w:rPr>
          <w:rFonts w:hint="eastAsia" w:ascii="仿宋" w:hAnsi="仿宋" w:eastAsia="仿宋" w:cs="仿宋"/>
          <w:b/>
          <w:color w:val="auto"/>
          <w:sz w:val="24"/>
          <w:szCs w:val="24"/>
          <w:highlight w:val="none"/>
        </w:rPr>
        <w:t>二、招标文件</w:t>
      </w:r>
      <w:bookmarkEnd w:id="12"/>
      <w:bookmarkEnd w:id="13"/>
      <w:bookmarkEnd w:id="14"/>
      <w:bookmarkEnd w:id="15"/>
    </w:p>
    <w:p w14:paraId="752F9DC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 招标文件的组成</w:t>
      </w:r>
    </w:p>
    <w:p w14:paraId="662AA09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（1）招标公告</w:t>
      </w:r>
    </w:p>
    <w:p w14:paraId="5AEC0D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（2）投标人须知前附表</w:t>
      </w:r>
    </w:p>
    <w:p w14:paraId="1880740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（3）投标人须知</w:t>
      </w:r>
    </w:p>
    <w:p w14:paraId="5D4E7CC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（4）评标办法</w:t>
      </w:r>
    </w:p>
    <w:p w14:paraId="4BA775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（5）合同文本；</w:t>
      </w:r>
    </w:p>
    <w:p w14:paraId="67B7B5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（6）技术标准和要求；</w:t>
      </w:r>
    </w:p>
    <w:p w14:paraId="6817206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（7）投标文件格式；</w:t>
      </w:r>
    </w:p>
    <w:p w14:paraId="35A3DFE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（8）补充条款。</w:t>
      </w:r>
    </w:p>
    <w:p w14:paraId="00CDA15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（9）根据本章第2.4款对招标文件所作的澄清、修改，构成招标文件的组成部分。</w:t>
      </w:r>
    </w:p>
    <w:p w14:paraId="1BB62E3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2.2招标文件的获取</w:t>
      </w:r>
    </w:p>
    <w:p w14:paraId="332F02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凡有意参加并符合投标人须知前附表“投标人的资格要求”的投标人，均可获取招标文件。</w:t>
      </w:r>
    </w:p>
    <w:p w14:paraId="52E03D1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2.3招标文件的澄清</w:t>
      </w:r>
    </w:p>
    <w:p w14:paraId="3CEC21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2.3.1 投标人应当仔细阅读和检查招标文件的全部内容。如发现缺失或附件不全，应当及时向采购人提出，以便补齐。如有疑问，应当在投标人须知前附表规定的时间、方式向采购人提出，要求采购人对招标文件予以澄清。</w:t>
      </w:r>
    </w:p>
    <w:p w14:paraId="4D925DB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2.3.2 招标文件的澄清将按照投标人须知前附表规定的时间、方式发布，但不指明澄清问题的来源。</w:t>
      </w:r>
    </w:p>
    <w:p w14:paraId="07CE65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2.4招标文件的修改</w:t>
      </w:r>
    </w:p>
    <w:p w14:paraId="63AD041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 招标文件的修改将按照投标人须知前附表规定的时间、方式发布，但不指明澄清问题的来源。</w:t>
      </w:r>
    </w:p>
    <w:p w14:paraId="3439B87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在投标人须知前附表规定的截止时间前，无论出于何种原因，采购人或采购代理机构可主动地或在解答潜在投标人提出的澄清问题时对招标文件进行修改。</w:t>
      </w:r>
    </w:p>
    <w:p w14:paraId="50A2FB1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2.4.3 招标文件的修改部分是招标文件的组成部分对投标人具有约束力。</w:t>
      </w:r>
    </w:p>
    <w:p w14:paraId="254FAA4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2.4.4 当采购人发放的招标文件及招标文件的答疑文件、修改文件、补充文件前后不一致，发生矛盾情况时，以最后发出的为准。</w:t>
      </w:r>
    </w:p>
    <w:p w14:paraId="4A5F516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2.4.5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185D4E9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2.5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3B8BB38D">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6" w:name="_BookMark_6"/>
      <w:bookmarkEnd w:id="16"/>
      <w:bookmarkStart w:id="17" w:name="_Toc5120"/>
      <w:bookmarkStart w:id="18" w:name="_Toc5138"/>
      <w:bookmarkStart w:id="19" w:name="_Toc13021"/>
      <w:bookmarkStart w:id="20" w:name="_Toc535592197"/>
      <w:r>
        <w:rPr>
          <w:rFonts w:hint="eastAsia" w:ascii="仿宋" w:hAnsi="仿宋" w:eastAsia="仿宋" w:cs="仿宋"/>
          <w:b/>
          <w:color w:val="auto"/>
          <w:sz w:val="24"/>
          <w:szCs w:val="24"/>
          <w:highlight w:val="none"/>
        </w:rPr>
        <w:t>三、投标文件</w:t>
      </w:r>
      <w:bookmarkEnd w:id="17"/>
      <w:bookmarkEnd w:id="18"/>
      <w:bookmarkEnd w:id="19"/>
      <w:bookmarkEnd w:id="20"/>
    </w:p>
    <w:p w14:paraId="6263CA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投标文件的组成：</w:t>
      </w:r>
    </w:p>
    <w:p w14:paraId="41086DCC">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（1）、开标一览表</w:t>
      </w:r>
    </w:p>
    <w:p w14:paraId="01D6BF9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（2）、投标函</w:t>
      </w:r>
    </w:p>
    <w:p w14:paraId="4E62CBF0">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（3）、投标价格明细表</w:t>
      </w:r>
    </w:p>
    <w:p w14:paraId="66BD6A3D">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（4）、商务条款偏离表</w:t>
      </w:r>
    </w:p>
    <w:p w14:paraId="50494CB3">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（5）、技术条款偏离表</w:t>
      </w:r>
    </w:p>
    <w:p w14:paraId="484B561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（6）、法定代表人身份证明书</w:t>
      </w:r>
    </w:p>
    <w:p w14:paraId="070ADE09">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（7）、法定代表人授权委托书</w:t>
      </w:r>
    </w:p>
    <w:p w14:paraId="6031D6FA">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（8）、投标人资格条件证明材料</w:t>
      </w:r>
    </w:p>
    <w:p w14:paraId="661354C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（9）、投标人近年类似项目情况表</w:t>
      </w:r>
    </w:p>
    <w:p w14:paraId="37B53C4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（10）、售后服务承诺书</w:t>
      </w:r>
    </w:p>
    <w:p w14:paraId="312152DE">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（11）、技术方案</w:t>
      </w:r>
    </w:p>
    <w:p w14:paraId="38C42B43">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（12）、保证金缴纳证明材料</w:t>
      </w:r>
    </w:p>
    <w:p w14:paraId="3A765E6D">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）、其它需要提交的资料</w:t>
      </w:r>
    </w:p>
    <w:p w14:paraId="25DF9D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投标价格</w:t>
      </w:r>
    </w:p>
    <w:p w14:paraId="1C419A77">
      <w:pPr>
        <w:widowControl/>
        <w:shd w:val="clear" w:color="auto" w:fill="FFFFFF"/>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3.2.1</w:t>
      </w:r>
      <w:r>
        <w:rPr>
          <w:rFonts w:hint="eastAsia" w:ascii="仿宋" w:hAnsi="仿宋" w:eastAsia="仿宋" w:cs="仿宋"/>
          <w:color w:val="auto"/>
          <w:sz w:val="24"/>
          <w:szCs w:val="24"/>
          <w:highlight w:val="none"/>
        </w:rPr>
        <w:t>投标价格应包括投标人履行本项目合同（如果成交）所必须的所有成本费用和成交投标人应承担的一切费用，包括但不仅限于外购件、外协件、配套件、备品备件、全套设备全部内容、专用工具、原材料及生产制造、检验、油漆、包装、专利费、保险、利税（各种税费）、管理、运输、装卸、运杂费、设备的安装调试（含辅材、开箱费）、配合费、调试、检验验收、人员培训费、技术资料（含中文与外文的翻译费）、售后服务、技术指导、维保、招标文件所要求的其它服务事项及与合同有关的交钥匙工程等全部费用。未列和没有填写的项目费用，采购人将视为已包括在投标价格中。</w:t>
      </w:r>
    </w:p>
    <w:p w14:paraId="5240C0F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投标人的投标价格不得超出本项目最高限价。</w:t>
      </w:r>
    </w:p>
    <w:p w14:paraId="11FA7F3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 投标有效期</w:t>
      </w:r>
    </w:p>
    <w:p w14:paraId="3C38AD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3.3.1 在投标人须知前附表规定的投标有效期内，投标人不得要求撤销或修改其投标文件。</w:t>
      </w:r>
    </w:p>
    <w:p w14:paraId="7DD0B2F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14:paraId="3965AAD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 投标保证金</w:t>
      </w:r>
    </w:p>
    <w:p w14:paraId="6577368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7FC925A4">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3.4.2</w:t>
      </w:r>
      <w:r>
        <w:rPr>
          <w:rFonts w:hint="eastAsia" w:ascii="仿宋" w:hAnsi="仿宋" w:eastAsia="仿宋" w:cs="仿宋"/>
          <w:color w:val="auto"/>
          <w:sz w:val="24"/>
          <w:szCs w:val="24"/>
          <w:highlight w:val="none"/>
        </w:rPr>
        <w:t>投标保证金以支票、汇票、本票或者金融机构、担保机构出具的保函等非现金形式提交至采购代理机构。</w:t>
      </w:r>
    </w:p>
    <w:p w14:paraId="5AF92FC2">
      <w:pPr>
        <w:shd w:val="clear" w:color="auto" w:fill="FFFFFF"/>
        <w:snapToGrid w:val="0"/>
        <w:spacing w:line="384"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3.4.3投标保证金是为了保护采购人免遭因投标人的行为而蒙受损失。采购人在因投标人的行为受到损害时可根据相关法律规定没收投标人的投标保证金。</w:t>
      </w:r>
    </w:p>
    <w:p w14:paraId="00FEA1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 采购人或者采购代理机构应当自中标通知书发出之日起5个工作日内退还未中标人的投标保证金，自采购合同签订之日起5个工作日内退还中标人的投标保证金。</w:t>
      </w:r>
    </w:p>
    <w:p w14:paraId="00768C2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3.4.5投标保证金有效期与投标有效期一致。</w:t>
      </w:r>
    </w:p>
    <w:p w14:paraId="126F679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3.4.6有下列情形之一的，投标保证金不予退还：</w:t>
      </w:r>
    </w:p>
    <w:p w14:paraId="402D9B6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（1）开标后在投标有效期内，投标人撤</w:t>
      </w:r>
      <w:r>
        <w:rPr>
          <w:rFonts w:hint="eastAsia" w:ascii="仿宋" w:hAnsi="仿宋" w:eastAsia="仿宋" w:cs="仿宋"/>
          <w:color w:val="auto"/>
          <w:kern w:val="0"/>
          <w:sz w:val="24"/>
          <w:szCs w:val="24"/>
          <w:highlight w:val="none"/>
          <w:lang w:val="en-US" w:eastAsia="zh-CN"/>
        </w:rPr>
        <w:t>销</w:t>
      </w:r>
      <w:r>
        <w:rPr>
          <w:rFonts w:hint="eastAsia" w:ascii="仿宋" w:hAnsi="仿宋" w:eastAsia="仿宋" w:cs="仿宋"/>
          <w:color w:val="auto"/>
          <w:kern w:val="0"/>
          <w:sz w:val="24"/>
          <w:szCs w:val="24"/>
          <w:highlight w:val="none"/>
        </w:rPr>
        <w:t>其投标</w:t>
      </w:r>
      <w:r>
        <w:rPr>
          <w:rFonts w:hint="eastAsia" w:ascii="仿宋" w:hAnsi="仿宋" w:eastAsia="仿宋" w:cs="仿宋"/>
          <w:color w:val="auto"/>
          <w:kern w:val="0"/>
          <w:sz w:val="24"/>
          <w:szCs w:val="24"/>
          <w:highlight w:val="none"/>
          <w:lang w:val="en-US" w:eastAsia="zh-CN"/>
        </w:rPr>
        <w:t>的</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 xml:space="preserve"> </w:t>
      </w:r>
    </w:p>
    <w:p w14:paraId="71FF965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）中标后无正当理由不与采购人签订合同的；</w:t>
      </w:r>
    </w:p>
    <w:p w14:paraId="13DC604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）中标人与采购人订立背离合同实质性内容的其他协议；</w:t>
      </w:r>
    </w:p>
    <w:p w14:paraId="76484E6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）将中标项目转让给他人，或者在投标文件中未说明，且未经采购</w:t>
      </w:r>
      <w:r>
        <w:rPr>
          <w:rFonts w:hint="eastAsia" w:ascii="仿宋" w:hAnsi="仿宋" w:eastAsia="仿宋" w:cs="仿宋"/>
          <w:color w:val="auto"/>
          <w:kern w:val="0"/>
          <w:sz w:val="24"/>
          <w:szCs w:val="24"/>
          <w:highlight w:val="none"/>
          <w:lang w:val="en-US" w:eastAsia="zh-CN"/>
        </w:rPr>
        <w:t>人</w:t>
      </w:r>
      <w:r>
        <w:rPr>
          <w:rFonts w:hint="eastAsia" w:ascii="仿宋" w:hAnsi="仿宋" w:eastAsia="仿宋" w:cs="仿宋"/>
          <w:color w:val="auto"/>
          <w:kern w:val="0"/>
          <w:sz w:val="24"/>
          <w:szCs w:val="24"/>
          <w:highlight w:val="none"/>
        </w:rPr>
        <w:t>同意，将中标项目分包给他人的；</w:t>
      </w:r>
    </w:p>
    <w:p w14:paraId="35B27E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）存在串通投标行为的；</w:t>
      </w:r>
    </w:p>
    <w:p w14:paraId="5306B3E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）存在弄虚作假或提供虚假材料谋取中标的；</w:t>
      </w:r>
    </w:p>
    <w:p w14:paraId="794957C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）投标人其他未按招标文件规定和合同约定履行义务的行为。</w:t>
      </w:r>
    </w:p>
    <w:p w14:paraId="5DAECA8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法律法规规定的其它情形</w:t>
      </w:r>
    </w:p>
    <w:p w14:paraId="2A3E218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投标文件的编制</w:t>
      </w:r>
    </w:p>
    <w:p w14:paraId="442BB5D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3.5.1投标文件应按第五章“投标文件格式”进行编写，如有必要，可以增加附页，作为投标文件的组成部分。</w:t>
      </w:r>
    </w:p>
    <w:p w14:paraId="56337F1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3.5.2投标文件应当对招标文件有关采购范围、技术与服务要求等实质性内容做出响应。</w:t>
      </w:r>
    </w:p>
    <w:p w14:paraId="07D1C55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bookmarkStart w:id="21" w:name="_BookMark_7"/>
      <w:bookmarkEnd w:id="21"/>
      <w:bookmarkStart w:id="22" w:name="_Toc535592198"/>
      <w:r>
        <w:rPr>
          <w:rFonts w:hint="eastAsia" w:ascii="仿宋" w:hAnsi="仿宋" w:eastAsia="仿宋" w:cs="仿宋"/>
          <w:color w:val="auto"/>
          <w:kern w:val="0"/>
          <w:sz w:val="24"/>
          <w:szCs w:val="24"/>
          <w:highlight w:val="none"/>
          <w:shd w:val="clear" w:color="auto" w:fill="FFFFFF" w:themeFill="background1"/>
        </w:rPr>
        <w:t>3.5.3电子投标文件的制作须使用相应的制作工具软件。</w:t>
      </w:r>
    </w:p>
    <w:p w14:paraId="59017482">
      <w:pPr>
        <w:widowControl/>
        <w:shd w:val="clear" w:color="auto" w:fill="FFFFFF"/>
        <w:snapToGrid w:val="0"/>
        <w:spacing w:line="360" w:lineRule="auto"/>
        <w:ind w:firstLine="480" w:firstLineChars="200"/>
        <w:rPr>
          <w:rFonts w:hint="eastAsia" w:ascii="仿宋" w:hAnsi="仿宋" w:eastAsia="仿宋" w:cs="仿宋"/>
          <w:color w:val="auto"/>
          <w:sz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w:t>
      </w:r>
      <w:r>
        <w:rPr>
          <w:rFonts w:hint="eastAsia" w:ascii="仿宋" w:hAnsi="仿宋" w:eastAsia="仿宋" w:cs="仿宋"/>
          <w:color w:val="auto"/>
          <w:kern w:val="0"/>
          <w:sz w:val="24"/>
          <w:szCs w:val="24"/>
          <w:highlight w:val="none"/>
          <w:shd w:val="clear" w:color="auto" w:fill="FFFFFF" w:themeFill="background1"/>
          <w:lang w:val="en-US" w:eastAsia="zh-CN"/>
        </w:rPr>
        <w:t>4</w:t>
      </w:r>
      <w:r>
        <w:rPr>
          <w:rFonts w:hint="eastAsia" w:ascii="仿宋" w:hAnsi="仿宋" w:eastAsia="仿宋" w:cs="仿宋"/>
          <w:color w:val="auto"/>
          <w:kern w:val="0"/>
          <w:sz w:val="24"/>
          <w:szCs w:val="24"/>
          <w:highlight w:val="none"/>
          <w:shd w:val="clear" w:color="auto" w:fill="FFFFFF" w:themeFill="background1"/>
        </w:rPr>
        <w:t>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仿宋" w:hAnsi="仿宋" w:eastAsia="仿宋" w:cs="仿宋"/>
          <w:color w:val="auto"/>
          <w:sz w:val="24"/>
          <w:highlight w:val="none"/>
          <w:shd w:val="clear" w:color="auto" w:fill="FFFFFF" w:themeFill="background1"/>
        </w:rPr>
        <w:t>。</w:t>
      </w:r>
    </w:p>
    <w:p w14:paraId="10E9A1A8">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3" w:name="_Toc834"/>
      <w:bookmarkStart w:id="24" w:name="_Toc11162"/>
      <w:bookmarkStart w:id="25" w:name="_Toc18120"/>
      <w:r>
        <w:rPr>
          <w:rFonts w:hint="eastAsia" w:ascii="仿宋" w:hAnsi="仿宋" w:eastAsia="仿宋" w:cs="仿宋"/>
          <w:b/>
          <w:color w:val="auto"/>
          <w:sz w:val="24"/>
          <w:szCs w:val="24"/>
          <w:highlight w:val="none"/>
        </w:rPr>
        <w:t>四、投标</w:t>
      </w:r>
      <w:bookmarkEnd w:id="22"/>
      <w:bookmarkEnd w:id="23"/>
      <w:bookmarkEnd w:id="24"/>
      <w:bookmarkEnd w:id="25"/>
    </w:p>
    <w:p w14:paraId="6432D35F">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bookmarkStart w:id="26" w:name="_BookMark_8"/>
      <w:bookmarkEnd w:id="26"/>
      <w:bookmarkStart w:id="27" w:name="_Toc535592199"/>
      <w:r>
        <w:rPr>
          <w:rFonts w:hint="eastAsia" w:ascii="仿宋" w:hAnsi="仿宋" w:eastAsia="仿宋" w:cs="仿宋"/>
          <w:bCs/>
          <w:color w:val="auto"/>
          <w:sz w:val="24"/>
          <w:szCs w:val="24"/>
          <w:highlight w:val="none"/>
        </w:rPr>
        <w:t xml:space="preserve">4.1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6CA1E4E2">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247BAD49">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4.3投标文件的递交</w:t>
      </w:r>
    </w:p>
    <w:p w14:paraId="65A1D8FB">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4.3.1加密的电子投标文件应在投标文件递交截止时间前通过政采云平台上传完成。逾期上传或者未上传指定地点的投标文件，采购人不予受理。</w:t>
      </w:r>
    </w:p>
    <w:p w14:paraId="519E969A">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4.3.2采购人事先约定延长投标文件递交截止时间的，采购人与投标人以前的投标截止期方面的全部权利、责任和义务，将适用延长至新的投标截止期。</w:t>
      </w:r>
    </w:p>
    <w:p w14:paraId="47D4BD9D">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4.3.3投标人或其投标文件存在下列情形之一的，采购人对其投标文件不予受理：</w:t>
      </w:r>
    </w:p>
    <w:p w14:paraId="7A783D5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（1）逾期上传的投标文件；</w:t>
      </w:r>
    </w:p>
    <w:p w14:paraId="43A5C90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（2）未上传指定地点的投标文件；</w:t>
      </w:r>
    </w:p>
    <w:p w14:paraId="6FCFBD4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（3）未按要求加密的投标文件；</w:t>
      </w:r>
    </w:p>
    <w:p w14:paraId="2B55EA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（4）未在规定时间内解密的投标文件。</w:t>
      </w:r>
    </w:p>
    <w:p w14:paraId="267665A6">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4.4投标文件的修改与撤回</w:t>
      </w:r>
    </w:p>
    <w:p w14:paraId="0522AA12">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29754B13">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4.5投标文件格式</w:t>
      </w:r>
    </w:p>
    <w:p w14:paraId="209A2746">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4.5.1投标文件格式见第五章。</w:t>
      </w:r>
    </w:p>
    <w:p w14:paraId="4C21393B">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4.5.2投标人应使用本招标文件后面提供的投标文件格式填写，如不够用时，投标人可按同样格式自行编制和填补，如果本招标文件未提供格式的，投标人可自行编制。</w:t>
      </w:r>
    </w:p>
    <w:p w14:paraId="06129465">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8" w:name="_Toc8957"/>
      <w:bookmarkStart w:id="29" w:name="_Toc10601"/>
      <w:bookmarkStart w:id="30" w:name="_Toc29411"/>
      <w:r>
        <w:rPr>
          <w:rFonts w:hint="eastAsia" w:ascii="仿宋" w:hAnsi="仿宋" w:eastAsia="仿宋" w:cs="仿宋"/>
          <w:b/>
          <w:color w:val="auto"/>
          <w:sz w:val="24"/>
          <w:szCs w:val="24"/>
          <w:highlight w:val="none"/>
        </w:rPr>
        <w:t>五、开标</w:t>
      </w:r>
      <w:bookmarkEnd w:id="27"/>
      <w:bookmarkEnd w:id="28"/>
      <w:bookmarkEnd w:id="29"/>
      <w:bookmarkEnd w:id="30"/>
    </w:p>
    <w:p w14:paraId="15125D9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 开标时间和地点</w:t>
      </w:r>
    </w:p>
    <w:p w14:paraId="1458E3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采购人或采购代理机构将在投标人须知前附表规定的时间、地点公开开标，所有潜在投标人均可</w:t>
      </w:r>
      <w:r>
        <w:rPr>
          <w:rFonts w:hint="eastAsia" w:ascii="仿宋" w:hAnsi="仿宋" w:eastAsia="仿宋" w:cs="仿宋"/>
          <w:color w:val="auto"/>
          <w:sz w:val="24"/>
          <w:szCs w:val="24"/>
          <w:highlight w:val="none"/>
        </w:rPr>
        <w:t>登录政采云平台https://www.zcygov.cn/，进入“项目采购-开标评标-右边选择对应项目点击“进入项目”进入开标大厅。</w:t>
      </w:r>
    </w:p>
    <w:p w14:paraId="287E020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 开标程序</w:t>
      </w:r>
    </w:p>
    <w:p w14:paraId="57D15F0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按下列程序进行开标：</w:t>
      </w:r>
    </w:p>
    <w:p w14:paraId="134B540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（1）投标人解密投标文件</w:t>
      </w:r>
    </w:p>
    <w:p w14:paraId="27CD367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（2）唱标</w:t>
      </w:r>
    </w:p>
    <w:p w14:paraId="417E225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（3）投标人确认</w:t>
      </w:r>
    </w:p>
    <w:p w14:paraId="0C3A4C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（4）开标结束</w:t>
      </w:r>
    </w:p>
    <w:p w14:paraId="0F1626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5.3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442F8846">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31" w:name="_BookMark_9"/>
      <w:bookmarkEnd w:id="31"/>
      <w:bookmarkStart w:id="32" w:name="_Toc1874"/>
      <w:bookmarkStart w:id="33" w:name="_Toc535592200"/>
      <w:bookmarkStart w:id="34" w:name="_Toc31511"/>
      <w:bookmarkStart w:id="35" w:name="_Toc14199"/>
      <w:r>
        <w:rPr>
          <w:rFonts w:hint="eastAsia" w:ascii="仿宋" w:hAnsi="仿宋" w:eastAsia="仿宋" w:cs="仿宋"/>
          <w:b/>
          <w:color w:val="auto"/>
          <w:sz w:val="24"/>
          <w:szCs w:val="24"/>
          <w:highlight w:val="none"/>
        </w:rPr>
        <w:t>六、评标</w:t>
      </w:r>
      <w:bookmarkEnd w:id="32"/>
      <w:bookmarkEnd w:id="33"/>
      <w:bookmarkEnd w:id="34"/>
      <w:bookmarkEnd w:id="35"/>
    </w:p>
    <w:p w14:paraId="3430CA5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 评标委员会</w:t>
      </w:r>
    </w:p>
    <w:p w14:paraId="22F6E78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6.1.1 评标由采购人按照《政府采购评标专家管理办法》财库〔2016〕198号，依法组建的评标委员会负责。评标委员会由采购人熟悉相关业务的代表，以及有关技术、经济等方面的专家组成。</w:t>
      </w:r>
    </w:p>
    <w:p w14:paraId="442CE52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6.1.2 评标委员会成员有下列情形之一的，应当回避：</w:t>
      </w:r>
    </w:p>
    <w:p w14:paraId="116A062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（1）参加采购活动前三年内,与投标人存在劳动关系,或者担任过投标人的董事、监事,或者是投标人的控股股东或实际控制人。</w:t>
      </w:r>
    </w:p>
    <w:p w14:paraId="66226C8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（2）与投标人的法定代表人或者负责人有夫妻、直系血亲、三代以内旁系血亲或者近姻亲关系。</w:t>
      </w:r>
    </w:p>
    <w:p w14:paraId="1EB4837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（3）与投标人有其他可能影响政府采购活动公平、公正进行的关系。</w:t>
      </w:r>
    </w:p>
    <w:p w14:paraId="579507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 评标原则</w:t>
      </w:r>
    </w:p>
    <w:p w14:paraId="1627750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评标活动遵循公平、公正、科学和择优的原则。</w:t>
      </w:r>
    </w:p>
    <w:p w14:paraId="36670C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6.3 评标</w:t>
      </w:r>
    </w:p>
    <w:p w14:paraId="50E8423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评标委员会按照招标文件中规定的方法、评标因素、标准和程序对投标文件进行评标。</w:t>
      </w:r>
    </w:p>
    <w:p w14:paraId="0AC0037D">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36" w:name="_BookMark_10"/>
      <w:bookmarkEnd w:id="36"/>
      <w:bookmarkStart w:id="37" w:name="_Toc10869"/>
      <w:bookmarkStart w:id="38" w:name="_Toc535592201"/>
      <w:bookmarkStart w:id="39" w:name="_Toc3956"/>
      <w:bookmarkStart w:id="40" w:name="_Toc23340"/>
      <w:r>
        <w:rPr>
          <w:rFonts w:hint="eastAsia" w:ascii="仿宋" w:hAnsi="仿宋" w:eastAsia="仿宋" w:cs="仿宋"/>
          <w:b/>
          <w:color w:val="auto"/>
          <w:sz w:val="24"/>
          <w:szCs w:val="24"/>
          <w:highlight w:val="none"/>
        </w:rPr>
        <w:t>七、定标及合同授予</w:t>
      </w:r>
      <w:bookmarkEnd w:id="37"/>
      <w:bookmarkEnd w:id="38"/>
      <w:bookmarkEnd w:id="39"/>
      <w:bookmarkEnd w:id="40"/>
    </w:p>
    <w:p w14:paraId="69420EA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 定标方法</w:t>
      </w:r>
    </w:p>
    <w:p w14:paraId="1257700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7.1.1 评标活动遵循公平、公正、科学和择优的原则。评标委员会按照招标文件中规定的方法、评标因素、标准和程序对投标文件进行评标，并按投标人须知前附表的规定向采购人推荐中标候选人。采购人依据评标委员会推荐的中标候选人确定中标人。</w:t>
      </w:r>
    </w:p>
    <w:p w14:paraId="49760A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7.1.2采购人从中标候选人中确定出中标人的原则：采购人应当确定排名第一的中标候选人为中标人。排名第一的中标候选人放弃中标、因不可抗力不能履行合同、拒绝与采购人签订合同，不按照招标文件要求提交履约保证金、或者被查实存在影响中标结果的违法行为等情形，不符合中标条件的，采购人可以按照评标委员会推荐的中标候选人名单排名依次确定其他中标候选人为中标人。</w:t>
      </w:r>
    </w:p>
    <w:p w14:paraId="0210AFB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7.2中标结果公告</w:t>
      </w:r>
    </w:p>
    <w:p w14:paraId="2F37BF8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在公告中标结果的同时，采购人或者采购代理机构向中标人发出中标通知书；对未通过资格审查的投标人，应当告知其未通过的原因。</w:t>
      </w:r>
    </w:p>
    <w:p w14:paraId="64D6043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7.3履约保证金</w:t>
      </w:r>
    </w:p>
    <w:p w14:paraId="3CADD1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7.3.1 在签订合同前，中标人应按投标人须知前附表规定的金额、形式向采购人提交履约保证金。联合体中标的，其履约保证金由牵头人提交，并应符合投标人须知前附表的规定。</w:t>
      </w:r>
    </w:p>
    <w:p w14:paraId="3A2D8E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7.3.2 中标人未按要求提交履约保证金的，视为放弃中标，其投标保证金不予退还；给采购人造成的损失超过投标保证金数额的，中标人还应当对超过部分予以赔偿。</w:t>
      </w:r>
    </w:p>
    <w:p w14:paraId="23919E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7.4签订合同</w:t>
      </w:r>
    </w:p>
    <w:p w14:paraId="182487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7.4.1采购人应当自中标通知书发出之日起30日内，按照招标文件和中标人投标文件的规定，与中标人签订书面合同。</w:t>
      </w:r>
    </w:p>
    <w:p w14:paraId="517305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7.4.2发出中标通知书后，采购人无正当理由拒签合同的，给中标人造成损失的，还应当赔偿中标人损失。</w:t>
      </w:r>
    </w:p>
    <w:p w14:paraId="0C6C4F3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7.4.3发出中标通知书后，中标人无正当理由拒签合同的，采购人将取消其中标资格，其投标保证金不予退还；给采购人造成的损失超过投标保证金数额的，中标人还应当对超过部分予以赔偿。</w:t>
      </w:r>
    </w:p>
    <w:p w14:paraId="018EF98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7.4.4</w:t>
      </w:r>
      <w:r>
        <w:rPr>
          <w:rFonts w:hint="eastAsia" w:ascii="仿宋" w:hAnsi="仿宋" w:eastAsia="仿宋" w:cs="仿宋"/>
          <w:color w:val="auto"/>
          <w:kern w:val="0"/>
          <w:sz w:val="24"/>
          <w:szCs w:val="24"/>
          <w:highlight w:val="none"/>
        </w:rPr>
        <w:t xml:space="preserve"> 中标人拒绝与采购人签订合同的，采购人可以按照评标报告推荐的中标候选人名单排序，确定下一候选人为中标人，也可以重新开展政府采购活动。</w:t>
      </w:r>
    </w:p>
    <w:p w14:paraId="77D12229">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41" w:name="_BookMark_11"/>
      <w:bookmarkEnd w:id="41"/>
      <w:bookmarkStart w:id="42" w:name="_Toc535592202"/>
      <w:bookmarkStart w:id="43" w:name="_Toc22590"/>
      <w:bookmarkStart w:id="44" w:name="_Toc24040"/>
      <w:bookmarkStart w:id="45" w:name="_Toc14256"/>
      <w:r>
        <w:rPr>
          <w:rFonts w:hint="eastAsia" w:ascii="仿宋" w:hAnsi="仿宋" w:eastAsia="仿宋" w:cs="仿宋"/>
          <w:b/>
          <w:color w:val="auto"/>
          <w:sz w:val="24"/>
          <w:szCs w:val="24"/>
          <w:highlight w:val="none"/>
        </w:rPr>
        <w:t>八、纪律和监督</w:t>
      </w:r>
      <w:bookmarkEnd w:id="42"/>
      <w:bookmarkEnd w:id="43"/>
      <w:bookmarkEnd w:id="44"/>
      <w:bookmarkEnd w:id="45"/>
    </w:p>
    <w:p w14:paraId="1CAD20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 对采购人的纪律要求</w:t>
      </w:r>
    </w:p>
    <w:p w14:paraId="4FC38FF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采购人不得泄漏招标投标活动中应当保密的情况和资料，不得与投标人串通损害国家利益、社会公共利益或者他人合法权益。</w:t>
      </w:r>
    </w:p>
    <w:p w14:paraId="350B4C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 对投标人的纪律要求</w:t>
      </w:r>
    </w:p>
    <w:p w14:paraId="339D28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0AC7155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 对评标委员会成员的纪律要求</w:t>
      </w:r>
    </w:p>
    <w:p w14:paraId="09D2EE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不得收受他人的财物或者其他好处，不得向他人透露对投标文件的评标和比较、中标候选人的推荐情况以及评标有关的其他情况。在评标活动中，评标委员会成员不得擅离职守，影响评标程序正常进行，不得使用评标办法没有规定的评标因素和标准进行评标。</w:t>
      </w:r>
    </w:p>
    <w:p w14:paraId="79452F8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8.4 对与评标活动有关的工作人员的纪律要求</w:t>
      </w:r>
    </w:p>
    <w:p w14:paraId="6E08D7E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与评标活动有关的工作人员不得收受他人的财物或者其他好处，不得向他人透露对投标文件的评标和比较、中标候选人的推荐情况以及评标有关的其他情况。在评标活动中，与评标活动有关的工作人员不得擅离职守，影响评标程序正常进行。</w:t>
      </w:r>
    </w:p>
    <w:p w14:paraId="4E605CB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8.5 监督</w:t>
      </w:r>
    </w:p>
    <w:p w14:paraId="68840C83">
      <w:pPr>
        <w:widowControl/>
        <w:shd w:val="clear" w:color="auto" w:fill="FFFFFF"/>
        <w:snapToGrid w:val="0"/>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color w:val="auto"/>
          <w:kern w:val="0"/>
          <w:sz w:val="24"/>
          <w:szCs w:val="24"/>
          <w:highlight w:val="none"/>
        </w:rPr>
        <w:t>本项目的招标投标活动及其相关当事人应当接受有管辖权的监督部门依法实施的监督。</w:t>
      </w:r>
      <w:r>
        <w:rPr>
          <w:rFonts w:hint="eastAsia" w:ascii="仿宋" w:hAnsi="仿宋" w:eastAsia="仿宋" w:cs="仿宋"/>
          <w:bCs/>
          <w:color w:val="auto"/>
          <w:kern w:val="0"/>
          <w:sz w:val="24"/>
          <w:szCs w:val="24"/>
          <w:highlight w:val="none"/>
        </w:rPr>
        <w:br w:type="page"/>
      </w:r>
    </w:p>
    <w:p w14:paraId="7CA5C7D9">
      <w:pPr>
        <w:widowControl/>
        <w:shd w:val="clear" w:color="auto" w:fill="FFFFFF"/>
        <w:snapToGrid w:val="0"/>
        <w:spacing w:line="360" w:lineRule="auto"/>
        <w:jc w:val="center"/>
        <w:outlineLvl w:val="0"/>
        <w:rPr>
          <w:rFonts w:hint="eastAsia" w:ascii="仿宋" w:hAnsi="仿宋" w:eastAsia="仿宋" w:cs="仿宋"/>
          <w:b/>
          <w:color w:val="auto"/>
          <w:sz w:val="24"/>
          <w:szCs w:val="24"/>
          <w:highlight w:val="none"/>
        </w:rPr>
      </w:pPr>
      <w:bookmarkStart w:id="46" w:name="_Toc2631"/>
      <w:bookmarkStart w:id="47" w:name="_Toc29444"/>
      <w:r>
        <w:rPr>
          <w:rFonts w:hint="eastAsia" w:ascii="仿宋" w:hAnsi="仿宋" w:eastAsia="仿宋" w:cs="仿宋"/>
          <w:b/>
          <w:color w:val="auto"/>
          <w:sz w:val="24"/>
          <w:szCs w:val="24"/>
          <w:highlight w:val="none"/>
        </w:rPr>
        <w:t>第二章 评标办法</w:t>
      </w:r>
      <w:bookmarkEnd w:id="46"/>
      <w:bookmarkEnd w:id="47"/>
    </w:p>
    <w:p w14:paraId="15080F55">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bookmarkStart w:id="48" w:name="_BookMark_1"/>
      <w:bookmarkEnd w:id="48"/>
      <w:bookmarkStart w:id="49" w:name="_Toc18705"/>
      <w:bookmarkStart w:id="50" w:name="_Toc58342531"/>
      <w:bookmarkStart w:id="51" w:name="_Toc28403"/>
      <w:bookmarkStart w:id="52" w:name="_Toc501719166"/>
      <w:r>
        <w:rPr>
          <w:rFonts w:hint="eastAsia" w:ascii="仿宋" w:hAnsi="仿宋" w:eastAsia="仿宋" w:cs="仿宋"/>
          <w:b/>
          <w:color w:val="auto"/>
          <w:sz w:val="24"/>
          <w:szCs w:val="24"/>
          <w:highlight w:val="none"/>
        </w:rPr>
        <w:t>评审办法前附表</w:t>
      </w:r>
      <w:bookmarkEnd w:id="49"/>
      <w:bookmarkEnd w:id="50"/>
      <w:bookmarkEnd w:id="51"/>
    </w:p>
    <w:tbl>
      <w:tblPr>
        <w:tblStyle w:val="38"/>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2"/>
        <w:gridCol w:w="2783"/>
        <w:gridCol w:w="5744"/>
      </w:tblGrid>
      <w:tr w14:paraId="470D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7DD54F14">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783" w:type="dxa"/>
            <w:tcMar>
              <w:top w:w="0" w:type="dxa"/>
              <w:left w:w="28" w:type="dxa"/>
              <w:bottom w:w="0" w:type="dxa"/>
              <w:right w:w="28" w:type="dxa"/>
            </w:tcMar>
            <w:vAlign w:val="center"/>
          </w:tcPr>
          <w:p w14:paraId="06C6CB0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条款内容</w:t>
            </w:r>
          </w:p>
        </w:tc>
        <w:tc>
          <w:tcPr>
            <w:tcW w:w="5744" w:type="dxa"/>
            <w:tcMar>
              <w:top w:w="0" w:type="dxa"/>
              <w:left w:w="28" w:type="dxa"/>
              <w:bottom w:w="0" w:type="dxa"/>
              <w:right w:w="28" w:type="dxa"/>
            </w:tcMar>
            <w:vAlign w:val="center"/>
          </w:tcPr>
          <w:p w14:paraId="6597201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编列内容</w:t>
            </w:r>
          </w:p>
        </w:tc>
      </w:tr>
      <w:tr w14:paraId="0624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atLeast"/>
          <w:jc w:val="center"/>
        </w:trPr>
        <w:tc>
          <w:tcPr>
            <w:tcW w:w="612" w:type="dxa"/>
            <w:tcMar>
              <w:top w:w="0" w:type="dxa"/>
              <w:left w:w="28" w:type="dxa"/>
              <w:bottom w:w="0" w:type="dxa"/>
              <w:right w:w="28" w:type="dxa"/>
            </w:tcMar>
            <w:vAlign w:val="center"/>
          </w:tcPr>
          <w:p w14:paraId="2AFE3258">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783" w:type="dxa"/>
            <w:tcMar>
              <w:top w:w="0" w:type="dxa"/>
              <w:left w:w="28" w:type="dxa"/>
              <w:bottom w:w="0" w:type="dxa"/>
              <w:right w:w="28" w:type="dxa"/>
            </w:tcMar>
            <w:vAlign w:val="center"/>
          </w:tcPr>
          <w:p w14:paraId="78822EA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分值构成</w:t>
            </w:r>
          </w:p>
          <w:p w14:paraId="067953B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(总分100分)</w:t>
            </w:r>
          </w:p>
        </w:tc>
        <w:tc>
          <w:tcPr>
            <w:tcW w:w="5744" w:type="dxa"/>
            <w:tcMar>
              <w:top w:w="0" w:type="dxa"/>
              <w:left w:w="28" w:type="dxa"/>
              <w:bottom w:w="0" w:type="dxa"/>
              <w:right w:w="28" w:type="dxa"/>
            </w:tcMar>
            <w:vAlign w:val="center"/>
          </w:tcPr>
          <w:p w14:paraId="02FBDDD5">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1.详细评审部分70分</w:t>
            </w:r>
          </w:p>
          <w:p w14:paraId="71090DC9">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2.投标报价部分30分</w:t>
            </w:r>
          </w:p>
        </w:tc>
      </w:tr>
      <w:tr w14:paraId="6101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 w:hRule="atLeast"/>
          <w:jc w:val="center"/>
        </w:trPr>
        <w:tc>
          <w:tcPr>
            <w:tcW w:w="612" w:type="dxa"/>
            <w:tcMar>
              <w:top w:w="0" w:type="dxa"/>
              <w:left w:w="28" w:type="dxa"/>
              <w:bottom w:w="0" w:type="dxa"/>
              <w:right w:w="28" w:type="dxa"/>
            </w:tcMar>
            <w:vAlign w:val="center"/>
          </w:tcPr>
          <w:p w14:paraId="717AFDE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783" w:type="dxa"/>
            <w:tcMar>
              <w:top w:w="0" w:type="dxa"/>
              <w:left w:w="28" w:type="dxa"/>
              <w:bottom w:w="0" w:type="dxa"/>
              <w:right w:w="28" w:type="dxa"/>
            </w:tcMar>
            <w:vAlign w:val="center"/>
          </w:tcPr>
          <w:p w14:paraId="4A25573D">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资格审查</w:t>
            </w:r>
          </w:p>
        </w:tc>
        <w:tc>
          <w:tcPr>
            <w:tcW w:w="5744" w:type="dxa"/>
            <w:tcMar>
              <w:top w:w="0" w:type="dxa"/>
              <w:left w:w="28" w:type="dxa"/>
              <w:bottom w:w="0" w:type="dxa"/>
              <w:right w:w="28" w:type="dxa"/>
            </w:tcMar>
            <w:vAlign w:val="center"/>
          </w:tcPr>
          <w:p w14:paraId="172E7DA3">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详见《资格审查标准》</w:t>
            </w:r>
          </w:p>
        </w:tc>
      </w:tr>
      <w:tr w14:paraId="1FE1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47E452C7">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783" w:type="dxa"/>
            <w:tcMar>
              <w:top w:w="0" w:type="dxa"/>
              <w:left w:w="28" w:type="dxa"/>
              <w:bottom w:w="0" w:type="dxa"/>
              <w:right w:w="28" w:type="dxa"/>
            </w:tcMar>
            <w:vAlign w:val="center"/>
          </w:tcPr>
          <w:p w14:paraId="3D07D325">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完备性及符合性审查</w:t>
            </w:r>
          </w:p>
        </w:tc>
        <w:tc>
          <w:tcPr>
            <w:tcW w:w="5744" w:type="dxa"/>
            <w:tcMar>
              <w:top w:w="0" w:type="dxa"/>
              <w:left w:w="28" w:type="dxa"/>
              <w:bottom w:w="0" w:type="dxa"/>
              <w:right w:w="28" w:type="dxa"/>
            </w:tcMar>
            <w:vAlign w:val="center"/>
          </w:tcPr>
          <w:p w14:paraId="62191333">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w:t>
            </w:r>
            <w:r>
              <w:rPr>
                <w:rFonts w:hint="eastAsia" w:ascii="仿宋" w:hAnsi="仿宋" w:eastAsia="仿宋" w:cs="仿宋"/>
                <w:color w:val="auto"/>
                <w:szCs w:val="21"/>
                <w:highlight w:val="none"/>
                <w:lang w:eastAsia="zh-CN"/>
              </w:rPr>
              <w:t>符合性审查标准</w:t>
            </w:r>
            <w:r>
              <w:rPr>
                <w:rFonts w:hint="eastAsia" w:ascii="仿宋" w:hAnsi="仿宋" w:eastAsia="仿宋" w:cs="仿宋"/>
                <w:color w:val="auto"/>
                <w:szCs w:val="21"/>
                <w:highlight w:val="none"/>
              </w:rPr>
              <w:t>》</w:t>
            </w:r>
          </w:p>
        </w:tc>
      </w:tr>
      <w:tr w14:paraId="6614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7CDE2F4C">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2783" w:type="dxa"/>
            <w:tcMar>
              <w:top w:w="0" w:type="dxa"/>
              <w:left w:w="28" w:type="dxa"/>
              <w:bottom w:w="0" w:type="dxa"/>
              <w:right w:w="28" w:type="dxa"/>
            </w:tcMar>
          </w:tcPr>
          <w:p w14:paraId="0560CA36">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投标品牌统计</w:t>
            </w:r>
          </w:p>
        </w:tc>
        <w:tc>
          <w:tcPr>
            <w:tcW w:w="5744" w:type="dxa"/>
            <w:tcMar>
              <w:top w:w="0" w:type="dxa"/>
              <w:left w:w="28" w:type="dxa"/>
              <w:bottom w:w="0" w:type="dxa"/>
              <w:right w:w="28" w:type="dxa"/>
            </w:tcMar>
            <w:vAlign w:val="center"/>
          </w:tcPr>
          <w:p w14:paraId="25A91098">
            <w:pPr>
              <w:rPr>
                <w:rFonts w:hint="eastAsia" w:ascii="仿宋" w:hAnsi="仿宋" w:eastAsia="仿宋" w:cs="仿宋"/>
                <w:color w:val="auto"/>
                <w:highlight w:val="none"/>
              </w:rPr>
            </w:pPr>
            <w:r>
              <w:rPr>
                <w:rFonts w:hint="eastAsia" w:ascii="仿宋" w:hAnsi="仿宋" w:eastAsia="仿宋" w:cs="仿宋"/>
                <w:color w:val="auto"/>
                <w:szCs w:val="21"/>
                <w:highlight w:val="none"/>
              </w:rPr>
              <w:t>详见本节第3.5款</w:t>
            </w:r>
          </w:p>
        </w:tc>
      </w:tr>
      <w:tr w14:paraId="1491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vMerge w:val="restart"/>
            <w:tcMar>
              <w:top w:w="0" w:type="dxa"/>
              <w:left w:w="28" w:type="dxa"/>
              <w:bottom w:w="0" w:type="dxa"/>
              <w:right w:w="28" w:type="dxa"/>
            </w:tcMar>
            <w:vAlign w:val="center"/>
          </w:tcPr>
          <w:p w14:paraId="6E5D4C3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2783" w:type="dxa"/>
            <w:vMerge w:val="restart"/>
            <w:tcMar>
              <w:top w:w="0" w:type="dxa"/>
              <w:left w:w="28" w:type="dxa"/>
              <w:bottom w:w="0" w:type="dxa"/>
              <w:right w:w="28" w:type="dxa"/>
            </w:tcMar>
            <w:vAlign w:val="center"/>
          </w:tcPr>
          <w:p w14:paraId="6313F446">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详细评审</w:t>
            </w:r>
          </w:p>
        </w:tc>
        <w:tc>
          <w:tcPr>
            <w:tcW w:w="5744" w:type="dxa"/>
            <w:tcMar>
              <w:top w:w="0" w:type="dxa"/>
              <w:left w:w="28" w:type="dxa"/>
              <w:bottom w:w="0" w:type="dxa"/>
              <w:right w:w="28" w:type="dxa"/>
            </w:tcMar>
            <w:vAlign w:val="center"/>
          </w:tcPr>
          <w:p w14:paraId="2CF4935E">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详见《详细评审标准》及本节第3.6款</w:t>
            </w:r>
          </w:p>
        </w:tc>
      </w:tr>
      <w:tr w14:paraId="73CA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32" w:hRule="atLeast"/>
          <w:jc w:val="center"/>
        </w:trPr>
        <w:tc>
          <w:tcPr>
            <w:tcW w:w="612" w:type="dxa"/>
            <w:vMerge w:val="continue"/>
            <w:tcMar>
              <w:top w:w="0" w:type="dxa"/>
              <w:left w:w="28" w:type="dxa"/>
              <w:bottom w:w="0" w:type="dxa"/>
              <w:right w:w="28" w:type="dxa"/>
            </w:tcMar>
            <w:vAlign w:val="center"/>
          </w:tcPr>
          <w:p w14:paraId="3CE2B171">
            <w:pPr>
              <w:spacing w:line="360" w:lineRule="auto"/>
              <w:jc w:val="center"/>
              <w:rPr>
                <w:rFonts w:hint="eastAsia" w:ascii="仿宋" w:hAnsi="仿宋" w:eastAsia="仿宋" w:cs="仿宋"/>
                <w:color w:val="auto"/>
                <w:szCs w:val="21"/>
                <w:highlight w:val="none"/>
              </w:rPr>
            </w:pPr>
          </w:p>
        </w:tc>
        <w:tc>
          <w:tcPr>
            <w:tcW w:w="2783" w:type="dxa"/>
            <w:vMerge w:val="continue"/>
            <w:tcMar>
              <w:top w:w="0" w:type="dxa"/>
              <w:left w:w="28" w:type="dxa"/>
              <w:bottom w:w="0" w:type="dxa"/>
              <w:right w:w="28" w:type="dxa"/>
            </w:tcMar>
            <w:vAlign w:val="center"/>
          </w:tcPr>
          <w:p w14:paraId="38604997">
            <w:pPr>
              <w:spacing w:line="360" w:lineRule="auto"/>
              <w:jc w:val="center"/>
              <w:rPr>
                <w:rFonts w:hint="eastAsia" w:ascii="仿宋" w:hAnsi="仿宋" w:eastAsia="仿宋" w:cs="仿宋"/>
                <w:color w:val="auto"/>
                <w:szCs w:val="21"/>
                <w:highlight w:val="none"/>
              </w:rPr>
            </w:pPr>
          </w:p>
        </w:tc>
        <w:tc>
          <w:tcPr>
            <w:tcW w:w="5744" w:type="dxa"/>
            <w:tcMar>
              <w:top w:w="0" w:type="dxa"/>
              <w:left w:w="28" w:type="dxa"/>
              <w:bottom w:w="0" w:type="dxa"/>
              <w:right w:w="28" w:type="dxa"/>
            </w:tcMar>
            <w:vAlign w:val="center"/>
          </w:tcPr>
          <w:p w14:paraId="43FD463D">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投标报价得分计算方法：</w:t>
            </w:r>
          </w:p>
          <w:p w14:paraId="3910BF79">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1.投标报价的确定</w:t>
            </w:r>
          </w:p>
          <w:p w14:paraId="5467A633">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投标报价是指经评审的且不超过最高限价的投标价格</w:t>
            </w:r>
          </w:p>
          <w:p w14:paraId="7CE8E12B">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2.评标基准价的确定</w:t>
            </w:r>
          </w:p>
          <w:p w14:paraId="47D706A0">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满足招标文件要求且投标报价最低的为评标基准价</w:t>
            </w:r>
          </w:p>
          <w:p w14:paraId="2638302D">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3.投标报价得分=(评标基准价／投标报价)×30</w:t>
            </w:r>
          </w:p>
          <w:p w14:paraId="20CC32C1">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4.评分分值计算保留小数点后两位，小数点后三位“四舍五入”。</w:t>
            </w:r>
          </w:p>
          <w:p w14:paraId="1A21FEDD">
            <w:pP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因落实政府采购政策对小微企业、残疾人福利性单位、监狱企业的价格给予10%价格扣除；以扣除后的价格参与评审，不重复享受价格扣除政策</w:t>
            </w:r>
            <w:r>
              <w:rPr>
                <w:rFonts w:hint="eastAsia" w:ascii="仿宋" w:hAnsi="仿宋" w:eastAsia="仿宋" w:cs="仿宋"/>
                <w:color w:val="auto"/>
                <w:highlight w:val="none"/>
                <w:lang w:eastAsia="zh-CN"/>
              </w:rPr>
              <w:t>。</w:t>
            </w:r>
          </w:p>
          <w:p w14:paraId="11815D22">
            <w:pPr>
              <w:spacing w:line="36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6、政府采购活动中既有本国产品又有非本国产品参与竞争的，依法对本国产品给予价格评审优惠，对本国产品的报价给予20%的价格扣除，用扣除后的价格参与评审。</w:t>
            </w:r>
          </w:p>
        </w:tc>
      </w:tr>
    </w:tbl>
    <w:p w14:paraId="4895DD7C">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p>
    <w:bookmarkEnd w:id="52"/>
    <w:p w14:paraId="4621174C">
      <w:pPr>
        <w:widowControl/>
        <w:shd w:val="clear" w:color="auto" w:fill="FFFFFF"/>
        <w:snapToGrid w:val="0"/>
        <w:spacing w:line="276" w:lineRule="auto"/>
        <w:jc w:val="center"/>
        <w:rPr>
          <w:rFonts w:hint="eastAsia" w:ascii="仿宋" w:hAnsi="仿宋" w:eastAsia="仿宋" w:cs="仿宋"/>
          <w:b/>
          <w:color w:val="auto"/>
          <w:kern w:val="0"/>
          <w:sz w:val="24"/>
          <w:szCs w:val="24"/>
          <w:highlight w:val="none"/>
          <w:lang w:val="en-US" w:eastAsia="zh-CN"/>
        </w:rPr>
      </w:pPr>
      <w:bookmarkStart w:id="53" w:name="_Toc501719167"/>
      <w:r>
        <w:rPr>
          <w:rFonts w:hint="eastAsia" w:ascii="仿宋" w:hAnsi="仿宋" w:eastAsia="仿宋" w:cs="仿宋"/>
          <w:b/>
          <w:color w:val="auto"/>
          <w:kern w:val="0"/>
          <w:sz w:val="24"/>
          <w:szCs w:val="24"/>
          <w:highlight w:val="none"/>
        </w:rPr>
        <w:t>《资格审查标准》</w:t>
      </w:r>
    </w:p>
    <w:tbl>
      <w:tblPr>
        <w:tblStyle w:val="38"/>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2"/>
        <w:gridCol w:w="3582"/>
        <w:gridCol w:w="4774"/>
      </w:tblGrid>
      <w:tr w14:paraId="025B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8" w:type="pct"/>
            <w:vAlign w:val="center"/>
          </w:tcPr>
          <w:p w14:paraId="1A35E473">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序号</w:t>
            </w:r>
          </w:p>
        </w:tc>
        <w:tc>
          <w:tcPr>
            <w:tcW w:w="1977" w:type="pct"/>
            <w:vAlign w:val="center"/>
          </w:tcPr>
          <w:p w14:paraId="40A7E38F">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2633" w:type="pct"/>
            <w:vAlign w:val="center"/>
          </w:tcPr>
          <w:p w14:paraId="4B274AFD">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39FD9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8" w:type="pct"/>
            <w:vAlign w:val="center"/>
          </w:tcPr>
          <w:p w14:paraId="39392A87">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w:t>
            </w:r>
          </w:p>
        </w:tc>
        <w:tc>
          <w:tcPr>
            <w:tcW w:w="1977" w:type="pct"/>
            <w:shd w:val="clear" w:color="auto" w:fill="auto"/>
            <w:vAlign w:val="center"/>
          </w:tcPr>
          <w:p w14:paraId="18056ADB">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具有独立承担民事责任的能力。</w:t>
            </w:r>
          </w:p>
        </w:tc>
        <w:tc>
          <w:tcPr>
            <w:tcW w:w="2633" w:type="pct"/>
            <w:shd w:val="clear" w:color="auto" w:fill="auto"/>
            <w:vAlign w:val="center"/>
          </w:tcPr>
          <w:p w14:paraId="13687143">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1、如投标人是企业（包括合伙企业)，应提供在工商部门注册的有效“企业法人营业执照”或“营业执照”;</w:t>
            </w:r>
          </w:p>
          <w:p w14:paraId="4BDDCA92">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2、如投标人是事业单位，应提供有效的“事业单位法人证书”;</w:t>
            </w:r>
          </w:p>
          <w:p w14:paraId="573D6D6A">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3、如投标人是非企业专业服务机构的，应提供执业许可证等证明文件;</w:t>
            </w:r>
          </w:p>
          <w:p w14:paraId="72DFB7E8">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4、如投标人是个体工商户，应提供有效的“个体工商户营业执照”;</w:t>
            </w:r>
          </w:p>
          <w:p w14:paraId="00ED9813">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5、如投标人是自然人，应提供有效的自然人身份证明。</w:t>
            </w:r>
          </w:p>
        </w:tc>
      </w:tr>
      <w:tr w14:paraId="4ABC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8" w:type="pct"/>
            <w:vAlign w:val="center"/>
          </w:tcPr>
          <w:p w14:paraId="63B57B00">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w:t>
            </w:r>
          </w:p>
        </w:tc>
        <w:tc>
          <w:tcPr>
            <w:tcW w:w="1977" w:type="pct"/>
            <w:shd w:val="clear" w:color="auto" w:fill="auto"/>
            <w:vAlign w:val="center"/>
          </w:tcPr>
          <w:p w14:paraId="1F82D2F7">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具有良好的商业信誉和健全的财务会计制度。</w:t>
            </w:r>
          </w:p>
        </w:tc>
        <w:tc>
          <w:tcPr>
            <w:tcW w:w="2633" w:type="pct"/>
            <w:shd w:val="clear" w:color="auto" w:fill="auto"/>
            <w:vAlign w:val="center"/>
          </w:tcPr>
          <w:p w14:paraId="2165A2D5">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满足下述一条要求即可：</w:t>
            </w:r>
          </w:p>
          <w:p w14:paraId="1FE1D0C5">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要求1、经审计的财务报告（2024年度或2025年度，包括“四表-注”，即资产负债表、利润表、现金流量表、所有者权益变动表及其附注）或银行出具的资信证明（投标文件递交截止之日前六个月内任意一个月</w:t>
            </w:r>
            <w:r>
              <w:rPr>
                <w:rFonts w:hint="eastAsia" w:ascii="仿宋" w:hAnsi="仿宋" w:eastAsia="仿宋" w:cs="仿宋"/>
                <w:color w:val="auto"/>
                <w:spacing w:val="10"/>
                <w:szCs w:val="24"/>
                <w:highlight w:val="none"/>
                <w:shd w:val="clear" w:color="auto" w:fill="FFFFFF" w:themeFill="background1"/>
                <w:lang w:eastAsia="zh-CN"/>
              </w:rPr>
              <w:t>，</w:t>
            </w:r>
            <w:r>
              <w:rPr>
                <w:rFonts w:hint="eastAsia" w:ascii="仿宋" w:hAnsi="仿宋" w:eastAsia="仿宋" w:cs="仿宋"/>
                <w:color w:val="auto"/>
                <w:spacing w:val="10"/>
                <w:szCs w:val="24"/>
                <w:highlight w:val="none"/>
                <w:shd w:val="clear" w:color="auto" w:fill="FFFFFF" w:themeFill="background1"/>
                <w:lang w:val="en-US" w:eastAsia="zh-CN"/>
              </w:rPr>
              <w:t>不限制采购人主体</w:t>
            </w:r>
            <w:r>
              <w:rPr>
                <w:rFonts w:hint="eastAsia" w:ascii="仿宋" w:hAnsi="仿宋" w:eastAsia="仿宋" w:cs="仿宋"/>
                <w:color w:val="auto"/>
                <w:kern w:val="0"/>
                <w:szCs w:val="24"/>
                <w:highlight w:val="none"/>
              </w:rPr>
              <w:t>）。</w:t>
            </w:r>
          </w:p>
          <w:p w14:paraId="61C4A9CD">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要求2、成立不足</w:t>
            </w:r>
            <w:r>
              <w:rPr>
                <w:rFonts w:hint="eastAsia" w:ascii="仿宋" w:hAnsi="仿宋" w:eastAsia="仿宋" w:cs="仿宋"/>
                <w:color w:val="auto"/>
                <w:spacing w:val="10"/>
                <w:szCs w:val="24"/>
                <w:highlight w:val="none"/>
                <w:shd w:val="clear" w:color="auto" w:fill="FFFFFF" w:themeFill="background1"/>
              </w:rPr>
              <w:t>六</w:t>
            </w:r>
            <w:r>
              <w:rPr>
                <w:rFonts w:hint="eastAsia" w:ascii="仿宋" w:hAnsi="仿宋" w:eastAsia="仿宋" w:cs="仿宋"/>
                <w:color w:val="auto"/>
                <w:kern w:val="0"/>
                <w:szCs w:val="24"/>
                <w:highlight w:val="none"/>
              </w:rPr>
              <w:t>个月（以投标文件递交截止之日为期限）的投标人无需提供。</w:t>
            </w:r>
          </w:p>
        </w:tc>
      </w:tr>
      <w:tr w14:paraId="714B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8" w:type="pct"/>
            <w:vAlign w:val="center"/>
          </w:tcPr>
          <w:p w14:paraId="2FCDA2D3">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w:t>
            </w:r>
          </w:p>
        </w:tc>
        <w:tc>
          <w:tcPr>
            <w:tcW w:w="1977" w:type="pct"/>
            <w:shd w:val="clear" w:color="auto" w:fill="auto"/>
            <w:vAlign w:val="center"/>
          </w:tcPr>
          <w:p w14:paraId="4A74B093">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具有履行合同所必需的设备和专业技术能力。</w:t>
            </w:r>
          </w:p>
        </w:tc>
        <w:tc>
          <w:tcPr>
            <w:tcW w:w="2633" w:type="pct"/>
            <w:shd w:val="clear" w:color="auto" w:fill="auto"/>
            <w:vAlign w:val="center"/>
          </w:tcPr>
          <w:p w14:paraId="45A09439">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提供《具有履行合同所必需的设备和专业技术能力的承诺函》，加盖</w:t>
            </w:r>
            <w:r>
              <w:rPr>
                <w:rFonts w:hint="eastAsia" w:ascii="仿宋" w:hAnsi="仿宋" w:eastAsia="仿宋" w:cs="仿宋"/>
                <w:color w:val="auto"/>
                <w:kern w:val="0"/>
                <w:szCs w:val="24"/>
                <w:highlight w:val="none"/>
                <w:lang w:eastAsia="zh-CN"/>
              </w:rPr>
              <w:t>投标人章</w:t>
            </w:r>
            <w:r>
              <w:rPr>
                <w:rFonts w:hint="eastAsia" w:ascii="仿宋" w:hAnsi="仿宋" w:eastAsia="仿宋" w:cs="仿宋"/>
                <w:color w:val="auto"/>
                <w:kern w:val="0"/>
                <w:szCs w:val="24"/>
                <w:highlight w:val="none"/>
              </w:rPr>
              <w:t>。</w:t>
            </w:r>
          </w:p>
        </w:tc>
      </w:tr>
      <w:tr w14:paraId="0087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8" w:type="pct"/>
            <w:vAlign w:val="center"/>
          </w:tcPr>
          <w:p w14:paraId="6B24C93A">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p>
        </w:tc>
        <w:tc>
          <w:tcPr>
            <w:tcW w:w="1977" w:type="pct"/>
            <w:shd w:val="clear" w:color="auto" w:fill="auto"/>
            <w:vAlign w:val="center"/>
          </w:tcPr>
          <w:p w14:paraId="36385CE0">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有依法缴纳税收和社会保障资金的良好记录。</w:t>
            </w:r>
          </w:p>
        </w:tc>
        <w:tc>
          <w:tcPr>
            <w:tcW w:w="2633" w:type="pct"/>
            <w:shd w:val="clear" w:color="auto" w:fill="auto"/>
            <w:vAlign w:val="center"/>
          </w:tcPr>
          <w:p w14:paraId="3422891D">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1、依法缴纳税收的证明材料：</w:t>
            </w:r>
          </w:p>
          <w:p w14:paraId="5B8A5822">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投标人参加政府采购活动前一段时间（投标文件递交截止之日前六个月内任一个月）内缴纳税收的完税凭证（指各种完税证、缴款书、印花税票、扣（收）税凭证以及其他完税证明，提供上述任意一种即可）。</w:t>
            </w:r>
          </w:p>
          <w:p w14:paraId="78269E32">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2、依法缴纳社会保障资金的证明材料：</w:t>
            </w:r>
          </w:p>
          <w:p w14:paraId="7850144D">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204AC2B1">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3、依法免税或不需要缴纳社会保障资金的投标人，应提供相应文件证明其依法免税或不需要缴纳社会保障资金。</w:t>
            </w:r>
          </w:p>
        </w:tc>
      </w:tr>
      <w:tr w14:paraId="65207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8" w:type="pct"/>
            <w:vAlign w:val="center"/>
          </w:tcPr>
          <w:p w14:paraId="28AD9E9D">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w:t>
            </w:r>
          </w:p>
        </w:tc>
        <w:tc>
          <w:tcPr>
            <w:tcW w:w="1977" w:type="pct"/>
            <w:shd w:val="clear" w:color="auto" w:fill="auto"/>
            <w:vAlign w:val="center"/>
          </w:tcPr>
          <w:p w14:paraId="594BA6C1">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参加政府采购活动前三年内，在经营活动中没有重大违法记录。</w:t>
            </w:r>
          </w:p>
        </w:tc>
        <w:tc>
          <w:tcPr>
            <w:tcW w:w="2633" w:type="pct"/>
            <w:shd w:val="clear" w:color="auto" w:fill="auto"/>
            <w:vAlign w:val="center"/>
          </w:tcPr>
          <w:p w14:paraId="309E108D">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4"/>
                <w:highlight w:val="none"/>
              </w:rPr>
              <w:t>提供《参加政府采购活动前3年内在经营活动中没有重大违法记录的书面声明》，加盖</w:t>
            </w:r>
            <w:r>
              <w:rPr>
                <w:rFonts w:hint="eastAsia" w:ascii="仿宋" w:hAnsi="仿宋" w:eastAsia="仿宋" w:cs="仿宋"/>
                <w:color w:val="auto"/>
                <w:kern w:val="0"/>
                <w:szCs w:val="24"/>
                <w:highlight w:val="none"/>
                <w:lang w:eastAsia="zh-CN"/>
              </w:rPr>
              <w:t>投标人章</w:t>
            </w:r>
            <w:r>
              <w:rPr>
                <w:rFonts w:hint="eastAsia" w:ascii="仿宋" w:hAnsi="仿宋" w:eastAsia="仿宋" w:cs="仿宋"/>
                <w:color w:val="auto"/>
                <w:kern w:val="0"/>
                <w:szCs w:val="24"/>
                <w:highlight w:val="none"/>
              </w:rPr>
              <w:t>。</w:t>
            </w:r>
          </w:p>
        </w:tc>
      </w:tr>
      <w:tr w14:paraId="4BF3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388" w:type="pct"/>
            <w:vAlign w:val="center"/>
          </w:tcPr>
          <w:p w14:paraId="7F71856D">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6</w:t>
            </w:r>
          </w:p>
        </w:tc>
        <w:tc>
          <w:tcPr>
            <w:tcW w:w="1977" w:type="pct"/>
            <w:shd w:val="clear" w:color="auto" w:fill="auto"/>
            <w:vAlign w:val="center"/>
          </w:tcPr>
          <w:p w14:paraId="460B1906">
            <w:pPr>
              <w:spacing w:line="360" w:lineRule="auto"/>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tc>
        <w:tc>
          <w:tcPr>
            <w:tcW w:w="2633" w:type="pct"/>
            <w:shd w:val="clear" w:color="auto" w:fill="auto"/>
            <w:vAlign w:val="center"/>
          </w:tcPr>
          <w:p w14:paraId="333169C9">
            <w:pPr>
              <w:ind w:firstLine="210" w:firstLineChars="100"/>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以采购人或者采购代理机构查询记录为准。</w:t>
            </w:r>
          </w:p>
        </w:tc>
      </w:tr>
      <w:tr w14:paraId="5A6B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8" w:type="pct"/>
            <w:vAlign w:val="center"/>
          </w:tcPr>
          <w:p w14:paraId="71BE85C5">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7</w:t>
            </w:r>
          </w:p>
        </w:tc>
        <w:tc>
          <w:tcPr>
            <w:tcW w:w="1977" w:type="pct"/>
            <w:shd w:val="clear" w:color="auto" w:fill="auto"/>
            <w:vAlign w:val="center"/>
          </w:tcPr>
          <w:p w14:paraId="0F296DF8">
            <w:pPr>
              <w:spacing w:line="360" w:lineRule="auto"/>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人所投货物若属于医疗器械管理范畴，按照国家《医疗器械监督管理条例》，应符合以下标准：①投标人为制造商的，投标货物若属于第一类医疗器械产品，须提供第一类医疗器械生产备案证明，投标货物若属于第二类、三类医疗器械产品，须提供医疗器械生产许可证。②投标人为经销商的，投标货物若属于第三类医疗器械产品，须提供医疗器械经营许可证，投标货物若属于第二类医疗器械产品，须提供医疗器械经营备案证明，投标货物若属于第一类医疗器械产品，则无须提供此项；所有证件必须真实、有效。</w:t>
            </w:r>
          </w:p>
        </w:tc>
        <w:tc>
          <w:tcPr>
            <w:tcW w:w="2633" w:type="pct"/>
            <w:shd w:val="clear" w:color="auto" w:fill="auto"/>
            <w:vAlign w:val="center"/>
          </w:tcPr>
          <w:p w14:paraId="590092A6">
            <w:pPr>
              <w:ind w:firstLine="210" w:firstLineChars="100"/>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lang w:val="en-US" w:eastAsia="zh-CN"/>
              </w:rPr>
              <w:t>相应材料扫描件。</w:t>
            </w:r>
          </w:p>
        </w:tc>
      </w:tr>
      <w:tr w14:paraId="30CF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5000" w:type="pct"/>
            <w:gridSpan w:val="3"/>
            <w:vAlign w:val="center"/>
          </w:tcPr>
          <w:p w14:paraId="6134EC5D">
            <w:pPr>
              <w:widowControl/>
              <w:shd w:val="clear" w:color="auto" w:fill="FFFFFF"/>
              <w:snapToGrid w:val="0"/>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备注： 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482A3C38">
      <w:pPr>
        <w:widowControl/>
        <w:shd w:val="clear" w:color="auto" w:fill="FFFFFF"/>
        <w:snapToGrid w:val="0"/>
        <w:spacing w:line="276" w:lineRule="auto"/>
        <w:jc w:val="center"/>
        <w:rPr>
          <w:rFonts w:hint="eastAsia" w:ascii="仿宋" w:hAnsi="仿宋" w:eastAsia="仿宋" w:cs="仿宋"/>
          <w:b/>
          <w:color w:val="auto"/>
          <w:kern w:val="0"/>
          <w:sz w:val="24"/>
          <w:szCs w:val="24"/>
          <w:highlight w:val="none"/>
          <w:lang w:val="en-US" w:eastAsia="zh-CN"/>
        </w:rPr>
      </w:pPr>
    </w:p>
    <w:p w14:paraId="2967AA62">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eastAsia="zh-CN"/>
        </w:rPr>
        <w:t>符合性审查标准</w:t>
      </w:r>
      <w:r>
        <w:rPr>
          <w:rFonts w:hint="eastAsia" w:ascii="仿宋" w:hAnsi="仿宋" w:eastAsia="仿宋" w:cs="仿宋"/>
          <w:b/>
          <w:color w:val="auto"/>
          <w:kern w:val="0"/>
          <w:sz w:val="24"/>
          <w:szCs w:val="24"/>
          <w:highlight w:val="none"/>
        </w:rPr>
        <w:t>》</w:t>
      </w:r>
      <w:bookmarkEnd w:id="53"/>
    </w:p>
    <w:tbl>
      <w:tblPr>
        <w:tblStyle w:val="38"/>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2"/>
        <w:gridCol w:w="4929"/>
        <w:gridCol w:w="3446"/>
      </w:tblGrid>
      <w:tr w14:paraId="4DDA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453EF323">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序号</w:t>
            </w:r>
          </w:p>
        </w:tc>
        <w:tc>
          <w:tcPr>
            <w:tcW w:w="4929" w:type="dxa"/>
            <w:vAlign w:val="center"/>
          </w:tcPr>
          <w:p w14:paraId="52DCD884">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3446" w:type="dxa"/>
            <w:vAlign w:val="center"/>
          </w:tcPr>
          <w:p w14:paraId="039D199C">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6E37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0FAA1DE4">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w:t>
            </w:r>
          </w:p>
        </w:tc>
        <w:tc>
          <w:tcPr>
            <w:tcW w:w="4929" w:type="dxa"/>
            <w:vAlign w:val="center"/>
          </w:tcPr>
          <w:p w14:paraId="600A33A7">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投标文件必须按招标文件要求加盖</w:t>
            </w:r>
            <w:r>
              <w:rPr>
                <w:rFonts w:hint="eastAsia" w:ascii="仿宋" w:hAnsi="仿宋" w:eastAsia="仿宋" w:cs="仿宋"/>
                <w:color w:val="auto"/>
                <w:kern w:val="0"/>
                <w:szCs w:val="24"/>
                <w:highlight w:val="none"/>
                <w:lang w:eastAsia="zh-CN"/>
              </w:rPr>
              <w:t>投标人章</w:t>
            </w:r>
            <w:r>
              <w:rPr>
                <w:rFonts w:hint="eastAsia" w:ascii="仿宋" w:hAnsi="仿宋" w:eastAsia="仿宋" w:cs="仿宋"/>
                <w:color w:val="auto"/>
                <w:kern w:val="0"/>
                <w:szCs w:val="24"/>
                <w:highlight w:val="none"/>
              </w:rPr>
              <w:t>、</w:t>
            </w:r>
            <w:r>
              <w:rPr>
                <w:rFonts w:hint="eastAsia" w:ascii="仿宋" w:hAnsi="仿宋" w:eastAsia="仿宋" w:cs="仿宋"/>
                <w:color w:val="auto"/>
                <w:kern w:val="0"/>
                <w:szCs w:val="24"/>
                <w:highlight w:val="none"/>
                <w:lang w:eastAsia="zh-CN"/>
              </w:rPr>
              <w:t>法定代表人章（</w:t>
            </w:r>
            <w:r>
              <w:rPr>
                <w:rFonts w:hint="eastAsia" w:ascii="仿宋" w:hAnsi="仿宋" w:eastAsia="仿宋" w:cs="仿宋"/>
                <w:color w:val="auto"/>
                <w:kern w:val="0"/>
                <w:szCs w:val="24"/>
                <w:highlight w:val="none"/>
                <w:lang w:val="en-US" w:eastAsia="zh-CN"/>
              </w:rPr>
              <w:t>或签字</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w:t>
            </w:r>
          </w:p>
        </w:tc>
        <w:tc>
          <w:tcPr>
            <w:tcW w:w="3446" w:type="dxa"/>
            <w:vAlign w:val="center"/>
          </w:tcPr>
          <w:p w14:paraId="344B1905">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47F5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22D0E55A">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w:t>
            </w:r>
          </w:p>
        </w:tc>
        <w:tc>
          <w:tcPr>
            <w:tcW w:w="4929" w:type="dxa"/>
            <w:vAlign w:val="center"/>
          </w:tcPr>
          <w:p w14:paraId="307B84E9">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投标价格明细表必须完整填写。</w:t>
            </w:r>
          </w:p>
        </w:tc>
        <w:tc>
          <w:tcPr>
            <w:tcW w:w="3446" w:type="dxa"/>
            <w:vAlign w:val="center"/>
          </w:tcPr>
          <w:p w14:paraId="41B78D57">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07FD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7E521CA2">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w:t>
            </w:r>
          </w:p>
        </w:tc>
        <w:tc>
          <w:tcPr>
            <w:tcW w:w="4929" w:type="dxa"/>
            <w:vAlign w:val="center"/>
          </w:tcPr>
          <w:p w14:paraId="59906119">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投标价格不得超过最高限价</w:t>
            </w:r>
            <w:r>
              <w:rPr>
                <w:rFonts w:hint="eastAsia" w:ascii="仿宋" w:hAnsi="仿宋" w:eastAsia="仿宋" w:cs="仿宋"/>
                <w:color w:val="auto"/>
                <w:kern w:val="0"/>
                <w:szCs w:val="24"/>
                <w:highlight w:val="none"/>
                <w:lang w:val="en-US" w:eastAsia="zh-CN"/>
              </w:rPr>
              <w:t>和单价限价</w:t>
            </w:r>
            <w:r>
              <w:rPr>
                <w:rFonts w:hint="eastAsia" w:ascii="仿宋" w:hAnsi="仿宋" w:eastAsia="仿宋" w:cs="仿宋"/>
                <w:color w:val="auto"/>
                <w:kern w:val="0"/>
                <w:szCs w:val="24"/>
                <w:highlight w:val="none"/>
              </w:rPr>
              <w:t>。</w:t>
            </w:r>
          </w:p>
        </w:tc>
        <w:tc>
          <w:tcPr>
            <w:tcW w:w="3446" w:type="dxa"/>
            <w:vAlign w:val="center"/>
          </w:tcPr>
          <w:p w14:paraId="12EEE977">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27AE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22" w:type="dxa"/>
            <w:tcMar>
              <w:top w:w="0" w:type="dxa"/>
              <w:left w:w="28" w:type="dxa"/>
              <w:bottom w:w="0" w:type="dxa"/>
              <w:right w:w="28" w:type="dxa"/>
            </w:tcMar>
            <w:vAlign w:val="center"/>
          </w:tcPr>
          <w:p w14:paraId="65E0635F">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p>
        </w:tc>
        <w:tc>
          <w:tcPr>
            <w:tcW w:w="4929" w:type="dxa"/>
            <w:vAlign w:val="center"/>
          </w:tcPr>
          <w:p w14:paraId="7ED8C219">
            <w:pPr>
              <w:widowControl/>
              <w:shd w:val="clear" w:color="auto" w:fill="FFFFFF"/>
              <w:snapToGrid w:val="0"/>
              <w:spacing w:line="360" w:lineRule="auto"/>
              <w:rPr>
                <w:rFonts w:hint="eastAsia" w:ascii="仿宋" w:hAnsi="仿宋" w:eastAsia="仿宋" w:cs="仿宋"/>
                <w:color w:val="auto"/>
                <w:highlight w:val="none"/>
              </w:rPr>
            </w:pPr>
            <w:r>
              <w:rPr>
                <w:rFonts w:hint="eastAsia" w:ascii="仿宋" w:hAnsi="仿宋" w:eastAsia="仿宋" w:cs="仿宋"/>
                <w:color w:val="auto"/>
                <w:kern w:val="0"/>
                <w:szCs w:val="24"/>
                <w:highlight w:val="none"/>
              </w:rPr>
              <w:t>售后服务承诺必须提供</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并盖投标人章</w:t>
            </w:r>
            <w:r>
              <w:rPr>
                <w:rFonts w:hint="eastAsia" w:ascii="仿宋" w:hAnsi="仿宋" w:eastAsia="仿宋" w:cs="仿宋"/>
                <w:color w:val="auto"/>
                <w:kern w:val="0"/>
                <w:szCs w:val="24"/>
                <w:highlight w:val="none"/>
              </w:rPr>
              <w:t>。</w:t>
            </w:r>
          </w:p>
        </w:tc>
        <w:tc>
          <w:tcPr>
            <w:tcW w:w="3446" w:type="dxa"/>
            <w:tcMar>
              <w:top w:w="0" w:type="dxa"/>
              <w:left w:w="28" w:type="dxa"/>
              <w:bottom w:w="0" w:type="dxa"/>
              <w:right w:w="28" w:type="dxa"/>
            </w:tcMar>
            <w:vAlign w:val="center"/>
          </w:tcPr>
          <w:p w14:paraId="3AC60417">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07B2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tcMar>
              <w:top w:w="0" w:type="dxa"/>
              <w:left w:w="28" w:type="dxa"/>
              <w:bottom w:w="0" w:type="dxa"/>
              <w:right w:w="28" w:type="dxa"/>
            </w:tcMar>
            <w:vAlign w:val="center"/>
          </w:tcPr>
          <w:p w14:paraId="7092781B">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w:t>
            </w:r>
          </w:p>
        </w:tc>
        <w:tc>
          <w:tcPr>
            <w:tcW w:w="4929" w:type="dxa"/>
            <w:vAlign w:val="center"/>
          </w:tcPr>
          <w:p w14:paraId="5E451749">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合同履约期限和质保期必须满足招标文件要求。</w:t>
            </w:r>
          </w:p>
        </w:tc>
        <w:tc>
          <w:tcPr>
            <w:tcW w:w="3446" w:type="dxa"/>
            <w:tcMar>
              <w:top w:w="0" w:type="dxa"/>
              <w:left w:w="28" w:type="dxa"/>
              <w:bottom w:w="0" w:type="dxa"/>
              <w:right w:w="28" w:type="dxa"/>
            </w:tcMar>
            <w:vAlign w:val="center"/>
          </w:tcPr>
          <w:p w14:paraId="38175370">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45ED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tcMar>
              <w:top w:w="0" w:type="dxa"/>
              <w:left w:w="28" w:type="dxa"/>
              <w:bottom w:w="0" w:type="dxa"/>
              <w:right w:w="28" w:type="dxa"/>
            </w:tcMar>
            <w:vAlign w:val="center"/>
          </w:tcPr>
          <w:p w14:paraId="01930DCB">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6</w:t>
            </w:r>
          </w:p>
        </w:tc>
        <w:tc>
          <w:tcPr>
            <w:tcW w:w="4929" w:type="dxa"/>
            <w:vAlign w:val="center"/>
          </w:tcPr>
          <w:p w14:paraId="00A2D90E">
            <w:pPr>
              <w:widowControl/>
              <w:shd w:val="clear" w:color="auto" w:fill="FFFFFF"/>
              <w:snapToGrid w:val="0"/>
              <w:spacing w:line="360" w:lineRule="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投标人所投货物若属于医疗器械管理范畴，则第一类医疗器械提供产品备案证明，第二类、第三类医疗器械提供产品注册证明。</w:t>
            </w:r>
          </w:p>
        </w:tc>
        <w:tc>
          <w:tcPr>
            <w:tcW w:w="3446" w:type="dxa"/>
            <w:tcMar>
              <w:top w:w="0" w:type="dxa"/>
              <w:left w:w="28" w:type="dxa"/>
              <w:bottom w:w="0" w:type="dxa"/>
              <w:right w:w="28" w:type="dxa"/>
            </w:tcMar>
            <w:vAlign w:val="center"/>
          </w:tcPr>
          <w:p w14:paraId="6BCFF9A7">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相应证明材料扫描件，若《医疗器械监督管理条例》等有关文件另有规定，则提供说明材料即可。</w:t>
            </w:r>
          </w:p>
        </w:tc>
      </w:tr>
      <w:tr w14:paraId="34B5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tcMar>
              <w:top w:w="0" w:type="dxa"/>
              <w:left w:w="28" w:type="dxa"/>
              <w:bottom w:w="0" w:type="dxa"/>
              <w:right w:w="28" w:type="dxa"/>
            </w:tcMar>
            <w:vAlign w:val="center"/>
          </w:tcPr>
          <w:p w14:paraId="07F1E76C">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7</w:t>
            </w:r>
          </w:p>
        </w:tc>
        <w:tc>
          <w:tcPr>
            <w:tcW w:w="4929" w:type="dxa"/>
            <w:vAlign w:val="center"/>
          </w:tcPr>
          <w:p w14:paraId="380DA7E6">
            <w:pPr>
              <w:spacing w:line="360" w:lineRule="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rPr>
              <w:t>投标保证金必须按照招标文件要求缴纳。</w:t>
            </w:r>
          </w:p>
        </w:tc>
        <w:tc>
          <w:tcPr>
            <w:tcW w:w="3446" w:type="dxa"/>
            <w:tcMar>
              <w:top w:w="0" w:type="dxa"/>
              <w:left w:w="28" w:type="dxa"/>
              <w:bottom w:w="0" w:type="dxa"/>
              <w:right w:w="28" w:type="dxa"/>
            </w:tcMar>
            <w:vAlign w:val="center"/>
          </w:tcPr>
          <w:p w14:paraId="00D29D58">
            <w:pPr>
              <w:widowControl/>
              <w:numPr>
                <w:ilvl w:val="0"/>
                <w:numId w:val="0"/>
              </w:numPr>
              <w:shd w:val="clear" w:color="auto" w:fill="FFFFFF"/>
              <w:snapToGrid w:val="0"/>
              <w:spacing w:line="360" w:lineRule="auto"/>
              <w:jc w:val="both"/>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保证金缴纳证明材料：汇款凭证或支票或汇票或保函或保证金收据等的扫描件。</w:t>
            </w:r>
          </w:p>
          <w:p w14:paraId="5D33A2E4">
            <w:pPr>
              <w:widowControl/>
              <w:numPr>
                <w:ilvl w:val="0"/>
                <w:numId w:val="0"/>
              </w:numPr>
              <w:shd w:val="clear" w:color="auto" w:fill="FFFFFF"/>
              <w:snapToGrid w:val="0"/>
              <w:spacing w:line="360" w:lineRule="auto"/>
              <w:jc w:val="both"/>
              <w:rPr>
                <w:rFonts w:hint="default"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注：采用电汇方式缴纳的，若投标人未提供上述证明材料，但采购代理机构已查实足额缴纳的，视为已按规定缴纳保证金。</w:t>
            </w:r>
          </w:p>
        </w:tc>
      </w:tr>
      <w:tr w14:paraId="7F86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shd w:val="clear" w:color="auto" w:fill="auto"/>
            <w:tcMar>
              <w:top w:w="0" w:type="dxa"/>
              <w:left w:w="28" w:type="dxa"/>
              <w:bottom w:w="0" w:type="dxa"/>
              <w:right w:w="28" w:type="dxa"/>
            </w:tcMar>
            <w:vAlign w:val="center"/>
          </w:tcPr>
          <w:p w14:paraId="5BA2A2F0">
            <w:pPr>
              <w:widowControl/>
              <w:shd w:val="clear" w:color="auto" w:fill="FFFFFF"/>
              <w:snapToGrid w:val="0"/>
              <w:spacing w:line="360" w:lineRule="auto"/>
              <w:jc w:val="center"/>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lang w:val="en-US" w:eastAsia="zh-CN"/>
              </w:rPr>
              <w:t>8</w:t>
            </w:r>
          </w:p>
        </w:tc>
        <w:tc>
          <w:tcPr>
            <w:tcW w:w="4929" w:type="dxa"/>
            <w:shd w:val="clear" w:color="auto" w:fill="auto"/>
            <w:vAlign w:val="center"/>
          </w:tcPr>
          <w:p w14:paraId="704978D8">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投标文件符合招标文件全部实质性要求。</w:t>
            </w:r>
          </w:p>
        </w:tc>
        <w:tc>
          <w:tcPr>
            <w:tcW w:w="3446" w:type="dxa"/>
            <w:shd w:val="clear" w:color="auto" w:fill="auto"/>
            <w:tcMar>
              <w:top w:w="0" w:type="dxa"/>
              <w:left w:w="28" w:type="dxa"/>
              <w:bottom w:w="0" w:type="dxa"/>
              <w:right w:w="28" w:type="dxa"/>
            </w:tcMar>
            <w:vAlign w:val="center"/>
          </w:tcPr>
          <w:p w14:paraId="32EF74AA">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3651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097" w:type="dxa"/>
            <w:gridSpan w:val="3"/>
            <w:vAlign w:val="center"/>
          </w:tcPr>
          <w:p w14:paraId="0C913CD5">
            <w:pPr>
              <w:widowControl/>
              <w:shd w:val="clear" w:color="auto" w:fill="FFFFFF"/>
              <w:snapToGrid w:val="0"/>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652EB435">
      <w:pPr>
        <w:rPr>
          <w:rFonts w:hint="eastAsia" w:ascii="仿宋" w:hAnsi="仿宋" w:eastAsia="仿宋" w:cs="仿宋"/>
          <w:b/>
          <w:color w:val="auto"/>
          <w:szCs w:val="24"/>
          <w:highlight w:val="none"/>
        </w:rPr>
      </w:pPr>
    </w:p>
    <w:p w14:paraId="03659E72">
      <w:pPr>
        <w:rPr>
          <w:rFonts w:hint="eastAsia"/>
          <w:color w:val="auto"/>
          <w:highlight w:val="none"/>
        </w:rPr>
      </w:pPr>
    </w:p>
    <w:p w14:paraId="40AC3B7E">
      <w:pPr>
        <w:pStyle w:val="12"/>
        <w:jc w:val="center"/>
        <w:rPr>
          <w:rFonts w:hint="eastAsia" w:ascii="仿宋" w:hAnsi="仿宋" w:eastAsia="仿宋" w:cs="仿宋"/>
          <w:b/>
          <w:color w:val="auto"/>
          <w:szCs w:val="24"/>
          <w:highlight w:val="none"/>
        </w:rPr>
      </w:pPr>
      <w:bookmarkStart w:id="54" w:name="_Toc24504"/>
      <w:bookmarkStart w:id="55" w:name="_Toc115977387"/>
      <w:bookmarkStart w:id="56" w:name="_Toc12409"/>
      <w:bookmarkStart w:id="57" w:name="_Toc485312286"/>
      <w:r>
        <w:rPr>
          <w:rFonts w:hint="eastAsia" w:ascii="仿宋" w:hAnsi="仿宋" w:eastAsia="仿宋" w:cs="仿宋"/>
          <w:b/>
          <w:color w:val="auto"/>
          <w:szCs w:val="24"/>
          <w:highlight w:val="none"/>
        </w:rPr>
        <w:t>《详细评审标准》</w:t>
      </w:r>
    </w:p>
    <w:tbl>
      <w:tblPr>
        <w:tblStyle w:val="38"/>
        <w:tblpPr w:leftFromText="180" w:rightFromText="180" w:vertAnchor="text" w:horzAnchor="page" w:tblpXSpec="center" w:tblpY="404"/>
        <w:tblOverlap w:val="never"/>
        <w:tblW w:w="49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82"/>
        <w:gridCol w:w="1285"/>
        <w:gridCol w:w="953"/>
        <w:gridCol w:w="5882"/>
      </w:tblGrid>
      <w:tr w14:paraId="663D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jc w:val="center"/>
        </w:trPr>
        <w:tc>
          <w:tcPr>
            <w:tcW w:w="439" w:type="pct"/>
            <w:vAlign w:val="center"/>
          </w:tcPr>
          <w:p w14:paraId="3B947486">
            <w:pPr>
              <w:widowControl/>
              <w:shd w:val="clear" w:color="auto" w:fill="FFFFFF"/>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721" w:type="pct"/>
            <w:vAlign w:val="center"/>
          </w:tcPr>
          <w:p w14:paraId="1BE22560">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评审项目</w:t>
            </w:r>
          </w:p>
        </w:tc>
        <w:tc>
          <w:tcPr>
            <w:tcW w:w="535" w:type="pct"/>
            <w:vAlign w:val="center"/>
          </w:tcPr>
          <w:p w14:paraId="3DFBC1F6">
            <w:pPr>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标准分</w:t>
            </w:r>
          </w:p>
        </w:tc>
        <w:tc>
          <w:tcPr>
            <w:tcW w:w="3303" w:type="pct"/>
            <w:vAlign w:val="center"/>
          </w:tcPr>
          <w:p w14:paraId="555A2D0A">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评审标准</w:t>
            </w:r>
          </w:p>
        </w:tc>
      </w:tr>
      <w:tr w14:paraId="5FB46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439" w:type="pct"/>
            <w:tcMar>
              <w:top w:w="0" w:type="dxa"/>
              <w:left w:w="108" w:type="dxa"/>
              <w:bottom w:w="0" w:type="dxa"/>
              <w:right w:w="108" w:type="dxa"/>
            </w:tcMar>
            <w:vAlign w:val="center"/>
          </w:tcPr>
          <w:p w14:paraId="52E526EA">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721" w:type="pct"/>
            <w:tcMar>
              <w:top w:w="0" w:type="dxa"/>
              <w:left w:w="108" w:type="dxa"/>
              <w:bottom w:w="0" w:type="dxa"/>
              <w:right w:w="108" w:type="dxa"/>
            </w:tcMar>
            <w:vAlign w:val="center"/>
          </w:tcPr>
          <w:p w14:paraId="6F25ADAC">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类似业绩</w:t>
            </w:r>
          </w:p>
        </w:tc>
        <w:tc>
          <w:tcPr>
            <w:tcW w:w="535" w:type="pct"/>
            <w:tcMar>
              <w:top w:w="0" w:type="dxa"/>
              <w:left w:w="108" w:type="dxa"/>
              <w:bottom w:w="0" w:type="dxa"/>
              <w:right w:w="108" w:type="dxa"/>
            </w:tcMar>
            <w:vAlign w:val="center"/>
          </w:tcPr>
          <w:p w14:paraId="0CAFC8CF">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3303" w:type="pct"/>
            <w:tcMar>
              <w:top w:w="0" w:type="dxa"/>
              <w:left w:w="108" w:type="dxa"/>
              <w:bottom w:w="0" w:type="dxa"/>
              <w:right w:w="108" w:type="dxa"/>
            </w:tcMar>
            <w:vAlign w:val="center"/>
          </w:tcPr>
          <w:p w14:paraId="005894D9">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投标人近三年(202</w:t>
            </w: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rPr>
              <w:t>年1月1日-至今)完成的类似业绩，一项计1分，最多计2项(须提供合同)。</w:t>
            </w:r>
          </w:p>
        </w:tc>
      </w:tr>
      <w:tr w14:paraId="5DDE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439" w:type="pct"/>
            <w:tcMar>
              <w:top w:w="0" w:type="dxa"/>
              <w:left w:w="108" w:type="dxa"/>
              <w:bottom w:w="0" w:type="dxa"/>
              <w:right w:w="108" w:type="dxa"/>
            </w:tcMar>
            <w:vAlign w:val="center"/>
          </w:tcPr>
          <w:p w14:paraId="69618016">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721" w:type="pct"/>
            <w:tcMar>
              <w:top w:w="0" w:type="dxa"/>
              <w:left w:w="108" w:type="dxa"/>
              <w:bottom w:w="0" w:type="dxa"/>
              <w:right w:w="108" w:type="dxa"/>
            </w:tcMar>
            <w:vAlign w:val="center"/>
          </w:tcPr>
          <w:p w14:paraId="4FA7780C">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技术指标</w:t>
            </w:r>
          </w:p>
        </w:tc>
        <w:tc>
          <w:tcPr>
            <w:tcW w:w="535" w:type="pct"/>
            <w:tcMar>
              <w:top w:w="0" w:type="dxa"/>
              <w:left w:w="108" w:type="dxa"/>
              <w:bottom w:w="0" w:type="dxa"/>
              <w:right w:w="108" w:type="dxa"/>
            </w:tcMar>
            <w:vAlign w:val="center"/>
          </w:tcPr>
          <w:p w14:paraId="6ED6B0B7">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30</w:t>
            </w:r>
          </w:p>
        </w:tc>
        <w:tc>
          <w:tcPr>
            <w:tcW w:w="3303" w:type="pct"/>
            <w:tcMar>
              <w:top w:w="0" w:type="dxa"/>
              <w:left w:w="108" w:type="dxa"/>
              <w:bottom w:w="0" w:type="dxa"/>
              <w:right w:w="108" w:type="dxa"/>
            </w:tcMar>
            <w:vAlign w:val="center"/>
          </w:tcPr>
          <w:p w14:paraId="1996E389">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技术指标全部满足采购文件要求，无偏离得30分，标“★”参数缺一项或不满足的项扣</w:t>
            </w: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分；非标“★”参数缺一项或不满足的项扣</w:t>
            </w:r>
            <w:r>
              <w:rPr>
                <w:rFonts w:hint="eastAsia" w:ascii="仿宋" w:hAnsi="仿宋" w:eastAsia="仿宋" w:cs="仿宋"/>
                <w:color w:val="auto"/>
                <w:kern w:val="0"/>
                <w:szCs w:val="21"/>
                <w:highlight w:val="none"/>
                <w:lang w:val="en-US" w:eastAsia="zh-CN"/>
              </w:rPr>
              <w:t>1</w:t>
            </w:r>
            <w:r>
              <w:rPr>
                <w:rFonts w:hint="eastAsia" w:ascii="仿宋" w:hAnsi="仿宋" w:eastAsia="仿宋" w:cs="仿宋"/>
                <w:color w:val="auto"/>
                <w:kern w:val="0"/>
                <w:szCs w:val="21"/>
                <w:highlight w:val="none"/>
              </w:rPr>
              <w:t>分；扣完为止。</w:t>
            </w:r>
          </w:p>
          <w:p w14:paraId="3412A7CC">
            <w:pPr>
              <w:spacing w:line="360" w:lineRule="auto"/>
              <w:ind w:firstLine="420" w:firstLineChars="200"/>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注：</w:t>
            </w:r>
            <w:r>
              <w:rPr>
                <w:rFonts w:hint="eastAsia" w:ascii="仿宋" w:hAnsi="仿宋" w:eastAsia="仿宋" w:cs="仿宋"/>
                <w:color w:val="auto"/>
                <w:kern w:val="0"/>
                <w:szCs w:val="21"/>
                <w:highlight w:val="none"/>
                <w:lang w:val="en-US" w:eastAsia="zh-CN"/>
              </w:rPr>
              <w:t>须附对应的证明材料，</w:t>
            </w:r>
            <w:r>
              <w:rPr>
                <w:rFonts w:hint="eastAsia" w:ascii="仿宋" w:hAnsi="仿宋" w:eastAsia="仿宋" w:cs="仿宋"/>
                <w:color w:val="auto"/>
                <w:kern w:val="0"/>
                <w:szCs w:val="21"/>
                <w:highlight w:val="none"/>
              </w:rPr>
              <w:t>如未要求可提供</w:t>
            </w:r>
            <w:r>
              <w:rPr>
                <w:rFonts w:hint="eastAsia" w:ascii="仿宋" w:hAnsi="仿宋" w:eastAsia="仿宋" w:cs="仿宋"/>
                <w:color w:val="auto"/>
                <w:kern w:val="0"/>
                <w:szCs w:val="21"/>
                <w:highlight w:val="none"/>
                <w:lang w:val="en-US" w:eastAsia="zh-CN"/>
              </w:rPr>
              <w:t>厂家出具的产品白皮书或技术规格彩页或第三方检测机构出具完整的检测报告；若未提供有效证明材料或证明材料不符合参数要求的则该参数将被视为负偏离。</w:t>
            </w:r>
          </w:p>
        </w:tc>
      </w:tr>
      <w:tr w14:paraId="4F90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439" w:type="pct"/>
            <w:tcMar>
              <w:top w:w="0" w:type="dxa"/>
              <w:left w:w="108" w:type="dxa"/>
              <w:bottom w:w="0" w:type="dxa"/>
              <w:right w:w="108" w:type="dxa"/>
            </w:tcMar>
            <w:vAlign w:val="center"/>
          </w:tcPr>
          <w:p w14:paraId="520EF0C9">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721" w:type="pct"/>
            <w:shd w:val="clear" w:color="auto" w:fill="auto"/>
            <w:tcMar>
              <w:top w:w="0" w:type="dxa"/>
              <w:left w:w="108" w:type="dxa"/>
              <w:bottom w:w="0" w:type="dxa"/>
              <w:right w:w="108" w:type="dxa"/>
            </w:tcMar>
            <w:vAlign w:val="center"/>
          </w:tcPr>
          <w:p w14:paraId="019B3275">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实施方案</w:t>
            </w:r>
          </w:p>
        </w:tc>
        <w:tc>
          <w:tcPr>
            <w:tcW w:w="535" w:type="pct"/>
            <w:shd w:val="clear" w:color="auto" w:fill="auto"/>
            <w:tcMar>
              <w:top w:w="0" w:type="dxa"/>
              <w:left w:w="108" w:type="dxa"/>
              <w:bottom w:w="0" w:type="dxa"/>
              <w:right w:w="108" w:type="dxa"/>
            </w:tcMar>
            <w:vAlign w:val="center"/>
          </w:tcPr>
          <w:p w14:paraId="17BB59D5">
            <w:pPr>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12</w:t>
            </w:r>
          </w:p>
        </w:tc>
        <w:tc>
          <w:tcPr>
            <w:tcW w:w="3303" w:type="pct"/>
            <w:shd w:val="clear" w:color="auto" w:fill="auto"/>
            <w:tcMar>
              <w:top w:w="0" w:type="dxa"/>
              <w:left w:w="108" w:type="dxa"/>
              <w:bottom w:w="0" w:type="dxa"/>
              <w:right w:w="108" w:type="dxa"/>
            </w:tcMar>
            <w:vAlign w:val="center"/>
          </w:tcPr>
          <w:p w14:paraId="24019C3D">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实施方案</w:t>
            </w:r>
            <w:r>
              <w:rPr>
                <w:rFonts w:hint="eastAsia" w:ascii="仿宋" w:hAnsi="仿宋" w:eastAsia="仿宋" w:cs="仿宋"/>
                <w:color w:val="auto"/>
                <w:szCs w:val="21"/>
                <w:highlight w:val="none"/>
              </w:rPr>
              <w:t>包括但不限于：</w:t>
            </w:r>
            <w:r>
              <w:rPr>
                <w:rFonts w:hint="eastAsia" w:ascii="仿宋" w:hAnsi="仿宋" w:eastAsia="仿宋" w:cs="仿宋"/>
                <w:color w:val="auto"/>
                <w:kern w:val="0"/>
                <w:szCs w:val="21"/>
                <w:highlight w:val="none"/>
              </w:rPr>
              <w:t>①供货计划，②</w:t>
            </w:r>
            <w:r>
              <w:rPr>
                <w:rFonts w:hint="eastAsia" w:ascii="仿宋" w:hAnsi="仿宋" w:eastAsia="仿宋" w:cs="仿宋"/>
                <w:color w:val="auto"/>
                <w:szCs w:val="21"/>
                <w:highlight w:val="none"/>
              </w:rPr>
              <w:t>成品包装、运输保护措施，</w:t>
            </w:r>
            <w:r>
              <w:rPr>
                <w:rFonts w:hint="eastAsia" w:ascii="仿宋" w:hAnsi="仿宋" w:eastAsia="仿宋" w:cs="仿宋"/>
                <w:color w:val="auto"/>
                <w:kern w:val="0"/>
                <w:szCs w:val="21"/>
                <w:highlight w:val="none"/>
              </w:rPr>
              <w:t>③安装调试措施；</w:t>
            </w: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rPr>
              <w:t>部分要素。</w:t>
            </w:r>
          </w:p>
          <w:p w14:paraId="6D68DFAE">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所有要素齐全且完全满足项目要求得1</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分，每缺一个要素扣</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分，每个要素里每有一处内容缺陷扣2分（扣完为止）。</w:t>
            </w:r>
          </w:p>
        </w:tc>
      </w:tr>
      <w:tr w14:paraId="626EA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439" w:type="pct"/>
            <w:tcMar>
              <w:top w:w="0" w:type="dxa"/>
              <w:left w:w="108" w:type="dxa"/>
              <w:bottom w:w="0" w:type="dxa"/>
              <w:right w:w="108" w:type="dxa"/>
            </w:tcMar>
            <w:vAlign w:val="center"/>
          </w:tcPr>
          <w:p w14:paraId="0158703B">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721" w:type="pct"/>
            <w:shd w:val="clear" w:color="auto" w:fill="auto"/>
            <w:tcMar>
              <w:top w:w="0" w:type="dxa"/>
              <w:left w:w="108" w:type="dxa"/>
              <w:bottom w:w="0" w:type="dxa"/>
              <w:right w:w="108" w:type="dxa"/>
            </w:tcMar>
            <w:vAlign w:val="center"/>
          </w:tcPr>
          <w:p w14:paraId="34293D48">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质量保证方案</w:t>
            </w:r>
          </w:p>
        </w:tc>
        <w:tc>
          <w:tcPr>
            <w:tcW w:w="535" w:type="pct"/>
            <w:shd w:val="clear" w:color="auto" w:fill="auto"/>
            <w:tcMar>
              <w:top w:w="0" w:type="dxa"/>
              <w:left w:w="108" w:type="dxa"/>
              <w:bottom w:w="0" w:type="dxa"/>
              <w:right w:w="108" w:type="dxa"/>
            </w:tcMar>
            <w:vAlign w:val="center"/>
          </w:tcPr>
          <w:p w14:paraId="2D5993FB">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3303" w:type="pct"/>
            <w:shd w:val="clear" w:color="auto" w:fill="auto"/>
            <w:tcMar>
              <w:top w:w="0" w:type="dxa"/>
              <w:left w:w="108" w:type="dxa"/>
              <w:bottom w:w="0" w:type="dxa"/>
              <w:right w:w="108" w:type="dxa"/>
            </w:tcMar>
            <w:vAlign w:val="center"/>
          </w:tcPr>
          <w:p w14:paraId="7EBEED0A">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质量保证方案</w:t>
            </w:r>
            <w:r>
              <w:rPr>
                <w:rFonts w:hint="eastAsia" w:ascii="仿宋" w:hAnsi="仿宋" w:eastAsia="仿宋" w:cs="仿宋"/>
                <w:color w:val="auto"/>
                <w:szCs w:val="21"/>
                <w:highlight w:val="none"/>
              </w:rPr>
              <w:t>包括但不限于：</w:t>
            </w:r>
            <w:r>
              <w:rPr>
                <w:rFonts w:hint="eastAsia" w:ascii="仿宋" w:hAnsi="仿宋" w:eastAsia="仿宋" w:cs="仿宋"/>
                <w:color w:val="auto"/>
                <w:kern w:val="0"/>
                <w:szCs w:val="21"/>
                <w:highlight w:val="none"/>
              </w:rPr>
              <w:t>①质量检测措施，②质量管理制度；2部分要素。</w:t>
            </w:r>
          </w:p>
          <w:p w14:paraId="77A0D08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所有要素齐全且完全满足项目要求得6分，每缺一个要素扣3分，每个要素里每有一处内容缺陷扣</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分（扣完为止）。</w:t>
            </w:r>
          </w:p>
        </w:tc>
      </w:tr>
      <w:tr w14:paraId="79FA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439" w:type="pct"/>
            <w:tcMar>
              <w:top w:w="0" w:type="dxa"/>
              <w:left w:w="108" w:type="dxa"/>
              <w:bottom w:w="0" w:type="dxa"/>
              <w:right w:w="108" w:type="dxa"/>
            </w:tcMar>
            <w:vAlign w:val="center"/>
          </w:tcPr>
          <w:p w14:paraId="2F7C99CE">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721" w:type="pct"/>
            <w:shd w:val="clear" w:color="auto" w:fill="auto"/>
            <w:tcMar>
              <w:top w:w="0" w:type="dxa"/>
              <w:left w:w="108" w:type="dxa"/>
              <w:bottom w:w="0" w:type="dxa"/>
              <w:right w:w="108" w:type="dxa"/>
            </w:tcMar>
            <w:vAlign w:val="center"/>
          </w:tcPr>
          <w:p w14:paraId="26896801">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应急预案</w:t>
            </w:r>
          </w:p>
        </w:tc>
        <w:tc>
          <w:tcPr>
            <w:tcW w:w="535" w:type="pct"/>
            <w:shd w:val="clear" w:color="auto" w:fill="auto"/>
            <w:tcMar>
              <w:top w:w="0" w:type="dxa"/>
              <w:left w:w="108" w:type="dxa"/>
              <w:bottom w:w="0" w:type="dxa"/>
              <w:right w:w="108" w:type="dxa"/>
            </w:tcMar>
            <w:vAlign w:val="center"/>
          </w:tcPr>
          <w:p w14:paraId="2AE25A1A">
            <w:pPr>
              <w:spacing w:line="360" w:lineRule="auto"/>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4</w:t>
            </w:r>
          </w:p>
        </w:tc>
        <w:tc>
          <w:tcPr>
            <w:tcW w:w="3303" w:type="pct"/>
            <w:shd w:val="clear" w:color="auto" w:fill="auto"/>
            <w:tcMar>
              <w:top w:w="0" w:type="dxa"/>
              <w:left w:w="108" w:type="dxa"/>
              <w:bottom w:w="0" w:type="dxa"/>
              <w:right w:w="108" w:type="dxa"/>
            </w:tcMar>
            <w:vAlign w:val="center"/>
          </w:tcPr>
          <w:p w14:paraId="12EEFC34">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应急预案</w:t>
            </w:r>
            <w:r>
              <w:rPr>
                <w:rFonts w:hint="eastAsia" w:ascii="仿宋" w:hAnsi="仿宋" w:eastAsia="仿宋" w:cs="仿宋"/>
                <w:color w:val="auto"/>
                <w:szCs w:val="21"/>
                <w:highlight w:val="none"/>
              </w:rPr>
              <w:t>包括但不限于：①风险预防措施，②应急响应流程；</w:t>
            </w: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部分要素。</w:t>
            </w:r>
          </w:p>
          <w:p w14:paraId="002577B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所有要素齐全且完全满足项目要求得</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分，每缺一个要素扣2分，每个要素里每有一处内容缺陷扣1分（扣完为止）。</w:t>
            </w:r>
          </w:p>
        </w:tc>
      </w:tr>
      <w:tr w14:paraId="50BF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439" w:type="pct"/>
            <w:tcMar>
              <w:top w:w="0" w:type="dxa"/>
              <w:left w:w="108" w:type="dxa"/>
              <w:bottom w:w="0" w:type="dxa"/>
              <w:right w:w="108" w:type="dxa"/>
            </w:tcMar>
            <w:vAlign w:val="center"/>
          </w:tcPr>
          <w:p w14:paraId="40A2D0B1">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721" w:type="pct"/>
            <w:shd w:val="clear" w:color="auto" w:fill="auto"/>
            <w:tcMar>
              <w:top w:w="0" w:type="dxa"/>
              <w:left w:w="108" w:type="dxa"/>
              <w:bottom w:w="0" w:type="dxa"/>
              <w:right w:w="108" w:type="dxa"/>
            </w:tcMar>
            <w:vAlign w:val="center"/>
          </w:tcPr>
          <w:p w14:paraId="36861A77">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培训方案</w:t>
            </w:r>
          </w:p>
        </w:tc>
        <w:tc>
          <w:tcPr>
            <w:tcW w:w="535" w:type="pct"/>
            <w:shd w:val="clear" w:color="auto" w:fill="auto"/>
            <w:tcMar>
              <w:top w:w="0" w:type="dxa"/>
              <w:left w:w="108" w:type="dxa"/>
              <w:bottom w:w="0" w:type="dxa"/>
              <w:right w:w="108" w:type="dxa"/>
            </w:tcMar>
            <w:vAlign w:val="center"/>
          </w:tcPr>
          <w:p w14:paraId="7837443C">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3303" w:type="pct"/>
            <w:shd w:val="clear" w:color="auto" w:fill="auto"/>
            <w:tcMar>
              <w:top w:w="0" w:type="dxa"/>
              <w:left w:w="108" w:type="dxa"/>
              <w:bottom w:w="0" w:type="dxa"/>
              <w:right w:w="108" w:type="dxa"/>
            </w:tcMar>
            <w:vAlign w:val="center"/>
          </w:tcPr>
          <w:p w14:paraId="36B3C71D">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培训方案</w:t>
            </w:r>
            <w:r>
              <w:rPr>
                <w:rFonts w:hint="eastAsia" w:ascii="仿宋" w:hAnsi="仿宋" w:eastAsia="仿宋" w:cs="仿宋"/>
                <w:color w:val="auto"/>
                <w:szCs w:val="21"/>
                <w:highlight w:val="none"/>
              </w:rPr>
              <w:t>包括但不限于：</w:t>
            </w:r>
            <w:r>
              <w:rPr>
                <w:rFonts w:hint="eastAsia" w:ascii="仿宋" w:hAnsi="仿宋" w:eastAsia="仿宋" w:cs="仿宋"/>
                <w:color w:val="auto"/>
                <w:kern w:val="0"/>
                <w:szCs w:val="21"/>
                <w:highlight w:val="none"/>
              </w:rPr>
              <w:t>①培训计划，②培训内容；2部分要素。</w:t>
            </w:r>
          </w:p>
          <w:p w14:paraId="4E4C17B8">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所有要素齐全且完全满足项目要求得4分，每缺一个要素扣2分，每个要素里每有一处内容缺陷扣1分（扣完为止）。</w:t>
            </w:r>
          </w:p>
        </w:tc>
      </w:tr>
      <w:tr w14:paraId="6314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439" w:type="pct"/>
            <w:tcMar>
              <w:top w:w="0" w:type="dxa"/>
              <w:left w:w="108" w:type="dxa"/>
              <w:bottom w:w="0" w:type="dxa"/>
              <w:right w:w="108" w:type="dxa"/>
            </w:tcMar>
            <w:vAlign w:val="center"/>
          </w:tcPr>
          <w:p w14:paraId="659EB413">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w:t>
            </w:r>
          </w:p>
        </w:tc>
        <w:tc>
          <w:tcPr>
            <w:tcW w:w="721" w:type="pct"/>
            <w:shd w:val="clear" w:color="auto" w:fill="auto"/>
            <w:tcMar>
              <w:top w:w="0" w:type="dxa"/>
              <w:left w:w="108" w:type="dxa"/>
              <w:bottom w:w="0" w:type="dxa"/>
              <w:right w:w="108" w:type="dxa"/>
            </w:tcMar>
            <w:vAlign w:val="center"/>
          </w:tcPr>
          <w:p w14:paraId="475D0D14">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售后服务方案</w:t>
            </w:r>
          </w:p>
        </w:tc>
        <w:tc>
          <w:tcPr>
            <w:tcW w:w="535" w:type="pct"/>
            <w:shd w:val="clear" w:color="auto" w:fill="auto"/>
            <w:tcMar>
              <w:top w:w="0" w:type="dxa"/>
              <w:left w:w="108" w:type="dxa"/>
              <w:bottom w:w="0" w:type="dxa"/>
              <w:right w:w="108" w:type="dxa"/>
            </w:tcMar>
            <w:vAlign w:val="center"/>
          </w:tcPr>
          <w:p w14:paraId="40A2ADAC">
            <w:pPr>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12</w:t>
            </w:r>
          </w:p>
        </w:tc>
        <w:tc>
          <w:tcPr>
            <w:tcW w:w="3303" w:type="pct"/>
            <w:shd w:val="clear" w:color="auto" w:fill="auto"/>
            <w:tcMar>
              <w:top w:w="0" w:type="dxa"/>
              <w:left w:w="108" w:type="dxa"/>
              <w:bottom w:w="0" w:type="dxa"/>
              <w:right w:w="108" w:type="dxa"/>
            </w:tcMar>
            <w:vAlign w:val="center"/>
          </w:tcPr>
          <w:p w14:paraId="7300EEEB">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售后服务方案</w:t>
            </w:r>
            <w:r>
              <w:rPr>
                <w:rFonts w:hint="eastAsia" w:ascii="仿宋" w:hAnsi="仿宋" w:eastAsia="仿宋" w:cs="仿宋"/>
                <w:color w:val="auto"/>
                <w:szCs w:val="21"/>
                <w:highlight w:val="none"/>
              </w:rPr>
              <w:t>包括但不限于：</w:t>
            </w:r>
            <w:r>
              <w:rPr>
                <w:rFonts w:hint="eastAsia" w:ascii="仿宋" w:hAnsi="仿宋" w:eastAsia="仿宋" w:cs="仿宋"/>
                <w:color w:val="auto"/>
                <w:kern w:val="0"/>
                <w:szCs w:val="21"/>
                <w:highlight w:val="none"/>
              </w:rPr>
              <w:t>①质量\非质量问题退换方案及时效</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②</w:t>
            </w:r>
            <w:r>
              <w:rPr>
                <w:rFonts w:hint="eastAsia" w:ascii="仿宋" w:hAnsi="仿宋" w:eastAsia="仿宋" w:cs="仿宋"/>
                <w:color w:val="auto"/>
                <w:szCs w:val="21"/>
                <w:highlight w:val="none"/>
                <w:lang w:val="en-US" w:eastAsia="zh-CN"/>
              </w:rPr>
              <w:t>备品备件，</w:t>
            </w:r>
            <w:r>
              <w:rPr>
                <w:rFonts w:hint="eastAsia" w:ascii="仿宋" w:hAnsi="仿宋" w:eastAsia="仿宋" w:cs="仿宋"/>
                <w:color w:val="auto"/>
                <w:szCs w:val="21"/>
                <w:highlight w:val="none"/>
              </w:rPr>
              <w:t>③</w:t>
            </w:r>
            <w:r>
              <w:rPr>
                <w:rFonts w:hint="eastAsia" w:ascii="仿宋" w:hAnsi="仿宋" w:eastAsia="仿宋" w:cs="仿宋"/>
                <w:color w:val="auto"/>
                <w:kern w:val="0"/>
                <w:szCs w:val="21"/>
                <w:highlight w:val="none"/>
              </w:rPr>
              <w:t>故障维修处理</w:t>
            </w:r>
            <w:r>
              <w:rPr>
                <w:rFonts w:hint="eastAsia" w:ascii="仿宋" w:hAnsi="仿宋" w:eastAsia="仿宋" w:cs="仿宋"/>
                <w:color w:val="auto"/>
                <w:kern w:val="0"/>
                <w:szCs w:val="21"/>
                <w:highlight w:val="none"/>
                <w:lang w:val="en-US" w:eastAsia="zh-CN"/>
              </w:rPr>
              <w:t>措施</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rPr>
              <w:t>部分要素。</w:t>
            </w:r>
          </w:p>
          <w:p w14:paraId="00D7248F">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所有要素齐全且完全满足项目要求得</w:t>
            </w: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分，每缺一个要素扣</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分，每个要素里每有一处内容缺陷扣</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分（扣完为止）。</w:t>
            </w:r>
          </w:p>
        </w:tc>
      </w:tr>
      <w:tr w14:paraId="53863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1161" w:type="pct"/>
            <w:gridSpan w:val="2"/>
            <w:tcMar>
              <w:top w:w="0" w:type="dxa"/>
              <w:left w:w="108" w:type="dxa"/>
              <w:bottom w:w="0" w:type="dxa"/>
              <w:right w:w="108" w:type="dxa"/>
            </w:tcMar>
            <w:vAlign w:val="center"/>
          </w:tcPr>
          <w:p w14:paraId="3374FEF8">
            <w:pPr>
              <w:spacing w:line="360" w:lineRule="auto"/>
              <w:ind w:left="-105" w:leftChars="-50" w:right="-105" w:rightChars="-50"/>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小计</w:t>
            </w:r>
          </w:p>
        </w:tc>
        <w:tc>
          <w:tcPr>
            <w:tcW w:w="535" w:type="pct"/>
            <w:shd w:val="clear" w:color="auto" w:fill="auto"/>
            <w:tcMar>
              <w:top w:w="0" w:type="dxa"/>
              <w:left w:w="108" w:type="dxa"/>
              <w:bottom w:w="0" w:type="dxa"/>
              <w:right w:w="108" w:type="dxa"/>
            </w:tcMar>
            <w:vAlign w:val="center"/>
          </w:tcPr>
          <w:p w14:paraId="21AE282F">
            <w:pPr>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70</w:t>
            </w:r>
          </w:p>
        </w:tc>
        <w:tc>
          <w:tcPr>
            <w:tcW w:w="3303" w:type="pct"/>
            <w:shd w:val="clear" w:color="auto" w:fill="auto"/>
            <w:tcMar>
              <w:top w:w="0" w:type="dxa"/>
              <w:left w:w="108" w:type="dxa"/>
              <w:bottom w:w="0" w:type="dxa"/>
              <w:right w:w="108" w:type="dxa"/>
            </w:tcMar>
            <w:vAlign w:val="center"/>
          </w:tcPr>
          <w:p w14:paraId="7DC29C40">
            <w:pPr>
              <w:spacing w:line="360" w:lineRule="auto"/>
              <w:ind w:firstLine="420" w:firstLineChars="200"/>
              <w:rPr>
                <w:rFonts w:hint="eastAsia" w:ascii="仿宋" w:hAnsi="仿宋" w:eastAsia="仿宋" w:cs="仿宋"/>
                <w:color w:val="auto"/>
                <w:szCs w:val="21"/>
                <w:highlight w:val="none"/>
              </w:rPr>
            </w:pPr>
          </w:p>
        </w:tc>
      </w:tr>
      <w:tr w14:paraId="26CA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5000" w:type="pct"/>
            <w:gridSpan w:val="4"/>
            <w:tcMar>
              <w:top w:w="0" w:type="dxa"/>
              <w:left w:w="108" w:type="dxa"/>
              <w:bottom w:w="0" w:type="dxa"/>
              <w:right w:w="108" w:type="dxa"/>
            </w:tcMar>
            <w:vAlign w:val="center"/>
          </w:tcPr>
          <w:p w14:paraId="0CFB3D9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说明：本评审内容中“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r>
    </w:tbl>
    <w:p w14:paraId="43F84BEB">
      <w:pPr>
        <w:rPr>
          <w:rFonts w:hint="eastAsia"/>
          <w:color w:val="auto"/>
          <w:highlight w:val="none"/>
        </w:rPr>
      </w:pPr>
    </w:p>
    <w:p w14:paraId="6B8902D8">
      <w:pPr>
        <w:rPr>
          <w:rFonts w:hint="eastAsia" w:ascii="仿宋" w:hAnsi="仿宋" w:eastAsia="仿宋" w:cs="仿宋"/>
          <w:color w:val="auto"/>
          <w:highlight w:val="none"/>
        </w:rPr>
      </w:pPr>
    </w:p>
    <w:p w14:paraId="43D4F208">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58" w:name="_Toc20438"/>
      <w:r>
        <w:rPr>
          <w:rFonts w:hint="eastAsia" w:ascii="仿宋" w:hAnsi="仿宋" w:eastAsia="仿宋" w:cs="仿宋"/>
          <w:b/>
          <w:color w:val="auto"/>
          <w:sz w:val="24"/>
          <w:szCs w:val="24"/>
          <w:highlight w:val="none"/>
        </w:rPr>
        <w:t>一、评标方法</w:t>
      </w:r>
      <w:bookmarkEnd w:id="54"/>
      <w:bookmarkEnd w:id="55"/>
      <w:bookmarkEnd w:id="56"/>
      <w:bookmarkEnd w:id="58"/>
    </w:p>
    <w:p w14:paraId="13F9552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本次评标采用综合评分法。评标委员会对满足招标文件实质性要求的投标文件，按照本节规定的评审标准进行评审。评标中各评委若发生意见分歧，以少数服从多数原则确定。</w:t>
      </w:r>
    </w:p>
    <w:p w14:paraId="46145B22">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59" w:name="_Toc17097"/>
      <w:bookmarkStart w:id="60" w:name="_Toc115977388"/>
      <w:bookmarkStart w:id="61" w:name="_Toc32415"/>
      <w:bookmarkStart w:id="62" w:name="_Toc8393"/>
      <w:r>
        <w:rPr>
          <w:rFonts w:hint="eastAsia" w:ascii="仿宋" w:hAnsi="仿宋" w:eastAsia="仿宋" w:cs="仿宋"/>
          <w:b/>
          <w:color w:val="auto"/>
          <w:sz w:val="24"/>
          <w:szCs w:val="24"/>
          <w:highlight w:val="none"/>
        </w:rPr>
        <w:t>二、评审标准</w:t>
      </w:r>
      <w:bookmarkEnd w:id="59"/>
      <w:bookmarkEnd w:id="60"/>
      <w:bookmarkEnd w:id="61"/>
      <w:bookmarkEnd w:id="62"/>
    </w:p>
    <w:p w14:paraId="4CCA901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2.1资格审查：评审因素和评审标准见《资格审查标准》。</w:t>
      </w:r>
    </w:p>
    <w:p w14:paraId="5CA04A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2.2完备性及符合性审查：评审因素和评审标准见《</w:t>
      </w:r>
      <w:r>
        <w:rPr>
          <w:rFonts w:hint="eastAsia" w:ascii="仿宋" w:hAnsi="仿宋" w:eastAsia="仿宋" w:cs="仿宋"/>
          <w:color w:val="auto"/>
          <w:kern w:val="0"/>
          <w:sz w:val="24"/>
          <w:szCs w:val="24"/>
          <w:highlight w:val="none"/>
          <w:lang w:eastAsia="zh-CN"/>
        </w:rPr>
        <w:t>符合性审查标准</w:t>
      </w:r>
      <w:r>
        <w:rPr>
          <w:rFonts w:hint="eastAsia" w:ascii="仿宋" w:hAnsi="仿宋" w:eastAsia="仿宋" w:cs="仿宋"/>
          <w:color w:val="auto"/>
          <w:kern w:val="0"/>
          <w:sz w:val="24"/>
          <w:szCs w:val="24"/>
          <w:highlight w:val="none"/>
        </w:rPr>
        <w:t>》。</w:t>
      </w:r>
    </w:p>
    <w:p w14:paraId="0E51CCF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 投标品牌：评审因素和评审标准见本节第3.5款。</w:t>
      </w:r>
    </w:p>
    <w:p w14:paraId="30AA60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2.4详细评审：</w:t>
      </w:r>
    </w:p>
    <w:p w14:paraId="386D443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2.4.1详细评审：评审因素和评审标准见《详细评审标准》及本节第3.6款。</w:t>
      </w:r>
    </w:p>
    <w:p w14:paraId="6E11F5B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投标报价评分标准：</w:t>
      </w:r>
    </w:p>
    <w:p w14:paraId="6F2905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（1）分值构成：见评标办法前附表。</w:t>
      </w:r>
    </w:p>
    <w:p w14:paraId="16D086A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（2）评标基准价的确定：见评标办法前附表。</w:t>
      </w:r>
    </w:p>
    <w:p w14:paraId="0B3F32B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（3）投标报价得分的计算：见评标办法前附表。</w:t>
      </w:r>
    </w:p>
    <w:p w14:paraId="7573A703">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63" w:name="_Toc24086"/>
      <w:bookmarkStart w:id="64" w:name="_Toc11788"/>
      <w:bookmarkStart w:id="65" w:name="_Toc115977389"/>
      <w:bookmarkStart w:id="66" w:name="_Toc9604"/>
      <w:r>
        <w:rPr>
          <w:rFonts w:hint="eastAsia" w:ascii="仿宋" w:hAnsi="仿宋" w:eastAsia="仿宋" w:cs="仿宋"/>
          <w:b/>
          <w:color w:val="auto"/>
          <w:sz w:val="24"/>
          <w:szCs w:val="24"/>
          <w:highlight w:val="none"/>
        </w:rPr>
        <w:t>三、评标程序</w:t>
      </w:r>
      <w:bookmarkEnd w:id="63"/>
      <w:bookmarkEnd w:id="64"/>
      <w:bookmarkEnd w:id="65"/>
      <w:bookmarkEnd w:id="66"/>
    </w:p>
    <w:p w14:paraId="23B1BE8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基本程序</w:t>
      </w:r>
    </w:p>
    <w:p w14:paraId="4C70084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评标活动将按以下步骤进行：</w:t>
      </w:r>
    </w:p>
    <w:p w14:paraId="37E3644E">
      <w:pPr>
        <w:pStyle w:val="199"/>
        <w:widowControl/>
        <w:numPr>
          <w:ilvl w:val="0"/>
          <w:numId w:val="1"/>
        </w:numPr>
        <w:shd w:val="clear" w:color="auto" w:fill="FFFFFF"/>
        <w:snapToGrid w:val="0"/>
        <w:spacing w:line="360" w:lineRule="auto"/>
        <w:ind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评标准备</w:t>
      </w:r>
    </w:p>
    <w:p w14:paraId="345949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资格审查</w:t>
      </w:r>
    </w:p>
    <w:p w14:paraId="463E830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 完备性及符合性审查</w:t>
      </w:r>
    </w:p>
    <w:p w14:paraId="587E87B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 投标品牌统计</w:t>
      </w:r>
    </w:p>
    <w:p w14:paraId="2CE4F51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 详细评审</w:t>
      </w:r>
    </w:p>
    <w:p w14:paraId="1303D42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 澄清、说明或补正</w:t>
      </w:r>
    </w:p>
    <w:p w14:paraId="1DE9352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 推荐中标候选人及提交评标报告</w:t>
      </w:r>
    </w:p>
    <w:p w14:paraId="605A523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评标准备</w:t>
      </w:r>
    </w:p>
    <w:p w14:paraId="24907C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3.2.1评标委员会成员签到</w:t>
      </w:r>
    </w:p>
    <w:p w14:paraId="47E99D5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评标委员会成员到达评标现场时应当在签到表上签到以证明其出席。</w:t>
      </w:r>
    </w:p>
    <w:p w14:paraId="622A39B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评标委员会的分工</w:t>
      </w:r>
    </w:p>
    <w:p w14:paraId="1C57A93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3.2.2.1评标委员会首先推选一名评标委员会主任。评标委员会主任负责评标活动的组织领导工作。评标委员会主任与评标委员会其它成员具有同等的评标权力。</w:t>
      </w:r>
    </w:p>
    <w:p w14:paraId="638B1D4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3.2.2.2 评标委员会主任除履行自己作为评标委员会成员独立评标的职责外，主要负责以下工作：</w:t>
      </w:r>
    </w:p>
    <w:p w14:paraId="3271F01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（1）组织评标委员会成员学习招标文件；</w:t>
      </w:r>
    </w:p>
    <w:p w14:paraId="255ED3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（2）汇总各评标委员会成员认为需要投标人澄清、说明或者补正的问题；</w:t>
      </w:r>
    </w:p>
    <w:p w14:paraId="306129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（3）组织评标委员会对投标人质询并对投标人的答复进行评审；</w:t>
      </w:r>
    </w:p>
    <w:p w14:paraId="1C2DEF8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（4）对出现较大争议的事项进行书面记录；</w:t>
      </w:r>
    </w:p>
    <w:p w14:paraId="1B5033E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（5）组织收回评标过程中使用的文件、表格和评标记录以及其它资料，并查验评标记录的完整性及有效性；</w:t>
      </w:r>
    </w:p>
    <w:p w14:paraId="7D02A0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（6）组织对评标结论进行复核确认；</w:t>
      </w:r>
    </w:p>
    <w:p w14:paraId="78DE774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（7）组织编写评标报告。</w:t>
      </w:r>
    </w:p>
    <w:p w14:paraId="2C262F6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 熟悉文件资料</w:t>
      </w:r>
    </w:p>
    <w:p w14:paraId="4F5C876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3.2.3.1 评标委员会主任应当组织评标委员会成员认真研究招标文件，了解和熟悉招标目的、招标范围、技术标准和要求，掌握评标标准和方法。</w:t>
      </w:r>
    </w:p>
    <w:p w14:paraId="4D9CE5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3.2.3.2 采购人或采购代理机构应当向评标委员会提供评标所需的信息和数据，包括：</w:t>
      </w:r>
    </w:p>
    <w:p w14:paraId="0E5E4C6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（1）招标文件及其澄清修改等招标文件补充；</w:t>
      </w:r>
    </w:p>
    <w:p w14:paraId="6C06DE7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（2）未在开标会上当场拒绝的各投标文件；</w:t>
      </w:r>
    </w:p>
    <w:p w14:paraId="3FF961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（3）开标会记录；</w:t>
      </w:r>
    </w:p>
    <w:p w14:paraId="4604CF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（4）评标表格；</w:t>
      </w:r>
    </w:p>
    <w:p w14:paraId="56F98DC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（5）其它信息和数据。</w:t>
      </w:r>
    </w:p>
    <w:p w14:paraId="27AD196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3.3资格审查</w:t>
      </w:r>
    </w:p>
    <w:p w14:paraId="1061179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70FC6D5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3.4完备性及符合性审查</w:t>
      </w:r>
    </w:p>
    <w:p w14:paraId="6939733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评标委员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14:paraId="794876E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3.4.2 完备性及符合性审查条款是指对本招标项目产生了重大影响的重大偏差，而且纠正此类偏差将会对响应本次招标的其它投标人的竞争地位产生不公正的影响。</w:t>
      </w:r>
    </w:p>
    <w:p w14:paraId="0B72E05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14:paraId="473235B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3.4.4政府采购评审中出现下列情形之一的，评审委员会应当启动异常低价</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审查程序：</w:t>
      </w:r>
    </w:p>
    <w:p w14:paraId="0345399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低于全部通过符合性审查</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平均值50%的，即</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&lt;全部通过符合性审查</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平均值×50%；</w:t>
      </w:r>
    </w:p>
    <w:p w14:paraId="5D6F6B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低于通过符合性审查的次低报价</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50%的，即</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&lt;通过符合性审查的次低报价</w:t>
      </w:r>
      <w:r>
        <w:rPr>
          <w:rFonts w:hint="eastAsia" w:ascii="仿宋" w:hAnsi="仿宋" w:eastAsia="仿宋" w:cs="仿宋"/>
          <w:color w:val="auto"/>
          <w:kern w:val="0"/>
          <w:sz w:val="24"/>
          <w:szCs w:val="24"/>
          <w:highlight w:val="none"/>
          <w:lang w:eastAsia="zh-CN"/>
        </w:rPr>
        <w:t>投标人投标报价</w:t>
      </w:r>
      <w:r>
        <w:rPr>
          <w:rFonts w:hint="eastAsia" w:ascii="仿宋" w:hAnsi="仿宋" w:eastAsia="仿宋" w:cs="仿宋"/>
          <w:color w:val="auto"/>
          <w:kern w:val="0"/>
          <w:sz w:val="24"/>
          <w:szCs w:val="24"/>
          <w:highlight w:val="none"/>
        </w:rPr>
        <w:t>×50%；</w:t>
      </w:r>
    </w:p>
    <w:p w14:paraId="2B4B5B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低于采购项目最高限价45%的，即</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&lt;采购项目最高限价×45%；</w:t>
      </w:r>
    </w:p>
    <w:p w14:paraId="4A7A08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评审委员会基于专业判断，认为</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报价过低，有可能影响产品质量或者不能诚信履约的其他情形。</w:t>
      </w:r>
    </w:p>
    <w:p w14:paraId="5BA4D5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3.4.5评审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投标人已随投标文件一并提交相关书面说明及必要的证明材料的，在评审现场可不再重复提交。</w:t>
      </w:r>
    </w:p>
    <w:p w14:paraId="05AC0738">
      <w:pPr>
        <w:widowControl/>
        <w:shd w:val="clear" w:color="auto" w:fill="FFFFFF"/>
        <w:snapToGrid w:val="0"/>
        <w:spacing w:line="360" w:lineRule="auto"/>
        <w:ind w:firstLine="480" w:firstLineChars="200"/>
        <w:rPr>
          <w:color w:val="auto"/>
          <w:highlight w:val="none"/>
        </w:rPr>
      </w:pPr>
      <w:r>
        <w:rPr>
          <w:rFonts w:hint="eastAsia" w:ascii="仿宋" w:hAnsi="仿宋" w:eastAsia="仿宋" w:cs="仿宋"/>
          <w:color w:val="auto"/>
          <w:kern w:val="0"/>
          <w:sz w:val="24"/>
          <w:szCs w:val="24"/>
          <w:highlight w:val="none"/>
          <w:lang w:val="en-US" w:eastAsia="zh-CN"/>
        </w:rPr>
        <w:t>3.4.6</w:t>
      </w:r>
      <w:r>
        <w:rPr>
          <w:rFonts w:hint="default" w:ascii="仿宋" w:hAnsi="仿宋" w:eastAsia="仿宋" w:cs="仿宋"/>
          <w:color w:val="auto"/>
          <w:kern w:val="0"/>
          <w:sz w:val="24"/>
          <w:szCs w:val="24"/>
          <w:highlight w:val="none"/>
          <w:lang w:val="en-US" w:eastAsia="zh-CN"/>
        </w:rPr>
        <w:t>评审委员会依据专业经验，参考同类项目中标价格、类似产品市场价格水平、行业人工费用标准、国家有关部门指导行业协会发布的行业平均成本等情况，对报价合理性进行判断。</w:t>
      </w:r>
      <w:r>
        <w:rPr>
          <w:rFonts w:hint="eastAsia" w:ascii="仿宋" w:hAnsi="仿宋" w:eastAsia="仿宋" w:cs="仿宋"/>
          <w:color w:val="auto"/>
          <w:kern w:val="0"/>
          <w:sz w:val="24"/>
          <w:szCs w:val="24"/>
          <w:highlight w:val="none"/>
          <w:lang w:val="en-US" w:eastAsia="zh-CN"/>
        </w:rPr>
        <w:t>投标</w:t>
      </w:r>
      <w:r>
        <w:rPr>
          <w:rFonts w:hint="default" w:ascii="仿宋" w:hAnsi="仿宋" w:eastAsia="仿宋" w:cs="仿宋"/>
          <w:color w:val="auto"/>
          <w:kern w:val="0"/>
          <w:sz w:val="24"/>
          <w:szCs w:val="24"/>
          <w:highlight w:val="none"/>
          <w:lang w:val="en-US" w:eastAsia="zh-CN"/>
        </w:rPr>
        <w:t>供应商不能提供书面说明、证明材料，或者提供的书面说明、证明材料不能证明其报价合理性的，评审委员会应当将其作为无效</w:t>
      </w:r>
      <w:r>
        <w:rPr>
          <w:rFonts w:hint="eastAsia" w:ascii="仿宋" w:hAnsi="仿宋" w:eastAsia="仿宋" w:cs="仿宋"/>
          <w:color w:val="auto"/>
          <w:kern w:val="0"/>
          <w:sz w:val="24"/>
          <w:szCs w:val="24"/>
          <w:highlight w:val="none"/>
          <w:lang w:val="en-US" w:eastAsia="zh-CN"/>
        </w:rPr>
        <w:t>投标</w:t>
      </w:r>
      <w:r>
        <w:rPr>
          <w:rFonts w:hint="default" w:ascii="仿宋" w:hAnsi="仿宋" w:eastAsia="仿宋" w:cs="仿宋"/>
          <w:color w:val="auto"/>
          <w:kern w:val="0"/>
          <w:sz w:val="24"/>
          <w:szCs w:val="24"/>
          <w:highlight w:val="none"/>
          <w:lang w:val="en-US" w:eastAsia="zh-CN"/>
        </w:rPr>
        <w:t>处理。</w:t>
      </w:r>
    </w:p>
    <w:p w14:paraId="492459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投标品牌统计</w:t>
      </w:r>
    </w:p>
    <w:p w14:paraId="49E380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3.5.1.由评标委员会根据投标人所报核心产品品牌统计计算投标人家数。</w:t>
      </w:r>
    </w:p>
    <w:p w14:paraId="1483950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3.5.2如招标文件前附表中约定了单一产品或核心产品，则提供相同品牌产品且通过资格审查、完备性及符合性审查的不同投标人参加同一合同项下投标的，按一家投标人计算。</w:t>
      </w:r>
    </w:p>
    <w:p w14:paraId="72BC551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3.6详细评审</w:t>
      </w:r>
    </w:p>
    <w:p w14:paraId="57C0475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3.6.1.只有通过了资格审查、完备性及符合性审查且投标品牌不少于3个方可进入详细评审。</w:t>
      </w:r>
    </w:p>
    <w:p w14:paraId="1AF93E6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 澄清、说明和补正</w:t>
      </w:r>
    </w:p>
    <w:p w14:paraId="7E8094F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14:paraId="7E00B13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3.6.2.2澄清、说明和补正内容不得改变投标文件的实质性内容（算术性错误修正的除外）。投标人的书面澄清、说明和补正属于投标文件的组成部分。</w:t>
      </w:r>
    </w:p>
    <w:p w14:paraId="292310A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3.6.2.3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14:paraId="7E8737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3.6.2.4评标委员会对投标人提交的澄清、说明或补正有疑问的，可以要求投标人进一步澄清、说明或补正，直至满足评标委员会的要求。</w:t>
      </w:r>
    </w:p>
    <w:p w14:paraId="3492EE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3.6.3评委评分：评委按照《详细评审标准》评分，投标人详细评审得分等于全部评委评分的算术平均值。</w:t>
      </w:r>
    </w:p>
    <w:p w14:paraId="4B282E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 算术错误修正：投标价格有算术错误或前后不一致的，评标委员会按以下原则对投标价格进行修正：</w:t>
      </w:r>
    </w:p>
    <w:p w14:paraId="3E4ABC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电子交易平台中报价与投标文件相应内容不一致的，以投标文件为准；</w:t>
      </w:r>
    </w:p>
    <w:p w14:paraId="0E654EC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开标一览表与投标文件中相应内容不一致的，以开标一览表为准；</w:t>
      </w:r>
    </w:p>
    <w:p w14:paraId="3C78C8E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大写金额和小写金额不一致的，以大写金额为准；</w:t>
      </w:r>
    </w:p>
    <w:p w14:paraId="400E89B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单价金额小数点或者百分比有明显错位的，以开标一览表的总价为准，并修改单价；</w:t>
      </w:r>
    </w:p>
    <w:p w14:paraId="74F7A57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总价金额与按单价汇总金额不一致的，以单价金额计算结果为准。</w:t>
      </w:r>
    </w:p>
    <w:p w14:paraId="20751CC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同时出现两种以上不一致的，按照3.6.4</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的顺序修正。修正后的报价经投标人确认后产生约束力，投标人不确认或不接受的，其投标无效。</w:t>
      </w:r>
    </w:p>
    <w:p w14:paraId="07A7769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3.6.5投标报价评分：对投标报价进行投标报价得分计算，计算方法详见评标办法前附表。</w:t>
      </w:r>
    </w:p>
    <w:p w14:paraId="33A783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3.6.6汇总评分结果，评分分值计算保留小数点后两位，小数点后第三位“四舍五入”。</w:t>
      </w:r>
    </w:p>
    <w:p w14:paraId="343BF63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3.6.7详细评审工作全部结束后，投标人总得分排序按照以下原则进行。</w:t>
      </w:r>
    </w:p>
    <w:p w14:paraId="2C88BC2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3.6.7.1按照总得分由高到低顺序对投标人进行排序；</w:t>
      </w:r>
    </w:p>
    <w:p w14:paraId="33229C4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3.6.7.2总得分相同时报价低的投标人排序靠前；</w:t>
      </w:r>
    </w:p>
    <w:p w14:paraId="517AA18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3.6.7.3总得分相同且报价相同的同品牌投标人，由采购人确定排序顺序；</w:t>
      </w:r>
    </w:p>
    <w:p w14:paraId="1138E8D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3.6.7.4总得分相同且报价相同的不同品牌投标人，采取随机抽取方式确定排序顺序。</w:t>
      </w:r>
    </w:p>
    <w:p w14:paraId="3EF9368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3.7推荐中标候选人及提交评标报告</w:t>
      </w:r>
    </w:p>
    <w:p w14:paraId="7FE2BC1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3.7.1评标委员会推荐中标候选人，总得分排序第一的投标人将被确定为第一中标候选人（总得分排序最高的同品牌投标人获得中标候选人推荐资格，其它同品牌投标人不作为中标候选人），以此类推确定出规定数量的的中标候选人。</w:t>
      </w:r>
    </w:p>
    <w:p w14:paraId="43B3274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3.7.2当通过了资格审查、完备性及符合性审查后，投标品牌少于3个时，采购人应当依法重新招标。</w:t>
      </w:r>
    </w:p>
    <w:p w14:paraId="7E5BDD0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3.7.3 评标委员会完成评标后，应当向采购人提交书面评标报告。</w:t>
      </w:r>
    </w:p>
    <w:p w14:paraId="18F9347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3.8特殊情况的处置程序</w:t>
      </w:r>
    </w:p>
    <w:p w14:paraId="3EE5587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3.8.1 关于评标活动暂停</w:t>
      </w:r>
    </w:p>
    <w:p w14:paraId="4D6C8FB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14:paraId="74508C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3.8.2关于评标中途更换评委</w:t>
      </w:r>
    </w:p>
    <w:p w14:paraId="6AE2263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3.8.2.1 除非发生下列情况之一，评标委员会成员不得在评标中途更换：</w:t>
      </w:r>
    </w:p>
    <w:p w14:paraId="2A18A0E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（1）因不可抗拒的客观原因，不能到场或需在评标中途退出评标活动。</w:t>
      </w:r>
    </w:p>
    <w:p w14:paraId="55D8EF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（2）根据法律法规规定，某个或某几个评标委员会成员需要回避。</w:t>
      </w:r>
    </w:p>
    <w:p w14:paraId="67A64FE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3.8.2.2 退出评标的评标委员会成员，其已完成的评标行为无效，由更换的评委进行评标。</w:t>
      </w:r>
    </w:p>
    <w:p w14:paraId="285A0F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3.8.3 在评标环节中，需评标委员会就某项定性的评审结论做出表决的，由评标委员会全体成员按照少数服从多数的原则确定。</w:t>
      </w:r>
    </w:p>
    <w:bookmarkEnd w:id="57"/>
    <w:p w14:paraId="4109DD7D">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1902AA74">
      <w:pPr>
        <w:spacing w:line="440" w:lineRule="exact"/>
        <w:jc w:val="center"/>
        <w:outlineLvl w:val="0"/>
        <w:rPr>
          <w:rFonts w:hint="eastAsia" w:ascii="仿宋" w:hAnsi="仿宋" w:eastAsia="仿宋" w:cs="仿宋"/>
          <w:b/>
          <w:color w:val="auto"/>
          <w:sz w:val="24"/>
          <w:szCs w:val="24"/>
          <w:highlight w:val="none"/>
        </w:rPr>
      </w:pPr>
      <w:bookmarkStart w:id="67" w:name="_Toc20770"/>
      <w:bookmarkStart w:id="68" w:name="_Toc24957"/>
      <w:r>
        <w:rPr>
          <w:rFonts w:hint="eastAsia" w:ascii="仿宋" w:hAnsi="仿宋" w:eastAsia="仿宋" w:cs="仿宋"/>
          <w:b/>
          <w:color w:val="auto"/>
          <w:sz w:val="24"/>
          <w:szCs w:val="24"/>
          <w:highlight w:val="none"/>
        </w:rPr>
        <w:t>第三章 合同文本</w:t>
      </w:r>
      <w:bookmarkEnd w:id="67"/>
      <w:bookmarkEnd w:id="68"/>
    </w:p>
    <w:p w14:paraId="67F0628B">
      <w:pPr>
        <w:rPr>
          <w:rFonts w:hint="eastAsia" w:ascii="仿宋" w:hAnsi="仿宋" w:eastAsia="仿宋" w:cs="仿宋"/>
          <w:color w:val="auto"/>
          <w:highlight w:val="none"/>
        </w:rPr>
      </w:pPr>
    </w:p>
    <w:p w14:paraId="5A2DB1F4">
      <w:pPr>
        <w:pStyle w:val="8"/>
        <w:spacing w:line="360" w:lineRule="auto"/>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注：本合同供参考，具体内容以双方签订的为准。</w:t>
      </w:r>
    </w:p>
    <w:p w14:paraId="6F298C00">
      <w:pPr>
        <w:spacing w:line="360" w:lineRule="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甲   方：</w:t>
      </w:r>
      <w:r>
        <w:rPr>
          <w:rFonts w:hint="eastAsia" w:ascii="仿宋" w:hAnsi="仿宋" w:eastAsia="仿宋" w:cs="仿宋"/>
          <w:b/>
          <w:color w:val="auto"/>
          <w:sz w:val="24"/>
          <w:szCs w:val="24"/>
          <w:highlight w:val="none"/>
          <w:lang w:eastAsia="zh-CN"/>
        </w:rPr>
        <w:t>新疆阿勒泰地区人民医院</w:t>
      </w:r>
    </w:p>
    <w:p w14:paraId="2C26E1B2">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乙   方： </w:t>
      </w:r>
    </w:p>
    <w:p w14:paraId="752ED37D">
      <w:pPr>
        <w:pStyle w:val="32"/>
        <w:spacing w:before="0" w:beforeAutospacing="0" w:after="0" w:afterAutospacing="0" w:line="360" w:lineRule="auto"/>
        <w:ind w:left="-197" w:leftChars="-94" w:right="-172" w:rightChars="-82" w:firstLine="419"/>
        <w:rPr>
          <w:rFonts w:hint="eastAsia" w:ascii="仿宋" w:hAnsi="仿宋" w:eastAsia="仿宋" w:cs="仿宋"/>
          <w:color w:val="auto"/>
          <w:highlight w:val="none"/>
        </w:rPr>
      </w:pPr>
      <w:r>
        <w:rPr>
          <w:rFonts w:hint="eastAsia" w:ascii="仿宋" w:hAnsi="仿宋" w:eastAsia="仿宋" w:cs="仿宋"/>
          <w:color w:val="auto"/>
          <w:highlight w:val="none"/>
          <w:lang w:eastAsia="zh-CN"/>
        </w:rPr>
        <w:t>新疆阿勒泰地区人民医院</w:t>
      </w:r>
      <w:r>
        <w:rPr>
          <w:rFonts w:hint="eastAsia" w:ascii="仿宋" w:hAnsi="仿宋" w:eastAsia="仿宋" w:cs="仿宋"/>
          <w:color w:val="auto"/>
          <w:highlight w:val="none"/>
        </w:rPr>
        <w:t>委托</w:t>
      </w:r>
      <w:r>
        <w:rPr>
          <w:rFonts w:hint="eastAsia" w:ascii="仿宋" w:hAnsi="仿宋" w:eastAsia="仿宋" w:cs="仿宋"/>
          <w:bCs/>
          <w:color w:val="auto"/>
          <w:highlight w:val="none"/>
          <w:u w:val="single"/>
        </w:rPr>
        <w:t xml:space="preserve">       </w:t>
      </w:r>
      <w:r>
        <w:rPr>
          <w:rFonts w:hint="eastAsia" w:ascii="仿宋" w:hAnsi="仿宋" w:eastAsia="仿宋" w:cs="仿宋"/>
          <w:color w:val="auto"/>
          <w:highlight w:val="none"/>
        </w:rPr>
        <w:t>于</w:t>
      </w:r>
      <w:r>
        <w:rPr>
          <w:rFonts w:hint="eastAsia" w:ascii="仿宋" w:hAnsi="仿宋" w:eastAsia="仿宋" w:cs="仿宋"/>
          <w:color w:val="auto"/>
          <w:highlight w:val="none"/>
          <w:u w:val="single"/>
        </w:rPr>
        <w:t xml:space="preserve">  年  月  日</w:t>
      </w:r>
      <w:r>
        <w:rPr>
          <w:rFonts w:hint="eastAsia" w:ascii="仿宋" w:hAnsi="仿宋" w:eastAsia="仿宋" w:cs="仿宋"/>
          <w:color w:val="auto"/>
          <w:highlight w:val="none"/>
        </w:rPr>
        <w:t>组织的</w:t>
      </w:r>
      <w:r>
        <w:rPr>
          <w:rFonts w:hint="eastAsia" w:ascii="仿宋" w:hAnsi="仿宋" w:eastAsia="仿宋" w:cs="仿宋"/>
          <w:color w:val="auto"/>
          <w:highlight w:val="none"/>
          <w:u w:val="single"/>
        </w:rPr>
        <w:t xml:space="preserve">   </w:t>
      </w:r>
      <w:r>
        <w:rPr>
          <w:rFonts w:hint="eastAsia" w:ascii="仿宋" w:hAnsi="仿宋" w:eastAsia="仿宋" w:cs="仿宋"/>
          <w:bCs/>
          <w:color w:val="auto"/>
          <w:highlight w:val="none"/>
          <w:u w:val="single"/>
        </w:rPr>
        <w:t>项目名称</w:t>
      </w:r>
      <w:r>
        <w:rPr>
          <w:rFonts w:hint="eastAsia" w:ascii="仿宋" w:hAnsi="仿宋" w:eastAsia="仿宋" w:cs="仿宋"/>
          <w:color w:val="auto"/>
          <w:highlight w:val="none"/>
        </w:rPr>
        <w:t>的公开采购中，经评定，乙方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为中标方，最终中标总金额为人民币</w:t>
      </w:r>
      <w:r>
        <w:rPr>
          <w:rFonts w:hint="eastAsia" w:ascii="仿宋" w:hAnsi="仿宋" w:eastAsia="仿宋" w:cs="仿宋"/>
          <w:color w:val="auto"/>
          <w:highlight w:val="none"/>
          <w:u w:val="single"/>
        </w:rPr>
        <w:t>￥xxx元。</w:t>
      </w:r>
      <w:r>
        <w:rPr>
          <w:rFonts w:hint="eastAsia" w:ascii="仿宋" w:hAnsi="仿宋" w:eastAsia="仿宋" w:cs="仿宋"/>
          <w:color w:val="auto"/>
          <w:highlight w:val="none"/>
        </w:rPr>
        <w:t>根据《中华人民共和国政府采购法》和《中华人民共和国民法典》的规定，按照公平、公正、平等自愿和诚实信用、协商一致的原则，甲、乙双方授权代表就所供设备的购销、安装、调试和售后服务等事宜达成如下条款。</w:t>
      </w:r>
    </w:p>
    <w:p w14:paraId="6EEE6358">
      <w:pPr>
        <w:numPr>
          <w:ilvl w:val="0"/>
          <w:numId w:val="0"/>
        </w:num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kern w:val="2"/>
          <w:sz w:val="24"/>
          <w:szCs w:val="24"/>
          <w:highlight w:val="none"/>
          <w:lang w:val="en-US" w:eastAsia="zh-CN" w:bidi="ar-SA"/>
        </w:rPr>
        <w:t>一、</w:t>
      </w:r>
      <w:r>
        <w:rPr>
          <w:rFonts w:hint="eastAsia" w:ascii="仿宋" w:hAnsi="仿宋" w:eastAsia="仿宋" w:cs="仿宋"/>
          <w:b/>
          <w:color w:val="auto"/>
          <w:sz w:val="24"/>
          <w:szCs w:val="24"/>
          <w:highlight w:val="none"/>
        </w:rPr>
        <w:t>货物名称、型号、数量及价格</w:t>
      </w:r>
    </w:p>
    <w:tbl>
      <w:tblPr>
        <w:tblStyle w:val="38"/>
        <w:tblW w:w="9075" w:type="dxa"/>
        <w:jc w:val="center"/>
        <w:tblLayout w:type="fixed"/>
        <w:tblCellMar>
          <w:top w:w="0" w:type="dxa"/>
          <w:left w:w="0" w:type="dxa"/>
          <w:bottom w:w="0" w:type="dxa"/>
          <w:right w:w="0" w:type="dxa"/>
        </w:tblCellMar>
      </w:tblPr>
      <w:tblGrid>
        <w:gridCol w:w="682"/>
        <w:gridCol w:w="2296"/>
        <w:gridCol w:w="1830"/>
        <w:gridCol w:w="686"/>
        <w:gridCol w:w="1454"/>
        <w:gridCol w:w="1173"/>
        <w:gridCol w:w="954"/>
      </w:tblGrid>
      <w:tr w14:paraId="534D55A0">
        <w:tblPrEx>
          <w:tblCellMar>
            <w:top w:w="0" w:type="dxa"/>
            <w:left w:w="0" w:type="dxa"/>
            <w:bottom w:w="0" w:type="dxa"/>
            <w:right w:w="0" w:type="dxa"/>
          </w:tblCellMar>
        </w:tblPrEx>
        <w:trPr>
          <w:trHeight w:val="288"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8DD5E">
            <w:pPr>
              <w:widowControl/>
              <w:snapToGrid w:val="0"/>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06FD9">
            <w:pPr>
              <w:widowControl/>
              <w:snapToGrid w:val="0"/>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lang w:bidi="ar"/>
              </w:rPr>
              <w:t>货物名称</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A99C8">
            <w:pPr>
              <w:widowControl/>
              <w:snapToGrid w:val="0"/>
              <w:spacing w:line="360" w:lineRule="auto"/>
              <w:jc w:val="center"/>
              <w:textAlignment w:val="center"/>
              <w:rPr>
                <w:rFonts w:hint="eastAsia"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规格型号</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C9D3F">
            <w:pPr>
              <w:widowControl/>
              <w:snapToGrid w:val="0"/>
              <w:spacing w:line="360" w:lineRule="auto"/>
              <w:jc w:val="center"/>
              <w:textAlignment w:val="center"/>
              <w:rPr>
                <w:rFonts w:hint="eastAsia"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数量</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66BF8">
            <w:pPr>
              <w:widowControl/>
              <w:snapToGrid w:val="0"/>
              <w:spacing w:line="360" w:lineRule="auto"/>
              <w:jc w:val="center"/>
              <w:textAlignment w:val="center"/>
              <w:rPr>
                <w:rFonts w:hint="eastAsia"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制造商</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9B344">
            <w:pPr>
              <w:widowControl/>
              <w:snapToGrid w:val="0"/>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lang w:bidi="ar"/>
              </w:rPr>
              <w:t>单价</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12AE5">
            <w:pPr>
              <w:widowControl/>
              <w:snapToGrid w:val="0"/>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合价</w:t>
            </w:r>
          </w:p>
        </w:tc>
      </w:tr>
      <w:tr w14:paraId="152737D1">
        <w:tblPrEx>
          <w:tblCellMar>
            <w:top w:w="0" w:type="dxa"/>
            <w:left w:w="0" w:type="dxa"/>
            <w:bottom w:w="0" w:type="dxa"/>
            <w:right w:w="0" w:type="dxa"/>
          </w:tblCellMar>
        </w:tblPrEx>
        <w:trPr>
          <w:trHeight w:val="218"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9A0DC">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43FD6">
            <w:pPr>
              <w:widowControl/>
              <w:spacing w:line="360" w:lineRule="auto"/>
              <w:textAlignment w:val="center"/>
              <w:rPr>
                <w:rFonts w:hint="eastAsia" w:ascii="仿宋" w:hAnsi="仿宋" w:eastAsia="仿宋" w:cs="仿宋"/>
                <w:color w:val="auto"/>
                <w:sz w:val="24"/>
                <w:szCs w:val="24"/>
                <w:highlight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62496">
            <w:pPr>
              <w:widowControl/>
              <w:spacing w:line="360" w:lineRule="auto"/>
              <w:textAlignment w:val="center"/>
              <w:rPr>
                <w:rFonts w:hint="eastAsia" w:ascii="仿宋" w:hAnsi="仿宋" w:eastAsia="仿宋" w:cs="仿宋"/>
                <w:color w:val="auto"/>
                <w:kern w:val="0"/>
                <w:sz w:val="24"/>
                <w:szCs w:val="24"/>
                <w:highlight w:val="none"/>
                <w:lang w:bidi="ar"/>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FFCDB">
            <w:pPr>
              <w:widowControl/>
              <w:spacing w:line="360" w:lineRule="auto"/>
              <w:textAlignment w:val="center"/>
              <w:rPr>
                <w:rFonts w:hint="eastAsia" w:ascii="仿宋" w:hAnsi="仿宋" w:eastAsia="仿宋" w:cs="仿宋"/>
                <w:color w:val="auto"/>
                <w:kern w:val="0"/>
                <w:sz w:val="24"/>
                <w:szCs w:val="24"/>
                <w:highlight w:val="none"/>
                <w:lang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DFB72">
            <w:pPr>
              <w:widowControl/>
              <w:spacing w:line="360" w:lineRule="auto"/>
              <w:textAlignment w:val="center"/>
              <w:rPr>
                <w:rFonts w:hint="eastAsia" w:ascii="仿宋" w:hAnsi="仿宋" w:eastAsia="仿宋" w:cs="仿宋"/>
                <w:color w:val="auto"/>
                <w:kern w:val="0"/>
                <w:sz w:val="24"/>
                <w:szCs w:val="24"/>
                <w:highlight w:val="none"/>
                <w:lang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14C3D">
            <w:pPr>
              <w:widowControl/>
              <w:snapToGrid w:val="0"/>
              <w:spacing w:line="360" w:lineRule="auto"/>
              <w:textAlignment w:val="center"/>
              <w:rPr>
                <w:rFonts w:hint="eastAsia" w:ascii="仿宋" w:hAnsi="仿宋" w:eastAsia="仿宋" w:cs="仿宋"/>
                <w:color w:val="auto"/>
                <w:kern w:val="0"/>
                <w:sz w:val="24"/>
                <w:szCs w:val="24"/>
                <w:highlight w:val="none"/>
                <w:lang w:bidi="ar"/>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79F7C">
            <w:pPr>
              <w:widowControl/>
              <w:snapToGrid w:val="0"/>
              <w:spacing w:line="360" w:lineRule="auto"/>
              <w:textAlignment w:val="center"/>
              <w:rPr>
                <w:rFonts w:hint="eastAsia" w:ascii="仿宋" w:hAnsi="仿宋" w:eastAsia="仿宋" w:cs="仿宋"/>
                <w:color w:val="auto"/>
                <w:sz w:val="24"/>
                <w:szCs w:val="24"/>
                <w:highlight w:val="none"/>
              </w:rPr>
            </w:pPr>
          </w:p>
        </w:tc>
      </w:tr>
      <w:tr w14:paraId="7018BDC2">
        <w:tblPrEx>
          <w:tblCellMar>
            <w:top w:w="0" w:type="dxa"/>
            <w:left w:w="0" w:type="dxa"/>
            <w:bottom w:w="0" w:type="dxa"/>
            <w:right w:w="0" w:type="dxa"/>
          </w:tblCellMar>
        </w:tblPrEx>
        <w:trPr>
          <w:trHeight w:val="229"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3B528">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2</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93A39">
            <w:pPr>
              <w:widowControl/>
              <w:spacing w:line="360" w:lineRule="auto"/>
              <w:textAlignment w:val="center"/>
              <w:rPr>
                <w:rFonts w:hint="eastAsia" w:ascii="仿宋" w:hAnsi="仿宋" w:eastAsia="仿宋" w:cs="仿宋"/>
                <w:color w:val="auto"/>
                <w:sz w:val="24"/>
                <w:szCs w:val="24"/>
                <w:highlight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DF916">
            <w:pPr>
              <w:widowControl/>
              <w:spacing w:line="360" w:lineRule="auto"/>
              <w:textAlignment w:val="center"/>
              <w:rPr>
                <w:rFonts w:hint="eastAsia" w:ascii="仿宋" w:hAnsi="仿宋" w:eastAsia="仿宋" w:cs="仿宋"/>
                <w:color w:val="auto"/>
                <w:kern w:val="0"/>
                <w:sz w:val="24"/>
                <w:szCs w:val="24"/>
                <w:highlight w:val="none"/>
                <w:lang w:bidi="ar"/>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C3C4C">
            <w:pPr>
              <w:widowControl/>
              <w:spacing w:line="360" w:lineRule="auto"/>
              <w:textAlignment w:val="center"/>
              <w:rPr>
                <w:rFonts w:hint="eastAsia" w:ascii="仿宋" w:hAnsi="仿宋" w:eastAsia="仿宋" w:cs="仿宋"/>
                <w:color w:val="auto"/>
                <w:kern w:val="0"/>
                <w:sz w:val="24"/>
                <w:szCs w:val="24"/>
                <w:highlight w:val="none"/>
                <w:lang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22092">
            <w:pPr>
              <w:widowControl/>
              <w:spacing w:line="360" w:lineRule="auto"/>
              <w:textAlignment w:val="center"/>
              <w:rPr>
                <w:rFonts w:hint="eastAsia" w:ascii="仿宋" w:hAnsi="仿宋" w:eastAsia="仿宋" w:cs="仿宋"/>
                <w:color w:val="auto"/>
                <w:kern w:val="0"/>
                <w:sz w:val="24"/>
                <w:szCs w:val="24"/>
                <w:highlight w:val="none"/>
                <w:lang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E6A44">
            <w:pPr>
              <w:widowControl/>
              <w:snapToGrid w:val="0"/>
              <w:spacing w:line="360" w:lineRule="auto"/>
              <w:textAlignment w:val="center"/>
              <w:rPr>
                <w:rFonts w:hint="eastAsia" w:ascii="仿宋" w:hAnsi="仿宋" w:eastAsia="仿宋" w:cs="仿宋"/>
                <w:color w:val="auto"/>
                <w:kern w:val="0"/>
                <w:sz w:val="24"/>
                <w:szCs w:val="24"/>
                <w:highlight w:val="none"/>
                <w:lang w:bidi="ar"/>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F04E0">
            <w:pPr>
              <w:widowControl/>
              <w:snapToGrid w:val="0"/>
              <w:spacing w:line="360" w:lineRule="auto"/>
              <w:textAlignment w:val="center"/>
              <w:rPr>
                <w:rFonts w:hint="eastAsia" w:ascii="仿宋" w:hAnsi="仿宋" w:eastAsia="仿宋" w:cs="仿宋"/>
                <w:color w:val="auto"/>
                <w:sz w:val="24"/>
                <w:szCs w:val="24"/>
                <w:highlight w:val="none"/>
              </w:rPr>
            </w:pPr>
          </w:p>
        </w:tc>
      </w:tr>
      <w:tr w14:paraId="399DC881">
        <w:tblPrEx>
          <w:tblCellMar>
            <w:top w:w="0" w:type="dxa"/>
            <w:left w:w="0" w:type="dxa"/>
            <w:bottom w:w="0" w:type="dxa"/>
            <w:right w:w="0" w:type="dxa"/>
          </w:tblCellMar>
        </w:tblPrEx>
        <w:trPr>
          <w:trHeight w:val="232"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66B77">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3</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7A3D7">
            <w:pPr>
              <w:widowControl/>
              <w:spacing w:line="360" w:lineRule="auto"/>
              <w:textAlignment w:val="center"/>
              <w:rPr>
                <w:rFonts w:hint="eastAsia" w:ascii="仿宋" w:hAnsi="仿宋" w:eastAsia="仿宋" w:cs="仿宋"/>
                <w:color w:val="auto"/>
                <w:sz w:val="24"/>
                <w:szCs w:val="24"/>
                <w:highlight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15A4E">
            <w:pPr>
              <w:widowControl/>
              <w:spacing w:line="360" w:lineRule="auto"/>
              <w:textAlignment w:val="center"/>
              <w:rPr>
                <w:rFonts w:hint="eastAsia" w:ascii="仿宋" w:hAnsi="仿宋" w:eastAsia="仿宋" w:cs="仿宋"/>
                <w:color w:val="auto"/>
                <w:kern w:val="0"/>
                <w:sz w:val="24"/>
                <w:szCs w:val="24"/>
                <w:highlight w:val="none"/>
                <w:lang w:bidi="ar"/>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DAF4A">
            <w:pPr>
              <w:widowControl/>
              <w:spacing w:line="360" w:lineRule="auto"/>
              <w:textAlignment w:val="center"/>
              <w:rPr>
                <w:rFonts w:hint="eastAsia" w:ascii="仿宋" w:hAnsi="仿宋" w:eastAsia="仿宋" w:cs="仿宋"/>
                <w:color w:val="auto"/>
                <w:kern w:val="0"/>
                <w:sz w:val="24"/>
                <w:szCs w:val="24"/>
                <w:highlight w:val="none"/>
                <w:lang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30AD8">
            <w:pPr>
              <w:widowControl/>
              <w:spacing w:line="360" w:lineRule="auto"/>
              <w:textAlignment w:val="center"/>
              <w:rPr>
                <w:rFonts w:hint="eastAsia" w:ascii="仿宋" w:hAnsi="仿宋" w:eastAsia="仿宋" w:cs="仿宋"/>
                <w:color w:val="auto"/>
                <w:kern w:val="0"/>
                <w:sz w:val="24"/>
                <w:szCs w:val="24"/>
                <w:highlight w:val="none"/>
                <w:lang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2381C">
            <w:pPr>
              <w:widowControl/>
              <w:snapToGrid w:val="0"/>
              <w:spacing w:line="360" w:lineRule="auto"/>
              <w:textAlignment w:val="center"/>
              <w:rPr>
                <w:rFonts w:hint="eastAsia" w:ascii="仿宋" w:hAnsi="仿宋" w:eastAsia="仿宋" w:cs="仿宋"/>
                <w:color w:val="auto"/>
                <w:kern w:val="0"/>
                <w:sz w:val="24"/>
                <w:szCs w:val="24"/>
                <w:highlight w:val="none"/>
                <w:lang w:bidi="ar"/>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B65D5">
            <w:pPr>
              <w:widowControl/>
              <w:snapToGrid w:val="0"/>
              <w:spacing w:line="360" w:lineRule="auto"/>
              <w:textAlignment w:val="center"/>
              <w:rPr>
                <w:rFonts w:hint="eastAsia" w:ascii="仿宋" w:hAnsi="仿宋" w:eastAsia="仿宋" w:cs="仿宋"/>
                <w:color w:val="auto"/>
                <w:sz w:val="24"/>
                <w:szCs w:val="24"/>
                <w:highlight w:val="none"/>
              </w:rPr>
            </w:pPr>
          </w:p>
        </w:tc>
      </w:tr>
      <w:tr w14:paraId="3F3E16E6">
        <w:tblPrEx>
          <w:tblCellMar>
            <w:top w:w="0" w:type="dxa"/>
            <w:left w:w="0" w:type="dxa"/>
            <w:bottom w:w="0" w:type="dxa"/>
            <w:right w:w="0" w:type="dxa"/>
          </w:tblCellMar>
        </w:tblPrEx>
        <w:trPr>
          <w:trHeight w:val="228"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08CB1">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4</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3EC35">
            <w:pPr>
              <w:widowControl/>
              <w:spacing w:line="360" w:lineRule="auto"/>
              <w:textAlignment w:val="center"/>
              <w:rPr>
                <w:rFonts w:hint="eastAsia" w:ascii="仿宋" w:hAnsi="仿宋" w:eastAsia="仿宋" w:cs="仿宋"/>
                <w:color w:val="auto"/>
                <w:sz w:val="24"/>
                <w:szCs w:val="24"/>
                <w:highlight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ACBB6">
            <w:pPr>
              <w:widowControl/>
              <w:spacing w:line="360" w:lineRule="auto"/>
              <w:textAlignment w:val="center"/>
              <w:rPr>
                <w:rFonts w:hint="eastAsia" w:ascii="仿宋" w:hAnsi="仿宋" w:eastAsia="仿宋" w:cs="仿宋"/>
                <w:color w:val="auto"/>
                <w:kern w:val="0"/>
                <w:sz w:val="24"/>
                <w:szCs w:val="24"/>
                <w:highlight w:val="none"/>
                <w:lang w:bidi="ar"/>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032E8">
            <w:pPr>
              <w:widowControl/>
              <w:spacing w:line="360" w:lineRule="auto"/>
              <w:textAlignment w:val="center"/>
              <w:rPr>
                <w:rFonts w:hint="eastAsia" w:ascii="仿宋" w:hAnsi="仿宋" w:eastAsia="仿宋" w:cs="仿宋"/>
                <w:color w:val="auto"/>
                <w:kern w:val="0"/>
                <w:sz w:val="24"/>
                <w:szCs w:val="24"/>
                <w:highlight w:val="none"/>
                <w:lang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76085">
            <w:pPr>
              <w:widowControl/>
              <w:spacing w:line="360" w:lineRule="auto"/>
              <w:textAlignment w:val="center"/>
              <w:rPr>
                <w:rFonts w:hint="eastAsia" w:ascii="仿宋" w:hAnsi="仿宋" w:eastAsia="仿宋" w:cs="仿宋"/>
                <w:color w:val="auto"/>
                <w:kern w:val="0"/>
                <w:sz w:val="24"/>
                <w:szCs w:val="24"/>
                <w:highlight w:val="none"/>
                <w:lang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363C1">
            <w:pPr>
              <w:widowControl/>
              <w:snapToGrid w:val="0"/>
              <w:spacing w:line="360" w:lineRule="auto"/>
              <w:textAlignment w:val="center"/>
              <w:rPr>
                <w:rFonts w:hint="eastAsia" w:ascii="仿宋" w:hAnsi="仿宋" w:eastAsia="仿宋" w:cs="仿宋"/>
                <w:color w:val="auto"/>
                <w:kern w:val="0"/>
                <w:sz w:val="24"/>
                <w:szCs w:val="24"/>
                <w:highlight w:val="none"/>
                <w:lang w:bidi="ar"/>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74289">
            <w:pPr>
              <w:widowControl/>
              <w:snapToGrid w:val="0"/>
              <w:spacing w:line="360" w:lineRule="auto"/>
              <w:textAlignment w:val="center"/>
              <w:rPr>
                <w:rFonts w:hint="eastAsia" w:ascii="仿宋" w:hAnsi="仿宋" w:eastAsia="仿宋" w:cs="仿宋"/>
                <w:color w:val="auto"/>
                <w:sz w:val="24"/>
                <w:szCs w:val="24"/>
                <w:highlight w:val="none"/>
              </w:rPr>
            </w:pPr>
          </w:p>
        </w:tc>
      </w:tr>
      <w:tr w14:paraId="1A7038BA">
        <w:tblPrEx>
          <w:tblCellMar>
            <w:top w:w="0" w:type="dxa"/>
            <w:left w:w="0" w:type="dxa"/>
            <w:bottom w:w="0" w:type="dxa"/>
            <w:right w:w="0" w:type="dxa"/>
          </w:tblCellMar>
        </w:tblPrEx>
        <w:trPr>
          <w:trHeight w:val="367" w:hRule="atLeast"/>
          <w:jc w:val="center"/>
        </w:trPr>
        <w:tc>
          <w:tcPr>
            <w:tcW w:w="9075" w:type="dxa"/>
            <w:gridSpan w:val="7"/>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415DBF8">
            <w:pPr>
              <w:widowControl/>
              <w:snapToGrid w:val="0"/>
              <w:spacing w:line="360" w:lineRule="auto"/>
              <w:jc w:val="left"/>
              <w:textAlignment w:val="center"/>
              <w:rPr>
                <w:rFonts w:hint="eastAsia"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总计（大写）</w:t>
            </w:r>
            <w:bookmarkStart w:id="69" w:name="_Hlk147664522"/>
            <w:r>
              <w:rPr>
                <w:rFonts w:hint="eastAsia" w:ascii="仿宋" w:hAnsi="仿宋" w:eastAsia="仿宋" w:cs="仿宋"/>
                <w:b/>
                <w:color w:val="auto"/>
                <w:kern w:val="0"/>
                <w:sz w:val="24"/>
                <w:szCs w:val="24"/>
                <w:highlight w:val="none"/>
                <w:lang w:bidi="ar"/>
              </w:rPr>
              <w:t>人民币</w:t>
            </w:r>
            <w:bookmarkEnd w:id="69"/>
            <w:r>
              <w:rPr>
                <w:rFonts w:hint="eastAsia" w:ascii="仿宋" w:hAnsi="仿宋" w:eastAsia="仿宋" w:cs="仿宋"/>
                <w:b/>
                <w:color w:val="auto"/>
                <w:kern w:val="0"/>
                <w:sz w:val="24"/>
                <w:szCs w:val="24"/>
                <w:highlight w:val="none"/>
                <w:lang w:bidi="ar"/>
              </w:rPr>
              <w:t>xxxxx   ￥xxxxxx</w:t>
            </w:r>
          </w:p>
        </w:tc>
      </w:tr>
    </w:tbl>
    <w:p w14:paraId="60732DEB">
      <w:pPr>
        <w:tabs>
          <w:tab w:val="left" w:pos="775"/>
        </w:tabs>
        <w:spacing w:line="360" w:lineRule="auto"/>
        <w:rPr>
          <w:rFonts w:hint="eastAsia" w:ascii="仿宋" w:hAnsi="仿宋" w:eastAsia="仿宋" w:cs="仿宋"/>
          <w:b/>
          <w:color w:val="auto"/>
          <w:sz w:val="24"/>
          <w:szCs w:val="24"/>
          <w:highlight w:val="none"/>
        </w:rPr>
      </w:pPr>
    </w:p>
    <w:p w14:paraId="0FB23B98">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二、报价币种、合同总价</w:t>
      </w:r>
    </w:p>
    <w:p w14:paraId="2A3A91D3">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本合同总金额为</w:t>
      </w:r>
      <w:r>
        <w:rPr>
          <w:rFonts w:hint="eastAsia" w:ascii="仿宋" w:hAnsi="仿宋" w:eastAsia="仿宋" w:cs="仿宋"/>
          <w:color w:val="auto"/>
          <w:sz w:val="24"/>
          <w:szCs w:val="24"/>
          <w:highlight w:val="none"/>
          <w:u w:val="single"/>
        </w:rPr>
        <w:t>xxxxx元，（大写人民币：xxxxxx元整）</w:t>
      </w:r>
      <w:r>
        <w:rPr>
          <w:rFonts w:hint="eastAsia" w:ascii="仿宋" w:hAnsi="仿宋" w:eastAsia="仿宋" w:cs="仿宋"/>
          <w:color w:val="auto"/>
          <w:sz w:val="24"/>
          <w:szCs w:val="24"/>
          <w:highlight w:val="none"/>
        </w:rPr>
        <w:t>，该费用包括设备、材料、安装、调试、包装、培训、运费、税费等费用。</w:t>
      </w:r>
    </w:p>
    <w:p w14:paraId="6F79AA66">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三、付款方式</w:t>
      </w:r>
    </w:p>
    <w:p w14:paraId="4D6237E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、甲方在签订合同</w:t>
      </w:r>
      <w:r>
        <w:rPr>
          <w:rFonts w:hint="eastAsia" w:ascii="仿宋" w:hAnsi="仿宋" w:eastAsia="仿宋" w:cs="仿宋"/>
          <w:color w:val="auto"/>
          <w:sz w:val="24"/>
          <w:szCs w:val="24"/>
          <w:highlight w:val="none"/>
          <w:lang w:val="en-US" w:eastAsia="zh-CN"/>
        </w:rPr>
        <w:t>后15个工作日</w:t>
      </w:r>
      <w:r>
        <w:rPr>
          <w:rFonts w:hint="eastAsia" w:ascii="仿宋" w:hAnsi="仿宋" w:eastAsia="仿宋" w:cs="仿宋"/>
          <w:color w:val="auto"/>
          <w:sz w:val="24"/>
          <w:szCs w:val="24"/>
          <w:highlight w:val="none"/>
        </w:rPr>
        <w:t>内支付乙方合同总额的30%预付款，即：￥XX元（大写:XX元整）。</w:t>
      </w:r>
    </w:p>
    <w:p w14:paraId="0E3C7C6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、设备全部运抵指定地点并安装调试完毕，经采购人验收合格正常</w:t>
      </w:r>
      <w:r>
        <w:rPr>
          <w:rFonts w:hint="eastAsia" w:ascii="仿宋" w:hAnsi="仿宋" w:eastAsia="仿宋" w:cs="仿宋"/>
          <w:color w:val="auto"/>
          <w:sz w:val="24"/>
          <w:szCs w:val="24"/>
          <w:highlight w:val="none"/>
          <w:lang w:val="en-US" w:eastAsia="zh-CN"/>
        </w:rPr>
        <w:t>运行</w:t>
      </w:r>
      <w:r>
        <w:rPr>
          <w:rFonts w:hint="eastAsia" w:ascii="仿宋" w:hAnsi="仿宋" w:eastAsia="仿宋" w:cs="仿宋"/>
          <w:color w:val="auto"/>
          <w:sz w:val="24"/>
          <w:szCs w:val="24"/>
          <w:highlight w:val="none"/>
        </w:rPr>
        <w:t>半年后支付合同总额的6</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%，即：￥XX元（大写:XX元整）。</w:t>
      </w:r>
    </w:p>
    <w:p w14:paraId="6196A8A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服务期满后</w:t>
      </w:r>
      <w:r>
        <w:rPr>
          <w:rFonts w:hint="eastAsia" w:ascii="仿宋" w:hAnsi="仿宋" w:eastAsia="仿宋" w:cs="仿宋"/>
          <w:color w:val="auto"/>
          <w:sz w:val="24"/>
          <w:szCs w:val="24"/>
          <w:highlight w:val="none"/>
        </w:rPr>
        <w:t>支付合同总额的</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%，即：￥XX元（大写:XX元整）。</w:t>
      </w:r>
    </w:p>
    <w:p w14:paraId="7DDD752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、甲方付款时，乙方应提供同等数额的甲方认可的合法收据或发票，否则甲方有权拒绝付款，并不因此承担任何逾期付款的违约责任。</w:t>
      </w:r>
    </w:p>
    <w:p w14:paraId="2DF47DA4">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四、交货地点、时间</w:t>
      </w:r>
    </w:p>
    <w:p w14:paraId="2BAB9E6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新疆阿勒泰地区人民医院</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38CDED4A">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交货时间：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22013E4B">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五、产品质量保证</w:t>
      </w:r>
    </w:p>
    <w:p w14:paraId="33088F9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1、乙方保证提供的</w:t>
      </w:r>
      <w:r>
        <w:rPr>
          <w:rFonts w:hint="eastAsia" w:ascii="仿宋" w:hAnsi="仿宋" w:eastAsia="仿宋" w:cs="仿宋"/>
          <w:color w:val="auto"/>
          <w:sz w:val="24"/>
          <w:szCs w:val="24"/>
          <w:highlight w:val="none"/>
          <w:u w:val="single"/>
        </w:rPr>
        <w:t>合同内全部产品</w:t>
      </w:r>
      <w:r>
        <w:rPr>
          <w:rFonts w:hint="eastAsia" w:ascii="仿宋" w:hAnsi="仿宋" w:eastAsia="仿宋" w:cs="仿宋"/>
          <w:color w:val="auto"/>
          <w:sz w:val="24"/>
          <w:szCs w:val="24"/>
          <w:highlight w:val="none"/>
        </w:rPr>
        <w:t>为全新的产品。</w:t>
      </w:r>
    </w:p>
    <w:p w14:paraId="370039E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2、乙方所提供的</w:t>
      </w:r>
      <w:r>
        <w:rPr>
          <w:rFonts w:hint="eastAsia" w:ascii="仿宋" w:hAnsi="仿宋" w:eastAsia="仿宋" w:cs="仿宋"/>
          <w:color w:val="auto"/>
          <w:sz w:val="24"/>
          <w:szCs w:val="24"/>
          <w:highlight w:val="none"/>
          <w:u w:val="single"/>
        </w:rPr>
        <w:t>合同内全部产品</w:t>
      </w:r>
      <w:r>
        <w:rPr>
          <w:rFonts w:hint="eastAsia" w:ascii="仿宋" w:hAnsi="仿宋" w:eastAsia="仿宋" w:cs="仿宋"/>
          <w:color w:val="auto"/>
          <w:sz w:val="24"/>
          <w:szCs w:val="24"/>
          <w:highlight w:val="none"/>
        </w:rPr>
        <w:t>的型号、数量、规格及技术、质量标准、售后服务必须满足</w:t>
      </w:r>
      <w:r>
        <w:rPr>
          <w:rFonts w:hint="eastAsia" w:ascii="仿宋" w:hAnsi="仿宋" w:eastAsia="仿宋" w:cs="仿宋"/>
          <w:color w:val="auto"/>
          <w:sz w:val="24"/>
          <w:szCs w:val="24"/>
          <w:highlight w:val="none"/>
          <w:u w:val="single"/>
        </w:rPr>
        <w:t xml:space="preserve"> 招标编号</w:t>
      </w:r>
      <w:r>
        <w:rPr>
          <w:rFonts w:hint="eastAsia" w:ascii="仿宋" w:hAnsi="仿宋" w:eastAsia="仿宋" w:cs="仿宋"/>
          <w:color w:val="auto"/>
          <w:sz w:val="24"/>
          <w:szCs w:val="24"/>
          <w:highlight w:val="none"/>
        </w:rPr>
        <w:t>的</w:t>
      </w:r>
      <w:r>
        <w:rPr>
          <w:rFonts w:hint="eastAsia" w:ascii="仿宋" w:hAnsi="仿宋" w:eastAsia="仿宋" w:cs="仿宋"/>
          <w:bCs/>
          <w:color w:val="auto"/>
          <w:sz w:val="24"/>
          <w:szCs w:val="24"/>
          <w:highlight w:val="none"/>
          <w:u w:val="single"/>
        </w:rPr>
        <w:t>xxxxxxxxx项</w:t>
      </w:r>
      <w:r>
        <w:rPr>
          <w:rFonts w:hint="eastAsia" w:ascii="仿宋" w:hAnsi="仿宋" w:eastAsia="仿宋" w:cs="仿宋"/>
          <w:color w:val="auto"/>
          <w:sz w:val="24"/>
          <w:szCs w:val="24"/>
          <w:highlight w:val="none"/>
          <w:u w:val="single"/>
        </w:rPr>
        <w:t>目</w:t>
      </w:r>
      <w:r>
        <w:rPr>
          <w:rFonts w:hint="eastAsia" w:ascii="仿宋" w:hAnsi="仿宋" w:eastAsia="仿宋" w:cs="仿宋"/>
          <w:color w:val="auto"/>
          <w:sz w:val="24"/>
          <w:szCs w:val="24"/>
          <w:highlight w:val="none"/>
        </w:rPr>
        <w:t>招标文件规定的技术要求。</w:t>
      </w:r>
    </w:p>
    <w:p w14:paraId="361CC40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3、乙方保证提供的合同内全部产品货物按国家标准要求制作，质量完全满足用户的要求。</w:t>
      </w:r>
    </w:p>
    <w:p w14:paraId="4A08C325">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六、质量保证期</w:t>
      </w:r>
    </w:p>
    <w:p w14:paraId="52A0C01D">
      <w:pPr>
        <w:spacing w:line="360" w:lineRule="auto"/>
        <w:ind w:left="-105" w:right="-105"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合同内货物质保期：验收合格后</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年。 </w:t>
      </w:r>
    </w:p>
    <w:p w14:paraId="07C30A6C">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七、技术资料</w:t>
      </w:r>
    </w:p>
    <w:p w14:paraId="02EED4C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乙方需向甲方提供下述资料：</w:t>
      </w:r>
    </w:p>
    <w:p w14:paraId="20D08B0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所供货物的型号、规格、数量及生产厂家的产品检验证书、出厂检验报告、使用说明书等。</w:t>
      </w:r>
    </w:p>
    <w:p w14:paraId="004E0090">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八、包装及验收</w:t>
      </w:r>
    </w:p>
    <w:p w14:paraId="16F43E9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1、所提供设备必须进行包装，免收包装费，包装物不回收。</w:t>
      </w:r>
    </w:p>
    <w:p w14:paraId="4803FFE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2、因包装原因造成合同标的物在运输过程中丢失的、损坏的，乙方承担全部责任。</w:t>
      </w:r>
    </w:p>
    <w:p w14:paraId="4EE6066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验收标准：按投标文件规定的型号、技术参数、数量、产地，并根据制造商的《产品合格证》、《出厂清单》、《技术文件》进行现场验收，并由甲、乙双方签署验收报告。如有异议，各方应当在验收后七天内以书面形式通知对方。合同标的物验收合格后由甲方提供货物的存放地点，并负责货物的保管和安全。</w:t>
      </w:r>
    </w:p>
    <w:p w14:paraId="78A0A97A">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九、甲、乙双方的权利及义务</w:t>
      </w:r>
    </w:p>
    <w:p w14:paraId="66A5B1C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若甲方对订购的货物有任何更改，包括货物的型号、品种、规格、数量、颜色、交货期等事宜，必须在双方签订合同后七天内书面通知乙方，交货期从变更之日起顺延。若乙方接到通知后不予更改，由此造成的甲方损失，由乙方承担。</w:t>
      </w:r>
    </w:p>
    <w:p w14:paraId="5362AB0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2、若乙方在交货时，由于甲方的原因或要求，不能及时将货物送达指定地点和验收时，则双方再次协商送货及验收时间。</w:t>
      </w:r>
    </w:p>
    <w:p w14:paraId="18B161A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3、若甲方在验收后的质量保证期内，发现货物内有部分出现质量问题，应及时通知乙方，若需要更换时，乙方应在接到通知后10天内给予更换。</w:t>
      </w:r>
    </w:p>
    <w:p w14:paraId="46D5A2C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4、乙方须按合同要求提供质量合格的货物，如期交付至甲方指定的交货地点。合同标的物需安装调试的，乙方提供免费的安装调试。</w:t>
      </w:r>
    </w:p>
    <w:p w14:paraId="7BBBA4B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5、乙方对售予甲方的货物提供的质量保证期的质量保证范围，不包括意外事件、不可抗力原因及违规使用。</w:t>
      </w:r>
    </w:p>
    <w:p w14:paraId="01BBFA70">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十、合同变更、违约及其它</w:t>
      </w:r>
    </w:p>
    <w:p w14:paraId="147103C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1、合同的变更需甲、乙双方协商一致签订补充协议，并由法定代表人或授权代理人签字（盖章）且加盖单位公章后立即生效。补充协议与本合同具有同等法律效力。</w:t>
      </w:r>
    </w:p>
    <w:p w14:paraId="1D6AC82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2、甲方按合同规定的付款要求履约，合同价格不变，甲方由于不可抗力不能在本合同规定的时间内支付合同款项时，应事先告知乙方。</w:t>
      </w:r>
    </w:p>
    <w:p w14:paraId="3A84D3F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必须在本合同规定的时间内按时交货，否则由乙方负责承担全部责任。如果乙方在甲方同意延长的交货时间内仍不能交货时，甲方有权撤销合同，同时乙方还需要按照每延误一天，按合同总金额千分之五的标准向甲方支付违约金，延误超过15日，甲方有权解除合同，并要求乙方返还已收到款项，承担合同总额30%违约金。</w:t>
      </w:r>
    </w:p>
    <w:p w14:paraId="68273CD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应严格按照投标、投标文件中规定的产品规格、型号名称、数量和质量提供相应的产品及服务。乙方提供的产品或服务不符合合同约定的，必须按照甲方的要求进行改正，若整改后导致延迟交货，按照上款执行。若交货后仍然不符合要求，甲方有权解除合同，并要求乙方返还已收到款项，承担合同总额30%违约金。</w:t>
      </w:r>
    </w:p>
    <w:p w14:paraId="1D4C7AE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生效后，乙方中途废止合同（不可抗力原因除外），应按给甲方造成的损失向甲方支付赔偿金，并向甲方支付合同总金额20%的违约金；甲方中途废止合同（不可抗力原因除外），应按实际损失向乙方支付赔偿金。</w:t>
      </w:r>
    </w:p>
    <w:p w14:paraId="1A25A65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违反本合同约定，应当承担的违约金及赔偿，甲方有权在未付款内扣除，若因此造成甲方损失，应当承担由此造成的甲方损失，该损失包括但不限于由此产生的诉讼费、律师费、公证费、鉴定费、评估费、差旅费等费用。</w:t>
      </w:r>
    </w:p>
    <w:p w14:paraId="70ED9FA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5、本合同根据</w:t>
      </w:r>
      <w:r>
        <w:rPr>
          <w:rFonts w:hint="eastAsia" w:ascii="仿宋" w:hAnsi="仿宋" w:eastAsia="仿宋" w:cs="仿宋"/>
          <w:color w:val="auto"/>
          <w:sz w:val="24"/>
          <w:szCs w:val="24"/>
          <w:highlight w:val="none"/>
          <w:u w:val="single"/>
        </w:rPr>
        <w:t>xx年x月xx日</w:t>
      </w:r>
      <w:r>
        <w:rPr>
          <w:rFonts w:hint="eastAsia" w:ascii="仿宋" w:hAnsi="仿宋" w:eastAsia="仿宋" w:cs="仿宋"/>
          <w:color w:val="auto"/>
          <w:sz w:val="24"/>
          <w:szCs w:val="24"/>
          <w:highlight w:val="none"/>
        </w:rPr>
        <w:t>由</w:t>
      </w:r>
      <w:r>
        <w:rPr>
          <w:rFonts w:hint="eastAsia" w:ascii="仿宋" w:hAnsi="仿宋" w:eastAsia="仿宋" w:cs="仿宋"/>
          <w:bCs/>
          <w:color w:val="auto"/>
          <w:sz w:val="24"/>
          <w:szCs w:val="24"/>
          <w:highlight w:val="none"/>
          <w:u w:val="single"/>
        </w:rPr>
        <w:t>xxx招标公司</w:t>
      </w:r>
      <w:r>
        <w:rPr>
          <w:rFonts w:hint="eastAsia" w:ascii="仿宋" w:hAnsi="仿宋" w:eastAsia="仿宋" w:cs="仿宋"/>
          <w:color w:val="auto"/>
          <w:sz w:val="24"/>
          <w:szCs w:val="24"/>
          <w:highlight w:val="none"/>
        </w:rPr>
        <w:t>组织的招标会的招投标结果签订。投标文件及开标会议上签名的答疑记录等均作为合同的附件，是合同文本不可分割的组成部分。合同文本未述及和不详之处，以附件为准。</w:t>
      </w:r>
    </w:p>
    <w:p w14:paraId="0486E0A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6、合同文本不得涂改，如需修改应在合同附件中注明。经甲、乙双方协商达成一致修改意见，需经甲、乙双方代表共同签署此附件，方能生效。</w:t>
      </w:r>
    </w:p>
    <w:p w14:paraId="334CEAC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7、合同所有附件，均与合同具有同等法律效力。</w:t>
      </w:r>
    </w:p>
    <w:p w14:paraId="659EE96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8、合同经甲、乙双方法定代表人或授权代理人签字（盖章）并加盖单位公章后立即生效。</w:t>
      </w:r>
    </w:p>
    <w:p w14:paraId="183AFE6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9、甲、乙双方发生争议时，应先协商解决，经协商不能达成协议时，任何一方均可向</w:t>
      </w:r>
      <w:r>
        <w:rPr>
          <w:rFonts w:hint="eastAsia" w:ascii="仿宋" w:hAnsi="仿宋" w:eastAsia="仿宋" w:cs="仿宋"/>
          <w:color w:val="auto"/>
          <w:sz w:val="24"/>
          <w:szCs w:val="24"/>
          <w:highlight w:val="none"/>
          <w:u w:val="single"/>
        </w:rPr>
        <w:t>甲方所在地</w:t>
      </w:r>
      <w:r>
        <w:rPr>
          <w:rFonts w:hint="eastAsia" w:ascii="仿宋" w:hAnsi="仿宋" w:eastAsia="仿宋" w:cs="仿宋"/>
          <w:color w:val="auto"/>
          <w:sz w:val="24"/>
          <w:szCs w:val="24"/>
          <w:highlight w:val="none"/>
        </w:rPr>
        <w:t>人民法院提起诉讼。</w:t>
      </w:r>
    </w:p>
    <w:p w14:paraId="7D76CFA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10、合同一式八份，甲方执五份，乙方执叁份。</w:t>
      </w:r>
    </w:p>
    <w:p w14:paraId="4286FD5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11、本合同自签字盖章完毕之日起生效，质量保证期满后终止。</w:t>
      </w:r>
    </w:p>
    <w:p w14:paraId="717C3A2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12、本合同尾部载明的双方地址、电话等信息，系双方有效联系方式，如发生变更，应提前书面通知另一方，否则依该联系方式送达相关文书的，视为送达成功。</w:t>
      </w:r>
    </w:p>
    <w:p w14:paraId="556BCA8A">
      <w:pPr>
        <w:spacing w:line="360" w:lineRule="auto"/>
        <w:ind w:firstLine="480" w:firstLineChars="200"/>
        <w:rPr>
          <w:rFonts w:hint="eastAsia" w:ascii="仿宋" w:hAnsi="仿宋" w:eastAsia="仿宋" w:cs="仿宋"/>
          <w:color w:val="auto"/>
          <w:sz w:val="24"/>
          <w:szCs w:val="24"/>
          <w:highlight w:val="none"/>
        </w:rPr>
      </w:pPr>
    </w:p>
    <w:p w14:paraId="2AF7741B">
      <w:pPr>
        <w:pStyle w:val="8"/>
        <w:spacing w:line="360" w:lineRule="auto"/>
        <w:ind w:firstLine="480"/>
        <w:rPr>
          <w:rFonts w:hint="eastAsia" w:ascii="仿宋" w:hAnsi="仿宋" w:eastAsia="仿宋" w:cs="仿宋"/>
          <w:color w:val="auto"/>
          <w:szCs w:val="24"/>
          <w:highlight w:val="none"/>
        </w:rPr>
      </w:pPr>
    </w:p>
    <w:p w14:paraId="2E467851">
      <w:pPr>
        <w:pStyle w:val="8"/>
        <w:spacing w:line="360" w:lineRule="auto"/>
        <w:ind w:firstLine="480"/>
        <w:rPr>
          <w:rFonts w:hint="eastAsia" w:ascii="仿宋" w:hAnsi="仿宋" w:eastAsia="仿宋" w:cs="仿宋"/>
          <w:color w:val="auto"/>
          <w:szCs w:val="24"/>
          <w:highlight w:val="none"/>
        </w:rPr>
      </w:pPr>
    </w:p>
    <w:p w14:paraId="0D2597F2">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    方：(盖章）              乙    方：(盖章） </w:t>
      </w:r>
    </w:p>
    <w:p w14:paraId="4B90F1BA">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val="en-US" w:eastAsia="zh-CN"/>
        </w:rPr>
        <w:t>签字或</w:t>
      </w:r>
      <w:r>
        <w:rPr>
          <w:rFonts w:hint="eastAsia" w:ascii="仿宋" w:hAnsi="仿宋" w:eastAsia="仿宋" w:cs="仿宋"/>
          <w:color w:val="auto"/>
          <w:sz w:val="24"/>
          <w:szCs w:val="24"/>
          <w:highlight w:val="none"/>
        </w:rPr>
        <w:t xml:space="preserve">盖章）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val="en-US" w:eastAsia="zh-CN"/>
        </w:rPr>
        <w:t>签字或</w:t>
      </w:r>
      <w:r>
        <w:rPr>
          <w:rFonts w:hint="eastAsia" w:ascii="仿宋" w:hAnsi="仿宋" w:eastAsia="仿宋" w:cs="仿宋"/>
          <w:color w:val="auto"/>
          <w:sz w:val="24"/>
          <w:szCs w:val="24"/>
          <w:highlight w:val="none"/>
        </w:rPr>
        <w:t>盖章）</w:t>
      </w:r>
    </w:p>
    <w:p w14:paraId="1DC4F45D">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                     联 系 人：</w:t>
      </w:r>
    </w:p>
    <w:p w14:paraId="0D04682B">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                     电    话：</w:t>
      </w:r>
    </w:p>
    <w:p w14:paraId="392B9531">
      <w:pPr>
        <w:pStyle w:val="8"/>
        <w:spacing w:line="360" w:lineRule="auto"/>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地    址：                     地    址： </w:t>
      </w:r>
    </w:p>
    <w:p w14:paraId="531DEC68">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开户银行：                     开户银行： </w:t>
      </w:r>
    </w:p>
    <w:p w14:paraId="00CA0DFE">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帐    号：                     帐    号： </w:t>
      </w:r>
    </w:p>
    <w:p w14:paraId="497CFA7C">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行    号：                     行    号： </w:t>
      </w:r>
    </w:p>
    <w:p w14:paraId="42D97C68">
      <w:pPr>
        <w:pStyle w:val="8"/>
        <w:ind w:firstLine="480"/>
        <w:rPr>
          <w:rFonts w:hint="eastAsia" w:ascii="仿宋" w:hAnsi="仿宋" w:eastAsia="仿宋" w:cs="仿宋"/>
          <w:color w:val="auto"/>
          <w:highlight w:val="none"/>
        </w:rPr>
      </w:pPr>
    </w:p>
    <w:p w14:paraId="03A10958">
      <w:pPr>
        <w:pStyle w:val="8"/>
        <w:ind w:firstLine="480"/>
        <w:rPr>
          <w:rFonts w:hint="eastAsia" w:ascii="仿宋" w:hAnsi="仿宋" w:eastAsia="仿宋" w:cs="仿宋"/>
          <w:color w:val="auto"/>
          <w:highlight w:val="none"/>
        </w:rPr>
      </w:pPr>
    </w:p>
    <w:p w14:paraId="52E24FFD">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合同签订时间：xx年x 月xx日</w:t>
      </w:r>
    </w:p>
    <w:p w14:paraId="3DBB5316">
      <w:pPr>
        <w:pStyle w:val="12"/>
        <w:rPr>
          <w:rFonts w:hint="eastAsia" w:ascii="仿宋" w:hAnsi="仿宋" w:eastAsia="仿宋" w:cs="仿宋"/>
          <w:color w:val="auto"/>
          <w:highlight w:val="none"/>
        </w:rPr>
      </w:pPr>
    </w:p>
    <w:p w14:paraId="7FBC52AB">
      <w:pPr>
        <w:rPr>
          <w:rFonts w:hint="eastAsia" w:ascii="仿宋" w:hAnsi="仿宋" w:eastAsia="仿宋" w:cs="仿宋"/>
          <w:b/>
          <w:color w:val="auto"/>
          <w:sz w:val="24"/>
          <w:szCs w:val="24"/>
          <w:highlight w:val="none"/>
        </w:rPr>
      </w:pPr>
      <w:bookmarkStart w:id="70" w:name="_Toc16100"/>
      <w:r>
        <w:rPr>
          <w:rFonts w:hint="eastAsia" w:ascii="仿宋" w:hAnsi="仿宋" w:eastAsia="仿宋" w:cs="仿宋"/>
          <w:b/>
          <w:color w:val="auto"/>
          <w:sz w:val="24"/>
          <w:szCs w:val="24"/>
          <w:highlight w:val="none"/>
        </w:rPr>
        <w:br w:type="page"/>
      </w:r>
    </w:p>
    <w:p w14:paraId="1978D6B6">
      <w:pPr>
        <w:spacing w:line="440" w:lineRule="exact"/>
        <w:jc w:val="center"/>
        <w:outlineLvl w:val="0"/>
        <w:rPr>
          <w:rFonts w:hint="eastAsia" w:ascii="仿宋" w:hAnsi="仿宋" w:eastAsia="仿宋" w:cs="仿宋"/>
          <w:bCs/>
          <w:color w:val="auto"/>
          <w:sz w:val="24"/>
          <w:szCs w:val="24"/>
          <w:highlight w:val="none"/>
        </w:rPr>
      </w:pPr>
      <w:bookmarkStart w:id="71" w:name="_Toc26032"/>
      <w:r>
        <w:rPr>
          <w:rFonts w:hint="eastAsia" w:ascii="仿宋" w:hAnsi="仿宋" w:eastAsia="仿宋" w:cs="仿宋"/>
          <w:b/>
          <w:color w:val="auto"/>
          <w:sz w:val="24"/>
          <w:szCs w:val="24"/>
          <w:highlight w:val="none"/>
        </w:rPr>
        <w:t>第四章 技术标准和要求</w:t>
      </w:r>
      <w:bookmarkEnd w:id="70"/>
      <w:bookmarkEnd w:id="71"/>
      <w:bookmarkStart w:id="72" w:name="_Toc138638884"/>
      <w:bookmarkEnd w:id="72"/>
      <w:bookmarkStart w:id="73" w:name="_Toc138638773"/>
      <w:bookmarkEnd w:id="73"/>
      <w:bookmarkStart w:id="74" w:name="_Toc138638910"/>
      <w:bookmarkEnd w:id="74"/>
      <w:bookmarkStart w:id="75" w:name="_Toc138638907"/>
      <w:bookmarkEnd w:id="75"/>
      <w:bookmarkStart w:id="76" w:name="_合同文件的组成及解释顺序"/>
      <w:bookmarkEnd w:id="76"/>
      <w:bookmarkStart w:id="77" w:name="_Toc138638719"/>
      <w:bookmarkEnd w:id="77"/>
      <w:bookmarkStart w:id="78" w:name="_Toc138638718"/>
      <w:bookmarkEnd w:id="78"/>
      <w:bookmarkStart w:id="79" w:name="_Toc138638510"/>
      <w:bookmarkEnd w:id="79"/>
      <w:bookmarkStart w:id="80" w:name="_Toc138638906"/>
      <w:bookmarkEnd w:id="80"/>
      <w:bookmarkStart w:id="81" w:name="_Toc138638509"/>
      <w:bookmarkEnd w:id="81"/>
      <w:bookmarkStart w:id="82" w:name="_Toc138638538"/>
      <w:bookmarkEnd w:id="82"/>
      <w:bookmarkStart w:id="83" w:name="_Toc138638883"/>
      <w:bookmarkEnd w:id="83"/>
      <w:bookmarkStart w:id="84" w:name="_Toc138638534"/>
      <w:bookmarkEnd w:id="84"/>
      <w:bookmarkStart w:id="85" w:name="_Toc138638535"/>
      <w:bookmarkEnd w:id="85"/>
      <w:bookmarkStart w:id="86" w:name="_Toc138639091"/>
      <w:bookmarkEnd w:id="86"/>
      <w:bookmarkStart w:id="87" w:name="_Toc138639145"/>
      <w:bookmarkEnd w:id="87"/>
      <w:bookmarkStart w:id="88" w:name="_Toc138639090"/>
      <w:bookmarkEnd w:id="88"/>
      <w:bookmarkStart w:id="89" w:name="_Toc138638702"/>
      <w:bookmarkEnd w:id="89"/>
      <w:bookmarkStart w:id="90" w:name="_Toc138639074"/>
      <w:bookmarkEnd w:id="90"/>
      <w:bookmarkStart w:id="91" w:name="_Toc531016893"/>
    </w:p>
    <w:p w14:paraId="004A0624">
      <w:pPr>
        <w:rPr>
          <w:rFonts w:hint="eastAsia" w:ascii="仿宋" w:hAnsi="仿宋" w:eastAsia="仿宋" w:cs="仿宋"/>
          <w:color w:val="auto"/>
          <w:highlight w:val="none"/>
        </w:rPr>
      </w:pPr>
    </w:p>
    <w:p w14:paraId="14E00166">
      <w:pPr>
        <w:keepNext w:val="0"/>
        <w:keepLines w:val="0"/>
        <w:pageBreakBefore w:val="0"/>
        <w:widowControl w:val="0"/>
        <w:kinsoku/>
        <w:wordWrap/>
        <w:overflowPunct/>
        <w:topLinePunct w:val="0"/>
        <w:autoSpaceDE/>
        <w:autoSpaceDN/>
        <w:bidi w:val="0"/>
        <w:spacing w:line="360" w:lineRule="auto"/>
        <w:ind w:firstLine="480" w:firstLineChars="200"/>
        <w:jc w:val="center"/>
        <w:textAlignment w:val="auto"/>
        <w:rPr>
          <w:rFonts w:hint="eastAsia" w:ascii="仿宋" w:hAnsi="仿宋" w:eastAsia="仿宋" w:cs="仿宋"/>
          <w:bCs/>
          <w:color w:val="auto"/>
          <w:sz w:val="24"/>
          <w:szCs w:val="24"/>
          <w:highlight w:val="none"/>
          <w:lang w:val="en-US" w:eastAsia="zh-CN"/>
        </w:rPr>
      </w:pPr>
      <w:bookmarkStart w:id="92" w:name="_Toc27105"/>
      <w:bookmarkStart w:id="93" w:name="_Toc6210"/>
      <w:bookmarkStart w:id="94" w:name="_Toc23505"/>
    </w:p>
    <w:p w14:paraId="065260AE">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采购清单</w:t>
      </w:r>
    </w:p>
    <w:p w14:paraId="3D2AF81E">
      <w:pPr>
        <w:keepNext w:val="0"/>
        <w:keepLines w:val="0"/>
        <w:pageBreakBefore w:val="0"/>
        <w:widowControl w:val="0"/>
        <w:kinsoku/>
        <w:wordWrap/>
        <w:overflowPunct/>
        <w:topLinePunct w:val="0"/>
        <w:autoSpaceDE/>
        <w:autoSpaceDN/>
        <w:bidi w:val="0"/>
        <w:spacing w:line="360" w:lineRule="auto"/>
        <w:ind w:firstLine="480" w:firstLineChars="200"/>
        <w:jc w:val="center"/>
        <w:textAlignment w:val="auto"/>
        <w:rPr>
          <w:rFonts w:hint="eastAsia" w:ascii="仿宋" w:hAnsi="仿宋" w:eastAsia="仿宋" w:cs="仿宋"/>
          <w:bCs/>
          <w:color w:val="auto"/>
          <w:sz w:val="24"/>
          <w:szCs w:val="24"/>
          <w:highlight w:val="none"/>
          <w:lang w:val="en-US" w:eastAsia="zh-CN"/>
        </w:rPr>
      </w:pPr>
    </w:p>
    <w:tbl>
      <w:tblPr>
        <w:tblStyle w:val="3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3577"/>
        <w:gridCol w:w="1309"/>
        <w:gridCol w:w="1323"/>
        <w:gridCol w:w="1765"/>
      </w:tblGrid>
      <w:tr w14:paraId="4684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Align w:val="center"/>
          </w:tcPr>
          <w:p w14:paraId="7ACAB24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927" w:type="pct"/>
            <w:vAlign w:val="center"/>
          </w:tcPr>
          <w:p w14:paraId="2D24947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标的名称</w:t>
            </w:r>
          </w:p>
        </w:tc>
        <w:tc>
          <w:tcPr>
            <w:tcW w:w="705" w:type="pct"/>
            <w:vAlign w:val="center"/>
          </w:tcPr>
          <w:p w14:paraId="3413E4C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单位</w:t>
            </w:r>
          </w:p>
        </w:tc>
        <w:tc>
          <w:tcPr>
            <w:tcW w:w="712" w:type="pct"/>
            <w:vAlign w:val="center"/>
          </w:tcPr>
          <w:p w14:paraId="2AFC799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w:t>
            </w:r>
          </w:p>
        </w:tc>
        <w:tc>
          <w:tcPr>
            <w:tcW w:w="951" w:type="pct"/>
            <w:vAlign w:val="center"/>
          </w:tcPr>
          <w:p w14:paraId="10833E6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单价限价</w:t>
            </w:r>
          </w:p>
          <w:p w14:paraId="5130E40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（万元）</w:t>
            </w:r>
          </w:p>
        </w:tc>
      </w:tr>
      <w:tr w14:paraId="0059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Align w:val="center"/>
          </w:tcPr>
          <w:p w14:paraId="0ED1A44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927" w:type="pct"/>
            <w:vAlign w:val="center"/>
          </w:tcPr>
          <w:p w14:paraId="02CDD64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多导睡眠检测仪</w:t>
            </w:r>
          </w:p>
        </w:tc>
        <w:tc>
          <w:tcPr>
            <w:tcW w:w="705" w:type="pct"/>
            <w:vAlign w:val="center"/>
          </w:tcPr>
          <w:p w14:paraId="7FF92C2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台</w:t>
            </w:r>
          </w:p>
        </w:tc>
        <w:tc>
          <w:tcPr>
            <w:tcW w:w="712" w:type="pct"/>
            <w:vAlign w:val="center"/>
          </w:tcPr>
          <w:p w14:paraId="72DDEAB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w:t>
            </w:r>
          </w:p>
        </w:tc>
        <w:tc>
          <w:tcPr>
            <w:tcW w:w="951" w:type="pct"/>
            <w:vAlign w:val="center"/>
          </w:tcPr>
          <w:p w14:paraId="0861115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25.00</w:t>
            </w:r>
          </w:p>
        </w:tc>
      </w:tr>
      <w:tr w14:paraId="7E7A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Align w:val="center"/>
          </w:tcPr>
          <w:p w14:paraId="0C896F1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w:t>
            </w:r>
          </w:p>
        </w:tc>
        <w:tc>
          <w:tcPr>
            <w:tcW w:w="1927" w:type="pct"/>
            <w:vAlign w:val="center"/>
          </w:tcPr>
          <w:p w14:paraId="449C9EF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CBTI治疗系统(失眠认知行为治疗系统)</w:t>
            </w:r>
          </w:p>
        </w:tc>
        <w:tc>
          <w:tcPr>
            <w:tcW w:w="705" w:type="pct"/>
            <w:vAlign w:val="center"/>
          </w:tcPr>
          <w:p w14:paraId="171477C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台</w:t>
            </w:r>
          </w:p>
        </w:tc>
        <w:tc>
          <w:tcPr>
            <w:tcW w:w="712" w:type="pct"/>
            <w:vAlign w:val="center"/>
          </w:tcPr>
          <w:p w14:paraId="0928052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w:t>
            </w:r>
          </w:p>
        </w:tc>
        <w:tc>
          <w:tcPr>
            <w:tcW w:w="951" w:type="pct"/>
            <w:vAlign w:val="center"/>
          </w:tcPr>
          <w:p w14:paraId="7B117AE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40.00</w:t>
            </w:r>
          </w:p>
        </w:tc>
      </w:tr>
      <w:tr w14:paraId="0BFC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pct"/>
            <w:vAlign w:val="center"/>
          </w:tcPr>
          <w:p w14:paraId="24E8445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w:t>
            </w:r>
          </w:p>
        </w:tc>
        <w:tc>
          <w:tcPr>
            <w:tcW w:w="1927" w:type="pct"/>
            <w:vAlign w:val="center"/>
          </w:tcPr>
          <w:p w14:paraId="7EE6FB9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经颅磁刺激仪</w:t>
            </w:r>
          </w:p>
        </w:tc>
        <w:tc>
          <w:tcPr>
            <w:tcW w:w="1309" w:type="dxa"/>
            <w:vAlign w:val="center"/>
          </w:tcPr>
          <w:p w14:paraId="076CB50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台</w:t>
            </w:r>
          </w:p>
        </w:tc>
        <w:tc>
          <w:tcPr>
            <w:tcW w:w="1323" w:type="dxa"/>
            <w:vAlign w:val="center"/>
          </w:tcPr>
          <w:p w14:paraId="546DFC0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w:t>
            </w:r>
          </w:p>
        </w:tc>
        <w:tc>
          <w:tcPr>
            <w:tcW w:w="951" w:type="pct"/>
            <w:vAlign w:val="center"/>
          </w:tcPr>
          <w:p w14:paraId="1348C06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50.00</w:t>
            </w:r>
          </w:p>
        </w:tc>
      </w:tr>
      <w:tr w14:paraId="48E7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pct"/>
            <w:gridSpan w:val="4"/>
            <w:vAlign w:val="center"/>
          </w:tcPr>
          <w:p w14:paraId="2C7053C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合计（万元）</w:t>
            </w:r>
          </w:p>
        </w:tc>
        <w:tc>
          <w:tcPr>
            <w:tcW w:w="951" w:type="pct"/>
            <w:shd w:val="clear" w:color="auto" w:fill="auto"/>
            <w:vAlign w:val="center"/>
          </w:tcPr>
          <w:p w14:paraId="5871719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115.00</w:t>
            </w:r>
          </w:p>
        </w:tc>
      </w:tr>
    </w:tbl>
    <w:p w14:paraId="6594D3D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Cs/>
          <w:color w:val="auto"/>
          <w:sz w:val="24"/>
          <w:szCs w:val="24"/>
          <w:highlight w:val="none"/>
        </w:rPr>
      </w:pPr>
    </w:p>
    <w:p w14:paraId="199B632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说明：投标人应注意采购人在技术</w:t>
      </w:r>
      <w:r>
        <w:rPr>
          <w:rFonts w:hint="eastAsia" w:ascii="仿宋" w:hAnsi="仿宋" w:eastAsia="仿宋" w:cs="仿宋"/>
          <w:bCs/>
          <w:color w:val="auto"/>
          <w:sz w:val="24"/>
          <w:szCs w:val="24"/>
          <w:highlight w:val="none"/>
          <w:lang w:val="en-US" w:eastAsia="zh-CN"/>
        </w:rPr>
        <w:t>要求</w:t>
      </w:r>
      <w:r>
        <w:rPr>
          <w:rFonts w:hint="eastAsia" w:ascii="仿宋" w:hAnsi="仿宋" w:eastAsia="仿宋" w:cs="仿宋"/>
          <w:bCs/>
          <w:color w:val="auto"/>
          <w:sz w:val="24"/>
          <w:szCs w:val="24"/>
          <w:highlight w:val="none"/>
        </w:rPr>
        <w:t>中指出的参数、工艺、材料和设备等内容仅起说明作用，无任何倾向性或限制性；任何品牌的产品均可依法参加本项目的采购活动。</w:t>
      </w:r>
      <w:r>
        <w:rPr>
          <w:rFonts w:hint="eastAsia" w:ascii="仿宋" w:hAnsi="仿宋" w:eastAsia="仿宋" w:cs="仿宋"/>
          <w:bCs/>
          <w:color w:val="auto"/>
          <w:sz w:val="24"/>
          <w:szCs w:val="24"/>
          <w:highlight w:val="none"/>
          <w:lang w:val="en-US" w:eastAsia="zh-CN"/>
        </w:rPr>
        <w:t>所有</w:t>
      </w:r>
      <w:r>
        <w:rPr>
          <w:rFonts w:hint="eastAsia" w:ascii="仿宋" w:hAnsi="仿宋" w:eastAsia="仿宋" w:cs="仿宋"/>
          <w:bCs/>
          <w:color w:val="auto"/>
          <w:sz w:val="24"/>
          <w:szCs w:val="24"/>
          <w:highlight w:val="none"/>
        </w:rPr>
        <w:t>产品在安装调试中所需辅材费用包含在投标人投标产品的报价中，不再单独计取。</w:t>
      </w:r>
    </w:p>
    <w:p w14:paraId="79BA18F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b w:val="0"/>
          <w:bCs/>
          <w:color w:val="auto"/>
          <w:sz w:val="24"/>
          <w:szCs w:val="24"/>
          <w:highlight w:val="none"/>
        </w:rPr>
      </w:pPr>
    </w:p>
    <w:p w14:paraId="12D34B03">
      <w:pP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br w:type="page"/>
      </w:r>
    </w:p>
    <w:bookmarkEnd w:id="92"/>
    <w:bookmarkEnd w:id="93"/>
    <w:p w14:paraId="12D0292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1"/>
        <w:rPr>
          <w:rFonts w:hint="eastAsia" w:ascii="仿宋" w:hAnsi="仿宋" w:eastAsia="仿宋" w:cs="仿宋"/>
          <w:b w:val="0"/>
          <w:bCs/>
          <w:color w:val="auto"/>
          <w:sz w:val="24"/>
          <w:szCs w:val="24"/>
          <w:highlight w:val="none"/>
          <w:lang w:val="en-US" w:eastAsia="zh-CN"/>
        </w:rPr>
      </w:pPr>
      <w:bookmarkStart w:id="95" w:name="_Toc26952"/>
      <w:r>
        <w:rPr>
          <w:rFonts w:hint="eastAsia" w:ascii="仿宋" w:hAnsi="仿宋" w:eastAsia="仿宋" w:cs="仿宋"/>
          <w:b w:val="0"/>
          <w:bCs/>
          <w:color w:val="auto"/>
          <w:sz w:val="24"/>
          <w:szCs w:val="24"/>
          <w:highlight w:val="none"/>
          <w:lang w:val="en-US" w:eastAsia="zh-CN"/>
        </w:rPr>
        <w:t>1、设备名称：多导睡眠检测仪</w:t>
      </w:r>
      <w:bookmarkEnd w:id="95"/>
    </w:p>
    <w:p w14:paraId="331CBAB1">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一、产地：国产</w:t>
      </w:r>
    </w:p>
    <w:p w14:paraId="2FB5A8D6">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二、数量：1台</w:t>
      </w:r>
    </w:p>
    <w:p w14:paraId="1568EAAD">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三、技术参数：</w:t>
      </w:r>
    </w:p>
    <w:p w14:paraId="4D209F4E">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（一）、主终端1台参数：</w:t>
      </w:r>
    </w:p>
    <w:p w14:paraId="42BDB21B">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1、设备导联数≥52，包括：脑电、眼动电、下颌电、心电、下肢肌电活动、呼吸气流、脉搏血氧饱和度等。</w:t>
      </w:r>
    </w:p>
    <w:p w14:paraId="6B071055">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2、主机记录盒小巧、轻便，重量≤90g，患者可自由活动。</w:t>
      </w:r>
    </w:p>
    <w:p w14:paraId="24BC0164">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3、腕部主机设备具备Type-C四合一接口，单个多导数据（24小时记录）传输时间≤60s（提供证明材料或图片）。</w:t>
      </w:r>
    </w:p>
    <w:p w14:paraId="72E7343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4、设备内存卡可不小于32Gb，可连续记录，存储并保留最近三个患者的睡眠数据，并可自动导入分析软件中进行分析。</w:t>
      </w:r>
    </w:p>
    <w:p w14:paraId="18FE9917">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5、具有实时阻抗检测功能，针对电生理信号（EXG信号）进行阻抗测试，避免因穿戴或其它不当问题影响信号采集质量。</w:t>
      </w:r>
    </w:p>
    <w:p w14:paraId="46A27B17">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6、分析软件具有全中文操作界面，可生成全中文分析报告，方便临床进行报告分析及制定治疗方案。</w:t>
      </w:r>
    </w:p>
    <w:p w14:paraId="73A65A5C">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7、软件具有设备管理功能，一套软件支持管理多套、不同型号的设备，类别分明，信息直观（提供证明材料或软件截图）。</w:t>
      </w:r>
    </w:p>
    <w:p w14:paraId="016ED78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8、配有高清红外视频监控功能，实时监测患者夜间异常睡眠行为，结合相关睡眠数据综合性判读，给出更佳的睡眠解决方案。</w:t>
      </w:r>
    </w:p>
    <w:p w14:paraId="37F40ED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9、设备具备硅胶指套、硅胶戒指等多种睡眠监测血氧传感器，不会对人体产生压迫伤，减少发生被动脱落的可能，确保整夜血氧指标监测的完整性。（提供证明材料或图片）</w:t>
      </w:r>
    </w:p>
    <w:p w14:paraId="6DFB1D56">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10、主机内置金属鲁尔内锁接头的压力式气流传感器，容易连接且不易损坏。</w:t>
      </w:r>
    </w:p>
    <w:p w14:paraId="3FB2336B">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11、分析软件具有全中文操作界面，可生成全中文分析报告，方便临床进行报告分析及制定治疗方案。</w:t>
      </w:r>
    </w:p>
    <w:p w14:paraId="4ADB429B">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（二）、拖终端2台参数：</w:t>
      </w:r>
    </w:p>
    <w:p w14:paraId="4009F181">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设备原始采集而非软件分析指标的通道数≥14导，包括呼吸气流（口鼻气流压力和口鼻气流热敏）、胸腹呼吸（独立RIP胸导联、独立RIP腹导联）、脉搏血氧饱和度、脉率、脉搏波、体位、体动、压力鼾声、麦克风鼾声、环境光、主动事件标记、双色工作指示灯及无线远程监测（呼沫EtCO2、CPAP压力滴定）等参数。</w:t>
      </w:r>
    </w:p>
    <w:p w14:paraId="7D8C42B0">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16、设备小巧轻便，胸部主机重量≤90g；腕部主机，重量≤90g（带电池），监测过程中患者可在睡眠监测室活动。</w:t>
      </w:r>
    </w:p>
    <w:p w14:paraId="64774EE4">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17、主机具有OLED显示屏，可实时显示记录状态、蓝牙连接状态、电池电量、剩余内存容量等信息；同时具有物理按钮，用于离线记录、预设记录时长和患者事件标记等。    </w:t>
      </w:r>
    </w:p>
    <w:p w14:paraId="4B6651EA">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18、主机内置双蓝牙模块，可蓝牙无线连接，录入患者基本信息及相关监测数据及指标的设置，也可以采用Type-C四合一接口有线连接进行数据初始化，主机可升级外接呼末、呼吸机等多种外扩无线设备。</w:t>
      </w:r>
    </w:p>
    <w:p w14:paraId="39315E68">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19、设备设备内存卡</w:t>
      </w:r>
      <w:r>
        <w:rPr>
          <w:rFonts w:hint="eastAsia"/>
          <w:color w:val="auto"/>
          <w:highlight w:val="none"/>
          <w:lang w:val="en-US" w:eastAsia="zh-CN"/>
        </w:rPr>
        <w:t>≥</w:t>
      </w:r>
      <w:r>
        <w:rPr>
          <w:rFonts w:hint="eastAsia" w:ascii="仿宋" w:hAnsi="仿宋" w:eastAsia="仿宋" w:cs="仿宋"/>
          <w:color w:val="auto"/>
          <w:sz w:val="24"/>
          <w:szCs w:val="24"/>
          <w:highlight w:val="none"/>
          <w:lang w:val="en-US" w:eastAsia="zh-CN"/>
        </w:rPr>
        <w:t>32Gb，存储并保留连续三个患者的睡眠数据，同时在分析软件中依次下载这三位患者数据进行分析。</w:t>
      </w:r>
    </w:p>
    <w:p w14:paraId="45CFA808">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20、可对不同信号自定义设置高通滤波、低通滤波、工作频率，帮助临床滤除噪声干扰，获取更加准确的信号。</w:t>
      </w:r>
    </w:p>
    <w:p w14:paraId="7464328E">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软件回放诊断界面的时基可自定义调整，支持分屏且各个分区的时基独立，分区的占比也可自由调整；可以手动或自动分析呼吸事件、缺氧、肢体运动等事件，并最终生成统计结果和报告；睡眠报告具有血氧、氧减、心率、脉率、呼吸事件、体动、体位的趋势图，事件列表可区分中枢型、阻塞性、混合型睡眠呼吸暂停时间。（提供软件截图等证明材料）</w:t>
      </w:r>
    </w:p>
    <w:p w14:paraId="78566FA7">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★22、软件操作涵盖多导睡眠、呼吸筛查、多发小睡、压力滴定等模式，具备实时监测和探头触发和脱机监测等多种监测方式，方便临床数据监测。（提供软件截图证明材料）</w:t>
      </w:r>
    </w:p>
    <w:p w14:paraId="59793AC6">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23、设备具备硅胶指套、硅胶戒指等多种睡眠监测血氧传感器，不会对人体产生压迫伤，减少发生被动脱落的可能，确保整夜血氧指标监测的完整性。（提供图片证明材料）</w:t>
      </w:r>
    </w:p>
    <w:p w14:paraId="4CC88FE1">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四、装箱配置单：</w:t>
      </w:r>
    </w:p>
    <w:p w14:paraId="108D65BA">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（一）、主终端配置清单</w:t>
      </w:r>
    </w:p>
    <w:p w14:paraId="012A981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1、腕部主机 1台</w:t>
      </w:r>
    </w:p>
    <w:p w14:paraId="62AF005D">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2、胸部主机 1台</w:t>
      </w:r>
    </w:p>
    <w:p w14:paraId="19778FDA">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3、系统配件1套</w:t>
      </w:r>
    </w:p>
    <w:p w14:paraId="46D742BF">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4、高清视频组件 1套</w:t>
      </w:r>
    </w:p>
    <w:p w14:paraId="55B6BFCF">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5、电脑和打印机 1套</w:t>
      </w:r>
    </w:p>
    <w:p w14:paraId="590AB95E">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6、便携包 1套</w:t>
      </w:r>
    </w:p>
    <w:p w14:paraId="51E450EE">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（二）、拖终端单台配置清单</w:t>
      </w:r>
    </w:p>
    <w:p w14:paraId="774986C9">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7、腕部主机 1台</w:t>
      </w:r>
    </w:p>
    <w:p w14:paraId="2B34E28B">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8、胸部主机 1台</w:t>
      </w:r>
    </w:p>
    <w:p w14:paraId="537D25E0">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9、系统配件1套</w:t>
      </w:r>
    </w:p>
    <w:p w14:paraId="555F9E5F">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10、收纳包 1个</w:t>
      </w:r>
    </w:p>
    <w:p w14:paraId="3DB0B41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五、质保：整机质保三年（包括技术服务和原厂原件更换）</w:t>
      </w:r>
    </w:p>
    <w:p w14:paraId="77A2E41B">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六、售后服务要求：</w:t>
      </w:r>
    </w:p>
    <w:p w14:paraId="0B291BB5">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1、厂家需提供24小时在线技术支持，确保设备在使用过程中出现问题时能够及时得到解答和处理。</w:t>
      </w:r>
    </w:p>
    <w:p w14:paraId="6C2888C1">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2、厂家需要定期回访，了解设备使用情况，收集用户反馈，以便不断改进产品和服务。</w:t>
      </w:r>
    </w:p>
    <w:p w14:paraId="268B8E24">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3、厂家需提供必要的培训服务，确保科室操作人员能够熟练掌握设备的使用方法和注意事项。</w:t>
      </w:r>
    </w:p>
    <w:p w14:paraId="2301892C">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七、验收标准：</w:t>
      </w:r>
    </w:p>
    <w:p w14:paraId="1759B669">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网络接口费由供货商承担，如需网络升级，升级费用由供货商承担。</w:t>
      </w:r>
    </w:p>
    <w:p w14:paraId="6F0E416A">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八、供货时间：签订合同后14个工作日内完成供货、安装、调试验收、移交</w:t>
      </w:r>
    </w:p>
    <w:p w14:paraId="54CCA09B">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九、预算：25万元（单价）</w:t>
      </w:r>
    </w:p>
    <w:p w14:paraId="1BB6160E">
      <w:pPr>
        <w:spacing w:line="360" w:lineRule="auto"/>
        <w:rPr>
          <w:rFonts w:hint="eastAsia" w:ascii="仿宋" w:hAnsi="仿宋" w:eastAsia="仿宋" w:cs="仿宋"/>
          <w:color w:val="auto"/>
          <w:sz w:val="24"/>
          <w:szCs w:val="24"/>
          <w:highlight w:val="none"/>
          <w:lang w:val="en-US" w:eastAsia="zh-CN"/>
        </w:rPr>
      </w:pPr>
    </w:p>
    <w:p w14:paraId="43A93EDE">
      <w:pPr>
        <w:spacing w:line="360" w:lineRule="auto"/>
        <w:rPr>
          <w:rFonts w:hint="eastAsia" w:ascii="仿宋" w:hAnsi="仿宋" w:eastAsia="仿宋" w:cs="仿宋"/>
          <w:color w:val="auto"/>
          <w:sz w:val="24"/>
          <w:szCs w:val="24"/>
          <w:highlight w:val="none"/>
          <w:lang w:val="en-US" w:eastAsia="zh-CN"/>
        </w:rPr>
      </w:pPr>
    </w:p>
    <w:p w14:paraId="08F4D26E">
      <w:pPr>
        <w:spacing w:line="360" w:lineRule="auto"/>
        <w:rPr>
          <w:rFonts w:hint="eastAsia" w:ascii="仿宋" w:hAnsi="仿宋" w:eastAsia="仿宋" w:cs="仿宋"/>
          <w:color w:val="auto"/>
          <w:sz w:val="24"/>
          <w:szCs w:val="24"/>
          <w:highlight w:val="none"/>
          <w:lang w:val="en-US" w:eastAsia="zh-CN"/>
        </w:rPr>
      </w:pPr>
    </w:p>
    <w:p w14:paraId="01834045">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br w:type="page"/>
      </w:r>
    </w:p>
    <w:p w14:paraId="3D1C378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1"/>
        <w:rPr>
          <w:rFonts w:hint="eastAsia" w:ascii="仿宋" w:hAnsi="仿宋" w:eastAsia="仿宋" w:cs="仿宋"/>
          <w:b w:val="0"/>
          <w:bCs/>
          <w:color w:val="auto"/>
          <w:sz w:val="24"/>
          <w:szCs w:val="24"/>
          <w:highlight w:val="none"/>
          <w:lang w:val="en-US" w:eastAsia="zh-CN"/>
        </w:rPr>
      </w:pPr>
      <w:bookmarkStart w:id="96" w:name="_Toc10920"/>
      <w:r>
        <w:rPr>
          <w:rFonts w:hint="eastAsia" w:ascii="仿宋" w:hAnsi="仿宋" w:eastAsia="仿宋" w:cs="仿宋"/>
          <w:b w:val="0"/>
          <w:bCs/>
          <w:color w:val="auto"/>
          <w:sz w:val="24"/>
          <w:szCs w:val="24"/>
          <w:highlight w:val="none"/>
          <w:lang w:val="en-US" w:eastAsia="zh-CN"/>
        </w:rPr>
        <w:t>2、设备名称：CBTI治疗系统(失眠认知行为治疗系统)</w:t>
      </w:r>
      <w:bookmarkEnd w:id="96"/>
    </w:p>
    <w:p w14:paraId="576B99D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一、产地：国产</w:t>
      </w:r>
    </w:p>
    <w:p w14:paraId="2D9C63E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w:t>
      </w:r>
      <w:r>
        <w:rPr>
          <w:rFonts w:hint="eastAsia" w:ascii="仿宋" w:hAnsi="仿宋" w:eastAsia="仿宋" w:cs="仿宋"/>
          <w:b w:val="0"/>
          <w:bCs/>
          <w:color w:val="auto"/>
          <w:sz w:val="24"/>
          <w:szCs w:val="24"/>
          <w:highlight w:val="none"/>
        </w:rPr>
        <w:t>数量：</w:t>
      </w:r>
      <w:r>
        <w:rPr>
          <w:rFonts w:hint="eastAsia" w:ascii="仿宋" w:hAnsi="仿宋" w:eastAsia="仿宋" w:cs="仿宋"/>
          <w:b w:val="0"/>
          <w:bCs/>
          <w:color w:val="auto"/>
          <w:sz w:val="24"/>
          <w:szCs w:val="24"/>
          <w:highlight w:val="none"/>
          <w:lang w:val="en-US" w:eastAsia="zh-CN"/>
        </w:rPr>
        <w:t>1台</w:t>
      </w:r>
    </w:p>
    <w:p w14:paraId="35A5986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三、技术参数：</w:t>
      </w:r>
    </w:p>
    <w:p w14:paraId="02B5716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CBT-I数字化失眠障碍认知行为诊疗系统主要技术参数</w:t>
      </w:r>
    </w:p>
    <w:p w14:paraId="797E0B7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一、产品介绍：</w:t>
      </w:r>
    </w:p>
    <w:p w14:paraId="5497869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1.包含量表≥60个</w:t>
      </w:r>
    </w:p>
    <w:p w14:paraId="62115EE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2.系统功能特点要求</w:t>
      </w:r>
    </w:p>
    <w:p w14:paraId="4CDABCF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2.1.系统可直接展示阴性、阳性结果进行报告预警。</w:t>
      </w:r>
    </w:p>
    <w:p w14:paraId="287ACE7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★2.2.报告详情可根据节点预览或下载，包括测试目的、图片展示、重点提示、趋势图、测试时长等部分。（提供系统截图证明或原厂技术参数证明）</w:t>
      </w:r>
    </w:p>
    <w:p w14:paraId="61D6683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2.3.医生可为患者分配测评量表，查看测评报告，将多个同一量表不同时间的诊断结果进行对比分析，以及支持打印报告。</w:t>
      </w:r>
    </w:p>
    <w:p w14:paraId="4181AE9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2.4.心理疗法需包含丰富音频素材（催眠音频、冥想放松训练、肌肉渐进放松等）。</w:t>
      </w:r>
    </w:p>
    <w:p w14:paraId="4B6926E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2.5.系统具备开放方案功能，医师可将量表测评、认知行为疗法（文字）、认知行为疗法（视频）、简短行为疗法、心理疗法进行自由组合形成特有方案。</w:t>
      </w:r>
    </w:p>
    <w:p w14:paraId="0ED3EF7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2.6.系统具备家庭作业模块，可查看、录入家庭作业，家庭作业包含积极活动表、思维记录表、活动记录表、强迫行为记录表、睡眠日志、思维改变记录表、自动化思维记录表、核心信念记录表、现实暴露记录表、暴露自我监测表等。（提供系统截图证明或原厂技术参数证明）</w:t>
      </w:r>
    </w:p>
    <w:p w14:paraId="5809AEE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2.7.系统具备用药管理功能，医师可为患者添加用药记录</w:t>
      </w:r>
    </w:p>
    <w:p w14:paraId="5AD9130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2.8.小程序端可完成家庭作业，家庭作业内容可实时与管理端同步，便于医师调整治疗策略。</w:t>
      </w:r>
    </w:p>
    <w:p w14:paraId="2CE4775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2.9.小程序端具备心理调适功能，提供心理健康知识科普及趣味测验，帮助患者进行自我调控，改善心理健康状况。</w:t>
      </w:r>
    </w:p>
    <w:p w14:paraId="66B3017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四、装箱配置单：</w:t>
      </w:r>
    </w:p>
    <w:p w14:paraId="7F988098">
      <w:pPr>
        <w:spacing w:line="36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1、主机1台；   </w:t>
      </w:r>
    </w:p>
    <w:p w14:paraId="48BCAA4F">
      <w:pPr>
        <w:spacing w:line="36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2、医生管理终端电脑 1台：显示器≥23.8寸、处理器:i5-13代、内存:≥16G、硬盘:≥1T 、SDD显卡、64位操作系统，自带千兆网络接口，运行流畅稳定，可稳定兼容失眠认知行为治疗系统管理端软件，满足患者档案管理、量表评估、诊疗数据分析及报表打印等日常工作需求。</w:t>
      </w:r>
    </w:p>
    <w:p w14:paraId="4F550998">
      <w:pPr>
        <w:spacing w:line="36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3、医生管理软件系统1套；</w:t>
      </w:r>
    </w:p>
    <w:p w14:paraId="60EC71E2">
      <w:pPr>
        <w:spacing w:line="36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4、患者治疗终端电脑4台；显示器:≥23.8寸、处理器:i5-13代、内存:≥16G、硬盘:≥1T 、SDD显卡</w:t>
      </w:r>
    </w:p>
    <w:p w14:paraId="530FF96B">
      <w:pPr>
        <w:spacing w:line="36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5、患者治疗软件系统4套；</w:t>
      </w:r>
    </w:p>
    <w:p w14:paraId="0E1BBE15">
      <w:pPr>
        <w:spacing w:line="36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6、激光打印机1台；支持A4幅面、打印分辨率≥1200×1200dpi、自动双面打印功能、纸盒容量≥250页，自带USB及千兆网络接口，支持局域网共享，兼容医院HIS、LIS、EMR系统</w:t>
      </w:r>
    </w:p>
    <w:p w14:paraId="0A98EE31">
      <w:pPr>
        <w:spacing w:line="36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患者用耳机4副；频响范围20Hz～20kHz，阻抗32Ω，灵敏度≥100dB；全包耳柔软耳罩设计，佩戴舒适、有效隔绝环境噪音；3.5mm音频接口，兼容治疗终端设备，人声清晰柔和、无电流杂音，适配失眠认知行为治疗语音引导、放松训练、正念疏导等音频播放使用，线材抗拉耐磨，适合诊室长期固定使用。</w:t>
      </w:r>
    </w:p>
    <w:p w14:paraId="7F7C5E8E">
      <w:pPr>
        <w:spacing w:line="36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8、CBTI治疗系统专用推车1台；冷轧钢板静电喷塑工艺，双层置物结构，圆弧防撞边角；配置4寸静音万向带刹车脚轮，推行无噪音，承重≥55KG、适配失眠认知行为治疗系统终端设备放置与室内转运使用。</w:t>
      </w:r>
    </w:p>
    <w:p w14:paraId="1BA63630">
      <w:pPr>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五、</w:t>
      </w:r>
      <w:r>
        <w:rPr>
          <w:rFonts w:hint="eastAsia" w:ascii="仿宋" w:hAnsi="仿宋" w:eastAsia="仿宋" w:cs="仿宋"/>
          <w:b w:val="0"/>
          <w:bCs/>
          <w:color w:val="auto"/>
          <w:sz w:val="24"/>
          <w:szCs w:val="24"/>
          <w:highlight w:val="none"/>
        </w:rPr>
        <w:t>质保：</w:t>
      </w:r>
      <w:r>
        <w:rPr>
          <w:rFonts w:hint="eastAsia" w:ascii="仿宋" w:hAnsi="仿宋" w:eastAsia="仿宋" w:cs="仿宋"/>
          <w:color w:val="auto"/>
          <w:sz w:val="24"/>
          <w:szCs w:val="24"/>
          <w:highlight w:val="none"/>
          <w:lang w:val="en-US" w:eastAsia="zh-CN"/>
        </w:rPr>
        <w:t>整机质保三年（包括技术服务和原厂原件更换）</w:t>
      </w:r>
    </w:p>
    <w:p w14:paraId="2FAAE86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六、</w:t>
      </w:r>
      <w:r>
        <w:rPr>
          <w:rFonts w:hint="eastAsia" w:ascii="仿宋" w:hAnsi="仿宋" w:eastAsia="仿宋" w:cs="仿宋"/>
          <w:b w:val="0"/>
          <w:bCs/>
          <w:color w:val="auto"/>
          <w:sz w:val="24"/>
          <w:szCs w:val="24"/>
          <w:highlight w:val="none"/>
        </w:rPr>
        <w:t>售后服务要求</w:t>
      </w:r>
      <w:r>
        <w:rPr>
          <w:rFonts w:hint="eastAsia" w:ascii="仿宋" w:hAnsi="仿宋" w:eastAsia="仿宋" w:cs="仿宋"/>
          <w:b w:val="0"/>
          <w:bCs/>
          <w:color w:val="auto"/>
          <w:sz w:val="24"/>
          <w:szCs w:val="24"/>
          <w:highlight w:val="none"/>
          <w:lang w:eastAsia="zh-CN"/>
        </w:rPr>
        <w:t>：</w:t>
      </w:r>
    </w:p>
    <w:p w14:paraId="116B1FAA">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1、厂家需提供24小时在线技术支持，确保设备在使用过程中出现问题时能够及时得到解答和处理。</w:t>
      </w:r>
    </w:p>
    <w:p w14:paraId="2E749A7E">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2、厂家需要定期回访，了解设备使用情况，收集用户反馈，以便不断改进产品和服务。</w:t>
      </w:r>
    </w:p>
    <w:p w14:paraId="5B1D040A">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3、厂家需提供必要的培训服务，确保科室操作人员能够熟练掌握设备的使用方法和注意事项。</w:t>
      </w:r>
    </w:p>
    <w:p w14:paraId="2B851CF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七、</w:t>
      </w:r>
      <w:r>
        <w:rPr>
          <w:rFonts w:hint="eastAsia" w:ascii="仿宋" w:hAnsi="仿宋" w:eastAsia="仿宋" w:cs="仿宋"/>
          <w:b w:val="0"/>
          <w:bCs/>
          <w:color w:val="auto"/>
          <w:sz w:val="24"/>
          <w:szCs w:val="24"/>
          <w:highlight w:val="none"/>
          <w:lang w:eastAsia="zh-CN"/>
        </w:rPr>
        <w:t>验收标准：</w:t>
      </w:r>
    </w:p>
    <w:p w14:paraId="0FBC75C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网络接口费由供货商承担，如需网络升级，升级费用由供货商承担。</w:t>
      </w:r>
    </w:p>
    <w:p w14:paraId="00AF3E25">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八、</w:t>
      </w:r>
      <w:r>
        <w:rPr>
          <w:rFonts w:hint="eastAsia" w:ascii="仿宋" w:hAnsi="仿宋" w:eastAsia="仿宋" w:cs="仿宋"/>
          <w:b w:val="0"/>
          <w:bCs/>
          <w:color w:val="auto"/>
          <w:sz w:val="24"/>
          <w:szCs w:val="24"/>
          <w:highlight w:val="none"/>
        </w:rPr>
        <w:t>供货时间：</w:t>
      </w:r>
      <w:r>
        <w:rPr>
          <w:rFonts w:hint="eastAsia" w:ascii="仿宋" w:hAnsi="仿宋" w:eastAsia="仿宋" w:cs="仿宋"/>
          <w:color w:val="auto"/>
          <w:sz w:val="24"/>
          <w:szCs w:val="24"/>
          <w:highlight w:val="none"/>
          <w:lang w:val="en-US" w:eastAsia="zh-CN"/>
        </w:rPr>
        <w:t>签订合同后14个工作日内完成供货、安装、调试验收、移交</w:t>
      </w:r>
    </w:p>
    <w:p w14:paraId="0F581A0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九、</w:t>
      </w:r>
      <w:r>
        <w:rPr>
          <w:rFonts w:hint="eastAsia" w:ascii="仿宋" w:hAnsi="仿宋" w:eastAsia="仿宋" w:cs="仿宋"/>
          <w:b w:val="0"/>
          <w:bCs/>
          <w:color w:val="auto"/>
          <w:sz w:val="24"/>
          <w:szCs w:val="24"/>
          <w:highlight w:val="none"/>
        </w:rPr>
        <w:t>预算：</w:t>
      </w:r>
      <w:r>
        <w:rPr>
          <w:rFonts w:hint="eastAsia" w:ascii="仿宋" w:hAnsi="仿宋" w:eastAsia="仿宋" w:cs="仿宋"/>
          <w:b w:val="0"/>
          <w:bCs/>
          <w:color w:val="auto"/>
          <w:sz w:val="24"/>
          <w:szCs w:val="24"/>
          <w:highlight w:val="none"/>
          <w:lang w:val="en-US" w:eastAsia="zh-CN"/>
        </w:rPr>
        <w:t>40万元</w:t>
      </w:r>
      <w:r>
        <w:rPr>
          <w:rFonts w:hint="eastAsia" w:ascii="仿宋" w:hAnsi="仿宋" w:eastAsia="仿宋" w:cs="仿宋"/>
          <w:b w:val="0"/>
          <w:bCs/>
          <w:color w:val="auto"/>
          <w:sz w:val="24"/>
          <w:szCs w:val="24"/>
          <w:highlight w:val="none"/>
        </w:rPr>
        <w:t>（单价）</w:t>
      </w:r>
    </w:p>
    <w:p w14:paraId="5FC816F1">
      <w:pPr>
        <w:spacing w:line="36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br w:type="page"/>
      </w:r>
    </w:p>
    <w:p w14:paraId="30EF70B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outlineLvl w:val="1"/>
        <w:rPr>
          <w:rFonts w:hint="eastAsia" w:ascii="仿宋" w:hAnsi="仿宋" w:eastAsia="仿宋" w:cs="仿宋"/>
          <w:b w:val="0"/>
          <w:bCs/>
          <w:color w:val="auto"/>
          <w:sz w:val="24"/>
          <w:szCs w:val="24"/>
          <w:highlight w:val="none"/>
          <w:lang w:val="en-US" w:eastAsia="zh-CN"/>
        </w:rPr>
      </w:pPr>
      <w:bookmarkStart w:id="97" w:name="_Toc4676"/>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设备名称：经颅磁刺激仪</w:t>
      </w:r>
      <w:bookmarkEnd w:id="97"/>
    </w:p>
    <w:p w14:paraId="474B7F7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一、产地：国产</w:t>
      </w:r>
    </w:p>
    <w:p w14:paraId="7F2AF5D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w:t>
      </w:r>
      <w:r>
        <w:rPr>
          <w:rFonts w:hint="eastAsia" w:ascii="仿宋" w:hAnsi="仿宋" w:eastAsia="仿宋" w:cs="仿宋"/>
          <w:b w:val="0"/>
          <w:bCs/>
          <w:color w:val="auto"/>
          <w:sz w:val="24"/>
          <w:szCs w:val="24"/>
          <w:highlight w:val="none"/>
        </w:rPr>
        <w:t>数量：</w:t>
      </w:r>
      <w:r>
        <w:rPr>
          <w:rFonts w:hint="eastAsia" w:ascii="仿宋" w:hAnsi="仿宋" w:eastAsia="仿宋" w:cs="仿宋"/>
          <w:b w:val="0"/>
          <w:bCs/>
          <w:color w:val="auto"/>
          <w:sz w:val="24"/>
          <w:szCs w:val="24"/>
          <w:highlight w:val="none"/>
          <w:lang w:val="en-US" w:eastAsia="zh-CN"/>
        </w:rPr>
        <w:t>1台</w:t>
      </w:r>
    </w:p>
    <w:p w14:paraId="1998BD1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三、技术参数：</w:t>
      </w:r>
    </w:p>
    <w:p w14:paraId="6064E79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1.适应症：刺激人体中枢神经和外周神经,用于人体中枢神经和外周神经功能的检测、评定、改善，对脑神经及神经损伤性疾病的辅助治疗</w:t>
      </w:r>
    </w:p>
    <w:p w14:paraId="3D3F5F2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2、主机技术参数：</w:t>
      </w:r>
    </w:p>
    <w:p w14:paraId="3B9DC10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★2.1、脉冲源、冷却系统集成一体式主机，非堆叠式摆放，防止跌落损坏</w:t>
      </w:r>
    </w:p>
    <w:p w14:paraId="132D52B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2.2、一台主机搭载两路脉冲磁刺激通道即左右两个刺激线圈拍，两个刺激线圈拍分别连接1个单独的磁刺激脉冲源。（提供证明材料）</w:t>
      </w:r>
    </w:p>
    <w:p w14:paraId="2E08147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2.3、支持双人同时治疗不同适应症，双人的刺激频率、刺激强度和刺激时间，刺激间隔时间均可完全独立调节；双人的首个脉冲串触发时间可完全独立，无强关联关系，两个线圈可同时输出脉冲。（提供检测报告证明）</w:t>
      </w:r>
    </w:p>
    <w:p w14:paraId="27FD13E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2.4、冷却系统：采用液体内循环、风冷或混合冷却系统，稳定高效。</w:t>
      </w:r>
    </w:p>
    <w:p w14:paraId="50897F2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2.5、输出频率: 0Hz～100Hz。</w:t>
      </w:r>
    </w:p>
    <w:p w14:paraId="7F1B35D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2.6、磁感应强度：1.5-6T。</w:t>
      </w:r>
    </w:p>
    <w:p w14:paraId="56596B8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2.7、脉冲上升时间：60μs～100μs                                    </w:t>
      </w:r>
    </w:p>
    <w:p w14:paraId="7AE11E4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2.8、输出脉冲宽度：320μs～410μsμs                                                </w:t>
      </w:r>
    </w:p>
    <w:p w14:paraId="0A3DCE51">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3、软件参数：</w:t>
      </w:r>
    </w:p>
    <w:p w14:paraId="4B86841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3.1、人机交互系统采用便携式笔记本电脑管理操作，非一体机电脑或触摸屏，能实现机器开机自检、故障报警与自锁等功能。</w:t>
      </w:r>
    </w:p>
    <w:p w14:paraId="474C0BD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3.2、实时线圈温度显示，MEP（EMG）波形数据显示。</w:t>
      </w:r>
    </w:p>
    <w:p w14:paraId="1613872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★4、MEP模块参数：（需提供检测报告证明）</w:t>
      </w:r>
    </w:p>
    <w:p w14:paraId="60B9968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4.1、运动诱发电位（MEP）用于捕捉肌电信号（EMG），并可以在显示器上显示波形。                         </w:t>
      </w:r>
    </w:p>
    <w:p w14:paraId="77DF985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4.2、MEP通道数：≥2通道 </w:t>
      </w:r>
    </w:p>
    <w:p w14:paraId="4C580E5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四、装箱配置单：</w:t>
      </w:r>
    </w:p>
    <w:p w14:paraId="61C3A15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1、主机      1台</w:t>
      </w:r>
    </w:p>
    <w:p w14:paraId="721DCAE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2、配件      1套</w:t>
      </w:r>
    </w:p>
    <w:p w14:paraId="4263B523">
      <w:pPr>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五、</w:t>
      </w:r>
      <w:r>
        <w:rPr>
          <w:rFonts w:hint="eastAsia" w:ascii="仿宋" w:hAnsi="仿宋" w:eastAsia="仿宋" w:cs="仿宋"/>
          <w:b w:val="0"/>
          <w:bCs/>
          <w:color w:val="auto"/>
          <w:sz w:val="24"/>
          <w:szCs w:val="24"/>
          <w:highlight w:val="none"/>
        </w:rPr>
        <w:t>质保：</w:t>
      </w:r>
      <w:r>
        <w:rPr>
          <w:rFonts w:hint="eastAsia" w:ascii="仿宋" w:hAnsi="仿宋" w:eastAsia="仿宋" w:cs="仿宋"/>
          <w:color w:val="auto"/>
          <w:sz w:val="24"/>
          <w:szCs w:val="24"/>
          <w:highlight w:val="none"/>
          <w:lang w:val="en-US" w:eastAsia="zh-CN"/>
        </w:rPr>
        <w:t>整机质保三年（包括技术服务和原厂原件更换）</w:t>
      </w:r>
    </w:p>
    <w:p w14:paraId="41609B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六、</w:t>
      </w:r>
      <w:r>
        <w:rPr>
          <w:rFonts w:hint="eastAsia" w:ascii="仿宋" w:hAnsi="仿宋" w:eastAsia="仿宋" w:cs="仿宋"/>
          <w:b w:val="0"/>
          <w:bCs/>
          <w:color w:val="auto"/>
          <w:sz w:val="24"/>
          <w:szCs w:val="24"/>
          <w:highlight w:val="none"/>
        </w:rPr>
        <w:t>售后服务要求</w:t>
      </w:r>
      <w:r>
        <w:rPr>
          <w:rFonts w:hint="eastAsia" w:ascii="仿宋" w:hAnsi="仿宋" w:eastAsia="仿宋" w:cs="仿宋"/>
          <w:b w:val="0"/>
          <w:bCs/>
          <w:color w:val="auto"/>
          <w:sz w:val="24"/>
          <w:szCs w:val="24"/>
          <w:highlight w:val="none"/>
          <w:lang w:eastAsia="zh-CN"/>
        </w:rPr>
        <w:t>：</w:t>
      </w:r>
    </w:p>
    <w:p w14:paraId="185B2536">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1、厂家需提供24小时在线技术支持，确保设备在使用过程中出现问题时能够及时得到解答和处理。</w:t>
      </w:r>
    </w:p>
    <w:p w14:paraId="33C6F510">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2、厂家需要定期回访，了解设备使用情况，收集用户反馈，以便不断改进产品和服务。</w:t>
      </w:r>
    </w:p>
    <w:p w14:paraId="593C7142">
      <w:pPr>
        <w:adjustRightInd w:val="0"/>
        <w:snapToGrid w:val="0"/>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3、厂家需提供必要的培训服务，确保科室操作人员能够熟练掌握设备的使用方法和注意事项。</w:t>
      </w:r>
    </w:p>
    <w:p w14:paraId="628C8D8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七、</w:t>
      </w:r>
      <w:r>
        <w:rPr>
          <w:rFonts w:hint="eastAsia" w:ascii="仿宋" w:hAnsi="仿宋" w:eastAsia="仿宋" w:cs="仿宋"/>
          <w:b w:val="0"/>
          <w:bCs/>
          <w:color w:val="auto"/>
          <w:sz w:val="24"/>
          <w:szCs w:val="24"/>
          <w:highlight w:val="none"/>
          <w:lang w:eastAsia="zh-CN"/>
        </w:rPr>
        <w:t>验收标准：</w:t>
      </w:r>
    </w:p>
    <w:p w14:paraId="184F9EC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网络接口费由供货商承担，如需网络升级，升级费用由供货商承担。</w:t>
      </w:r>
    </w:p>
    <w:p w14:paraId="6D519B39">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八、</w:t>
      </w:r>
      <w:r>
        <w:rPr>
          <w:rFonts w:hint="eastAsia" w:ascii="仿宋" w:hAnsi="仿宋" w:eastAsia="仿宋" w:cs="仿宋"/>
          <w:b w:val="0"/>
          <w:bCs/>
          <w:color w:val="auto"/>
          <w:sz w:val="24"/>
          <w:szCs w:val="24"/>
          <w:highlight w:val="none"/>
        </w:rPr>
        <w:t>供货时间：</w:t>
      </w:r>
      <w:r>
        <w:rPr>
          <w:rFonts w:hint="eastAsia" w:ascii="仿宋" w:hAnsi="仿宋" w:eastAsia="仿宋" w:cs="仿宋"/>
          <w:color w:val="auto"/>
          <w:sz w:val="24"/>
          <w:szCs w:val="24"/>
          <w:highlight w:val="none"/>
          <w:lang w:val="en-US" w:eastAsia="zh-CN"/>
        </w:rPr>
        <w:t>签订合同后14个工作日内完成供货、安装、调试验收、移交</w:t>
      </w:r>
    </w:p>
    <w:p w14:paraId="75B6F68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九、</w:t>
      </w:r>
      <w:r>
        <w:rPr>
          <w:rFonts w:hint="eastAsia" w:ascii="仿宋" w:hAnsi="仿宋" w:eastAsia="仿宋" w:cs="仿宋"/>
          <w:b w:val="0"/>
          <w:bCs/>
          <w:color w:val="auto"/>
          <w:sz w:val="24"/>
          <w:szCs w:val="24"/>
          <w:highlight w:val="none"/>
        </w:rPr>
        <w:t>预算：</w:t>
      </w:r>
      <w:r>
        <w:rPr>
          <w:rFonts w:hint="eastAsia" w:ascii="仿宋" w:hAnsi="仿宋" w:eastAsia="仿宋" w:cs="仿宋"/>
          <w:b w:val="0"/>
          <w:bCs/>
          <w:color w:val="auto"/>
          <w:sz w:val="24"/>
          <w:szCs w:val="24"/>
          <w:highlight w:val="none"/>
          <w:lang w:val="en-US" w:eastAsia="zh-CN"/>
        </w:rPr>
        <w:t>50万元</w:t>
      </w:r>
      <w:r>
        <w:rPr>
          <w:rFonts w:hint="eastAsia" w:ascii="仿宋" w:hAnsi="仿宋" w:eastAsia="仿宋" w:cs="仿宋"/>
          <w:b w:val="0"/>
          <w:bCs/>
          <w:color w:val="auto"/>
          <w:sz w:val="24"/>
          <w:szCs w:val="24"/>
          <w:highlight w:val="none"/>
        </w:rPr>
        <w:t>（单价）</w:t>
      </w:r>
    </w:p>
    <w:p w14:paraId="6527370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00" w:firstLineChars="200"/>
        <w:jc w:val="center"/>
        <w:textAlignment w:val="auto"/>
        <w:rPr>
          <w:rFonts w:hint="default" w:ascii="仿宋_GB2312" w:hAnsi="仿宋_GB2312" w:eastAsia="仿宋_GB2312" w:cs="仿宋_GB2312"/>
          <w:b w:val="0"/>
          <w:bCs/>
          <w:color w:val="auto"/>
          <w:sz w:val="30"/>
          <w:szCs w:val="30"/>
          <w:highlight w:val="none"/>
          <w:lang w:val="en-US" w:eastAsia="zh-CN"/>
        </w:rPr>
      </w:pPr>
    </w:p>
    <w:p w14:paraId="7AFBCA8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仿宋_GB2312" w:hAnsi="仿宋_GB2312" w:eastAsia="仿宋_GB2312" w:cs="仿宋_GB2312"/>
          <w:b w:val="0"/>
          <w:bCs/>
          <w:color w:val="auto"/>
          <w:sz w:val="30"/>
          <w:szCs w:val="30"/>
          <w:highlight w:val="none"/>
          <w:lang w:val="en-US" w:eastAsia="zh-CN"/>
        </w:rPr>
      </w:pPr>
      <w:r>
        <w:rPr>
          <w:rFonts w:hint="eastAsia" w:ascii="仿宋_GB2312" w:hAnsi="仿宋_GB2312" w:eastAsia="仿宋_GB2312" w:cs="仿宋_GB2312"/>
          <w:b w:val="0"/>
          <w:bCs/>
          <w:color w:val="auto"/>
          <w:sz w:val="30"/>
          <w:szCs w:val="30"/>
          <w:highlight w:val="none"/>
          <w:lang w:val="en-US" w:eastAsia="zh-CN"/>
        </w:rPr>
        <w:t xml:space="preserve"> </w:t>
      </w:r>
    </w:p>
    <w:p w14:paraId="7FCC8774">
      <w:pPr>
        <w:rPr>
          <w:rFonts w:hint="eastAsia"/>
          <w:color w:val="auto"/>
          <w:highlight w:val="none"/>
          <w:lang w:val="en-US" w:eastAsia="zh-CN"/>
        </w:rPr>
      </w:pPr>
    </w:p>
    <w:p w14:paraId="09243A1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b w:val="0"/>
          <w:bCs/>
          <w:color w:val="auto"/>
          <w:sz w:val="24"/>
          <w:szCs w:val="24"/>
          <w:highlight w:val="none"/>
        </w:rPr>
      </w:pPr>
    </w:p>
    <w:p w14:paraId="13EE4D8A">
      <w:pPr>
        <w:adjustRightInd w:val="0"/>
        <w:snapToGrid w:val="0"/>
        <w:spacing w:line="360" w:lineRule="auto"/>
        <w:rPr>
          <w:rFonts w:hint="eastAsia" w:ascii="仿宋" w:hAnsi="仿宋" w:eastAsia="仿宋" w:cs="仿宋"/>
          <w:bCs/>
          <w:color w:val="auto"/>
          <w:sz w:val="24"/>
          <w:szCs w:val="24"/>
          <w:highlight w:val="none"/>
          <w:lang w:val="en-US" w:eastAsia="zh-CN"/>
        </w:rPr>
      </w:pPr>
    </w:p>
    <w:p w14:paraId="41C31C2F">
      <w:pPr>
        <w:tabs>
          <w:tab w:val="left" w:pos="3628"/>
        </w:tabs>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ab/>
      </w:r>
    </w:p>
    <w:p w14:paraId="6491936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color w:val="auto"/>
          <w:sz w:val="24"/>
          <w:szCs w:val="24"/>
          <w:highlight w:val="none"/>
          <w:lang w:val="en-US" w:eastAsia="zh-CN"/>
        </w:rPr>
      </w:pPr>
    </w:p>
    <w:p w14:paraId="7B11F7E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center"/>
        <w:textAlignment w:val="auto"/>
        <w:rPr>
          <w:rFonts w:hint="eastAsia" w:ascii="仿宋" w:hAnsi="仿宋" w:eastAsia="仿宋" w:cs="仿宋"/>
          <w:b w:val="0"/>
          <w:bCs/>
          <w:color w:val="auto"/>
          <w:sz w:val="24"/>
          <w:szCs w:val="24"/>
          <w:highlight w:val="none"/>
          <w:lang w:val="en-US" w:eastAsia="zh-CN"/>
        </w:rPr>
      </w:pPr>
    </w:p>
    <w:p w14:paraId="53F634C1">
      <w:pPr>
        <w:pStyle w:val="199"/>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p>
    <w:p w14:paraId="5C908DA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b w:val="0"/>
          <w:bCs/>
          <w:color w:val="auto"/>
          <w:sz w:val="24"/>
          <w:szCs w:val="24"/>
          <w:highlight w:val="none"/>
        </w:rPr>
      </w:pPr>
    </w:p>
    <w:p w14:paraId="4916CFBD">
      <w:pP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br w:type="page"/>
      </w:r>
    </w:p>
    <w:p w14:paraId="17BEA65D">
      <w:pPr>
        <w:spacing w:line="440" w:lineRule="exact"/>
        <w:jc w:val="center"/>
        <w:outlineLvl w:val="0"/>
        <w:rPr>
          <w:rFonts w:hint="eastAsia" w:ascii="仿宋" w:hAnsi="仿宋" w:eastAsia="仿宋" w:cs="仿宋"/>
          <w:b/>
          <w:color w:val="auto"/>
          <w:sz w:val="24"/>
          <w:szCs w:val="24"/>
          <w:highlight w:val="none"/>
        </w:rPr>
      </w:pPr>
      <w:bookmarkStart w:id="98" w:name="_Toc26535"/>
      <w:r>
        <w:rPr>
          <w:rFonts w:hint="eastAsia" w:ascii="仿宋" w:hAnsi="仿宋" w:eastAsia="仿宋" w:cs="仿宋"/>
          <w:b/>
          <w:color w:val="auto"/>
          <w:sz w:val="24"/>
          <w:szCs w:val="24"/>
          <w:highlight w:val="none"/>
        </w:rPr>
        <w:t>第五章 投标文件格式</w:t>
      </w:r>
      <w:bookmarkEnd w:id="91"/>
      <w:bookmarkEnd w:id="94"/>
      <w:bookmarkEnd w:id="98"/>
    </w:p>
    <w:p w14:paraId="1B4D7084">
      <w:pPr>
        <w:rPr>
          <w:rFonts w:hint="eastAsia" w:ascii="仿宋" w:hAnsi="仿宋" w:eastAsia="仿宋" w:cs="仿宋"/>
          <w:b/>
          <w:color w:val="auto"/>
          <w:sz w:val="24"/>
          <w:szCs w:val="24"/>
          <w:highlight w:val="none"/>
        </w:rPr>
      </w:pPr>
    </w:p>
    <w:p w14:paraId="144F3838">
      <w:pPr>
        <w:rPr>
          <w:rFonts w:hint="eastAsia" w:ascii="仿宋" w:hAnsi="仿宋" w:eastAsia="仿宋" w:cs="仿宋"/>
          <w:color w:val="auto"/>
          <w:sz w:val="24"/>
          <w:szCs w:val="24"/>
          <w:highlight w:val="none"/>
          <w:u w:val="single"/>
        </w:rPr>
      </w:pPr>
    </w:p>
    <w:p w14:paraId="500D2BE6">
      <w:p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投标文件封面示例</w:t>
      </w:r>
    </w:p>
    <w:p w14:paraId="747AF557">
      <w:pPr>
        <w:spacing w:line="480" w:lineRule="auto"/>
        <w:jc w:val="center"/>
        <w:rPr>
          <w:rFonts w:hint="eastAsia" w:ascii="仿宋" w:hAnsi="仿宋" w:eastAsia="仿宋" w:cs="仿宋"/>
          <w:b/>
          <w:bCs/>
          <w:color w:val="auto"/>
          <w:sz w:val="24"/>
          <w:szCs w:val="24"/>
          <w:highlight w:val="none"/>
          <w:u w:val="single"/>
        </w:rPr>
      </w:pPr>
    </w:p>
    <w:p w14:paraId="2D34C3A6">
      <w:pPr>
        <w:pStyle w:val="36"/>
        <w:ind w:firstLine="210"/>
        <w:rPr>
          <w:rFonts w:hint="eastAsia" w:ascii="仿宋" w:hAnsi="仿宋" w:eastAsia="仿宋" w:cs="仿宋"/>
          <w:color w:val="auto"/>
          <w:highlight w:val="none"/>
        </w:rPr>
      </w:pPr>
    </w:p>
    <w:p w14:paraId="2AA3AC4C">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u w:val="single"/>
          <w:lang w:val="en-US" w:eastAsia="zh-CN"/>
        </w:rPr>
        <w:t>项目</w:t>
      </w:r>
      <w:r>
        <w:rPr>
          <w:rFonts w:hint="eastAsia" w:ascii="仿宋" w:hAnsi="仿宋" w:eastAsia="仿宋" w:cs="仿宋"/>
          <w:b/>
          <w:bCs/>
          <w:color w:val="auto"/>
          <w:sz w:val="24"/>
          <w:szCs w:val="24"/>
          <w:highlight w:val="none"/>
          <w:u w:val="single"/>
        </w:rPr>
        <w:t>名称）</w:t>
      </w:r>
    </w:p>
    <w:p w14:paraId="4040B6DE">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u w:val="single"/>
          <w:lang w:eastAsia="zh-CN"/>
        </w:rPr>
        <w:t>项目</w:t>
      </w:r>
      <w:r>
        <w:rPr>
          <w:rFonts w:hint="eastAsia" w:ascii="仿宋" w:hAnsi="仿宋" w:eastAsia="仿宋" w:cs="仿宋"/>
          <w:b/>
          <w:bCs/>
          <w:color w:val="auto"/>
          <w:sz w:val="24"/>
          <w:szCs w:val="24"/>
          <w:highlight w:val="none"/>
          <w:u w:val="single"/>
        </w:rPr>
        <w:t>编号）</w:t>
      </w:r>
    </w:p>
    <w:p w14:paraId="2621574E">
      <w:pPr>
        <w:spacing w:line="300" w:lineRule="exact"/>
        <w:jc w:val="center"/>
        <w:rPr>
          <w:rFonts w:hint="eastAsia" w:ascii="仿宋" w:hAnsi="仿宋" w:eastAsia="仿宋" w:cs="仿宋"/>
          <w:b/>
          <w:bCs/>
          <w:color w:val="auto"/>
          <w:sz w:val="24"/>
          <w:szCs w:val="24"/>
          <w:highlight w:val="none"/>
        </w:rPr>
      </w:pPr>
    </w:p>
    <w:p w14:paraId="40134540">
      <w:pPr>
        <w:spacing w:line="300" w:lineRule="exact"/>
        <w:jc w:val="center"/>
        <w:rPr>
          <w:rFonts w:hint="eastAsia" w:ascii="仿宋" w:hAnsi="仿宋" w:eastAsia="仿宋" w:cs="仿宋"/>
          <w:b/>
          <w:bCs/>
          <w:color w:val="auto"/>
          <w:sz w:val="24"/>
          <w:szCs w:val="24"/>
          <w:highlight w:val="none"/>
        </w:rPr>
      </w:pPr>
    </w:p>
    <w:p w14:paraId="55F4CE60">
      <w:pPr>
        <w:spacing w:line="3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w:t>
      </w:r>
    </w:p>
    <w:p w14:paraId="34B2E024">
      <w:pPr>
        <w:spacing w:line="720" w:lineRule="auto"/>
        <w:rPr>
          <w:rFonts w:hint="eastAsia" w:ascii="仿宋" w:hAnsi="仿宋" w:eastAsia="仿宋" w:cs="仿宋"/>
          <w:color w:val="auto"/>
          <w:sz w:val="24"/>
          <w:szCs w:val="24"/>
          <w:highlight w:val="none"/>
        </w:rPr>
      </w:pPr>
    </w:p>
    <w:p w14:paraId="232F27D1">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14:paraId="5FC3D3B0">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sz w:val="24"/>
          <w:szCs w:val="24"/>
          <w:highlight w:val="none"/>
        </w:rPr>
        <w:t>）</w:t>
      </w:r>
    </w:p>
    <w:p w14:paraId="3634274F">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p w14:paraId="662CC0C0">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p w14:paraId="1B8F0C48">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773060A4">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22C68F7B">
      <w:pPr>
        <w:spacing w:line="720" w:lineRule="auto"/>
        <w:rPr>
          <w:rFonts w:hint="eastAsia" w:ascii="仿宋" w:hAnsi="仿宋" w:eastAsia="仿宋" w:cs="仿宋"/>
          <w:color w:val="auto"/>
          <w:sz w:val="24"/>
          <w:szCs w:val="24"/>
          <w:highlight w:val="none"/>
        </w:rPr>
      </w:pPr>
    </w:p>
    <w:p w14:paraId="22BB99A0">
      <w:pPr>
        <w:spacing w:line="720" w:lineRule="auto"/>
        <w:ind w:firstLine="2" w:firstLineChars="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30607A51">
      <w:pPr>
        <w:tabs>
          <w:tab w:val="center" w:pos="4832"/>
          <w:tab w:val="left" w:pos="7140"/>
        </w:tabs>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99" w:name="_Toc130252613"/>
      <w:r>
        <w:rPr>
          <w:rFonts w:hint="eastAsia" w:ascii="仿宋" w:hAnsi="仿宋" w:eastAsia="仿宋" w:cs="仿宋"/>
          <w:b/>
          <w:color w:val="auto"/>
          <w:sz w:val="24"/>
          <w:szCs w:val="24"/>
          <w:highlight w:val="none"/>
        </w:rPr>
        <w:t>目 录</w:t>
      </w:r>
      <w:bookmarkEnd w:id="99"/>
    </w:p>
    <w:p w14:paraId="49B4458A">
      <w:pPr>
        <w:spacing w:line="280" w:lineRule="exact"/>
        <w:ind w:firstLine="240" w:firstLineChars="100"/>
        <w:rPr>
          <w:rFonts w:hint="eastAsia" w:ascii="仿宋" w:hAnsi="仿宋" w:eastAsia="仿宋" w:cs="仿宋"/>
          <w:bCs/>
          <w:color w:val="auto"/>
          <w:sz w:val="24"/>
          <w:szCs w:val="24"/>
          <w:highlight w:val="none"/>
        </w:rPr>
      </w:pPr>
    </w:p>
    <w:p w14:paraId="1076F07A">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一、开标一览表</w:t>
      </w:r>
    </w:p>
    <w:p w14:paraId="6BF7CA79">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二、投标函</w:t>
      </w:r>
    </w:p>
    <w:p w14:paraId="306E97C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三、投标价格明细表</w:t>
      </w:r>
    </w:p>
    <w:p w14:paraId="336DC9EA">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四、商务条款偏离表</w:t>
      </w:r>
    </w:p>
    <w:p w14:paraId="4A06B4B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五、技术条款偏离表</w:t>
      </w:r>
    </w:p>
    <w:p w14:paraId="0829B2D0">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六、法定代表人身份证明书</w:t>
      </w:r>
    </w:p>
    <w:p w14:paraId="6F375270">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七、法定代表人授权委托书</w:t>
      </w:r>
    </w:p>
    <w:p w14:paraId="66BEA769">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八、投标人资格条件证明材料</w:t>
      </w:r>
    </w:p>
    <w:p w14:paraId="1DBBB66B">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九、投标人近年类似项目情况表</w:t>
      </w:r>
    </w:p>
    <w:p w14:paraId="49ED2FAE">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十、售后服务承诺书</w:t>
      </w:r>
    </w:p>
    <w:p w14:paraId="3783BC45">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十一、技术方案</w:t>
      </w:r>
    </w:p>
    <w:p w14:paraId="756106DE">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十二、保证金缴纳证明材料</w:t>
      </w:r>
    </w:p>
    <w:p w14:paraId="01D7D477">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十三、</w:t>
      </w:r>
      <w:r>
        <w:rPr>
          <w:rFonts w:hint="eastAsia" w:ascii="仿宋" w:hAnsi="仿宋" w:eastAsia="仿宋" w:cs="仿宋"/>
          <w:color w:val="auto"/>
          <w:kern w:val="0"/>
          <w:sz w:val="24"/>
          <w:szCs w:val="24"/>
          <w:highlight w:val="none"/>
        </w:rPr>
        <w:t>其它需要提交的资料</w:t>
      </w:r>
    </w:p>
    <w:p w14:paraId="3E041AA5">
      <w:pPr>
        <w:pStyle w:val="8"/>
        <w:spacing w:line="360" w:lineRule="auto"/>
        <w:ind w:firstLine="480"/>
        <w:rPr>
          <w:rFonts w:hint="eastAsia" w:ascii="仿宋" w:hAnsi="仿宋" w:eastAsia="仿宋" w:cs="仿宋"/>
          <w:color w:val="auto"/>
          <w:highlight w:val="none"/>
        </w:rPr>
      </w:pPr>
    </w:p>
    <w:p w14:paraId="2535345B">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注：为了便于查找，请按上述顺序编制投标文件内容，并在目录中标明每项内容的起始页码。</w:t>
      </w:r>
    </w:p>
    <w:p w14:paraId="55C1F794">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100" w:name="_Toc21636"/>
      <w:bookmarkStart w:id="101" w:name="_Toc24099"/>
      <w:bookmarkStart w:id="102" w:name="_Toc6644"/>
      <w:r>
        <w:rPr>
          <w:rFonts w:hint="eastAsia" w:ascii="仿宋" w:hAnsi="仿宋" w:eastAsia="仿宋" w:cs="仿宋"/>
          <w:b/>
          <w:color w:val="auto"/>
          <w:sz w:val="24"/>
          <w:szCs w:val="24"/>
          <w:highlight w:val="none"/>
        </w:rPr>
        <w:t>一、开标一览表</w:t>
      </w:r>
      <w:bookmarkEnd w:id="100"/>
      <w:bookmarkEnd w:id="101"/>
      <w:bookmarkEnd w:id="102"/>
    </w:p>
    <w:p w14:paraId="3AEE6744">
      <w:pPr>
        <w:rPr>
          <w:rFonts w:hint="eastAsia" w:ascii="仿宋" w:hAnsi="仿宋" w:eastAsia="仿宋" w:cs="仿宋"/>
          <w:color w:val="auto"/>
          <w:highlight w:val="none"/>
        </w:rPr>
      </w:pPr>
    </w:p>
    <w:p w14:paraId="3772166F">
      <w:pPr>
        <w:rPr>
          <w:rFonts w:hint="eastAsia" w:ascii="仿宋" w:hAnsi="仿宋" w:eastAsia="仿宋" w:cs="仿宋"/>
          <w:color w:val="auto"/>
          <w:highlight w:val="none"/>
        </w:rPr>
      </w:pPr>
    </w:p>
    <w:tbl>
      <w:tblPr>
        <w:tblStyle w:val="38"/>
        <w:tblpPr w:leftFromText="180" w:rightFromText="180" w:vertAnchor="text" w:horzAnchor="page" w:tblpX="1590" w:tblpY="473"/>
        <w:tblOverlap w:val="never"/>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9"/>
        <w:gridCol w:w="6249"/>
      </w:tblGrid>
      <w:tr w14:paraId="4A83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62E9D982">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项目</w:t>
            </w:r>
            <w:r>
              <w:rPr>
                <w:rFonts w:hint="eastAsia" w:ascii="仿宋" w:hAnsi="仿宋" w:eastAsia="仿宋" w:cs="仿宋"/>
                <w:bCs/>
                <w:color w:val="auto"/>
                <w:sz w:val="24"/>
                <w:szCs w:val="24"/>
                <w:highlight w:val="none"/>
              </w:rPr>
              <w:t>名称</w:t>
            </w:r>
          </w:p>
        </w:tc>
        <w:tc>
          <w:tcPr>
            <w:tcW w:w="3499" w:type="pct"/>
            <w:tcBorders>
              <w:left w:val="single" w:color="auto" w:sz="4" w:space="0"/>
            </w:tcBorders>
            <w:shd w:val="clear" w:color="auto" w:fill="auto"/>
            <w:vAlign w:val="center"/>
          </w:tcPr>
          <w:p w14:paraId="51F124AB">
            <w:pPr>
              <w:spacing w:line="360" w:lineRule="auto"/>
              <w:ind w:right="-670"/>
              <w:rPr>
                <w:rFonts w:hint="eastAsia" w:ascii="仿宋" w:hAnsi="仿宋" w:eastAsia="仿宋" w:cs="仿宋"/>
                <w:bCs/>
                <w:color w:val="auto"/>
                <w:sz w:val="24"/>
                <w:szCs w:val="24"/>
                <w:highlight w:val="none"/>
              </w:rPr>
            </w:pPr>
          </w:p>
        </w:tc>
      </w:tr>
      <w:tr w14:paraId="7E45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2C72A370">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项目</w:t>
            </w:r>
            <w:r>
              <w:rPr>
                <w:rFonts w:hint="eastAsia" w:ascii="仿宋" w:hAnsi="仿宋" w:eastAsia="仿宋" w:cs="仿宋"/>
                <w:bCs/>
                <w:color w:val="auto"/>
                <w:sz w:val="24"/>
                <w:szCs w:val="24"/>
                <w:highlight w:val="none"/>
              </w:rPr>
              <w:t>编号</w:t>
            </w:r>
          </w:p>
        </w:tc>
        <w:tc>
          <w:tcPr>
            <w:tcW w:w="3499" w:type="pct"/>
            <w:tcBorders>
              <w:left w:val="single" w:color="auto" w:sz="4" w:space="0"/>
            </w:tcBorders>
            <w:shd w:val="clear" w:color="auto" w:fill="auto"/>
            <w:vAlign w:val="center"/>
          </w:tcPr>
          <w:p w14:paraId="445E1563">
            <w:pPr>
              <w:spacing w:line="360" w:lineRule="auto"/>
              <w:ind w:right="-670"/>
              <w:rPr>
                <w:rFonts w:hint="eastAsia" w:ascii="仿宋" w:hAnsi="仿宋" w:eastAsia="仿宋" w:cs="仿宋"/>
                <w:bCs/>
                <w:color w:val="auto"/>
                <w:sz w:val="24"/>
                <w:szCs w:val="24"/>
                <w:highlight w:val="none"/>
              </w:rPr>
            </w:pPr>
          </w:p>
        </w:tc>
      </w:tr>
      <w:tr w14:paraId="0114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221E9B8B">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投标价格</w:t>
            </w:r>
          </w:p>
        </w:tc>
        <w:tc>
          <w:tcPr>
            <w:tcW w:w="3499" w:type="pct"/>
            <w:tcBorders>
              <w:left w:val="single" w:color="auto" w:sz="4" w:space="0"/>
            </w:tcBorders>
            <w:shd w:val="clear" w:color="auto" w:fill="auto"/>
            <w:vAlign w:val="center"/>
          </w:tcPr>
          <w:p w14:paraId="6FE5D5C7">
            <w:pPr>
              <w:spacing w:line="360" w:lineRule="auto"/>
              <w:ind w:right="-67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小写：</w:t>
            </w:r>
            <w:r>
              <w:rPr>
                <w:rFonts w:hint="eastAsia" w:ascii="仿宋" w:hAnsi="仿宋" w:eastAsia="仿宋" w:cs="仿宋"/>
                <w:bCs/>
                <w:color w:val="auto"/>
                <w:sz w:val="24"/>
                <w:szCs w:val="24"/>
                <w:highlight w:val="none"/>
                <w:u w:val="single"/>
              </w:rPr>
              <w:t xml:space="preserve">                 </w:t>
            </w:r>
          </w:p>
          <w:p w14:paraId="6C9BC66A">
            <w:pPr>
              <w:pStyle w:val="37"/>
              <w:ind w:left="0" w:leftChars="0" w:firstLine="0" w:firstLineChars="0"/>
              <w:rPr>
                <w:rFonts w:hint="eastAsia" w:ascii="仿宋" w:hAnsi="仿宋" w:eastAsia="仿宋" w:cs="仿宋"/>
                <w:color w:val="auto"/>
                <w:highlight w:val="none"/>
              </w:rPr>
            </w:pPr>
            <w:r>
              <w:rPr>
                <w:rFonts w:hint="eastAsia" w:ascii="仿宋" w:hAnsi="仿宋" w:eastAsia="仿宋" w:cs="仿宋"/>
                <w:bCs/>
                <w:color w:val="auto"/>
                <w:sz w:val="24"/>
                <w:szCs w:val="24"/>
                <w:highlight w:val="none"/>
              </w:rPr>
              <w:t>大写：</w:t>
            </w:r>
            <w:r>
              <w:rPr>
                <w:rFonts w:hint="eastAsia" w:ascii="仿宋" w:hAnsi="仿宋" w:eastAsia="仿宋" w:cs="仿宋"/>
                <w:bCs/>
                <w:color w:val="auto"/>
                <w:sz w:val="24"/>
                <w:szCs w:val="24"/>
                <w:highlight w:val="none"/>
                <w:u w:val="single"/>
              </w:rPr>
              <w:t xml:space="preserve">                 </w:t>
            </w:r>
          </w:p>
        </w:tc>
      </w:tr>
      <w:tr w14:paraId="6782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63E4F25D">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合同履约期限</w:t>
            </w:r>
          </w:p>
        </w:tc>
        <w:tc>
          <w:tcPr>
            <w:tcW w:w="3499" w:type="pct"/>
            <w:tcBorders>
              <w:left w:val="single" w:color="auto" w:sz="4" w:space="0"/>
            </w:tcBorders>
            <w:shd w:val="clear" w:color="auto" w:fill="auto"/>
            <w:vAlign w:val="center"/>
          </w:tcPr>
          <w:p w14:paraId="01C6B984">
            <w:pPr>
              <w:snapToGrid w:val="0"/>
              <w:spacing w:line="360" w:lineRule="auto"/>
              <w:rPr>
                <w:rFonts w:hint="eastAsia" w:ascii="仿宋" w:hAnsi="仿宋" w:eastAsia="仿宋" w:cs="仿宋"/>
                <w:bCs/>
                <w:color w:val="auto"/>
                <w:sz w:val="24"/>
                <w:szCs w:val="24"/>
                <w:highlight w:val="none"/>
                <w:lang w:val="en-US"/>
              </w:rPr>
            </w:pPr>
            <w:r>
              <w:rPr>
                <w:rFonts w:hint="eastAsia" w:ascii="仿宋" w:hAnsi="仿宋" w:eastAsia="仿宋" w:cs="仿宋"/>
                <w:bCs/>
                <w:color w:val="auto"/>
                <w:sz w:val="24"/>
                <w:szCs w:val="24"/>
                <w:highlight w:val="none"/>
                <w:lang w:val="en-US" w:eastAsia="zh-CN"/>
              </w:rPr>
              <w:t>签订合同后</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lang w:val="en-US" w:eastAsia="zh-CN"/>
              </w:rPr>
              <w:t>个工作日内完成供货、安装、调试验收、移交</w:t>
            </w:r>
          </w:p>
        </w:tc>
      </w:tr>
      <w:tr w14:paraId="4FDC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2D0E40BE">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质保期</w:t>
            </w:r>
          </w:p>
        </w:tc>
        <w:tc>
          <w:tcPr>
            <w:tcW w:w="3499" w:type="pct"/>
            <w:tcBorders>
              <w:left w:val="single" w:color="auto" w:sz="4" w:space="0"/>
            </w:tcBorders>
            <w:shd w:val="clear" w:color="auto" w:fill="auto"/>
            <w:vAlign w:val="center"/>
          </w:tcPr>
          <w:p w14:paraId="18B5A835">
            <w:pPr>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w:t>
            </w:r>
            <w:r>
              <w:rPr>
                <w:rFonts w:hint="eastAsia" w:ascii="仿宋" w:hAnsi="仿宋" w:eastAsia="仿宋" w:cs="仿宋"/>
                <w:bCs/>
                <w:color w:val="auto"/>
                <w:sz w:val="24"/>
                <w:szCs w:val="24"/>
                <w:highlight w:val="none"/>
                <w:lang w:eastAsia="zh-CN"/>
              </w:rPr>
              <w:t>项目</w:t>
            </w:r>
            <w:r>
              <w:rPr>
                <w:rFonts w:hint="eastAsia" w:ascii="仿宋" w:hAnsi="仿宋" w:eastAsia="仿宋" w:cs="仿宋"/>
                <w:bCs/>
                <w:color w:val="auto"/>
                <w:sz w:val="24"/>
                <w:szCs w:val="24"/>
                <w:highlight w:val="none"/>
              </w:rPr>
              <w:t>货物质保期为</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none"/>
                <w:lang w:val="en-US" w:eastAsia="zh-CN"/>
              </w:rPr>
              <w:t>年（如与招标文件“第四章技术标准和要求”中要求不一致，以较长质保期为标准执行）</w:t>
            </w:r>
            <w:r>
              <w:rPr>
                <w:rFonts w:hint="eastAsia" w:ascii="仿宋" w:hAnsi="仿宋" w:eastAsia="仿宋" w:cs="仿宋"/>
                <w:bCs/>
                <w:color w:val="auto"/>
                <w:sz w:val="24"/>
                <w:szCs w:val="24"/>
                <w:highlight w:val="none"/>
              </w:rPr>
              <w:t>，自采购人及相关部门总体验收合格之日起计算。如果由于我方责任致使不能验收，此质保期相应顺延。</w:t>
            </w:r>
          </w:p>
        </w:tc>
      </w:tr>
      <w:tr w14:paraId="217D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1677E23F">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投标有效期</w:t>
            </w:r>
          </w:p>
        </w:tc>
        <w:tc>
          <w:tcPr>
            <w:tcW w:w="3499" w:type="pct"/>
            <w:tcBorders>
              <w:left w:val="single" w:color="auto" w:sz="4" w:space="0"/>
            </w:tcBorders>
            <w:shd w:val="clear" w:color="auto" w:fill="auto"/>
            <w:vAlign w:val="center"/>
          </w:tcPr>
          <w:p w14:paraId="0E7870B2">
            <w:pPr>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自投标截止之日90日历日</w:t>
            </w:r>
          </w:p>
        </w:tc>
      </w:tr>
      <w:tr w14:paraId="0909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1FE8837E">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c>
          <w:tcPr>
            <w:tcW w:w="3499" w:type="pct"/>
            <w:tcBorders>
              <w:left w:val="single" w:color="auto" w:sz="4" w:space="0"/>
            </w:tcBorders>
            <w:shd w:val="clear" w:color="auto" w:fill="auto"/>
            <w:vAlign w:val="center"/>
          </w:tcPr>
          <w:p w14:paraId="056CF9DE">
            <w:pPr>
              <w:rPr>
                <w:rFonts w:hint="eastAsia" w:ascii="仿宋" w:hAnsi="仿宋" w:eastAsia="仿宋" w:cs="仿宋"/>
                <w:bCs/>
                <w:color w:val="auto"/>
                <w:sz w:val="24"/>
                <w:szCs w:val="24"/>
                <w:highlight w:val="none"/>
              </w:rPr>
            </w:pPr>
          </w:p>
        </w:tc>
      </w:tr>
    </w:tbl>
    <w:p w14:paraId="0AAECBC2">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2A7DDE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4841C89">
      <w:pPr>
        <w:pStyle w:val="37"/>
        <w:ind w:left="420"/>
        <w:rPr>
          <w:rFonts w:hint="eastAsia" w:ascii="仿宋" w:hAnsi="仿宋" w:eastAsia="仿宋" w:cs="仿宋"/>
          <w:color w:val="auto"/>
          <w:highlight w:val="none"/>
        </w:rPr>
      </w:pPr>
    </w:p>
    <w:p w14:paraId="45235AB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71C7700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AFA75F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0433F31C">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66E9A015">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65E372EB">
      <w:pPr>
        <w:tabs>
          <w:tab w:val="center" w:pos="4832"/>
          <w:tab w:val="left" w:pos="7140"/>
        </w:tabs>
        <w:jc w:val="center"/>
        <w:outlineLvl w:val="1"/>
        <w:rPr>
          <w:rFonts w:hint="eastAsia" w:ascii="仿宋" w:hAnsi="仿宋" w:eastAsia="仿宋" w:cs="仿宋"/>
          <w:b/>
          <w:color w:val="auto"/>
          <w:sz w:val="24"/>
          <w:szCs w:val="24"/>
          <w:highlight w:val="none"/>
        </w:rPr>
      </w:pPr>
      <w:bookmarkStart w:id="103" w:name="_Toc20941"/>
      <w:bookmarkStart w:id="104" w:name="_Toc13707"/>
      <w:bookmarkStart w:id="105" w:name="_Toc17938"/>
      <w:r>
        <w:rPr>
          <w:rFonts w:hint="eastAsia" w:ascii="仿宋" w:hAnsi="仿宋" w:eastAsia="仿宋" w:cs="仿宋"/>
          <w:b/>
          <w:color w:val="auto"/>
          <w:sz w:val="24"/>
          <w:szCs w:val="24"/>
          <w:highlight w:val="none"/>
        </w:rPr>
        <w:t>二、投标函</w:t>
      </w:r>
      <w:bookmarkEnd w:id="103"/>
      <w:bookmarkEnd w:id="104"/>
      <w:bookmarkEnd w:id="105"/>
    </w:p>
    <w:p w14:paraId="7416A3B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180F53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231F792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7474B18">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根据已收到的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w:t>
      </w:r>
      <w:r>
        <w:rPr>
          <w:rFonts w:hint="eastAsia" w:ascii="仿宋" w:hAnsi="仿宋" w:eastAsia="仿宋" w:cs="仿宋"/>
          <w:color w:val="auto"/>
          <w:kern w:val="0"/>
          <w:sz w:val="24"/>
          <w:szCs w:val="24"/>
          <w:highlight w:val="none"/>
        </w:rPr>
        <w:t>名称）的招标文件，遵照《中华人民共和国政府采购法》等有关法律法规的规定，经考察现场和充分研究贵方的招标文件的全部内容后，我方郑重承诺如下：</w:t>
      </w:r>
    </w:p>
    <w:p w14:paraId="57E30557">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zh-CN"/>
        </w:rPr>
        <w:t xml:space="preserve">、不向项目有关人员及部门赠送礼金礼物、有价证券、回扣以及中介费、介绍费、咨询费等好处费；不为项目有关人员及部门报销应由你方单位或个人支付的费用。 </w:t>
      </w:r>
    </w:p>
    <w:p w14:paraId="00CEADBE">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zh-CN"/>
        </w:rPr>
        <w:t>、不向项目有关人员及部门提供有可能影响公正的宴请和健身娱乐等活动；不为项目有关人员及部门出国（境）、旅游等提供方便；不为项目有关人员个人装修住房、婚丧嫁娶、配偶子女工作安排等提供好处。</w:t>
      </w:r>
    </w:p>
    <w:p w14:paraId="74B9B536">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zh-CN"/>
        </w:rPr>
        <w:t xml:space="preserve">、严格遵守《中华人民共和国政府采购法》、《中华人民共和国民法典》等法律法规，诚实守信，合法经营，坚决抵制各种违法违纪行为。 </w:t>
      </w:r>
    </w:p>
    <w:p w14:paraId="1DB9613F">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4、我方所递交的投标文件及有关资料内容完整、真实和准确，且不存在投标人须知前附表规定的投标人不得存在的任何一种情形。</w:t>
      </w:r>
    </w:p>
    <w:p w14:paraId="4A34307B">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5、本</w:t>
      </w:r>
      <w:r>
        <w:rPr>
          <w:rFonts w:hint="eastAsia" w:ascii="仿宋" w:hAnsi="仿宋" w:eastAsia="仿宋" w:cs="仿宋"/>
          <w:color w:val="auto"/>
          <w:sz w:val="24"/>
          <w:szCs w:val="24"/>
          <w:highlight w:val="none"/>
          <w:shd w:val="clear" w:color="auto" w:fill="FFFFFF" w:themeFill="background1"/>
        </w:rPr>
        <w:t>投标文件</w:t>
      </w:r>
      <w:r>
        <w:rPr>
          <w:rFonts w:hint="eastAsia" w:ascii="仿宋" w:hAnsi="仿宋" w:eastAsia="仿宋" w:cs="仿宋"/>
          <w:color w:val="auto"/>
          <w:kern w:val="0"/>
          <w:sz w:val="24"/>
          <w:szCs w:val="24"/>
          <w:highlight w:val="none"/>
          <w:shd w:val="clear" w:color="auto" w:fill="FFFFFF" w:themeFill="background1"/>
        </w:rPr>
        <w:t>在</w:t>
      </w:r>
      <w:r>
        <w:rPr>
          <w:rFonts w:hint="eastAsia" w:ascii="仿宋" w:hAnsi="仿宋" w:eastAsia="仿宋" w:cs="仿宋"/>
          <w:color w:val="auto"/>
          <w:sz w:val="24"/>
          <w:szCs w:val="24"/>
          <w:highlight w:val="none"/>
          <w:shd w:val="clear" w:color="auto" w:fill="FFFFFF" w:themeFill="background1"/>
        </w:rPr>
        <w:t>招标文件</w:t>
      </w:r>
      <w:r>
        <w:rPr>
          <w:rFonts w:hint="eastAsia" w:ascii="仿宋" w:hAnsi="仿宋" w:eastAsia="仿宋" w:cs="仿宋"/>
          <w:color w:val="auto"/>
          <w:kern w:val="0"/>
          <w:sz w:val="24"/>
          <w:szCs w:val="24"/>
          <w:highlight w:val="none"/>
          <w:shd w:val="clear" w:color="auto" w:fill="FFFFFF" w:themeFill="background1"/>
        </w:rPr>
        <w:t>规定的投标有效期内对我方具有约束力，如果我方在投标有效期内撤销投标，其投标保证金将被贵方没收。</w:t>
      </w:r>
    </w:p>
    <w:p w14:paraId="766BEBCD">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shd w:val="clear" w:color="auto" w:fill="FFFFFF" w:themeFill="background1"/>
        </w:rPr>
        <w:t>6、</w:t>
      </w:r>
      <w:r>
        <w:rPr>
          <w:rFonts w:hint="eastAsia" w:ascii="仿宋" w:hAnsi="仿宋" w:eastAsia="仿宋" w:cs="仿宋"/>
          <w:color w:val="auto"/>
          <w:kern w:val="0"/>
          <w:sz w:val="24"/>
          <w:szCs w:val="24"/>
          <w:highlight w:val="none"/>
        </w:rPr>
        <w:t>我方已完全理解招标文件的全部内容，并无异议。</w:t>
      </w:r>
    </w:p>
    <w:p w14:paraId="41493F6B">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7、如我方中标，我方自愿向代理机构支付咨询费，并在合同签订后1个工作日内向采购代理机构提供采购合同原件一份用于采购资料备案工作。</w:t>
      </w:r>
    </w:p>
    <w:p w14:paraId="053776F3">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8、我方愿意提供贵方可能要求的与采购有关的一切数据或资料，完全理解贵方不一定接受最低投标报价的投标或收到的任何投标。</w:t>
      </w:r>
    </w:p>
    <w:p w14:paraId="09C9651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70E2C19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D61FB9F">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9C41D9B">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798DAE3C">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6E92BEB1">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41F2E943">
      <w:pPr>
        <w:tabs>
          <w:tab w:val="center" w:pos="4832"/>
          <w:tab w:val="left" w:pos="7140"/>
        </w:tabs>
        <w:jc w:val="center"/>
        <w:outlineLvl w:val="1"/>
        <w:rPr>
          <w:rFonts w:hint="eastAsia" w:ascii="仿宋" w:hAnsi="仿宋" w:eastAsia="仿宋" w:cs="仿宋"/>
          <w:b/>
          <w:color w:val="auto"/>
          <w:sz w:val="24"/>
          <w:szCs w:val="24"/>
          <w:highlight w:val="none"/>
        </w:rPr>
        <w:sectPr>
          <w:headerReference r:id="rId7" w:type="default"/>
          <w:footerReference r:id="rId8" w:type="default"/>
          <w:pgSz w:w="11906" w:h="16838"/>
          <w:pgMar w:top="1134" w:right="1418" w:bottom="1134" w:left="1418" w:header="851" w:footer="992" w:gutter="0"/>
          <w:pgBorders>
            <w:top w:val="none" w:sz="0" w:space="0"/>
            <w:left w:val="none" w:sz="0" w:space="0"/>
            <w:bottom w:val="none" w:sz="0" w:space="0"/>
            <w:right w:val="none" w:sz="0" w:space="0"/>
          </w:pgBorders>
          <w:pgNumType w:fmt="decimal"/>
          <w:cols w:space="425" w:num="1"/>
          <w:docGrid w:linePitch="312" w:charSpace="0"/>
        </w:sectPr>
      </w:pPr>
      <w:bookmarkStart w:id="106" w:name="_Toc4866"/>
      <w:bookmarkStart w:id="107" w:name="_Toc109941765"/>
      <w:bookmarkStart w:id="108" w:name="_Toc109921158"/>
      <w:bookmarkStart w:id="109" w:name="_Toc110707965"/>
      <w:bookmarkStart w:id="110" w:name="_Toc130252615"/>
    </w:p>
    <w:p w14:paraId="0386B0EF">
      <w:pPr>
        <w:tabs>
          <w:tab w:val="center" w:pos="4832"/>
          <w:tab w:val="left" w:pos="7140"/>
        </w:tabs>
        <w:jc w:val="center"/>
        <w:outlineLvl w:val="1"/>
        <w:rPr>
          <w:rFonts w:hint="eastAsia" w:ascii="仿宋" w:hAnsi="仿宋" w:eastAsia="仿宋" w:cs="仿宋"/>
          <w:color w:val="auto"/>
          <w:sz w:val="24"/>
          <w:szCs w:val="24"/>
          <w:highlight w:val="none"/>
        </w:rPr>
      </w:pPr>
      <w:bookmarkStart w:id="111" w:name="_Toc11656"/>
      <w:r>
        <w:rPr>
          <w:rFonts w:hint="eastAsia" w:ascii="仿宋" w:hAnsi="仿宋" w:eastAsia="仿宋" w:cs="仿宋"/>
          <w:b/>
          <w:color w:val="auto"/>
          <w:sz w:val="24"/>
          <w:szCs w:val="24"/>
          <w:highlight w:val="none"/>
        </w:rPr>
        <w:t>三、投标价格明细表</w:t>
      </w:r>
      <w:bookmarkEnd w:id="106"/>
      <w:bookmarkEnd w:id="107"/>
      <w:bookmarkEnd w:id="108"/>
      <w:bookmarkEnd w:id="109"/>
      <w:bookmarkEnd w:id="110"/>
      <w:bookmarkEnd w:id="111"/>
    </w:p>
    <w:tbl>
      <w:tblPr>
        <w:tblStyle w:val="38"/>
        <w:tblW w:w="453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1"/>
        <w:gridCol w:w="1557"/>
        <w:gridCol w:w="1254"/>
        <w:gridCol w:w="1216"/>
        <w:gridCol w:w="1240"/>
        <w:gridCol w:w="1093"/>
        <w:gridCol w:w="1093"/>
        <w:gridCol w:w="1098"/>
        <w:gridCol w:w="1702"/>
        <w:gridCol w:w="1345"/>
        <w:gridCol w:w="1121"/>
      </w:tblGrid>
      <w:tr w14:paraId="73D01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261" w:type="pct"/>
            <w:vAlign w:val="center"/>
          </w:tcPr>
          <w:p w14:paraId="66F6CAFD">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序号</w:t>
            </w:r>
          </w:p>
        </w:tc>
        <w:tc>
          <w:tcPr>
            <w:tcW w:w="580" w:type="pct"/>
            <w:vAlign w:val="center"/>
          </w:tcPr>
          <w:p w14:paraId="24D63556">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标的名称</w:t>
            </w:r>
          </w:p>
        </w:tc>
        <w:tc>
          <w:tcPr>
            <w:tcW w:w="467" w:type="pct"/>
            <w:vAlign w:val="center"/>
          </w:tcPr>
          <w:p w14:paraId="48C8ED86">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规格型号</w:t>
            </w:r>
          </w:p>
        </w:tc>
        <w:tc>
          <w:tcPr>
            <w:tcW w:w="453" w:type="pct"/>
            <w:vAlign w:val="center"/>
          </w:tcPr>
          <w:p w14:paraId="5F4CF9E1">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注册号</w:t>
            </w:r>
          </w:p>
        </w:tc>
        <w:tc>
          <w:tcPr>
            <w:tcW w:w="462" w:type="pct"/>
            <w:shd w:val="clear" w:color="auto" w:fill="auto"/>
            <w:vAlign w:val="center"/>
          </w:tcPr>
          <w:p w14:paraId="271B2287">
            <w:pPr>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sz w:val="21"/>
                <w:szCs w:val="21"/>
                <w:highlight w:val="none"/>
              </w:rPr>
              <w:t>品牌</w:t>
            </w:r>
          </w:p>
        </w:tc>
        <w:tc>
          <w:tcPr>
            <w:tcW w:w="407" w:type="pct"/>
            <w:shd w:val="clear" w:color="auto" w:fill="auto"/>
            <w:vAlign w:val="center"/>
          </w:tcPr>
          <w:p w14:paraId="35F5F68F">
            <w:pPr>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sz w:val="21"/>
                <w:szCs w:val="21"/>
                <w:highlight w:val="none"/>
              </w:rPr>
              <w:t>制造商</w:t>
            </w:r>
          </w:p>
        </w:tc>
        <w:tc>
          <w:tcPr>
            <w:tcW w:w="407" w:type="pct"/>
            <w:vAlign w:val="center"/>
          </w:tcPr>
          <w:p w14:paraId="65C8D28C">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单位</w:t>
            </w:r>
          </w:p>
        </w:tc>
        <w:tc>
          <w:tcPr>
            <w:tcW w:w="409" w:type="pct"/>
            <w:vAlign w:val="center"/>
          </w:tcPr>
          <w:p w14:paraId="57085D33">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数量</w:t>
            </w:r>
          </w:p>
        </w:tc>
        <w:tc>
          <w:tcPr>
            <w:tcW w:w="631" w:type="pct"/>
            <w:vAlign w:val="center"/>
          </w:tcPr>
          <w:p w14:paraId="76EC444B">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单价（</w:t>
            </w:r>
            <w:r>
              <w:rPr>
                <w:rFonts w:hint="eastAsia" w:ascii="仿宋" w:hAnsi="仿宋" w:eastAsia="仿宋" w:cs="仿宋"/>
                <w:color w:val="auto"/>
                <w:sz w:val="21"/>
                <w:szCs w:val="21"/>
                <w:highlight w:val="none"/>
              </w:rPr>
              <w:t>元</w:t>
            </w:r>
            <w:r>
              <w:rPr>
                <w:rFonts w:hint="eastAsia" w:ascii="仿宋" w:hAnsi="仿宋" w:eastAsia="仿宋" w:cs="仿宋"/>
                <w:bCs/>
                <w:color w:val="auto"/>
                <w:sz w:val="21"/>
                <w:szCs w:val="21"/>
                <w:highlight w:val="none"/>
              </w:rPr>
              <w:t>）</w:t>
            </w:r>
          </w:p>
        </w:tc>
        <w:tc>
          <w:tcPr>
            <w:tcW w:w="501" w:type="pct"/>
            <w:vAlign w:val="center"/>
          </w:tcPr>
          <w:p w14:paraId="6104D81F">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小计（</w:t>
            </w:r>
            <w:r>
              <w:rPr>
                <w:rFonts w:hint="eastAsia" w:ascii="仿宋" w:hAnsi="仿宋" w:eastAsia="仿宋" w:cs="仿宋"/>
                <w:color w:val="auto"/>
                <w:sz w:val="21"/>
                <w:szCs w:val="21"/>
                <w:highlight w:val="none"/>
              </w:rPr>
              <w:t>元</w:t>
            </w:r>
            <w:r>
              <w:rPr>
                <w:rFonts w:hint="eastAsia" w:ascii="仿宋" w:hAnsi="仿宋" w:eastAsia="仿宋" w:cs="仿宋"/>
                <w:bCs/>
                <w:color w:val="auto"/>
                <w:sz w:val="21"/>
                <w:szCs w:val="21"/>
                <w:highlight w:val="none"/>
              </w:rPr>
              <w:t>）</w:t>
            </w:r>
          </w:p>
        </w:tc>
        <w:tc>
          <w:tcPr>
            <w:tcW w:w="417" w:type="pct"/>
            <w:vAlign w:val="center"/>
          </w:tcPr>
          <w:p w14:paraId="11E4063D">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备注</w:t>
            </w:r>
          </w:p>
        </w:tc>
      </w:tr>
      <w:tr w14:paraId="5B5E4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261" w:type="pct"/>
            <w:vAlign w:val="center"/>
          </w:tcPr>
          <w:p w14:paraId="6CD35BF3">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w:t>
            </w:r>
          </w:p>
        </w:tc>
        <w:tc>
          <w:tcPr>
            <w:tcW w:w="580" w:type="pct"/>
            <w:vAlign w:val="center"/>
          </w:tcPr>
          <w:p w14:paraId="21E6E398">
            <w:pPr>
              <w:jc w:val="center"/>
              <w:rPr>
                <w:rFonts w:hint="eastAsia" w:ascii="仿宋" w:hAnsi="仿宋" w:eastAsia="仿宋" w:cs="仿宋"/>
                <w:bCs/>
                <w:color w:val="auto"/>
                <w:sz w:val="21"/>
                <w:szCs w:val="21"/>
                <w:highlight w:val="none"/>
              </w:rPr>
            </w:pPr>
          </w:p>
        </w:tc>
        <w:tc>
          <w:tcPr>
            <w:tcW w:w="467" w:type="pct"/>
            <w:vAlign w:val="center"/>
          </w:tcPr>
          <w:p w14:paraId="6784B519">
            <w:pPr>
              <w:jc w:val="center"/>
              <w:rPr>
                <w:rFonts w:hint="eastAsia" w:ascii="仿宋" w:hAnsi="仿宋" w:eastAsia="仿宋" w:cs="仿宋"/>
                <w:bCs/>
                <w:color w:val="auto"/>
                <w:sz w:val="21"/>
                <w:szCs w:val="21"/>
                <w:highlight w:val="none"/>
              </w:rPr>
            </w:pPr>
          </w:p>
        </w:tc>
        <w:tc>
          <w:tcPr>
            <w:tcW w:w="453" w:type="pct"/>
            <w:vAlign w:val="center"/>
          </w:tcPr>
          <w:p w14:paraId="20DA98B0">
            <w:pPr>
              <w:jc w:val="center"/>
              <w:rPr>
                <w:rFonts w:hint="eastAsia" w:ascii="仿宋" w:hAnsi="仿宋" w:eastAsia="仿宋" w:cs="仿宋"/>
                <w:bCs/>
                <w:color w:val="auto"/>
                <w:sz w:val="21"/>
                <w:szCs w:val="21"/>
                <w:highlight w:val="none"/>
                <w:lang w:val="en-US" w:eastAsia="zh-CN"/>
              </w:rPr>
            </w:pPr>
          </w:p>
        </w:tc>
        <w:tc>
          <w:tcPr>
            <w:tcW w:w="462" w:type="pct"/>
            <w:shd w:val="clear" w:color="auto" w:fill="auto"/>
            <w:vAlign w:val="center"/>
          </w:tcPr>
          <w:p w14:paraId="398BD15F">
            <w:pPr>
              <w:jc w:val="center"/>
              <w:rPr>
                <w:rFonts w:hint="eastAsia" w:ascii="仿宋" w:hAnsi="仿宋" w:eastAsia="仿宋" w:cs="仿宋"/>
                <w:bCs/>
                <w:color w:val="auto"/>
                <w:sz w:val="21"/>
                <w:szCs w:val="21"/>
                <w:highlight w:val="none"/>
              </w:rPr>
            </w:pPr>
          </w:p>
        </w:tc>
        <w:tc>
          <w:tcPr>
            <w:tcW w:w="407" w:type="pct"/>
            <w:shd w:val="clear" w:color="auto" w:fill="auto"/>
            <w:vAlign w:val="center"/>
          </w:tcPr>
          <w:p w14:paraId="47CC7E60">
            <w:pPr>
              <w:jc w:val="center"/>
              <w:rPr>
                <w:rFonts w:hint="eastAsia" w:ascii="仿宋" w:hAnsi="仿宋" w:eastAsia="仿宋" w:cs="仿宋"/>
                <w:bCs/>
                <w:color w:val="auto"/>
                <w:sz w:val="21"/>
                <w:szCs w:val="21"/>
                <w:highlight w:val="none"/>
              </w:rPr>
            </w:pPr>
          </w:p>
        </w:tc>
        <w:tc>
          <w:tcPr>
            <w:tcW w:w="407" w:type="pct"/>
            <w:vAlign w:val="center"/>
          </w:tcPr>
          <w:p w14:paraId="63A9DC07">
            <w:pPr>
              <w:jc w:val="center"/>
              <w:rPr>
                <w:rFonts w:hint="eastAsia" w:ascii="仿宋" w:hAnsi="仿宋" w:eastAsia="仿宋" w:cs="仿宋"/>
                <w:bCs/>
                <w:color w:val="auto"/>
                <w:sz w:val="21"/>
                <w:szCs w:val="21"/>
                <w:highlight w:val="none"/>
                <w:lang w:val="en-US" w:eastAsia="zh-CN"/>
              </w:rPr>
            </w:pPr>
          </w:p>
        </w:tc>
        <w:tc>
          <w:tcPr>
            <w:tcW w:w="409" w:type="pct"/>
            <w:vAlign w:val="center"/>
          </w:tcPr>
          <w:p w14:paraId="4B87721C">
            <w:pPr>
              <w:jc w:val="center"/>
              <w:rPr>
                <w:rFonts w:hint="eastAsia" w:ascii="仿宋" w:hAnsi="仿宋" w:eastAsia="仿宋" w:cs="仿宋"/>
                <w:bCs/>
                <w:color w:val="auto"/>
                <w:sz w:val="21"/>
                <w:szCs w:val="21"/>
                <w:highlight w:val="none"/>
              </w:rPr>
            </w:pPr>
          </w:p>
        </w:tc>
        <w:tc>
          <w:tcPr>
            <w:tcW w:w="631" w:type="pct"/>
            <w:vAlign w:val="center"/>
          </w:tcPr>
          <w:p w14:paraId="3C60A4E2">
            <w:pPr>
              <w:jc w:val="center"/>
              <w:rPr>
                <w:rFonts w:hint="eastAsia" w:ascii="仿宋" w:hAnsi="仿宋" w:eastAsia="仿宋" w:cs="仿宋"/>
                <w:bCs/>
                <w:color w:val="auto"/>
                <w:sz w:val="21"/>
                <w:szCs w:val="21"/>
                <w:highlight w:val="none"/>
              </w:rPr>
            </w:pPr>
          </w:p>
        </w:tc>
        <w:tc>
          <w:tcPr>
            <w:tcW w:w="501" w:type="pct"/>
            <w:vAlign w:val="center"/>
          </w:tcPr>
          <w:p w14:paraId="1351044F">
            <w:pPr>
              <w:jc w:val="center"/>
              <w:rPr>
                <w:rFonts w:hint="eastAsia" w:ascii="仿宋" w:hAnsi="仿宋" w:eastAsia="仿宋" w:cs="仿宋"/>
                <w:bCs/>
                <w:color w:val="auto"/>
                <w:sz w:val="21"/>
                <w:szCs w:val="21"/>
                <w:highlight w:val="none"/>
              </w:rPr>
            </w:pPr>
          </w:p>
        </w:tc>
        <w:tc>
          <w:tcPr>
            <w:tcW w:w="417" w:type="pct"/>
            <w:vAlign w:val="center"/>
          </w:tcPr>
          <w:p w14:paraId="21EBF37B">
            <w:pPr>
              <w:jc w:val="center"/>
              <w:rPr>
                <w:rFonts w:hint="eastAsia" w:ascii="仿宋" w:hAnsi="仿宋" w:eastAsia="仿宋" w:cs="仿宋"/>
                <w:bCs/>
                <w:color w:val="auto"/>
                <w:sz w:val="21"/>
                <w:szCs w:val="21"/>
                <w:highlight w:val="none"/>
              </w:rPr>
            </w:pPr>
          </w:p>
        </w:tc>
      </w:tr>
      <w:tr w14:paraId="14A58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261" w:type="pct"/>
            <w:vAlign w:val="center"/>
          </w:tcPr>
          <w:p w14:paraId="4CD0F25B">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w:t>
            </w:r>
          </w:p>
        </w:tc>
        <w:tc>
          <w:tcPr>
            <w:tcW w:w="580" w:type="pct"/>
            <w:vAlign w:val="center"/>
          </w:tcPr>
          <w:p w14:paraId="398E4E9D">
            <w:pPr>
              <w:jc w:val="center"/>
              <w:rPr>
                <w:rFonts w:hint="eastAsia" w:ascii="仿宋" w:hAnsi="仿宋" w:eastAsia="仿宋" w:cs="仿宋"/>
                <w:bCs/>
                <w:color w:val="auto"/>
                <w:sz w:val="21"/>
                <w:szCs w:val="21"/>
                <w:highlight w:val="none"/>
              </w:rPr>
            </w:pPr>
          </w:p>
        </w:tc>
        <w:tc>
          <w:tcPr>
            <w:tcW w:w="467" w:type="pct"/>
            <w:vAlign w:val="center"/>
          </w:tcPr>
          <w:p w14:paraId="524D55E6">
            <w:pPr>
              <w:jc w:val="center"/>
              <w:rPr>
                <w:rFonts w:hint="eastAsia" w:ascii="仿宋" w:hAnsi="仿宋" w:eastAsia="仿宋" w:cs="仿宋"/>
                <w:bCs/>
                <w:color w:val="auto"/>
                <w:sz w:val="21"/>
                <w:szCs w:val="21"/>
                <w:highlight w:val="none"/>
              </w:rPr>
            </w:pPr>
          </w:p>
        </w:tc>
        <w:tc>
          <w:tcPr>
            <w:tcW w:w="453" w:type="pct"/>
            <w:vAlign w:val="center"/>
          </w:tcPr>
          <w:p w14:paraId="1493E713">
            <w:pPr>
              <w:jc w:val="center"/>
              <w:rPr>
                <w:rFonts w:hint="eastAsia" w:ascii="仿宋" w:hAnsi="仿宋" w:eastAsia="仿宋" w:cs="仿宋"/>
                <w:bCs/>
                <w:color w:val="auto"/>
                <w:sz w:val="21"/>
                <w:szCs w:val="21"/>
                <w:highlight w:val="none"/>
                <w:lang w:val="en-US" w:eastAsia="zh-CN"/>
              </w:rPr>
            </w:pPr>
          </w:p>
        </w:tc>
        <w:tc>
          <w:tcPr>
            <w:tcW w:w="462" w:type="pct"/>
            <w:shd w:val="clear" w:color="auto" w:fill="auto"/>
            <w:vAlign w:val="center"/>
          </w:tcPr>
          <w:p w14:paraId="739A2F04">
            <w:pPr>
              <w:jc w:val="center"/>
              <w:rPr>
                <w:rFonts w:hint="eastAsia" w:ascii="仿宋" w:hAnsi="仿宋" w:eastAsia="仿宋" w:cs="仿宋"/>
                <w:bCs/>
                <w:color w:val="auto"/>
                <w:sz w:val="21"/>
                <w:szCs w:val="21"/>
                <w:highlight w:val="none"/>
              </w:rPr>
            </w:pPr>
          </w:p>
        </w:tc>
        <w:tc>
          <w:tcPr>
            <w:tcW w:w="407" w:type="pct"/>
            <w:shd w:val="clear" w:color="auto" w:fill="auto"/>
            <w:vAlign w:val="center"/>
          </w:tcPr>
          <w:p w14:paraId="22530935">
            <w:pPr>
              <w:jc w:val="center"/>
              <w:rPr>
                <w:rFonts w:hint="eastAsia" w:ascii="仿宋" w:hAnsi="仿宋" w:eastAsia="仿宋" w:cs="仿宋"/>
                <w:bCs/>
                <w:color w:val="auto"/>
                <w:sz w:val="21"/>
                <w:szCs w:val="21"/>
                <w:highlight w:val="none"/>
              </w:rPr>
            </w:pPr>
          </w:p>
        </w:tc>
        <w:tc>
          <w:tcPr>
            <w:tcW w:w="407" w:type="pct"/>
            <w:vAlign w:val="center"/>
          </w:tcPr>
          <w:p w14:paraId="7F3945B0">
            <w:pPr>
              <w:jc w:val="center"/>
              <w:rPr>
                <w:rFonts w:hint="eastAsia" w:ascii="仿宋" w:hAnsi="仿宋" w:eastAsia="仿宋" w:cs="仿宋"/>
                <w:bCs/>
                <w:color w:val="auto"/>
                <w:sz w:val="21"/>
                <w:szCs w:val="21"/>
                <w:highlight w:val="none"/>
                <w:lang w:val="en-US" w:eastAsia="zh-CN"/>
              </w:rPr>
            </w:pPr>
          </w:p>
        </w:tc>
        <w:tc>
          <w:tcPr>
            <w:tcW w:w="409" w:type="pct"/>
            <w:vAlign w:val="center"/>
          </w:tcPr>
          <w:p w14:paraId="59E4A428">
            <w:pPr>
              <w:jc w:val="center"/>
              <w:rPr>
                <w:rFonts w:hint="eastAsia" w:ascii="仿宋" w:hAnsi="仿宋" w:eastAsia="仿宋" w:cs="仿宋"/>
                <w:bCs/>
                <w:color w:val="auto"/>
                <w:sz w:val="21"/>
                <w:szCs w:val="21"/>
                <w:highlight w:val="none"/>
              </w:rPr>
            </w:pPr>
          </w:p>
        </w:tc>
        <w:tc>
          <w:tcPr>
            <w:tcW w:w="631" w:type="pct"/>
            <w:vAlign w:val="center"/>
          </w:tcPr>
          <w:p w14:paraId="528297B2">
            <w:pPr>
              <w:jc w:val="center"/>
              <w:rPr>
                <w:rFonts w:hint="eastAsia" w:ascii="仿宋" w:hAnsi="仿宋" w:eastAsia="仿宋" w:cs="仿宋"/>
                <w:bCs/>
                <w:color w:val="auto"/>
                <w:sz w:val="21"/>
                <w:szCs w:val="21"/>
                <w:highlight w:val="none"/>
              </w:rPr>
            </w:pPr>
          </w:p>
        </w:tc>
        <w:tc>
          <w:tcPr>
            <w:tcW w:w="501" w:type="pct"/>
            <w:vAlign w:val="center"/>
          </w:tcPr>
          <w:p w14:paraId="74640DF6">
            <w:pPr>
              <w:jc w:val="center"/>
              <w:rPr>
                <w:rFonts w:hint="eastAsia" w:ascii="仿宋" w:hAnsi="仿宋" w:eastAsia="仿宋" w:cs="仿宋"/>
                <w:bCs/>
                <w:color w:val="auto"/>
                <w:sz w:val="21"/>
                <w:szCs w:val="21"/>
                <w:highlight w:val="none"/>
              </w:rPr>
            </w:pPr>
          </w:p>
        </w:tc>
        <w:tc>
          <w:tcPr>
            <w:tcW w:w="417" w:type="pct"/>
            <w:vAlign w:val="center"/>
          </w:tcPr>
          <w:p w14:paraId="565DA664">
            <w:pPr>
              <w:jc w:val="center"/>
              <w:rPr>
                <w:rFonts w:hint="eastAsia" w:ascii="仿宋" w:hAnsi="仿宋" w:eastAsia="仿宋" w:cs="仿宋"/>
                <w:bCs/>
                <w:color w:val="auto"/>
                <w:sz w:val="21"/>
                <w:szCs w:val="21"/>
                <w:highlight w:val="none"/>
              </w:rPr>
            </w:pPr>
          </w:p>
        </w:tc>
      </w:tr>
      <w:tr w14:paraId="390FA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261" w:type="pct"/>
            <w:vAlign w:val="center"/>
          </w:tcPr>
          <w:p w14:paraId="03B09F2E">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3</w:t>
            </w:r>
          </w:p>
        </w:tc>
        <w:tc>
          <w:tcPr>
            <w:tcW w:w="580" w:type="pct"/>
            <w:vAlign w:val="center"/>
          </w:tcPr>
          <w:p w14:paraId="45C86692">
            <w:pPr>
              <w:jc w:val="center"/>
              <w:rPr>
                <w:rFonts w:hint="eastAsia" w:ascii="仿宋" w:hAnsi="仿宋" w:eastAsia="仿宋" w:cs="仿宋"/>
                <w:bCs/>
                <w:color w:val="auto"/>
                <w:sz w:val="21"/>
                <w:szCs w:val="21"/>
                <w:highlight w:val="none"/>
              </w:rPr>
            </w:pPr>
          </w:p>
        </w:tc>
        <w:tc>
          <w:tcPr>
            <w:tcW w:w="467" w:type="pct"/>
            <w:vAlign w:val="center"/>
          </w:tcPr>
          <w:p w14:paraId="5F108102">
            <w:pPr>
              <w:jc w:val="center"/>
              <w:rPr>
                <w:rFonts w:hint="eastAsia" w:ascii="仿宋" w:hAnsi="仿宋" w:eastAsia="仿宋" w:cs="仿宋"/>
                <w:bCs/>
                <w:color w:val="auto"/>
                <w:sz w:val="21"/>
                <w:szCs w:val="21"/>
                <w:highlight w:val="none"/>
              </w:rPr>
            </w:pPr>
          </w:p>
        </w:tc>
        <w:tc>
          <w:tcPr>
            <w:tcW w:w="453" w:type="pct"/>
            <w:vAlign w:val="center"/>
          </w:tcPr>
          <w:p w14:paraId="4DDCE437">
            <w:pPr>
              <w:jc w:val="center"/>
              <w:rPr>
                <w:rFonts w:hint="eastAsia" w:ascii="仿宋" w:hAnsi="仿宋" w:eastAsia="仿宋" w:cs="仿宋"/>
                <w:bCs/>
                <w:color w:val="auto"/>
                <w:sz w:val="21"/>
                <w:szCs w:val="21"/>
                <w:highlight w:val="none"/>
                <w:lang w:val="en-US" w:eastAsia="zh-CN"/>
              </w:rPr>
            </w:pPr>
          </w:p>
        </w:tc>
        <w:tc>
          <w:tcPr>
            <w:tcW w:w="462" w:type="pct"/>
            <w:shd w:val="clear" w:color="auto" w:fill="auto"/>
            <w:vAlign w:val="center"/>
          </w:tcPr>
          <w:p w14:paraId="5F9FA267">
            <w:pPr>
              <w:jc w:val="center"/>
              <w:rPr>
                <w:rFonts w:hint="eastAsia" w:ascii="仿宋" w:hAnsi="仿宋" w:eastAsia="仿宋" w:cs="仿宋"/>
                <w:bCs/>
                <w:color w:val="auto"/>
                <w:sz w:val="21"/>
                <w:szCs w:val="21"/>
                <w:highlight w:val="none"/>
              </w:rPr>
            </w:pPr>
          </w:p>
        </w:tc>
        <w:tc>
          <w:tcPr>
            <w:tcW w:w="407" w:type="pct"/>
            <w:shd w:val="clear" w:color="auto" w:fill="auto"/>
            <w:vAlign w:val="center"/>
          </w:tcPr>
          <w:p w14:paraId="26F046EC">
            <w:pPr>
              <w:jc w:val="center"/>
              <w:rPr>
                <w:rFonts w:hint="eastAsia" w:ascii="仿宋" w:hAnsi="仿宋" w:eastAsia="仿宋" w:cs="仿宋"/>
                <w:bCs/>
                <w:color w:val="auto"/>
                <w:sz w:val="21"/>
                <w:szCs w:val="21"/>
                <w:highlight w:val="none"/>
              </w:rPr>
            </w:pPr>
          </w:p>
        </w:tc>
        <w:tc>
          <w:tcPr>
            <w:tcW w:w="407" w:type="pct"/>
            <w:vAlign w:val="center"/>
          </w:tcPr>
          <w:p w14:paraId="37B15D44">
            <w:pPr>
              <w:jc w:val="center"/>
              <w:rPr>
                <w:rFonts w:hint="eastAsia" w:ascii="仿宋" w:hAnsi="仿宋" w:eastAsia="仿宋" w:cs="仿宋"/>
                <w:bCs/>
                <w:color w:val="auto"/>
                <w:sz w:val="21"/>
                <w:szCs w:val="21"/>
                <w:highlight w:val="none"/>
                <w:lang w:val="en-US" w:eastAsia="zh-CN"/>
              </w:rPr>
            </w:pPr>
          </w:p>
        </w:tc>
        <w:tc>
          <w:tcPr>
            <w:tcW w:w="409" w:type="pct"/>
            <w:vAlign w:val="center"/>
          </w:tcPr>
          <w:p w14:paraId="5C55C93F">
            <w:pPr>
              <w:jc w:val="center"/>
              <w:rPr>
                <w:rFonts w:hint="eastAsia" w:ascii="仿宋" w:hAnsi="仿宋" w:eastAsia="仿宋" w:cs="仿宋"/>
                <w:bCs/>
                <w:color w:val="auto"/>
                <w:sz w:val="21"/>
                <w:szCs w:val="21"/>
                <w:highlight w:val="none"/>
              </w:rPr>
            </w:pPr>
          </w:p>
        </w:tc>
        <w:tc>
          <w:tcPr>
            <w:tcW w:w="631" w:type="pct"/>
            <w:vAlign w:val="center"/>
          </w:tcPr>
          <w:p w14:paraId="5C5FB8EE">
            <w:pPr>
              <w:jc w:val="center"/>
              <w:rPr>
                <w:rFonts w:hint="eastAsia" w:ascii="仿宋" w:hAnsi="仿宋" w:eastAsia="仿宋" w:cs="仿宋"/>
                <w:bCs/>
                <w:color w:val="auto"/>
                <w:sz w:val="21"/>
                <w:szCs w:val="21"/>
                <w:highlight w:val="none"/>
              </w:rPr>
            </w:pPr>
          </w:p>
        </w:tc>
        <w:tc>
          <w:tcPr>
            <w:tcW w:w="501" w:type="pct"/>
            <w:vAlign w:val="center"/>
          </w:tcPr>
          <w:p w14:paraId="0CCF1383">
            <w:pPr>
              <w:jc w:val="center"/>
              <w:rPr>
                <w:rFonts w:hint="eastAsia" w:ascii="仿宋" w:hAnsi="仿宋" w:eastAsia="仿宋" w:cs="仿宋"/>
                <w:bCs/>
                <w:color w:val="auto"/>
                <w:sz w:val="21"/>
                <w:szCs w:val="21"/>
                <w:highlight w:val="none"/>
              </w:rPr>
            </w:pPr>
          </w:p>
        </w:tc>
        <w:tc>
          <w:tcPr>
            <w:tcW w:w="417" w:type="pct"/>
            <w:vAlign w:val="center"/>
          </w:tcPr>
          <w:p w14:paraId="5F874D83">
            <w:pPr>
              <w:jc w:val="center"/>
              <w:rPr>
                <w:rFonts w:hint="eastAsia" w:ascii="仿宋" w:hAnsi="仿宋" w:eastAsia="仿宋" w:cs="仿宋"/>
                <w:bCs/>
                <w:color w:val="auto"/>
                <w:sz w:val="21"/>
                <w:szCs w:val="21"/>
                <w:highlight w:val="none"/>
              </w:rPr>
            </w:pPr>
          </w:p>
        </w:tc>
      </w:tr>
      <w:tr w14:paraId="013BF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261" w:type="pct"/>
            <w:vAlign w:val="center"/>
          </w:tcPr>
          <w:p w14:paraId="1E3F6711">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w:t>
            </w:r>
          </w:p>
        </w:tc>
        <w:tc>
          <w:tcPr>
            <w:tcW w:w="580" w:type="pct"/>
            <w:vAlign w:val="center"/>
          </w:tcPr>
          <w:p w14:paraId="446D32D4">
            <w:pPr>
              <w:jc w:val="center"/>
              <w:rPr>
                <w:rFonts w:hint="eastAsia" w:ascii="仿宋" w:hAnsi="仿宋" w:eastAsia="仿宋" w:cs="仿宋"/>
                <w:bCs/>
                <w:color w:val="auto"/>
                <w:sz w:val="21"/>
                <w:szCs w:val="21"/>
                <w:highlight w:val="none"/>
              </w:rPr>
            </w:pPr>
          </w:p>
        </w:tc>
        <w:tc>
          <w:tcPr>
            <w:tcW w:w="467" w:type="pct"/>
            <w:vAlign w:val="center"/>
          </w:tcPr>
          <w:p w14:paraId="6152EF16">
            <w:pPr>
              <w:jc w:val="center"/>
              <w:rPr>
                <w:rFonts w:hint="eastAsia" w:ascii="仿宋" w:hAnsi="仿宋" w:eastAsia="仿宋" w:cs="仿宋"/>
                <w:bCs/>
                <w:color w:val="auto"/>
                <w:sz w:val="21"/>
                <w:szCs w:val="21"/>
                <w:highlight w:val="none"/>
              </w:rPr>
            </w:pPr>
          </w:p>
        </w:tc>
        <w:tc>
          <w:tcPr>
            <w:tcW w:w="453" w:type="pct"/>
            <w:vAlign w:val="center"/>
          </w:tcPr>
          <w:p w14:paraId="0AB8F369">
            <w:pPr>
              <w:jc w:val="center"/>
              <w:rPr>
                <w:rFonts w:hint="eastAsia" w:ascii="仿宋" w:hAnsi="仿宋" w:eastAsia="仿宋" w:cs="仿宋"/>
                <w:bCs/>
                <w:color w:val="auto"/>
                <w:sz w:val="21"/>
                <w:szCs w:val="21"/>
                <w:highlight w:val="none"/>
                <w:lang w:val="en-US" w:eastAsia="zh-CN"/>
              </w:rPr>
            </w:pPr>
          </w:p>
        </w:tc>
        <w:tc>
          <w:tcPr>
            <w:tcW w:w="462" w:type="pct"/>
            <w:shd w:val="clear" w:color="auto" w:fill="auto"/>
            <w:vAlign w:val="center"/>
          </w:tcPr>
          <w:p w14:paraId="3D75B812">
            <w:pPr>
              <w:jc w:val="center"/>
              <w:rPr>
                <w:rFonts w:hint="eastAsia" w:ascii="仿宋" w:hAnsi="仿宋" w:eastAsia="仿宋" w:cs="仿宋"/>
                <w:bCs/>
                <w:color w:val="auto"/>
                <w:sz w:val="21"/>
                <w:szCs w:val="21"/>
                <w:highlight w:val="none"/>
              </w:rPr>
            </w:pPr>
          </w:p>
        </w:tc>
        <w:tc>
          <w:tcPr>
            <w:tcW w:w="407" w:type="pct"/>
            <w:shd w:val="clear" w:color="auto" w:fill="auto"/>
            <w:vAlign w:val="center"/>
          </w:tcPr>
          <w:p w14:paraId="2A2C1385">
            <w:pPr>
              <w:jc w:val="center"/>
              <w:rPr>
                <w:rFonts w:hint="eastAsia" w:ascii="仿宋" w:hAnsi="仿宋" w:eastAsia="仿宋" w:cs="仿宋"/>
                <w:bCs/>
                <w:color w:val="auto"/>
                <w:sz w:val="21"/>
                <w:szCs w:val="21"/>
                <w:highlight w:val="none"/>
              </w:rPr>
            </w:pPr>
          </w:p>
        </w:tc>
        <w:tc>
          <w:tcPr>
            <w:tcW w:w="407" w:type="pct"/>
            <w:vAlign w:val="center"/>
          </w:tcPr>
          <w:p w14:paraId="232A91BA">
            <w:pPr>
              <w:jc w:val="center"/>
              <w:rPr>
                <w:rFonts w:hint="eastAsia" w:ascii="仿宋" w:hAnsi="仿宋" w:eastAsia="仿宋" w:cs="仿宋"/>
                <w:bCs/>
                <w:color w:val="auto"/>
                <w:sz w:val="21"/>
                <w:szCs w:val="21"/>
                <w:highlight w:val="none"/>
                <w:lang w:val="en-US" w:eastAsia="zh-CN"/>
              </w:rPr>
            </w:pPr>
          </w:p>
        </w:tc>
        <w:tc>
          <w:tcPr>
            <w:tcW w:w="409" w:type="pct"/>
            <w:vAlign w:val="center"/>
          </w:tcPr>
          <w:p w14:paraId="4E795ADE">
            <w:pPr>
              <w:jc w:val="center"/>
              <w:rPr>
                <w:rFonts w:hint="eastAsia" w:ascii="仿宋" w:hAnsi="仿宋" w:eastAsia="仿宋" w:cs="仿宋"/>
                <w:bCs/>
                <w:color w:val="auto"/>
                <w:sz w:val="21"/>
                <w:szCs w:val="21"/>
                <w:highlight w:val="none"/>
              </w:rPr>
            </w:pPr>
          </w:p>
        </w:tc>
        <w:tc>
          <w:tcPr>
            <w:tcW w:w="631" w:type="pct"/>
            <w:vAlign w:val="center"/>
          </w:tcPr>
          <w:p w14:paraId="2CD8D4FD">
            <w:pPr>
              <w:jc w:val="center"/>
              <w:rPr>
                <w:rFonts w:hint="eastAsia" w:ascii="仿宋" w:hAnsi="仿宋" w:eastAsia="仿宋" w:cs="仿宋"/>
                <w:bCs/>
                <w:color w:val="auto"/>
                <w:sz w:val="21"/>
                <w:szCs w:val="21"/>
                <w:highlight w:val="none"/>
              </w:rPr>
            </w:pPr>
          </w:p>
        </w:tc>
        <w:tc>
          <w:tcPr>
            <w:tcW w:w="501" w:type="pct"/>
            <w:vAlign w:val="center"/>
          </w:tcPr>
          <w:p w14:paraId="472F89FF">
            <w:pPr>
              <w:jc w:val="center"/>
              <w:rPr>
                <w:rFonts w:hint="eastAsia" w:ascii="仿宋" w:hAnsi="仿宋" w:eastAsia="仿宋" w:cs="仿宋"/>
                <w:bCs/>
                <w:color w:val="auto"/>
                <w:sz w:val="21"/>
                <w:szCs w:val="21"/>
                <w:highlight w:val="none"/>
              </w:rPr>
            </w:pPr>
          </w:p>
        </w:tc>
        <w:tc>
          <w:tcPr>
            <w:tcW w:w="417" w:type="pct"/>
            <w:vAlign w:val="center"/>
          </w:tcPr>
          <w:p w14:paraId="57DF4035">
            <w:pPr>
              <w:jc w:val="center"/>
              <w:rPr>
                <w:rFonts w:hint="eastAsia" w:ascii="仿宋" w:hAnsi="仿宋" w:eastAsia="仿宋" w:cs="仿宋"/>
                <w:bCs/>
                <w:color w:val="auto"/>
                <w:sz w:val="21"/>
                <w:szCs w:val="21"/>
                <w:highlight w:val="none"/>
              </w:rPr>
            </w:pPr>
          </w:p>
        </w:tc>
      </w:tr>
      <w:tr w14:paraId="13C26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4080" w:type="pct"/>
            <w:gridSpan w:val="9"/>
            <w:vAlign w:val="center"/>
          </w:tcPr>
          <w:p w14:paraId="63F6CDC9">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合计</w:t>
            </w:r>
            <w:r>
              <w:rPr>
                <w:rFonts w:hint="eastAsia" w:ascii="仿宋" w:hAnsi="仿宋" w:eastAsia="仿宋" w:cs="仿宋"/>
                <w:bCs/>
                <w:color w:val="auto"/>
                <w:sz w:val="21"/>
                <w:szCs w:val="21"/>
                <w:highlight w:val="none"/>
              </w:rPr>
              <w:t>（</w:t>
            </w:r>
            <w:r>
              <w:rPr>
                <w:rFonts w:hint="eastAsia" w:ascii="仿宋" w:hAnsi="仿宋" w:eastAsia="仿宋" w:cs="仿宋"/>
                <w:color w:val="auto"/>
                <w:sz w:val="21"/>
                <w:szCs w:val="21"/>
                <w:highlight w:val="none"/>
              </w:rPr>
              <w:t>元</w:t>
            </w:r>
            <w:r>
              <w:rPr>
                <w:rFonts w:hint="eastAsia" w:ascii="仿宋" w:hAnsi="仿宋" w:eastAsia="仿宋" w:cs="仿宋"/>
                <w:bCs/>
                <w:color w:val="auto"/>
                <w:sz w:val="21"/>
                <w:szCs w:val="21"/>
                <w:highlight w:val="none"/>
              </w:rPr>
              <w:t>）</w:t>
            </w:r>
          </w:p>
        </w:tc>
        <w:tc>
          <w:tcPr>
            <w:tcW w:w="501" w:type="pct"/>
            <w:vAlign w:val="center"/>
          </w:tcPr>
          <w:p w14:paraId="39516D21">
            <w:pPr>
              <w:jc w:val="center"/>
              <w:rPr>
                <w:rFonts w:hint="eastAsia" w:ascii="仿宋" w:hAnsi="仿宋" w:eastAsia="仿宋" w:cs="仿宋"/>
                <w:bCs/>
                <w:color w:val="auto"/>
                <w:sz w:val="21"/>
                <w:szCs w:val="21"/>
                <w:highlight w:val="none"/>
              </w:rPr>
            </w:pPr>
          </w:p>
        </w:tc>
        <w:tc>
          <w:tcPr>
            <w:tcW w:w="417" w:type="pct"/>
            <w:vAlign w:val="center"/>
          </w:tcPr>
          <w:p w14:paraId="4ABBF727">
            <w:pPr>
              <w:jc w:val="center"/>
              <w:rPr>
                <w:rFonts w:hint="eastAsia" w:ascii="仿宋" w:hAnsi="仿宋" w:eastAsia="仿宋" w:cs="仿宋"/>
                <w:bCs/>
                <w:color w:val="auto"/>
                <w:sz w:val="21"/>
                <w:szCs w:val="21"/>
                <w:highlight w:val="none"/>
              </w:rPr>
            </w:pPr>
          </w:p>
        </w:tc>
      </w:tr>
    </w:tbl>
    <w:p w14:paraId="63FEBE7F">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应按照第四章“技术标准和要求”内容填写标的名称和数量</w:t>
      </w:r>
      <w:r>
        <w:rPr>
          <w:rFonts w:hint="eastAsia" w:ascii="仿宋" w:hAnsi="仿宋" w:eastAsia="仿宋" w:cs="仿宋"/>
          <w:color w:val="auto"/>
          <w:sz w:val="24"/>
          <w:szCs w:val="24"/>
          <w:highlight w:val="none"/>
          <w:lang w:val="en-US" w:eastAsia="zh-CN"/>
        </w:rPr>
        <w:t>等信息，现有内容为示例</w:t>
      </w:r>
      <w:r>
        <w:rPr>
          <w:rFonts w:hint="eastAsia" w:ascii="仿宋" w:hAnsi="仿宋" w:eastAsia="仿宋" w:cs="仿宋"/>
          <w:color w:val="auto"/>
          <w:sz w:val="24"/>
          <w:szCs w:val="24"/>
          <w:highlight w:val="none"/>
        </w:rPr>
        <w:t>。</w:t>
      </w:r>
    </w:p>
    <w:p w14:paraId="09DF130A">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价格应包括投标人履行本项目合同（如果成交）所必须的所有成本费用和成交投标人应承担的一切费用，包括但不仅限于外购件、外协件、配套件、备品备件、全套设备全部内容、专用工具、原材料及生产制造、检验、油漆、包装、专利费、保险、利税（各种税费）、管理、运输、装卸、运杂费、设备的安装调试（含辅材、开箱费）、配合费、调试、检验验收、人员培训费、技术资料（含中文与外文的翻译费）、售后服务、技术指导、维保、招标文件所要求的其它服务事项及与合同有关的交钥匙工程等全部费用。未列和没有填写的项目费用，采购人将视为已包括在投标价格中</w:t>
      </w:r>
    </w:p>
    <w:p w14:paraId="24D3CC29">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3、非医疗器械标的“注册号”一栏可填“/”。</w:t>
      </w:r>
    </w:p>
    <w:p w14:paraId="7CCBFE3A">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6D94A8E0">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26E2B469">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14AAAF3F">
      <w:pPr>
        <w:rPr>
          <w:rFonts w:hint="eastAsia" w:ascii="仿宋" w:hAnsi="仿宋" w:eastAsia="仿宋" w:cs="仿宋"/>
          <w:b/>
          <w:color w:val="auto"/>
          <w:sz w:val="24"/>
          <w:szCs w:val="24"/>
          <w:highlight w:val="none"/>
        </w:rPr>
        <w:sectPr>
          <w:pgSz w:w="16838" w:h="11906" w:orient="landscape"/>
          <w:pgMar w:top="1417" w:right="1134" w:bottom="1417" w:left="1134" w:header="851" w:footer="992" w:gutter="0"/>
          <w:pgBorders>
            <w:top w:val="none" w:sz="0" w:space="0"/>
            <w:left w:val="none" w:sz="0" w:space="0"/>
            <w:bottom w:val="none" w:sz="0" w:space="0"/>
            <w:right w:val="none" w:sz="0" w:space="0"/>
          </w:pgBorders>
          <w:pgNumType w:fmt="decimal"/>
          <w:cols w:space="0" w:num="1"/>
          <w:rtlGutter w:val="0"/>
          <w:docGrid w:linePitch="312" w:charSpace="0"/>
        </w:sectPr>
      </w:pPr>
      <w:bookmarkStart w:id="112" w:name="_Toc109941768"/>
      <w:bookmarkStart w:id="113" w:name="_Toc30686"/>
      <w:bookmarkStart w:id="114" w:name="_Toc109921161"/>
      <w:bookmarkStart w:id="115" w:name="_Toc27046"/>
      <w:bookmarkStart w:id="116" w:name="_Toc130252618"/>
      <w:bookmarkStart w:id="117" w:name="_Toc17089"/>
      <w:bookmarkStart w:id="118" w:name="_Toc110707968"/>
    </w:p>
    <w:p w14:paraId="78427B30">
      <w:pPr>
        <w:tabs>
          <w:tab w:val="center" w:pos="4832"/>
          <w:tab w:val="left" w:pos="7140"/>
        </w:tabs>
        <w:jc w:val="center"/>
        <w:outlineLvl w:val="1"/>
        <w:rPr>
          <w:rFonts w:hint="eastAsia" w:ascii="仿宋" w:hAnsi="仿宋" w:eastAsia="仿宋" w:cs="仿宋"/>
          <w:b/>
          <w:color w:val="auto"/>
          <w:sz w:val="24"/>
          <w:szCs w:val="24"/>
          <w:highlight w:val="none"/>
        </w:rPr>
      </w:pPr>
      <w:bookmarkStart w:id="119" w:name="_Toc516"/>
      <w:r>
        <w:rPr>
          <w:rFonts w:hint="eastAsia" w:ascii="仿宋" w:hAnsi="仿宋" w:eastAsia="仿宋" w:cs="仿宋"/>
          <w:b/>
          <w:color w:val="auto"/>
          <w:sz w:val="24"/>
          <w:szCs w:val="24"/>
          <w:highlight w:val="none"/>
        </w:rPr>
        <w:t>四、商务条款偏离表</w:t>
      </w:r>
      <w:bookmarkEnd w:id="112"/>
      <w:bookmarkEnd w:id="113"/>
      <w:bookmarkEnd w:id="114"/>
      <w:bookmarkEnd w:id="115"/>
      <w:bookmarkEnd w:id="116"/>
      <w:bookmarkEnd w:id="117"/>
      <w:bookmarkEnd w:id="118"/>
      <w:bookmarkEnd w:id="119"/>
    </w:p>
    <w:p w14:paraId="0162C82C">
      <w:pPr>
        <w:rPr>
          <w:rFonts w:hint="eastAsia" w:ascii="仿宋" w:hAnsi="仿宋" w:eastAsia="仿宋" w:cs="仿宋"/>
          <w:color w:val="auto"/>
          <w:highlight w:val="none"/>
        </w:rPr>
      </w:pPr>
    </w:p>
    <w:tbl>
      <w:tblPr>
        <w:tblStyle w:val="38"/>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0E905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349C7B33">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070" w:type="dxa"/>
            <w:vAlign w:val="center"/>
          </w:tcPr>
          <w:p w14:paraId="0F1E5F1F">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052" w:type="dxa"/>
            <w:vAlign w:val="center"/>
          </w:tcPr>
          <w:p w14:paraId="67FDA229">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招标文件的商务条款</w:t>
            </w:r>
          </w:p>
        </w:tc>
        <w:tc>
          <w:tcPr>
            <w:tcW w:w="2126" w:type="dxa"/>
            <w:vAlign w:val="center"/>
          </w:tcPr>
          <w:p w14:paraId="699A4DED">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投标文件的商务条款</w:t>
            </w:r>
          </w:p>
        </w:tc>
        <w:tc>
          <w:tcPr>
            <w:tcW w:w="1985" w:type="dxa"/>
            <w:vAlign w:val="center"/>
          </w:tcPr>
          <w:p w14:paraId="66C62B63">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2BA8B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50775C28">
            <w:pPr>
              <w:jc w:val="center"/>
              <w:rPr>
                <w:rFonts w:hint="eastAsia" w:ascii="仿宋" w:hAnsi="仿宋" w:eastAsia="仿宋" w:cs="仿宋"/>
                <w:b/>
                <w:bCs/>
                <w:color w:val="auto"/>
                <w:sz w:val="24"/>
                <w:szCs w:val="24"/>
                <w:highlight w:val="none"/>
              </w:rPr>
            </w:pPr>
          </w:p>
        </w:tc>
        <w:tc>
          <w:tcPr>
            <w:tcW w:w="2070" w:type="dxa"/>
          </w:tcPr>
          <w:p w14:paraId="4F035DCD">
            <w:pPr>
              <w:jc w:val="center"/>
              <w:rPr>
                <w:rFonts w:hint="eastAsia" w:ascii="仿宋" w:hAnsi="仿宋" w:eastAsia="仿宋" w:cs="仿宋"/>
                <w:b/>
                <w:bCs/>
                <w:color w:val="auto"/>
                <w:sz w:val="24"/>
                <w:szCs w:val="24"/>
                <w:highlight w:val="none"/>
              </w:rPr>
            </w:pPr>
          </w:p>
        </w:tc>
        <w:tc>
          <w:tcPr>
            <w:tcW w:w="2052" w:type="dxa"/>
          </w:tcPr>
          <w:p w14:paraId="3E127D70">
            <w:pPr>
              <w:jc w:val="center"/>
              <w:rPr>
                <w:rFonts w:hint="eastAsia" w:ascii="仿宋" w:hAnsi="仿宋" w:eastAsia="仿宋" w:cs="仿宋"/>
                <w:b/>
                <w:bCs/>
                <w:color w:val="auto"/>
                <w:sz w:val="24"/>
                <w:szCs w:val="24"/>
                <w:highlight w:val="none"/>
              </w:rPr>
            </w:pPr>
          </w:p>
        </w:tc>
        <w:tc>
          <w:tcPr>
            <w:tcW w:w="2126" w:type="dxa"/>
          </w:tcPr>
          <w:p w14:paraId="3370CB8C">
            <w:pPr>
              <w:jc w:val="center"/>
              <w:rPr>
                <w:rFonts w:hint="eastAsia" w:ascii="仿宋" w:hAnsi="仿宋" w:eastAsia="仿宋" w:cs="仿宋"/>
                <w:b/>
                <w:bCs/>
                <w:color w:val="auto"/>
                <w:sz w:val="24"/>
                <w:szCs w:val="24"/>
                <w:highlight w:val="none"/>
              </w:rPr>
            </w:pPr>
          </w:p>
        </w:tc>
        <w:tc>
          <w:tcPr>
            <w:tcW w:w="1985" w:type="dxa"/>
          </w:tcPr>
          <w:p w14:paraId="6D1F016C">
            <w:pPr>
              <w:jc w:val="center"/>
              <w:rPr>
                <w:rFonts w:hint="eastAsia" w:ascii="仿宋" w:hAnsi="仿宋" w:eastAsia="仿宋" w:cs="仿宋"/>
                <w:b/>
                <w:bCs/>
                <w:color w:val="auto"/>
                <w:sz w:val="24"/>
                <w:szCs w:val="24"/>
                <w:highlight w:val="none"/>
              </w:rPr>
            </w:pPr>
          </w:p>
        </w:tc>
      </w:tr>
      <w:tr w14:paraId="3F839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1FBDB120">
            <w:pPr>
              <w:jc w:val="center"/>
              <w:rPr>
                <w:rFonts w:hint="eastAsia" w:ascii="仿宋" w:hAnsi="仿宋" w:eastAsia="仿宋" w:cs="仿宋"/>
                <w:b/>
                <w:bCs/>
                <w:color w:val="auto"/>
                <w:sz w:val="24"/>
                <w:szCs w:val="24"/>
                <w:highlight w:val="none"/>
              </w:rPr>
            </w:pPr>
          </w:p>
        </w:tc>
        <w:tc>
          <w:tcPr>
            <w:tcW w:w="2070" w:type="dxa"/>
          </w:tcPr>
          <w:p w14:paraId="04F79203">
            <w:pPr>
              <w:jc w:val="center"/>
              <w:rPr>
                <w:rFonts w:hint="eastAsia" w:ascii="仿宋" w:hAnsi="仿宋" w:eastAsia="仿宋" w:cs="仿宋"/>
                <w:b/>
                <w:bCs/>
                <w:color w:val="auto"/>
                <w:sz w:val="24"/>
                <w:szCs w:val="24"/>
                <w:highlight w:val="none"/>
              </w:rPr>
            </w:pPr>
          </w:p>
        </w:tc>
        <w:tc>
          <w:tcPr>
            <w:tcW w:w="2052" w:type="dxa"/>
          </w:tcPr>
          <w:p w14:paraId="6CCFBB30">
            <w:pPr>
              <w:jc w:val="center"/>
              <w:rPr>
                <w:rFonts w:hint="eastAsia" w:ascii="仿宋" w:hAnsi="仿宋" w:eastAsia="仿宋" w:cs="仿宋"/>
                <w:b/>
                <w:bCs/>
                <w:color w:val="auto"/>
                <w:sz w:val="24"/>
                <w:szCs w:val="24"/>
                <w:highlight w:val="none"/>
              </w:rPr>
            </w:pPr>
          </w:p>
        </w:tc>
        <w:tc>
          <w:tcPr>
            <w:tcW w:w="2126" w:type="dxa"/>
          </w:tcPr>
          <w:p w14:paraId="1E4FDFEB">
            <w:pPr>
              <w:jc w:val="center"/>
              <w:rPr>
                <w:rFonts w:hint="eastAsia" w:ascii="仿宋" w:hAnsi="仿宋" w:eastAsia="仿宋" w:cs="仿宋"/>
                <w:b/>
                <w:bCs/>
                <w:color w:val="auto"/>
                <w:sz w:val="24"/>
                <w:szCs w:val="24"/>
                <w:highlight w:val="none"/>
              </w:rPr>
            </w:pPr>
          </w:p>
        </w:tc>
        <w:tc>
          <w:tcPr>
            <w:tcW w:w="1985" w:type="dxa"/>
          </w:tcPr>
          <w:p w14:paraId="202FD2B3">
            <w:pPr>
              <w:jc w:val="center"/>
              <w:rPr>
                <w:rFonts w:hint="eastAsia" w:ascii="仿宋" w:hAnsi="仿宋" w:eastAsia="仿宋" w:cs="仿宋"/>
                <w:b/>
                <w:bCs/>
                <w:color w:val="auto"/>
                <w:sz w:val="24"/>
                <w:szCs w:val="24"/>
                <w:highlight w:val="none"/>
              </w:rPr>
            </w:pPr>
          </w:p>
        </w:tc>
      </w:tr>
      <w:tr w14:paraId="4992E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9343520">
            <w:pPr>
              <w:jc w:val="center"/>
              <w:rPr>
                <w:rFonts w:hint="eastAsia" w:ascii="仿宋" w:hAnsi="仿宋" w:eastAsia="仿宋" w:cs="仿宋"/>
                <w:b/>
                <w:bCs/>
                <w:color w:val="auto"/>
                <w:sz w:val="24"/>
                <w:szCs w:val="24"/>
                <w:highlight w:val="none"/>
              </w:rPr>
            </w:pPr>
          </w:p>
        </w:tc>
        <w:tc>
          <w:tcPr>
            <w:tcW w:w="2070" w:type="dxa"/>
          </w:tcPr>
          <w:p w14:paraId="44B384CD">
            <w:pPr>
              <w:jc w:val="center"/>
              <w:rPr>
                <w:rFonts w:hint="eastAsia" w:ascii="仿宋" w:hAnsi="仿宋" w:eastAsia="仿宋" w:cs="仿宋"/>
                <w:b/>
                <w:bCs/>
                <w:color w:val="auto"/>
                <w:sz w:val="24"/>
                <w:szCs w:val="24"/>
                <w:highlight w:val="none"/>
              </w:rPr>
            </w:pPr>
          </w:p>
        </w:tc>
        <w:tc>
          <w:tcPr>
            <w:tcW w:w="2052" w:type="dxa"/>
          </w:tcPr>
          <w:p w14:paraId="49690099">
            <w:pPr>
              <w:jc w:val="center"/>
              <w:rPr>
                <w:rFonts w:hint="eastAsia" w:ascii="仿宋" w:hAnsi="仿宋" w:eastAsia="仿宋" w:cs="仿宋"/>
                <w:b/>
                <w:bCs/>
                <w:color w:val="auto"/>
                <w:sz w:val="24"/>
                <w:szCs w:val="24"/>
                <w:highlight w:val="none"/>
              </w:rPr>
            </w:pPr>
          </w:p>
        </w:tc>
        <w:tc>
          <w:tcPr>
            <w:tcW w:w="2126" w:type="dxa"/>
          </w:tcPr>
          <w:p w14:paraId="6BD872CB">
            <w:pPr>
              <w:jc w:val="center"/>
              <w:rPr>
                <w:rFonts w:hint="eastAsia" w:ascii="仿宋" w:hAnsi="仿宋" w:eastAsia="仿宋" w:cs="仿宋"/>
                <w:b/>
                <w:bCs/>
                <w:color w:val="auto"/>
                <w:sz w:val="24"/>
                <w:szCs w:val="24"/>
                <w:highlight w:val="none"/>
              </w:rPr>
            </w:pPr>
          </w:p>
        </w:tc>
        <w:tc>
          <w:tcPr>
            <w:tcW w:w="1985" w:type="dxa"/>
          </w:tcPr>
          <w:p w14:paraId="3206220B">
            <w:pPr>
              <w:jc w:val="center"/>
              <w:rPr>
                <w:rFonts w:hint="eastAsia" w:ascii="仿宋" w:hAnsi="仿宋" w:eastAsia="仿宋" w:cs="仿宋"/>
                <w:b/>
                <w:bCs/>
                <w:color w:val="auto"/>
                <w:sz w:val="24"/>
                <w:szCs w:val="24"/>
                <w:highlight w:val="none"/>
              </w:rPr>
            </w:pPr>
          </w:p>
        </w:tc>
      </w:tr>
      <w:tr w14:paraId="3EC4D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150C956B">
            <w:pPr>
              <w:jc w:val="center"/>
              <w:rPr>
                <w:rFonts w:hint="eastAsia" w:ascii="仿宋" w:hAnsi="仿宋" w:eastAsia="仿宋" w:cs="仿宋"/>
                <w:b/>
                <w:bCs/>
                <w:color w:val="auto"/>
                <w:sz w:val="24"/>
                <w:szCs w:val="24"/>
                <w:highlight w:val="none"/>
              </w:rPr>
            </w:pPr>
          </w:p>
        </w:tc>
        <w:tc>
          <w:tcPr>
            <w:tcW w:w="2070" w:type="dxa"/>
          </w:tcPr>
          <w:p w14:paraId="029E056F">
            <w:pPr>
              <w:jc w:val="center"/>
              <w:rPr>
                <w:rFonts w:hint="eastAsia" w:ascii="仿宋" w:hAnsi="仿宋" w:eastAsia="仿宋" w:cs="仿宋"/>
                <w:b/>
                <w:bCs/>
                <w:color w:val="auto"/>
                <w:sz w:val="24"/>
                <w:szCs w:val="24"/>
                <w:highlight w:val="none"/>
              </w:rPr>
            </w:pPr>
          </w:p>
        </w:tc>
        <w:tc>
          <w:tcPr>
            <w:tcW w:w="2052" w:type="dxa"/>
          </w:tcPr>
          <w:p w14:paraId="7FDA3284">
            <w:pPr>
              <w:jc w:val="center"/>
              <w:rPr>
                <w:rFonts w:hint="eastAsia" w:ascii="仿宋" w:hAnsi="仿宋" w:eastAsia="仿宋" w:cs="仿宋"/>
                <w:b/>
                <w:bCs/>
                <w:color w:val="auto"/>
                <w:sz w:val="24"/>
                <w:szCs w:val="24"/>
                <w:highlight w:val="none"/>
              </w:rPr>
            </w:pPr>
          </w:p>
        </w:tc>
        <w:tc>
          <w:tcPr>
            <w:tcW w:w="2126" w:type="dxa"/>
          </w:tcPr>
          <w:p w14:paraId="31E53C58">
            <w:pPr>
              <w:jc w:val="center"/>
              <w:rPr>
                <w:rFonts w:hint="eastAsia" w:ascii="仿宋" w:hAnsi="仿宋" w:eastAsia="仿宋" w:cs="仿宋"/>
                <w:b/>
                <w:bCs/>
                <w:color w:val="auto"/>
                <w:sz w:val="24"/>
                <w:szCs w:val="24"/>
                <w:highlight w:val="none"/>
              </w:rPr>
            </w:pPr>
          </w:p>
        </w:tc>
        <w:tc>
          <w:tcPr>
            <w:tcW w:w="1985" w:type="dxa"/>
          </w:tcPr>
          <w:p w14:paraId="1B966EF7">
            <w:pPr>
              <w:jc w:val="center"/>
              <w:rPr>
                <w:rFonts w:hint="eastAsia" w:ascii="仿宋" w:hAnsi="仿宋" w:eastAsia="仿宋" w:cs="仿宋"/>
                <w:b/>
                <w:bCs/>
                <w:color w:val="auto"/>
                <w:sz w:val="24"/>
                <w:szCs w:val="24"/>
                <w:highlight w:val="none"/>
              </w:rPr>
            </w:pPr>
          </w:p>
        </w:tc>
      </w:tr>
      <w:tr w14:paraId="71586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051945C">
            <w:pPr>
              <w:jc w:val="center"/>
              <w:rPr>
                <w:rFonts w:hint="eastAsia" w:ascii="仿宋" w:hAnsi="仿宋" w:eastAsia="仿宋" w:cs="仿宋"/>
                <w:b/>
                <w:bCs/>
                <w:color w:val="auto"/>
                <w:sz w:val="24"/>
                <w:szCs w:val="24"/>
                <w:highlight w:val="none"/>
              </w:rPr>
            </w:pPr>
          </w:p>
        </w:tc>
        <w:tc>
          <w:tcPr>
            <w:tcW w:w="2070" w:type="dxa"/>
          </w:tcPr>
          <w:p w14:paraId="374C833B">
            <w:pPr>
              <w:jc w:val="center"/>
              <w:rPr>
                <w:rFonts w:hint="eastAsia" w:ascii="仿宋" w:hAnsi="仿宋" w:eastAsia="仿宋" w:cs="仿宋"/>
                <w:b/>
                <w:bCs/>
                <w:color w:val="auto"/>
                <w:sz w:val="24"/>
                <w:szCs w:val="24"/>
                <w:highlight w:val="none"/>
              </w:rPr>
            </w:pPr>
          </w:p>
        </w:tc>
        <w:tc>
          <w:tcPr>
            <w:tcW w:w="2052" w:type="dxa"/>
          </w:tcPr>
          <w:p w14:paraId="1DF8036B">
            <w:pPr>
              <w:jc w:val="center"/>
              <w:rPr>
                <w:rFonts w:hint="eastAsia" w:ascii="仿宋" w:hAnsi="仿宋" w:eastAsia="仿宋" w:cs="仿宋"/>
                <w:b/>
                <w:bCs/>
                <w:color w:val="auto"/>
                <w:sz w:val="24"/>
                <w:szCs w:val="24"/>
                <w:highlight w:val="none"/>
              </w:rPr>
            </w:pPr>
          </w:p>
        </w:tc>
        <w:tc>
          <w:tcPr>
            <w:tcW w:w="2126" w:type="dxa"/>
          </w:tcPr>
          <w:p w14:paraId="1B447AA1">
            <w:pPr>
              <w:jc w:val="center"/>
              <w:rPr>
                <w:rFonts w:hint="eastAsia" w:ascii="仿宋" w:hAnsi="仿宋" w:eastAsia="仿宋" w:cs="仿宋"/>
                <w:b/>
                <w:bCs/>
                <w:color w:val="auto"/>
                <w:sz w:val="24"/>
                <w:szCs w:val="24"/>
                <w:highlight w:val="none"/>
              </w:rPr>
            </w:pPr>
          </w:p>
        </w:tc>
        <w:tc>
          <w:tcPr>
            <w:tcW w:w="1985" w:type="dxa"/>
          </w:tcPr>
          <w:p w14:paraId="2DC73C01">
            <w:pPr>
              <w:jc w:val="center"/>
              <w:rPr>
                <w:rFonts w:hint="eastAsia" w:ascii="仿宋" w:hAnsi="仿宋" w:eastAsia="仿宋" w:cs="仿宋"/>
                <w:b/>
                <w:bCs/>
                <w:color w:val="auto"/>
                <w:sz w:val="24"/>
                <w:szCs w:val="24"/>
                <w:highlight w:val="none"/>
              </w:rPr>
            </w:pPr>
          </w:p>
        </w:tc>
      </w:tr>
    </w:tbl>
    <w:p w14:paraId="49012061">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注：投标人商务条款有差异的，则在此表中列明实际响应的内容提要并加以说明，以便查对。无差异说明表示完全响应。</w:t>
      </w:r>
    </w:p>
    <w:p w14:paraId="3003BD03">
      <w:pPr>
        <w:spacing w:line="360" w:lineRule="auto"/>
        <w:jc w:val="left"/>
        <w:rPr>
          <w:rFonts w:hint="eastAsia" w:ascii="仿宋" w:hAnsi="仿宋" w:eastAsia="仿宋" w:cs="仿宋"/>
          <w:color w:val="auto"/>
          <w:sz w:val="24"/>
          <w:szCs w:val="24"/>
          <w:highlight w:val="none"/>
        </w:rPr>
      </w:pPr>
    </w:p>
    <w:p w14:paraId="5EF2B85F">
      <w:pPr>
        <w:spacing w:line="360" w:lineRule="auto"/>
        <w:jc w:val="left"/>
        <w:rPr>
          <w:rFonts w:hint="eastAsia" w:ascii="仿宋" w:hAnsi="仿宋" w:eastAsia="仿宋" w:cs="仿宋"/>
          <w:color w:val="auto"/>
          <w:sz w:val="24"/>
          <w:szCs w:val="24"/>
          <w:highlight w:val="none"/>
        </w:rPr>
      </w:pPr>
    </w:p>
    <w:p w14:paraId="18D8941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7706624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75E88A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54FA24E3">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300F4448">
      <w:pPr>
        <w:rPr>
          <w:rFonts w:hint="eastAsia" w:ascii="仿宋" w:hAnsi="仿宋" w:eastAsia="仿宋" w:cs="仿宋"/>
          <w:color w:val="auto"/>
          <w:sz w:val="24"/>
          <w:szCs w:val="24"/>
          <w:highlight w:val="none"/>
        </w:rPr>
      </w:pPr>
      <w:r>
        <w:rPr>
          <w:rFonts w:hint="eastAsia" w:ascii="仿宋" w:hAnsi="仿宋" w:eastAsia="仿宋" w:cs="仿宋"/>
          <w:b/>
          <w:bCs/>
          <w:color w:val="auto"/>
          <w:kern w:val="36"/>
          <w:sz w:val="24"/>
          <w:szCs w:val="24"/>
          <w:highlight w:val="none"/>
        </w:rPr>
        <w:br w:type="page"/>
      </w:r>
    </w:p>
    <w:p w14:paraId="5700CD52">
      <w:pPr>
        <w:widowControl/>
        <w:jc w:val="left"/>
        <w:rPr>
          <w:rFonts w:hint="eastAsia" w:ascii="仿宋" w:hAnsi="仿宋" w:eastAsia="仿宋" w:cs="仿宋"/>
          <w:color w:val="auto"/>
          <w:sz w:val="24"/>
          <w:szCs w:val="24"/>
          <w:highlight w:val="none"/>
        </w:rPr>
      </w:pPr>
    </w:p>
    <w:p w14:paraId="171E0C6B">
      <w:pPr>
        <w:tabs>
          <w:tab w:val="center" w:pos="4832"/>
          <w:tab w:val="left" w:pos="7140"/>
        </w:tabs>
        <w:jc w:val="center"/>
        <w:outlineLvl w:val="1"/>
        <w:rPr>
          <w:rFonts w:hint="eastAsia" w:ascii="仿宋" w:hAnsi="仿宋" w:eastAsia="仿宋" w:cs="仿宋"/>
          <w:b/>
          <w:color w:val="auto"/>
          <w:sz w:val="24"/>
          <w:szCs w:val="24"/>
          <w:highlight w:val="none"/>
        </w:rPr>
      </w:pPr>
      <w:bookmarkStart w:id="120" w:name="_Toc110707967"/>
      <w:bookmarkStart w:id="121" w:name="_Toc26164"/>
      <w:bookmarkStart w:id="122" w:name="_Toc2642"/>
      <w:bookmarkStart w:id="123" w:name="_Toc6958"/>
      <w:bookmarkStart w:id="124" w:name="_Toc27420"/>
      <w:bookmarkStart w:id="125" w:name="_Toc109921160"/>
      <w:bookmarkStart w:id="126" w:name="_Toc109941767"/>
      <w:bookmarkStart w:id="127" w:name="_Toc130252617"/>
      <w:r>
        <w:rPr>
          <w:rFonts w:hint="eastAsia" w:ascii="仿宋" w:hAnsi="仿宋" w:eastAsia="仿宋" w:cs="仿宋"/>
          <w:b/>
          <w:color w:val="auto"/>
          <w:sz w:val="24"/>
          <w:szCs w:val="24"/>
          <w:highlight w:val="none"/>
        </w:rPr>
        <w:t>五、技术条款偏离表</w:t>
      </w:r>
      <w:bookmarkEnd w:id="120"/>
      <w:bookmarkEnd w:id="121"/>
      <w:bookmarkEnd w:id="122"/>
      <w:bookmarkEnd w:id="123"/>
      <w:bookmarkEnd w:id="124"/>
      <w:bookmarkEnd w:id="125"/>
      <w:bookmarkEnd w:id="126"/>
      <w:bookmarkEnd w:id="127"/>
    </w:p>
    <w:tbl>
      <w:tblPr>
        <w:tblStyle w:val="38"/>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732E8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3640345F">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070" w:type="dxa"/>
            <w:vAlign w:val="center"/>
          </w:tcPr>
          <w:p w14:paraId="6838F4AE">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052" w:type="dxa"/>
            <w:vAlign w:val="center"/>
          </w:tcPr>
          <w:p w14:paraId="520E867D">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招标文件的技术条款</w:t>
            </w:r>
          </w:p>
        </w:tc>
        <w:tc>
          <w:tcPr>
            <w:tcW w:w="2126" w:type="dxa"/>
            <w:vAlign w:val="center"/>
          </w:tcPr>
          <w:p w14:paraId="3F0CCEE5">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投标文件的技术条款</w:t>
            </w:r>
          </w:p>
        </w:tc>
        <w:tc>
          <w:tcPr>
            <w:tcW w:w="1985" w:type="dxa"/>
            <w:vAlign w:val="center"/>
          </w:tcPr>
          <w:p w14:paraId="5A5D33F0">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661DC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D432912">
            <w:pPr>
              <w:jc w:val="center"/>
              <w:rPr>
                <w:rFonts w:hint="eastAsia" w:ascii="仿宋" w:hAnsi="仿宋" w:eastAsia="仿宋" w:cs="仿宋"/>
                <w:b/>
                <w:bCs/>
                <w:color w:val="auto"/>
                <w:sz w:val="24"/>
                <w:szCs w:val="24"/>
                <w:highlight w:val="none"/>
              </w:rPr>
            </w:pPr>
          </w:p>
        </w:tc>
        <w:tc>
          <w:tcPr>
            <w:tcW w:w="2070" w:type="dxa"/>
          </w:tcPr>
          <w:p w14:paraId="097A5DB8">
            <w:pPr>
              <w:jc w:val="center"/>
              <w:rPr>
                <w:rFonts w:hint="eastAsia" w:ascii="仿宋" w:hAnsi="仿宋" w:eastAsia="仿宋" w:cs="仿宋"/>
                <w:b/>
                <w:bCs/>
                <w:color w:val="auto"/>
                <w:sz w:val="24"/>
                <w:szCs w:val="24"/>
                <w:highlight w:val="none"/>
              </w:rPr>
            </w:pPr>
          </w:p>
        </w:tc>
        <w:tc>
          <w:tcPr>
            <w:tcW w:w="2052" w:type="dxa"/>
          </w:tcPr>
          <w:p w14:paraId="4CF621FE">
            <w:pPr>
              <w:jc w:val="center"/>
              <w:rPr>
                <w:rFonts w:hint="eastAsia" w:ascii="仿宋" w:hAnsi="仿宋" w:eastAsia="仿宋" w:cs="仿宋"/>
                <w:b/>
                <w:bCs/>
                <w:color w:val="auto"/>
                <w:sz w:val="24"/>
                <w:szCs w:val="24"/>
                <w:highlight w:val="none"/>
              </w:rPr>
            </w:pPr>
          </w:p>
        </w:tc>
        <w:tc>
          <w:tcPr>
            <w:tcW w:w="2126" w:type="dxa"/>
          </w:tcPr>
          <w:p w14:paraId="6FC4A5FF">
            <w:pPr>
              <w:jc w:val="center"/>
              <w:rPr>
                <w:rFonts w:hint="eastAsia" w:ascii="仿宋" w:hAnsi="仿宋" w:eastAsia="仿宋" w:cs="仿宋"/>
                <w:b/>
                <w:bCs/>
                <w:color w:val="auto"/>
                <w:sz w:val="24"/>
                <w:szCs w:val="24"/>
                <w:highlight w:val="none"/>
              </w:rPr>
            </w:pPr>
          </w:p>
        </w:tc>
        <w:tc>
          <w:tcPr>
            <w:tcW w:w="1985" w:type="dxa"/>
          </w:tcPr>
          <w:p w14:paraId="6B88D602">
            <w:pPr>
              <w:jc w:val="center"/>
              <w:rPr>
                <w:rFonts w:hint="eastAsia" w:ascii="仿宋" w:hAnsi="仿宋" w:eastAsia="仿宋" w:cs="仿宋"/>
                <w:b/>
                <w:bCs/>
                <w:color w:val="auto"/>
                <w:sz w:val="24"/>
                <w:szCs w:val="24"/>
                <w:highlight w:val="none"/>
              </w:rPr>
            </w:pPr>
          </w:p>
        </w:tc>
      </w:tr>
      <w:tr w14:paraId="45BF6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4EE941D8">
            <w:pPr>
              <w:jc w:val="center"/>
              <w:rPr>
                <w:rFonts w:hint="eastAsia" w:ascii="仿宋" w:hAnsi="仿宋" w:eastAsia="仿宋" w:cs="仿宋"/>
                <w:b/>
                <w:bCs/>
                <w:color w:val="auto"/>
                <w:sz w:val="24"/>
                <w:szCs w:val="24"/>
                <w:highlight w:val="none"/>
              </w:rPr>
            </w:pPr>
          </w:p>
        </w:tc>
        <w:tc>
          <w:tcPr>
            <w:tcW w:w="2070" w:type="dxa"/>
          </w:tcPr>
          <w:p w14:paraId="2BAD935D">
            <w:pPr>
              <w:jc w:val="center"/>
              <w:rPr>
                <w:rFonts w:hint="eastAsia" w:ascii="仿宋" w:hAnsi="仿宋" w:eastAsia="仿宋" w:cs="仿宋"/>
                <w:b/>
                <w:bCs/>
                <w:color w:val="auto"/>
                <w:sz w:val="24"/>
                <w:szCs w:val="24"/>
                <w:highlight w:val="none"/>
              </w:rPr>
            </w:pPr>
          </w:p>
        </w:tc>
        <w:tc>
          <w:tcPr>
            <w:tcW w:w="2052" w:type="dxa"/>
          </w:tcPr>
          <w:p w14:paraId="1DD567B7">
            <w:pPr>
              <w:jc w:val="center"/>
              <w:rPr>
                <w:rFonts w:hint="eastAsia" w:ascii="仿宋" w:hAnsi="仿宋" w:eastAsia="仿宋" w:cs="仿宋"/>
                <w:b/>
                <w:bCs/>
                <w:color w:val="auto"/>
                <w:sz w:val="24"/>
                <w:szCs w:val="24"/>
                <w:highlight w:val="none"/>
              </w:rPr>
            </w:pPr>
          </w:p>
        </w:tc>
        <w:tc>
          <w:tcPr>
            <w:tcW w:w="2126" w:type="dxa"/>
          </w:tcPr>
          <w:p w14:paraId="54BBBB46">
            <w:pPr>
              <w:jc w:val="center"/>
              <w:rPr>
                <w:rFonts w:hint="eastAsia" w:ascii="仿宋" w:hAnsi="仿宋" w:eastAsia="仿宋" w:cs="仿宋"/>
                <w:b/>
                <w:bCs/>
                <w:color w:val="auto"/>
                <w:sz w:val="24"/>
                <w:szCs w:val="24"/>
                <w:highlight w:val="none"/>
              </w:rPr>
            </w:pPr>
          </w:p>
        </w:tc>
        <w:tc>
          <w:tcPr>
            <w:tcW w:w="1985" w:type="dxa"/>
          </w:tcPr>
          <w:p w14:paraId="35FC40E3">
            <w:pPr>
              <w:jc w:val="center"/>
              <w:rPr>
                <w:rFonts w:hint="eastAsia" w:ascii="仿宋" w:hAnsi="仿宋" w:eastAsia="仿宋" w:cs="仿宋"/>
                <w:b/>
                <w:bCs/>
                <w:color w:val="auto"/>
                <w:sz w:val="24"/>
                <w:szCs w:val="24"/>
                <w:highlight w:val="none"/>
              </w:rPr>
            </w:pPr>
          </w:p>
        </w:tc>
      </w:tr>
      <w:tr w14:paraId="03679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64563316">
            <w:pPr>
              <w:jc w:val="center"/>
              <w:rPr>
                <w:rFonts w:hint="eastAsia" w:ascii="仿宋" w:hAnsi="仿宋" w:eastAsia="仿宋" w:cs="仿宋"/>
                <w:b/>
                <w:bCs/>
                <w:color w:val="auto"/>
                <w:sz w:val="24"/>
                <w:szCs w:val="24"/>
                <w:highlight w:val="none"/>
              </w:rPr>
            </w:pPr>
          </w:p>
        </w:tc>
        <w:tc>
          <w:tcPr>
            <w:tcW w:w="2070" w:type="dxa"/>
          </w:tcPr>
          <w:p w14:paraId="764B1A3B">
            <w:pPr>
              <w:jc w:val="center"/>
              <w:rPr>
                <w:rFonts w:hint="eastAsia" w:ascii="仿宋" w:hAnsi="仿宋" w:eastAsia="仿宋" w:cs="仿宋"/>
                <w:b/>
                <w:bCs/>
                <w:color w:val="auto"/>
                <w:sz w:val="24"/>
                <w:szCs w:val="24"/>
                <w:highlight w:val="none"/>
              </w:rPr>
            </w:pPr>
          </w:p>
        </w:tc>
        <w:tc>
          <w:tcPr>
            <w:tcW w:w="2052" w:type="dxa"/>
          </w:tcPr>
          <w:p w14:paraId="5CC0AA24">
            <w:pPr>
              <w:jc w:val="center"/>
              <w:rPr>
                <w:rFonts w:hint="eastAsia" w:ascii="仿宋" w:hAnsi="仿宋" w:eastAsia="仿宋" w:cs="仿宋"/>
                <w:b/>
                <w:bCs/>
                <w:color w:val="auto"/>
                <w:sz w:val="24"/>
                <w:szCs w:val="24"/>
                <w:highlight w:val="none"/>
              </w:rPr>
            </w:pPr>
          </w:p>
        </w:tc>
        <w:tc>
          <w:tcPr>
            <w:tcW w:w="2126" w:type="dxa"/>
          </w:tcPr>
          <w:p w14:paraId="4A5FD38B">
            <w:pPr>
              <w:jc w:val="center"/>
              <w:rPr>
                <w:rFonts w:hint="eastAsia" w:ascii="仿宋" w:hAnsi="仿宋" w:eastAsia="仿宋" w:cs="仿宋"/>
                <w:b/>
                <w:bCs/>
                <w:color w:val="auto"/>
                <w:sz w:val="24"/>
                <w:szCs w:val="24"/>
                <w:highlight w:val="none"/>
              </w:rPr>
            </w:pPr>
          </w:p>
        </w:tc>
        <w:tc>
          <w:tcPr>
            <w:tcW w:w="1985" w:type="dxa"/>
          </w:tcPr>
          <w:p w14:paraId="4EACF583">
            <w:pPr>
              <w:jc w:val="center"/>
              <w:rPr>
                <w:rFonts w:hint="eastAsia" w:ascii="仿宋" w:hAnsi="仿宋" w:eastAsia="仿宋" w:cs="仿宋"/>
                <w:b/>
                <w:bCs/>
                <w:color w:val="auto"/>
                <w:sz w:val="24"/>
                <w:szCs w:val="24"/>
                <w:highlight w:val="none"/>
              </w:rPr>
            </w:pPr>
          </w:p>
        </w:tc>
      </w:tr>
      <w:tr w14:paraId="630AE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6B0C7DA4">
            <w:pPr>
              <w:jc w:val="center"/>
              <w:rPr>
                <w:rFonts w:hint="eastAsia" w:ascii="仿宋" w:hAnsi="仿宋" w:eastAsia="仿宋" w:cs="仿宋"/>
                <w:b/>
                <w:bCs/>
                <w:color w:val="auto"/>
                <w:sz w:val="24"/>
                <w:szCs w:val="24"/>
                <w:highlight w:val="none"/>
              </w:rPr>
            </w:pPr>
          </w:p>
        </w:tc>
        <w:tc>
          <w:tcPr>
            <w:tcW w:w="2070" w:type="dxa"/>
          </w:tcPr>
          <w:p w14:paraId="0DA7AD72">
            <w:pPr>
              <w:jc w:val="center"/>
              <w:rPr>
                <w:rFonts w:hint="eastAsia" w:ascii="仿宋" w:hAnsi="仿宋" w:eastAsia="仿宋" w:cs="仿宋"/>
                <w:b/>
                <w:bCs/>
                <w:color w:val="auto"/>
                <w:sz w:val="24"/>
                <w:szCs w:val="24"/>
                <w:highlight w:val="none"/>
              </w:rPr>
            </w:pPr>
          </w:p>
        </w:tc>
        <w:tc>
          <w:tcPr>
            <w:tcW w:w="2052" w:type="dxa"/>
          </w:tcPr>
          <w:p w14:paraId="54E4C0B9">
            <w:pPr>
              <w:jc w:val="center"/>
              <w:rPr>
                <w:rFonts w:hint="eastAsia" w:ascii="仿宋" w:hAnsi="仿宋" w:eastAsia="仿宋" w:cs="仿宋"/>
                <w:b/>
                <w:bCs/>
                <w:color w:val="auto"/>
                <w:sz w:val="24"/>
                <w:szCs w:val="24"/>
                <w:highlight w:val="none"/>
              </w:rPr>
            </w:pPr>
          </w:p>
        </w:tc>
        <w:tc>
          <w:tcPr>
            <w:tcW w:w="2126" w:type="dxa"/>
          </w:tcPr>
          <w:p w14:paraId="2E4D53FA">
            <w:pPr>
              <w:jc w:val="center"/>
              <w:rPr>
                <w:rFonts w:hint="eastAsia" w:ascii="仿宋" w:hAnsi="仿宋" w:eastAsia="仿宋" w:cs="仿宋"/>
                <w:b/>
                <w:bCs/>
                <w:color w:val="auto"/>
                <w:sz w:val="24"/>
                <w:szCs w:val="24"/>
                <w:highlight w:val="none"/>
              </w:rPr>
            </w:pPr>
          </w:p>
        </w:tc>
        <w:tc>
          <w:tcPr>
            <w:tcW w:w="1985" w:type="dxa"/>
          </w:tcPr>
          <w:p w14:paraId="1DBC592F">
            <w:pPr>
              <w:jc w:val="center"/>
              <w:rPr>
                <w:rFonts w:hint="eastAsia" w:ascii="仿宋" w:hAnsi="仿宋" w:eastAsia="仿宋" w:cs="仿宋"/>
                <w:b/>
                <w:bCs/>
                <w:color w:val="auto"/>
                <w:sz w:val="24"/>
                <w:szCs w:val="24"/>
                <w:highlight w:val="none"/>
              </w:rPr>
            </w:pPr>
          </w:p>
        </w:tc>
      </w:tr>
      <w:tr w14:paraId="2B5BA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5A2584E5">
            <w:pPr>
              <w:jc w:val="center"/>
              <w:rPr>
                <w:rFonts w:hint="eastAsia" w:ascii="仿宋" w:hAnsi="仿宋" w:eastAsia="仿宋" w:cs="仿宋"/>
                <w:b/>
                <w:bCs/>
                <w:color w:val="auto"/>
                <w:sz w:val="24"/>
                <w:szCs w:val="24"/>
                <w:highlight w:val="none"/>
              </w:rPr>
            </w:pPr>
          </w:p>
        </w:tc>
        <w:tc>
          <w:tcPr>
            <w:tcW w:w="2070" w:type="dxa"/>
          </w:tcPr>
          <w:p w14:paraId="34366E97">
            <w:pPr>
              <w:jc w:val="center"/>
              <w:rPr>
                <w:rFonts w:hint="eastAsia" w:ascii="仿宋" w:hAnsi="仿宋" w:eastAsia="仿宋" w:cs="仿宋"/>
                <w:b/>
                <w:bCs/>
                <w:color w:val="auto"/>
                <w:sz w:val="24"/>
                <w:szCs w:val="24"/>
                <w:highlight w:val="none"/>
              </w:rPr>
            </w:pPr>
          </w:p>
        </w:tc>
        <w:tc>
          <w:tcPr>
            <w:tcW w:w="2052" w:type="dxa"/>
          </w:tcPr>
          <w:p w14:paraId="4A996F5B">
            <w:pPr>
              <w:jc w:val="center"/>
              <w:rPr>
                <w:rFonts w:hint="eastAsia" w:ascii="仿宋" w:hAnsi="仿宋" w:eastAsia="仿宋" w:cs="仿宋"/>
                <w:b/>
                <w:bCs/>
                <w:color w:val="auto"/>
                <w:sz w:val="24"/>
                <w:szCs w:val="24"/>
                <w:highlight w:val="none"/>
              </w:rPr>
            </w:pPr>
          </w:p>
        </w:tc>
        <w:tc>
          <w:tcPr>
            <w:tcW w:w="2126" w:type="dxa"/>
          </w:tcPr>
          <w:p w14:paraId="7F17B445">
            <w:pPr>
              <w:jc w:val="center"/>
              <w:rPr>
                <w:rFonts w:hint="eastAsia" w:ascii="仿宋" w:hAnsi="仿宋" w:eastAsia="仿宋" w:cs="仿宋"/>
                <w:b/>
                <w:bCs/>
                <w:color w:val="auto"/>
                <w:sz w:val="24"/>
                <w:szCs w:val="24"/>
                <w:highlight w:val="none"/>
              </w:rPr>
            </w:pPr>
          </w:p>
        </w:tc>
        <w:tc>
          <w:tcPr>
            <w:tcW w:w="1985" w:type="dxa"/>
          </w:tcPr>
          <w:p w14:paraId="3D5DEF29">
            <w:pPr>
              <w:jc w:val="center"/>
              <w:rPr>
                <w:rFonts w:hint="eastAsia" w:ascii="仿宋" w:hAnsi="仿宋" w:eastAsia="仿宋" w:cs="仿宋"/>
                <w:b/>
                <w:bCs/>
                <w:color w:val="auto"/>
                <w:sz w:val="24"/>
                <w:szCs w:val="24"/>
                <w:highlight w:val="none"/>
              </w:rPr>
            </w:pPr>
          </w:p>
        </w:tc>
      </w:tr>
    </w:tbl>
    <w:p w14:paraId="300AB9CE">
      <w:pPr>
        <w:rPr>
          <w:rFonts w:hint="eastAsia" w:ascii="仿宋" w:hAnsi="仿宋" w:eastAsia="仿宋" w:cs="仿宋"/>
          <w:color w:val="auto"/>
          <w:highlight w:val="none"/>
        </w:rPr>
      </w:pPr>
    </w:p>
    <w:p w14:paraId="487C44D8">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注：投标人技术条款有差异的，则在此表中列明实际响应的内容提要并加以说明，以便查对。无差异说明表示完全响应。</w:t>
      </w:r>
    </w:p>
    <w:p w14:paraId="23E59122">
      <w:pPr>
        <w:spacing w:line="360" w:lineRule="auto"/>
        <w:ind w:firstLine="475" w:firstLineChars="198"/>
        <w:jc w:val="left"/>
        <w:rPr>
          <w:rFonts w:hint="eastAsia" w:ascii="仿宋" w:hAnsi="仿宋" w:eastAsia="仿宋" w:cs="仿宋"/>
          <w:color w:val="auto"/>
          <w:sz w:val="24"/>
          <w:szCs w:val="24"/>
          <w:highlight w:val="none"/>
        </w:rPr>
      </w:pPr>
    </w:p>
    <w:p w14:paraId="2024D39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B4CEB1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BA73140">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41FBD57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C9F366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5B22A247">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00EA6B4A">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bCs/>
          <w:color w:val="auto"/>
          <w:kern w:val="36"/>
          <w:sz w:val="24"/>
          <w:szCs w:val="24"/>
          <w:highlight w:val="none"/>
        </w:rPr>
        <w:br w:type="page"/>
      </w:r>
      <w:bookmarkStart w:id="128" w:name="_Toc109921162"/>
      <w:bookmarkStart w:id="129" w:name="_Toc110707969"/>
      <w:bookmarkStart w:id="130" w:name="_Toc130252619"/>
      <w:bookmarkStart w:id="131" w:name="_Toc5075"/>
      <w:bookmarkStart w:id="132" w:name="_Toc2726"/>
      <w:bookmarkStart w:id="133" w:name="_Toc109941769"/>
      <w:bookmarkStart w:id="134" w:name="_Toc25525"/>
      <w:bookmarkStart w:id="135" w:name="_Toc29249"/>
      <w:r>
        <w:rPr>
          <w:rFonts w:hint="eastAsia" w:ascii="仿宋" w:hAnsi="仿宋" w:eastAsia="仿宋" w:cs="仿宋"/>
          <w:b/>
          <w:color w:val="auto"/>
          <w:sz w:val="24"/>
          <w:szCs w:val="24"/>
          <w:highlight w:val="none"/>
        </w:rPr>
        <w:t>六、法定代表人身份证明书</w:t>
      </w:r>
      <w:bookmarkEnd w:id="128"/>
      <w:bookmarkEnd w:id="129"/>
      <w:bookmarkEnd w:id="130"/>
      <w:bookmarkEnd w:id="131"/>
      <w:bookmarkEnd w:id="132"/>
      <w:bookmarkEnd w:id="133"/>
      <w:bookmarkEnd w:id="134"/>
      <w:bookmarkEnd w:id="135"/>
    </w:p>
    <w:p w14:paraId="0B1BF9B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A8092C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 标 人：</w:t>
      </w:r>
      <w:r>
        <w:rPr>
          <w:rFonts w:hint="eastAsia" w:ascii="仿宋" w:hAnsi="仿宋" w:eastAsia="仿宋" w:cs="仿宋"/>
          <w:color w:val="auto"/>
          <w:kern w:val="0"/>
          <w:sz w:val="24"/>
          <w:szCs w:val="24"/>
          <w:highlight w:val="none"/>
          <w:u w:val="single"/>
        </w:rPr>
        <w:t xml:space="preserve">                              </w:t>
      </w:r>
    </w:p>
    <w:p w14:paraId="48BBD02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单位性质：</w:t>
      </w:r>
      <w:r>
        <w:rPr>
          <w:rFonts w:hint="eastAsia" w:ascii="仿宋" w:hAnsi="仿宋" w:eastAsia="仿宋" w:cs="仿宋"/>
          <w:color w:val="auto"/>
          <w:kern w:val="0"/>
          <w:sz w:val="24"/>
          <w:szCs w:val="24"/>
          <w:highlight w:val="none"/>
          <w:u w:val="single"/>
        </w:rPr>
        <w:t xml:space="preserve">                              </w:t>
      </w:r>
    </w:p>
    <w:p w14:paraId="277ABE6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    址：</w:t>
      </w:r>
      <w:r>
        <w:rPr>
          <w:rFonts w:hint="eastAsia" w:ascii="仿宋" w:hAnsi="仿宋" w:eastAsia="仿宋" w:cs="仿宋"/>
          <w:color w:val="auto"/>
          <w:kern w:val="0"/>
          <w:sz w:val="24"/>
          <w:szCs w:val="24"/>
          <w:highlight w:val="none"/>
          <w:u w:val="single"/>
        </w:rPr>
        <w:t xml:space="preserve">                              </w:t>
      </w:r>
    </w:p>
    <w:p w14:paraId="085AE850">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成立时间：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w:t>
      </w:r>
    </w:p>
    <w:p w14:paraId="45100C6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经营期限：</w:t>
      </w:r>
      <w:r>
        <w:rPr>
          <w:rFonts w:hint="eastAsia" w:ascii="仿宋" w:hAnsi="仿宋" w:eastAsia="仿宋" w:cs="仿宋"/>
          <w:color w:val="auto"/>
          <w:kern w:val="0"/>
          <w:sz w:val="24"/>
          <w:szCs w:val="24"/>
          <w:highlight w:val="none"/>
          <w:u w:val="single"/>
        </w:rPr>
        <w:t xml:space="preserve">                              </w:t>
      </w:r>
    </w:p>
    <w:p w14:paraId="1B3AEE8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2ECDAE6">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职务：</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（投标人名称）的法定代表人。</w:t>
      </w:r>
    </w:p>
    <w:p w14:paraId="0B420275">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特此证明。</w:t>
      </w:r>
    </w:p>
    <w:p w14:paraId="433D4DB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BD8C5CA">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附：法定代表人身份证明</w:t>
      </w:r>
    </w:p>
    <w:p w14:paraId="705BC3D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tbl>
      <w:tblPr>
        <w:tblStyle w:val="38"/>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0E89B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51EEA739">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法定代表人身份证复印件（正面）</w:t>
            </w:r>
          </w:p>
        </w:tc>
      </w:tr>
    </w:tbl>
    <w:p w14:paraId="63E2D4A0">
      <w:pPr>
        <w:rPr>
          <w:rFonts w:hint="eastAsia" w:ascii="仿宋" w:hAnsi="仿宋" w:eastAsia="仿宋" w:cs="仿宋"/>
          <w:vanish/>
          <w:color w:val="auto"/>
          <w:highlight w:val="none"/>
        </w:rPr>
      </w:pPr>
    </w:p>
    <w:tbl>
      <w:tblPr>
        <w:tblStyle w:val="38"/>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5118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78F25EAA">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法定代表人身份证复印件（反面）</w:t>
            </w:r>
          </w:p>
        </w:tc>
      </w:tr>
    </w:tbl>
    <w:p w14:paraId="1D20603A">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3B64D9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21070C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7F582F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082923E0">
      <w:pPr>
        <w:widowControl/>
        <w:shd w:val="clear" w:color="auto" w:fill="FFFFFF"/>
        <w:wordWrap w:val="0"/>
        <w:snapToGrid w:val="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日 </w:t>
      </w:r>
    </w:p>
    <w:p w14:paraId="6808F52F">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11ABF2D5">
      <w:pPr>
        <w:tabs>
          <w:tab w:val="center" w:pos="4832"/>
          <w:tab w:val="left" w:pos="7140"/>
        </w:tabs>
        <w:jc w:val="center"/>
        <w:outlineLvl w:val="1"/>
        <w:rPr>
          <w:rFonts w:hint="eastAsia" w:ascii="仿宋" w:hAnsi="仿宋" w:eastAsia="仿宋" w:cs="仿宋"/>
          <w:b/>
          <w:color w:val="auto"/>
          <w:sz w:val="24"/>
          <w:szCs w:val="24"/>
          <w:highlight w:val="none"/>
        </w:rPr>
      </w:pPr>
      <w:bookmarkStart w:id="136" w:name="_Toc110707970"/>
      <w:bookmarkStart w:id="137" w:name="_Toc109941770"/>
      <w:bookmarkStart w:id="138" w:name="_Toc29077"/>
      <w:bookmarkStart w:id="139" w:name="_Toc109921163"/>
      <w:bookmarkStart w:id="140" w:name="_Toc27079"/>
      <w:bookmarkStart w:id="141" w:name="_Toc130252620"/>
      <w:bookmarkStart w:id="142" w:name="_Toc2170"/>
      <w:bookmarkStart w:id="143" w:name="_Toc19364"/>
      <w:r>
        <w:rPr>
          <w:rFonts w:hint="eastAsia" w:ascii="仿宋" w:hAnsi="仿宋" w:eastAsia="仿宋" w:cs="仿宋"/>
          <w:b/>
          <w:color w:val="auto"/>
          <w:sz w:val="24"/>
          <w:szCs w:val="24"/>
          <w:highlight w:val="none"/>
        </w:rPr>
        <w:t>七、法定代表人授权委托书</w:t>
      </w:r>
      <w:bookmarkEnd w:id="136"/>
      <w:bookmarkEnd w:id="137"/>
      <w:bookmarkEnd w:id="138"/>
      <w:bookmarkEnd w:id="139"/>
      <w:bookmarkEnd w:id="140"/>
      <w:bookmarkEnd w:id="141"/>
      <w:bookmarkEnd w:id="142"/>
      <w:bookmarkEnd w:id="143"/>
    </w:p>
    <w:p w14:paraId="5AA250C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4BEAF2C">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（投标人名称）的法定代表人，现拟派我单位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（姓名）为我方委托代理人。委托代理人根据授权，就</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w:t>
      </w:r>
      <w:r>
        <w:rPr>
          <w:rFonts w:hint="eastAsia" w:ascii="仿宋" w:hAnsi="仿宋" w:eastAsia="仿宋" w:cs="仿宋"/>
          <w:color w:val="auto"/>
          <w:kern w:val="0"/>
          <w:sz w:val="24"/>
          <w:szCs w:val="24"/>
          <w:highlight w:val="none"/>
        </w:rPr>
        <w:t>名称）的投标，以本公司名义处理一切与之有关的事务，其法律后果由我方承担。</w:t>
      </w:r>
    </w:p>
    <w:p w14:paraId="5043522E">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代理人：</w:t>
      </w:r>
      <w:r>
        <w:rPr>
          <w:rFonts w:hint="eastAsia" w:ascii="仿宋" w:hAnsi="仿宋" w:eastAsia="仿宋" w:cs="仿宋"/>
          <w:i/>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年龄：</w:t>
      </w:r>
      <w:r>
        <w:rPr>
          <w:rFonts w:hint="eastAsia" w:ascii="仿宋" w:hAnsi="仿宋" w:eastAsia="仿宋" w:cs="仿宋"/>
          <w:color w:val="auto"/>
          <w:kern w:val="0"/>
          <w:sz w:val="24"/>
          <w:szCs w:val="24"/>
          <w:highlight w:val="none"/>
          <w:u w:val="single"/>
        </w:rPr>
        <w:t xml:space="preserve">                    </w:t>
      </w:r>
    </w:p>
    <w:p w14:paraId="4E1FBED6">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  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部门：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职务：</w:t>
      </w:r>
      <w:r>
        <w:rPr>
          <w:rFonts w:hint="eastAsia" w:ascii="仿宋" w:hAnsi="仿宋" w:eastAsia="仿宋" w:cs="仿宋"/>
          <w:color w:val="auto"/>
          <w:kern w:val="0"/>
          <w:sz w:val="24"/>
          <w:szCs w:val="24"/>
          <w:highlight w:val="none"/>
          <w:u w:val="single"/>
        </w:rPr>
        <w:t xml:space="preserve">                    </w:t>
      </w:r>
    </w:p>
    <w:p w14:paraId="61DBD91B">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代理人无转委权，特此申明。</w:t>
      </w:r>
    </w:p>
    <w:p w14:paraId="16DCAAB5">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p>
    <w:p w14:paraId="374D81AA">
      <w:pPr>
        <w:widowControl/>
        <w:shd w:val="clear" w:color="auto" w:fill="FFFFFF"/>
        <w:snapToGrid w:val="0"/>
        <w:spacing w:line="384"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附：委托代理人身份证明。</w:t>
      </w:r>
    </w:p>
    <w:tbl>
      <w:tblPr>
        <w:tblStyle w:val="38"/>
        <w:tblW w:w="3969" w:type="dxa"/>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tblGrid>
      <w:tr w14:paraId="45C4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exact"/>
        </w:trPr>
        <w:tc>
          <w:tcPr>
            <w:tcW w:w="3969" w:type="dxa"/>
            <w:vAlign w:val="center"/>
          </w:tcPr>
          <w:p w14:paraId="4B9C522D">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委托代理人身份证复印件（正面）</w:t>
            </w:r>
          </w:p>
        </w:tc>
      </w:tr>
    </w:tbl>
    <w:p w14:paraId="6174F02A">
      <w:pPr>
        <w:rPr>
          <w:rFonts w:hint="eastAsia" w:ascii="仿宋" w:hAnsi="仿宋" w:eastAsia="仿宋" w:cs="仿宋"/>
          <w:vanish/>
          <w:color w:val="auto"/>
          <w:highlight w:val="none"/>
        </w:rPr>
      </w:pPr>
    </w:p>
    <w:tbl>
      <w:tblPr>
        <w:tblStyle w:val="38"/>
        <w:tblpPr w:leftFromText="180" w:rightFromText="180" w:vertAnchor="text" w:horzAnchor="margin" w:tblpXSpec="right" w:tblpY="-2446"/>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5B376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23C0C667">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委托代理人身份证复印件（反面）</w:t>
            </w:r>
          </w:p>
        </w:tc>
      </w:tr>
    </w:tbl>
    <w:p w14:paraId="61126C2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6252EB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160C15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8C68E1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686D9212">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212130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0E3F6C39">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5F70394F">
      <w:pPr>
        <w:rPr>
          <w:rFonts w:hint="eastAsia" w:ascii="仿宋" w:hAnsi="仿宋" w:eastAsia="仿宋" w:cs="仿宋"/>
          <w:b/>
          <w:color w:val="auto"/>
          <w:sz w:val="24"/>
          <w:szCs w:val="24"/>
          <w:highlight w:val="none"/>
        </w:rPr>
      </w:pPr>
      <w:bookmarkStart w:id="144" w:name="_Toc110707971"/>
      <w:bookmarkStart w:id="145" w:name="_Toc109941771"/>
      <w:bookmarkStart w:id="146" w:name="_Toc109921164"/>
      <w:bookmarkStart w:id="147" w:name="_Toc130252621"/>
      <w:bookmarkStart w:id="148" w:name="_Toc25783"/>
      <w:bookmarkStart w:id="149" w:name="_Toc29422"/>
      <w:bookmarkStart w:id="150" w:name="_Toc358451723"/>
      <w:r>
        <w:rPr>
          <w:rFonts w:hint="eastAsia" w:ascii="仿宋" w:hAnsi="仿宋" w:eastAsia="仿宋" w:cs="仿宋"/>
          <w:b/>
          <w:color w:val="auto"/>
          <w:sz w:val="24"/>
          <w:szCs w:val="24"/>
          <w:highlight w:val="none"/>
        </w:rPr>
        <w:br w:type="page"/>
      </w:r>
    </w:p>
    <w:p w14:paraId="0F2AB068">
      <w:pPr>
        <w:tabs>
          <w:tab w:val="center" w:pos="4832"/>
          <w:tab w:val="left" w:pos="7140"/>
        </w:tabs>
        <w:jc w:val="center"/>
        <w:outlineLvl w:val="1"/>
        <w:rPr>
          <w:rFonts w:hint="eastAsia" w:ascii="仿宋" w:hAnsi="仿宋" w:eastAsia="仿宋" w:cs="仿宋"/>
          <w:b/>
          <w:color w:val="auto"/>
          <w:sz w:val="24"/>
          <w:szCs w:val="24"/>
          <w:highlight w:val="none"/>
        </w:rPr>
      </w:pPr>
      <w:bookmarkStart w:id="151" w:name="_Toc29423"/>
      <w:bookmarkStart w:id="152" w:name="_Toc5003"/>
      <w:r>
        <w:rPr>
          <w:rFonts w:hint="eastAsia" w:ascii="仿宋" w:hAnsi="仿宋" w:eastAsia="仿宋" w:cs="仿宋"/>
          <w:b/>
          <w:color w:val="auto"/>
          <w:sz w:val="24"/>
          <w:szCs w:val="24"/>
          <w:highlight w:val="none"/>
        </w:rPr>
        <w:t>八、</w:t>
      </w:r>
      <w:bookmarkEnd w:id="144"/>
      <w:bookmarkEnd w:id="145"/>
      <w:bookmarkEnd w:id="146"/>
      <w:r>
        <w:rPr>
          <w:rFonts w:hint="eastAsia" w:ascii="仿宋" w:hAnsi="仿宋" w:eastAsia="仿宋" w:cs="仿宋"/>
          <w:b/>
          <w:bCs/>
          <w:color w:val="auto"/>
          <w:sz w:val="24"/>
          <w:szCs w:val="24"/>
          <w:highlight w:val="none"/>
        </w:rPr>
        <w:t>投标人资格条件证明材料</w:t>
      </w:r>
      <w:bookmarkEnd w:id="147"/>
      <w:bookmarkEnd w:id="148"/>
      <w:bookmarkEnd w:id="149"/>
      <w:bookmarkEnd w:id="151"/>
      <w:bookmarkEnd w:id="152"/>
    </w:p>
    <w:p w14:paraId="733115E0">
      <w:pPr>
        <w:rPr>
          <w:rFonts w:hint="eastAsia" w:ascii="仿宋" w:hAnsi="仿宋" w:eastAsia="仿宋" w:cs="仿宋"/>
          <w:color w:val="auto"/>
          <w:highlight w:val="none"/>
        </w:rPr>
      </w:pPr>
    </w:p>
    <w:tbl>
      <w:tblPr>
        <w:tblStyle w:val="38"/>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75C3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56DC35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投标人名称</w:t>
            </w:r>
          </w:p>
        </w:tc>
        <w:tc>
          <w:tcPr>
            <w:tcW w:w="7300" w:type="dxa"/>
            <w:gridSpan w:val="3"/>
            <w:vAlign w:val="center"/>
          </w:tcPr>
          <w:p w14:paraId="09B435E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r>
      <w:tr w14:paraId="4293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EAE384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注册地址</w:t>
            </w:r>
          </w:p>
        </w:tc>
        <w:tc>
          <w:tcPr>
            <w:tcW w:w="3165" w:type="dxa"/>
            <w:vAlign w:val="center"/>
          </w:tcPr>
          <w:p w14:paraId="178D7B0A">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6552EF25">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邮政编码</w:t>
            </w:r>
          </w:p>
        </w:tc>
        <w:tc>
          <w:tcPr>
            <w:tcW w:w="2140" w:type="dxa"/>
            <w:vAlign w:val="center"/>
          </w:tcPr>
          <w:p w14:paraId="3A56D532">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AA17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EF5494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成立时间</w:t>
            </w:r>
          </w:p>
        </w:tc>
        <w:tc>
          <w:tcPr>
            <w:tcW w:w="3165" w:type="dxa"/>
            <w:vAlign w:val="center"/>
          </w:tcPr>
          <w:p w14:paraId="7310E2F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07717CF3">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企业性质</w:t>
            </w:r>
          </w:p>
        </w:tc>
        <w:tc>
          <w:tcPr>
            <w:tcW w:w="2140" w:type="dxa"/>
            <w:vAlign w:val="center"/>
          </w:tcPr>
          <w:p w14:paraId="7D8E7343">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1380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ADF4A4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营业执照号</w:t>
            </w:r>
          </w:p>
        </w:tc>
        <w:tc>
          <w:tcPr>
            <w:tcW w:w="3165" w:type="dxa"/>
            <w:vAlign w:val="center"/>
          </w:tcPr>
          <w:p w14:paraId="0BBB4D3E">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6B191D5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注册资金</w:t>
            </w:r>
          </w:p>
        </w:tc>
        <w:tc>
          <w:tcPr>
            <w:tcW w:w="2140" w:type="dxa"/>
            <w:vAlign w:val="center"/>
          </w:tcPr>
          <w:p w14:paraId="1B3B191F">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3055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B866626">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法定代表人</w:t>
            </w:r>
          </w:p>
        </w:tc>
        <w:tc>
          <w:tcPr>
            <w:tcW w:w="3165" w:type="dxa"/>
            <w:vAlign w:val="center"/>
          </w:tcPr>
          <w:p w14:paraId="547E960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211389F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6E013371">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550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674E5BA">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联系人</w:t>
            </w:r>
          </w:p>
        </w:tc>
        <w:tc>
          <w:tcPr>
            <w:tcW w:w="3165" w:type="dxa"/>
            <w:vAlign w:val="center"/>
          </w:tcPr>
          <w:p w14:paraId="2BE3327C">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57C1A1EC">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59422F3F">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7027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70B76EF">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传真</w:t>
            </w:r>
          </w:p>
        </w:tc>
        <w:tc>
          <w:tcPr>
            <w:tcW w:w="3165" w:type="dxa"/>
            <w:vAlign w:val="center"/>
          </w:tcPr>
          <w:p w14:paraId="5D63EE7F">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15B899A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网址</w:t>
            </w:r>
          </w:p>
        </w:tc>
        <w:tc>
          <w:tcPr>
            <w:tcW w:w="2140" w:type="dxa"/>
            <w:vAlign w:val="center"/>
          </w:tcPr>
          <w:p w14:paraId="055FBBBE">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658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986197E">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开户银行</w:t>
            </w:r>
          </w:p>
        </w:tc>
        <w:tc>
          <w:tcPr>
            <w:tcW w:w="3165" w:type="dxa"/>
            <w:vAlign w:val="center"/>
          </w:tcPr>
          <w:p w14:paraId="0ABF32B3">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3238DDA3">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银行帐号</w:t>
            </w:r>
          </w:p>
        </w:tc>
        <w:tc>
          <w:tcPr>
            <w:tcW w:w="2140" w:type="dxa"/>
            <w:vAlign w:val="center"/>
          </w:tcPr>
          <w:p w14:paraId="06F6CDDE">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240DD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77B1564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职工概况</w:t>
            </w:r>
          </w:p>
        </w:tc>
        <w:tc>
          <w:tcPr>
            <w:tcW w:w="7300" w:type="dxa"/>
            <w:gridSpan w:val="3"/>
            <w:vAlign w:val="center"/>
          </w:tcPr>
          <w:p w14:paraId="31B547CE">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888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79E3299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经营范围</w:t>
            </w:r>
          </w:p>
        </w:tc>
        <w:tc>
          <w:tcPr>
            <w:tcW w:w="7300" w:type="dxa"/>
            <w:gridSpan w:val="3"/>
            <w:vAlign w:val="center"/>
          </w:tcPr>
          <w:p w14:paraId="290FF28D">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1013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4DFCE20">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关联单位</w:t>
            </w:r>
          </w:p>
          <w:p w14:paraId="71D1E523">
            <w:pPr>
              <w:autoSpaceDE w:val="0"/>
              <w:autoSpaceDN w:val="0"/>
              <w:adjustRightInd w:val="0"/>
              <w:snapToGrid w:val="0"/>
              <w:spacing w:line="520" w:lineRule="exact"/>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 w:val="24"/>
                <w:szCs w:val="24"/>
                <w:highlight w:val="none"/>
              </w:rPr>
              <w:t>（如有）</w:t>
            </w:r>
          </w:p>
        </w:tc>
        <w:tc>
          <w:tcPr>
            <w:tcW w:w="7300" w:type="dxa"/>
            <w:gridSpan w:val="3"/>
            <w:vAlign w:val="center"/>
          </w:tcPr>
          <w:p w14:paraId="059EB111">
            <w:pPr>
              <w:autoSpaceDE w:val="0"/>
              <w:autoSpaceDN w:val="0"/>
              <w:adjustRightInd w:val="0"/>
              <w:snapToGrid w:val="0"/>
              <w:spacing w:line="520" w:lineRule="exact"/>
              <w:rPr>
                <w:rFonts w:hint="eastAsia" w:ascii="仿宋" w:hAnsi="仿宋" w:eastAsia="仿宋" w:cs="仿宋"/>
                <w:color w:val="auto"/>
                <w:kern w:val="0"/>
                <w:sz w:val="24"/>
                <w:szCs w:val="24"/>
                <w:highlight w:val="none"/>
              </w:rPr>
            </w:pPr>
          </w:p>
          <w:p w14:paraId="5A92BFFF">
            <w:pPr>
              <w:autoSpaceDE w:val="0"/>
              <w:autoSpaceDN w:val="0"/>
              <w:adjustRightInd w:val="0"/>
              <w:snapToGrid w:val="0"/>
              <w:spacing w:line="520" w:lineRule="exact"/>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Cs w:val="21"/>
                <w:highlight w:val="none"/>
              </w:rPr>
              <w:t>注：此处关联单位指单位负责人为同一人或者存在直接控股、管理关系的不同单位。</w:t>
            </w:r>
          </w:p>
        </w:tc>
      </w:tr>
    </w:tbl>
    <w:p w14:paraId="3144D186">
      <w:pPr>
        <w:spacing w:line="360" w:lineRule="auto"/>
        <w:jc w:val="left"/>
        <w:rPr>
          <w:rFonts w:hint="eastAsia" w:ascii="仿宋" w:hAnsi="仿宋" w:eastAsia="仿宋" w:cs="仿宋"/>
          <w:color w:val="auto"/>
          <w:sz w:val="24"/>
          <w:szCs w:val="24"/>
          <w:highlight w:val="none"/>
        </w:rPr>
      </w:pPr>
    </w:p>
    <w:p w14:paraId="423ECF08">
      <w:pPr>
        <w:spacing w:line="360" w:lineRule="auto"/>
        <w:jc w:val="center"/>
        <w:outlineLvl w:val="1"/>
        <w:rPr>
          <w:rFonts w:hint="eastAsia" w:ascii="仿宋" w:hAnsi="仿宋" w:eastAsia="仿宋" w:cs="仿宋"/>
          <w:b/>
          <w:color w:val="auto"/>
          <w:sz w:val="24"/>
          <w:szCs w:val="24"/>
          <w:highlight w:val="none"/>
        </w:rPr>
      </w:pPr>
      <w:bookmarkStart w:id="153" w:name="_Toc19961"/>
      <w:bookmarkStart w:id="154" w:name="_Toc130252623"/>
      <w:bookmarkStart w:id="155" w:name="_Toc13140"/>
      <w:bookmarkStart w:id="156" w:name="_Toc643"/>
      <w:bookmarkStart w:id="157" w:name="_Toc141050516"/>
      <w:bookmarkStart w:id="158" w:name="_Toc24317"/>
      <w:bookmarkStart w:id="159" w:name="_Toc30664"/>
      <w:bookmarkStart w:id="160" w:name="_Toc29380"/>
      <w:bookmarkStart w:id="161" w:name="_Toc18158"/>
      <w:bookmarkStart w:id="162" w:name="_Toc23897"/>
      <w:bookmarkStart w:id="163" w:name="_Toc5144"/>
      <w:bookmarkStart w:id="164" w:name="_Toc11980"/>
      <w:bookmarkStart w:id="165" w:name="_Toc128476879"/>
      <w:bookmarkStart w:id="166" w:name="_Toc113901850"/>
      <w:bookmarkStart w:id="167" w:name="_Toc4679"/>
      <w:bookmarkStart w:id="168" w:name="_Toc14695"/>
      <w:bookmarkStart w:id="169" w:name="_Toc31943"/>
      <w:bookmarkStart w:id="170" w:name="_Toc13628"/>
      <w:bookmarkStart w:id="171" w:name="_Toc28034"/>
      <w:bookmarkStart w:id="172" w:name="_Toc7702"/>
      <w:r>
        <w:rPr>
          <w:rFonts w:hint="eastAsia" w:ascii="仿宋" w:hAnsi="仿宋" w:eastAsia="仿宋" w:cs="仿宋"/>
          <w:color w:val="auto"/>
          <w:sz w:val="24"/>
          <w:szCs w:val="24"/>
          <w:highlight w:val="none"/>
        </w:rPr>
        <w:br w:type="page"/>
      </w:r>
      <w:bookmarkStart w:id="173" w:name="_Toc15903"/>
      <w:bookmarkStart w:id="174" w:name="_Toc23206"/>
      <w:bookmarkStart w:id="175" w:name="_Toc26222"/>
      <w:bookmarkStart w:id="176" w:name="_Toc130252622"/>
      <w:bookmarkStart w:id="177" w:name="_Toc29907"/>
      <w:bookmarkStart w:id="178" w:name="_Toc22107"/>
      <w:bookmarkStart w:id="179" w:name="_Toc29449"/>
      <w:bookmarkStart w:id="180" w:name="_Toc113901849"/>
      <w:bookmarkStart w:id="181" w:name="_Toc5302"/>
      <w:bookmarkStart w:id="182" w:name="_Toc7909"/>
      <w:bookmarkStart w:id="183" w:name="_Toc141050515"/>
      <w:bookmarkStart w:id="184" w:name="_Toc128476878"/>
      <w:bookmarkStart w:id="185" w:name="_Toc2553"/>
      <w:bookmarkStart w:id="186" w:name="_Toc8286"/>
      <w:bookmarkStart w:id="187" w:name="_Toc29597"/>
      <w:bookmarkStart w:id="188" w:name="_Toc14445"/>
      <w:bookmarkStart w:id="189" w:name="_Toc8046"/>
      <w:bookmarkStart w:id="190" w:name="_Toc5906"/>
      <w:bookmarkStart w:id="191" w:name="_Toc56"/>
      <w:bookmarkStart w:id="192" w:name="_Toc27784"/>
      <w:bookmarkStart w:id="193" w:name="_Toc5059"/>
      <w:bookmarkStart w:id="194" w:name="_Toc22386"/>
      <w:bookmarkStart w:id="195" w:name="_Toc19012"/>
      <w:bookmarkStart w:id="196" w:name="_Toc7329"/>
      <w:bookmarkStart w:id="197" w:name="_Toc31890"/>
      <w:r>
        <w:rPr>
          <w:rFonts w:hint="eastAsia" w:ascii="仿宋" w:hAnsi="仿宋" w:eastAsia="仿宋" w:cs="仿宋"/>
          <w:b/>
          <w:color w:val="auto"/>
          <w:sz w:val="24"/>
          <w:szCs w:val="24"/>
          <w:highlight w:val="none"/>
        </w:rPr>
        <w:t>8.1 法人或者其他组织的营业执照等证明文件，自然人的身份证明</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061F1144">
      <w:pPr>
        <w:spacing w:line="360" w:lineRule="auto"/>
        <w:rPr>
          <w:rFonts w:hint="eastAsia" w:ascii="仿宋" w:hAnsi="仿宋" w:eastAsia="仿宋" w:cs="仿宋"/>
          <w:color w:val="auto"/>
          <w:sz w:val="24"/>
          <w:szCs w:val="24"/>
          <w:highlight w:val="none"/>
        </w:rPr>
      </w:pPr>
    </w:p>
    <w:p w14:paraId="51AEDEFE">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一、如投标人是企业（包括合伙企业)，应提供在工商部门注册的有效“企业法人营业执照”或“营业执照”;</w:t>
      </w:r>
    </w:p>
    <w:p w14:paraId="5055241D">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二、如投标人是事业单位，应提供有效的“事业单位法人证书”;</w:t>
      </w:r>
    </w:p>
    <w:p w14:paraId="3FB59AB7">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三、如投标人是非企业专业服务机构的，应提供执业许可证等证明文件;</w:t>
      </w:r>
    </w:p>
    <w:p w14:paraId="12BA2A78">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四、如投标人是个体工商户，应提供有效的“个体工商户营业执照”;</w:t>
      </w:r>
    </w:p>
    <w:p w14:paraId="640720C1">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五、如投标人是自然人，应提供有效的自然人身份证明。</w:t>
      </w:r>
    </w:p>
    <w:p w14:paraId="03178122">
      <w:pPr>
        <w:spacing w:line="360" w:lineRule="auto"/>
        <w:rPr>
          <w:rFonts w:hint="eastAsia" w:ascii="仿宋" w:hAnsi="仿宋" w:eastAsia="仿宋" w:cs="仿宋"/>
          <w:color w:val="auto"/>
          <w:sz w:val="24"/>
          <w:szCs w:val="24"/>
          <w:highlight w:val="none"/>
        </w:rPr>
      </w:pPr>
    </w:p>
    <w:p w14:paraId="5805472D">
      <w:pPr>
        <w:spacing w:line="360" w:lineRule="auto"/>
        <w:ind w:firstLine="480" w:firstLineChars="200"/>
        <w:rPr>
          <w:rFonts w:hint="eastAsia" w:ascii="仿宋" w:hAnsi="仿宋" w:eastAsia="仿宋" w:cs="仿宋"/>
          <w:color w:val="auto"/>
          <w:sz w:val="24"/>
          <w:szCs w:val="24"/>
          <w:highlight w:val="none"/>
        </w:rPr>
      </w:pPr>
    </w:p>
    <w:p w14:paraId="0D4DAC6E">
      <w:pPr>
        <w:spacing w:line="360" w:lineRule="auto"/>
        <w:rPr>
          <w:rFonts w:hint="eastAsia" w:ascii="仿宋" w:hAnsi="仿宋" w:eastAsia="仿宋" w:cs="仿宋"/>
          <w:color w:val="auto"/>
          <w:sz w:val="24"/>
          <w:szCs w:val="24"/>
          <w:highlight w:val="none"/>
        </w:rPr>
      </w:pPr>
    </w:p>
    <w:p w14:paraId="25235B88">
      <w:pPr>
        <w:widowControl/>
        <w:spacing w:line="360" w:lineRule="auto"/>
        <w:jc w:val="left"/>
        <w:rPr>
          <w:rFonts w:hint="eastAsia" w:ascii="仿宋" w:hAnsi="仿宋" w:eastAsia="仿宋" w:cs="仿宋"/>
          <w:color w:val="auto"/>
          <w:highlight w:val="none"/>
        </w:rPr>
      </w:pPr>
      <w:r>
        <w:rPr>
          <w:rFonts w:hint="eastAsia" w:ascii="仿宋" w:hAnsi="仿宋" w:eastAsia="仿宋" w:cs="仿宋"/>
          <w:b/>
          <w:color w:val="auto"/>
          <w:sz w:val="24"/>
          <w:szCs w:val="24"/>
          <w:highlight w:val="none"/>
        </w:rPr>
        <w:br w:type="page"/>
      </w:r>
    </w:p>
    <w:p w14:paraId="13288870">
      <w:pPr>
        <w:spacing w:line="360" w:lineRule="auto"/>
        <w:jc w:val="center"/>
        <w:outlineLvl w:val="1"/>
        <w:rPr>
          <w:rFonts w:hint="eastAsia" w:ascii="仿宋" w:hAnsi="仿宋" w:eastAsia="仿宋" w:cs="仿宋"/>
          <w:b/>
          <w:color w:val="auto"/>
          <w:sz w:val="24"/>
          <w:szCs w:val="24"/>
          <w:highlight w:val="none"/>
        </w:rPr>
      </w:pPr>
      <w:bookmarkStart w:id="198" w:name="_Toc4668"/>
      <w:bookmarkStart w:id="199" w:name="_Toc1284"/>
      <w:bookmarkStart w:id="200" w:name="_Toc7669"/>
      <w:bookmarkStart w:id="201" w:name="_Toc3898"/>
      <w:bookmarkStart w:id="202" w:name="_Toc7913"/>
      <w:r>
        <w:rPr>
          <w:rFonts w:hint="eastAsia" w:ascii="仿宋" w:hAnsi="仿宋" w:eastAsia="仿宋" w:cs="仿宋"/>
          <w:b/>
          <w:color w:val="auto"/>
          <w:sz w:val="24"/>
          <w:szCs w:val="24"/>
          <w:highlight w:val="none"/>
        </w:rPr>
        <w:t>8.2 财务状况报告，依法缴纳税收和社会保障资金的相关材料</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98"/>
      <w:bookmarkEnd w:id="199"/>
      <w:bookmarkEnd w:id="200"/>
      <w:bookmarkEnd w:id="201"/>
      <w:bookmarkEnd w:id="202"/>
    </w:p>
    <w:p w14:paraId="69944477">
      <w:pPr>
        <w:spacing w:after="120" w:line="360" w:lineRule="auto"/>
        <w:rPr>
          <w:rFonts w:hint="eastAsia" w:ascii="仿宋" w:hAnsi="仿宋" w:eastAsia="仿宋" w:cs="仿宋"/>
          <w:color w:val="auto"/>
          <w:spacing w:val="10"/>
          <w:kern w:val="0"/>
          <w:sz w:val="24"/>
          <w:szCs w:val="24"/>
          <w:highlight w:val="none"/>
        </w:rPr>
      </w:pPr>
    </w:p>
    <w:p w14:paraId="774EDF59">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一、财务状况报告（满足下述一条要求即可）：</w:t>
      </w:r>
    </w:p>
    <w:p w14:paraId="3199CC39">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要求1、经审计的财务报告（2024年度或2025年度，包括“四表-注”，即资产负债表、利润表、现金流量表、所有者权益变动表及其附注）或银行出具的资信证明（投标文件递交截止之日前六个月内任意一个月</w:t>
      </w:r>
      <w:r>
        <w:rPr>
          <w:rFonts w:hint="eastAsia" w:ascii="仿宋" w:hAnsi="仿宋" w:eastAsia="仿宋" w:cs="仿宋"/>
          <w:color w:val="auto"/>
          <w:spacing w:val="10"/>
          <w:szCs w:val="24"/>
          <w:highlight w:val="none"/>
          <w:shd w:val="clear" w:color="auto" w:fill="FFFFFF" w:themeFill="background1"/>
          <w:lang w:eastAsia="zh-CN"/>
        </w:rPr>
        <w:t>，</w:t>
      </w:r>
      <w:r>
        <w:rPr>
          <w:rFonts w:hint="eastAsia" w:ascii="仿宋" w:hAnsi="仿宋" w:eastAsia="仿宋" w:cs="仿宋"/>
          <w:color w:val="auto"/>
          <w:spacing w:val="10"/>
          <w:szCs w:val="24"/>
          <w:highlight w:val="none"/>
          <w:shd w:val="clear" w:color="auto" w:fill="FFFFFF" w:themeFill="background1"/>
          <w:lang w:val="en-US" w:eastAsia="zh-CN"/>
        </w:rPr>
        <w:t>不限制采购人主体</w:t>
      </w:r>
      <w:r>
        <w:rPr>
          <w:rFonts w:hint="eastAsia" w:ascii="仿宋" w:hAnsi="仿宋" w:eastAsia="仿宋" w:cs="仿宋"/>
          <w:color w:val="auto"/>
          <w:spacing w:val="10"/>
          <w:szCs w:val="24"/>
          <w:highlight w:val="none"/>
          <w:shd w:val="clear" w:color="auto" w:fill="FFFFFF" w:themeFill="background1"/>
        </w:rPr>
        <w:t>）。</w:t>
      </w:r>
    </w:p>
    <w:p w14:paraId="3FBBF22A">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要求2、成立不足六个月（以投标文件递交截止之日为期限）的投标人无需提供。</w:t>
      </w:r>
    </w:p>
    <w:p w14:paraId="56B762E2">
      <w:pPr>
        <w:rPr>
          <w:rFonts w:hint="eastAsia"/>
          <w:color w:val="auto"/>
          <w:highlight w:val="none"/>
        </w:rPr>
      </w:pPr>
    </w:p>
    <w:p w14:paraId="0A8A2DD0">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二、依法缴纳税收和社会保障资金的相关材料</w:t>
      </w:r>
    </w:p>
    <w:p w14:paraId="12713D2B">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2.1、依法缴纳税收的证明材料：</w:t>
      </w:r>
    </w:p>
    <w:p w14:paraId="7E273A14">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w:t>
      </w:r>
      <w:r>
        <w:rPr>
          <w:rFonts w:hint="eastAsia" w:ascii="仿宋" w:hAnsi="仿宋" w:eastAsia="仿宋" w:cs="仿宋"/>
          <w:color w:val="auto"/>
          <w:szCs w:val="21"/>
          <w:highlight w:val="none"/>
          <w:shd w:val="clear" w:color="auto" w:fill="FFFFFF" w:themeFill="background1"/>
        </w:rPr>
        <w:t>，提供上述任意一种即可</w:t>
      </w:r>
      <w:r>
        <w:rPr>
          <w:rFonts w:hint="eastAsia" w:ascii="仿宋" w:hAnsi="仿宋" w:eastAsia="仿宋" w:cs="仿宋"/>
          <w:color w:val="auto"/>
          <w:spacing w:val="10"/>
          <w:szCs w:val="24"/>
          <w:highlight w:val="none"/>
          <w:shd w:val="clear" w:color="auto" w:fill="FFFFFF" w:themeFill="background1"/>
        </w:rPr>
        <w:t>）。</w:t>
      </w:r>
    </w:p>
    <w:p w14:paraId="2B747483">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2.2、依法缴纳社会保障资金的证明材料：</w:t>
      </w:r>
    </w:p>
    <w:p w14:paraId="718B56A6">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3E1834A2">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2.3、依法免税或不需要缴纳社会保障资金的投标人，应提供相应文件证明其依法免税或不需要缴纳社会保障资金。</w:t>
      </w:r>
    </w:p>
    <w:p w14:paraId="013829B7">
      <w:pPr>
        <w:rPr>
          <w:rFonts w:hint="eastAsia"/>
          <w:color w:val="auto"/>
          <w:highlight w:val="none"/>
        </w:rPr>
      </w:pPr>
    </w:p>
    <w:p w14:paraId="10FAFF0E">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三、注：</w:t>
      </w:r>
    </w:p>
    <w:p w14:paraId="745ABE33">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3.1、如因有关主管部门政策调整，部分证明材料有所增减，以最新政策要求为准；</w:t>
      </w:r>
    </w:p>
    <w:p w14:paraId="3B292C2A">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3.2、如投标人所在地有关主管部门反馈的证明材料与本文中要求不一致时，以当地要求为准，但须投标人提供文字说明。</w:t>
      </w:r>
    </w:p>
    <w:p w14:paraId="2791E326">
      <w:pPr>
        <w:spacing w:after="120" w:line="360" w:lineRule="auto"/>
        <w:ind w:firstLine="460" w:firstLineChars="200"/>
        <w:rPr>
          <w:rFonts w:hint="eastAsia" w:ascii="仿宋" w:hAnsi="仿宋" w:eastAsia="仿宋" w:cs="仿宋"/>
          <w:color w:val="auto"/>
          <w:spacing w:val="10"/>
          <w:szCs w:val="24"/>
          <w:highlight w:val="none"/>
          <w:shd w:val="clear" w:color="auto" w:fill="FFFFFF" w:themeFill="background1"/>
        </w:rPr>
      </w:pPr>
    </w:p>
    <w:p w14:paraId="181784BD">
      <w:pPr>
        <w:rPr>
          <w:rFonts w:hint="eastAsia" w:ascii="仿宋" w:hAnsi="仿宋" w:eastAsia="仿宋" w:cs="仿宋"/>
          <w:b/>
          <w:color w:val="auto"/>
          <w:sz w:val="24"/>
          <w:szCs w:val="24"/>
          <w:highlight w:val="none"/>
        </w:rPr>
      </w:pPr>
      <w:bookmarkStart w:id="203" w:name="_Toc113901851"/>
      <w:bookmarkStart w:id="204" w:name="_Toc141050517"/>
      <w:bookmarkStart w:id="205" w:name="_Toc6527"/>
      <w:bookmarkStart w:id="206" w:name="_Toc15267"/>
      <w:bookmarkStart w:id="207" w:name="_Toc3038"/>
      <w:bookmarkStart w:id="208" w:name="_Toc29582"/>
      <w:bookmarkStart w:id="209" w:name="_Toc8262"/>
      <w:bookmarkStart w:id="210" w:name="_Toc24817"/>
      <w:bookmarkStart w:id="211" w:name="_Toc128476880"/>
      <w:bookmarkStart w:id="212" w:name="_Toc28397"/>
      <w:bookmarkStart w:id="213" w:name="_Toc130252624"/>
      <w:bookmarkStart w:id="214" w:name="_Toc6490"/>
      <w:bookmarkStart w:id="215" w:name="_Toc28756"/>
      <w:bookmarkStart w:id="216" w:name="_Toc24943"/>
      <w:bookmarkStart w:id="217" w:name="_Toc28937"/>
      <w:bookmarkStart w:id="218" w:name="_Toc20521"/>
      <w:bookmarkStart w:id="219" w:name="_Toc22195"/>
      <w:bookmarkStart w:id="220" w:name="_Toc111556488"/>
      <w:r>
        <w:rPr>
          <w:rFonts w:hint="eastAsia" w:ascii="仿宋" w:hAnsi="仿宋" w:eastAsia="仿宋" w:cs="仿宋"/>
          <w:b/>
          <w:color w:val="auto"/>
          <w:sz w:val="24"/>
          <w:szCs w:val="24"/>
          <w:highlight w:val="none"/>
        </w:rPr>
        <w:br w:type="page"/>
      </w:r>
    </w:p>
    <w:p w14:paraId="663F6F92">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bookmarkStart w:id="221" w:name="_Toc12041"/>
      <w:bookmarkStart w:id="222" w:name="_Toc7515"/>
      <w:bookmarkStart w:id="223" w:name="_Toc31926"/>
      <w:bookmarkStart w:id="224" w:name="_Toc6917"/>
      <w:bookmarkStart w:id="225" w:name="_Toc1309"/>
      <w:bookmarkStart w:id="226" w:name="_Toc13146"/>
      <w:bookmarkStart w:id="227" w:name="_Toc23545"/>
      <w:bookmarkStart w:id="228" w:name="_Toc22614"/>
      <w:r>
        <w:rPr>
          <w:rFonts w:hint="eastAsia" w:ascii="仿宋" w:hAnsi="仿宋" w:eastAsia="仿宋" w:cs="仿宋"/>
          <w:b/>
          <w:color w:val="auto"/>
          <w:sz w:val="24"/>
          <w:szCs w:val="24"/>
          <w:highlight w:val="none"/>
        </w:rPr>
        <w:t>8.3 具备履行合同所必需的设备和专业技术能力的证明材料</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1"/>
      <w:bookmarkEnd w:id="222"/>
      <w:bookmarkEnd w:id="223"/>
      <w:bookmarkEnd w:id="224"/>
      <w:bookmarkEnd w:id="225"/>
      <w:bookmarkEnd w:id="226"/>
      <w:bookmarkEnd w:id="227"/>
      <w:bookmarkEnd w:id="228"/>
    </w:p>
    <w:p w14:paraId="3688A8C7">
      <w:pPr>
        <w:spacing w:line="360" w:lineRule="auto"/>
        <w:jc w:val="center"/>
        <w:rPr>
          <w:rFonts w:hint="eastAsia" w:ascii="仿宋" w:hAnsi="仿宋" w:eastAsia="仿宋" w:cs="仿宋"/>
          <w:b/>
          <w:color w:val="auto"/>
          <w:sz w:val="24"/>
          <w:szCs w:val="24"/>
          <w:highlight w:val="none"/>
        </w:rPr>
      </w:pPr>
    </w:p>
    <w:p w14:paraId="5430C06A">
      <w:pPr>
        <w:spacing w:line="360" w:lineRule="auto"/>
        <w:jc w:val="center"/>
        <w:rPr>
          <w:rFonts w:hint="eastAsia" w:ascii="仿宋" w:hAnsi="仿宋" w:eastAsia="仿宋" w:cs="仿宋"/>
          <w:b/>
          <w:color w:val="auto"/>
          <w:sz w:val="24"/>
          <w:szCs w:val="24"/>
          <w:highlight w:val="none"/>
        </w:rPr>
      </w:pPr>
    </w:p>
    <w:p w14:paraId="2483ADC4">
      <w:pPr>
        <w:spacing w:line="360" w:lineRule="auto"/>
        <w:jc w:val="center"/>
        <w:rPr>
          <w:rFonts w:hint="eastAsia" w:ascii="仿宋" w:hAnsi="仿宋" w:eastAsia="仿宋" w:cs="仿宋"/>
          <w:b/>
          <w:color w:val="auto"/>
          <w:sz w:val="24"/>
          <w:szCs w:val="24"/>
          <w:highlight w:val="none"/>
        </w:rPr>
      </w:pPr>
    </w:p>
    <w:p w14:paraId="3412A026">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具有履行合同所必需的设备和专业技术能力的承诺</w:t>
      </w:r>
      <w:bookmarkEnd w:id="220"/>
      <w:r>
        <w:rPr>
          <w:rFonts w:hint="eastAsia" w:ascii="仿宋" w:hAnsi="仿宋" w:eastAsia="仿宋" w:cs="仿宋"/>
          <w:b/>
          <w:color w:val="auto"/>
          <w:sz w:val="24"/>
          <w:szCs w:val="24"/>
          <w:highlight w:val="none"/>
        </w:rPr>
        <w:t>函</w:t>
      </w:r>
    </w:p>
    <w:p w14:paraId="76003852">
      <w:pPr>
        <w:adjustRightInd w:val="0"/>
        <w:snapToGrid w:val="0"/>
        <w:spacing w:line="360" w:lineRule="auto"/>
        <w:ind w:firstLine="480" w:firstLineChars="200"/>
        <w:jc w:val="center"/>
        <w:rPr>
          <w:rFonts w:hint="eastAsia" w:ascii="仿宋" w:hAnsi="仿宋" w:eastAsia="仿宋" w:cs="仿宋"/>
          <w:color w:val="auto"/>
          <w:sz w:val="24"/>
          <w:szCs w:val="24"/>
          <w:highlight w:val="none"/>
        </w:rPr>
      </w:pPr>
    </w:p>
    <w:p w14:paraId="4C7DB7CB">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2C96C201">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p>
    <w:p w14:paraId="2F9B8A6A">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我单位郑重承诺： </w:t>
      </w:r>
    </w:p>
    <w:p w14:paraId="620BB08E">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我单位具备履行</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w:t>
      </w:r>
      <w:r>
        <w:rPr>
          <w:rFonts w:hint="eastAsia" w:ascii="仿宋" w:hAnsi="仿宋" w:eastAsia="仿宋" w:cs="仿宋"/>
          <w:color w:val="auto"/>
          <w:kern w:val="0"/>
          <w:sz w:val="24"/>
          <w:szCs w:val="24"/>
          <w:highlight w:val="none"/>
        </w:rPr>
        <w:t>名称）合同所必需的设备和专业技术能力；</w:t>
      </w:r>
    </w:p>
    <w:p w14:paraId="2A052C77">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特此承诺。 </w:t>
      </w:r>
    </w:p>
    <w:p w14:paraId="7D356CBC">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319D32D8">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69F005D5">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2AAA97E9">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4D4393B5">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8752A08">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p>
    <w:p w14:paraId="1B99BB5A">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p>
    <w:p w14:paraId="2C85C112">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71480109">
      <w:pPr>
        <w:adjustRightInd w:val="0"/>
        <w:snapToGrid w:val="0"/>
        <w:spacing w:line="360" w:lineRule="auto"/>
        <w:rPr>
          <w:rFonts w:hint="eastAsia" w:ascii="仿宋" w:hAnsi="仿宋" w:eastAsia="仿宋" w:cs="仿宋"/>
          <w:bCs/>
          <w:color w:val="auto"/>
          <w:sz w:val="24"/>
          <w:szCs w:val="24"/>
          <w:highlight w:val="none"/>
        </w:rPr>
      </w:pPr>
    </w:p>
    <w:p w14:paraId="19A47431">
      <w:pPr>
        <w:spacing w:line="360" w:lineRule="auto"/>
        <w:rPr>
          <w:rFonts w:hint="eastAsia" w:ascii="仿宋" w:hAnsi="仿宋" w:eastAsia="仿宋" w:cs="仿宋"/>
          <w:color w:val="auto"/>
          <w:sz w:val="24"/>
          <w:szCs w:val="24"/>
          <w:highlight w:val="none"/>
        </w:rPr>
      </w:pPr>
    </w:p>
    <w:p w14:paraId="0C21FAEE">
      <w:pPr>
        <w:spacing w:line="360" w:lineRule="auto"/>
        <w:rPr>
          <w:rFonts w:hint="eastAsia" w:ascii="仿宋" w:hAnsi="仿宋" w:eastAsia="仿宋" w:cs="仿宋"/>
          <w:color w:val="auto"/>
          <w:sz w:val="24"/>
          <w:szCs w:val="24"/>
          <w:highlight w:val="none"/>
        </w:rPr>
      </w:pPr>
    </w:p>
    <w:p w14:paraId="77D244A1">
      <w:pPr>
        <w:spacing w:line="360" w:lineRule="auto"/>
        <w:rPr>
          <w:rFonts w:hint="eastAsia" w:ascii="仿宋" w:hAnsi="仿宋" w:eastAsia="仿宋" w:cs="仿宋"/>
          <w:color w:val="auto"/>
          <w:sz w:val="24"/>
          <w:szCs w:val="24"/>
          <w:highlight w:val="none"/>
        </w:rPr>
      </w:pPr>
    </w:p>
    <w:p w14:paraId="7895F352">
      <w:pPr>
        <w:spacing w:line="360" w:lineRule="auto"/>
        <w:rPr>
          <w:rFonts w:hint="eastAsia" w:ascii="仿宋" w:hAnsi="仿宋" w:eastAsia="仿宋" w:cs="仿宋"/>
          <w:color w:val="auto"/>
          <w:sz w:val="24"/>
          <w:szCs w:val="24"/>
          <w:highlight w:val="none"/>
        </w:rPr>
      </w:pPr>
    </w:p>
    <w:p w14:paraId="2D2A2DA2">
      <w:pPr>
        <w:spacing w:line="360" w:lineRule="auto"/>
        <w:rPr>
          <w:rFonts w:hint="eastAsia" w:ascii="仿宋" w:hAnsi="仿宋" w:eastAsia="仿宋" w:cs="仿宋"/>
          <w:color w:val="auto"/>
          <w:sz w:val="24"/>
          <w:szCs w:val="24"/>
          <w:highlight w:val="none"/>
        </w:rPr>
      </w:pPr>
    </w:p>
    <w:p w14:paraId="656756FF">
      <w:pPr>
        <w:spacing w:line="360" w:lineRule="auto"/>
        <w:rPr>
          <w:rFonts w:hint="eastAsia" w:ascii="仿宋" w:hAnsi="仿宋" w:eastAsia="仿宋" w:cs="仿宋"/>
          <w:color w:val="auto"/>
          <w:sz w:val="24"/>
          <w:szCs w:val="24"/>
          <w:highlight w:val="none"/>
        </w:rPr>
      </w:pPr>
    </w:p>
    <w:p w14:paraId="724127BD">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bookmarkStart w:id="229" w:name="_Toc14597"/>
      <w:bookmarkStart w:id="230" w:name="_Toc27933"/>
      <w:bookmarkStart w:id="231" w:name="_Toc1561"/>
      <w:bookmarkStart w:id="232" w:name="_Toc9265"/>
      <w:bookmarkStart w:id="233" w:name="_Toc113901852"/>
      <w:bookmarkStart w:id="234" w:name="_Toc27620"/>
      <w:bookmarkStart w:id="235" w:name="_Toc12742"/>
      <w:bookmarkStart w:id="236" w:name="_Toc16035"/>
      <w:bookmarkStart w:id="237" w:name="_Toc154"/>
      <w:bookmarkStart w:id="238" w:name="_Toc141050518"/>
      <w:bookmarkStart w:id="239" w:name="_Toc9901"/>
      <w:bookmarkStart w:id="240" w:name="_Toc29127"/>
      <w:bookmarkStart w:id="241" w:name="_Toc12824"/>
      <w:bookmarkStart w:id="242" w:name="_Toc9960"/>
      <w:bookmarkStart w:id="243" w:name="_Toc5597"/>
      <w:bookmarkStart w:id="244" w:name="_Toc19260"/>
      <w:bookmarkStart w:id="245" w:name="_Toc17656"/>
      <w:bookmarkStart w:id="246" w:name="_Toc5472"/>
      <w:bookmarkStart w:id="247" w:name="_Toc31613"/>
      <w:bookmarkStart w:id="248" w:name="_Toc18553"/>
      <w:bookmarkStart w:id="249" w:name="_Toc130252625"/>
      <w:bookmarkStart w:id="250" w:name="_Toc128476881"/>
      <w:bookmarkStart w:id="251" w:name="_Toc4857"/>
      <w:bookmarkStart w:id="252" w:name="_Toc7322"/>
      <w:bookmarkStart w:id="253" w:name="_Toc12060"/>
      <w:bookmarkStart w:id="254" w:name="_Toc111556490"/>
      <w:r>
        <w:rPr>
          <w:rFonts w:hint="eastAsia" w:ascii="仿宋" w:hAnsi="仿宋" w:eastAsia="仿宋" w:cs="仿宋"/>
          <w:b/>
          <w:color w:val="auto"/>
          <w:sz w:val="24"/>
          <w:szCs w:val="24"/>
          <w:highlight w:val="none"/>
        </w:rPr>
        <w:t>8.4 参加政府采购活动前3年内在经营活动中没有重大违法记录的书面声明</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bookmarkEnd w:id="254"/>
    <w:p w14:paraId="719484F3">
      <w:pPr>
        <w:widowControl/>
        <w:adjustRightInd w:val="0"/>
        <w:snapToGrid w:val="0"/>
        <w:spacing w:line="360" w:lineRule="auto"/>
        <w:rPr>
          <w:rFonts w:hint="eastAsia" w:ascii="仿宋" w:hAnsi="仿宋" w:eastAsia="仿宋" w:cs="仿宋"/>
          <w:color w:val="auto"/>
          <w:sz w:val="24"/>
          <w:szCs w:val="24"/>
          <w:highlight w:val="none"/>
        </w:rPr>
      </w:pPr>
    </w:p>
    <w:p w14:paraId="4837C3D4">
      <w:pPr>
        <w:widowControl/>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参加政府采购活动前3年内在经营活动中没有重大违法记录的书面声明</w:t>
      </w:r>
    </w:p>
    <w:p w14:paraId="6CEAAE77">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p>
    <w:p w14:paraId="0EF8C3F4">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3AF9068B">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596FAF35">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我单位在参与</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lang w:eastAsia="zh-CN"/>
        </w:rPr>
        <w:t>项目</w:t>
      </w:r>
      <w:r>
        <w:rPr>
          <w:rFonts w:hint="eastAsia" w:ascii="仿宋" w:hAnsi="仿宋" w:eastAsia="仿宋" w:cs="仿宋"/>
          <w:color w:val="auto"/>
          <w:kern w:val="0"/>
          <w:sz w:val="24"/>
          <w:szCs w:val="24"/>
          <w:highlight w:val="none"/>
        </w:rPr>
        <w:t>名称</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前三年内（以</w:t>
      </w:r>
      <w:r>
        <w:rPr>
          <w:rFonts w:hint="eastAsia" w:ascii="仿宋" w:hAnsi="仿宋" w:eastAsia="仿宋" w:cs="仿宋"/>
          <w:color w:val="auto"/>
          <w:sz w:val="24"/>
          <w:szCs w:val="24"/>
          <w:highlight w:val="none"/>
        </w:rPr>
        <w:t>投标文件递交截止之日为期限</w:t>
      </w:r>
      <w:r>
        <w:rPr>
          <w:rFonts w:hint="eastAsia" w:ascii="仿宋" w:hAnsi="仿宋" w:eastAsia="仿宋" w:cs="仿宋"/>
          <w:color w:val="auto"/>
          <w:kern w:val="0"/>
          <w:sz w:val="24"/>
          <w:szCs w:val="24"/>
          <w:highlight w:val="none"/>
        </w:rPr>
        <w:t>）在经营活动中没有重大违法记录。</w:t>
      </w:r>
    </w:p>
    <w:p w14:paraId="0EE873A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若贵方在本项目采购过程中发现我方参加政府采购活动前三年内有重大违法记录；</w:t>
      </w:r>
      <w:r>
        <w:rPr>
          <w:rFonts w:hint="eastAsia" w:ascii="仿宋" w:hAnsi="仿宋" w:eastAsia="仿宋" w:cs="仿宋"/>
          <w:color w:val="auto"/>
          <w:kern w:val="0"/>
          <w:sz w:val="24"/>
          <w:szCs w:val="24"/>
          <w:highlight w:val="none"/>
        </w:rPr>
        <w:t>我单位</w:t>
      </w:r>
      <w:r>
        <w:rPr>
          <w:rFonts w:hint="eastAsia" w:ascii="仿宋" w:hAnsi="仿宋" w:eastAsia="仿宋" w:cs="仿宋"/>
          <w:color w:val="auto"/>
          <w:sz w:val="24"/>
          <w:szCs w:val="24"/>
          <w:highlight w:val="none"/>
        </w:rPr>
        <w:t>将无条件退出本项目的投标，并承担因此引起的一切后果。我方对此声明负全部法律责任。</w:t>
      </w:r>
    </w:p>
    <w:p w14:paraId="4917EC70">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19A9702F">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2A687399">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3DA7A54A">
      <w:pPr>
        <w:adjustRightInd w:val="0"/>
        <w:snapToGrid w:val="0"/>
        <w:spacing w:line="360" w:lineRule="auto"/>
        <w:ind w:firstLine="42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备注：</w:t>
      </w:r>
    </w:p>
    <w:p w14:paraId="57D22957">
      <w:pPr>
        <w:adjustRightInd w:val="0"/>
        <w:snapToGrid w:val="0"/>
        <w:spacing w:line="360" w:lineRule="auto"/>
        <w:ind w:firstLine="420" w:firstLineChars="200"/>
        <w:rPr>
          <w:rFonts w:hint="eastAsia" w:ascii="仿宋" w:hAnsi="仿宋" w:eastAsia="仿宋" w:cs="仿宋"/>
          <w:color w:val="auto"/>
          <w:sz w:val="24"/>
          <w:szCs w:val="24"/>
          <w:highlight w:val="none"/>
        </w:rPr>
      </w:pPr>
      <w:r>
        <w:rPr>
          <w:rFonts w:hint="eastAsia" w:ascii="仿宋" w:hAnsi="仿宋" w:eastAsia="仿宋" w:cs="仿宋"/>
          <w:color w:val="auto"/>
          <w:szCs w:val="24"/>
          <w:highlight w:val="none"/>
        </w:rPr>
        <w:t>若投标人在投标文件递交截止之日成立时间不足三年，以自成立以来的时间计取。</w:t>
      </w:r>
    </w:p>
    <w:p w14:paraId="4E421D78">
      <w:pPr>
        <w:adjustRightInd w:val="0"/>
        <w:snapToGrid w:val="0"/>
        <w:spacing w:line="360" w:lineRule="auto"/>
        <w:ind w:firstLine="480" w:firstLineChars="200"/>
        <w:rPr>
          <w:rFonts w:hint="eastAsia" w:ascii="仿宋" w:hAnsi="仿宋" w:eastAsia="仿宋" w:cs="仿宋"/>
          <w:color w:val="auto"/>
          <w:kern w:val="0"/>
          <w:sz w:val="24"/>
          <w:szCs w:val="24"/>
          <w:highlight w:val="none"/>
        </w:rPr>
      </w:pPr>
    </w:p>
    <w:p w14:paraId="4AEF244D">
      <w:pPr>
        <w:adjustRightInd w:val="0"/>
        <w:snapToGrid w:val="0"/>
        <w:spacing w:line="360" w:lineRule="auto"/>
        <w:ind w:firstLine="3112" w:firstLineChars="1297"/>
        <w:rPr>
          <w:rFonts w:hint="eastAsia" w:ascii="仿宋" w:hAnsi="仿宋" w:eastAsia="仿宋" w:cs="仿宋"/>
          <w:color w:val="auto"/>
          <w:sz w:val="24"/>
          <w:szCs w:val="24"/>
          <w:highlight w:val="none"/>
        </w:rPr>
      </w:pPr>
    </w:p>
    <w:p w14:paraId="3A02E3BE">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288F7DC3">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62E7B7EC">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10F5AA32">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05D71FE8">
      <w:pPr>
        <w:widowControl/>
        <w:shd w:val="clear" w:color="auto" w:fill="FFFFFF"/>
        <w:snapToGrid w:val="0"/>
        <w:spacing w:line="360" w:lineRule="auto"/>
        <w:ind w:firstLine="420"/>
        <w:rPr>
          <w:rFonts w:hint="eastAsia" w:ascii="仿宋" w:hAnsi="仿宋" w:eastAsia="仿宋" w:cs="仿宋"/>
          <w:color w:val="auto"/>
          <w:kern w:val="0"/>
          <w:sz w:val="24"/>
          <w:szCs w:val="24"/>
          <w:highlight w:val="none"/>
        </w:rPr>
      </w:pPr>
    </w:p>
    <w:p w14:paraId="1AF206A8">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bookmarkStart w:id="255" w:name="_Toc141050519"/>
      <w:bookmarkStart w:id="256" w:name="_Toc6424"/>
      <w:bookmarkStart w:id="257" w:name="_Toc31596"/>
      <w:bookmarkStart w:id="258" w:name="_Toc128476882"/>
      <w:bookmarkStart w:id="259" w:name="_Toc30930"/>
      <w:bookmarkStart w:id="260" w:name="_Toc9134"/>
      <w:bookmarkStart w:id="261" w:name="_Toc113901853"/>
      <w:bookmarkStart w:id="262" w:name="_Toc24660"/>
      <w:bookmarkStart w:id="263" w:name="_Toc26082"/>
      <w:bookmarkStart w:id="264" w:name="_Toc8186"/>
      <w:bookmarkStart w:id="265" w:name="_Toc13030"/>
      <w:bookmarkStart w:id="266" w:name="_Toc14380"/>
      <w:bookmarkStart w:id="267" w:name="_Toc11552"/>
      <w:bookmarkStart w:id="268" w:name="_Toc9385"/>
      <w:bookmarkStart w:id="269" w:name="_Toc130252626"/>
      <w:bookmarkStart w:id="270" w:name="_Toc9945"/>
      <w:bookmarkStart w:id="271" w:name="_Toc4675"/>
      <w:bookmarkStart w:id="272" w:name="_Toc313"/>
      <w:bookmarkStart w:id="273" w:name="_Toc25296"/>
      <w:bookmarkStart w:id="274" w:name="_Toc30447"/>
      <w:bookmarkStart w:id="275" w:name="_Toc17488"/>
      <w:bookmarkStart w:id="276" w:name="_Toc31144"/>
      <w:bookmarkStart w:id="277" w:name="_Toc428"/>
      <w:bookmarkStart w:id="278" w:name="_Toc25108"/>
      <w:bookmarkStart w:id="279" w:name="_Toc8192"/>
      <w:r>
        <w:rPr>
          <w:rFonts w:hint="eastAsia" w:ascii="仿宋" w:hAnsi="仿宋" w:eastAsia="仿宋" w:cs="仿宋"/>
          <w:b/>
          <w:color w:val="auto"/>
          <w:sz w:val="24"/>
          <w:szCs w:val="24"/>
          <w:highlight w:val="none"/>
        </w:rPr>
        <w:t>8.5 具备法律、行政法规规定的其他条件的证明材料</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5F13A202">
      <w:pPr>
        <w:widowControl/>
        <w:adjustRightInd w:val="0"/>
        <w:snapToGrid w:val="0"/>
        <w:spacing w:line="360" w:lineRule="auto"/>
        <w:rPr>
          <w:rFonts w:hint="eastAsia" w:ascii="仿宋" w:hAnsi="仿宋" w:eastAsia="仿宋" w:cs="仿宋"/>
          <w:color w:val="auto"/>
          <w:sz w:val="24"/>
          <w:szCs w:val="24"/>
          <w:highlight w:val="none"/>
        </w:rPr>
      </w:pPr>
    </w:p>
    <w:p w14:paraId="3145C26E">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一、国家有关主管部门的行政许可（如有时）。</w:t>
      </w:r>
    </w:p>
    <w:p w14:paraId="064238CA">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二、中小企业声明函/残疾人福利性单位声明函/监狱企业证明文件（如有时）。</w:t>
      </w:r>
    </w:p>
    <w:p w14:paraId="5A4FADBE">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lang w:val="en-US" w:eastAsia="zh-CN"/>
        </w:rPr>
        <w:t>三、关于符合本国产品标准的声明函或</w:t>
      </w:r>
      <w:r>
        <w:rPr>
          <w:rFonts w:hint="eastAsia" w:ascii="仿宋" w:hAnsi="仿宋" w:eastAsia="仿宋" w:cs="仿宋"/>
          <w:i w:val="0"/>
          <w:iCs w:val="0"/>
          <w:caps w:val="0"/>
          <w:color w:val="auto"/>
          <w:spacing w:val="0"/>
          <w:sz w:val="24"/>
          <w:szCs w:val="24"/>
          <w:highlight w:val="none"/>
          <w:shd w:val="clear" w:fill="FFFFFF"/>
        </w:rPr>
        <w:t>或财政部会同有关部门规定的有关证明文件</w:t>
      </w:r>
      <w:r>
        <w:rPr>
          <w:rFonts w:hint="eastAsia" w:ascii="仿宋" w:hAnsi="仿宋" w:eastAsia="仿宋" w:cs="仿宋"/>
          <w:color w:val="auto"/>
          <w:sz w:val="24"/>
          <w:szCs w:val="24"/>
          <w:highlight w:val="none"/>
          <w:shd w:val="clear" w:color="auto" w:fill="FFFFFF" w:themeFill="background1"/>
        </w:rPr>
        <w:t>（如有时）。</w:t>
      </w:r>
    </w:p>
    <w:p w14:paraId="6EEAD0D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29914C0B">
      <w:pPr>
        <w:widowControl/>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 xml:space="preserve">附件一、                  </w:t>
      </w:r>
    </w:p>
    <w:p w14:paraId="3656A858">
      <w:pPr>
        <w:spacing w:line="588" w:lineRule="exact"/>
        <w:jc w:val="center"/>
        <w:rPr>
          <w:rFonts w:hint="eastAsia" w:ascii="仿宋" w:hAnsi="仿宋" w:eastAsia="仿宋" w:cs="仿宋"/>
          <w:b/>
          <w:color w:val="auto"/>
          <w:spacing w:val="6"/>
          <w:sz w:val="24"/>
          <w:szCs w:val="24"/>
          <w:highlight w:val="none"/>
        </w:rPr>
      </w:pPr>
    </w:p>
    <w:p w14:paraId="297417C2">
      <w:pPr>
        <w:spacing w:line="588" w:lineRule="exact"/>
        <w:jc w:val="center"/>
        <w:rPr>
          <w:rFonts w:hint="eastAsia"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中小企业声明函（货物）</w:t>
      </w:r>
    </w:p>
    <w:p w14:paraId="45AB7106">
      <w:pPr>
        <w:spacing w:line="588" w:lineRule="exact"/>
        <w:jc w:val="center"/>
        <w:rPr>
          <w:rFonts w:hint="eastAsia" w:ascii="仿宋" w:hAnsi="仿宋" w:eastAsia="仿宋" w:cs="仿宋"/>
          <w:b/>
          <w:color w:val="auto"/>
          <w:spacing w:val="6"/>
          <w:sz w:val="24"/>
          <w:szCs w:val="24"/>
          <w:highlight w:val="none"/>
        </w:rPr>
      </w:pPr>
    </w:p>
    <w:p w14:paraId="1485AA53">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本公司（联合体）郑重声明，根据《政府采购促进中小企业发展管理办法》（财库﹝2020﹞46 号）的规定，本公司</w:t>
      </w:r>
      <w:r>
        <w:rPr>
          <w:rFonts w:hint="eastAsia" w:ascii="仿宋" w:hAnsi="仿宋" w:eastAsia="仿宋" w:cs="仿宋"/>
          <w:color w:val="auto"/>
          <w:kern w:val="0"/>
          <w:sz w:val="24"/>
          <w:szCs w:val="24"/>
          <w:highlight w:val="none"/>
          <w:u w:val="single"/>
        </w:rPr>
        <w:t xml:space="preserve">  （联合体）</w:t>
      </w:r>
      <w:r>
        <w:rPr>
          <w:rFonts w:hint="eastAsia" w:ascii="仿宋" w:hAnsi="仿宋" w:eastAsia="仿宋" w:cs="仿宋"/>
          <w:color w:val="auto"/>
          <w:kern w:val="0"/>
          <w:sz w:val="24"/>
          <w:szCs w:val="24"/>
          <w:highlight w:val="none"/>
        </w:rPr>
        <w:t>参加</w:t>
      </w:r>
      <w:r>
        <w:rPr>
          <w:rFonts w:hint="eastAsia" w:ascii="仿宋" w:hAnsi="仿宋" w:eastAsia="仿宋" w:cs="仿宋"/>
          <w:color w:val="auto"/>
          <w:kern w:val="0"/>
          <w:sz w:val="24"/>
          <w:szCs w:val="24"/>
          <w:highlight w:val="none"/>
          <w:u w:val="single"/>
        </w:rPr>
        <w:t xml:space="preserve">  （单位名称）</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项目</w:t>
      </w:r>
      <w:r>
        <w:rPr>
          <w:rFonts w:hint="eastAsia" w:ascii="仿宋" w:hAnsi="仿宋" w:eastAsia="仿宋" w:cs="仿宋"/>
          <w:color w:val="auto"/>
          <w:kern w:val="0"/>
          <w:sz w:val="24"/>
          <w:szCs w:val="24"/>
          <w:highlight w:val="none"/>
          <w:u w:val="single"/>
        </w:rPr>
        <w:t>名称）</w:t>
      </w:r>
      <w:r>
        <w:rPr>
          <w:rFonts w:hint="eastAsia" w:ascii="仿宋" w:hAnsi="仿宋" w:eastAsia="仿宋" w:cs="仿宋"/>
          <w:color w:val="auto"/>
          <w:kern w:val="0"/>
          <w:sz w:val="24"/>
          <w:szCs w:val="24"/>
          <w:highlight w:val="none"/>
        </w:rPr>
        <w:t>采购活动，提供的货物全部由符合政策要求的中小企业制造。相关企业（含联合体中的中小企业、签订分包意向协议的中小企业）的具体情况如下：</w:t>
      </w:r>
    </w:p>
    <w:p w14:paraId="62D4A7B5">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u w:val="single"/>
        </w:rPr>
        <w:t xml:space="preserve">         （标的名称） </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 xml:space="preserve">       （采购文件中明确的所属行业）</w:t>
      </w:r>
      <w:r>
        <w:rPr>
          <w:rFonts w:hint="eastAsia" w:ascii="仿宋" w:hAnsi="仿宋" w:eastAsia="仿宋" w:cs="仿宋"/>
          <w:color w:val="auto"/>
          <w:kern w:val="0"/>
          <w:sz w:val="24"/>
          <w:szCs w:val="24"/>
          <w:highlight w:val="none"/>
        </w:rPr>
        <w:t>行业；制造商为</w:t>
      </w:r>
      <w:r>
        <w:rPr>
          <w:rFonts w:hint="eastAsia" w:ascii="仿宋" w:hAnsi="仿宋" w:eastAsia="仿宋" w:cs="仿宋"/>
          <w:color w:val="auto"/>
          <w:kern w:val="0"/>
          <w:sz w:val="24"/>
          <w:szCs w:val="24"/>
          <w:highlight w:val="none"/>
          <w:u w:val="single"/>
        </w:rPr>
        <w:t xml:space="preserve">     （企业名称）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 xml:space="preserve">    （中型企业、小型企业、微型企业）</w:t>
      </w:r>
      <w:r>
        <w:rPr>
          <w:rFonts w:hint="eastAsia" w:ascii="仿宋" w:hAnsi="仿宋" w:eastAsia="仿宋" w:cs="仿宋"/>
          <w:color w:val="auto"/>
          <w:kern w:val="0"/>
          <w:sz w:val="24"/>
          <w:szCs w:val="24"/>
          <w:highlight w:val="none"/>
        </w:rPr>
        <w:t>；</w:t>
      </w:r>
    </w:p>
    <w:p w14:paraId="1799B494">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u w:val="single"/>
        </w:rPr>
        <w:t xml:space="preserve">         （标的名称） </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 xml:space="preserve">       （采购文件中明确的所属行业）</w:t>
      </w:r>
      <w:r>
        <w:rPr>
          <w:rFonts w:hint="eastAsia" w:ascii="仿宋" w:hAnsi="仿宋" w:eastAsia="仿宋" w:cs="仿宋"/>
          <w:color w:val="auto"/>
          <w:kern w:val="0"/>
          <w:sz w:val="24"/>
          <w:szCs w:val="24"/>
          <w:highlight w:val="none"/>
        </w:rPr>
        <w:t>行业；制造商为</w:t>
      </w:r>
      <w:r>
        <w:rPr>
          <w:rFonts w:hint="eastAsia" w:ascii="仿宋" w:hAnsi="仿宋" w:eastAsia="仿宋" w:cs="仿宋"/>
          <w:color w:val="auto"/>
          <w:kern w:val="0"/>
          <w:sz w:val="24"/>
          <w:szCs w:val="24"/>
          <w:highlight w:val="none"/>
          <w:u w:val="single"/>
        </w:rPr>
        <w:t xml:space="preserve">     （企业名称）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 xml:space="preserve">    （中型企业、小型企业、微型企业）</w:t>
      </w:r>
      <w:r>
        <w:rPr>
          <w:rFonts w:hint="eastAsia" w:ascii="仿宋" w:hAnsi="仿宋" w:eastAsia="仿宋" w:cs="仿宋"/>
          <w:color w:val="auto"/>
          <w:kern w:val="0"/>
          <w:sz w:val="24"/>
          <w:szCs w:val="24"/>
          <w:highlight w:val="none"/>
        </w:rPr>
        <w:t>；</w:t>
      </w:r>
    </w:p>
    <w:p w14:paraId="4B813D5B">
      <w:pPr>
        <w:spacing w:line="588" w:lineRule="exact"/>
        <w:rPr>
          <w:rFonts w:hint="eastAsia" w:ascii="仿宋" w:hAnsi="仿宋" w:eastAsia="仿宋" w:cs="仿宋"/>
          <w:color w:val="auto"/>
          <w:kern w:val="0"/>
          <w:sz w:val="24"/>
          <w:szCs w:val="24"/>
          <w:highlight w:val="none"/>
        </w:rPr>
      </w:pPr>
    </w:p>
    <w:p w14:paraId="5058ACFF">
      <w:pPr>
        <w:spacing w:line="588"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307059CA">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以上企业，不属于大企业的分支机构，不存在控股股东为大企业的情形，也不存在与大企业的负责人为同一人的情形。</w:t>
      </w:r>
    </w:p>
    <w:p w14:paraId="3343C8DD">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本企业对上述声明内容的真实性负责。如有虚假，将依法承担相应责任。</w:t>
      </w:r>
    </w:p>
    <w:p w14:paraId="07E0D426">
      <w:pPr>
        <w:spacing w:line="588" w:lineRule="exact"/>
        <w:ind w:firstLine="480" w:firstLineChars="200"/>
        <w:rPr>
          <w:rFonts w:hint="eastAsia" w:ascii="仿宋" w:hAnsi="仿宋" w:eastAsia="仿宋" w:cs="仿宋"/>
          <w:color w:val="auto"/>
          <w:kern w:val="0"/>
          <w:sz w:val="24"/>
          <w:szCs w:val="24"/>
          <w:highlight w:val="none"/>
        </w:rPr>
      </w:pPr>
    </w:p>
    <w:p w14:paraId="6AF61830">
      <w:pPr>
        <w:spacing w:line="588" w:lineRule="exact"/>
        <w:ind w:right="48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企业名称（盖章）：</w:t>
      </w:r>
    </w:p>
    <w:p w14:paraId="0D0FF74A">
      <w:pPr>
        <w:spacing w:line="588" w:lineRule="exact"/>
        <w:ind w:right="480" w:firstLine="6240" w:firstLineChars="26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p>
    <w:p w14:paraId="536E4C44">
      <w:pPr>
        <w:spacing w:line="588" w:lineRule="exact"/>
        <w:ind w:right="480" w:firstLine="6240" w:firstLineChars="2600"/>
        <w:rPr>
          <w:rFonts w:hint="eastAsia" w:ascii="仿宋" w:hAnsi="仿宋" w:eastAsia="仿宋" w:cs="仿宋"/>
          <w:color w:val="auto"/>
          <w:kern w:val="0"/>
          <w:sz w:val="24"/>
          <w:szCs w:val="24"/>
          <w:highlight w:val="none"/>
        </w:rPr>
      </w:pPr>
    </w:p>
    <w:p w14:paraId="11A6233D">
      <w:pPr>
        <w:spacing w:line="588"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注：人员、营业收入、资产总额填报上一年度数据，无上一年度数据的新成立企业可不填报。</w:t>
      </w:r>
    </w:p>
    <w:p w14:paraId="60225F58">
      <w:pPr>
        <w:spacing w:line="588" w:lineRule="exact"/>
        <w:rPr>
          <w:rFonts w:hint="eastAsia" w:ascii="仿宋" w:hAnsi="仿宋" w:eastAsia="仿宋" w:cs="仿宋"/>
          <w:color w:val="auto"/>
          <w:spacing w:val="6"/>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附件二、</w:t>
      </w:r>
    </w:p>
    <w:p w14:paraId="3105DF8B">
      <w:pPr>
        <w:spacing w:line="360" w:lineRule="auto"/>
        <w:jc w:val="center"/>
        <w:rPr>
          <w:rFonts w:hint="eastAsia"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残疾人福利性单位声明函</w:t>
      </w:r>
    </w:p>
    <w:p w14:paraId="00939A98">
      <w:pPr>
        <w:spacing w:line="360" w:lineRule="auto"/>
        <w:rPr>
          <w:rFonts w:hint="eastAsia" w:ascii="仿宋" w:hAnsi="仿宋" w:eastAsia="仿宋" w:cs="仿宋"/>
          <w:b/>
          <w:color w:val="auto"/>
          <w:spacing w:val="6"/>
          <w:sz w:val="24"/>
          <w:szCs w:val="24"/>
          <w:highlight w:val="none"/>
        </w:rPr>
      </w:pPr>
    </w:p>
    <w:p w14:paraId="0B3F501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 141</w:t>
      </w:r>
      <w:r>
        <w:rPr>
          <w:rFonts w:hint="eastAsia" w:ascii="仿宋" w:hAnsi="仿宋" w:eastAsia="仿宋" w:cs="仿宋"/>
          <w:color w:val="auto"/>
          <w:spacing w:val="6"/>
          <w:sz w:val="24"/>
          <w:szCs w:val="24"/>
          <w:highlight w:val="none"/>
        </w:rPr>
        <w:t>号）的规定，本单位为符合条件的残疾人福利性单位，且本单位参加</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rPr>
        <w:t>单位的</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5EF33CF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36AA35DB">
      <w:pPr>
        <w:spacing w:line="360" w:lineRule="auto"/>
        <w:ind w:firstLine="504" w:firstLineChars="200"/>
        <w:rPr>
          <w:rFonts w:hint="eastAsia" w:ascii="仿宋" w:hAnsi="仿宋" w:eastAsia="仿宋" w:cs="仿宋"/>
          <w:color w:val="auto"/>
          <w:spacing w:val="6"/>
          <w:sz w:val="24"/>
          <w:szCs w:val="24"/>
          <w:highlight w:val="none"/>
        </w:rPr>
      </w:pPr>
    </w:p>
    <w:p w14:paraId="6296D94C">
      <w:pPr>
        <w:spacing w:line="360" w:lineRule="auto"/>
        <w:ind w:firstLine="504" w:firstLineChars="200"/>
        <w:rPr>
          <w:rFonts w:hint="eastAsia" w:ascii="仿宋" w:hAnsi="仿宋" w:eastAsia="仿宋" w:cs="仿宋"/>
          <w:color w:val="auto"/>
          <w:spacing w:val="6"/>
          <w:sz w:val="24"/>
          <w:szCs w:val="24"/>
          <w:highlight w:val="none"/>
        </w:rPr>
      </w:pPr>
    </w:p>
    <w:p w14:paraId="358728ED">
      <w:pPr>
        <w:tabs>
          <w:tab w:val="left" w:pos="4860"/>
        </w:tabs>
        <w:spacing w:line="360" w:lineRule="auto"/>
        <w:ind w:right="1560"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单位名称（盖章）：</w:t>
      </w:r>
    </w:p>
    <w:p w14:paraId="3AEFDDAD">
      <w:pPr>
        <w:tabs>
          <w:tab w:val="left" w:pos="4860"/>
        </w:tabs>
        <w:spacing w:line="360" w:lineRule="auto"/>
        <w:ind w:right="1560" w:firstLine="504" w:firstLineChars="200"/>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                                           日  期：</w:t>
      </w:r>
    </w:p>
    <w:p w14:paraId="6313BF33">
      <w:pPr>
        <w:spacing w:line="360" w:lineRule="auto"/>
        <w:rPr>
          <w:rFonts w:hint="eastAsia" w:ascii="仿宋" w:hAnsi="仿宋" w:eastAsia="仿宋" w:cs="仿宋"/>
          <w:color w:val="auto"/>
          <w:sz w:val="24"/>
          <w:szCs w:val="24"/>
          <w:highlight w:val="none"/>
        </w:rPr>
      </w:pPr>
    </w:p>
    <w:p w14:paraId="12F4C7C6">
      <w:pPr>
        <w:spacing w:line="360" w:lineRule="auto"/>
        <w:rPr>
          <w:rFonts w:hint="eastAsia" w:ascii="仿宋" w:hAnsi="仿宋" w:eastAsia="仿宋" w:cs="仿宋"/>
          <w:color w:val="auto"/>
          <w:sz w:val="24"/>
          <w:szCs w:val="24"/>
          <w:highlight w:val="none"/>
        </w:rPr>
      </w:pPr>
    </w:p>
    <w:p w14:paraId="2487C2BE">
      <w:pPr>
        <w:spacing w:line="360" w:lineRule="auto"/>
        <w:rPr>
          <w:rFonts w:hint="eastAsia" w:ascii="仿宋" w:hAnsi="仿宋" w:eastAsia="仿宋" w:cs="仿宋"/>
          <w:color w:val="auto"/>
          <w:sz w:val="24"/>
          <w:szCs w:val="24"/>
          <w:highlight w:val="none"/>
        </w:rPr>
      </w:pPr>
    </w:p>
    <w:p w14:paraId="2147CD84">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4DE282FE">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附件三、</w:t>
      </w:r>
    </w:p>
    <w:p w14:paraId="5B6D9060">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监狱企业证明文件</w:t>
      </w:r>
    </w:p>
    <w:p w14:paraId="1F622E0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监狱企业参加政府采购活动时，应当提供由省级以上监狱管理局、戒毒管理局（含新疆生产建设兵团）出具的属于监狱企业的证明文件。</w:t>
      </w:r>
    </w:p>
    <w:p w14:paraId="742289F1">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21E4CE8A">
      <w:pPr>
        <w:widowControl/>
        <w:spacing w:line="360" w:lineRule="auto"/>
        <w:jc w:val="left"/>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b/>
          <w:color w:val="auto"/>
          <w:kern w:val="0"/>
          <w:sz w:val="24"/>
          <w:szCs w:val="24"/>
          <w:highlight w:val="none"/>
        </w:rPr>
        <w:t>附件</w:t>
      </w:r>
      <w:r>
        <w:rPr>
          <w:rStyle w:val="41"/>
          <w:rFonts w:hint="eastAsia" w:ascii="仿宋" w:hAnsi="仿宋" w:eastAsia="仿宋" w:cs="仿宋"/>
          <w:color w:val="auto"/>
          <w:kern w:val="0"/>
          <w:sz w:val="24"/>
          <w:szCs w:val="24"/>
          <w:highlight w:val="none"/>
          <w:shd w:val="clear" w:color="auto" w:fill="FFFFFF" w:themeFill="background1"/>
          <w:lang w:val="en-US" w:eastAsia="zh-CN"/>
        </w:rPr>
        <w:t>四</w:t>
      </w:r>
      <w:r>
        <w:rPr>
          <w:rStyle w:val="41"/>
          <w:rFonts w:hint="eastAsia" w:ascii="仿宋" w:hAnsi="仿宋" w:eastAsia="仿宋" w:cs="仿宋"/>
          <w:color w:val="auto"/>
          <w:kern w:val="0"/>
          <w:sz w:val="24"/>
          <w:szCs w:val="24"/>
          <w:highlight w:val="none"/>
          <w:shd w:val="clear" w:color="auto" w:fill="FFFFFF" w:themeFill="background1"/>
        </w:rPr>
        <w:t>、</w:t>
      </w:r>
    </w:p>
    <w:p w14:paraId="7E3B7E6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5DA511C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关于符合本国产品标准的声明函</w:t>
      </w:r>
    </w:p>
    <w:p w14:paraId="6C978DB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4955433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0FFA31C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w:t>
      </w:r>
      <w:r>
        <w:rPr>
          <w:rStyle w:val="44"/>
          <w:rFonts w:hint="eastAsia" w:ascii="仿宋" w:hAnsi="仿宋" w:eastAsia="仿宋" w:cs="仿宋"/>
          <w:i w:val="0"/>
          <w:iCs w:val="0"/>
          <w:caps w:val="0"/>
          <w:color w:val="auto"/>
          <w:spacing w:val="0"/>
          <w:sz w:val="24"/>
          <w:szCs w:val="24"/>
          <w:highlight w:val="none"/>
          <w:shd w:val="clear" w:fill="FFFFFF"/>
        </w:rPr>
        <w:t>（产品名称1）</w:t>
      </w:r>
      <w:r>
        <w:rPr>
          <w:rStyle w:val="44"/>
          <w:rFonts w:hint="eastAsia" w:ascii="仿宋" w:hAnsi="仿宋" w:eastAsia="仿宋" w:cs="仿宋"/>
          <w:i w:val="0"/>
          <w:iCs w:val="0"/>
          <w:caps w:val="0"/>
          <w:color w:val="auto"/>
          <w:spacing w:val="0"/>
          <w:sz w:val="24"/>
          <w:szCs w:val="24"/>
          <w:highlight w:val="none"/>
          <w:shd w:val="clear" w:fill="FFFFFF"/>
          <w:vertAlign w:val="superscript"/>
        </w:rPr>
        <w:t>1</w:t>
      </w:r>
      <w:r>
        <w:rPr>
          <w:rFonts w:hint="eastAsia" w:ascii="仿宋" w:hAnsi="仿宋" w:eastAsia="仿宋" w:cs="仿宋"/>
          <w:i w:val="0"/>
          <w:iCs w:val="0"/>
          <w:caps w:val="0"/>
          <w:color w:val="auto"/>
          <w:spacing w:val="0"/>
          <w:sz w:val="24"/>
          <w:szCs w:val="24"/>
          <w:highlight w:val="none"/>
          <w:shd w:val="clear" w:fill="FFFFFF"/>
        </w:rPr>
        <w:t>，生产厂为</w:t>
      </w:r>
      <w:r>
        <w:rPr>
          <w:rStyle w:val="44"/>
          <w:rFonts w:hint="eastAsia" w:ascii="仿宋" w:hAnsi="仿宋" w:eastAsia="仿宋" w:cs="仿宋"/>
          <w:i w:val="0"/>
          <w:iCs w:val="0"/>
          <w:caps w:val="0"/>
          <w:color w:val="auto"/>
          <w:spacing w:val="0"/>
          <w:sz w:val="24"/>
          <w:szCs w:val="24"/>
          <w:highlight w:val="none"/>
          <w:shd w:val="clear" w:fill="FFFFFF"/>
        </w:rPr>
        <w:t>（厂名）</w:t>
      </w:r>
      <w:r>
        <w:rPr>
          <w:rStyle w:val="44"/>
          <w:rFonts w:hint="eastAsia" w:ascii="仿宋" w:hAnsi="仿宋" w:eastAsia="仿宋" w:cs="仿宋"/>
          <w:i w:val="0"/>
          <w:iCs w:val="0"/>
          <w:caps w:val="0"/>
          <w:color w:val="auto"/>
          <w:spacing w:val="0"/>
          <w:sz w:val="24"/>
          <w:szCs w:val="24"/>
          <w:highlight w:val="none"/>
          <w:shd w:val="clear" w:fill="FFFFFF"/>
          <w:vertAlign w:val="superscript"/>
        </w:rPr>
        <w:t>2</w:t>
      </w:r>
      <w:r>
        <w:rPr>
          <w:rFonts w:hint="eastAsia" w:ascii="仿宋" w:hAnsi="仿宋" w:eastAsia="仿宋" w:cs="仿宋"/>
          <w:i w:val="0"/>
          <w:iCs w:val="0"/>
          <w:caps w:val="0"/>
          <w:color w:val="auto"/>
          <w:spacing w:val="0"/>
          <w:sz w:val="24"/>
          <w:szCs w:val="24"/>
          <w:highlight w:val="none"/>
          <w:shd w:val="clear" w:fill="FFFFFF"/>
        </w:rPr>
        <w:t>，厂址为</w:t>
      </w:r>
      <w:r>
        <w:rPr>
          <w:rStyle w:val="44"/>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44"/>
          <w:rFonts w:hint="eastAsia" w:ascii="仿宋" w:hAnsi="仿宋" w:eastAsia="仿宋" w:cs="仿宋"/>
          <w:i w:val="0"/>
          <w:iCs w:val="0"/>
          <w:caps w:val="0"/>
          <w:color w:val="auto"/>
          <w:spacing w:val="0"/>
          <w:sz w:val="24"/>
          <w:szCs w:val="24"/>
          <w:highlight w:val="none"/>
          <w:shd w:val="clear" w:fill="FFFFFF"/>
        </w:rPr>
        <w:t>（规定比例）</w:t>
      </w:r>
      <w:r>
        <w:rPr>
          <w:rStyle w:val="44"/>
          <w:rFonts w:hint="eastAsia" w:ascii="仿宋" w:hAnsi="仿宋" w:eastAsia="仿宋" w:cs="仿宋"/>
          <w:i w:val="0"/>
          <w:iCs w:val="0"/>
          <w:caps w:val="0"/>
          <w:color w:val="auto"/>
          <w:spacing w:val="0"/>
          <w:sz w:val="24"/>
          <w:szCs w:val="24"/>
          <w:highlight w:val="none"/>
          <w:shd w:val="clear" w:fill="FFFFFF"/>
          <w:vertAlign w:val="superscript"/>
        </w:rPr>
        <w:t>3</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（关键组件）</w:t>
      </w:r>
      <w:r>
        <w:rPr>
          <w:rStyle w:val="44"/>
          <w:rFonts w:hint="eastAsia" w:ascii="仿宋" w:hAnsi="仿宋" w:eastAsia="仿宋" w:cs="仿宋"/>
          <w:i w:val="0"/>
          <w:iCs w:val="0"/>
          <w:caps w:val="0"/>
          <w:color w:val="auto"/>
          <w:spacing w:val="0"/>
          <w:sz w:val="24"/>
          <w:szCs w:val="24"/>
          <w:highlight w:val="none"/>
          <w:shd w:val="clear" w:fill="FFFFFF"/>
          <w:vertAlign w:val="superscript"/>
        </w:rPr>
        <w:t>4</w:t>
      </w:r>
      <w:r>
        <w:rPr>
          <w:rFonts w:hint="eastAsia" w:ascii="仿宋" w:hAnsi="仿宋" w:eastAsia="仿宋" w:cs="仿宋"/>
          <w:i w:val="0"/>
          <w:iCs w:val="0"/>
          <w:caps w:val="0"/>
          <w:color w:val="auto"/>
          <w:spacing w:val="0"/>
          <w:sz w:val="24"/>
          <w:szCs w:val="24"/>
          <w:highlight w:val="none"/>
          <w:shd w:val="clear" w:fill="FFFFFF"/>
        </w:rPr>
        <w:t>在中国境内生产。</w:t>
      </w:r>
      <w:r>
        <w:rPr>
          <w:rStyle w:val="44"/>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（关键工序）</w:t>
      </w:r>
      <w:r>
        <w:rPr>
          <w:rStyle w:val="44"/>
          <w:rFonts w:hint="eastAsia" w:ascii="仿宋" w:hAnsi="仿宋" w:eastAsia="仿宋" w:cs="仿宋"/>
          <w:i w:val="0"/>
          <w:iCs w:val="0"/>
          <w:caps w:val="0"/>
          <w:color w:val="auto"/>
          <w:spacing w:val="0"/>
          <w:sz w:val="24"/>
          <w:szCs w:val="24"/>
          <w:highlight w:val="none"/>
          <w:shd w:val="clear" w:fill="FFFFFF"/>
          <w:vertAlign w:val="superscript"/>
        </w:rPr>
        <w:t>5</w:t>
      </w:r>
      <w:r>
        <w:rPr>
          <w:rFonts w:hint="eastAsia" w:ascii="仿宋" w:hAnsi="仿宋" w:eastAsia="仿宋" w:cs="仿宋"/>
          <w:i w:val="0"/>
          <w:iCs w:val="0"/>
          <w:caps w:val="0"/>
          <w:color w:val="auto"/>
          <w:spacing w:val="0"/>
          <w:sz w:val="24"/>
          <w:szCs w:val="24"/>
          <w:highlight w:val="none"/>
          <w:shd w:val="clear" w:fill="FFFFFF"/>
        </w:rPr>
        <w:t>在中国境内完成。</w:t>
      </w:r>
    </w:p>
    <w:p w14:paraId="57653128">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，生产厂为</w:t>
      </w:r>
      <w:r>
        <w:rPr>
          <w:rStyle w:val="44"/>
          <w:rFonts w:hint="eastAsia" w:ascii="仿宋" w:hAnsi="仿宋" w:eastAsia="仿宋" w:cs="仿宋"/>
          <w:i w:val="0"/>
          <w:iCs w:val="0"/>
          <w:caps w:val="0"/>
          <w:color w:val="auto"/>
          <w:spacing w:val="0"/>
          <w:sz w:val="24"/>
          <w:szCs w:val="24"/>
          <w:highlight w:val="none"/>
          <w:shd w:val="clear" w:fill="FFFFFF"/>
        </w:rPr>
        <w:t>（厂名）</w:t>
      </w:r>
      <w:r>
        <w:rPr>
          <w:rFonts w:hint="eastAsia" w:ascii="仿宋" w:hAnsi="仿宋" w:eastAsia="仿宋" w:cs="仿宋"/>
          <w:i w:val="0"/>
          <w:iCs w:val="0"/>
          <w:caps w:val="0"/>
          <w:color w:val="auto"/>
          <w:spacing w:val="0"/>
          <w:sz w:val="24"/>
          <w:szCs w:val="24"/>
          <w:highlight w:val="none"/>
          <w:shd w:val="clear" w:fill="FFFFFF"/>
        </w:rPr>
        <w:t>，厂址为</w:t>
      </w:r>
      <w:r>
        <w:rPr>
          <w:rStyle w:val="44"/>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44"/>
          <w:rFonts w:hint="eastAsia" w:ascii="仿宋" w:hAnsi="仿宋" w:eastAsia="仿宋" w:cs="仿宋"/>
          <w:i w:val="0"/>
          <w:iCs w:val="0"/>
          <w:caps w:val="0"/>
          <w:color w:val="auto"/>
          <w:spacing w:val="0"/>
          <w:sz w:val="24"/>
          <w:szCs w:val="24"/>
          <w:highlight w:val="none"/>
          <w:shd w:val="clear" w:fill="FFFFFF"/>
        </w:rPr>
        <w:t>（规定比例）</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（关键组件）</w:t>
      </w:r>
      <w:r>
        <w:rPr>
          <w:rFonts w:hint="eastAsia" w:ascii="仿宋" w:hAnsi="仿宋" w:eastAsia="仿宋" w:cs="仿宋"/>
          <w:i w:val="0"/>
          <w:iCs w:val="0"/>
          <w:caps w:val="0"/>
          <w:color w:val="auto"/>
          <w:spacing w:val="0"/>
          <w:sz w:val="24"/>
          <w:szCs w:val="24"/>
          <w:highlight w:val="none"/>
          <w:shd w:val="clear" w:fill="FFFFFF"/>
        </w:rPr>
        <w:t>在中国境内生产。</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（关键工序）</w:t>
      </w:r>
      <w:r>
        <w:rPr>
          <w:rFonts w:hint="eastAsia" w:ascii="仿宋" w:hAnsi="仿宋" w:eastAsia="仿宋" w:cs="仿宋"/>
          <w:i w:val="0"/>
          <w:iCs w:val="0"/>
          <w:caps w:val="0"/>
          <w:color w:val="auto"/>
          <w:spacing w:val="0"/>
          <w:sz w:val="24"/>
          <w:szCs w:val="24"/>
          <w:highlight w:val="none"/>
          <w:shd w:val="clear" w:fill="FFFFFF"/>
        </w:rPr>
        <w:t>在中国境内完成。</w:t>
      </w:r>
    </w:p>
    <w:p w14:paraId="1D49396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w:t>
      </w:r>
    </w:p>
    <w:p w14:paraId="7AD66A7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本公司（单位）对上述声明内容的真实性负责。如有虚假，愿承担相应法律责任。</w:t>
      </w:r>
    </w:p>
    <w:p w14:paraId="25E093D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公司（单位）名称（盖章）：      </w:t>
      </w:r>
    </w:p>
    <w:p w14:paraId="1B4B1E0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日期：　　　　　年　　月　日    </w:t>
      </w:r>
    </w:p>
    <w:p w14:paraId="69EE336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1494EAF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14ADBBA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u w:val="single"/>
          <w:shd w:val="clear" w:fill="FFFFFF"/>
          <w:lang w:val="en-US" w:eastAsia="zh-CN"/>
        </w:rPr>
      </w:pPr>
      <w:r>
        <w:rPr>
          <w:rFonts w:hint="eastAsia" w:ascii="仿宋" w:hAnsi="仿宋" w:eastAsia="仿宋" w:cs="仿宋"/>
          <w:i w:val="0"/>
          <w:iCs w:val="0"/>
          <w:caps w:val="0"/>
          <w:color w:val="auto"/>
          <w:spacing w:val="0"/>
          <w:sz w:val="24"/>
          <w:szCs w:val="24"/>
          <w:highlight w:val="none"/>
          <w:u w:val="single"/>
          <w:shd w:val="clear" w:fill="FFFFFF"/>
          <w:lang w:val="en-US" w:eastAsia="zh-CN"/>
        </w:rPr>
        <w:t xml:space="preserve">                                                                         </w:t>
      </w:r>
    </w:p>
    <w:p w14:paraId="0BADD42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1.产品如有型号，请在“产品名称”栏一并填写。</w:t>
      </w:r>
    </w:p>
    <w:p w14:paraId="6573FBC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2.生产厂名与厂址应与生产厂营业执照载明的相关信息保持一致。</w:t>
      </w:r>
    </w:p>
    <w:p w14:paraId="133B30C8">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3.该产品的中国境内生产的组件成本占比相关要求实施前，“规定比例”栏可不填，下同。</w:t>
      </w:r>
    </w:p>
    <w:p w14:paraId="65490CD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4.该产品的关键组件要求实施前，“关键组件”栏可不填，下同。</w:t>
      </w:r>
    </w:p>
    <w:p w14:paraId="2820687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5.该产品的关键工序要求实施前，“关键工序”栏可不填，下同。</w:t>
      </w:r>
    </w:p>
    <w:p w14:paraId="4A49826C">
      <w:pPr>
        <w:spacing w:line="360" w:lineRule="auto"/>
        <w:ind w:firstLine="504" w:firstLineChars="200"/>
        <w:rPr>
          <w:rFonts w:hint="eastAsia" w:ascii="仿宋" w:hAnsi="仿宋" w:eastAsia="仿宋" w:cs="仿宋"/>
          <w:color w:val="auto"/>
          <w:spacing w:val="6"/>
          <w:sz w:val="24"/>
          <w:szCs w:val="24"/>
          <w:highlight w:val="none"/>
        </w:rPr>
      </w:pPr>
    </w:p>
    <w:p w14:paraId="0C916325">
      <w:pPr>
        <w:widowControl/>
        <w:adjustRightInd w:val="0"/>
        <w:snapToGrid w:val="0"/>
        <w:spacing w:line="360" w:lineRule="auto"/>
        <w:rPr>
          <w:rFonts w:hint="eastAsia" w:ascii="仿宋" w:hAnsi="仿宋" w:eastAsia="仿宋" w:cs="仿宋"/>
          <w:color w:val="auto"/>
          <w:sz w:val="24"/>
          <w:szCs w:val="24"/>
          <w:highlight w:val="none"/>
        </w:rPr>
      </w:pPr>
    </w:p>
    <w:p w14:paraId="34FD001E">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280" w:name="_Toc130252627"/>
      <w:bookmarkStart w:id="281" w:name="_Toc110707972"/>
      <w:bookmarkStart w:id="282" w:name="_Toc18236"/>
      <w:bookmarkStart w:id="283" w:name="_Toc10677"/>
      <w:bookmarkStart w:id="284" w:name="_Toc109941772"/>
      <w:bookmarkStart w:id="285" w:name="_Toc27167"/>
      <w:bookmarkStart w:id="286" w:name="_Toc29769"/>
      <w:bookmarkStart w:id="287" w:name="_Toc109921165"/>
      <w:bookmarkStart w:id="288" w:name="_Toc20402"/>
      <w:r>
        <w:rPr>
          <w:rFonts w:hint="eastAsia" w:ascii="仿宋" w:hAnsi="仿宋" w:eastAsia="仿宋" w:cs="仿宋"/>
          <w:b/>
          <w:color w:val="auto"/>
          <w:sz w:val="24"/>
          <w:szCs w:val="24"/>
          <w:highlight w:val="none"/>
        </w:rPr>
        <w:t>九、投标人近年类似项目情况表</w:t>
      </w:r>
      <w:bookmarkEnd w:id="280"/>
      <w:bookmarkEnd w:id="281"/>
      <w:bookmarkEnd w:id="282"/>
      <w:bookmarkEnd w:id="283"/>
      <w:bookmarkEnd w:id="284"/>
      <w:bookmarkEnd w:id="285"/>
      <w:bookmarkEnd w:id="286"/>
      <w:bookmarkEnd w:id="287"/>
      <w:bookmarkEnd w:id="288"/>
    </w:p>
    <w:p w14:paraId="2434995A">
      <w:pPr>
        <w:spacing w:line="360" w:lineRule="auto"/>
        <w:jc w:val="left"/>
        <w:rPr>
          <w:rFonts w:hint="eastAsia" w:ascii="仿宋" w:hAnsi="仿宋" w:eastAsia="仿宋" w:cs="仿宋"/>
          <w:color w:val="auto"/>
          <w:sz w:val="24"/>
          <w:szCs w:val="24"/>
          <w:highlight w:val="none"/>
        </w:rPr>
      </w:pPr>
    </w:p>
    <w:tbl>
      <w:tblPr>
        <w:tblStyle w:val="3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1233"/>
        <w:gridCol w:w="963"/>
        <w:gridCol w:w="1922"/>
        <w:gridCol w:w="1212"/>
        <w:gridCol w:w="1232"/>
        <w:gridCol w:w="1232"/>
        <w:gridCol w:w="795"/>
      </w:tblGrid>
      <w:tr w14:paraId="53DDC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015A38BA">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1233" w:type="dxa"/>
            <w:shd w:val="clear" w:color="auto" w:fill="auto"/>
          </w:tcPr>
          <w:p w14:paraId="21753EC2">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963" w:type="dxa"/>
            <w:shd w:val="clear" w:color="auto" w:fill="auto"/>
          </w:tcPr>
          <w:p w14:paraId="128BBB8A">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w:t>
            </w:r>
          </w:p>
        </w:tc>
        <w:tc>
          <w:tcPr>
            <w:tcW w:w="1922" w:type="dxa"/>
            <w:shd w:val="clear" w:color="auto" w:fill="auto"/>
          </w:tcPr>
          <w:p w14:paraId="0F9D09DB">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采购人联系方式</w:t>
            </w:r>
          </w:p>
        </w:tc>
        <w:tc>
          <w:tcPr>
            <w:tcW w:w="1212" w:type="dxa"/>
            <w:shd w:val="clear" w:color="auto" w:fill="auto"/>
          </w:tcPr>
          <w:p w14:paraId="7A3797FB">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合同内容</w:t>
            </w:r>
          </w:p>
        </w:tc>
        <w:tc>
          <w:tcPr>
            <w:tcW w:w="1232" w:type="dxa"/>
            <w:shd w:val="clear" w:color="auto" w:fill="auto"/>
          </w:tcPr>
          <w:p w14:paraId="0F7D9294">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合同价格</w:t>
            </w:r>
          </w:p>
        </w:tc>
        <w:tc>
          <w:tcPr>
            <w:tcW w:w="1232" w:type="dxa"/>
            <w:shd w:val="clear" w:color="auto" w:fill="auto"/>
          </w:tcPr>
          <w:p w14:paraId="3B61179B">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签约日期</w:t>
            </w:r>
          </w:p>
        </w:tc>
        <w:tc>
          <w:tcPr>
            <w:tcW w:w="795" w:type="dxa"/>
            <w:shd w:val="clear" w:color="auto" w:fill="auto"/>
          </w:tcPr>
          <w:p w14:paraId="015CCB85">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tc>
      </w:tr>
      <w:tr w14:paraId="615A3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30328BBE">
            <w:pPr>
              <w:rPr>
                <w:rFonts w:hint="eastAsia" w:ascii="仿宋" w:hAnsi="仿宋" w:eastAsia="仿宋" w:cs="仿宋"/>
                <w:color w:val="auto"/>
                <w:kern w:val="0"/>
                <w:sz w:val="24"/>
                <w:szCs w:val="24"/>
                <w:highlight w:val="none"/>
              </w:rPr>
            </w:pPr>
          </w:p>
        </w:tc>
        <w:tc>
          <w:tcPr>
            <w:tcW w:w="1233" w:type="dxa"/>
            <w:shd w:val="clear" w:color="auto" w:fill="auto"/>
          </w:tcPr>
          <w:p w14:paraId="4B5D9A30">
            <w:pPr>
              <w:rPr>
                <w:rFonts w:hint="eastAsia" w:ascii="仿宋" w:hAnsi="仿宋" w:eastAsia="仿宋" w:cs="仿宋"/>
                <w:color w:val="auto"/>
                <w:kern w:val="0"/>
                <w:sz w:val="24"/>
                <w:szCs w:val="24"/>
                <w:highlight w:val="none"/>
              </w:rPr>
            </w:pPr>
          </w:p>
        </w:tc>
        <w:tc>
          <w:tcPr>
            <w:tcW w:w="963" w:type="dxa"/>
            <w:shd w:val="clear" w:color="auto" w:fill="auto"/>
          </w:tcPr>
          <w:p w14:paraId="6A24E65F">
            <w:pPr>
              <w:rPr>
                <w:rFonts w:hint="eastAsia" w:ascii="仿宋" w:hAnsi="仿宋" w:eastAsia="仿宋" w:cs="仿宋"/>
                <w:color w:val="auto"/>
                <w:kern w:val="0"/>
                <w:sz w:val="24"/>
                <w:szCs w:val="24"/>
                <w:highlight w:val="none"/>
              </w:rPr>
            </w:pPr>
          </w:p>
        </w:tc>
        <w:tc>
          <w:tcPr>
            <w:tcW w:w="1922" w:type="dxa"/>
            <w:shd w:val="clear" w:color="auto" w:fill="auto"/>
          </w:tcPr>
          <w:p w14:paraId="76900A40">
            <w:pPr>
              <w:rPr>
                <w:rFonts w:hint="eastAsia" w:ascii="仿宋" w:hAnsi="仿宋" w:eastAsia="仿宋" w:cs="仿宋"/>
                <w:color w:val="auto"/>
                <w:kern w:val="0"/>
                <w:sz w:val="24"/>
                <w:szCs w:val="24"/>
                <w:highlight w:val="none"/>
              </w:rPr>
            </w:pPr>
          </w:p>
        </w:tc>
        <w:tc>
          <w:tcPr>
            <w:tcW w:w="1212" w:type="dxa"/>
            <w:shd w:val="clear" w:color="auto" w:fill="auto"/>
          </w:tcPr>
          <w:p w14:paraId="4BB21EF8">
            <w:pPr>
              <w:rPr>
                <w:rFonts w:hint="eastAsia" w:ascii="仿宋" w:hAnsi="仿宋" w:eastAsia="仿宋" w:cs="仿宋"/>
                <w:color w:val="auto"/>
                <w:kern w:val="0"/>
                <w:sz w:val="24"/>
                <w:szCs w:val="24"/>
                <w:highlight w:val="none"/>
              </w:rPr>
            </w:pPr>
          </w:p>
        </w:tc>
        <w:tc>
          <w:tcPr>
            <w:tcW w:w="1232" w:type="dxa"/>
            <w:shd w:val="clear" w:color="auto" w:fill="auto"/>
          </w:tcPr>
          <w:p w14:paraId="1C06F1D2">
            <w:pPr>
              <w:rPr>
                <w:rFonts w:hint="eastAsia" w:ascii="仿宋" w:hAnsi="仿宋" w:eastAsia="仿宋" w:cs="仿宋"/>
                <w:color w:val="auto"/>
                <w:kern w:val="0"/>
                <w:sz w:val="24"/>
                <w:szCs w:val="24"/>
                <w:highlight w:val="none"/>
              </w:rPr>
            </w:pPr>
          </w:p>
        </w:tc>
        <w:tc>
          <w:tcPr>
            <w:tcW w:w="1232" w:type="dxa"/>
            <w:shd w:val="clear" w:color="auto" w:fill="auto"/>
          </w:tcPr>
          <w:p w14:paraId="182A4455">
            <w:pPr>
              <w:rPr>
                <w:rFonts w:hint="eastAsia" w:ascii="仿宋" w:hAnsi="仿宋" w:eastAsia="仿宋" w:cs="仿宋"/>
                <w:color w:val="auto"/>
                <w:kern w:val="0"/>
                <w:sz w:val="24"/>
                <w:szCs w:val="24"/>
                <w:highlight w:val="none"/>
              </w:rPr>
            </w:pPr>
          </w:p>
        </w:tc>
        <w:tc>
          <w:tcPr>
            <w:tcW w:w="795" w:type="dxa"/>
            <w:shd w:val="clear" w:color="auto" w:fill="auto"/>
          </w:tcPr>
          <w:p w14:paraId="432C2434">
            <w:pPr>
              <w:rPr>
                <w:rFonts w:hint="eastAsia" w:ascii="仿宋" w:hAnsi="仿宋" w:eastAsia="仿宋" w:cs="仿宋"/>
                <w:color w:val="auto"/>
                <w:kern w:val="0"/>
                <w:sz w:val="24"/>
                <w:szCs w:val="24"/>
                <w:highlight w:val="none"/>
              </w:rPr>
            </w:pPr>
          </w:p>
        </w:tc>
      </w:tr>
      <w:tr w14:paraId="64F7E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622D50D3">
            <w:pPr>
              <w:rPr>
                <w:rFonts w:hint="eastAsia" w:ascii="仿宋" w:hAnsi="仿宋" w:eastAsia="仿宋" w:cs="仿宋"/>
                <w:color w:val="auto"/>
                <w:kern w:val="0"/>
                <w:sz w:val="24"/>
                <w:szCs w:val="24"/>
                <w:highlight w:val="none"/>
              </w:rPr>
            </w:pPr>
          </w:p>
        </w:tc>
        <w:tc>
          <w:tcPr>
            <w:tcW w:w="1233" w:type="dxa"/>
            <w:shd w:val="clear" w:color="auto" w:fill="auto"/>
          </w:tcPr>
          <w:p w14:paraId="0F21C7B5">
            <w:pPr>
              <w:rPr>
                <w:rFonts w:hint="eastAsia" w:ascii="仿宋" w:hAnsi="仿宋" w:eastAsia="仿宋" w:cs="仿宋"/>
                <w:color w:val="auto"/>
                <w:kern w:val="0"/>
                <w:sz w:val="24"/>
                <w:szCs w:val="24"/>
                <w:highlight w:val="none"/>
              </w:rPr>
            </w:pPr>
          </w:p>
        </w:tc>
        <w:tc>
          <w:tcPr>
            <w:tcW w:w="963" w:type="dxa"/>
            <w:shd w:val="clear" w:color="auto" w:fill="auto"/>
          </w:tcPr>
          <w:p w14:paraId="62D2FF2A">
            <w:pPr>
              <w:rPr>
                <w:rFonts w:hint="eastAsia" w:ascii="仿宋" w:hAnsi="仿宋" w:eastAsia="仿宋" w:cs="仿宋"/>
                <w:color w:val="auto"/>
                <w:kern w:val="0"/>
                <w:sz w:val="24"/>
                <w:szCs w:val="24"/>
                <w:highlight w:val="none"/>
              </w:rPr>
            </w:pPr>
          </w:p>
        </w:tc>
        <w:tc>
          <w:tcPr>
            <w:tcW w:w="1922" w:type="dxa"/>
            <w:shd w:val="clear" w:color="auto" w:fill="auto"/>
          </w:tcPr>
          <w:p w14:paraId="6812D62B">
            <w:pPr>
              <w:rPr>
                <w:rFonts w:hint="eastAsia" w:ascii="仿宋" w:hAnsi="仿宋" w:eastAsia="仿宋" w:cs="仿宋"/>
                <w:color w:val="auto"/>
                <w:kern w:val="0"/>
                <w:sz w:val="24"/>
                <w:szCs w:val="24"/>
                <w:highlight w:val="none"/>
              </w:rPr>
            </w:pPr>
          </w:p>
        </w:tc>
        <w:tc>
          <w:tcPr>
            <w:tcW w:w="1212" w:type="dxa"/>
            <w:shd w:val="clear" w:color="auto" w:fill="auto"/>
          </w:tcPr>
          <w:p w14:paraId="6390B1F3">
            <w:pPr>
              <w:rPr>
                <w:rFonts w:hint="eastAsia" w:ascii="仿宋" w:hAnsi="仿宋" w:eastAsia="仿宋" w:cs="仿宋"/>
                <w:color w:val="auto"/>
                <w:kern w:val="0"/>
                <w:sz w:val="24"/>
                <w:szCs w:val="24"/>
                <w:highlight w:val="none"/>
              </w:rPr>
            </w:pPr>
          </w:p>
        </w:tc>
        <w:tc>
          <w:tcPr>
            <w:tcW w:w="1232" w:type="dxa"/>
            <w:shd w:val="clear" w:color="auto" w:fill="auto"/>
          </w:tcPr>
          <w:p w14:paraId="3A0A9FF4">
            <w:pPr>
              <w:rPr>
                <w:rFonts w:hint="eastAsia" w:ascii="仿宋" w:hAnsi="仿宋" w:eastAsia="仿宋" w:cs="仿宋"/>
                <w:color w:val="auto"/>
                <w:kern w:val="0"/>
                <w:sz w:val="24"/>
                <w:szCs w:val="24"/>
                <w:highlight w:val="none"/>
              </w:rPr>
            </w:pPr>
          </w:p>
        </w:tc>
        <w:tc>
          <w:tcPr>
            <w:tcW w:w="1232" w:type="dxa"/>
            <w:shd w:val="clear" w:color="auto" w:fill="auto"/>
          </w:tcPr>
          <w:p w14:paraId="39B959D2">
            <w:pPr>
              <w:rPr>
                <w:rFonts w:hint="eastAsia" w:ascii="仿宋" w:hAnsi="仿宋" w:eastAsia="仿宋" w:cs="仿宋"/>
                <w:color w:val="auto"/>
                <w:kern w:val="0"/>
                <w:sz w:val="24"/>
                <w:szCs w:val="24"/>
                <w:highlight w:val="none"/>
              </w:rPr>
            </w:pPr>
          </w:p>
        </w:tc>
        <w:tc>
          <w:tcPr>
            <w:tcW w:w="795" w:type="dxa"/>
            <w:shd w:val="clear" w:color="auto" w:fill="auto"/>
          </w:tcPr>
          <w:p w14:paraId="7821AC2C">
            <w:pPr>
              <w:rPr>
                <w:rFonts w:hint="eastAsia" w:ascii="仿宋" w:hAnsi="仿宋" w:eastAsia="仿宋" w:cs="仿宋"/>
                <w:color w:val="auto"/>
                <w:kern w:val="0"/>
                <w:sz w:val="24"/>
                <w:szCs w:val="24"/>
                <w:highlight w:val="none"/>
              </w:rPr>
            </w:pPr>
          </w:p>
        </w:tc>
      </w:tr>
      <w:tr w14:paraId="6EC9F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21CBFEE7">
            <w:pPr>
              <w:rPr>
                <w:rFonts w:hint="eastAsia" w:ascii="仿宋" w:hAnsi="仿宋" w:eastAsia="仿宋" w:cs="仿宋"/>
                <w:color w:val="auto"/>
                <w:kern w:val="0"/>
                <w:sz w:val="24"/>
                <w:szCs w:val="24"/>
                <w:highlight w:val="none"/>
              </w:rPr>
            </w:pPr>
          </w:p>
        </w:tc>
        <w:tc>
          <w:tcPr>
            <w:tcW w:w="1233" w:type="dxa"/>
            <w:shd w:val="clear" w:color="auto" w:fill="auto"/>
          </w:tcPr>
          <w:p w14:paraId="12547F1B">
            <w:pPr>
              <w:rPr>
                <w:rFonts w:hint="eastAsia" w:ascii="仿宋" w:hAnsi="仿宋" w:eastAsia="仿宋" w:cs="仿宋"/>
                <w:color w:val="auto"/>
                <w:kern w:val="0"/>
                <w:sz w:val="24"/>
                <w:szCs w:val="24"/>
                <w:highlight w:val="none"/>
              </w:rPr>
            </w:pPr>
          </w:p>
        </w:tc>
        <w:tc>
          <w:tcPr>
            <w:tcW w:w="963" w:type="dxa"/>
            <w:shd w:val="clear" w:color="auto" w:fill="auto"/>
          </w:tcPr>
          <w:p w14:paraId="4249A0ED">
            <w:pPr>
              <w:rPr>
                <w:rFonts w:hint="eastAsia" w:ascii="仿宋" w:hAnsi="仿宋" w:eastAsia="仿宋" w:cs="仿宋"/>
                <w:color w:val="auto"/>
                <w:kern w:val="0"/>
                <w:sz w:val="24"/>
                <w:szCs w:val="24"/>
                <w:highlight w:val="none"/>
              </w:rPr>
            </w:pPr>
          </w:p>
        </w:tc>
        <w:tc>
          <w:tcPr>
            <w:tcW w:w="1922" w:type="dxa"/>
            <w:shd w:val="clear" w:color="auto" w:fill="auto"/>
          </w:tcPr>
          <w:p w14:paraId="3D1CF853">
            <w:pPr>
              <w:rPr>
                <w:rFonts w:hint="eastAsia" w:ascii="仿宋" w:hAnsi="仿宋" w:eastAsia="仿宋" w:cs="仿宋"/>
                <w:color w:val="auto"/>
                <w:kern w:val="0"/>
                <w:sz w:val="24"/>
                <w:szCs w:val="24"/>
                <w:highlight w:val="none"/>
              </w:rPr>
            </w:pPr>
          </w:p>
        </w:tc>
        <w:tc>
          <w:tcPr>
            <w:tcW w:w="1212" w:type="dxa"/>
            <w:shd w:val="clear" w:color="auto" w:fill="auto"/>
          </w:tcPr>
          <w:p w14:paraId="12EB9617">
            <w:pPr>
              <w:rPr>
                <w:rFonts w:hint="eastAsia" w:ascii="仿宋" w:hAnsi="仿宋" w:eastAsia="仿宋" w:cs="仿宋"/>
                <w:color w:val="auto"/>
                <w:kern w:val="0"/>
                <w:sz w:val="24"/>
                <w:szCs w:val="24"/>
                <w:highlight w:val="none"/>
              </w:rPr>
            </w:pPr>
          </w:p>
        </w:tc>
        <w:tc>
          <w:tcPr>
            <w:tcW w:w="1232" w:type="dxa"/>
            <w:shd w:val="clear" w:color="auto" w:fill="auto"/>
          </w:tcPr>
          <w:p w14:paraId="56B4AB62">
            <w:pPr>
              <w:rPr>
                <w:rFonts w:hint="eastAsia" w:ascii="仿宋" w:hAnsi="仿宋" w:eastAsia="仿宋" w:cs="仿宋"/>
                <w:color w:val="auto"/>
                <w:kern w:val="0"/>
                <w:sz w:val="24"/>
                <w:szCs w:val="24"/>
                <w:highlight w:val="none"/>
              </w:rPr>
            </w:pPr>
          </w:p>
        </w:tc>
        <w:tc>
          <w:tcPr>
            <w:tcW w:w="1232" w:type="dxa"/>
            <w:shd w:val="clear" w:color="auto" w:fill="auto"/>
          </w:tcPr>
          <w:p w14:paraId="69746B5E">
            <w:pPr>
              <w:rPr>
                <w:rFonts w:hint="eastAsia" w:ascii="仿宋" w:hAnsi="仿宋" w:eastAsia="仿宋" w:cs="仿宋"/>
                <w:color w:val="auto"/>
                <w:kern w:val="0"/>
                <w:sz w:val="24"/>
                <w:szCs w:val="24"/>
                <w:highlight w:val="none"/>
              </w:rPr>
            </w:pPr>
          </w:p>
        </w:tc>
        <w:tc>
          <w:tcPr>
            <w:tcW w:w="795" w:type="dxa"/>
            <w:shd w:val="clear" w:color="auto" w:fill="auto"/>
          </w:tcPr>
          <w:p w14:paraId="0E670088">
            <w:pPr>
              <w:rPr>
                <w:rFonts w:hint="eastAsia" w:ascii="仿宋" w:hAnsi="仿宋" w:eastAsia="仿宋" w:cs="仿宋"/>
                <w:color w:val="auto"/>
                <w:kern w:val="0"/>
                <w:sz w:val="24"/>
                <w:szCs w:val="24"/>
                <w:highlight w:val="none"/>
              </w:rPr>
            </w:pPr>
          </w:p>
        </w:tc>
      </w:tr>
      <w:tr w14:paraId="2FCA0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0CF3AF54">
            <w:pPr>
              <w:rPr>
                <w:rFonts w:hint="eastAsia" w:ascii="仿宋" w:hAnsi="仿宋" w:eastAsia="仿宋" w:cs="仿宋"/>
                <w:color w:val="auto"/>
                <w:kern w:val="0"/>
                <w:sz w:val="24"/>
                <w:szCs w:val="24"/>
                <w:highlight w:val="none"/>
              </w:rPr>
            </w:pPr>
          </w:p>
        </w:tc>
        <w:tc>
          <w:tcPr>
            <w:tcW w:w="1233" w:type="dxa"/>
            <w:shd w:val="clear" w:color="auto" w:fill="auto"/>
          </w:tcPr>
          <w:p w14:paraId="3C6263C5">
            <w:pPr>
              <w:rPr>
                <w:rFonts w:hint="eastAsia" w:ascii="仿宋" w:hAnsi="仿宋" w:eastAsia="仿宋" w:cs="仿宋"/>
                <w:color w:val="auto"/>
                <w:kern w:val="0"/>
                <w:sz w:val="24"/>
                <w:szCs w:val="24"/>
                <w:highlight w:val="none"/>
              </w:rPr>
            </w:pPr>
          </w:p>
        </w:tc>
        <w:tc>
          <w:tcPr>
            <w:tcW w:w="963" w:type="dxa"/>
            <w:shd w:val="clear" w:color="auto" w:fill="auto"/>
          </w:tcPr>
          <w:p w14:paraId="074900BF">
            <w:pPr>
              <w:rPr>
                <w:rFonts w:hint="eastAsia" w:ascii="仿宋" w:hAnsi="仿宋" w:eastAsia="仿宋" w:cs="仿宋"/>
                <w:color w:val="auto"/>
                <w:kern w:val="0"/>
                <w:sz w:val="24"/>
                <w:szCs w:val="24"/>
                <w:highlight w:val="none"/>
              </w:rPr>
            </w:pPr>
          </w:p>
        </w:tc>
        <w:tc>
          <w:tcPr>
            <w:tcW w:w="1922" w:type="dxa"/>
            <w:shd w:val="clear" w:color="auto" w:fill="auto"/>
          </w:tcPr>
          <w:p w14:paraId="09FA70E0">
            <w:pPr>
              <w:rPr>
                <w:rFonts w:hint="eastAsia" w:ascii="仿宋" w:hAnsi="仿宋" w:eastAsia="仿宋" w:cs="仿宋"/>
                <w:color w:val="auto"/>
                <w:kern w:val="0"/>
                <w:sz w:val="24"/>
                <w:szCs w:val="24"/>
                <w:highlight w:val="none"/>
              </w:rPr>
            </w:pPr>
          </w:p>
        </w:tc>
        <w:tc>
          <w:tcPr>
            <w:tcW w:w="1212" w:type="dxa"/>
            <w:shd w:val="clear" w:color="auto" w:fill="auto"/>
          </w:tcPr>
          <w:p w14:paraId="63EE8EA9">
            <w:pPr>
              <w:rPr>
                <w:rFonts w:hint="eastAsia" w:ascii="仿宋" w:hAnsi="仿宋" w:eastAsia="仿宋" w:cs="仿宋"/>
                <w:color w:val="auto"/>
                <w:kern w:val="0"/>
                <w:sz w:val="24"/>
                <w:szCs w:val="24"/>
                <w:highlight w:val="none"/>
              </w:rPr>
            </w:pPr>
          </w:p>
        </w:tc>
        <w:tc>
          <w:tcPr>
            <w:tcW w:w="1232" w:type="dxa"/>
            <w:shd w:val="clear" w:color="auto" w:fill="auto"/>
          </w:tcPr>
          <w:p w14:paraId="141CF655">
            <w:pPr>
              <w:rPr>
                <w:rFonts w:hint="eastAsia" w:ascii="仿宋" w:hAnsi="仿宋" w:eastAsia="仿宋" w:cs="仿宋"/>
                <w:color w:val="auto"/>
                <w:kern w:val="0"/>
                <w:sz w:val="24"/>
                <w:szCs w:val="24"/>
                <w:highlight w:val="none"/>
              </w:rPr>
            </w:pPr>
          </w:p>
        </w:tc>
        <w:tc>
          <w:tcPr>
            <w:tcW w:w="1232" w:type="dxa"/>
            <w:shd w:val="clear" w:color="auto" w:fill="auto"/>
          </w:tcPr>
          <w:p w14:paraId="2D07A812">
            <w:pPr>
              <w:rPr>
                <w:rFonts w:hint="eastAsia" w:ascii="仿宋" w:hAnsi="仿宋" w:eastAsia="仿宋" w:cs="仿宋"/>
                <w:color w:val="auto"/>
                <w:kern w:val="0"/>
                <w:sz w:val="24"/>
                <w:szCs w:val="24"/>
                <w:highlight w:val="none"/>
              </w:rPr>
            </w:pPr>
          </w:p>
        </w:tc>
        <w:tc>
          <w:tcPr>
            <w:tcW w:w="795" w:type="dxa"/>
            <w:shd w:val="clear" w:color="auto" w:fill="auto"/>
          </w:tcPr>
          <w:p w14:paraId="641868E1">
            <w:pPr>
              <w:rPr>
                <w:rFonts w:hint="eastAsia" w:ascii="仿宋" w:hAnsi="仿宋" w:eastAsia="仿宋" w:cs="仿宋"/>
                <w:color w:val="auto"/>
                <w:kern w:val="0"/>
                <w:sz w:val="24"/>
                <w:szCs w:val="24"/>
                <w:highlight w:val="none"/>
              </w:rPr>
            </w:pPr>
          </w:p>
        </w:tc>
      </w:tr>
      <w:tr w14:paraId="6B3AD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2A0727B8">
            <w:pPr>
              <w:rPr>
                <w:rFonts w:hint="eastAsia" w:ascii="仿宋" w:hAnsi="仿宋" w:eastAsia="仿宋" w:cs="仿宋"/>
                <w:color w:val="auto"/>
                <w:kern w:val="0"/>
                <w:sz w:val="24"/>
                <w:szCs w:val="24"/>
                <w:highlight w:val="none"/>
              </w:rPr>
            </w:pPr>
          </w:p>
        </w:tc>
        <w:tc>
          <w:tcPr>
            <w:tcW w:w="1233" w:type="dxa"/>
            <w:shd w:val="clear" w:color="auto" w:fill="auto"/>
          </w:tcPr>
          <w:p w14:paraId="1AF3F5A5">
            <w:pPr>
              <w:rPr>
                <w:rFonts w:hint="eastAsia" w:ascii="仿宋" w:hAnsi="仿宋" w:eastAsia="仿宋" w:cs="仿宋"/>
                <w:color w:val="auto"/>
                <w:kern w:val="0"/>
                <w:sz w:val="24"/>
                <w:szCs w:val="24"/>
                <w:highlight w:val="none"/>
              </w:rPr>
            </w:pPr>
          </w:p>
        </w:tc>
        <w:tc>
          <w:tcPr>
            <w:tcW w:w="963" w:type="dxa"/>
            <w:shd w:val="clear" w:color="auto" w:fill="auto"/>
          </w:tcPr>
          <w:p w14:paraId="796BD49B">
            <w:pPr>
              <w:rPr>
                <w:rFonts w:hint="eastAsia" w:ascii="仿宋" w:hAnsi="仿宋" w:eastAsia="仿宋" w:cs="仿宋"/>
                <w:color w:val="auto"/>
                <w:kern w:val="0"/>
                <w:sz w:val="24"/>
                <w:szCs w:val="24"/>
                <w:highlight w:val="none"/>
              </w:rPr>
            </w:pPr>
          </w:p>
        </w:tc>
        <w:tc>
          <w:tcPr>
            <w:tcW w:w="1922" w:type="dxa"/>
            <w:shd w:val="clear" w:color="auto" w:fill="auto"/>
          </w:tcPr>
          <w:p w14:paraId="5093E1C8">
            <w:pPr>
              <w:rPr>
                <w:rFonts w:hint="eastAsia" w:ascii="仿宋" w:hAnsi="仿宋" w:eastAsia="仿宋" w:cs="仿宋"/>
                <w:color w:val="auto"/>
                <w:kern w:val="0"/>
                <w:sz w:val="24"/>
                <w:szCs w:val="24"/>
                <w:highlight w:val="none"/>
              </w:rPr>
            </w:pPr>
          </w:p>
        </w:tc>
        <w:tc>
          <w:tcPr>
            <w:tcW w:w="1212" w:type="dxa"/>
            <w:shd w:val="clear" w:color="auto" w:fill="auto"/>
          </w:tcPr>
          <w:p w14:paraId="4AF6184B">
            <w:pPr>
              <w:rPr>
                <w:rFonts w:hint="eastAsia" w:ascii="仿宋" w:hAnsi="仿宋" w:eastAsia="仿宋" w:cs="仿宋"/>
                <w:color w:val="auto"/>
                <w:kern w:val="0"/>
                <w:sz w:val="24"/>
                <w:szCs w:val="24"/>
                <w:highlight w:val="none"/>
              </w:rPr>
            </w:pPr>
          </w:p>
        </w:tc>
        <w:tc>
          <w:tcPr>
            <w:tcW w:w="1232" w:type="dxa"/>
            <w:shd w:val="clear" w:color="auto" w:fill="auto"/>
          </w:tcPr>
          <w:p w14:paraId="768F65B7">
            <w:pPr>
              <w:rPr>
                <w:rFonts w:hint="eastAsia" w:ascii="仿宋" w:hAnsi="仿宋" w:eastAsia="仿宋" w:cs="仿宋"/>
                <w:color w:val="auto"/>
                <w:kern w:val="0"/>
                <w:sz w:val="24"/>
                <w:szCs w:val="24"/>
                <w:highlight w:val="none"/>
              </w:rPr>
            </w:pPr>
          </w:p>
        </w:tc>
        <w:tc>
          <w:tcPr>
            <w:tcW w:w="1232" w:type="dxa"/>
            <w:shd w:val="clear" w:color="auto" w:fill="auto"/>
          </w:tcPr>
          <w:p w14:paraId="5AB9D7AE">
            <w:pPr>
              <w:rPr>
                <w:rFonts w:hint="eastAsia" w:ascii="仿宋" w:hAnsi="仿宋" w:eastAsia="仿宋" w:cs="仿宋"/>
                <w:color w:val="auto"/>
                <w:kern w:val="0"/>
                <w:sz w:val="24"/>
                <w:szCs w:val="24"/>
                <w:highlight w:val="none"/>
              </w:rPr>
            </w:pPr>
          </w:p>
        </w:tc>
        <w:tc>
          <w:tcPr>
            <w:tcW w:w="795" w:type="dxa"/>
            <w:shd w:val="clear" w:color="auto" w:fill="auto"/>
          </w:tcPr>
          <w:p w14:paraId="7C1716AB">
            <w:pPr>
              <w:rPr>
                <w:rFonts w:hint="eastAsia" w:ascii="仿宋" w:hAnsi="仿宋" w:eastAsia="仿宋" w:cs="仿宋"/>
                <w:color w:val="auto"/>
                <w:kern w:val="0"/>
                <w:sz w:val="24"/>
                <w:szCs w:val="24"/>
                <w:highlight w:val="none"/>
              </w:rPr>
            </w:pPr>
          </w:p>
        </w:tc>
      </w:tr>
    </w:tbl>
    <w:p w14:paraId="17CBF27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E443F1F">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289" w:name="_Toc18139"/>
      <w:bookmarkStart w:id="290" w:name="_Toc533503191"/>
      <w:bookmarkStart w:id="291" w:name="_Toc27045"/>
      <w:bookmarkStart w:id="292" w:name="_Toc5084"/>
      <w:bookmarkStart w:id="293" w:name="_Toc38446480"/>
      <w:bookmarkStart w:id="294" w:name="_Toc507586175"/>
      <w:bookmarkStart w:id="295" w:name="_Toc31290"/>
      <w:bookmarkStart w:id="296" w:name="_Toc19296"/>
      <w:r>
        <w:rPr>
          <w:rFonts w:hint="eastAsia" w:ascii="仿宋" w:hAnsi="仿宋" w:eastAsia="仿宋" w:cs="仿宋"/>
          <w:b/>
          <w:color w:val="auto"/>
          <w:sz w:val="24"/>
          <w:szCs w:val="24"/>
          <w:highlight w:val="none"/>
          <w:shd w:val="clear" w:color="auto" w:fill="FFFFFF" w:themeFill="background1"/>
        </w:rPr>
        <w:t>十、</w:t>
      </w:r>
      <w:bookmarkEnd w:id="289"/>
      <w:bookmarkEnd w:id="290"/>
      <w:bookmarkEnd w:id="291"/>
      <w:bookmarkEnd w:id="292"/>
      <w:bookmarkEnd w:id="293"/>
      <w:bookmarkEnd w:id="294"/>
      <w:r>
        <w:rPr>
          <w:rFonts w:hint="eastAsia" w:ascii="仿宋" w:hAnsi="仿宋" w:eastAsia="仿宋" w:cs="仿宋"/>
          <w:b/>
          <w:color w:val="auto"/>
          <w:sz w:val="24"/>
          <w:szCs w:val="24"/>
          <w:highlight w:val="none"/>
          <w:shd w:val="clear" w:color="auto" w:fill="FFFFFF" w:themeFill="background1"/>
        </w:rPr>
        <w:t>售后服务承诺书</w:t>
      </w:r>
      <w:bookmarkEnd w:id="295"/>
      <w:bookmarkEnd w:id="296"/>
    </w:p>
    <w:p w14:paraId="146C69CE">
      <w:pPr>
        <w:spacing w:line="360" w:lineRule="auto"/>
        <w:jc w:val="left"/>
        <w:rPr>
          <w:rFonts w:hint="eastAsia" w:ascii="仿宋" w:hAnsi="仿宋" w:eastAsia="仿宋" w:cs="仿宋"/>
          <w:color w:val="auto"/>
          <w:sz w:val="24"/>
          <w:szCs w:val="24"/>
          <w:highlight w:val="none"/>
          <w:shd w:val="clear" w:color="auto" w:fill="FFFFFF" w:themeFill="background1"/>
        </w:rPr>
      </w:pPr>
    </w:p>
    <w:p w14:paraId="52EA4C0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格式和内容</w:t>
      </w:r>
      <w:r>
        <w:rPr>
          <w:rFonts w:hint="eastAsia" w:ascii="仿宋" w:hAnsi="仿宋" w:eastAsia="仿宋" w:cs="仿宋"/>
          <w:color w:val="auto"/>
          <w:sz w:val="24"/>
          <w:szCs w:val="24"/>
          <w:highlight w:val="none"/>
        </w:rPr>
        <w:t>自行拟定</w:t>
      </w:r>
    </w:p>
    <w:p w14:paraId="417A6F08">
      <w:pPr>
        <w:spacing w:line="360" w:lineRule="auto"/>
        <w:ind w:firstLine="480" w:firstLineChars="200"/>
        <w:rPr>
          <w:rFonts w:hint="eastAsia" w:ascii="仿宋" w:hAnsi="仿宋" w:eastAsia="仿宋" w:cs="仿宋"/>
          <w:color w:val="auto"/>
          <w:sz w:val="24"/>
          <w:szCs w:val="24"/>
          <w:highlight w:val="none"/>
        </w:rPr>
      </w:pPr>
    </w:p>
    <w:p w14:paraId="70911992">
      <w:pPr>
        <w:spacing w:line="360" w:lineRule="auto"/>
        <w:ind w:firstLine="480" w:firstLineChars="200"/>
        <w:rPr>
          <w:rFonts w:hint="eastAsia" w:ascii="仿宋" w:hAnsi="仿宋" w:eastAsia="仿宋" w:cs="仿宋"/>
          <w:color w:val="auto"/>
          <w:sz w:val="24"/>
          <w:szCs w:val="24"/>
          <w:highlight w:val="none"/>
        </w:rPr>
      </w:pPr>
    </w:p>
    <w:p w14:paraId="54313E23">
      <w:pPr>
        <w:spacing w:line="360" w:lineRule="auto"/>
        <w:ind w:firstLine="480" w:firstLineChars="200"/>
        <w:rPr>
          <w:rFonts w:hint="eastAsia" w:ascii="仿宋" w:hAnsi="仿宋" w:eastAsia="仿宋" w:cs="仿宋"/>
          <w:color w:val="auto"/>
          <w:sz w:val="24"/>
          <w:szCs w:val="24"/>
          <w:highlight w:val="none"/>
        </w:rPr>
      </w:pPr>
    </w:p>
    <w:p w14:paraId="57824C3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1FEEC22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E33EFCE">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432999B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9348FFA">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297" w:name="_Toc9493"/>
      <w:bookmarkStart w:id="298" w:name="_Toc22814"/>
      <w:bookmarkStart w:id="299" w:name="_Toc4670"/>
      <w:bookmarkStart w:id="300" w:name="_Toc31355"/>
      <w:r>
        <w:rPr>
          <w:rFonts w:hint="eastAsia" w:ascii="仿宋" w:hAnsi="仿宋" w:eastAsia="仿宋" w:cs="仿宋"/>
          <w:b/>
          <w:color w:val="auto"/>
          <w:sz w:val="24"/>
          <w:szCs w:val="24"/>
          <w:highlight w:val="none"/>
          <w:shd w:val="clear" w:color="auto" w:fill="FFFFFF" w:themeFill="background1"/>
        </w:rPr>
        <w:t>十一、</w:t>
      </w:r>
      <w:bookmarkEnd w:id="297"/>
      <w:bookmarkEnd w:id="298"/>
      <w:r>
        <w:rPr>
          <w:rFonts w:hint="eastAsia" w:ascii="仿宋" w:hAnsi="仿宋" w:eastAsia="仿宋" w:cs="仿宋"/>
          <w:b/>
          <w:color w:val="auto"/>
          <w:sz w:val="24"/>
          <w:szCs w:val="24"/>
          <w:highlight w:val="none"/>
          <w:shd w:val="clear" w:color="auto" w:fill="FFFFFF" w:themeFill="background1"/>
        </w:rPr>
        <w:t>技术方案</w:t>
      </w:r>
      <w:bookmarkEnd w:id="299"/>
      <w:bookmarkEnd w:id="300"/>
    </w:p>
    <w:p w14:paraId="1CC81F42">
      <w:pPr>
        <w:widowControl/>
        <w:jc w:val="left"/>
        <w:rPr>
          <w:rFonts w:hint="eastAsia" w:ascii="仿宋" w:hAnsi="仿宋" w:eastAsia="仿宋" w:cs="仿宋"/>
          <w:color w:val="auto"/>
          <w:highlight w:val="none"/>
        </w:rPr>
      </w:pPr>
    </w:p>
    <w:p w14:paraId="01755D8B">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格式和内容自行拟定</w:t>
      </w:r>
    </w:p>
    <w:p w14:paraId="6343852E">
      <w:pPr>
        <w:spacing w:line="24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686567D8">
      <w:pPr>
        <w:tabs>
          <w:tab w:val="center" w:pos="4832"/>
          <w:tab w:val="left" w:pos="7140"/>
        </w:tabs>
        <w:jc w:val="center"/>
        <w:outlineLvl w:val="1"/>
        <w:rPr>
          <w:rFonts w:hint="eastAsia" w:ascii="仿宋" w:hAnsi="仿宋" w:eastAsia="仿宋" w:cs="仿宋"/>
          <w:b/>
          <w:color w:val="auto"/>
          <w:sz w:val="24"/>
          <w:szCs w:val="24"/>
          <w:highlight w:val="none"/>
        </w:rPr>
      </w:pPr>
      <w:bookmarkStart w:id="301" w:name="_Toc6748"/>
      <w:bookmarkStart w:id="302" w:name="_Toc12468"/>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、保证金缴纳证明材料</w:t>
      </w:r>
      <w:bookmarkEnd w:id="301"/>
      <w:bookmarkEnd w:id="302"/>
    </w:p>
    <w:p w14:paraId="1E639007">
      <w:pPr>
        <w:spacing w:line="360" w:lineRule="auto"/>
        <w:ind w:firstLine="480" w:firstLineChars="200"/>
        <w:rPr>
          <w:rFonts w:hint="eastAsia" w:ascii="仿宋" w:hAnsi="仿宋" w:eastAsia="仿宋" w:cs="仿宋"/>
          <w:color w:val="auto"/>
          <w:sz w:val="24"/>
          <w:szCs w:val="24"/>
          <w:highlight w:val="none"/>
        </w:rPr>
      </w:pPr>
    </w:p>
    <w:p w14:paraId="7E9EEAE8">
      <w:pPr>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汇款凭证或支票或汇票或保函或保证金收据等的扫描件。</w:t>
      </w:r>
    </w:p>
    <w:p w14:paraId="4DB8B334">
      <w:pPr>
        <w:spacing w:line="360" w:lineRule="auto"/>
        <w:jc w:val="center"/>
        <w:rPr>
          <w:rFonts w:hint="eastAsia" w:ascii="仿宋" w:hAnsi="仿宋" w:eastAsia="仿宋" w:cs="仿宋"/>
          <w:color w:val="auto"/>
          <w:sz w:val="24"/>
          <w:szCs w:val="24"/>
          <w:highlight w:val="none"/>
          <w:shd w:val="clear" w:color="auto" w:fill="FFFFFF" w:themeFill="background1"/>
        </w:rPr>
      </w:pPr>
    </w:p>
    <w:p w14:paraId="2765EF58">
      <w:pPr>
        <w:pStyle w:val="37"/>
        <w:ind w:left="420" w:firstLine="480"/>
        <w:rPr>
          <w:rFonts w:hint="eastAsia" w:ascii="仿宋" w:hAnsi="仿宋" w:eastAsia="仿宋" w:cs="仿宋"/>
          <w:color w:val="auto"/>
          <w:sz w:val="24"/>
          <w:szCs w:val="24"/>
          <w:highlight w:val="none"/>
          <w:shd w:val="clear" w:color="auto" w:fill="FFFFFF" w:themeFill="background1"/>
        </w:rPr>
      </w:pPr>
    </w:p>
    <w:p w14:paraId="62244E18">
      <w:pPr>
        <w:rPr>
          <w:rFonts w:hint="eastAsia" w:ascii="仿宋" w:hAnsi="仿宋" w:eastAsia="仿宋" w:cs="仿宋"/>
          <w:color w:val="auto"/>
          <w:sz w:val="24"/>
          <w:szCs w:val="24"/>
          <w:highlight w:val="none"/>
          <w:shd w:val="clear" w:color="auto" w:fill="FFFFFF" w:themeFill="background1"/>
        </w:rPr>
      </w:pPr>
    </w:p>
    <w:p w14:paraId="39E0AE16">
      <w:pPr>
        <w:pStyle w:val="37"/>
        <w:ind w:left="420"/>
        <w:rPr>
          <w:rFonts w:hint="eastAsia" w:ascii="仿宋" w:hAnsi="仿宋" w:eastAsia="仿宋" w:cs="仿宋"/>
          <w:color w:val="auto"/>
          <w:highlight w:val="none"/>
        </w:rPr>
      </w:pPr>
    </w:p>
    <w:bookmarkEnd w:id="150"/>
    <w:p w14:paraId="72B7C0E4">
      <w:pPr>
        <w:rPr>
          <w:rFonts w:hint="eastAsia" w:ascii="仿宋" w:hAnsi="仿宋" w:eastAsia="仿宋" w:cs="仿宋"/>
          <w:b/>
          <w:color w:val="auto"/>
          <w:sz w:val="24"/>
          <w:szCs w:val="24"/>
          <w:highlight w:val="none"/>
        </w:rPr>
      </w:pPr>
      <w:bookmarkStart w:id="303" w:name="_Toc130252630"/>
      <w:bookmarkStart w:id="304" w:name="_Toc109921168"/>
      <w:bookmarkStart w:id="305" w:name="_Toc110707975"/>
      <w:bookmarkStart w:id="306" w:name="_Toc24108"/>
      <w:bookmarkStart w:id="307" w:name="_Toc16202"/>
      <w:bookmarkStart w:id="308" w:name="_Toc109941775"/>
      <w:bookmarkStart w:id="309" w:name="_Toc32457"/>
      <w:r>
        <w:rPr>
          <w:rFonts w:hint="eastAsia" w:ascii="仿宋" w:hAnsi="仿宋" w:eastAsia="仿宋" w:cs="仿宋"/>
          <w:b/>
          <w:color w:val="auto"/>
          <w:sz w:val="24"/>
          <w:szCs w:val="24"/>
          <w:highlight w:val="none"/>
        </w:rPr>
        <w:br w:type="page"/>
      </w:r>
    </w:p>
    <w:p w14:paraId="448C72BE">
      <w:pPr>
        <w:tabs>
          <w:tab w:val="center" w:pos="4832"/>
          <w:tab w:val="left" w:pos="7140"/>
        </w:tabs>
        <w:jc w:val="center"/>
        <w:outlineLvl w:val="1"/>
        <w:rPr>
          <w:rFonts w:hint="eastAsia" w:ascii="仿宋" w:hAnsi="仿宋" w:eastAsia="仿宋" w:cs="仿宋"/>
          <w:b/>
          <w:color w:val="auto"/>
          <w:sz w:val="24"/>
          <w:szCs w:val="24"/>
          <w:highlight w:val="none"/>
        </w:rPr>
      </w:pPr>
      <w:bookmarkStart w:id="310" w:name="_Toc26742"/>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、其它需要提交的资料</w:t>
      </w:r>
      <w:bookmarkEnd w:id="303"/>
      <w:bookmarkEnd w:id="304"/>
      <w:bookmarkEnd w:id="305"/>
      <w:bookmarkEnd w:id="306"/>
      <w:bookmarkEnd w:id="307"/>
      <w:bookmarkEnd w:id="308"/>
      <w:bookmarkEnd w:id="309"/>
      <w:bookmarkEnd w:id="310"/>
    </w:p>
    <w:p w14:paraId="5DD203C3">
      <w:pPr>
        <w:spacing w:line="360" w:lineRule="auto"/>
        <w:ind w:firstLine="480" w:firstLineChars="200"/>
        <w:rPr>
          <w:rFonts w:hint="eastAsia" w:ascii="仿宋" w:hAnsi="仿宋" w:eastAsia="仿宋" w:cs="仿宋"/>
          <w:color w:val="auto"/>
          <w:sz w:val="24"/>
          <w:szCs w:val="24"/>
          <w:highlight w:val="none"/>
        </w:rPr>
      </w:pPr>
    </w:p>
    <w:p w14:paraId="1AE05DA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根据招标文件的要求和投标人认为需要提供的资料。</w:t>
      </w:r>
    </w:p>
    <w:p w14:paraId="36074A02">
      <w:pPr>
        <w:pStyle w:val="37"/>
        <w:ind w:left="420"/>
        <w:rPr>
          <w:rFonts w:hint="eastAsia" w:ascii="仿宋" w:hAnsi="仿宋" w:eastAsia="仿宋" w:cs="仿宋"/>
          <w:color w:val="auto"/>
          <w:highlight w:val="none"/>
        </w:rPr>
      </w:pPr>
      <w:bookmarkStart w:id="311" w:name="_Toc130252631"/>
      <w:bookmarkStart w:id="312" w:name="_Toc60925660"/>
      <w:bookmarkStart w:id="313" w:name="_Toc22688"/>
      <w:bookmarkStart w:id="314" w:name="_Toc30206"/>
    </w:p>
    <w:p w14:paraId="2A045D50">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583E0F67">
      <w:pPr>
        <w:rPr>
          <w:rFonts w:hint="eastAsia" w:ascii="仿宋" w:hAnsi="仿宋" w:eastAsia="仿宋" w:cs="仿宋"/>
          <w:b/>
          <w:color w:val="auto"/>
          <w:sz w:val="24"/>
          <w:szCs w:val="24"/>
          <w:highlight w:val="none"/>
        </w:rPr>
      </w:pPr>
    </w:p>
    <w:p w14:paraId="657CC727">
      <w:pPr>
        <w:spacing w:line="440" w:lineRule="exact"/>
        <w:jc w:val="center"/>
        <w:outlineLvl w:val="0"/>
        <w:rPr>
          <w:rFonts w:hint="eastAsia" w:ascii="仿宋" w:hAnsi="仿宋" w:eastAsia="仿宋" w:cs="仿宋"/>
          <w:b/>
          <w:color w:val="auto"/>
          <w:sz w:val="24"/>
          <w:szCs w:val="24"/>
          <w:highlight w:val="none"/>
        </w:rPr>
      </w:pPr>
      <w:bookmarkStart w:id="315" w:name="_Toc4913"/>
      <w:bookmarkStart w:id="316" w:name="_Toc1527"/>
      <w:r>
        <w:rPr>
          <w:rFonts w:hint="eastAsia" w:ascii="仿宋" w:hAnsi="仿宋" w:eastAsia="仿宋" w:cs="仿宋"/>
          <w:b/>
          <w:color w:val="auto"/>
          <w:sz w:val="24"/>
          <w:szCs w:val="24"/>
          <w:highlight w:val="none"/>
        </w:rPr>
        <w:t>第六章 补充条款</w:t>
      </w:r>
      <w:bookmarkEnd w:id="311"/>
      <w:bookmarkEnd w:id="312"/>
      <w:bookmarkEnd w:id="313"/>
      <w:bookmarkEnd w:id="314"/>
      <w:bookmarkEnd w:id="315"/>
      <w:bookmarkEnd w:id="316"/>
    </w:p>
    <w:p w14:paraId="04D94950">
      <w:pPr>
        <w:rPr>
          <w:rFonts w:hint="eastAsia" w:ascii="仿宋" w:hAnsi="仿宋" w:eastAsia="仿宋" w:cs="仿宋"/>
          <w:color w:val="auto"/>
          <w:highlight w:val="none"/>
        </w:rPr>
      </w:pPr>
    </w:p>
    <w:p w14:paraId="0A8387AB">
      <w:pPr>
        <w:rPr>
          <w:rFonts w:hint="eastAsia" w:ascii="仿宋" w:hAnsi="仿宋" w:eastAsia="仿宋" w:cs="仿宋"/>
          <w:color w:val="auto"/>
          <w:highlight w:val="none"/>
        </w:rPr>
      </w:pPr>
    </w:p>
    <w:p w14:paraId="15929513">
      <w:pPr>
        <w:spacing w:line="360" w:lineRule="auto"/>
        <w:outlineLvl w:val="1"/>
        <w:rPr>
          <w:rFonts w:hint="eastAsia" w:ascii="仿宋" w:hAnsi="仿宋" w:eastAsia="仿宋" w:cs="仿宋"/>
          <w:color w:val="auto"/>
          <w:spacing w:val="6"/>
          <w:sz w:val="24"/>
          <w:szCs w:val="24"/>
          <w:highlight w:val="none"/>
        </w:rPr>
      </w:pPr>
      <w:bookmarkStart w:id="317" w:name="_Toc9330"/>
      <w:bookmarkStart w:id="318" w:name="_Toc30027"/>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一</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中小企业扶持政策</w:t>
      </w:r>
      <w:bookmarkEnd w:id="317"/>
      <w:bookmarkEnd w:id="318"/>
    </w:p>
    <w:p w14:paraId="19CA486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关于印发中小企业划型标准规定的通知</w:t>
      </w:r>
    </w:p>
    <w:p w14:paraId="5F606FBA">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工信部联企业〔2011〕300号</w:t>
      </w:r>
    </w:p>
    <w:p w14:paraId="10C4DA9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各省、自治区、直辖市人民政府，国务院各部委、各直属机构及有关单位：</w:t>
      </w:r>
    </w:p>
    <w:p w14:paraId="1F4853F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0307BF5">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工业和信息化部</w:t>
      </w:r>
    </w:p>
    <w:p w14:paraId="5D88353A">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国家统计局</w:t>
      </w:r>
    </w:p>
    <w:p w14:paraId="7EA9F783">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国家发展和改革委员会</w:t>
      </w:r>
    </w:p>
    <w:p w14:paraId="7631C8F9">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p>
    <w:p w14:paraId="3F5EA4D7">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二○一一年六月十八日</w:t>
      </w:r>
    </w:p>
    <w:p w14:paraId="08109E54">
      <w:pPr>
        <w:spacing w:line="360" w:lineRule="auto"/>
        <w:ind w:firstLine="504" w:firstLineChars="200"/>
        <w:rPr>
          <w:rFonts w:hint="eastAsia" w:ascii="仿宋" w:hAnsi="仿宋" w:eastAsia="仿宋" w:cs="仿宋"/>
          <w:color w:val="auto"/>
          <w:spacing w:val="6"/>
          <w:sz w:val="24"/>
          <w:szCs w:val="24"/>
          <w:highlight w:val="none"/>
        </w:rPr>
      </w:pPr>
    </w:p>
    <w:p w14:paraId="53149E42">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中小企业划型标准规定</w:t>
      </w:r>
    </w:p>
    <w:p w14:paraId="62079D0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一、根据《中华人民共和国中小企业促进法》和《国务院关于进一步促进中小企业发展的若干意见》(国发〔2009〕36号)，制定本规定。</w:t>
      </w:r>
    </w:p>
    <w:p w14:paraId="6906ED3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二、中小企业划分为中型、小型、微型三种类型，具体标准根据企业从业人员、营业收入、资产总额等指标，结合行业特点制定。</w:t>
      </w:r>
    </w:p>
    <w:p w14:paraId="2CAF0A4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7CE119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四、各行业划型标准为：</w:t>
      </w:r>
    </w:p>
    <w:p w14:paraId="2A66124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4E9669B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670B6A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F2D5DC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A9A4F6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708299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BC350C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56D88C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B0402C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F295D3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1F1F95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54553D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D244C1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7DF70A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44CEF1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4C3856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0A19F05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五、企业类型的划分以统计部门的统计数据为依据。</w:t>
      </w:r>
    </w:p>
    <w:p w14:paraId="62E7FE2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六、本规定适用于在中华人民共和国境内依法设立的各类所有制和各种组织形式的企业。个体工商户和本规定以外的行业，参照本规定进行划型。</w:t>
      </w:r>
    </w:p>
    <w:p w14:paraId="06FCC61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551DD4A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八、本规定由工业和信息化部、国家统计局会同有关部门根据《国民经济行业分类》修订情况和企业发展变化情况适时修订。</w:t>
      </w:r>
    </w:p>
    <w:p w14:paraId="65CC94D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九、本规定由工业和信息化部、国家统计局会同有关部门负责解释。</w:t>
      </w:r>
    </w:p>
    <w:p w14:paraId="0484E72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十、本规定自发布之日起执行，原国家经贸委、原国家计委、财政部和国家统计局2003年颁布的《中小企业标准暂行规定》同时废止。</w:t>
      </w:r>
    </w:p>
    <w:p w14:paraId="4C683F74">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65820C91">
      <w:pPr>
        <w:spacing w:line="360" w:lineRule="auto"/>
        <w:outlineLvl w:val="1"/>
        <w:rPr>
          <w:rFonts w:hint="eastAsia" w:ascii="仿宋" w:hAnsi="仿宋" w:eastAsia="仿宋" w:cs="仿宋"/>
          <w:color w:val="auto"/>
          <w:spacing w:val="6"/>
          <w:sz w:val="24"/>
          <w:szCs w:val="24"/>
          <w:highlight w:val="none"/>
        </w:rPr>
      </w:pPr>
      <w:bookmarkStart w:id="319" w:name="_Toc30906"/>
      <w:bookmarkStart w:id="320" w:name="_Toc15980"/>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二</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残疾人企业扶持政策</w:t>
      </w:r>
      <w:bookmarkEnd w:id="319"/>
      <w:bookmarkEnd w:id="320"/>
    </w:p>
    <w:p w14:paraId="6CAE81CA">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关于促进残疾人就业政府采购政策的通知</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财库〔2017〕141号</w:t>
      </w:r>
    </w:p>
    <w:p w14:paraId="2334CD2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1FE70F6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为了发挥政府采购促进残疾人就业的作用，进一步保障残疾人权益，依照《政府采购法》、《残疾人保障法》等法律法规及相关规定，现就促进残疾人就业政府采购政策通知如下：</w:t>
      </w:r>
    </w:p>
    <w:p w14:paraId="7F87E4A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一、享受政府采购支持政策的残疾人福利性单位应当同时满足以下条件：</w:t>
      </w:r>
    </w:p>
    <w:p w14:paraId="4DF1099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（一）安置的残疾人占本单位在职职工人数的比例不低于25%（含25%），并且安置的残疾人人数不少于10人（含10人）；</w:t>
      </w:r>
    </w:p>
    <w:p w14:paraId="686165B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（二）依法与安置的每位残疾人签订了一年以上（含一年）的劳动合同或服务协议；</w:t>
      </w:r>
    </w:p>
    <w:p w14:paraId="1AA7CE2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（三）为安置的每位残疾人按月足额缴纳了基本养老保险、基本医疗保险、失业保险、工伤保险和生育保险等社会保险费；</w:t>
      </w:r>
    </w:p>
    <w:p w14:paraId="7B6B33F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（四）通过银行等金融机构向安置的每位残疾人，按月支付了不低于单位所在区县适用的经省级人民政府批准的月最低工资标准的工资；</w:t>
      </w:r>
    </w:p>
    <w:p w14:paraId="0236D96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（五）提供本单位制造的货物、承担的工程或者服务（以下简称产品），或者提供其他残疾人福利性单位制造的货物（不包括使用非残疾人福利性单位注册商标的货物）。</w:t>
      </w:r>
    </w:p>
    <w:p w14:paraId="602E714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3F7A8D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3596BF0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中标、成交供应商为残疾人福利性单位的，采购人或者其委托的采购代理机构应当随中标、成交结果同时公告其《残疾人福利性单位声明函》，接受社会监督。</w:t>
      </w:r>
    </w:p>
    <w:p w14:paraId="7C23D84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供应商提供的《残疾人福利性单位声明函》与事实不符的，依照《政府采购法》第七十七条第一款的规定追究法律责任。</w:t>
      </w:r>
    </w:p>
    <w:p w14:paraId="3DBD30E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A61754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四、采购人采购公开招标数额标准以上的货物或者服务，因落实促进残疾人就业政策的需要，依法履行有关报批程序后，可采用公开招标以外的采购方式。</w:t>
      </w:r>
    </w:p>
    <w:p w14:paraId="6B829C1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7C7F4D5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278EFB6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七、本通知自2017年10月1日起执行。</w:t>
      </w:r>
    </w:p>
    <w:p w14:paraId="0D45C574">
      <w:pPr>
        <w:pStyle w:val="8"/>
        <w:ind w:firstLine="480"/>
        <w:rPr>
          <w:rFonts w:hint="eastAsia" w:ascii="仿宋" w:hAnsi="仿宋" w:eastAsia="仿宋" w:cs="仿宋"/>
          <w:color w:val="auto"/>
          <w:highlight w:val="none"/>
        </w:rPr>
      </w:pPr>
    </w:p>
    <w:p w14:paraId="55DABCC0">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民政部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中国残疾人联合会</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2017年8月22日</w:t>
      </w:r>
    </w:p>
    <w:p w14:paraId="2A5210CF">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3C18BD65">
      <w:pPr>
        <w:spacing w:line="360" w:lineRule="auto"/>
        <w:outlineLvl w:val="1"/>
        <w:rPr>
          <w:rFonts w:hint="eastAsia" w:ascii="仿宋" w:hAnsi="仿宋" w:eastAsia="仿宋" w:cs="仿宋"/>
          <w:color w:val="auto"/>
          <w:spacing w:val="6"/>
          <w:sz w:val="24"/>
          <w:szCs w:val="24"/>
          <w:highlight w:val="none"/>
        </w:rPr>
      </w:pPr>
      <w:bookmarkStart w:id="321" w:name="_Toc28332"/>
      <w:bookmarkStart w:id="322" w:name="_Toc23851"/>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监狱扶持政策</w:t>
      </w:r>
      <w:bookmarkEnd w:id="321"/>
      <w:bookmarkEnd w:id="322"/>
    </w:p>
    <w:p w14:paraId="3748E33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 司法部关于政府采购支持</w:t>
      </w:r>
    </w:p>
    <w:p w14:paraId="76C0C1E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监狱企业发展有关问题的通知</w:t>
      </w:r>
    </w:p>
    <w:p w14:paraId="052A4489">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财库〔2014〕68号</w:t>
      </w:r>
    </w:p>
    <w:p w14:paraId="3350D94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四、各地区可以结合本地区实际，对监狱企业生产的办公用品、家具用具、车辆维修和提供的保养服务、消防设备等，提出预留份额等政府采购支持措施，加大对监狱企业产品的采购力度。</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0F10E0FB">
      <w:pPr>
        <w:pStyle w:val="8"/>
        <w:ind w:firstLine="480"/>
        <w:rPr>
          <w:rFonts w:hint="eastAsia" w:ascii="仿宋" w:hAnsi="仿宋" w:eastAsia="仿宋" w:cs="仿宋"/>
          <w:color w:val="auto"/>
          <w:highlight w:val="none"/>
        </w:rPr>
      </w:pPr>
    </w:p>
    <w:p w14:paraId="5E27DA83">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中华人民共和国财政部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中华人民共和国司法部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2014年6月10日</w:t>
      </w:r>
    </w:p>
    <w:p w14:paraId="11B8C334">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2EC3744B">
      <w:pPr>
        <w:spacing w:line="360" w:lineRule="auto"/>
        <w:outlineLvl w:val="1"/>
        <w:rPr>
          <w:rFonts w:hint="eastAsia" w:ascii="仿宋" w:hAnsi="仿宋" w:eastAsia="仿宋" w:cs="仿宋"/>
          <w:color w:val="auto"/>
          <w:spacing w:val="6"/>
          <w:sz w:val="24"/>
          <w:szCs w:val="24"/>
          <w:highlight w:val="none"/>
        </w:rPr>
      </w:pPr>
      <w:bookmarkStart w:id="323" w:name="_Toc28331"/>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、实施本国产品标准及相关政策</w:t>
      </w:r>
      <w:bookmarkEnd w:id="323"/>
    </w:p>
    <w:p w14:paraId="318C23A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0" w:beforeAutospacing="0" w:after="20" w:afterAutospacing="0" w:line="360" w:lineRule="auto"/>
        <w:ind w:left="0" w:right="0" w:firstLine="0"/>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 </w:t>
      </w:r>
    </w:p>
    <w:p w14:paraId="249FD2E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国务院办公厅关于在政府采购中</w:t>
      </w:r>
    </w:p>
    <w:p w14:paraId="7E8C02D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实施本国产品标准及相关政策的通知</w:t>
      </w:r>
    </w:p>
    <w:p w14:paraId="2A7551C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4078B43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国办发〔2025〕34号  </w:t>
      </w:r>
    </w:p>
    <w:p w14:paraId="42992B7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各省、自治区、直辖市人民政府，国务院各部委、各直属机构：</w:t>
      </w:r>
    </w:p>
    <w:p w14:paraId="35DD8E8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16B3F90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一、本国产品标准</w:t>
      </w:r>
    </w:p>
    <w:p w14:paraId="0DB8798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本国产品应当符合以下条件：</w:t>
      </w:r>
    </w:p>
    <w:p w14:paraId="029DCE8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（一）在中国境内生产</w:t>
      </w:r>
    </w:p>
    <w:p w14:paraId="6F3AC13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产品应当在中国境内生产，即在中华人民共和国关境内实现从原材料、组件到产品的属性改变。</w:t>
      </w:r>
    </w:p>
    <w:p w14:paraId="51A3BE5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属性改变是指经过制造、加工或者组装等工序，产生完全不同于原材料、组件的新产品，并具有新的名称和特征（用途）。属性改变不包括以下细微操作：</w:t>
      </w:r>
    </w:p>
    <w:p w14:paraId="3E5045A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1.为确保产品在运输或者储存期间保持某种状态而进行的操作；</w:t>
      </w:r>
    </w:p>
    <w:p w14:paraId="2C8B63D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2.为产品运输或者销售进行的包装或者展示；</w:t>
      </w:r>
    </w:p>
    <w:p w14:paraId="3F93DD4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3.在产品或者其包装上粘贴或者印刷品牌、标志、标识以及其他用于区别的标记；</w:t>
      </w:r>
    </w:p>
    <w:p w14:paraId="7B3E2B1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4.简单的上漆、磨光和分装；</w:t>
      </w:r>
    </w:p>
    <w:p w14:paraId="4E67D8A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5.其他不属于属性改变的情形。</w:t>
      </w:r>
    </w:p>
    <w:p w14:paraId="1045CC9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（二）在中国境内生产的组件成本占比达到规定比例</w:t>
      </w:r>
    </w:p>
    <w:p w14:paraId="2C7162A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产品在中国境内生产的组件成本占比应当达到规定比例，计算公式为：</w:t>
      </w:r>
    </w:p>
    <w:p w14:paraId="73E7516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drawing>
          <wp:inline distT="0" distB="0" distL="114300" distR="114300">
            <wp:extent cx="2733675" cy="390525"/>
            <wp:effectExtent l="0" t="0" r="9525" b="317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11"/>
                    <a:stretch>
                      <a:fillRect/>
                    </a:stretch>
                  </pic:blipFill>
                  <pic:spPr>
                    <a:xfrm>
                      <a:off x="0" y="0"/>
                      <a:ext cx="2733675" cy="390525"/>
                    </a:xfrm>
                    <a:prstGeom prst="rect">
                      <a:avLst/>
                    </a:prstGeom>
                    <a:noFill/>
                    <a:ln w="9525">
                      <a:noFill/>
                    </a:ln>
                  </pic:spPr>
                </pic:pic>
              </a:graphicData>
            </a:graphic>
          </wp:inline>
        </w:drawing>
      </w:r>
    </w:p>
    <w:p w14:paraId="0A5CBBA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EE126A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（三）特定产品的关键组件、关键工序符合相关要求</w:t>
      </w:r>
    </w:p>
    <w:p w14:paraId="5007FB6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对特定产品，在符合本通知第一条第（一）项和第（二）项条件的基础上，应当符合财政部会同有关行业主管部门确定的其关键组件、关键工序在中国境内生产、完成等要求。</w:t>
      </w:r>
    </w:p>
    <w:p w14:paraId="5A3B81D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1A47E39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二、本国产品标准的适用范围</w:t>
      </w:r>
    </w:p>
    <w:p w14:paraId="092D7A1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7F4B1A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三、对本国产品的支持政策</w:t>
      </w:r>
    </w:p>
    <w:p w14:paraId="43A4133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政府采购活动中既有本国产品又有非本国产品参与竞争的，依法对本国产品给予价格评审优惠，对本国产品的报价给予20%的价格扣除，用扣除后的价格参与评审。</w:t>
      </w:r>
    </w:p>
    <w:p w14:paraId="154EB72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C7065D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四、政策执行要求</w:t>
      </w:r>
    </w:p>
    <w:p w14:paraId="03E305E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（一）产品在中国境内生产的组件成本核算规则。产品在中国境内生产的组件成本，按照《中国境内生产的组件成本核算基本规则》（见附件1）计算。</w:t>
      </w:r>
    </w:p>
    <w:p w14:paraId="6540FC7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7AA6CD4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采购人、采购代理机构应当随中标、成交结果同时公告中标、成交供应商提供的《声明函》或有关证明文件。</w:t>
      </w:r>
    </w:p>
    <w:p w14:paraId="44734AF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5158072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（四）中华人民共和国缔结或者共同参加的国际条约、协定对政府采购中本国产品政策另有规定的，按照有关条约、协定执行。</w:t>
      </w:r>
    </w:p>
    <w:p w14:paraId="71C3126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五、争议处理</w:t>
      </w:r>
    </w:p>
    <w:p w14:paraId="790C335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23F3698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（一）政府采购投诉处理、监督检查中，对产品或组件是否在中国境内生产存在争议的，按照以下原则处理：</w:t>
      </w:r>
    </w:p>
    <w:p w14:paraId="1B66167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2FC6D04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1C66753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32CAC4A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1F2611D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E65435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本通知自2026年1月1日起施行。</w:t>
      </w:r>
    </w:p>
    <w:p w14:paraId="6E78E1F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附件：1.中国境内生产的组件成本核算基本规则</w:t>
      </w:r>
    </w:p>
    <w:p w14:paraId="0DB4733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　　　2.关于符合本国产品标准的声明函</w:t>
      </w:r>
    </w:p>
    <w:p w14:paraId="39EC77E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国务院办公厅         </w:t>
      </w:r>
    </w:p>
    <w:p w14:paraId="708CA8C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2025年9月28日    </w:t>
      </w:r>
    </w:p>
    <w:p w14:paraId="2D8253A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2F3EE2C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0F0A0E1F">
      <w:pPr>
        <w:rPr>
          <w:rStyle w:val="41"/>
          <w:rFonts w:hint="eastAsia" w:ascii="仿宋" w:hAnsi="仿宋" w:eastAsia="仿宋" w:cs="仿宋"/>
          <w:i w:val="0"/>
          <w:iCs w:val="0"/>
          <w:caps w:val="0"/>
          <w:color w:val="auto"/>
          <w:spacing w:val="0"/>
          <w:sz w:val="24"/>
          <w:szCs w:val="24"/>
          <w:highlight w:val="none"/>
          <w:shd w:val="clear" w:fill="FFFFFF"/>
        </w:rPr>
      </w:pPr>
      <w:r>
        <w:rPr>
          <w:rStyle w:val="41"/>
          <w:rFonts w:hint="eastAsia" w:ascii="仿宋" w:hAnsi="仿宋" w:eastAsia="仿宋" w:cs="仿宋"/>
          <w:i w:val="0"/>
          <w:iCs w:val="0"/>
          <w:caps w:val="0"/>
          <w:color w:val="auto"/>
          <w:spacing w:val="0"/>
          <w:sz w:val="24"/>
          <w:szCs w:val="24"/>
          <w:highlight w:val="none"/>
          <w:shd w:val="clear" w:fill="FFFFFF"/>
        </w:rPr>
        <w:br w:type="page"/>
      </w:r>
    </w:p>
    <w:p w14:paraId="680CF9A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附件1</w:t>
      </w:r>
    </w:p>
    <w:p w14:paraId="2547D12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3580259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中国境内生产的组件成本核算基本规则</w:t>
      </w:r>
    </w:p>
    <w:p w14:paraId="445A75A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51F3F16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E6E346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一、产品的一级组件是指直接组成产品的组件。产品的二级组件是指直接组成产品一级组件的组件。一级组件不可分解的，视同二级组件。</w:t>
      </w:r>
    </w:p>
    <w:p w14:paraId="118804A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二、二级组件在中国境内生产的，其全部成本计入中国境内生产的组件成本；二级组件不在中国境内生产的，其成本不计入中国境内生产的组件成本。</w:t>
      </w:r>
    </w:p>
    <w:p w14:paraId="35ED755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三、产品总成本和组件成本以相关会计核算数据、采购合同、进货记录等为基础进行计算。</w:t>
      </w:r>
    </w:p>
    <w:p w14:paraId="1DE79B3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四、需要对成本核算规则予以进一步明确的其他有关事项，由财政部会同有关部门另行规定。</w:t>
      </w:r>
    </w:p>
    <w:p w14:paraId="74FB1B1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183A284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06E75377">
      <w:pPr>
        <w:rPr>
          <w:rStyle w:val="41"/>
          <w:rFonts w:hint="eastAsia" w:ascii="仿宋" w:hAnsi="仿宋" w:eastAsia="仿宋" w:cs="仿宋"/>
          <w:i w:val="0"/>
          <w:iCs w:val="0"/>
          <w:caps w:val="0"/>
          <w:color w:val="auto"/>
          <w:spacing w:val="0"/>
          <w:sz w:val="24"/>
          <w:szCs w:val="24"/>
          <w:highlight w:val="none"/>
          <w:shd w:val="clear" w:fill="FFFFFF"/>
        </w:rPr>
      </w:pPr>
      <w:r>
        <w:rPr>
          <w:rStyle w:val="41"/>
          <w:rFonts w:hint="eastAsia" w:ascii="仿宋" w:hAnsi="仿宋" w:eastAsia="仿宋" w:cs="仿宋"/>
          <w:i w:val="0"/>
          <w:iCs w:val="0"/>
          <w:caps w:val="0"/>
          <w:color w:val="auto"/>
          <w:spacing w:val="0"/>
          <w:sz w:val="24"/>
          <w:szCs w:val="24"/>
          <w:highlight w:val="none"/>
          <w:shd w:val="clear" w:fill="FFFFFF"/>
        </w:rPr>
        <w:br w:type="page"/>
      </w:r>
    </w:p>
    <w:p w14:paraId="26B2531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附件2</w:t>
      </w:r>
    </w:p>
    <w:p w14:paraId="028B552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2CE6909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关于符合本国产品标准的声明函</w:t>
      </w:r>
    </w:p>
    <w:p w14:paraId="05FEF8A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6367657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28DC16F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w:t>
      </w:r>
      <w:r>
        <w:rPr>
          <w:rStyle w:val="44"/>
          <w:rFonts w:hint="eastAsia" w:ascii="仿宋" w:hAnsi="仿宋" w:eastAsia="仿宋" w:cs="仿宋"/>
          <w:i w:val="0"/>
          <w:iCs w:val="0"/>
          <w:caps w:val="0"/>
          <w:color w:val="auto"/>
          <w:spacing w:val="0"/>
          <w:sz w:val="24"/>
          <w:szCs w:val="24"/>
          <w:highlight w:val="none"/>
          <w:shd w:val="clear" w:fill="FFFFFF"/>
        </w:rPr>
        <w:t>（产品名称1）</w:t>
      </w:r>
      <w:r>
        <w:rPr>
          <w:rStyle w:val="44"/>
          <w:rFonts w:hint="eastAsia" w:ascii="仿宋" w:hAnsi="仿宋" w:eastAsia="仿宋" w:cs="仿宋"/>
          <w:i w:val="0"/>
          <w:iCs w:val="0"/>
          <w:caps w:val="0"/>
          <w:color w:val="auto"/>
          <w:spacing w:val="0"/>
          <w:sz w:val="24"/>
          <w:szCs w:val="24"/>
          <w:highlight w:val="none"/>
          <w:shd w:val="clear" w:fill="FFFFFF"/>
          <w:vertAlign w:val="superscript"/>
        </w:rPr>
        <w:t>1</w:t>
      </w:r>
      <w:r>
        <w:rPr>
          <w:rFonts w:hint="eastAsia" w:ascii="仿宋" w:hAnsi="仿宋" w:eastAsia="仿宋" w:cs="仿宋"/>
          <w:i w:val="0"/>
          <w:iCs w:val="0"/>
          <w:caps w:val="0"/>
          <w:color w:val="auto"/>
          <w:spacing w:val="0"/>
          <w:sz w:val="24"/>
          <w:szCs w:val="24"/>
          <w:highlight w:val="none"/>
          <w:shd w:val="clear" w:fill="FFFFFF"/>
        </w:rPr>
        <w:t>，生产厂为</w:t>
      </w:r>
      <w:r>
        <w:rPr>
          <w:rStyle w:val="44"/>
          <w:rFonts w:hint="eastAsia" w:ascii="仿宋" w:hAnsi="仿宋" w:eastAsia="仿宋" w:cs="仿宋"/>
          <w:i w:val="0"/>
          <w:iCs w:val="0"/>
          <w:caps w:val="0"/>
          <w:color w:val="auto"/>
          <w:spacing w:val="0"/>
          <w:sz w:val="24"/>
          <w:szCs w:val="24"/>
          <w:highlight w:val="none"/>
          <w:shd w:val="clear" w:fill="FFFFFF"/>
        </w:rPr>
        <w:t>（厂名）</w:t>
      </w:r>
      <w:r>
        <w:rPr>
          <w:rStyle w:val="44"/>
          <w:rFonts w:hint="eastAsia" w:ascii="仿宋" w:hAnsi="仿宋" w:eastAsia="仿宋" w:cs="仿宋"/>
          <w:i w:val="0"/>
          <w:iCs w:val="0"/>
          <w:caps w:val="0"/>
          <w:color w:val="auto"/>
          <w:spacing w:val="0"/>
          <w:sz w:val="24"/>
          <w:szCs w:val="24"/>
          <w:highlight w:val="none"/>
          <w:shd w:val="clear" w:fill="FFFFFF"/>
          <w:vertAlign w:val="superscript"/>
        </w:rPr>
        <w:t>2</w:t>
      </w:r>
      <w:r>
        <w:rPr>
          <w:rFonts w:hint="eastAsia" w:ascii="仿宋" w:hAnsi="仿宋" w:eastAsia="仿宋" w:cs="仿宋"/>
          <w:i w:val="0"/>
          <w:iCs w:val="0"/>
          <w:caps w:val="0"/>
          <w:color w:val="auto"/>
          <w:spacing w:val="0"/>
          <w:sz w:val="24"/>
          <w:szCs w:val="24"/>
          <w:highlight w:val="none"/>
          <w:shd w:val="clear" w:fill="FFFFFF"/>
        </w:rPr>
        <w:t>，厂址为</w:t>
      </w:r>
      <w:r>
        <w:rPr>
          <w:rStyle w:val="44"/>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44"/>
          <w:rFonts w:hint="eastAsia" w:ascii="仿宋" w:hAnsi="仿宋" w:eastAsia="仿宋" w:cs="仿宋"/>
          <w:i w:val="0"/>
          <w:iCs w:val="0"/>
          <w:caps w:val="0"/>
          <w:color w:val="auto"/>
          <w:spacing w:val="0"/>
          <w:sz w:val="24"/>
          <w:szCs w:val="24"/>
          <w:highlight w:val="none"/>
          <w:shd w:val="clear" w:fill="FFFFFF"/>
        </w:rPr>
        <w:t>（规定比例）</w:t>
      </w:r>
      <w:r>
        <w:rPr>
          <w:rStyle w:val="44"/>
          <w:rFonts w:hint="eastAsia" w:ascii="仿宋" w:hAnsi="仿宋" w:eastAsia="仿宋" w:cs="仿宋"/>
          <w:i w:val="0"/>
          <w:iCs w:val="0"/>
          <w:caps w:val="0"/>
          <w:color w:val="auto"/>
          <w:spacing w:val="0"/>
          <w:sz w:val="24"/>
          <w:szCs w:val="24"/>
          <w:highlight w:val="none"/>
          <w:shd w:val="clear" w:fill="FFFFFF"/>
          <w:vertAlign w:val="superscript"/>
        </w:rPr>
        <w:t>3</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（关键组件）</w:t>
      </w:r>
      <w:r>
        <w:rPr>
          <w:rStyle w:val="44"/>
          <w:rFonts w:hint="eastAsia" w:ascii="仿宋" w:hAnsi="仿宋" w:eastAsia="仿宋" w:cs="仿宋"/>
          <w:i w:val="0"/>
          <w:iCs w:val="0"/>
          <w:caps w:val="0"/>
          <w:color w:val="auto"/>
          <w:spacing w:val="0"/>
          <w:sz w:val="24"/>
          <w:szCs w:val="24"/>
          <w:highlight w:val="none"/>
          <w:shd w:val="clear" w:fill="FFFFFF"/>
          <w:vertAlign w:val="superscript"/>
        </w:rPr>
        <w:t>4</w:t>
      </w:r>
      <w:r>
        <w:rPr>
          <w:rFonts w:hint="eastAsia" w:ascii="仿宋" w:hAnsi="仿宋" w:eastAsia="仿宋" w:cs="仿宋"/>
          <w:i w:val="0"/>
          <w:iCs w:val="0"/>
          <w:caps w:val="0"/>
          <w:color w:val="auto"/>
          <w:spacing w:val="0"/>
          <w:sz w:val="24"/>
          <w:szCs w:val="24"/>
          <w:highlight w:val="none"/>
          <w:shd w:val="clear" w:fill="FFFFFF"/>
        </w:rPr>
        <w:t>在中国境内生产。</w:t>
      </w:r>
      <w:r>
        <w:rPr>
          <w:rStyle w:val="44"/>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（关键工序）</w:t>
      </w:r>
      <w:r>
        <w:rPr>
          <w:rStyle w:val="44"/>
          <w:rFonts w:hint="eastAsia" w:ascii="仿宋" w:hAnsi="仿宋" w:eastAsia="仿宋" w:cs="仿宋"/>
          <w:i w:val="0"/>
          <w:iCs w:val="0"/>
          <w:caps w:val="0"/>
          <w:color w:val="auto"/>
          <w:spacing w:val="0"/>
          <w:sz w:val="24"/>
          <w:szCs w:val="24"/>
          <w:highlight w:val="none"/>
          <w:shd w:val="clear" w:fill="FFFFFF"/>
          <w:vertAlign w:val="superscript"/>
        </w:rPr>
        <w:t>5</w:t>
      </w:r>
      <w:r>
        <w:rPr>
          <w:rFonts w:hint="eastAsia" w:ascii="仿宋" w:hAnsi="仿宋" w:eastAsia="仿宋" w:cs="仿宋"/>
          <w:i w:val="0"/>
          <w:iCs w:val="0"/>
          <w:caps w:val="0"/>
          <w:color w:val="auto"/>
          <w:spacing w:val="0"/>
          <w:sz w:val="24"/>
          <w:szCs w:val="24"/>
          <w:highlight w:val="none"/>
          <w:shd w:val="clear" w:fill="FFFFFF"/>
        </w:rPr>
        <w:t>在中国境内完成。</w:t>
      </w:r>
    </w:p>
    <w:p w14:paraId="510AD4D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，生产厂为</w:t>
      </w:r>
      <w:r>
        <w:rPr>
          <w:rStyle w:val="44"/>
          <w:rFonts w:hint="eastAsia" w:ascii="仿宋" w:hAnsi="仿宋" w:eastAsia="仿宋" w:cs="仿宋"/>
          <w:i w:val="0"/>
          <w:iCs w:val="0"/>
          <w:caps w:val="0"/>
          <w:color w:val="auto"/>
          <w:spacing w:val="0"/>
          <w:sz w:val="24"/>
          <w:szCs w:val="24"/>
          <w:highlight w:val="none"/>
          <w:shd w:val="clear" w:fill="FFFFFF"/>
        </w:rPr>
        <w:t>（厂名）</w:t>
      </w:r>
      <w:r>
        <w:rPr>
          <w:rFonts w:hint="eastAsia" w:ascii="仿宋" w:hAnsi="仿宋" w:eastAsia="仿宋" w:cs="仿宋"/>
          <w:i w:val="0"/>
          <w:iCs w:val="0"/>
          <w:caps w:val="0"/>
          <w:color w:val="auto"/>
          <w:spacing w:val="0"/>
          <w:sz w:val="24"/>
          <w:szCs w:val="24"/>
          <w:highlight w:val="none"/>
          <w:shd w:val="clear" w:fill="FFFFFF"/>
        </w:rPr>
        <w:t>，厂址为</w:t>
      </w:r>
      <w:r>
        <w:rPr>
          <w:rStyle w:val="44"/>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44"/>
          <w:rFonts w:hint="eastAsia" w:ascii="仿宋" w:hAnsi="仿宋" w:eastAsia="仿宋" w:cs="仿宋"/>
          <w:i w:val="0"/>
          <w:iCs w:val="0"/>
          <w:caps w:val="0"/>
          <w:color w:val="auto"/>
          <w:spacing w:val="0"/>
          <w:sz w:val="24"/>
          <w:szCs w:val="24"/>
          <w:highlight w:val="none"/>
          <w:shd w:val="clear" w:fill="FFFFFF"/>
        </w:rPr>
        <w:t>（规定比例）</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（关键组件）</w:t>
      </w:r>
      <w:r>
        <w:rPr>
          <w:rFonts w:hint="eastAsia" w:ascii="仿宋" w:hAnsi="仿宋" w:eastAsia="仿宋" w:cs="仿宋"/>
          <w:i w:val="0"/>
          <w:iCs w:val="0"/>
          <w:caps w:val="0"/>
          <w:color w:val="auto"/>
          <w:spacing w:val="0"/>
          <w:sz w:val="24"/>
          <w:szCs w:val="24"/>
          <w:highlight w:val="none"/>
          <w:shd w:val="clear" w:fill="FFFFFF"/>
        </w:rPr>
        <w:t>在中国境内生产。</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（关键工序）</w:t>
      </w:r>
      <w:r>
        <w:rPr>
          <w:rFonts w:hint="eastAsia" w:ascii="仿宋" w:hAnsi="仿宋" w:eastAsia="仿宋" w:cs="仿宋"/>
          <w:i w:val="0"/>
          <w:iCs w:val="0"/>
          <w:caps w:val="0"/>
          <w:color w:val="auto"/>
          <w:spacing w:val="0"/>
          <w:sz w:val="24"/>
          <w:szCs w:val="24"/>
          <w:highlight w:val="none"/>
          <w:shd w:val="clear" w:fill="FFFFFF"/>
        </w:rPr>
        <w:t>在中国境内完成。</w:t>
      </w:r>
    </w:p>
    <w:p w14:paraId="6A64750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w:t>
      </w:r>
    </w:p>
    <w:p w14:paraId="183F41C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本公司（单位）对上述声明内容的真实性负责。如有虚假，愿承担相应法律责任。</w:t>
      </w:r>
    </w:p>
    <w:p w14:paraId="3951DC7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公司（单位）名称（盖章）：      </w:t>
      </w:r>
    </w:p>
    <w:p w14:paraId="444F3A5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日期：　　　　　年　　月　日    </w:t>
      </w:r>
    </w:p>
    <w:p w14:paraId="0F3D9E78">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46B90E3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6F40D6F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_____________________________</w:t>
      </w:r>
    </w:p>
    <w:p w14:paraId="4FB74F2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1.产品如有型号，请在“产品名称”栏一并填写。</w:t>
      </w:r>
    </w:p>
    <w:p w14:paraId="23D5314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2.生产厂名与厂址应与生产厂营业执照载明的相关信息保持一致。</w:t>
      </w:r>
    </w:p>
    <w:p w14:paraId="4B38061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3.该产品的中国境内生产的组件成本占比相关要求实施前，“规定比例”栏可不填，下同。</w:t>
      </w:r>
    </w:p>
    <w:p w14:paraId="473A4E1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4.该产品的关键组件要求实施前，“关键组件”栏可不填，下同。</w:t>
      </w:r>
    </w:p>
    <w:p w14:paraId="1C2E191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5.该产品的关键工序要求实施前，“关键工序”栏可不填，下同。</w:t>
      </w:r>
    </w:p>
    <w:p w14:paraId="1F22AA9E">
      <w:pPr>
        <w:spacing w:line="360" w:lineRule="auto"/>
        <w:rPr>
          <w:rFonts w:hint="eastAsia" w:ascii="仿宋" w:hAnsi="仿宋" w:eastAsia="仿宋" w:cs="仿宋"/>
          <w:color w:val="auto"/>
          <w:sz w:val="24"/>
          <w:szCs w:val="24"/>
          <w:highlight w:val="none"/>
        </w:rPr>
      </w:pPr>
    </w:p>
    <w:sectPr>
      <w:pgSz w:w="11906" w:h="16838"/>
      <w:pgMar w:top="1134" w:right="1417" w:bottom="1134" w:left="1417" w:header="851"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embedRegular r:id="rId1" w:fontKey="{1C50C8C9-231B-4A83-B8CF-36C2228D215B}"/>
  </w:font>
  <w:font w:name="Trebuchet MS">
    <w:panose1 w:val="020B0603020202020204"/>
    <w:charset w:val="00"/>
    <w:family w:val="swiss"/>
    <w:pitch w:val="default"/>
    <w:sig w:usb0="000006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embedRegular r:id="rId2" w:fontKey="{E1BD4565-A6D1-445C-962D-8F35C03E1186}"/>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A14BE">
    <w:pPr>
      <w:pStyle w:val="21"/>
      <w:ind w:right="9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14BDE">
                          <w:pPr>
                            <w:pStyle w:val="2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14BDE">
                    <w:pPr>
                      <w:pStyle w:val="21"/>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2D781">
    <w:pPr>
      <w:pStyle w:val="21"/>
      <w:ind w:right="9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529C">
    <w:pPr>
      <w:pStyle w:val="21"/>
      <w:ind w:right="90"/>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EE967">
                          <w:pPr>
                            <w:pStyle w:val="21"/>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FBEE967">
                    <w:pPr>
                      <w:pStyle w:val="21"/>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43A82">
    <w:pPr>
      <w:pStyle w:val="21"/>
      <w:ind w:right="360"/>
      <w:jc w:val="center"/>
      <w:rPr>
        <w:rFonts w:hint="eastAsia" w:asciiTheme="minorEastAsia" w:hAnsiTheme="minorEastAsia" w:eastAsiaTheme="minorEastAsia"/>
        <w:sz w:val="24"/>
        <w:szCs w:val="24"/>
      </w:rPr>
    </w:pPr>
    <w:r>
      <w:rPr>
        <w:sz w:val="24"/>
        <w:szCs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仿宋" w:hAnsi="仿宋" w:eastAsia="仿宋" w:cs="仿宋"/>
                              <w:sz w:val="24"/>
                              <w:szCs w:val="24"/>
                            </w:rPr>
                            <w:id w:val="-367532114"/>
                          </w:sdtPr>
                          <w:sdtEndPr>
                            <w:rPr>
                              <w:rFonts w:hint="eastAsia" w:cs="仿宋" w:asciiTheme="minorEastAsia" w:hAnsiTheme="minorEastAsia" w:eastAsiaTheme="minorEastAsia"/>
                              <w:sz w:val="30"/>
                              <w:szCs w:val="30"/>
                            </w:rPr>
                          </w:sdtEndPr>
                          <w:sdtContent>
                            <w:p w14:paraId="2B4C5EC3">
                              <w:pPr>
                                <w:pStyle w:val="21"/>
                                <w:ind w:right="360"/>
                                <w:jc w:val="center"/>
                                <w:rPr>
                                  <w:rFonts w:hint="eastAsia"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26</w:t>
                              </w:r>
                              <w:r>
                                <w:rPr>
                                  <w:rFonts w:hint="eastAsia" w:ascii="仿宋" w:hAnsi="仿宋" w:eastAsia="仿宋" w:cs="仿宋"/>
                                  <w:sz w:val="24"/>
                                  <w:szCs w:val="24"/>
                                </w:rPr>
                                <w:fldChar w:fldCharType="end"/>
                              </w:r>
                            </w:p>
                          </w:sdtContent>
                        </w:sdt>
                        <w:p w14:paraId="02121EC1">
                          <w:pPr>
                            <w:rPr>
                              <w:rFonts w:hint="eastAsia" w:asciiTheme="minorEastAsia" w:hAnsiTheme="minorEastAsia"/>
                              <w:sz w:val="30"/>
                              <w:szCs w:val="3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rPr>
                        <w:rFonts w:hint="eastAsia" w:ascii="仿宋" w:hAnsi="仿宋" w:eastAsia="仿宋" w:cs="仿宋"/>
                        <w:sz w:val="24"/>
                        <w:szCs w:val="24"/>
                      </w:rPr>
                      <w:id w:val="-367532114"/>
                    </w:sdtPr>
                    <w:sdtEndPr>
                      <w:rPr>
                        <w:rFonts w:hint="eastAsia" w:cs="仿宋" w:asciiTheme="minorEastAsia" w:hAnsiTheme="minorEastAsia" w:eastAsiaTheme="minorEastAsia"/>
                        <w:sz w:val="30"/>
                        <w:szCs w:val="30"/>
                      </w:rPr>
                    </w:sdtEndPr>
                    <w:sdtContent>
                      <w:p w14:paraId="2B4C5EC3">
                        <w:pPr>
                          <w:pStyle w:val="21"/>
                          <w:ind w:right="360"/>
                          <w:jc w:val="center"/>
                          <w:rPr>
                            <w:rFonts w:hint="eastAsia"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26</w:t>
                        </w:r>
                        <w:r>
                          <w:rPr>
                            <w:rFonts w:hint="eastAsia" w:ascii="仿宋" w:hAnsi="仿宋" w:eastAsia="仿宋" w:cs="仿宋"/>
                            <w:sz w:val="24"/>
                            <w:szCs w:val="24"/>
                          </w:rPr>
                          <w:fldChar w:fldCharType="end"/>
                        </w:r>
                      </w:p>
                    </w:sdtContent>
                  </w:sdt>
                  <w:p w14:paraId="02121EC1">
                    <w:pPr>
                      <w:rPr>
                        <w:rFonts w:hint="eastAsia" w:asciiTheme="minorEastAsia" w:hAnsiTheme="minorEastAsia"/>
                        <w:sz w:val="30"/>
                        <w:szCs w:val="3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B3B4F">
    <w:pPr>
      <w:pStyle w:val="2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FD766">
    <w:pPr>
      <w:pStyle w:val="2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5YzQ0MWM2NDg3NzAxNTI3MDYxNmNiYmNjZWVhNTgifQ=="/>
    <w:docVar w:name="KSO_WPS_MARK_KEY" w:val="fdbdf24b-0dbf-482d-9e5c-40b2cee7c8c0"/>
  </w:docVars>
  <w:rsids>
    <w:rsidRoot w:val="00172A27"/>
    <w:rsid w:val="000002B4"/>
    <w:rsid w:val="00001340"/>
    <w:rsid w:val="00002143"/>
    <w:rsid w:val="00004DAA"/>
    <w:rsid w:val="00005C75"/>
    <w:rsid w:val="00006BD9"/>
    <w:rsid w:val="00007BA8"/>
    <w:rsid w:val="000104D6"/>
    <w:rsid w:val="00010CE2"/>
    <w:rsid w:val="00012108"/>
    <w:rsid w:val="00012E01"/>
    <w:rsid w:val="00014F7D"/>
    <w:rsid w:val="000162FE"/>
    <w:rsid w:val="00020411"/>
    <w:rsid w:val="0002386B"/>
    <w:rsid w:val="0002405E"/>
    <w:rsid w:val="000244CA"/>
    <w:rsid w:val="0002545E"/>
    <w:rsid w:val="00027B5D"/>
    <w:rsid w:val="00030171"/>
    <w:rsid w:val="00033566"/>
    <w:rsid w:val="00033852"/>
    <w:rsid w:val="000343A0"/>
    <w:rsid w:val="000347EB"/>
    <w:rsid w:val="00036B12"/>
    <w:rsid w:val="000400E8"/>
    <w:rsid w:val="00044B32"/>
    <w:rsid w:val="00046152"/>
    <w:rsid w:val="0005003E"/>
    <w:rsid w:val="00051397"/>
    <w:rsid w:val="00054F47"/>
    <w:rsid w:val="0005551C"/>
    <w:rsid w:val="000604DE"/>
    <w:rsid w:val="0006199F"/>
    <w:rsid w:val="000641A9"/>
    <w:rsid w:val="000653CD"/>
    <w:rsid w:val="000661C0"/>
    <w:rsid w:val="00070AF5"/>
    <w:rsid w:val="00070BFE"/>
    <w:rsid w:val="0007362D"/>
    <w:rsid w:val="00073846"/>
    <w:rsid w:val="00073D96"/>
    <w:rsid w:val="000762D4"/>
    <w:rsid w:val="00077DB3"/>
    <w:rsid w:val="0008025F"/>
    <w:rsid w:val="00080E16"/>
    <w:rsid w:val="000829F2"/>
    <w:rsid w:val="00082FC4"/>
    <w:rsid w:val="00085ED3"/>
    <w:rsid w:val="000904A3"/>
    <w:rsid w:val="00090F37"/>
    <w:rsid w:val="000916AB"/>
    <w:rsid w:val="000923E8"/>
    <w:rsid w:val="000946D4"/>
    <w:rsid w:val="00094989"/>
    <w:rsid w:val="000A0272"/>
    <w:rsid w:val="000A02F9"/>
    <w:rsid w:val="000A1ECD"/>
    <w:rsid w:val="000A32B9"/>
    <w:rsid w:val="000A3552"/>
    <w:rsid w:val="000A43C4"/>
    <w:rsid w:val="000A452A"/>
    <w:rsid w:val="000B210F"/>
    <w:rsid w:val="000B318F"/>
    <w:rsid w:val="000B331B"/>
    <w:rsid w:val="000B4C6A"/>
    <w:rsid w:val="000B7C76"/>
    <w:rsid w:val="000C364C"/>
    <w:rsid w:val="000C3FDE"/>
    <w:rsid w:val="000D171A"/>
    <w:rsid w:val="000D5DA0"/>
    <w:rsid w:val="000D7CE7"/>
    <w:rsid w:val="000E2D54"/>
    <w:rsid w:val="000E34FC"/>
    <w:rsid w:val="000E40A6"/>
    <w:rsid w:val="000E5B9C"/>
    <w:rsid w:val="000E674D"/>
    <w:rsid w:val="000E7461"/>
    <w:rsid w:val="000F186E"/>
    <w:rsid w:val="000F56EE"/>
    <w:rsid w:val="00100D44"/>
    <w:rsid w:val="00101AA4"/>
    <w:rsid w:val="00102AB6"/>
    <w:rsid w:val="00104F86"/>
    <w:rsid w:val="001063D0"/>
    <w:rsid w:val="0010650C"/>
    <w:rsid w:val="00106BA4"/>
    <w:rsid w:val="00111383"/>
    <w:rsid w:val="001145B2"/>
    <w:rsid w:val="00115901"/>
    <w:rsid w:val="00115A4B"/>
    <w:rsid w:val="0011725D"/>
    <w:rsid w:val="00121DF5"/>
    <w:rsid w:val="001248E7"/>
    <w:rsid w:val="00126044"/>
    <w:rsid w:val="00127B38"/>
    <w:rsid w:val="00127C9A"/>
    <w:rsid w:val="0013312B"/>
    <w:rsid w:val="00134210"/>
    <w:rsid w:val="00134F82"/>
    <w:rsid w:val="001357C8"/>
    <w:rsid w:val="00142BB8"/>
    <w:rsid w:val="00143169"/>
    <w:rsid w:val="0014554F"/>
    <w:rsid w:val="00146E26"/>
    <w:rsid w:val="001543A3"/>
    <w:rsid w:val="001575BE"/>
    <w:rsid w:val="00157673"/>
    <w:rsid w:val="0015794E"/>
    <w:rsid w:val="00160159"/>
    <w:rsid w:val="00160311"/>
    <w:rsid w:val="00161961"/>
    <w:rsid w:val="00162DD4"/>
    <w:rsid w:val="001652C6"/>
    <w:rsid w:val="0016644B"/>
    <w:rsid w:val="00170A17"/>
    <w:rsid w:val="00171110"/>
    <w:rsid w:val="00172A27"/>
    <w:rsid w:val="00172AA0"/>
    <w:rsid w:val="001733AF"/>
    <w:rsid w:val="001763E6"/>
    <w:rsid w:val="00176FAD"/>
    <w:rsid w:val="0017733A"/>
    <w:rsid w:val="00181200"/>
    <w:rsid w:val="001901CA"/>
    <w:rsid w:val="001930FC"/>
    <w:rsid w:val="00193402"/>
    <w:rsid w:val="00194DD8"/>
    <w:rsid w:val="00197628"/>
    <w:rsid w:val="001A1456"/>
    <w:rsid w:val="001A1D16"/>
    <w:rsid w:val="001A2117"/>
    <w:rsid w:val="001A45DD"/>
    <w:rsid w:val="001A4E5A"/>
    <w:rsid w:val="001A4E90"/>
    <w:rsid w:val="001A71AF"/>
    <w:rsid w:val="001B1372"/>
    <w:rsid w:val="001B1748"/>
    <w:rsid w:val="001B5A4C"/>
    <w:rsid w:val="001C15DD"/>
    <w:rsid w:val="001C4134"/>
    <w:rsid w:val="001D029C"/>
    <w:rsid w:val="001D4B73"/>
    <w:rsid w:val="001D50A5"/>
    <w:rsid w:val="001E288B"/>
    <w:rsid w:val="001E33A7"/>
    <w:rsid w:val="001E3D69"/>
    <w:rsid w:val="001E4755"/>
    <w:rsid w:val="001E6E8F"/>
    <w:rsid w:val="001E794E"/>
    <w:rsid w:val="001F292C"/>
    <w:rsid w:val="001F3A08"/>
    <w:rsid w:val="001F610A"/>
    <w:rsid w:val="001F79E8"/>
    <w:rsid w:val="00200BA8"/>
    <w:rsid w:val="0020240F"/>
    <w:rsid w:val="002055DD"/>
    <w:rsid w:val="00205968"/>
    <w:rsid w:val="00205DF6"/>
    <w:rsid w:val="00205F22"/>
    <w:rsid w:val="0021147C"/>
    <w:rsid w:val="00213EEB"/>
    <w:rsid w:val="00214257"/>
    <w:rsid w:val="00214392"/>
    <w:rsid w:val="00215BA5"/>
    <w:rsid w:val="00215F58"/>
    <w:rsid w:val="00217E00"/>
    <w:rsid w:val="0022016C"/>
    <w:rsid w:val="0022177D"/>
    <w:rsid w:val="002224AE"/>
    <w:rsid w:val="00223931"/>
    <w:rsid w:val="002246D6"/>
    <w:rsid w:val="00226DEC"/>
    <w:rsid w:val="0022747A"/>
    <w:rsid w:val="0023151C"/>
    <w:rsid w:val="0023323E"/>
    <w:rsid w:val="00236A48"/>
    <w:rsid w:val="00236D43"/>
    <w:rsid w:val="00240D63"/>
    <w:rsid w:val="00243861"/>
    <w:rsid w:val="002472C0"/>
    <w:rsid w:val="002508FA"/>
    <w:rsid w:val="00253DC3"/>
    <w:rsid w:val="002541CE"/>
    <w:rsid w:val="00255C6B"/>
    <w:rsid w:val="0025723D"/>
    <w:rsid w:val="00257F22"/>
    <w:rsid w:val="002604A7"/>
    <w:rsid w:val="00260910"/>
    <w:rsid w:val="00262A6E"/>
    <w:rsid w:val="00263141"/>
    <w:rsid w:val="00266F04"/>
    <w:rsid w:val="00280F38"/>
    <w:rsid w:val="00283C54"/>
    <w:rsid w:val="00285885"/>
    <w:rsid w:val="00285ABC"/>
    <w:rsid w:val="002967DA"/>
    <w:rsid w:val="002A6197"/>
    <w:rsid w:val="002A7CE2"/>
    <w:rsid w:val="002B0041"/>
    <w:rsid w:val="002B01D0"/>
    <w:rsid w:val="002B38BE"/>
    <w:rsid w:val="002B3DBF"/>
    <w:rsid w:val="002B77E1"/>
    <w:rsid w:val="002C02A1"/>
    <w:rsid w:val="002C2DD2"/>
    <w:rsid w:val="002C7FCF"/>
    <w:rsid w:val="002D280B"/>
    <w:rsid w:val="002D3439"/>
    <w:rsid w:val="002D635D"/>
    <w:rsid w:val="002D6CF2"/>
    <w:rsid w:val="002E1B79"/>
    <w:rsid w:val="002E25BC"/>
    <w:rsid w:val="002E29B4"/>
    <w:rsid w:val="002E5AAD"/>
    <w:rsid w:val="002F065A"/>
    <w:rsid w:val="002F10F5"/>
    <w:rsid w:val="002F2283"/>
    <w:rsid w:val="002F640F"/>
    <w:rsid w:val="002F7FD1"/>
    <w:rsid w:val="00300C92"/>
    <w:rsid w:val="003017E3"/>
    <w:rsid w:val="00301FBF"/>
    <w:rsid w:val="00304A1A"/>
    <w:rsid w:val="00304D2D"/>
    <w:rsid w:val="00305EE3"/>
    <w:rsid w:val="0030747A"/>
    <w:rsid w:val="003117CE"/>
    <w:rsid w:val="003121AD"/>
    <w:rsid w:val="00313F13"/>
    <w:rsid w:val="00315623"/>
    <w:rsid w:val="00315D4B"/>
    <w:rsid w:val="00315D59"/>
    <w:rsid w:val="003160D4"/>
    <w:rsid w:val="00316DBA"/>
    <w:rsid w:val="00317D34"/>
    <w:rsid w:val="00321036"/>
    <w:rsid w:val="00323AFC"/>
    <w:rsid w:val="0032592F"/>
    <w:rsid w:val="00326152"/>
    <w:rsid w:val="00331C14"/>
    <w:rsid w:val="0033231B"/>
    <w:rsid w:val="00332D2E"/>
    <w:rsid w:val="00333E01"/>
    <w:rsid w:val="003357D8"/>
    <w:rsid w:val="00336EED"/>
    <w:rsid w:val="003414CA"/>
    <w:rsid w:val="00344BCD"/>
    <w:rsid w:val="00347E66"/>
    <w:rsid w:val="0035118C"/>
    <w:rsid w:val="003537E4"/>
    <w:rsid w:val="0035581F"/>
    <w:rsid w:val="00357E91"/>
    <w:rsid w:val="00360D30"/>
    <w:rsid w:val="00361C9D"/>
    <w:rsid w:val="00363991"/>
    <w:rsid w:val="00364473"/>
    <w:rsid w:val="003646E5"/>
    <w:rsid w:val="00366F29"/>
    <w:rsid w:val="00367BA8"/>
    <w:rsid w:val="00370F25"/>
    <w:rsid w:val="00373602"/>
    <w:rsid w:val="00373826"/>
    <w:rsid w:val="00373AD1"/>
    <w:rsid w:val="00376E83"/>
    <w:rsid w:val="00384E2D"/>
    <w:rsid w:val="00390A3C"/>
    <w:rsid w:val="00392652"/>
    <w:rsid w:val="003974F8"/>
    <w:rsid w:val="003A28C5"/>
    <w:rsid w:val="003A5B50"/>
    <w:rsid w:val="003A6107"/>
    <w:rsid w:val="003A7427"/>
    <w:rsid w:val="003B0D63"/>
    <w:rsid w:val="003B70AD"/>
    <w:rsid w:val="003B7226"/>
    <w:rsid w:val="003C0B9E"/>
    <w:rsid w:val="003C179F"/>
    <w:rsid w:val="003C21E8"/>
    <w:rsid w:val="003C558B"/>
    <w:rsid w:val="003D01BB"/>
    <w:rsid w:val="003D05EA"/>
    <w:rsid w:val="003D2C56"/>
    <w:rsid w:val="003D3CCB"/>
    <w:rsid w:val="003D4211"/>
    <w:rsid w:val="003E11F4"/>
    <w:rsid w:val="003E4A7A"/>
    <w:rsid w:val="003F08DC"/>
    <w:rsid w:val="003F3849"/>
    <w:rsid w:val="003F4611"/>
    <w:rsid w:val="003F59D7"/>
    <w:rsid w:val="0040310D"/>
    <w:rsid w:val="00404253"/>
    <w:rsid w:val="00407128"/>
    <w:rsid w:val="004079CE"/>
    <w:rsid w:val="004143A5"/>
    <w:rsid w:val="004220B6"/>
    <w:rsid w:val="004238E7"/>
    <w:rsid w:val="00423980"/>
    <w:rsid w:val="0042662D"/>
    <w:rsid w:val="004270EF"/>
    <w:rsid w:val="00427533"/>
    <w:rsid w:val="00432C0C"/>
    <w:rsid w:val="00433EED"/>
    <w:rsid w:val="0044198C"/>
    <w:rsid w:val="0044280B"/>
    <w:rsid w:val="00443888"/>
    <w:rsid w:val="004449F3"/>
    <w:rsid w:val="00444EE1"/>
    <w:rsid w:val="00445872"/>
    <w:rsid w:val="0044799D"/>
    <w:rsid w:val="0045091A"/>
    <w:rsid w:val="00451F71"/>
    <w:rsid w:val="00452BB8"/>
    <w:rsid w:val="00454FA1"/>
    <w:rsid w:val="00455196"/>
    <w:rsid w:val="0045602F"/>
    <w:rsid w:val="00457A37"/>
    <w:rsid w:val="004639BC"/>
    <w:rsid w:val="004640C1"/>
    <w:rsid w:val="00464725"/>
    <w:rsid w:val="00464BAE"/>
    <w:rsid w:val="004660B0"/>
    <w:rsid w:val="004704FB"/>
    <w:rsid w:val="004825A8"/>
    <w:rsid w:val="0048512D"/>
    <w:rsid w:val="004A010F"/>
    <w:rsid w:val="004A01F6"/>
    <w:rsid w:val="004A1F5D"/>
    <w:rsid w:val="004A3D6D"/>
    <w:rsid w:val="004A4981"/>
    <w:rsid w:val="004A5190"/>
    <w:rsid w:val="004A5376"/>
    <w:rsid w:val="004A6517"/>
    <w:rsid w:val="004A67FA"/>
    <w:rsid w:val="004A68AF"/>
    <w:rsid w:val="004A7173"/>
    <w:rsid w:val="004A7D7E"/>
    <w:rsid w:val="004B029E"/>
    <w:rsid w:val="004B0537"/>
    <w:rsid w:val="004B28CA"/>
    <w:rsid w:val="004B7DE5"/>
    <w:rsid w:val="004C1AE6"/>
    <w:rsid w:val="004C6BAD"/>
    <w:rsid w:val="004C7102"/>
    <w:rsid w:val="004C7FD7"/>
    <w:rsid w:val="004D0A4A"/>
    <w:rsid w:val="004D0E18"/>
    <w:rsid w:val="004D11B3"/>
    <w:rsid w:val="004D3C30"/>
    <w:rsid w:val="004D5AE9"/>
    <w:rsid w:val="004D5C23"/>
    <w:rsid w:val="004D5F63"/>
    <w:rsid w:val="004D75D5"/>
    <w:rsid w:val="004E0230"/>
    <w:rsid w:val="004E2088"/>
    <w:rsid w:val="004E419C"/>
    <w:rsid w:val="004E56D8"/>
    <w:rsid w:val="004E5B18"/>
    <w:rsid w:val="004E606C"/>
    <w:rsid w:val="004E6954"/>
    <w:rsid w:val="004E76F6"/>
    <w:rsid w:val="004E7786"/>
    <w:rsid w:val="004F0D23"/>
    <w:rsid w:val="00501303"/>
    <w:rsid w:val="0050507E"/>
    <w:rsid w:val="00507DCF"/>
    <w:rsid w:val="00511664"/>
    <w:rsid w:val="00516A4F"/>
    <w:rsid w:val="005170D9"/>
    <w:rsid w:val="00520FE8"/>
    <w:rsid w:val="0052394D"/>
    <w:rsid w:val="00524F86"/>
    <w:rsid w:val="00526F0E"/>
    <w:rsid w:val="005271EF"/>
    <w:rsid w:val="00527A46"/>
    <w:rsid w:val="005307A5"/>
    <w:rsid w:val="0053132A"/>
    <w:rsid w:val="00536952"/>
    <w:rsid w:val="005369FB"/>
    <w:rsid w:val="00537638"/>
    <w:rsid w:val="0054181E"/>
    <w:rsid w:val="00541AC4"/>
    <w:rsid w:val="00541FB5"/>
    <w:rsid w:val="0055435D"/>
    <w:rsid w:val="005574D7"/>
    <w:rsid w:val="00560740"/>
    <w:rsid w:val="005627EE"/>
    <w:rsid w:val="00562B2E"/>
    <w:rsid w:val="00566F28"/>
    <w:rsid w:val="00570015"/>
    <w:rsid w:val="00573EAA"/>
    <w:rsid w:val="00576ADE"/>
    <w:rsid w:val="00577ECB"/>
    <w:rsid w:val="00577FFA"/>
    <w:rsid w:val="0058012A"/>
    <w:rsid w:val="00582F95"/>
    <w:rsid w:val="00586658"/>
    <w:rsid w:val="00587816"/>
    <w:rsid w:val="005879D1"/>
    <w:rsid w:val="0059145C"/>
    <w:rsid w:val="00594BE3"/>
    <w:rsid w:val="00595F0C"/>
    <w:rsid w:val="00596BA7"/>
    <w:rsid w:val="005A215C"/>
    <w:rsid w:val="005A6326"/>
    <w:rsid w:val="005A69CA"/>
    <w:rsid w:val="005A770A"/>
    <w:rsid w:val="005C53A8"/>
    <w:rsid w:val="005D2A28"/>
    <w:rsid w:val="005D3846"/>
    <w:rsid w:val="005D5695"/>
    <w:rsid w:val="005D651D"/>
    <w:rsid w:val="005D6F56"/>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53D2"/>
    <w:rsid w:val="00606716"/>
    <w:rsid w:val="00607BD4"/>
    <w:rsid w:val="0061147C"/>
    <w:rsid w:val="00613E30"/>
    <w:rsid w:val="00614490"/>
    <w:rsid w:val="0061632F"/>
    <w:rsid w:val="00616341"/>
    <w:rsid w:val="00617E79"/>
    <w:rsid w:val="00617EC4"/>
    <w:rsid w:val="00622699"/>
    <w:rsid w:val="00624E16"/>
    <w:rsid w:val="00630AAC"/>
    <w:rsid w:val="006314C2"/>
    <w:rsid w:val="00631C5A"/>
    <w:rsid w:val="0063569B"/>
    <w:rsid w:val="00635CE4"/>
    <w:rsid w:val="0063610A"/>
    <w:rsid w:val="006367D4"/>
    <w:rsid w:val="00644CAA"/>
    <w:rsid w:val="00646460"/>
    <w:rsid w:val="0064722F"/>
    <w:rsid w:val="00647D58"/>
    <w:rsid w:val="0065082F"/>
    <w:rsid w:val="00650F27"/>
    <w:rsid w:val="00651977"/>
    <w:rsid w:val="006523BD"/>
    <w:rsid w:val="00652A1B"/>
    <w:rsid w:val="00652A7E"/>
    <w:rsid w:val="00652A9D"/>
    <w:rsid w:val="00653B67"/>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790"/>
    <w:rsid w:val="0067272A"/>
    <w:rsid w:val="006728AB"/>
    <w:rsid w:val="00672F73"/>
    <w:rsid w:val="00673798"/>
    <w:rsid w:val="00674559"/>
    <w:rsid w:val="00674A1B"/>
    <w:rsid w:val="00674AFD"/>
    <w:rsid w:val="006804BB"/>
    <w:rsid w:val="00691232"/>
    <w:rsid w:val="006932B7"/>
    <w:rsid w:val="00693C26"/>
    <w:rsid w:val="00693DA7"/>
    <w:rsid w:val="00694538"/>
    <w:rsid w:val="006956A0"/>
    <w:rsid w:val="0069732C"/>
    <w:rsid w:val="0069791E"/>
    <w:rsid w:val="006A4AC4"/>
    <w:rsid w:val="006A72C3"/>
    <w:rsid w:val="006B014A"/>
    <w:rsid w:val="006B14EC"/>
    <w:rsid w:val="006B2DDD"/>
    <w:rsid w:val="006B6380"/>
    <w:rsid w:val="006B6739"/>
    <w:rsid w:val="006B72B0"/>
    <w:rsid w:val="006B72D9"/>
    <w:rsid w:val="006B7760"/>
    <w:rsid w:val="006C06C9"/>
    <w:rsid w:val="006C08F0"/>
    <w:rsid w:val="006C214D"/>
    <w:rsid w:val="006C2490"/>
    <w:rsid w:val="006C3250"/>
    <w:rsid w:val="006C551A"/>
    <w:rsid w:val="006C5A93"/>
    <w:rsid w:val="006D0395"/>
    <w:rsid w:val="006D21CC"/>
    <w:rsid w:val="006D3A4C"/>
    <w:rsid w:val="006D3A5D"/>
    <w:rsid w:val="006D5419"/>
    <w:rsid w:val="006D541A"/>
    <w:rsid w:val="006D54D4"/>
    <w:rsid w:val="006D72DF"/>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05A54"/>
    <w:rsid w:val="00707DD7"/>
    <w:rsid w:val="007104B7"/>
    <w:rsid w:val="00711806"/>
    <w:rsid w:val="00711DFE"/>
    <w:rsid w:val="007127BA"/>
    <w:rsid w:val="00712834"/>
    <w:rsid w:val="007128C2"/>
    <w:rsid w:val="007137F1"/>
    <w:rsid w:val="007138D7"/>
    <w:rsid w:val="007156D2"/>
    <w:rsid w:val="007171D2"/>
    <w:rsid w:val="0072037A"/>
    <w:rsid w:val="00731CAD"/>
    <w:rsid w:val="007333C2"/>
    <w:rsid w:val="00737F44"/>
    <w:rsid w:val="00742828"/>
    <w:rsid w:val="00747623"/>
    <w:rsid w:val="007509C9"/>
    <w:rsid w:val="00750F56"/>
    <w:rsid w:val="0075151D"/>
    <w:rsid w:val="0075182A"/>
    <w:rsid w:val="00751E8B"/>
    <w:rsid w:val="00752280"/>
    <w:rsid w:val="00752409"/>
    <w:rsid w:val="007555F9"/>
    <w:rsid w:val="00756E59"/>
    <w:rsid w:val="0075781F"/>
    <w:rsid w:val="0076194F"/>
    <w:rsid w:val="00767044"/>
    <w:rsid w:val="00767A9C"/>
    <w:rsid w:val="007706A6"/>
    <w:rsid w:val="00775831"/>
    <w:rsid w:val="007758AC"/>
    <w:rsid w:val="00775DEA"/>
    <w:rsid w:val="00775E04"/>
    <w:rsid w:val="00777B6C"/>
    <w:rsid w:val="0078033B"/>
    <w:rsid w:val="00781F52"/>
    <w:rsid w:val="00782548"/>
    <w:rsid w:val="00782584"/>
    <w:rsid w:val="00784173"/>
    <w:rsid w:val="00786AAF"/>
    <w:rsid w:val="00787D19"/>
    <w:rsid w:val="007952C7"/>
    <w:rsid w:val="00796034"/>
    <w:rsid w:val="007A0C42"/>
    <w:rsid w:val="007A0E43"/>
    <w:rsid w:val="007A1947"/>
    <w:rsid w:val="007A237A"/>
    <w:rsid w:val="007A3B2A"/>
    <w:rsid w:val="007A5319"/>
    <w:rsid w:val="007A7C18"/>
    <w:rsid w:val="007A7EF1"/>
    <w:rsid w:val="007B2A84"/>
    <w:rsid w:val="007B32E9"/>
    <w:rsid w:val="007C4912"/>
    <w:rsid w:val="007C66D2"/>
    <w:rsid w:val="007C6BBF"/>
    <w:rsid w:val="007D1C55"/>
    <w:rsid w:val="007D3CF4"/>
    <w:rsid w:val="007D3DC6"/>
    <w:rsid w:val="007D4455"/>
    <w:rsid w:val="007D62D7"/>
    <w:rsid w:val="007D68A5"/>
    <w:rsid w:val="007E7421"/>
    <w:rsid w:val="007F314D"/>
    <w:rsid w:val="007F6C55"/>
    <w:rsid w:val="008012FC"/>
    <w:rsid w:val="00801FFA"/>
    <w:rsid w:val="008036B7"/>
    <w:rsid w:val="0080494D"/>
    <w:rsid w:val="00804D5D"/>
    <w:rsid w:val="0080672E"/>
    <w:rsid w:val="008067AA"/>
    <w:rsid w:val="008068DA"/>
    <w:rsid w:val="008068EC"/>
    <w:rsid w:val="00807795"/>
    <w:rsid w:val="00810459"/>
    <w:rsid w:val="00813D04"/>
    <w:rsid w:val="0081414C"/>
    <w:rsid w:val="00816A53"/>
    <w:rsid w:val="00820914"/>
    <w:rsid w:val="00822EBD"/>
    <w:rsid w:val="008247D9"/>
    <w:rsid w:val="00825A15"/>
    <w:rsid w:val="00825F46"/>
    <w:rsid w:val="00825FAA"/>
    <w:rsid w:val="00826C3A"/>
    <w:rsid w:val="00830296"/>
    <w:rsid w:val="0083223D"/>
    <w:rsid w:val="008330C9"/>
    <w:rsid w:val="00835F52"/>
    <w:rsid w:val="00840117"/>
    <w:rsid w:val="00843C8F"/>
    <w:rsid w:val="00844290"/>
    <w:rsid w:val="008443B1"/>
    <w:rsid w:val="00844507"/>
    <w:rsid w:val="0084490D"/>
    <w:rsid w:val="00844A00"/>
    <w:rsid w:val="00846F1B"/>
    <w:rsid w:val="008526D9"/>
    <w:rsid w:val="00854E30"/>
    <w:rsid w:val="00857654"/>
    <w:rsid w:val="00857B62"/>
    <w:rsid w:val="008618C1"/>
    <w:rsid w:val="00862EBB"/>
    <w:rsid w:val="008631DD"/>
    <w:rsid w:val="00864330"/>
    <w:rsid w:val="008703DB"/>
    <w:rsid w:val="00872CE4"/>
    <w:rsid w:val="0087459C"/>
    <w:rsid w:val="00877E4D"/>
    <w:rsid w:val="00880D74"/>
    <w:rsid w:val="00880ED3"/>
    <w:rsid w:val="00881BAB"/>
    <w:rsid w:val="00881D84"/>
    <w:rsid w:val="00883470"/>
    <w:rsid w:val="00884BA6"/>
    <w:rsid w:val="008858F6"/>
    <w:rsid w:val="00890712"/>
    <w:rsid w:val="00890B69"/>
    <w:rsid w:val="00892BDA"/>
    <w:rsid w:val="00892DE8"/>
    <w:rsid w:val="008A072E"/>
    <w:rsid w:val="008A2656"/>
    <w:rsid w:val="008A3A9E"/>
    <w:rsid w:val="008A4942"/>
    <w:rsid w:val="008A4B8E"/>
    <w:rsid w:val="008A53DE"/>
    <w:rsid w:val="008A561B"/>
    <w:rsid w:val="008A6628"/>
    <w:rsid w:val="008B01C2"/>
    <w:rsid w:val="008B029B"/>
    <w:rsid w:val="008B1D39"/>
    <w:rsid w:val="008B5573"/>
    <w:rsid w:val="008C24AF"/>
    <w:rsid w:val="008C5641"/>
    <w:rsid w:val="008C6135"/>
    <w:rsid w:val="008D0766"/>
    <w:rsid w:val="008D4229"/>
    <w:rsid w:val="008D4521"/>
    <w:rsid w:val="008D4BDD"/>
    <w:rsid w:val="008D5387"/>
    <w:rsid w:val="008D60F8"/>
    <w:rsid w:val="008D7591"/>
    <w:rsid w:val="008E1C79"/>
    <w:rsid w:val="008E1EA1"/>
    <w:rsid w:val="008E337E"/>
    <w:rsid w:val="008E47C0"/>
    <w:rsid w:val="008E6003"/>
    <w:rsid w:val="008E69FC"/>
    <w:rsid w:val="008E6AAE"/>
    <w:rsid w:val="008F1D6D"/>
    <w:rsid w:val="008F52D0"/>
    <w:rsid w:val="008F6AA2"/>
    <w:rsid w:val="00900116"/>
    <w:rsid w:val="009055EE"/>
    <w:rsid w:val="00905A28"/>
    <w:rsid w:val="00910B36"/>
    <w:rsid w:val="00910FF9"/>
    <w:rsid w:val="00913858"/>
    <w:rsid w:val="00914849"/>
    <w:rsid w:val="009166AD"/>
    <w:rsid w:val="0091776B"/>
    <w:rsid w:val="00917C51"/>
    <w:rsid w:val="009209E8"/>
    <w:rsid w:val="009211B4"/>
    <w:rsid w:val="00922373"/>
    <w:rsid w:val="00922592"/>
    <w:rsid w:val="00923C4A"/>
    <w:rsid w:val="009259D5"/>
    <w:rsid w:val="00925B9C"/>
    <w:rsid w:val="00926CDD"/>
    <w:rsid w:val="00926EE7"/>
    <w:rsid w:val="009278C5"/>
    <w:rsid w:val="0093107D"/>
    <w:rsid w:val="009324FE"/>
    <w:rsid w:val="00933150"/>
    <w:rsid w:val="00933165"/>
    <w:rsid w:val="0093334D"/>
    <w:rsid w:val="00934B57"/>
    <w:rsid w:val="00935307"/>
    <w:rsid w:val="009357CB"/>
    <w:rsid w:val="0094041C"/>
    <w:rsid w:val="0094055B"/>
    <w:rsid w:val="00941545"/>
    <w:rsid w:val="009435A6"/>
    <w:rsid w:val="009437A7"/>
    <w:rsid w:val="00946789"/>
    <w:rsid w:val="00950163"/>
    <w:rsid w:val="0095139A"/>
    <w:rsid w:val="009546B7"/>
    <w:rsid w:val="00955047"/>
    <w:rsid w:val="00955238"/>
    <w:rsid w:val="009558DD"/>
    <w:rsid w:val="009613A3"/>
    <w:rsid w:val="0096147D"/>
    <w:rsid w:val="0096479F"/>
    <w:rsid w:val="00965552"/>
    <w:rsid w:val="0096574A"/>
    <w:rsid w:val="0096617A"/>
    <w:rsid w:val="00967429"/>
    <w:rsid w:val="009700E7"/>
    <w:rsid w:val="009701A2"/>
    <w:rsid w:val="00971FF1"/>
    <w:rsid w:val="00973FB8"/>
    <w:rsid w:val="00975775"/>
    <w:rsid w:val="00977D99"/>
    <w:rsid w:val="0098099B"/>
    <w:rsid w:val="00981749"/>
    <w:rsid w:val="00982857"/>
    <w:rsid w:val="00983E4E"/>
    <w:rsid w:val="009840B0"/>
    <w:rsid w:val="00984531"/>
    <w:rsid w:val="0098659E"/>
    <w:rsid w:val="009869E5"/>
    <w:rsid w:val="00991F92"/>
    <w:rsid w:val="0099239A"/>
    <w:rsid w:val="00992683"/>
    <w:rsid w:val="009930AE"/>
    <w:rsid w:val="00994368"/>
    <w:rsid w:val="009956A1"/>
    <w:rsid w:val="009960AD"/>
    <w:rsid w:val="00997017"/>
    <w:rsid w:val="009A089A"/>
    <w:rsid w:val="009A1ABA"/>
    <w:rsid w:val="009A456E"/>
    <w:rsid w:val="009A6799"/>
    <w:rsid w:val="009A693B"/>
    <w:rsid w:val="009A7284"/>
    <w:rsid w:val="009A75CB"/>
    <w:rsid w:val="009B074B"/>
    <w:rsid w:val="009B0A3E"/>
    <w:rsid w:val="009B72EB"/>
    <w:rsid w:val="009B792F"/>
    <w:rsid w:val="009C07B4"/>
    <w:rsid w:val="009C4BB9"/>
    <w:rsid w:val="009C4C50"/>
    <w:rsid w:val="009C7D0A"/>
    <w:rsid w:val="009C7FD8"/>
    <w:rsid w:val="009D05BF"/>
    <w:rsid w:val="009D2432"/>
    <w:rsid w:val="009D245C"/>
    <w:rsid w:val="009D6AFE"/>
    <w:rsid w:val="009E0EA7"/>
    <w:rsid w:val="009E36F0"/>
    <w:rsid w:val="009F064F"/>
    <w:rsid w:val="009F11C8"/>
    <w:rsid w:val="009F15EF"/>
    <w:rsid w:val="009F24D1"/>
    <w:rsid w:val="009F3D47"/>
    <w:rsid w:val="009F4563"/>
    <w:rsid w:val="009F487E"/>
    <w:rsid w:val="009F6C40"/>
    <w:rsid w:val="00A01EFD"/>
    <w:rsid w:val="00A039D2"/>
    <w:rsid w:val="00A04B51"/>
    <w:rsid w:val="00A05781"/>
    <w:rsid w:val="00A068B7"/>
    <w:rsid w:val="00A069FC"/>
    <w:rsid w:val="00A0749F"/>
    <w:rsid w:val="00A12D09"/>
    <w:rsid w:val="00A17158"/>
    <w:rsid w:val="00A2031C"/>
    <w:rsid w:val="00A20856"/>
    <w:rsid w:val="00A2140F"/>
    <w:rsid w:val="00A24145"/>
    <w:rsid w:val="00A24411"/>
    <w:rsid w:val="00A252A2"/>
    <w:rsid w:val="00A25ADF"/>
    <w:rsid w:val="00A319A4"/>
    <w:rsid w:val="00A320D2"/>
    <w:rsid w:val="00A32455"/>
    <w:rsid w:val="00A32D75"/>
    <w:rsid w:val="00A33EC9"/>
    <w:rsid w:val="00A36113"/>
    <w:rsid w:val="00A377F1"/>
    <w:rsid w:val="00A40087"/>
    <w:rsid w:val="00A41CA5"/>
    <w:rsid w:val="00A426D2"/>
    <w:rsid w:val="00A46BC3"/>
    <w:rsid w:val="00A51A47"/>
    <w:rsid w:val="00A5296E"/>
    <w:rsid w:val="00A5323E"/>
    <w:rsid w:val="00A5538A"/>
    <w:rsid w:val="00A5692F"/>
    <w:rsid w:val="00A57C84"/>
    <w:rsid w:val="00A6358C"/>
    <w:rsid w:val="00A63DE3"/>
    <w:rsid w:val="00A648D2"/>
    <w:rsid w:val="00A648FB"/>
    <w:rsid w:val="00A665B8"/>
    <w:rsid w:val="00A67621"/>
    <w:rsid w:val="00A709D1"/>
    <w:rsid w:val="00A70DE0"/>
    <w:rsid w:val="00A81B56"/>
    <w:rsid w:val="00A82E49"/>
    <w:rsid w:val="00A83F70"/>
    <w:rsid w:val="00A841E3"/>
    <w:rsid w:val="00A86E53"/>
    <w:rsid w:val="00A920ED"/>
    <w:rsid w:val="00A92497"/>
    <w:rsid w:val="00A94B95"/>
    <w:rsid w:val="00A95164"/>
    <w:rsid w:val="00A96056"/>
    <w:rsid w:val="00A969C3"/>
    <w:rsid w:val="00A97447"/>
    <w:rsid w:val="00AA0C7F"/>
    <w:rsid w:val="00AA1E25"/>
    <w:rsid w:val="00AA65EF"/>
    <w:rsid w:val="00AA6837"/>
    <w:rsid w:val="00AB07FC"/>
    <w:rsid w:val="00AB0BCB"/>
    <w:rsid w:val="00AB1812"/>
    <w:rsid w:val="00AB1B7A"/>
    <w:rsid w:val="00AB234F"/>
    <w:rsid w:val="00AB490B"/>
    <w:rsid w:val="00AB50A1"/>
    <w:rsid w:val="00AB63EC"/>
    <w:rsid w:val="00AB706C"/>
    <w:rsid w:val="00AB7635"/>
    <w:rsid w:val="00AB7D40"/>
    <w:rsid w:val="00AC0195"/>
    <w:rsid w:val="00AC169A"/>
    <w:rsid w:val="00AC17BD"/>
    <w:rsid w:val="00AC627A"/>
    <w:rsid w:val="00AC7076"/>
    <w:rsid w:val="00AD0219"/>
    <w:rsid w:val="00AD0858"/>
    <w:rsid w:val="00AD159E"/>
    <w:rsid w:val="00AD25AF"/>
    <w:rsid w:val="00AD3FA3"/>
    <w:rsid w:val="00AD5B00"/>
    <w:rsid w:val="00AE0905"/>
    <w:rsid w:val="00AE2F7F"/>
    <w:rsid w:val="00AF35AE"/>
    <w:rsid w:val="00AF394B"/>
    <w:rsid w:val="00AF6C87"/>
    <w:rsid w:val="00AF7196"/>
    <w:rsid w:val="00B001EA"/>
    <w:rsid w:val="00B006E0"/>
    <w:rsid w:val="00B0365E"/>
    <w:rsid w:val="00B03D5C"/>
    <w:rsid w:val="00B11E1C"/>
    <w:rsid w:val="00B12CAE"/>
    <w:rsid w:val="00B12DA9"/>
    <w:rsid w:val="00B1771E"/>
    <w:rsid w:val="00B20979"/>
    <w:rsid w:val="00B20B9D"/>
    <w:rsid w:val="00B20CA6"/>
    <w:rsid w:val="00B2179E"/>
    <w:rsid w:val="00B21830"/>
    <w:rsid w:val="00B24130"/>
    <w:rsid w:val="00B24BED"/>
    <w:rsid w:val="00B259B3"/>
    <w:rsid w:val="00B3066F"/>
    <w:rsid w:val="00B31572"/>
    <w:rsid w:val="00B32FDE"/>
    <w:rsid w:val="00B3485C"/>
    <w:rsid w:val="00B3551C"/>
    <w:rsid w:val="00B41CC5"/>
    <w:rsid w:val="00B4456E"/>
    <w:rsid w:val="00B455A2"/>
    <w:rsid w:val="00B5121C"/>
    <w:rsid w:val="00B55DD4"/>
    <w:rsid w:val="00B562EE"/>
    <w:rsid w:val="00B601DE"/>
    <w:rsid w:val="00B60D21"/>
    <w:rsid w:val="00B61DB0"/>
    <w:rsid w:val="00B628A3"/>
    <w:rsid w:val="00B635C3"/>
    <w:rsid w:val="00B64059"/>
    <w:rsid w:val="00B64E0D"/>
    <w:rsid w:val="00B65DD7"/>
    <w:rsid w:val="00B66B82"/>
    <w:rsid w:val="00B67C8D"/>
    <w:rsid w:val="00B71A77"/>
    <w:rsid w:val="00B746DE"/>
    <w:rsid w:val="00B761D0"/>
    <w:rsid w:val="00B76B5B"/>
    <w:rsid w:val="00B76E0A"/>
    <w:rsid w:val="00B770A1"/>
    <w:rsid w:val="00B826E5"/>
    <w:rsid w:val="00B836E8"/>
    <w:rsid w:val="00B83FBC"/>
    <w:rsid w:val="00B841A4"/>
    <w:rsid w:val="00B871DD"/>
    <w:rsid w:val="00B87B57"/>
    <w:rsid w:val="00B93135"/>
    <w:rsid w:val="00B9774B"/>
    <w:rsid w:val="00BA1954"/>
    <w:rsid w:val="00BA376F"/>
    <w:rsid w:val="00BA5F64"/>
    <w:rsid w:val="00BA61A9"/>
    <w:rsid w:val="00BB0A71"/>
    <w:rsid w:val="00BB11E2"/>
    <w:rsid w:val="00BB33FD"/>
    <w:rsid w:val="00BB33FE"/>
    <w:rsid w:val="00BB5C5F"/>
    <w:rsid w:val="00BB612A"/>
    <w:rsid w:val="00BB627A"/>
    <w:rsid w:val="00BC193E"/>
    <w:rsid w:val="00BC4F1B"/>
    <w:rsid w:val="00BC6F1B"/>
    <w:rsid w:val="00BC753E"/>
    <w:rsid w:val="00BC7668"/>
    <w:rsid w:val="00BC7E29"/>
    <w:rsid w:val="00BD1D60"/>
    <w:rsid w:val="00BD1FA5"/>
    <w:rsid w:val="00BD2812"/>
    <w:rsid w:val="00BD3A3F"/>
    <w:rsid w:val="00BD6949"/>
    <w:rsid w:val="00BD7B88"/>
    <w:rsid w:val="00BE39D4"/>
    <w:rsid w:val="00BE4B8D"/>
    <w:rsid w:val="00BE5EB9"/>
    <w:rsid w:val="00BE73E9"/>
    <w:rsid w:val="00BF0B2C"/>
    <w:rsid w:val="00BF0C97"/>
    <w:rsid w:val="00BF28EC"/>
    <w:rsid w:val="00BF51F6"/>
    <w:rsid w:val="00BF52C5"/>
    <w:rsid w:val="00BF682C"/>
    <w:rsid w:val="00BF7476"/>
    <w:rsid w:val="00C02D9A"/>
    <w:rsid w:val="00C06808"/>
    <w:rsid w:val="00C10DEC"/>
    <w:rsid w:val="00C10EEC"/>
    <w:rsid w:val="00C12240"/>
    <w:rsid w:val="00C138B2"/>
    <w:rsid w:val="00C13F57"/>
    <w:rsid w:val="00C17074"/>
    <w:rsid w:val="00C1758E"/>
    <w:rsid w:val="00C21672"/>
    <w:rsid w:val="00C21ACC"/>
    <w:rsid w:val="00C22755"/>
    <w:rsid w:val="00C31F14"/>
    <w:rsid w:val="00C34E9B"/>
    <w:rsid w:val="00C34FE2"/>
    <w:rsid w:val="00C36041"/>
    <w:rsid w:val="00C36B8D"/>
    <w:rsid w:val="00C402C9"/>
    <w:rsid w:val="00C406A0"/>
    <w:rsid w:val="00C41C1D"/>
    <w:rsid w:val="00C421A0"/>
    <w:rsid w:val="00C439B2"/>
    <w:rsid w:val="00C44001"/>
    <w:rsid w:val="00C4439D"/>
    <w:rsid w:val="00C45F5C"/>
    <w:rsid w:val="00C466A2"/>
    <w:rsid w:val="00C46AF0"/>
    <w:rsid w:val="00C479FE"/>
    <w:rsid w:val="00C47EB3"/>
    <w:rsid w:val="00C50B1D"/>
    <w:rsid w:val="00C53ADD"/>
    <w:rsid w:val="00C56178"/>
    <w:rsid w:val="00C562B0"/>
    <w:rsid w:val="00C56DD1"/>
    <w:rsid w:val="00C57D52"/>
    <w:rsid w:val="00C603C1"/>
    <w:rsid w:val="00C6061D"/>
    <w:rsid w:val="00C62E07"/>
    <w:rsid w:val="00C63C53"/>
    <w:rsid w:val="00C70B15"/>
    <w:rsid w:val="00C70F4F"/>
    <w:rsid w:val="00C7603F"/>
    <w:rsid w:val="00C800A8"/>
    <w:rsid w:val="00C80ECD"/>
    <w:rsid w:val="00C8206E"/>
    <w:rsid w:val="00C82962"/>
    <w:rsid w:val="00C83BA2"/>
    <w:rsid w:val="00C840F2"/>
    <w:rsid w:val="00C8538F"/>
    <w:rsid w:val="00C9122B"/>
    <w:rsid w:val="00C93D82"/>
    <w:rsid w:val="00C94904"/>
    <w:rsid w:val="00C9683B"/>
    <w:rsid w:val="00CA0EF6"/>
    <w:rsid w:val="00CA31DB"/>
    <w:rsid w:val="00CA4361"/>
    <w:rsid w:val="00CB21A0"/>
    <w:rsid w:val="00CB26B0"/>
    <w:rsid w:val="00CB2ACC"/>
    <w:rsid w:val="00CC0A81"/>
    <w:rsid w:val="00CC2EA3"/>
    <w:rsid w:val="00CC41D4"/>
    <w:rsid w:val="00CD2724"/>
    <w:rsid w:val="00CD33AB"/>
    <w:rsid w:val="00CD4A09"/>
    <w:rsid w:val="00CD5E71"/>
    <w:rsid w:val="00CD6B61"/>
    <w:rsid w:val="00CF08A4"/>
    <w:rsid w:val="00CF0C7B"/>
    <w:rsid w:val="00CF1C70"/>
    <w:rsid w:val="00CF291C"/>
    <w:rsid w:val="00CF4B54"/>
    <w:rsid w:val="00D02613"/>
    <w:rsid w:val="00D060F5"/>
    <w:rsid w:val="00D06613"/>
    <w:rsid w:val="00D114B4"/>
    <w:rsid w:val="00D119E0"/>
    <w:rsid w:val="00D1210A"/>
    <w:rsid w:val="00D12679"/>
    <w:rsid w:val="00D13574"/>
    <w:rsid w:val="00D13FCC"/>
    <w:rsid w:val="00D149B3"/>
    <w:rsid w:val="00D14E0D"/>
    <w:rsid w:val="00D15B9A"/>
    <w:rsid w:val="00D15D80"/>
    <w:rsid w:val="00D1666A"/>
    <w:rsid w:val="00D17D8C"/>
    <w:rsid w:val="00D21BE7"/>
    <w:rsid w:val="00D26793"/>
    <w:rsid w:val="00D27953"/>
    <w:rsid w:val="00D33441"/>
    <w:rsid w:val="00D334C0"/>
    <w:rsid w:val="00D34816"/>
    <w:rsid w:val="00D36619"/>
    <w:rsid w:val="00D3707C"/>
    <w:rsid w:val="00D375DC"/>
    <w:rsid w:val="00D450F4"/>
    <w:rsid w:val="00D45431"/>
    <w:rsid w:val="00D505AC"/>
    <w:rsid w:val="00D50730"/>
    <w:rsid w:val="00D50E55"/>
    <w:rsid w:val="00D50E97"/>
    <w:rsid w:val="00D539DF"/>
    <w:rsid w:val="00D53B3B"/>
    <w:rsid w:val="00D542EE"/>
    <w:rsid w:val="00D545D3"/>
    <w:rsid w:val="00D54F3E"/>
    <w:rsid w:val="00D577AF"/>
    <w:rsid w:val="00D57932"/>
    <w:rsid w:val="00D65F39"/>
    <w:rsid w:val="00D664CF"/>
    <w:rsid w:val="00D67757"/>
    <w:rsid w:val="00D72D71"/>
    <w:rsid w:val="00D7654E"/>
    <w:rsid w:val="00D76D8D"/>
    <w:rsid w:val="00D83166"/>
    <w:rsid w:val="00D8329A"/>
    <w:rsid w:val="00D85475"/>
    <w:rsid w:val="00D86304"/>
    <w:rsid w:val="00D87DC8"/>
    <w:rsid w:val="00D9044D"/>
    <w:rsid w:val="00D90F3B"/>
    <w:rsid w:val="00D94EB2"/>
    <w:rsid w:val="00D96521"/>
    <w:rsid w:val="00DA2563"/>
    <w:rsid w:val="00DA318F"/>
    <w:rsid w:val="00DA380B"/>
    <w:rsid w:val="00DA5364"/>
    <w:rsid w:val="00DB160F"/>
    <w:rsid w:val="00DB2F65"/>
    <w:rsid w:val="00DB4270"/>
    <w:rsid w:val="00DB50E6"/>
    <w:rsid w:val="00DB5B28"/>
    <w:rsid w:val="00DB7459"/>
    <w:rsid w:val="00DC2111"/>
    <w:rsid w:val="00DC2BD1"/>
    <w:rsid w:val="00DC32BC"/>
    <w:rsid w:val="00DC3C54"/>
    <w:rsid w:val="00DC499D"/>
    <w:rsid w:val="00DC7034"/>
    <w:rsid w:val="00DC770C"/>
    <w:rsid w:val="00DD3685"/>
    <w:rsid w:val="00DD5A57"/>
    <w:rsid w:val="00DD5B1D"/>
    <w:rsid w:val="00DE664E"/>
    <w:rsid w:val="00DE6FEA"/>
    <w:rsid w:val="00DF29E0"/>
    <w:rsid w:val="00E002E1"/>
    <w:rsid w:val="00E00882"/>
    <w:rsid w:val="00E00DF4"/>
    <w:rsid w:val="00E0178C"/>
    <w:rsid w:val="00E0297A"/>
    <w:rsid w:val="00E0354C"/>
    <w:rsid w:val="00E05CD7"/>
    <w:rsid w:val="00E121FC"/>
    <w:rsid w:val="00E14149"/>
    <w:rsid w:val="00E155EB"/>
    <w:rsid w:val="00E17B8A"/>
    <w:rsid w:val="00E27F9E"/>
    <w:rsid w:val="00E311A1"/>
    <w:rsid w:val="00E34833"/>
    <w:rsid w:val="00E34FF9"/>
    <w:rsid w:val="00E3576F"/>
    <w:rsid w:val="00E36033"/>
    <w:rsid w:val="00E36E35"/>
    <w:rsid w:val="00E40272"/>
    <w:rsid w:val="00E413FB"/>
    <w:rsid w:val="00E41690"/>
    <w:rsid w:val="00E41A56"/>
    <w:rsid w:val="00E41F24"/>
    <w:rsid w:val="00E4229F"/>
    <w:rsid w:val="00E42A20"/>
    <w:rsid w:val="00E4570B"/>
    <w:rsid w:val="00E45AB6"/>
    <w:rsid w:val="00E50150"/>
    <w:rsid w:val="00E501D3"/>
    <w:rsid w:val="00E53766"/>
    <w:rsid w:val="00E53FDA"/>
    <w:rsid w:val="00E56EAE"/>
    <w:rsid w:val="00E62EE1"/>
    <w:rsid w:val="00E656AA"/>
    <w:rsid w:val="00E6785B"/>
    <w:rsid w:val="00E67BB4"/>
    <w:rsid w:val="00E702E4"/>
    <w:rsid w:val="00E705A5"/>
    <w:rsid w:val="00E71356"/>
    <w:rsid w:val="00E713BE"/>
    <w:rsid w:val="00E715AA"/>
    <w:rsid w:val="00E718FA"/>
    <w:rsid w:val="00E73C64"/>
    <w:rsid w:val="00E761CC"/>
    <w:rsid w:val="00E76A25"/>
    <w:rsid w:val="00E82AFE"/>
    <w:rsid w:val="00E8351B"/>
    <w:rsid w:val="00E8434D"/>
    <w:rsid w:val="00E847F7"/>
    <w:rsid w:val="00E84BDF"/>
    <w:rsid w:val="00E86E6A"/>
    <w:rsid w:val="00E87230"/>
    <w:rsid w:val="00E872AD"/>
    <w:rsid w:val="00E87666"/>
    <w:rsid w:val="00E9078D"/>
    <w:rsid w:val="00E90F88"/>
    <w:rsid w:val="00E912E2"/>
    <w:rsid w:val="00E92B97"/>
    <w:rsid w:val="00E92E6C"/>
    <w:rsid w:val="00E94407"/>
    <w:rsid w:val="00E964E5"/>
    <w:rsid w:val="00E96D5C"/>
    <w:rsid w:val="00EA076E"/>
    <w:rsid w:val="00EA75E3"/>
    <w:rsid w:val="00EB19B3"/>
    <w:rsid w:val="00EB312C"/>
    <w:rsid w:val="00EC012F"/>
    <w:rsid w:val="00EC22AB"/>
    <w:rsid w:val="00EC767D"/>
    <w:rsid w:val="00ED1CD5"/>
    <w:rsid w:val="00ED4D77"/>
    <w:rsid w:val="00ED7DB6"/>
    <w:rsid w:val="00EE1040"/>
    <w:rsid w:val="00EE2F7B"/>
    <w:rsid w:val="00EE35B9"/>
    <w:rsid w:val="00EE4888"/>
    <w:rsid w:val="00EE7991"/>
    <w:rsid w:val="00EF0DD2"/>
    <w:rsid w:val="00EF3196"/>
    <w:rsid w:val="00EF3352"/>
    <w:rsid w:val="00EF4BD4"/>
    <w:rsid w:val="00EF6989"/>
    <w:rsid w:val="00F00A1D"/>
    <w:rsid w:val="00F00D73"/>
    <w:rsid w:val="00F011EE"/>
    <w:rsid w:val="00F01EC3"/>
    <w:rsid w:val="00F029A4"/>
    <w:rsid w:val="00F0325A"/>
    <w:rsid w:val="00F04C40"/>
    <w:rsid w:val="00F077F5"/>
    <w:rsid w:val="00F078E8"/>
    <w:rsid w:val="00F101CF"/>
    <w:rsid w:val="00F10359"/>
    <w:rsid w:val="00F11AEB"/>
    <w:rsid w:val="00F141A0"/>
    <w:rsid w:val="00F1438C"/>
    <w:rsid w:val="00F21F0C"/>
    <w:rsid w:val="00F22CC8"/>
    <w:rsid w:val="00F2452B"/>
    <w:rsid w:val="00F26479"/>
    <w:rsid w:val="00F27F0C"/>
    <w:rsid w:val="00F31749"/>
    <w:rsid w:val="00F3403B"/>
    <w:rsid w:val="00F360D6"/>
    <w:rsid w:val="00F37DC2"/>
    <w:rsid w:val="00F41097"/>
    <w:rsid w:val="00F4197F"/>
    <w:rsid w:val="00F42929"/>
    <w:rsid w:val="00F42B8A"/>
    <w:rsid w:val="00F44D8C"/>
    <w:rsid w:val="00F45130"/>
    <w:rsid w:val="00F47920"/>
    <w:rsid w:val="00F518BA"/>
    <w:rsid w:val="00F52661"/>
    <w:rsid w:val="00F5283D"/>
    <w:rsid w:val="00F52D03"/>
    <w:rsid w:val="00F536DA"/>
    <w:rsid w:val="00F555A6"/>
    <w:rsid w:val="00F57796"/>
    <w:rsid w:val="00F61283"/>
    <w:rsid w:val="00F63A6B"/>
    <w:rsid w:val="00F65CFD"/>
    <w:rsid w:val="00F6738F"/>
    <w:rsid w:val="00F72E4D"/>
    <w:rsid w:val="00F73D80"/>
    <w:rsid w:val="00F7596E"/>
    <w:rsid w:val="00F81D99"/>
    <w:rsid w:val="00F83541"/>
    <w:rsid w:val="00F85A84"/>
    <w:rsid w:val="00F94DA0"/>
    <w:rsid w:val="00F95020"/>
    <w:rsid w:val="00F95580"/>
    <w:rsid w:val="00FA6BE0"/>
    <w:rsid w:val="00FA72A6"/>
    <w:rsid w:val="00FB1EB5"/>
    <w:rsid w:val="00FB2B09"/>
    <w:rsid w:val="00FB3DE9"/>
    <w:rsid w:val="00FB5939"/>
    <w:rsid w:val="00FB5C0D"/>
    <w:rsid w:val="00FB5EA4"/>
    <w:rsid w:val="00FC3E48"/>
    <w:rsid w:val="00FC44AA"/>
    <w:rsid w:val="00FC6F7D"/>
    <w:rsid w:val="00FD026D"/>
    <w:rsid w:val="00FD0E95"/>
    <w:rsid w:val="00FD28D5"/>
    <w:rsid w:val="00FD2BC5"/>
    <w:rsid w:val="00FD3D53"/>
    <w:rsid w:val="00FD722D"/>
    <w:rsid w:val="00FE0791"/>
    <w:rsid w:val="00FE2F34"/>
    <w:rsid w:val="00FE3038"/>
    <w:rsid w:val="00FE3D42"/>
    <w:rsid w:val="00FE5094"/>
    <w:rsid w:val="00FF2520"/>
    <w:rsid w:val="00FF2E08"/>
    <w:rsid w:val="00FF4215"/>
    <w:rsid w:val="00FF4B81"/>
    <w:rsid w:val="00FF4C85"/>
    <w:rsid w:val="00FF63F7"/>
    <w:rsid w:val="00FF7BA0"/>
    <w:rsid w:val="01190B56"/>
    <w:rsid w:val="01192C1F"/>
    <w:rsid w:val="01233A9E"/>
    <w:rsid w:val="01362DA8"/>
    <w:rsid w:val="014529B7"/>
    <w:rsid w:val="014F219D"/>
    <w:rsid w:val="016519C1"/>
    <w:rsid w:val="019239B4"/>
    <w:rsid w:val="0196601E"/>
    <w:rsid w:val="01A544B3"/>
    <w:rsid w:val="01BD7A4F"/>
    <w:rsid w:val="01C401C9"/>
    <w:rsid w:val="01DD30DE"/>
    <w:rsid w:val="01F33470"/>
    <w:rsid w:val="02251890"/>
    <w:rsid w:val="023870D5"/>
    <w:rsid w:val="02895B83"/>
    <w:rsid w:val="029949B7"/>
    <w:rsid w:val="02AD1FA0"/>
    <w:rsid w:val="02BF77F6"/>
    <w:rsid w:val="02CC5DE9"/>
    <w:rsid w:val="02D23086"/>
    <w:rsid w:val="02DA63DE"/>
    <w:rsid w:val="02F94BC3"/>
    <w:rsid w:val="02FD6D4D"/>
    <w:rsid w:val="03936C34"/>
    <w:rsid w:val="039D344D"/>
    <w:rsid w:val="03EC32E0"/>
    <w:rsid w:val="042A0AD1"/>
    <w:rsid w:val="04A10F62"/>
    <w:rsid w:val="04A3407A"/>
    <w:rsid w:val="04A8452D"/>
    <w:rsid w:val="04C109CE"/>
    <w:rsid w:val="04E1113F"/>
    <w:rsid w:val="04E90B5B"/>
    <w:rsid w:val="04EF2674"/>
    <w:rsid w:val="04F42F40"/>
    <w:rsid w:val="05353DA0"/>
    <w:rsid w:val="05366A2C"/>
    <w:rsid w:val="055F2BCB"/>
    <w:rsid w:val="05602A5A"/>
    <w:rsid w:val="056326BB"/>
    <w:rsid w:val="057C19CF"/>
    <w:rsid w:val="058368B9"/>
    <w:rsid w:val="05A218FD"/>
    <w:rsid w:val="05B0498B"/>
    <w:rsid w:val="05B35D6A"/>
    <w:rsid w:val="05BA5435"/>
    <w:rsid w:val="05C018BB"/>
    <w:rsid w:val="05C72C4A"/>
    <w:rsid w:val="05CF7D50"/>
    <w:rsid w:val="05F9301F"/>
    <w:rsid w:val="06035C4C"/>
    <w:rsid w:val="063F4718"/>
    <w:rsid w:val="065546FA"/>
    <w:rsid w:val="06B56F46"/>
    <w:rsid w:val="06C00186"/>
    <w:rsid w:val="06DE46EF"/>
    <w:rsid w:val="070677A2"/>
    <w:rsid w:val="0711495B"/>
    <w:rsid w:val="071719AF"/>
    <w:rsid w:val="071A149F"/>
    <w:rsid w:val="071E0F8F"/>
    <w:rsid w:val="07204271"/>
    <w:rsid w:val="07702E6D"/>
    <w:rsid w:val="077F1302"/>
    <w:rsid w:val="0790350F"/>
    <w:rsid w:val="07971D2A"/>
    <w:rsid w:val="07AA45D1"/>
    <w:rsid w:val="07CA3595"/>
    <w:rsid w:val="07CC05D8"/>
    <w:rsid w:val="07D93108"/>
    <w:rsid w:val="080F6B2A"/>
    <w:rsid w:val="082B7A28"/>
    <w:rsid w:val="082D6FB0"/>
    <w:rsid w:val="083321D8"/>
    <w:rsid w:val="084D31AF"/>
    <w:rsid w:val="085B3B1D"/>
    <w:rsid w:val="086329D2"/>
    <w:rsid w:val="0898267C"/>
    <w:rsid w:val="08A50077"/>
    <w:rsid w:val="08C77405"/>
    <w:rsid w:val="08EE04EE"/>
    <w:rsid w:val="09153CCC"/>
    <w:rsid w:val="09197B3E"/>
    <w:rsid w:val="0935436E"/>
    <w:rsid w:val="093C56FD"/>
    <w:rsid w:val="09461222"/>
    <w:rsid w:val="094B394B"/>
    <w:rsid w:val="09510A7C"/>
    <w:rsid w:val="095F0CAA"/>
    <w:rsid w:val="09662A3F"/>
    <w:rsid w:val="09802D58"/>
    <w:rsid w:val="09870B6B"/>
    <w:rsid w:val="09954E0D"/>
    <w:rsid w:val="099948FD"/>
    <w:rsid w:val="09A45050"/>
    <w:rsid w:val="09B01C47"/>
    <w:rsid w:val="09B94F9F"/>
    <w:rsid w:val="09D771D4"/>
    <w:rsid w:val="09E518F1"/>
    <w:rsid w:val="09E638BB"/>
    <w:rsid w:val="0A454A85"/>
    <w:rsid w:val="0A56459C"/>
    <w:rsid w:val="0A7809B7"/>
    <w:rsid w:val="0AF04546"/>
    <w:rsid w:val="0AF10769"/>
    <w:rsid w:val="0AFD7D56"/>
    <w:rsid w:val="0B3A5CA3"/>
    <w:rsid w:val="0BA31A63"/>
    <w:rsid w:val="0BBA6DAD"/>
    <w:rsid w:val="0BC10DE0"/>
    <w:rsid w:val="0BEF6A57"/>
    <w:rsid w:val="0C112E71"/>
    <w:rsid w:val="0C2A3F33"/>
    <w:rsid w:val="0C5E598A"/>
    <w:rsid w:val="0CA5180B"/>
    <w:rsid w:val="0CB8153E"/>
    <w:rsid w:val="0CC03678"/>
    <w:rsid w:val="0CF3376D"/>
    <w:rsid w:val="0D2332ED"/>
    <w:rsid w:val="0D415C54"/>
    <w:rsid w:val="0D444B80"/>
    <w:rsid w:val="0D466B4A"/>
    <w:rsid w:val="0D5C45C0"/>
    <w:rsid w:val="0D662D48"/>
    <w:rsid w:val="0D6D2E9E"/>
    <w:rsid w:val="0DD028B8"/>
    <w:rsid w:val="0DDA3736"/>
    <w:rsid w:val="0DEA1BCB"/>
    <w:rsid w:val="0DFB786F"/>
    <w:rsid w:val="0E317578"/>
    <w:rsid w:val="0E347BBB"/>
    <w:rsid w:val="0E917891"/>
    <w:rsid w:val="0E9272B5"/>
    <w:rsid w:val="0F000F7B"/>
    <w:rsid w:val="0F1B7B63"/>
    <w:rsid w:val="0F4E7C06"/>
    <w:rsid w:val="0F4E7F38"/>
    <w:rsid w:val="0F5576A6"/>
    <w:rsid w:val="0F73174D"/>
    <w:rsid w:val="0F75161B"/>
    <w:rsid w:val="0F781459"/>
    <w:rsid w:val="0F873108"/>
    <w:rsid w:val="0F885DD7"/>
    <w:rsid w:val="0FA91612"/>
    <w:rsid w:val="0FAB0EE6"/>
    <w:rsid w:val="0FD348E1"/>
    <w:rsid w:val="0FD85A54"/>
    <w:rsid w:val="0FDC5544"/>
    <w:rsid w:val="0FEB39D9"/>
    <w:rsid w:val="0FEE34C9"/>
    <w:rsid w:val="0FF7412C"/>
    <w:rsid w:val="10141182"/>
    <w:rsid w:val="103E5A93"/>
    <w:rsid w:val="105A0963"/>
    <w:rsid w:val="10923E54"/>
    <w:rsid w:val="1092654A"/>
    <w:rsid w:val="10DD2B9B"/>
    <w:rsid w:val="10E87F18"/>
    <w:rsid w:val="111E0546"/>
    <w:rsid w:val="11204879"/>
    <w:rsid w:val="11290C5D"/>
    <w:rsid w:val="114D2EAD"/>
    <w:rsid w:val="11517434"/>
    <w:rsid w:val="117B39D6"/>
    <w:rsid w:val="118B7221"/>
    <w:rsid w:val="11AC7198"/>
    <w:rsid w:val="11AF4A68"/>
    <w:rsid w:val="11B20C52"/>
    <w:rsid w:val="11C023CD"/>
    <w:rsid w:val="11C72224"/>
    <w:rsid w:val="11C8783A"/>
    <w:rsid w:val="11F254F3"/>
    <w:rsid w:val="11F70C71"/>
    <w:rsid w:val="1202500A"/>
    <w:rsid w:val="1209283C"/>
    <w:rsid w:val="120A12F0"/>
    <w:rsid w:val="126161D4"/>
    <w:rsid w:val="128F3808"/>
    <w:rsid w:val="12913ADB"/>
    <w:rsid w:val="12BE5A78"/>
    <w:rsid w:val="12DA1AE3"/>
    <w:rsid w:val="131462C7"/>
    <w:rsid w:val="132536A6"/>
    <w:rsid w:val="13620456"/>
    <w:rsid w:val="13631AD8"/>
    <w:rsid w:val="13870AC5"/>
    <w:rsid w:val="13955291"/>
    <w:rsid w:val="139B3968"/>
    <w:rsid w:val="13BD568C"/>
    <w:rsid w:val="13EF712B"/>
    <w:rsid w:val="13FB724D"/>
    <w:rsid w:val="14143A09"/>
    <w:rsid w:val="14321BD6"/>
    <w:rsid w:val="14465682"/>
    <w:rsid w:val="1461239E"/>
    <w:rsid w:val="14642A47"/>
    <w:rsid w:val="146A5814"/>
    <w:rsid w:val="148C3F7D"/>
    <w:rsid w:val="14A423A8"/>
    <w:rsid w:val="14A8633C"/>
    <w:rsid w:val="14BE4314"/>
    <w:rsid w:val="14C8078D"/>
    <w:rsid w:val="14D61299"/>
    <w:rsid w:val="14DD41E6"/>
    <w:rsid w:val="14E47444"/>
    <w:rsid w:val="14E86739"/>
    <w:rsid w:val="15023C9F"/>
    <w:rsid w:val="151948F4"/>
    <w:rsid w:val="154020D1"/>
    <w:rsid w:val="15453B8B"/>
    <w:rsid w:val="15610299"/>
    <w:rsid w:val="158E37F0"/>
    <w:rsid w:val="159D571F"/>
    <w:rsid w:val="15A72150"/>
    <w:rsid w:val="15C34AB0"/>
    <w:rsid w:val="15D13671"/>
    <w:rsid w:val="15DD5B72"/>
    <w:rsid w:val="15FD6214"/>
    <w:rsid w:val="1607785B"/>
    <w:rsid w:val="160A7825"/>
    <w:rsid w:val="16353154"/>
    <w:rsid w:val="16581692"/>
    <w:rsid w:val="16610551"/>
    <w:rsid w:val="16695657"/>
    <w:rsid w:val="167209B0"/>
    <w:rsid w:val="16762429"/>
    <w:rsid w:val="167F30CD"/>
    <w:rsid w:val="168510F5"/>
    <w:rsid w:val="16A6065A"/>
    <w:rsid w:val="16D72F09"/>
    <w:rsid w:val="16DD4CBF"/>
    <w:rsid w:val="16FC458A"/>
    <w:rsid w:val="172E66CD"/>
    <w:rsid w:val="178A2F5A"/>
    <w:rsid w:val="178D2ADC"/>
    <w:rsid w:val="18047D2E"/>
    <w:rsid w:val="182E414D"/>
    <w:rsid w:val="185537EF"/>
    <w:rsid w:val="188E357D"/>
    <w:rsid w:val="18CB25F9"/>
    <w:rsid w:val="18D21BDA"/>
    <w:rsid w:val="19043F59"/>
    <w:rsid w:val="19061883"/>
    <w:rsid w:val="190D1AE1"/>
    <w:rsid w:val="19153875"/>
    <w:rsid w:val="1922362F"/>
    <w:rsid w:val="19306900"/>
    <w:rsid w:val="19351120"/>
    <w:rsid w:val="19525EEA"/>
    <w:rsid w:val="19576833"/>
    <w:rsid w:val="19683FBD"/>
    <w:rsid w:val="19766A09"/>
    <w:rsid w:val="1977008B"/>
    <w:rsid w:val="19805192"/>
    <w:rsid w:val="19A05834"/>
    <w:rsid w:val="19A370D2"/>
    <w:rsid w:val="19F912CD"/>
    <w:rsid w:val="1A351DCA"/>
    <w:rsid w:val="1A497C7A"/>
    <w:rsid w:val="1A7F5449"/>
    <w:rsid w:val="1A871602"/>
    <w:rsid w:val="1A891F2F"/>
    <w:rsid w:val="1A937147"/>
    <w:rsid w:val="1A951111"/>
    <w:rsid w:val="1AB05F4B"/>
    <w:rsid w:val="1AC94917"/>
    <w:rsid w:val="1B140288"/>
    <w:rsid w:val="1B574618"/>
    <w:rsid w:val="1B617245"/>
    <w:rsid w:val="1B6F3710"/>
    <w:rsid w:val="1B8229A5"/>
    <w:rsid w:val="1B884CB7"/>
    <w:rsid w:val="1B8F0552"/>
    <w:rsid w:val="1B9A62B3"/>
    <w:rsid w:val="1BA3785E"/>
    <w:rsid w:val="1BA535D6"/>
    <w:rsid w:val="1BCF1804"/>
    <w:rsid w:val="1BD10986"/>
    <w:rsid w:val="1BD664C1"/>
    <w:rsid w:val="1BEA0FE8"/>
    <w:rsid w:val="1BEB6743"/>
    <w:rsid w:val="1BF72D21"/>
    <w:rsid w:val="1BFD0D1C"/>
    <w:rsid w:val="1C312E45"/>
    <w:rsid w:val="1C381D54"/>
    <w:rsid w:val="1C6568C1"/>
    <w:rsid w:val="1C7A60C9"/>
    <w:rsid w:val="1C890801"/>
    <w:rsid w:val="1CC54B7F"/>
    <w:rsid w:val="1CC632EB"/>
    <w:rsid w:val="1CCC03E2"/>
    <w:rsid w:val="1CD47504"/>
    <w:rsid w:val="1CEC2B3E"/>
    <w:rsid w:val="1D2027D7"/>
    <w:rsid w:val="1D370008"/>
    <w:rsid w:val="1D3A5FA0"/>
    <w:rsid w:val="1D3A6632"/>
    <w:rsid w:val="1D532BBD"/>
    <w:rsid w:val="1D7B3FF9"/>
    <w:rsid w:val="1D860599"/>
    <w:rsid w:val="1DAA1C58"/>
    <w:rsid w:val="1DB93368"/>
    <w:rsid w:val="1DBC4C07"/>
    <w:rsid w:val="1DDB37DB"/>
    <w:rsid w:val="1DF24184"/>
    <w:rsid w:val="1DF60118"/>
    <w:rsid w:val="1E1265D5"/>
    <w:rsid w:val="1E1D38F7"/>
    <w:rsid w:val="1E2A7DC2"/>
    <w:rsid w:val="1E3D5D47"/>
    <w:rsid w:val="1E62130A"/>
    <w:rsid w:val="1E9B2A6E"/>
    <w:rsid w:val="1EA75C2F"/>
    <w:rsid w:val="1EB20A07"/>
    <w:rsid w:val="1EFF124F"/>
    <w:rsid w:val="1F06438B"/>
    <w:rsid w:val="1F0813F5"/>
    <w:rsid w:val="1F0C54A8"/>
    <w:rsid w:val="1F332CA6"/>
    <w:rsid w:val="1F3709E9"/>
    <w:rsid w:val="1F3F164B"/>
    <w:rsid w:val="1F601FA9"/>
    <w:rsid w:val="1F95077E"/>
    <w:rsid w:val="1FC14756"/>
    <w:rsid w:val="1FC16504"/>
    <w:rsid w:val="1FC61D6D"/>
    <w:rsid w:val="1FD91AA0"/>
    <w:rsid w:val="1FE12702"/>
    <w:rsid w:val="1FEA5A5B"/>
    <w:rsid w:val="200308CB"/>
    <w:rsid w:val="20646A1B"/>
    <w:rsid w:val="209E357D"/>
    <w:rsid w:val="209F2C4D"/>
    <w:rsid w:val="20AC7CD9"/>
    <w:rsid w:val="20CC69EF"/>
    <w:rsid w:val="20DB35F6"/>
    <w:rsid w:val="21020B82"/>
    <w:rsid w:val="21140BF4"/>
    <w:rsid w:val="211704C9"/>
    <w:rsid w:val="213934BC"/>
    <w:rsid w:val="21683A4C"/>
    <w:rsid w:val="21690C01"/>
    <w:rsid w:val="217F06F4"/>
    <w:rsid w:val="21934186"/>
    <w:rsid w:val="21966885"/>
    <w:rsid w:val="21A36FDB"/>
    <w:rsid w:val="21B46321"/>
    <w:rsid w:val="21C878B8"/>
    <w:rsid w:val="21E9221E"/>
    <w:rsid w:val="222334A6"/>
    <w:rsid w:val="226715E5"/>
    <w:rsid w:val="22837AA1"/>
    <w:rsid w:val="22993768"/>
    <w:rsid w:val="22A85759"/>
    <w:rsid w:val="22C858FF"/>
    <w:rsid w:val="22DC7E78"/>
    <w:rsid w:val="231E32E1"/>
    <w:rsid w:val="236553F8"/>
    <w:rsid w:val="23744181"/>
    <w:rsid w:val="238F6834"/>
    <w:rsid w:val="23A81EB5"/>
    <w:rsid w:val="23C12F77"/>
    <w:rsid w:val="23CE7442"/>
    <w:rsid w:val="23D20CE0"/>
    <w:rsid w:val="23DE7685"/>
    <w:rsid w:val="23FA0237"/>
    <w:rsid w:val="23FC43CB"/>
    <w:rsid w:val="23FF3832"/>
    <w:rsid w:val="24117358"/>
    <w:rsid w:val="24286B52"/>
    <w:rsid w:val="242B4894"/>
    <w:rsid w:val="245C67FB"/>
    <w:rsid w:val="24612064"/>
    <w:rsid w:val="24833D88"/>
    <w:rsid w:val="249C309C"/>
    <w:rsid w:val="249C4E4A"/>
    <w:rsid w:val="24B04998"/>
    <w:rsid w:val="24FD3B3B"/>
    <w:rsid w:val="25070E5D"/>
    <w:rsid w:val="250749B9"/>
    <w:rsid w:val="252C08C4"/>
    <w:rsid w:val="252E6649"/>
    <w:rsid w:val="25382DC5"/>
    <w:rsid w:val="2540611D"/>
    <w:rsid w:val="255D7526"/>
    <w:rsid w:val="2573095D"/>
    <w:rsid w:val="25847A9B"/>
    <w:rsid w:val="25873D4C"/>
    <w:rsid w:val="25E4441C"/>
    <w:rsid w:val="2608575D"/>
    <w:rsid w:val="26323CB8"/>
    <w:rsid w:val="264D464E"/>
    <w:rsid w:val="267A740D"/>
    <w:rsid w:val="268A58A2"/>
    <w:rsid w:val="2690396B"/>
    <w:rsid w:val="26962AD3"/>
    <w:rsid w:val="26B96187"/>
    <w:rsid w:val="26CB04CF"/>
    <w:rsid w:val="26F64CE5"/>
    <w:rsid w:val="26FB054E"/>
    <w:rsid w:val="272E0923"/>
    <w:rsid w:val="27535154"/>
    <w:rsid w:val="27541D8F"/>
    <w:rsid w:val="275639D6"/>
    <w:rsid w:val="275D6B12"/>
    <w:rsid w:val="27976C47"/>
    <w:rsid w:val="27C065A2"/>
    <w:rsid w:val="27C221D4"/>
    <w:rsid w:val="280444F2"/>
    <w:rsid w:val="28092E82"/>
    <w:rsid w:val="283C7070"/>
    <w:rsid w:val="284B1663"/>
    <w:rsid w:val="285831A2"/>
    <w:rsid w:val="287D5314"/>
    <w:rsid w:val="28AB0135"/>
    <w:rsid w:val="28C32245"/>
    <w:rsid w:val="28D472A8"/>
    <w:rsid w:val="28D771B3"/>
    <w:rsid w:val="28E15521"/>
    <w:rsid w:val="28F22610"/>
    <w:rsid w:val="28F6715F"/>
    <w:rsid w:val="2927562A"/>
    <w:rsid w:val="293E5137"/>
    <w:rsid w:val="294D1B32"/>
    <w:rsid w:val="295C2DFA"/>
    <w:rsid w:val="297B7831"/>
    <w:rsid w:val="29C15A7E"/>
    <w:rsid w:val="2A247DBB"/>
    <w:rsid w:val="2A352282"/>
    <w:rsid w:val="2A5F71FE"/>
    <w:rsid w:val="2A7E1274"/>
    <w:rsid w:val="2A8528A6"/>
    <w:rsid w:val="2AD4533E"/>
    <w:rsid w:val="2ADC41F2"/>
    <w:rsid w:val="2ADF3CE2"/>
    <w:rsid w:val="2B006133"/>
    <w:rsid w:val="2B183E1B"/>
    <w:rsid w:val="2B19215E"/>
    <w:rsid w:val="2B22112A"/>
    <w:rsid w:val="2B265158"/>
    <w:rsid w:val="2B3744A0"/>
    <w:rsid w:val="2B714350"/>
    <w:rsid w:val="2BAF21A8"/>
    <w:rsid w:val="2BCC11A7"/>
    <w:rsid w:val="2BDB76C2"/>
    <w:rsid w:val="2BE27F2E"/>
    <w:rsid w:val="2BE87AAD"/>
    <w:rsid w:val="2BE912BD"/>
    <w:rsid w:val="2BF832AE"/>
    <w:rsid w:val="2C1A1476"/>
    <w:rsid w:val="2C2E6CCF"/>
    <w:rsid w:val="2C37360C"/>
    <w:rsid w:val="2C5A3DB0"/>
    <w:rsid w:val="2C666469"/>
    <w:rsid w:val="2C6D3C9C"/>
    <w:rsid w:val="2C732934"/>
    <w:rsid w:val="2C7548FE"/>
    <w:rsid w:val="2C7F154B"/>
    <w:rsid w:val="2CCB451E"/>
    <w:rsid w:val="2D26365A"/>
    <w:rsid w:val="2D4B565F"/>
    <w:rsid w:val="2D5B1AF1"/>
    <w:rsid w:val="2D71156A"/>
    <w:rsid w:val="2D7121BC"/>
    <w:rsid w:val="2D8F7C42"/>
    <w:rsid w:val="2DB23588"/>
    <w:rsid w:val="2DB61DC2"/>
    <w:rsid w:val="2DD85145"/>
    <w:rsid w:val="2E0F48DF"/>
    <w:rsid w:val="2E2C36E3"/>
    <w:rsid w:val="2E4A0A0F"/>
    <w:rsid w:val="2E61479F"/>
    <w:rsid w:val="2E935510"/>
    <w:rsid w:val="2EA84727"/>
    <w:rsid w:val="2EC21111"/>
    <w:rsid w:val="2ED964C1"/>
    <w:rsid w:val="2EED10C4"/>
    <w:rsid w:val="2F0C2E65"/>
    <w:rsid w:val="2F113395"/>
    <w:rsid w:val="2F2B1BEC"/>
    <w:rsid w:val="2F3F2FA2"/>
    <w:rsid w:val="2F5729E1"/>
    <w:rsid w:val="2F8337D6"/>
    <w:rsid w:val="2FAD2601"/>
    <w:rsid w:val="2FBD207A"/>
    <w:rsid w:val="2FC46C7B"/>
    <w:rsid w:val="2FE8309F"/>
    <w:rsid w:val="2FE861DB"/>
    <w:rsid w:val="2FEA115F"/>
    <w:rsid w:val="2FF975F4"/>
    <w:rsid w:val="30091D21"/>
    <w:rsid w:val="301A5EE8"/>
    <w:rsid w:val="301D68DE"/>
    <w:rsid w:val="30226E93"/>
    <w:rsid w:val="302A1EA4"/>
    <w:rsid w:val="306A22A0"/>
    <w:rsid w:val="30847806"/>
    <w:rsid w:val="30D75B88"/>
    <w:rsid w:val="31181CFC"/>
    <w:rsid w:val="31307046"/>
    <w:rsid w:val="313A6116"/>
    <w:rsid w:val="318C2702"/>
    <w:rsid w:val="319770C5"/>
    <w:rsid w:val="31BD074C"/>
    <w:rsid w:val="31D605AA"/>
    <w:rsid w:val="31FE7144"/>
    <w:rsid w:val="32285F6F"/>
    <w:rsid w:val="322C5A5F"/>
    <w:rsid w:val="3245276F"/>
    <w:rsid w:val="32546D64"/>
    <w:rsid w:val="325A31AA"/>
    <w:rsid w:val="32650FD7"/>
    <w:rsid w:val="32916000"/>
    <w:rsid w:val="32AC4DF2"/>
    <w:rsid w:val="32FF13C6"/>
    <w:rsid w:val="33030EB6"/>
    <w:rsid w:val="330B682A"/>
    <w:rsid w:val="33163A81"/>
    <w:rsid w:val="332561EC"/>
    <w:rsid w:val="334260EE"/>
    <w:rsid w:val="336D4581"/>
    <w:rsid w:val="33705E1F"/>
    <w:rsid w:val="33835B53"/>
    <w:rsid w:val="33953AD8"/>
    <w:rsid w:val="33AB50A9"/>
    <w:rsid w:val="33C70135"/>
    <w:rsid w:val="33CF4C6C"/>
    <w:rsid w:val="33DC5BDE"/>
    <w:rsid w:val="34181BA1"/>
    <w:rsid w:val="341B222F"/>
    <w:rsid w:val="342015F4"/>
    <w:rsid w:val="3446557F"/>
    <w:rsid w:val="34480B4A"/>
    <w:rsid w:val="34567FB6"/>
    <w:rsid w:val="34A30383"/>
    <w:rsid w:val="34AE6BFF"/>
    <w:rsid w:val="34C1517C"/>
    <w:rsid w:val="34C91C8B"/>
    <w:rsid w:val="34FA3BF3"/>
    <w:rsid w:val="350B632D"/>
    <w:rsid w:val="351E0F07"/>
    <w:rsid w:val="3529033D"/>
    <w:rsid w:val="3589141A"/>
    <w:rsid w:val="359009FB"/>
    <w:rsid w:val="359360C4"/>
    <w:rsid w:val="3599165E"/>
    <w:rsid w:val="35C67F79"/>
    <w:rsid w:val="35C97A69"/>
    <w:rsid w:val="35D97CAC"/>
    <w:rsid w:val="35E46651"/>
    <w:rsid w:val="35E87EEF"/>
    <w:rsid w:val="35F3679E"/>
    <w:rsid w:val="35FA7C22"/>
    <w:rsid w:val="35FB3FA8"/>
    <w:rsid w:val="35FF348B"/>
    <w:rsid w:val="36063CE6"/>
    <w:rsid w:val="36415C96"/>
    <w:rsid w:val="3647031A"/>
    <w:rsid w:val="36525CB0"/>
    <w:rsid w:val="368528CA"/>
    <w:rsid w:val="36910587"/>
    <w:rsid w:val="36B129D7"/>
    <w:rsid w:val="36CF172B"/>
    <w:rsid w:val="36D668E1"/>
    <w:rsid w:val="36DF7544"/>
    <w:rsid w:val="36E80454"/>
    <w:rsid w:val="37012882"/>
    <w:rsid w:val="375D1A85"/>
    <w:rsid w:val="37737C8C"/>
    <w:rsid w:val="37984548"/>
    <w:rsid w:val="37B073B9"/>
    <w:rsid w:val="37B12FF9"/>
    <w:rsid w:val="37C91FA2"/>
    <w:rsid w:val="37CD55EE"/>
    <w:rsid w:val="37E61FE4"/>
    <w:rsid w:val="37E734B9"/>
    <w:rsid w:val="38073014"/>
    <w:rsid w:val="380D6333"/>
    <w:rsid w:val="384004B6"/>
    <w:rsid w:val="38400B30"/>
    <w:rsid w:val="386901D1"/>
    <w:rsid w:val="389E1FD9"/>
    <w:rsid w:val="38A26A7B"/>
    <w:rsid w:val="38AB12B1"/>
    <w:rsid w:val="38C000E0"/>
    <w:rsid w:val="38C764E2"/>
    <w:rsid w:val="38DB2C38"/>
    <w:rsid w:val="38F55BAA"/>
    <w:rsid w:val="39206C68"/>
    <w:rsid w:val="39495149"/>
    <w:rsid w:val="394A04AD"/>
    <w:rsid w:val="394B3C70"/>
    <w:rsid w:val="395104A1"/>
    <w:rsid w:val="396B3311"/>
    <w:rsid w:val="39B051C8"/>
    <w:rsid w:val="39B27192"/>
    <w:rsid w:val="39D37108"/>
    <w:rsid w:val="39E460AF"/>
    <w:rsid w:val="39F46F0A"/>
    <w:rsid w:val="39FD5F33"/>
    <w:rsid w:val="3A080B60"/>
    <w:rsid w:val="3A085004"/>
    <w:rsid w:val="3A361B71"/>
    <w:rsid w:val="3A4A585F"/>
    <w:rsid w:val="3A4D6F07"/>
    <w:rsid w:val="3A5A5133"/>
    <w:rsid w:val="3A6366DE"/>
    <w:rsid w:val="3A685AA2"/>
    <w:rsid w:val="3A6C5593"/>
    <w:rsid w:val="3A773948"/>
    <w:rsid w:val="3A7E0A06"/>
    <w:rsid w:val="3A942F44"/>
    <w:rsid w:val="3A972710"/>
    <w:rsid w:val="3AC95148"/>
    <w:rsid w:val="3B293484"/>
    <w:rsid w:val="3B3E6803"/>
    <w:rsid w:val="3B7A10AA"/>
    <w:rsid w:val="3B806E1C"/>
    <w:rsid w:val="3B86054F"/>
    <w:rsid w:val="3B945A17"/>
    <w:rsid w:val="3B9D177C"/>
    <w:rsid w:val="3BA64AD4"/>
    <w:rsid w:val="3BA90120"/>
    <w:rsid w:val="3BB0325D"/>
    <w:rsid w:val="3BB17243"/>
    <w:rsid w:val="3BC95E9A"/>
    <w:rsid w:val="3BE455FD"/>
    <w:rsid w:val="3C0D48A1"/>
    <w:rsid w:val="3C2679C3"/>
    <w:rsid w:val="3C3C2B3B"/>
    <w:rsid w:val="3C634773"/>
    <w:rsid w:val="3C996A8E"/>
    <w:rsid w:val="3CDE6407"/>
    <w:rsid w:val="3CFB0E50"/>
    <w:rsid w:val="3D0A1093"/>
    <w:rsid w:val="3D136199"/>
    <w:rsid w:val="3D2C1009"/>
    <w:rsid w:val="3D2F6747"/>
    <w:rsid w:val="3D361E88"/>
    <w:rsid w:val="3D410A49"/>
    <w:rsid w:val="3D4D2D2E"/>
    <w:rsid w:val="3DA54918"/>
    <w:rsid w:val="3DA84E3B"/>
    <w:rsid w:val="3DD14FC6"/>
    <w:rsid w:val="3DD36477"/>
    <w:rsid w:val="3DF82424"/>
    <w:rsid w:val="3E06185A"/>
    <w:rsid w:val="3E2B12C1"/>
    <w:rsid w:val="3E4126A6"/>
    <w:rsid w:val="3E4A068A"/>
    <w:rsid w:val="3E500D27"/>
    <w:rsid w:val="3E607FF6"/>
    <w:rsid w:val="3E656809"/>
    <w:rsid w:val="3E864749"/>
    <w:rsid w:val="3E9064A4"/>
    <w:rsid w:val="3EA34825"/>
    <w:rsid w:val="3EED2A1A"/>
    <w:rsid w:val="3EF45B57"/>
    <w:rsid w:val="3EFC4A0B"/>
    <w:rsid w:val="3F22673D"/>
    <w:rsid w:val="3F31711E"/>
    <w:rsid w:val="3F543E53"/>
    <w:rsid w:val="3F5C54AA"/>
    <w:rsid w:val="3F632CDC"/>
    <w:rsid w:val="3F656A54"/>
    <w:rsid w:val="3F760C61"/>
    <w:rsid w:val="3F984734"/>
    <w:rsid w:val="3FAE422A"/>
    <w:rsid w:val="3FDA7ED4"/>
    <w:rsid w:val="3FDE5C0F"/>
    <w:rsid w:val="40224945"/>
    <w:rsid w:val="405C7E57"/>
    <w:rsid w:val="406B3BF6"/>
    <w:rsid w:val="40742202"/>
    <w:rsid w:val="40803118"/>
    <w:rsid w:val="409C0254"/>
    <w:rsid w:val="40BE01CA"/>
    <w:rsid w:val="40CA3013"/>
    <w:rsid w:val="40CE4185"/>
    <w:rsid w:val="40D02C36"/>
    <w:rsid w:val="40D21EC7"/>
    <w:rsid w:val="40D7128C"/>
    <w:rsid w:val="40D854C8"/>
    <w:rsid w:val="40D914A8"/>
    <w:rsid w:val="410B008F"/>
    <w:rsid w:val="41313092"/>
    <w:rsid w:val="41362456"/>
    <w:rsid w:val="416163D3"/>
    <w:rsid w:val="416845DA"/>
    <w:rsid w:val="418331C2"/>
    <w:rsid w:val="41B576FD"/>
    <w:rsid w:val="41E81277"/>
    <w:rsid w:val="420C765B"/>
    <w:rsid w:val="42273EA0"/>
    <w:rsid w:val="423F17DF"/>
    <w:rsid w:val="42402E61"/>
    <w:rsid w:val="42611433"/>
    <w:rsid w:val="426C6E5E"/>
    <w:rsid w:val="42876CE2"/>
    <w:rsid w:val="42997141"/>
    <w:rsid w:val="429F402B"/>
    <w:rsid w:val="42B775C7"/>
    <w:rsid w:val="42F26851"/>
    <w:rsid w:val="42F70A75"/>
    <w:rsid w:val="43156510"/>
    <w:rsid w:val="435318D7"/>
    <w:rsid w:val="43A40C40"/>
    <w:rsid w:val="43BC223E"/>
    <w:rsid w:val="43BC79A0"/>
    <w:rsid w:val="43C23C8A"/>
    <w:rsid w:val="44006D4C"/>
    <w:rsid w:val="44093E52"/>
    <w:rsid w:val="44123658"/>
    <w:rsid w:val="441B2477"/>
    <w:rsid w:val="44305883"/>
    <w:rsid w:val="44617F98"/>
    <w:rsid w:val="44877E79"/>
    <w:rsid w:val="448E4357"/>
    <w:rsid w:val="44A675B4"/>
    <w:rsid w:val="44A8366B"/>
    <w:rsid w:val="44B518E4"/>
    <w:rsid w:val="44CC6850"/>
    <w:rsid w:val="44D90D2D"/>
    <w:rsid w:val="44EB79FC"/>
    <w:rsid w:val="44EE4DF6"/>
    <w:rsid w:val="45193A79"/>
    <w:rsid w:val="453A7E81"/>
    <w:rsid w:val="454A1600"/>
    <w:rsid w:val="45594965"/>
    <w:rsid w:val="45765517"/>
    <w:rsid w:val="457C0654"/>
    <w:rsid w:val="4588524B"/>
    <w:rsid w:val="45895E80"/>
    <w:rsid w:val="459E0800"/>
    <w:rsid w:val="459F6E66"/>
    <w:rsid w:val="45B33821"/>
    <w:rsid w:val="45EC1A9C"/>
    <w:rsid w:val="45F97EF6"/>
    <w:rsid w:val="46152F37"/>
    <w:rsid w:val="461B7E6D"/>
    <w:rsid w:val="463351B6"/>
    <w:rsid w:val="464C1070"/>
    <w:rsid w:val="465377FB"/>
    <w:rsid w:val="4656787E"/>
    <w:rsid w:val="468477C0"/>
    <w:rsid w:val="468A0B4E"/>
    <w:rsid w:val="468F7886"/>
    <w:rsid w:val="469A3487"/>
    <w:rsid w:val="469C7200"/>
    <w:rsid w:val="46B1432D"/>
    <w:rsid w:val="46C16C66"/>
    <w:rsid w:val="46DF533E"/>
    <w:rsid w:val="4740699E"/>
    <w:rsid w:val="476538B5"/>
    <w:rsid w:val="47743CD8"/>
    <w:rsid w:val="47A12944"/>
    <w:rsid w:val="47B16CDB"/>
    <w:rsid w:val="480F46F9"/>
    <w:rsid w:val="4856518C"/>
    <w:rsid w:val="489108BA"/>
    <w:rsid w:val="48961A2D"/>
    <w:rsid w:val="49025314"/>
    <w:rsid w:val="490364C8"/>
    <w:rsid w:val="495E079C"/>
    <w:rsid w:val="496569CB"/>
    <w:rsid w:val="496747FE"/>
    <w:rsid w:val="4972249A"/>
    <w:rsid w:val="49885819"/>
    <w:rsid w:val="498D0F3C"/>
    <w:rsid w:val="498F50D9"/>
    <w:rsid w:val="49C600F0"/>
    <w:rsid w:val="49C70A83"/>
    <w:rsid w:val="49CD76D0"/>
    <w:rsid w:val="49D00F6E"/>
    <w:rsid w:val="49EA3D54"/>
    <w:rsid w:val="49EB7B56"/>
    <w:rsid w:val="49FF361D"/>
    <w:rsid w:val="4A1E7200"/>
    <w:rsid w:val="4A3228A6"/>
    <w:rsid w:val="4A3B24EE"/>
    <w:rsid w:val="4A3B6699"/>
    <w:rsid w:val="4A7E7BF1"/>
    <w:rsid w:val="4A835FE1"/>
    <w:rsid w:val="4A897A9B"/>
    <w:rsid w:val="4AA20B5D"/>
    <w:rsid w:val="4B0F0874"/>
    <w:rsid w:val="4B202D95"/>
    <w:rsid w:val="4B38326F"/>
    <w:rsid w:val="4B3D4790"/>
    <w:rsid w:val="4B4340EE"/>
    <w:rsid w:val="4B5300A9"/>
    <w:rsid w:val="4B553E21"/>
    <w:rsid w:val="4B5C6F5D"/>
    <w:rsid w:val="4B78366B"/>
    <w:rsid w:val="4BA37583"/>
    <w:rsid w:val="4BAB333E"/>
    <w:rsid w:val="4BB70638"/>
    <w:rsid w:val="4BE84ADE"/>
    <w:rsid w:val="4BEA35E2"/>
    <w:rsid w:val="4C231829"/>
    <w:rsid w:val="4C261319"/>
    <w:rsid w:val="4C2D26A8"/>
    <w:rsid w:val="4C4208FA"/>
    <w:rsid w:val="4C453E95"/>
    <w:rsid w:val="4C6D6F48"/>
    <w:rsid w:val="4C722204"/>
    <w:rsid w:val="4C9170DB"/>
    <w:rsid w:val="4C9B1D07"/>
    <w:rsid w:val="4C9E46AD"/>
    <w:rsid w:val="4CCB7D93"/>
    <w:rsid w:val="4CEC3221"/>
    <w:rsid w:val="4CEE0089"/>
    <w:rsid w:val="4D16138E"/>
    <w:rsid w:val="4D1B69A4"/>
    <w:rsid w:val="4D245859"/>
    <w:rsid w:val="4D3B7C96"/>
    <w:rsid w:val="4D4978AC"/>
    <w:rsid w:val="4D5221B8"/>
    <w:rsid w:val="4DE8774A"/>
    <w:rsid w:val="4DF354E4"/>
    <w:rsid w:val="4E121B55"/>
    <w:rsid w:val="4E2F4B6D"/>
    <w:rsid w:val="4E3046D1"/>
    <w:rsid w:val="4E353A96"/>
    <w:rsid w:val="4E6F2738"/>
    <w:rsid w:val="4E822DD2"/>
    <w:rsid w:val="4E9764FE"/>
    <w:rsid w:val="4E9B4352"/>
    <w:rsid w:val="4EDE412D"/>
    <w:rsid w:val="4EF574D2"/>
    <w:rsid w:val="4F02606E"/>
    <w:rsid w:val="4F144A63"/>
    <w:rsid w:val="4F22401A"/>
    <w:rsid w:val="4F254E70"/>
    <w:rsid w:val="4F3D0E54"/>
    <w:rsid w:val="4F561F16"/>
    <w:rsid w:val="4F622668"/>
    <w:rsid w:val="4F6603AB"/>
    <w:rsid w:val="4F7725B8"/>
    <w:rsid w:val="4F9D5E94"/>
    <w:rsid w:val="4F9D7B44"/>
    <w:rsid w:val="4F9F1B0F"/>
    <w:rsid w:val="4FC43323"/>
    <w:rsid w:val="4FD712A8"/>
    <w:rsid w:val="4FD95020"/>
    <w:rsid w:val="4FEA0478"/>
    <w:rsid w:val="500B71A4"/>
    <w:rsid w:val="501047BA"/>
    <w:rsid w:val="501E2A33"/>
    <w:rsid w:val="502B5150"/>
    <w:rsid w:val="50373AF5"/>
    <w:rsid w:val="50616DC4"/>
    <w:rsid w:val="50783615"/>
    <w:rsid w:val="509F415B"/>
    <w:rsid w:val="50A22688"/>
    <w:rsid w:val="50C03AEB"/>
    <w:rsid w:val="50F33EC0"/>
    <w:rsid w:val="51096E67"/>
    <w:rsid w:val="510A745C"/>
    <w:rsid w:val="511107EA"/>
    <w:rsid w:val="51202BC1"/>
    <w:rsid w:val="51251CF4"/>
    <w:rsid w:val="512A18AC"/>
    <w:rsid w:val="51402E7D"/>
    <w:rsid w:val="51482C7D"/>
    <w:rsid w:val="515B7031"/>
    <w:rsid w:val="515D758B"/>
    <w:rsid w:val="51656D01"/>
    <w:rsid w:val="517E7F4B"/>
    <w:rsid w:val="51864D34"/>
    <w:rsid w:val="518B234A"/>
    <w:rsid w:val="519311FF"/>
    <w:rsid w:val="51965D71"/>
    <w:rsid w:val="519F7BA4"/>
    <w:rsid w:val="51A96C75"/>
    <w:rsid w:val="51AE428B"/>
    <w:rsid w:val="51C55131"/>
    <w:rsid w:val="51D57A6A"/>
    <w:rsid w:val="52804A52"/>
    <w:rsid w:val="52A53AFB"/>
    <w:rsid w:val="52AD59E4"/>
    <w:rsid w:val="52B256B5"/>
    <w:rsid w:val="52CC2C1B"/>
    <w:rsid w:val="52E57838"/>
    <w:rsid w:val="52F421A7"/>
    <w:rsid w:val="5302488E"/>
    <w:rsid w:val="531E4716"/>
    <w:rsid w:val="532F4F57"/>
    <w:rsid w:val="53310342"/>
    <w:rsid w:val="534F55FA"/>
    <w:rsid w:val="539D5CEC"/>
    <w:rsid w:val="53A72D40"/>
    <w:rsid w:val="53B355D7"/>
    <w:rsid w:val="53C806C1"/>
    <w:rsid w:val="53E421E6"/>
    <w:rsid w:val="53F33750"/>
    <w:rsid w:val="541128AF"/>
    <w:rsid w:val="541E31C1"/>
    <w:rsid w:val="542A0708"/>
    <w:rsid w:val="548968E9"/>
    <w:rsid w:val="54A75BE6"/>
    <w:rsid w:val="54A83213"/>
    <w:rsid w:val="54B2355D"/>
    <w:rsid w:val="54B24EA3"/>
    <w:rsid w:val="54B77AC1"/>
    <w:rsid w:val="54BE5272"/>
    <w:rsid w:val="54CE6321"/>
    <w:rsid w:val="54F46459"/>
    <w:rsid w:val="54FC70BB"/>
    <w:rsid w:val="553D706B"/>
    <w:rsid w:val="556F3D31"/>
    <w:rsid w:val="557462A8"/>
    <w:rsid w:val="55825812"/>
    <w:rsid w:val="55AD03B6"/>
    <w:rsid w:val="55B11F2F"/>
    <w:rsid w:val="55C51FC7"/>
    <w:rsid w:val="55C67DF5"/>
    <w:rsid w:val="55E60D40"/>
    <w:rsid w:val="561C4D71"/>
    <w:rsid w:val="5624659F"/>
    <w:rsid w:val="563034C0"/>
    <w:rsid w:val="5632548A"/>
    <w:rsid w:val="56715A24"/>
    <w:rsid w:val="567B189B"/>
    <w:rsid w:val="567F7FA4"/>
    <w:rsid w:val="569819EA"/>
    <w:rsid w:val="56BA0D62"/>
    <w:rsid w:val="56BF65F2"/>
    <w:rsid w:val="56D54068"/>
    <w:rsid w:val="56E01C0C"/>
    <w:rsid w:val="57054EF3"/>
    <w:rsid w:val="570D55B0"/>
    <w:rsid w:val="57142097"/>
    <w:rsid w:val="572D0CFC"/>
    <w:rsid w:val="57633CE5"/>
    <w:rsid w:val="577A4DC8"/>
    <w:rsid w:val="57960AF2"/>
    <w:rsid w:val="57A51C8C"/>
    <w:rsid w:val="57AA6E55"/>
    <w:rsid w:val="57AC6B77"/>
    <w:rsid w:val="57C83332"/>
    <w:rsid w:val="57CE2F91"/>
    <w:rsid w:val="57D4431F"/>
    <w:rsid w:val="58311772"/>
    <w:rsid w:val="583F79EB"/>
    <w:rsid w:val="589E0EC5"/>
    <w:rsid w:val="58BA3515"/>
    <w:rsid w:val="58D26AB1"/>
    <w:rsid w:val="58D273BA"/>
    <w:rsid w:val="58E107A1"/>
    <w:rsid w:val="58E16CF4"/>
    <w:rsid w:val="5906099D"/>
    <w:rsid w:val="590B5B1F"/>
    <w:rsid w:val="59115444"/>
    <w:rsid w:val="59145045"/>
    <w:rsid w:val="591D7F46"/>
    <w:rsid w:val="59351195"/>
    <w:rsid w:val="59577DF1"/>
    <w:rsid w:val="59B937CD"/>
    <w:rsid w:val="59E9324D"/>
    <w:rsid w:val="59F667CF"/>
    <w:rsid w:val="5A3A140D"/>
    <w:rsid w:val="5A3C1A2E"/>
    <w:rsid w:val="5A4237C2"/>
    <w:rsid w:val="5A443ABB"/>
    <w:rsid w:val="5A571C23"/>
    <w:rsid w:val="5A680140"/>
    <w:rsid w:val="5A767910"/>
    <w:rsid w:val="5A8E2EAB"/>
    <w:rsid w:val="5A957D96"/>
    <w:rsid w:val="5AA77AC9"/>
    <w:rsid w:val="5ABA77FD"/>
    <w:rsid w:val="5ABE498D"/>
    <w:rsid w:val="5AD76600"/>
    <w:rsid w:val="5B0B62AA"/>
    <w:rsid w:val="5B21787C"/>
    <w:rsid w:val="5B2378A8"/>
    <w:rsid w:val="5B4031F4"/>
    <w:rsid w:val="5B4812AC"/>
    <w:rsid w:val="5B4D241F"/>
    <w:rsid w:val="5B5A431C"/>
    <w:rsid w:val="5BBF7FC8"/>
    <w:rsid w:val="5BCA7F13"/>
    <w:rsid w:val="5BE34B31"/>
    <w:rsid w:val="5BE80399"/>
    <w:rsid w:val="5BEE7330"/>
    <w:rsid w:val="5BEF4751"/>
    <w:rsid w:val="5C001B87"/>
    <w:rsid w:val="5C07081F"/>
    <w:rsid w:val="5C1473E0"/>
    <w:rsid w:val="5C1A4C32"/>
    <w:rsid w:val="5C296171"/>
    <w:rsid w:val="5C632F21"/>
    <w:rsid w:val="5C7F2AAC"/>
    <w:rsid w:val="5CAC586B"/>
    <w:rsid w:val="5CB519F1"/>
    <w:rsid w:val="5CB8077F"/>
    <w:rsid w:val="5D235B2D"/>
    <w:rsid w:val="5D2C38E4"/>
    <w:rsid w:val="5D2D2508"/>
    <w:rsid w:val="5D323FC2"/>
    <w:rsid w:val="5D454E22"/>
    <w:rsid w:val="5D641CA2"/>
    <w:rsid w:val="5D8B5B79"/>
    <w:rsid w:val="5DE30E18"/>
    <w:rsid w:val="5DEA7BA9"/>
    <w:rsid w:val="5DF448C0"/>
    <w:rsid w:val="5DF6036D"/>
    <w:rsid w:val="5DF9063C"/>
    <w:rsid w:val="5DFB2D6D"/>
    <w:rsid w:val="5E365ED2"/>
    <w:rsid w:val="5E4F72F6"/>
    <w:rsid w:val="5E6301AB"/>
    <w:rsid w:val="5E6F4DA2"/>
    <w:rsid w:val="5E7B54F5"/>
    <w:rsid w:val="5E821550"/>
    <w:rsid w:val="5E875C48"/>
    <w:rsid w:val="5E9F7435"/>
    <w:rsid w:val="5EA44A4C"/>
    <w:rsid w:val="5EDD61AF"/>
    <w:rsid w:val="5EF43590"/>
    <w:rsid w:val="5EF77F9B"/>
    <w:rsid w:val="5F1F40D2"/>
    <w:rsid w:val="5F434264"/>
    <w:rsid w:val="5F57386C"/>
    <w:rsid w:val="5F593A88"/>
    <w:rsid w:val="5F5B4A5D"/>
    <w:rsid w:val="5F7A57AC"/>
    <w:rsid w:val="5F9745B0"/>
    <w:rsid w:val="5FB355F1"/>
    <w:rsid w:val="601856F1"/>
    <w:rsid w:val="601B6F8F"/>
    <w:rsid w:val="602D0A71"/>
    <w:rsid w:val="603277EB"/>
    <w:rsid w:val="60387556"/>
    <w:rsid w:val="603B4F3C"/>
    <w:rsid w:val="604162CA"/>
    <w:rsid w:val="60584392"/>
    <w:rsid w:val="605C7849"/>
    <w:rsid w:val="606326E4"/>
    <w:rsid w:val="607246D5"/>
    <w:rsid w:val="60777D0A"/>
    <w:rsid w:val="608A7C71"/>
    <w:rsid w:val="6098238E"/>
    <w:rsid w:val="60C3283E"/>
    <w:rsid w:val="60CA4AE4"/>
    <w:rsid w:val="60D47DFC"/>
    <w:rsid w:val="60D659FD"/>
    <w:rsid w:val="60EF5D26"/>
    <w:rsid w:val="60F039E4"/>
    <w:rsid w:val="611F660B"/>
    <w:rsid w:val="612754C0"/>
    <w:rsid w:val="614C3178"/>
    <w:rsid w:val="61783F6D"/>
    <w:rsid w:val="61835CB6"/>
    <w:rsid w:val="61845D8D"/>
    <w:rsid w:val="618943CD"/>
    <w:rsid w:val="61F611D0"/>
    <w:rsid w:val="61FE0917"/>
    <w:rsid w:val="62007000"/>
    <w:rsid w:val="620E510C"/>
    <w:rsid w:val="62287777"/>
    <w:rsid w:val="62540537"/>
    <w:rsid w:val="628F56D7"/>
    <w:rsid w:val="62A53835"/>
    <w:rsid w:val="62C21944"/>
    <w:rsid w:val="62E0001C"/>
    <w:rsid w:val="62E4606E"/>
    <w:rsid w:val="62EC4C13"/>
    <w:rsid w:val="62EC69C1"/>
    <w:rsid w:val="63332842"/>
    <w:rsid w:val="633E116D"/>
    <w:rsid w:val="63464492"/>
    <w:rsid w:val="6347009B"/>
    <w:rsid w:val="63554566"/>
    <w:rsid w:val="63586D06"/>
    <w:rsid w:val="637D586B"/>
    <w:rsid w:val="63A97172"/>
    <w:rsid w:val="63E92F01"/>
    <w:rsid w:val="63EC3F70"/>
    <w:rsid w:val="63F7386F"/>
    <w:rsid w:val="642D54E3"/>
    <w:rsid w:val="64383AD1"/>
    <w:rsid w:val="64502F80"/>
    <w:rsid w:val="64526CF8"/>
    <w:rsid w:val="64590086"/>
    <w:rsid w:val="64754794"/>
    <w:rsid w:val="647629E6"/>
    <w:rsid w:val="648669A1"/>
    <w:rsid w:val="64923598"/>
    <w:rsid w:val="64BA2183"/>
    <w:rsid w:val="650515E5"/>
    <w:rsid w:val="65312F1B"/>
    <w:rsid w:val="65345EA2"/>
    <w:rsid w:val="65384140"/>
    <w:rsid w:val="65554CF2"/>
    <w:rsid w:val="65735178"/>
    <w:rsid w:val="658C7FE7"/>
    <w:rsid w:val="659155FE"/>
    <w:rsid w:val="65996677"/>
    <w:rsid w:val="65A417D5"/>
    <w:rsid w:val="65AE3D26"/>
    <w:rsid w:val="65CD26B4"/>
    <w:rsid w:val="65DC4ACB"/>
    <w:rsid w:val="65EC7453"/>
    <w:rsid w:val="66047238"/>
    <w:rsid w:val="660648E1"/>
    <w:rsid w:val="66154481"/>
    <w:rsid w:val="661A0A16"/>
    <w:rsid w:val="662B5BE6"/>
    <w:rsid w:val="666176C6"/>
    <w:rsid w:val="666B22F3"/>
    <w:rsid w:val="666F1DE3"/>
    <w:rsid w:val="66B9305E"/>
    <w:rsid w:val="66C832A1"/>
    <w:rsid w:val="66D24120"/>
    <w:rsid w:val="66E63727"/>
    <w:rsid w:val="66F83B86"/>
    <w:rsid w:val="66FD14C3"/>
    <w:rsid w:val="6700465F"/>
    <w:rsid w:val="670544F5"/>
    <w:rsid w:val="67236BC5"/>
    <w:rsid w:val="676A4610"/>
    <w:rsid w:val="676A6F7B"/>
    <w:rsid w:val="677156E7"/>
    <w:rsid w:val="67753429"/>
    <w:rsid w:val="67780A64"/>
    <w:rsid w:val="677D30E0"/>
    <w:rsid w:val="678609C8"/>
    <w:rsid w:val="678E44EB"/>
    <w:rsid w:val="67EE0AE5"/>
    <w:rsid w:val="67EE31DB"/>
    <w:rsid w:val="68071BA7"/>
    <w:rsid w:val="68093B71"/>
    <w:rsid w:val="683230C8"/>
    <w:rsid w:val="683A01CF"/>
    <w:rsid w:val="684B418A"/>
    <w:rsid w:val="68555008"/>
    <w:rsid w:val="686200DD"/>
    <w:rsid w:val="686F7E78"/>
    <w:rsid w:val="687B6875"/>
    <w:rsid w:val="688D02FE"/>
    <w:rsid w:val="688F22C8"/>
    <w:rsid w:val="689E69AF"/>
    <w:rsid w:val="68B65AA7"/>
    <w:rsid w:val="68EB20F0"/>
    <w:rsid w:val="68ED3493"/>
    <w:rsid w:val="68F95994"/>
    <w:rsid w:val="6917406C"/>
    <w:rsid w:val="6922138F"/>
    <w:rsid w:val="694420CC"/>
    <w:rsid w:val="69661355"/>
    <w:rsid w:val="696E1C4C"/>
    <w:rsid w:val="69A00505"/>
    <w:rsid w:val="69A34438"/>
    <w:rsid w:val="69B80D76"/>
    <w:rsid w:val="6A0A597F"/>
    <w:rsid w:val="6A0B5A82"/>
    <w:rsid w:val="6A1C1F14"/>
    <w:rsid w:val="6A31115D"/>
    <w:rsid w:val="6A4175F2"/>
    <w:rsid w:val="6A7F7B72"/>
    <w:rsid w:val="6A96716E"/>
    <w:rsid w:val="6AC0668D"/>
    <w:rsid w:val="6AC93629"/>
    <w:rsid w:val="6AD42215"/>
    <w:rsid w:val="6ADC556D"/>
    <w:rsid w:val="6ADF6E0B"/>
    <w:rsid w:val="6AFA27E1"/>
    <w:rsid w:val="6B1C36D8"/>
    <w:rsid w:val="6B2A277C"/>
    <w:rsid w:val="6B2E1512"/>
    <w:rsid w:val="6B4F21E3"/>
    <w:rsid w:val="6B7B77ED"/>
    <w:rsid w:val="6B833C3B"/>
    <w:rsid w:val="6B923E7E"/>
    <w:rsid w:val="6BAF4A30"/>
    <w:rsid w:val="6BC24637"/>
    <w:rsid w:val="6BF40EC1"/>
    <w:rsid w:val="6C16685D"/>
    <w:rsid w:val="6C3F4006"/>
    <w:rsid w:val="6C5E021D"/>
    <w:rsid w:val="6C7041BF"/>
    <w:rsid w:val="6CA922DA"/>
    <w:rsid w:val="6CBA36C1"/>
    <w:rsid w:val="6CD02EB0"/>
    <w:rsid w:val="6D01750D"/>
    <w:rsid w:val="6D260D22"/>
    <w:rsid w:val="6D341690"/>
    <w:rsid w:val="6D714693"/>
    <w:rsid w:val="6D9034EF"/>
    <w:rsid w:val="6DA560EA"/>
    <w:rsid w:val="6DAF0D17"/>
    <w:rsid w:val="6DAF3EC3"/>
    <w:rsid w:val="6DBD1686"/>
    <w:rsid w:val="6DC761B7"/>
    <w:rsid w:val="6DD01ED5"/>
    <w:rsid w:val="6DD05733"/>
    <w:rsid w:val="6DD571EC"/>
    <w:rsid w:val="6DFE0223"/>
    <w:rsid w:val="6E1D776A"/>
    <w:rsid w:val="6E2711F5"/>
    <w:rsid w:val="6E3336F6"/>
    <w:rsid w:val="6E3B6A4F"/>
    <w:rsid w:val="6E3C0F89"/>
    <w:rsid w:val="6E3E23D3"/>
    <w:rsid w:val="6E58315D"/>
    <w:rsid w:val="6E9137E0"/>
    <w:rsid w:val="6E916298"/>
    <w:rsid w:val="6E9323E7"/>
    <w:rsid w:val="6EA84809"/>
    <w:rsid w:val="6EE36271"/>
    <w:rsid w:val="6EF041DC"/>
    <w:rsid w:val="6F244603"/>
    <w:rsid w:val="6F4831D1"/>
    <w:rsid w:val="6F66625A"/>
    <w:rsid w:val="6FA51644"/>
    <w:rsid w:val="6FAF3250"/>
    <w:rsid w:val="6FC50CC6"/>
    <w:rsid w:val="6FC61E8F"/>
    <w:rsid w:val="6FCE7B7A"/>
    <w:rsid w:val="6FD607DD"/>
    <w:rsid w:val="6FDE7692"/>
    <w:rsid w:val="6FF75479"/>
    <w:rsid w:val="705A140E"/>
    <w:rsid w:val="705F4C76"/>
    <w:rsid w:val="70613731"/>
    <w:rsid w:val="70812E3F"/>
    <w:rsid w:val="70981F36"/>
    <w:rsid w:val="70997AC2"/>
    <w:rsid w:val="70C374A1"/>
    <w:rsid w:val="70F133F4"/>
    <w:rsid w:val="71096990"/>
    <w:rsid w:val="7113780F"/>
    <w:rsid w:val="712E63F7"/>
    <w:rsid w:val="713003C1"/>
    <w:rsid w:val="713A2FED"/>
    <w:rsid w:val="716A52DB"/>
    <w:rsid w:val="71706A0F"/>
    <w:rsid w:val="719178EE"/>
    <w:rsid w:val="71A60683"/>
    <w:rsid w:val="71B7463E"/>
    <w:rsid w:val="71B763EC"/>
    <w:rsid w:val="71CD5C10"/>
    <w:rsid w:val="71D32BF0"/>
    <w:rsid w:val="723839D1"/>
    <w:rsid w:val="72695938"/>
    <w:rsid w:val="72964253"/>
    <w:rsid w:val="72BA11D4"/>
    <w:rsid w:val="73025D8D"/>
    <w:rsid w:val="73335F46"/>
    <w:rsid w:val="734B7734"/>
    <w:rsid w:val="73722F12"/>
    <w:rsid w:val="7386225B"/>
    <w:rsid w:val="73972979"/>
    <w:rsid w:val="739F6935"/>
    <w:rsid w:val="73B201E3"/>
    <w:rsid w:val="740718AD"/>
    <w:rsid w:val="741B5358"/>
    <w:rsid w:val="744F6DB0"/>
    <w:rsid w:val="745E5245"/>
    <w:rsid w:val="74624D35"/>
    <w:rsid w:val="74714F78"/>
    <w:rsid w:val="748A428C"/>
    <w:rsid w:val="7497043C"/>
    <w:rsid w:val="74CC6652"/>
    <w:rsid w:val="74DD43BC"/>
    <w:rsid w:val="74DE2D28"/>
    <w:rsid w:val="7521074C"/>
    <w:rsid w:val="75317F36"/>
    <w:rsid w:val="753A7A60"/>
    <w:rsid w:val="755248A6"/>
    <w:rsid w:val="75660855"/>
    <w:rsid w:val="759242AE"/>
    <w:rsid w:val="75B51DBC"/>
    <w:rsid w:val="75C94940"/>
    <w:rsid w:val="75CB06B8"/>
    <w:rsid w:val="75E57159"/>
    <w:rsid w:val="75ED6880"/>
    <w:rsid w:val="75FC4D15"/>
    <w:rsid w:val="763C5112"/>
    <w:rsid w:val="76431924"/>
    <w:rsid w:val="765E152C"/>
    <w:rsid w:val="766034F6"/>
    <w:rsid w:val="767E572A"/>
    <w:rsid w:val="76966F18"/>
    <w:rsid w:val="76C21ABB"/>
    <w:rsid w:val="76E01F41"/>
    <w:rsid w:val="76E45ED5"/>
    <w:rsid w:val="76EB7264"/>
    <w:rsid w:val="770025E3"/>
    <w:rsid w:val="771E7D75"/>
    <w:rsid w:val="77347057"/>
    <w:rsid w:val="77416E84"/>
    <w:rsid w:val="776668EA"/>
    <w:rsid w:val="77A64F39"/>
    <w:rsid w:val="77CF26E1"/>
    <w:rsid w:val="77D54D12"/>
    <w:rsid w:val="77E12415"/>
    <w:rsid w:val="77F9775E"/>
    <w:rsid w:val="77FA5285"/>
    <w:rsid w:val="781E0F73"/>
    <w:rsid w:val="781E29DE"/>
    <w:rsid w:val="782725D3"/>
    <w:rsid w:val="782B3690"/>
    <w:rsid w:val="7831514A"/>
    <w:rsid w:val="78660DE1"/>
    <w:rsid w:val="78B638A1"/>
    <w:rsid w:val="78C80EDF"/>
    <w:rsid w:val="78D14237"/>
    <w:rsid w:val="791871BB"/>
    <w:rsid w:val="793547C6"/>
    <w:rsid w:val="794A3E9B"/>
    <w:rsid w:val="798968C0"/>
    <w:rsid w:val="799F4335"/>
    <w:rsid w:val="79D96301"/>
    <w:rsid w:val="79DC7338"/>
    <w:rsid w:val="79E461EC"/>
    <w:rsid w:val="7A1A0D3D"/>
    <w:rsid w:val="7A344A7E"/>
    <w:rsid w:val="7A48677B"/>
    <w:rsid w:val="7A546ECE"/>
    <w:rsid w:val="7A592736"/>
    <w:rsid w:val="7A6766F3"/>
    <w:rsid w:val="7A8F4065"/>
    <w:rsid w:val="7AA56C90"/>
    <w:rsid w:val="7AC51B7A"/>
    <w:rsid w:val="7AEC5358"/>
    <w:rsid w:val="7B0A3A31"/>
    <w:rsid w:val="7B1524BC"/>
    <w:rsid w:val="7B9D6653"/>
    <w:rsid w:val="7BA06143"/>
    <w:rsid w:val="7BD754B6"/>
    <w:rsid w:val="7BE36163"/>
    <w:rsid w:val="7BE60B10"/>
    <w:rsid w:val="7C1F52BA"/>
    <w:rsid w:val="7C282DC5"/>
    <w:rsid w:val="7C4A61CB"/>
    <w:rsid w:val="7C4F6B58"/>
    <w:rsid w:val="7C69085F"/>
    <w:rsid w:val="7C7744E9"/>
    <w:rsid w:val="7C8F68E3"/>
    <w:rsid w:val="7C920C6D"/>
    <w:rsid w:val="7D210AD2"/>
    <w:rsid w:val="7D5B1FAF"/>
    <w:rsid w:val="7D8335F7"/>
    <w:rsid w:val="7DA979A9"/>
    <w:rsid w:val="7DBD4D8A"/>
    <w:rsid w:val="7DC4607A"/>
    <w:rsid w:val="7E1F77F3"/>
    <w:rsid w:val="7E4253D3"/>
    <w:rsid w:val="7E6E734E"/>
    <w:rsid w:val="7E870BA6"/>
    <w:rsid w:val="7E955D07"/>
    <w:rsid w:val="7E985949"/>
    <w:rsid w:val="7EC30AC6"/>
    <w:rsid w:val="7ECA7238"/>
    <w:rsid w:val="7EDE145C"/>
    <w:rsid w:val="7EE061AE"/>
    <w:rsid w:val="7EFB1398"/>
    <w:rsid w:val="7F1C1F84"/>
    <w:rsid w:val="7F1C239A"/>
    <w:rsid w:val="7F4D213E"/>
    <w:rsid w:val="7F7B6CAB"/>
    <w:rsid w:val="7F930498"/>
    <w:rsid w:val="7F995383"/>
    <w:rsid w:val="7FAB3A34"/>
    <w:rsid w:val="7FCF6FF7"/>
    <w:rsid w:val="7FD12D6F"/>
    <w:rsid w:val="7FD64829"/>
  </w:rsids>
  <m:mathPr>
    <m:mathFont m:val="Cambria Math"/>
    <m:brkBin m:val="before"/>
    <m:brkBinSub m:val="--"/>
    <m:smallFrac m:val="1"/>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7"/>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next w:val="1"/>
    <w:link w:val="59"/>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58"/>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5">
    <w:name w:val="heading 4"/>
    <w:basedOn w:val="1"/>
    <w:next w:val="1"/>
    <w:unhideWhenUsed/>
    <w:qFormat/>
    <w:uiPriority w:val="0"/>
    <w:pPr>
      <w:keepNext/>
      <w:keepLines/>
      <w:spacing w:before="280" w:after="290" w:line="376" w:lineRule="auto"/>
      <w:outlineLvl w:val="3"/>
    </w:pPr>
    <w:rPr>
      <w:rFonts w:asciiTheme="majorHAnsi" w:hAnsiTheme="majorHAnsi" w:cstheme="majorBidi"/>
      <w:b/>
      <w:bCs/>
      <w:sz w:val="28"/>
      <w:szCs w:val="28"/>
    </w:rPr>
  </w:style>
  <w:style w:type="character" w:default="1" w:styleId="40">
    <w:name w:val="Default Paragraph Font"/>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rPr>
      <w:rFonts w:ascii="Times New Roman" w:hAnsi="Times New Roman" w:eastAsia="宋体" w:cs="Times New Roman"/>
      <w:szCs w:val="24"/>
    </w:rPr>
  </w:style>
  <w:style w:type="paragraph" w:styleId="7">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Normal Indent"/>
    <w:basedOn w:val="1"/>
    <w:link w:val="110"/>
    <w:qFormat/>
    <w:uiPriority w:val="99"/>
    <w:pPr>
      <w:ind w:firstLine="420" w:firstLineChars="200"/>
    </w:pPr>
    <w:rPr>
      <w:rFonts w:ascii="Times New Roman" w:hAnsi="Times New Roman" w:eastAsia="宋体" w:cs="Times New Roman"/>
      <w:kern w:val="0"/>
      <w:sz w:val="24"/>
      <w:szCs w:val="20"/>
    </w:rPr>
  </w:style>
  <w:style w:type="paragraph" w:styleId="9">
    <w:name w:val="Document Map"/>
    <w:basedOn w:val="1"/>
    <w:link w:val="128"/>
    <w:qFormat/>
    <w:uiPriority w:val="0"/>
    <w:rPr>
      <w:rFonts w:ascii="宋体" w:hAnsi="Calibri" w:eastAsia="宋体" w:cs="Times New Roman"/>
      <w:kern w:val="0"/>
      <w:sz w:val="18"/>
      <w:szCs w:val="20"/>
    </w:rPr>
  </w:style>
  <w:style w:type="paragraph" w:styleId="10">
    <w:name w:val="toa heading"/>
    <w:basedOn w:val="1"/>
    <w:next w:val="1"/>
    <w:qFormat/>
    <w:uiPriority w:val="0"/>
    <w:pPr>
      <w:spacing w:before="120"/>
    </w:pPr>
    <w:rPr>
      <w:rFonts w:ascii="Cambria" w:hAnsi="Cambria"/>
      <w:sz w:val="24"/>
      <w:szCs w:val="24"/>
    </w:rPr>
  </w:style>
  <w:style w:type="paragraph" w:styleId="11">
    <w:name w:val="annotation text"/>
    <w:basedOn w:val="1"/>
    <w:link w:val="156"/>
    <w:qFormat/>
    <w:uiPriority w:val="0"/>
    <w:pPr>
      <w:jc w:val="left"/>
    </w:pPr>
  </w:style>
  <w:style w:type="paragraph" w:styleId="12">
    <w:name w:val="Body Text"/>
    <w:basedOn w:val="1"/>
    <w:next w:val="1"/>
    <w:link w:val="131"/>
    <w:qFormat/>
    <w:uiPriority w:val="99"/>
    <w:pPr>
      <w:spacing w:after="120"/>
    </w:pPr>
    <w:rPr>
      <w:rFonts w:ascii="Calibri" w:hAnsi="Calibri" w:eastAsia="宋体" w:cs="Times New Roman"/>
      <w:kern w:val="0"/>
      <w:sz w:val="24"/>
      <w:szCs w:val="20"/>
    </w:rPr>
  </w:style>
  <w:style w:type="paragraph" w:styleId="13">
    <w:name w:val="Body Text Indent"/>
    <w:basedOn w:val="1"/>
    <w:link w:val="62"/>
    <w:qFormat/>
    <w:uiPriority w:val="0"/>
    <w:pPr>
      <w:widowControl/>
      <w:spacing w:after="120"/>
      <w:ind w:left="420"/>
    </w:pPr>
    <w:rPr>
      <w:rFonts w:ascii="??" w:hAnsi="??" w:eastAsia="宋体" w:cs="Arial"/>
      <w:kern w:val="0"/>
      <w:sz w:val="24"/>
      <w:szCs w:val="24"/>
    </w:rPr>
  </w:style>
  <w:style w:type="paragraph" w:styleId="14">
    <w:name w:val="toc 5"/>
    <w:basedOn w:val="1"/>
    <w:next w:val="1"/>
    <w:qFormat/>
    <w:uiPriority w:val="0"/>
    <w:pPr>
      <w:ind w:left="1680" w:leftChars="800"/>
    </w:pPr>
    <w:rPr>
      <w:rFonts w:ascii="Times New Roman" w:hAnsi="Times New Roman" w:eastAsia="宋体" w:cs="Times New Roman"/>
      <w:szCs w:val="24"/>
    </w:rPr>
  </w:style>
  <w:style w:type="paragraph" w:styleId="15">
    <w:name w:val="toc 3"/>
    <w:basedOn w:val="1"/>
    <w:next w:val="1"/>
    <w:qFormat/>
    <w:uiPriority w:val="39"/>
    <w:pPr>
      <w:ind w:left="840" w:leftChars="400"/>
    </w:pPr>
    <w:rPr>
      <w:rFonts w:ascii="Times New Roman" w:hAnsi="Times New Roman" w:eastAsia="宋体" w:cs="Times New Roman"/>
      <w:szCs w:val="24"/>
    </w:rPr>
  </w:style>
  <w:style w:type="paragraph" w:styleId="16">
    <w:name w:val="Plain Text"/>
    <w:basedOn w:val="1"/>
    <w:link w:val="191"/>
    <w:qFormat/>
    <w:uiPriority w:val="0"/>
    <w:rPr>
      <w:rFonts w:ascii="宋体" w:hAnsi="Courier New" w:eastAsia="宋体"/>
      <w:szCs w:val="21"/>
    </w:rPr>
  </w:style>
  <w:style w:type="paragraph" w:styleId="17">
    <w:name w:val="toc 8"/>
    <w:basedOn w:val="1"/>
    <w:next w:val="1"/>
    <w:qFormat/>
    <w:uiPriority w:val="0"/>
    <w:pPr>
      <w:ind w:left="2940" w:leftChars="1400"/>
    </w:pPr>
    <w:rPr>
      <w:rFonts w:ascii="Times New Roman" w:hAnsi="Times New Roman" w:eastAsia="宋体" w:cs="Times New Roman"/>
      <w:szCs w:val="24"/>
    </w:rPr>
  </w:style>
  <w:style w:type="paragraph" w:styleId="18">
    <w:name w:val="Date"/>
    <w:basedOn w:val="1"/>
    <w:next w:val="1"/>
    <w:link w:val="151"/>
    <w:qFormat/>
    <w:uiPriority w:val="0"/>
    <w:rPr>
      <w:szCs w:val="21"/>
    </w:rPr>
  </w:style>
  <w:style w:type="paragraph" w:styleId="19">
    <w:name w:val="Body Text Indent 2"/>
    <w:basedOn w:val="1"/>
    <w:link w:val="124"/>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0">
    <w:name w:val="Balloon Text"/>
    <w:basedOn w:val="1"/>
    <w:link w:val="74"/>
    <w:qFormat/>
    <w:uiPriority w:val="99"/>
    <w:rPr>
      <w:rFonts w:ascii="Calibri" w:hAnsi="Calibri" w:eastAsia="宋体" w:cs="Times New Roman"/>
      <w:sz w:val="18"/>
      <w:szCs w:val="18"/>
    </w:rPr>
  </w:style>
  <w:style w:type="paragraph" w:styleId="21">
    <w:name w:val="footer"/>
    <w:basedOn w:val="1"/>
    <w:link w:val="61"/>
    <w:qFormat/>
    <w:uiPriority w:val="99"/>
    <w:pPr>
      <w:tabs>
        <w:tab w:val="center" w:pos="4153"/>
        <w:tab w:val="right" w:pos="8306"/>
      </w:tabs>
      <w:snapToGrid w:val="0"/>
      <w:jc w:val="left"/>
    </w:pPr>
    <w:rPr>
      <w:rFonts w:ascii="Calibri" w:hAnsi="Calibri" w:eastAsia="宋体" w:cs="Times New Roman"/>
      <w:sz w:val="18"/>
      <w:szCs w:val="18"/>
    </w:rPr>
  </w:style>
  <w:style w:type="paragraph" w:styleId="22">
    <w:name w:val="header"/>
    <w:basedOn w:val="1"/>
    <w:link w:val="60"/>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3">
    <w:name w:val="toc 1"/>
    <w:basedOn w:val="1"/>
    <w:next w:val="1"/>
    <w:qFormat/>
    <w:uiPriority w:val="39"/>
    <w:rPr>
      <w:rFonts w:ascii="Times New Roman" w:hAnsi="Times New Roman" w:eastAsia="宋体" w:cs="Times New Roman"/>
      <w:szCs w:val="24"/>
    </w:rPr>
  </w:style>
  <w:style w:type="paragraph" w:styleId="24">
    <w:name w:val="toc 4"/>
    <w:basedOn w:val="1"/>
    <w:next w:val="1"/>
    <w:qFormat/>
    <w:uiPriority w:val="0"/>
    <w:pPr>
      <w:ind w:left="1260" w:leftChars="600"/>
    </w:pPr>
    <w:rPr>
      <w:rFonts w:ascii="Times New Roman" w:hAnsi="Times New Roman" w:eastAsia="宋体" w:cs="Times New Roman"/>
      <w:szCs w:val="24"/>
    </w:rPr>
  </w:style>
  <w:style w:type="paragraph" w:styleId="25">
    <w:name w:val="footnote text"/>
    <w:basedOn w:val="1"/>
    <w:link w:val="168"/>
    <w:semiHidden/>
    <w:qFormat/>
    <w:uiPriority w:val="0"/>
    <w:pPr>
      <w:snapToGrid w:val="0"/>
      <w:jc w:val="left"/>
    </w:pPr>
    <w:rPr>
      <w:rFonts w:ascii="Times New Roman" w:hAnsi="Times New Roman" w:eastAsia="宋体" w:cs="Times New Roman"/>
      <w:sz w:val="18"/>
      <w:szCs w:val="18"/>
    </w:rPr>
  </w:style>
  <w:style w:type="paragraph" w:styleId="26">
    <w:name w:val="toc 6"/>
    <w:basedOn w:val="1"/>
    <w:next w:val="1"/>
    <w:qFormat/>
    <w:uiPriority w:val="0"/>
    <w:pPr>
      <w:ind w:left="2100" w:leftChars="1000"/>
    </w:pPr>
    <w:rPr>
      <w:rFonts w:ascii="Times New Roman" w:hAnsi="Times New Roman" w:eastAsia="宋体" w:cs="Times New Roman"/>
      <w:szCs w:val="24"/>
    </w:rPr>
  </w:style>
  <w:style w:type="paragraph" w:styleId="27">
    <w:name w:val="Body Text Indent 3"/>
    <w:basedOn w:val="1"/>
    <w:link w:val="126"/>
    <w:qFormat/>
    <w:uiPriority w:val="99"/>
    <w:pPr>
      <w:spacing w:line="440" w:lineRule="exact"/>
      <w:ind w:firstLine="412" w:firstLineChars="200"/>
    </w:pPr>
    <w:rPr>
      <w:rFonts w:ascii="宋体" w:hAnsi="Calibri" w:eastAsia="宋体" w:cs="Times New Roman"/>
      <w:kern w:val="0"/>
      <w:sz w:val="20"/>
      <w:szCs w:val="20"/>
    </w:rPr>
  </w:style>
  <w:style w:type="paragraph" w:styleId="28">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29">
    <w:name w:val="toc 2"/>
    <w:basedOn w:val="1"/>
    <w:next w:val="1"/>
    <w:qFormat/>
    <w:uiPriority w:val="39"/>
    <w:pPr>
      <w:ind w:left="420" w:leftChars="200"/>
    </w:pPr>
    <w:rPr>
      <w:rFonts w:ascii="Times New Roman" w:hAnsi="Times New Roman" w:eastAsia="宋体" w:cs="Times New Roman"/>
      <w:szCs w:val="24"/>
    </w:rPr>
  </w:style>
  <w:style w:type="paragraph" w:styleId="30">
    <w:name w:val="toc 9"/>
    <w:basedOn w:val="1"/>
    <w:next w:val="1"/>
    <w:qFormat/>
    <w:uiPriority w:val="0"/>
    <w:pPr>
      <w:ind w:left="3360" w:leftChars="1600"/>
    </w:pPr>
    <w:rPr>
      <w:rFonts w:ascii="Times New Roman" w:hAnsi="Times New Roman" w:eastAsia="宋体" w:cs="Times New Roman"/>
      <w:szCs w:val="24"/>
    </w:rPr>
  </w:style>
  <w:style w:type="paragraph" w:styleId="31">
    <w:name w:val="List Continue 2"/>
    <w:basedOn w:val="1"/>
    <w:qFormat/>
    <w:uiPriority w:val="99"/>
    <w:pPr>
      <w:spacing w:after="120"/>
      <w:ind w:left="840" w:leftChars="400"/>
    </w:pPr>
    <w:rPr>
      <w:rFonts w:ascii="Times New Roman" w:hAnsi="Times New Roman" w:eastAsia="宋体" w:cs="Times New Roman"/>
      <w:szCs w:val="24"/>
    </w:rPr>
  </w:style>
  <w:style w:type="paragraph" w:styleId="3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3">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4">
    <w:name w:val="Title"/>
    <w:basedOn w:val="1"/>
    <w:link w:val="154"/>
    <w:qFormat/>
    <w:uiPriority w:val="0"/>
    <w:pPr>
      <w:spacing w:before="240" w:after="60"/>
      <w:jc w:val="center"/>
      <w:outlineLvl w:val="0"/>
    </w:pPr>
    <w:rPr>
      <w:rFonts w:ascii="Cambria" w:hAnsi="Cambria" w:cs="Times New Roman"/>
      <w:b/>
      <w:bCs/>
      <w:sz w:val="32"/>
      <w:szCs w:val="32"/>
    </w:rPr>
  </w:style>
  <w:style w:type="paragraph" w:styleId="35">
    <w:name w:val="annotation subject"/>
    <w:basedOn w:val="11"/>
    <w:next w:val="11"/>
    <w:link w:val="161"/>
    <w:qFormat/>
    <w:uiPriority w:val="0"/>
    <w:rPr>
      <w:b/>
      <w:bCs/>
    </w:rPr>
  </w:style>
  <w:style w:type="paragraph" w:styleId="36">
    <w:name w:val="Body Text First Indent"/>
    <w:basedOn w:val="12"/>
    <w:link w:val="201"/>
    <w:semiHidden/>
    <w:unhideWhenUsed/>
    <w:qFormat/>
    <w:uiPriority w:val="99"/>
    <w:pPr>
      <w:ind w:firstLine="420" w:firstLineChars="100"/>
    </w:pPr>
    <w:rPr>
      <w:rFonts w:asciiTheme="minorHAnsi" w:hAnsiTheme="minorHAnsi" w:eastAsiaTheme="minorEastAsia" w:cstheme="minorBidi"/>
      <w:kern w:val="2"/>
      <w:sz w:val="21"/>
      <w:szCs w:val="22"/>
    </w:rPr>
  </w:style>
  <w:style w:type="paragraph" w:styleId="37">
    <w:name w:val="Body Text First Indent 2"/>
    <w:basedOn w:val="13"/>
    <w:next w:val="1"/>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39">
    <w:name w:val="Table Grid"/>
    <w:basedOn w:val="3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basedOn w:val="40"/>
    <w:qFormat/>
    <w:uiPriority w:val="22"/>
    <w:rPr>
      <w:rFonts w:cs="Times New Roman"/>
      <w:b/>
    </w:rPr>
  </w:style>
  <w:style w:type="character" w:styleId="42">
    <w:name w:val="page number"/>
    <w:basedOn w:val="40"/>
    <w:qFormat/>
    <w:uiPriority w:val="0"/>
    <w:rPr>
      <w:rFonts w:cs="Times New Roman"/>
    </w:rPr>
  </w:style>
  <w:style w:type="character" w:styleId="43">
    <w:name w:val="FollowedHyperlink"/>
    <w:basedOn w:val="40"/>
    <w:qFormat/>
    <w:uiPriority w:val="99"/>
    <w:rPr>
      <w:rFonts w:cs="Times New Roman"/>
      <w:color w:val="555555"/>
      <w:u w:val="none"/>
    </w:rPr>
  </w:style>
  <w:style w:type="character" w:styleId="44">
    <w:name w:val="Emphasis"/>
    <w:basedOn w:val="40"/>
    <w:qFormat/>
    <w:uiPriority w:val="0"/>
    <w:rPr>
      <w:rFonts w:cs="Times New Roman"/>
      <w:i/>
    </w:rPr>
  </w:style>
  <w:style w:type="character" w:styleId="45">
    <w:name w:val="HTML Definition"/>
    <w:basedOn w:val="40"/>
    <w:qFormat/>
    <w:uiPriority w:val="99"/>
    <w:rPr>
      <w:rFonts w:cs="Times New Roman"/>
    </w:rPr>
  </w:style>
  <w:style w:type="character" w:styleId="46">
    <w:name w:val="HTML Acronym"/>
    <w:basedOn w:val="40"/>
    <w:qFormat/>
    <w:uiPriority w:val="99"/>
    <w:rPr>
      <w:rFonts w:cs="Times New Roman"/>
    </w:rPr>
  </w:style>
  <w:style w:type="character" w:styleId="47">
    <w:name w:val="HTML Variable"/>
    <w:basedOn w:val="40"/>
    <w:qFormat/>
    <w:uiPriority w:val="99"/>
    <w:rPr>
      <w:rFonts w:cs="Times New Roman"/>
    </w:rPr>
  </w:style>
  <w:style w:type="character" w:styleId="48">
    <w:name w:val="Hyperlink"/>
    <w:basedOn w:val="40"/>
    <w:qFormat/>
    <w:uiPriority w:val="99"/>
    <w:rPr>
      <w:rFonts w:cs="Times New Roman"/>
      <w:color w:val="555555"/>
      <w:u w:val="none"/>
    </w:rPr>
  </w:style>
  <w:style w:type="character" w:styleId="49">
    <w:name w:val="HTML Code"/>
    <w:basedOn w:val="40"/>
    <w:qFormat/>
    <w:uiPriority w:val="99"/>
    <w:rPr>
      <w:rFonts w:ascii="monospace" w:hAnsi="monospace" w:cs="Times New Roman"/>
      <w:sz w:val="24"/>
    </w:rPr>
  </w:style>
  <w:style w:type="character" w:styleId="50">
    <w:name w:val="annotation reference"/>
    <w:qFormat/>
    <w:uiPriority w:val="0"/>
    <w:rPr>
      <w:sz w:val="21"/>
      <w:szCs w:val="21"/>
    </w:rPr>
  </w:style>
  <w:style w:type="character" w:styleId="51">
    <w:name w:val="HTML Cite"/>
    <w:basedOn w:val="40"/>
    <w:qFormat/>
    <w:uiPriority w:val="99"/>
    <w:rPr>
      <w:rFonts w:cs="Times New Roman"/>
    </w:rPr>
  </w:style>
  <w:style w:type="character" w:styleId="52">
    <w:name w:val="footnote reference"/>
    <w:semiHidden/>
    <w:qFormat/>
    <w:uiPriority w:val="0"/>
    <w:rPr>
      <w:vertAlign w:val="superscript"/>
    </w:rPr>
  </w:style>
  <w:style w:type="character" w:styleId="53">
    <w:name w:val="HTML Keyboard"/>
    <w:basedOn w:val="40"/>
    <w:qFormat/>
    <w:uiPriority w:val="99"/>
    <w:rPr>
      <w:rFonts w:ascii="monospace" w:hAnsi="monospace" w:cs="Times New Roman"/>
      <w:sz w:val="24"/>
    </w:rPr>
  </w:style>
  <w:style w:type="character" w:styleId="54">
    <w:name w:val="HTML Sample"/>
    <w:basedOn w:val="40"/>
    <w:qFormat/>
    <w:uiPriority w:val="99"/>
    <w:rPr>
      <w:rFonts w:ascii="monospace" w:hAnsi="monospace" w:cs="Times New Roman"/>
      <w:sz w:val="24"/>
    </w:rPr>
  </w:style>
  <w:style w:type="paragraph" w:customStyle="1" w:styleId="55">
    <w:name w:val="Default"/>
    <w:basedOn w:val="34"/>
    <w:next w:val="2"/>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56">
    <w:name w:val="方案正文"/>
    <w:basedOn w:val="12"/>
    <w:qFormat/>
    <w:uiPriority w:val="0"/>
    <w:pPr>
      <w:spacing w:after="0"/>
      <w:ind w:firstLine="560" w:firstLineChars="200"/>
      <w:jc w:val="left"/>
    </w:pPr>
    <w:rPr>
      <w:rFonts w:ascii="Arial" w:hAnsi="Arial" w:eastAsia="仿宋" w:cs="宋体"/>
      <w:sz w:val="28"/>
      <w:szCs w:val="21"/>
    </w:rPr>
  </w:style>
  <w:style w:type="character" w:customStyle="1" w:styleId="57">
    <w:name w:val="标题 1 字符"/>
    <w:basedOn w:val="40"/>
    <w:link w:val="2"/>
    <w:qFormat/>
    <w:uiPriority w:val="9"/>
    <w:rPr>
      <w:rFonts w:ascii="???" w:hAnsi="???" w:eastAsia="宋体" w:cs="Arial"/>
      <w:b/>
      <w:bCs/>
      <w:color w:val="020000"/>
      <w:kern w:val="36"/>
      <w:sz w:val="44"/>
      <w:szCs w:val="44"/>
    </w:rPr>
  </w:style>
  <w:style w:type="character" w:customStyle="1" w:styleId="58">
    <w:name w:val="标题 3 字符"/>
    <w:basedOn w:val="40"/>
    <w:link w:val="4"/>
    <w:qFormat/>
    <w:uiPriority w:val="0"/>
    <w:rPr>
      <w:rFonts w:ascii="??" w:hAnsi="??" w:eastAsia="宋体" w:cs="Arial"/>
      <w:b/>
      <w:bCs/>
      <w:color w:val="000000"/>
      <w:kern w:val="0"/>
      <w:sz w:val="32"/>
      <w:szCs w:val="32"/>
    </w:rPr>
  </w:style>
  <w:style w:type="character" w:customStyle="1" w:styleId="59">
    <w:name w:val="标题 2 字符"/>
    <w:basedOn w:val="40"/>
    <w:link w:val="3"/>
    <w:qFormat/>
    <w:uiPriority w:val="99"/>
    <w:rPr>
      <w:rFonts w:ascii="???" w:hAnsi="???" w:eastAsia="宋体" w:cs="Arial"/>
      <w:b/>
      <w:bCs/>
      <w:color w:val="020000"/>
      <w:kern w:val="0"/>
      <w:sz w:val="32"/>
      <w:szCs w:val="32"/>
    </w:rPr>
  </w:style>
  <w:style w:type="character" w:customStyle="1" w:styleId="60">
    <w:name w:val="页眉 字符"/>
    <w:basedOn w:val="40"/>
    <w:link w:val="22"/>
    <w:qFormat/>
    <w:uiPriority w:val="99"/>
    <w:rPr>
      <w:rFonts w:ascii="Calibri" w:hAnsi="Calibri" w:eastAsia="宋体" w:cs="Times New Roman"/>
      <w:sz w:val="18"/>
      <w:szCs w:val="18"/>
    </w:rPr>
  </w:style>
  <w:style w:type="character" w:customStyle="1" w:styleId="61">
    <w:name w:val="页脚 字符"/>
    <w:basedOn w:val="40"/>
    <w:link w:val="21"/>
    <w:qFormat/>
    <w:uiPriority w:val="99"/>
    <w:rPr>
      <w:rFonts w:ascii="Calibri" w:hAnsi="Calibri" w:eastAsia="宋体" w:cs="Times New Roman"/>
      <w:sz w:val="18"/>
      <w:szCs w:val="18"/>
    </w:rPr>
  </w:style>
  <w:style w:type="character" w:customStyle="1" w:styleId="62">
    <w:name w:val="正文文本缩进 字符"/>
    <w:basedOn w:val="40"/>
    <w:link w:val="13"/>
    <w:qFormat/>
    <w:uiPriority w:val="0"/>
    <w:rPr>
      <w:rFonts w:ascii="??" w:hAnsi="??" w:eastAsia="宋体" w:cs="Arial"/>
      <w:kern w:val="0"/>
      <w:sz w:val="24"/>
      <w:szCs w:val="24"/>
    </w:rPr>
  </w:style>
  <w:style w:type="paragraph" w:customStyle="1" w:styleId="63">
    <w:name w:val="列出段落1"/>
    <w:basedOn w:val="1"/>
    <w:qFormat/>
    <w:uiPriority w:val="34"/>
    <w:pPr>
      <w:ind w:firstLine="420" w:firstLineChars="200"/>
    </w:pPr>
    <w:rPr>
      <w:rFonts w:ascii="Calibri" w:hAnsi="Calibri" w:eastAsia="宋体" w:cs="Times New Roman"/>
    </w:rPr>
  </w:style>
  <w:style w:type="character" w:customStyle="1" w:styleId="64">
    <w:name w:val="标题 2 Char Char"/>
    <w:qFormat/>
    <w:uiPriority w:val="99"/>
    <w:rPr>
      <w:rFonts w:ascii="Arial" w:hAnsi="Arial" w:eastAsia="黑体"/>
      <w:b/>
      <w:kern w:val="2"/>
      <w:sz w:val="32"/>
      <w:lang w:val="en-US" w:eastAsia="zh-CN"/>
    </w:rPr>
  </w:style>
  <w:style w:type="character" w:customStyle="1" w:styleId="65">
    <w:name w:val="2charchar"/>
    <w:basedOn w:val="40"/>
    <w:qFormat/>
    <w:uiPriority w:val="99"/>
    <w:rPr>
      <w:rFonts w:cs="Times New Roman"/>
    </w:rPr>
  </w:style>
  <w:style w:type="paragraph" w:customStyle="1" w:styleId="66">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67">
    <w:name w:val="z-窗体顶端1"/>
    <w:basedOn w:val="1"/>
    <w:next w:val="1"/>
    <w:link w:val="68"/>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68">
    <w:name w:val="z-窗体顶端 Char"/>
    <w:basedOn w:val="40"/>
    <w:link w:val="67"/>
    <w:semiHidden/>
    <w:qFormat/>
    <w:uiPriority w:val="99"/>
    <w:rPr>
      <w:rFonts w:ascii="Arial" w:hAnsi="Arial" w:eastAsia="宋体" w:cs="Arial"/>
      <w:vanish/>
      <w:kern w:val="0"/>
      <w:sz w:val="16"/>
      <w:szCs w:val="16"/>
    </w:rPr>
  </w:style>
  <w:style w:type="paragraph" w:customStyle="1" w:styleId="69">
    <w:name w:val="z-窗体底端1"/>
    <w:basedOn w:val="1"/>
    <w:next w:val="1"/>
    <w:link w:val="70"/>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0">
    <w:name w:val="z-窗体底端 Char"/>
    <w:basedOn w:val="40"/>
    <w:link w:val="69"/>
    <w:semiHidden/>
    <w:qFormat/>
    <w:uiPriority w:val="99"/>
    <w:rPr>
      <w:rFonts w:ascii="Arial" w:hAnsi="Arial" w:eastAsia="宋体" w:cs="Arial"/>
      <w:vanish/>
      <w:kern w:val="0"/>
      <w:sz w:val="16"/>
      <w:szCs w:val="16"/>
    </w:rPr>
  </w:style>
  <w:style w:type="paragraph" w:customStyle="1" w:styleId="71">
    <w:name w:val="hu正文"/>
    <w:basedOn w:val="1"/>
    <w:link w:val="72"/>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2">
    <w:name w:val="hu正文 Char"/>
    <w:link w:val="71"/>
    <w:qFormat/>
    <w:locked/>
    <w:uiPriority w:val="99"/>
    <w:rPr>
      <w:rFonts w:ascii="Times New Roman" w:hAnsi="Times New Roman" w:eastAsia="宋体" w:cs="Times New Roman"/>
      <w:kern w:val="0"/>
      <w:sz w:val="24"/>
      <w:szCs w:val="20"/>
    </w:rPr>
  </w:style>
  <w:style w:type="paragraph" w:customStyle="1" w:styleId="73">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4">
    <w:name w:val="批注框文本 字符"/>
    <w:basedOn w:val="40"/>
    <w:link w:val="20"/>
    <w:qFormat/>
    <w:uiPriority w:val="99"/>
    <w:rPr>
      <w:rFonts w:ascii="Calibri" w:hAnsi="Calibri" w:eastAsia="宋体" w:cs="Times New Roman"/>
      <w:sz w:val="18"/>
      <w:szCs w:val="18"/>
    </w:rPr>
  </w:style>
  <w:style w:type="character" w:customStyle="1" w:styleId="75">
    <w:name w:val="ui-bz-bg-hover1"/>
    <w:basedOn w:val="40"/>
    <w:qFormat/>
    <w:uiPriority w:val="99"/>
    <w:rPr>
      <w:rFonts w:cs="Times New Roman"/>
    </w:rPr>
  </w:style>
  <w:style w:type="character" w:customStyle="1" w:styleId="76">
    <w:name w:val="批注框文本 Char1"/>
    <w:qFormat/>
    <w:uiPriority w:val="99"/>
    <w:rPr>
      <w:rFonts w:ascii="Times New Roman" w:hAnsi="Times New Roman" w:eastAsia="宋体"/>
      <w:sz w:val="18"/>
    </w:rPr>
  </w:style>
  <w:style w:type="character" w:customStyle="1" w:styleId="77">
    <w:name w:val="bds_nopic"/>
    <w:basedOn w:val="40"/>
    <w:qFormat/>
    <w:uiPriority w:val="99"/>
    <w:rPr>
      <w:rFonts w:cs="Times New Roman"/>
    </w:rPr>
  </w:style>
  <w:style w:type="character" w:customStyle="1" w:styleId="78">
    <w:name w:val="tip12"/>
    <w:qFormat/>
    <w:uiPriority w:val="99"/>
    <w:rPr>
      <w:vanish/>
      <w:color w:val="FF0000"/>
      <w:sz w:val="18"/>
    </w:rPr>
  </w:style>
  <w:style w:type="character" w:customStyle="1" w:styleId="79">
    <w:name w:val="Body Text Indent 3 Char"/>
    <w:qFormat/>
    <w:locked/>
    <w:uiPriority w:val="99"/>
    <w:rPr>
      <w:rFonts w:ascii="宋体" w:eastAsia="宋体"/>
    </w:rPr>
  </w:style>
  <w:style w:type="character" w:customStyle="1" w:styleId="80">
    <w:name w:val="HTML Markup"/>
    <w:qFormat/>
    <w:uiPriority w:val="99"/>
    <w:rPr>
      <w:vanish/>
      <w:color w:val="FF0000"/>
    </w:rPr>
  </w:style>
  <w:style w:type="character" w:customStyle="1" w:styleId="81">
    <w:name w:val="tip7"/>
    <w:qFormat/>
    <w:uiPriority w:val="99"/>
    <w:rPr>
      <w:vanish/>
      <w:color w:val="FF0000"/>
      <w:sz w:val="18"/>
    </w:rPr>
  </w:style>
  <w:style w:type="character" w:customStyle="1" w:styleId="82">
    <w:name w:val="f-star"/>
    <w:qFormat/>
    <w:uiPriority w:val="99"/>
    <w:rPr>
      <w:color w:val="999999"/>
      <w:sz w:val="21"/>
    </w:rPr>
  </w:style>
  <w:style w:type="character" w:customStyle="1" w:styleId="83">
    <w:name w:val="Document Map Char1"/>
    <w:qFormat/>
    <w:uiPriority w:val="99"/>
    <w:rPr>
      <w:rFonts w:ascii="Times New Roman" w:hAnsi="Times New Roman"/>
      <w:kern w:val="2"/>
      <w:sz w:val="2"/>
    </w:rPr>
  </w:style>
  <w:style w:type="character" w:customStyle="1" w:styleId="84">
    <w:name w:val="my-class2"/>
    <w:basedOn w:val="40"/>
    <w:qFormat/>
    <w:uiPriority w:val="99"/>
    <w:rPr>
      <w:rFonts w:cs="Times New Roman"/>
    </w:rPr>
  </w:style>
  <w:style w:type="character" w:customStyle="1" w:styleId="85">
    <w:name w:val="no52"/>
    <w:basedOn w:val="40"/>
    <w:qFormat/>
    <w:uiPriority w:val="99"/>
    <w:rPr>
      <w:rFonts w:cs="Times New Roman"/>
    </w:rPr>
  </w:style>
  <w:style w:type="character" w:customStyle="1" w:styleId="86">
    <w:name w:val="no4"/>
    <w:basedOn w:val="40"/>
    <w:qFormat/>
    <w:uiPriority w:val="99"/>
    <w:rPr>
      <w:rFonts w:cs="Times New Roman"/>
    </w:rPr>
  </w:style>
  <w:style w:type="character" w:customStyle="1" w:styleId="87">
    <w:name w:val="my-notice"/>
    <w:basedOn w:val="40"/>
    <w:qFormat/>
    <w:uiPriority w:val="99"/>
    <w:rPr>
      <w:rFonts w:cs="Times New Roman"/>
    </w:rPr>
  </w:style>
  <w:style w:type="character" w:customStyle="1" w:styleId="88">
    <w:name w:val="ico-jiang"/>
    <w:basedOn w:val="40"/>
    <w:qFormat/>
    <w:uiPriority w:val="99"/>
    <w:rPr>
      <w:rFonts w:cs="Times New Roman"/>
    </w:rPr>
  </w:style>
  <w:style w:type="character" w:customStyle="1" w:styleId="89">
    <w:name w:val="ico-jiang2"/>
    <w:basedOn w:val="40"/>
    <w:qFormat/>
    <w:uiPriority w:val="99"/>
    <w:rPr>
      <w:rFonts w:cs="Times New Roman"/>
    </w:rPr>
  </w:style>
  <w:style w:type="character" w:customStyle="1" w:styleId="90">
    <w:name w:val="bds_more1"/>
    <w:qFormat/>
    <w:uiPriority w:val="99"/>
    <w:rPr>
      <w:rFonts w:ascii="宋体" w:hAnsi="宋体" w:eastAsia="宋体"/>
    </w:rPr>
  </w:style>
  <w:style w:type="character" w:customStyle="1" w:styleId="91">
    <w:name w:val="Body Text Indent 2 Char"/>
    <w:qFormat/>
    <w:locked/>
    <w:uiPriority w:val="99"/>
    <w:rPr>
      <w:rFonts w:ascii="宋体" w:eastAsia="宋体"/>
      <w:sz w:val="24"/>
    </w:rPr>
  </w:style>
  <w:style w:type="character" w:customStyle="1" w:styleId="92">
    <w:name w:val="org_name"/>
    <w:basedOn w:val="40"/>
    <w:qFormat/>
    <w:uiPriority w:val="99"/>
    <w:rPr>
      <w:rFonts w:cs="Times New Roman"/>
    </w:rPr>
  </w:style>
  <w:style w:type="character" w:customStyle="1" w:styleId="93">
    <w:name w:val="org_name2"/>
    <w:basedOn w:val="40"/>
    <w:qFormat/>
    <w:uiPriority w:val="99"/>
    <w:rPr>
      <w:rFonts w:cs="Times New Roman"/>
    </w:rPr>
  </w:style>
  <w:style w:type="character" w:customStyle="1" w:styleId="94">
    <w:name w:val="tip10"/>
    <w:qFormat/>
    <w:uiPriority w:val="99"/>
    <w:rPr>
      <w:vanish/>
      <w:color w:val="FF0000"/>
      <w:sz w:val="18"/>
    </w:rPr>
  </w:style>
  <w:style w:type="character" w:customStyle="1" w:styleId="95">
    <w:name w:val="orange"/>
    <w:qFormat/>
    <w:uiPriority w:val="99"/>
    <w:rPr>
      <w:color w:val="3FB58F"/>
    </w:rPr>
  </w:style>
  <w:style w:type="character" w:customStyle="1" w:styleId="96">
    <w:name w:val="bds_more"/>
    <w:basedOn w:val="40"/>
    <w:qFormat/>
    <w:uiPriority w:val="99"/>
    <w:rPr>
      <w:rFonts w:cs="Times New Roman"/>
    </w:rPr>
  </w:style>
  <w:style w:type="character" w:customStyle="1" w:styleId="97">
    <w:name w:val="t-tag"/>
    <w:qFormat/>
    <w:uiPriority w:val="99"/>
    <w:rPr>
      <w:color w:val="FFFFFF"/>
      <w:sz w:val="18"/>
      <w:shd w:val="clear" w:color="auto" w:fill="FE8833"/>
    </w:rPr>
  </w:style>
  <w:style w:type="character" w:customStyle="1" w:styleId="98">
    <w:name w:val="top-icon"/>
    <w:basedOn w:val="40"/>
    <w:qFormat/>
    <w:uiPriority w:val="99"/>
    <w:rPr>
      <w:rFonts w:cs="Times New Roman"/>
    </w:rPr>
  </w:style>
  <w:style w:type="character" w:customStyle="1" w:styleId="99">
    <w:name w:val="Body Text Char"/>
    <w:qFormat/>
    <w:locked/>
    <w:uiPriority w:val="99"/>
    <w:rPr>
      <w:sz w:val="24"/>
    </w:rPr>
  </w:style>
  <w:style w:type="character" w:customStyle="1" w:styleId="100">
    <w:name w:val="no72"/>
    <w:basedOn w:val="40"/>
    <w:qFormat/>
    <w:uiPriority w:val="99"/>
    <w:rPr>
      <w:rFonts w:cs="Times New Roman"/>
    </w:rPr>
  </w:style>
  <w:style w:type="character" w:customStyle="1" w:styleId="101">
    <w:name w:val="bds_nopic2"/>
    <w:basedOn w:val="40"/>
    <w:qFormat/>
    <w:uiPriority w:val="99"/>
    <w:rPr>
      <w:rFonts w:cs="Times New Roman"/>
    </w:rPr>
  </w:style>
  <w:style w:type="character" w:customStyle="1" w:styleId="102">
    <w:name w:val="Document Map Char"/>
    <w:qFormat/>
    <w:uiPriority w:val="99"/>
    <w:rPr>
      <w:rFonts w:ascii="宋体"/>
      <w:sz w:val="18"/>
    </w:rPr>
  </w:style>
  <w:style w:type="character" w:customStyle="1" w:styleId="103">
    <w:name w:val="no6"/>
    <w:basedOn w:val="40"/>
    <w:qFormat/>
    <w:uiPriority w:val="99"/>
    <w:rPr>
      <w:rFonts w:cs="Times New Roman"/>
    </w:rPr>
  </w:style>
  <w:style w:type="character" w:customStyle="1" w:styleId="104">
    <w:name w:val="tip"/>
    <w:qFormat/>
    <w:uiPriority w:val="99"/>
    <w:rPr>
      <w:vanish/>
      <w:color w:val="FF0000"/>
      <w:sz w:val="18"/>
    </w:rPr>
  </w:style>
  <w:style w:type="character" w:customStyle="1" w:styleId="105">
    <w:name w:val="apple-converted-space"/>
    <w:basedOn w:val="40"/>
    <w:qFormat/>
    <w:uiPriority w:val="99"/>
    <w:rPr>
      <w:rFonts w:cs="Times New Roman"/>
    </w:rPr>
  </w:style>
  <w:style w:type="character" w:customStyle="1" w:styleId="106">
    <w:name w:val="bds_more2"/>
    <w:basedOn w:val="40"/>
    <w:qFormat/>
    <w:uiPriority w:val="99"/>
    <w:rPr>
      <w:rFonts w:cs="Times New Roman"/>
    </w:rPr>
  </w:style>
  <w:style w:type="character" w:customStyle="1" w:styleId="107">
    <w:name w:val="my-class"/>
    <w:basedOn w:val="40"/>
    <w:qFormat/>
    <w:uiPriority w:val="99"/>
    <w:rPr>
      <w:rFonts w:cs="Times New Roman"/>
    </w:rPr>
  </w:style>
  <w:style w:type="character" w:customStyle="1" w:styleId="108">
    <w:name w:val="ui-bz-bg-hover"/>
    <w:qFormat/>
    <w:uiPriority w:val="99"/>
    <w:rPr>
      <w:shd w:val="clear" w:color="auto" w:fill="000000"/>
    </w:rPr>
  </w:style>
  <w:style w:type="character" w:customStyle="1" w:styleId="109">
    <w:name w:val="no7"/>
    <w:basedOn w:val="40"/>
    <w:qFormat/>
    <w:uiPriority w:val="99"/>
    <w:rPr>
      <w:rFonts w:cs="Times New Roman"/>
    </w:rPr>
  </w:style>
  <w:style w:type="character" w:customStyle="1" w:styleId="110">
    <w:name w:val="正文缩进 字符"/>
    <w:link w:val="8"/>
    <w:qFormat/>
    <w:locked/>
    <w:uiPriority w:val="99"/>
    <w:rPr>
      <w:rFonts w:ascii="Times New Roman" w:hAnsi="Times New Roman" w:eastAsia="宋体" w:cs="Times New Roman"/>
      <w:kern w:val="0"/>
      <w:sz w:val="24"/>
      <w:szCs w:val="20"/>
    </w:rPr>
  </w:style>
  <w:style w:type="character" w:customStyle="1" w:styleId="111">
    <w:name w:val="ico-jiang1"/>
    <w:basedOn w:val="40"/>
    <w:qFormat/>
    <w:uiPriority w:val="99"/>
    <w:rPr>
      <w:rFonts w:cs="Times New Roman"/>
    </w:rPr>
  </w:style>
  <w:style w:type="character" w:customStyle="1" w:styleId="112">
    <w:name w:val="no62"/>
    <w:basedOn w:val="40"/>
    <w:qFormat/>
    <w:uiPriority w:val="99"/>
    <w:rPr>
      <w:rFonts w:cs="Times New Roman"/>
    </w:rPr>
  </w:style>
  <w:style w:type="character" w:customStyle="1" w:styleId="113">
    <w:name w:val="orange5"/>
    <w:qFormat/>
    <w:uiPriority w:val="99"/>
    <w:rPr>
      <w:color w:val="3FB58F"/>
    </w:rPr>
  </w:style>
  <w:style w:type="character" w:customStyle="1" w:styleId="114">
    <w:name w:val="bds_more4"/>
    <w:basedOn w:val="40"/>
    <w:qFormat/>
    <w:uiPriority w:val="99"/>
    <w:rPr>
      <w:rFonts w:cs="Times New Roman"/>
    </w:rPr>
  </w:style>
  <w:style w:type="character" w:customStyle="1" w:styleId="115">
    <w:name w:val="no5"/>
    <w:basedOn w:val="40"/>
    <w:qFormat/>
    <w:uiPriority w:val="99"/>
    <w:rPr>
      <w:rFonts w:cs="Times New Roman"/>
    </w:rPr>
  </w:style>
  <w:style w:type="character" w:customStyle="1" w:styleId="116">
    <w:name w:val="bds_more3"/>
    <w:basedOn w:val="40"/>
    <w:qFormat/>
    <w:uiPriority w:val="99"/>
    <w:rPr>
      <w:rFonts w:cs="Times New Roman"/>
    </w:rPr>
  </w:style>
  <w:style w:type="character" w:customStyle="1" w:styleId="117">
    <w:name w:val="no42"/>
    <w:basedOn w:val="40"/>
    <w:qFormat/>
    <w:uiPriority w:val="99"/>
    <w:rPr>
      <w:rFonts w:cs="Times New Roman"/>
    </w:rPr>
  </w:style>
  <w:style w:type="character" w:customStyle="1" w:styleId="118">
    <w:name w:val="bds_nopic1"/>
    <w:basedOn w:val="40"/>
    <w:qFormat/>
    <w:uiPriority w:val="99"/>
    <w:rPr>
      <w:rFonts w:cs="Times New Roman"/>
    </w:rPr>
  </w:style>
  <w:style w:type="character" w:customStyle="1" w:styleId="119">
    <w:name w:val="my-notice1"/>
    <w:basedOn w:val="40"/>
    <w:qFormat/>
    <w:uiPriority w:val="99"/>
    <w:rPr>
      <w:rFonts w:cs="Times New Roman"/>
    </w:rPr>
  </w:style>
  <w:style w:type="character" w:customStyle="1" w:styleId="120">
    <w:name w:val="orange6"/>
    <w:qFormat/>
    <w:uiPriority w:val="99"/>
    <w:rPr>
      <w:color w:val="3FB58F"/>
    </w:rPr>
  </w:style>
  <w:style w:type="character" w:customStyle="1" w:styleId="121">
    <w:name w:val="Document Map Char2"/>
    <w:qFormat/>
    <w:locked/>
    <w:uiPriority w:val="99"/>
    <w:rPr>
      <w:rFonts w:ascii="宋体"/>
      <w:sz w:val="18"/>
    </w:rPr>
  </w:style>
  <w:style w:type="character" w:customStyle="1" w:styleId="122">
    <w:name w:val="ico-jiang3"/>
    <w:basedOn w:val="40"/>
    <w:qFormat/>
    <w:uiPriority w:val="99"/>
    <w:rPr>
      <w:rFonts w:cs="Times New Roman"/>
    </w:rPr>
  </w:style>
  <w:style w:type="character" w:customStyle="1" w:styleId="123">
    <w:name w:val="tip13"/>
    <w:qFormat/>
    <w:uiPriority w:val="99"/>
    <w:rPr>
      <w:vanish/>
      <w:color w:val="FF0000"/>
      <w:sz w:val="18"/>
    </w:rPr>
  </w:style>
  <w:style w:type="character" w:customStyle="1" w:styleId="124">
    <w:name w:val="正文文本缩进 2 字符"/>
    <w:basedOn w:val="40"/>
    <w:link w:val="19"/>
    <w:qFormat/>
    <w:uiPriority w:val="99"/>
    <w:rPr>
      <w:rFonts w:ascii="宋体" w:hAnsi="Calibri" w:eastAsia="宋体" w:cs="Times New Roman"/>
      <w:kern w:val="0"/>
      <w:sz w:val="24"/>
      <w:szCs w:val="20"/>
    </w:rPr>
  </w:style>
  <w:style w:type="character" w:customStyle="1" w:styleId="125">
    <w:name w:val="Body Text Indent 2 Char1"/>
    <w:basedOn w:val="40"/>
    <w:semiHidden/>
    <w:qFormat/>
    <w:locked/>
    <w:uiPriority w:val="99"/>
    <w:rPr>
      <w:rFonts w:cs="Times New Roman"/>
    </w:rPr>
  </w:style>
  <w:style w:type="character" w:customStyle="1" w:styleId="126">
    <w:name w:val="正文文本缩进 3 字符"/>
    <w:basedOn w:val="40"/>
    <w:link w:val="27"/>
    <w:qFormat/>
    <w:uiPriority w:val="99"/>
    <w:rPr>
      <w:rFonts w:ascii="宋体" w:hAnsi="Calibri" w:eastAsia="宋体" w:cs="Times New Roman"/>
      <w:kern w:val="0"/>
      <w:sz w:val="20"/>
      <w:szCs w:val="20"/>
    </w:rPr>
  </w:style>
  <w:style w:type="character" w:customStyle="1" w:styleId="127">
    <w:name w:val="Body Text Indent 3 Char1"/>
    <w:basedOn w:val="40"/>
    <w:semiHidden/>
    <w:qFormat/>
    <w:locked/>
    <w:uiPriority w:val="99"/>
    <w:rPr>
      <w:rFonts w:cs="Times New Roman"/>
      <w:sz w:val="16"/>
      <w:szCs w:val="16"/>
    </w:rPr>
  </w:style>
  <w:style w:type="character" w:customStyle="1" w:styleId="128">
    <w:name w:val="文档结构图 字符"/>
    <w:basedOn w:val="40"/>
    <w:link w:val="9"/>
    <w:qFormat/>
    <w:uiPriority w:val="99"/>
    <w:rPr>
      <w:rFonts w:ascii="宋体" w:hAnsi="Calibri" w:eastAsia="宋体" w:cs="Times New Roman"/>
      <w:kern w:val="0"/>
      <w:sz w:val="18"/>
      <w:szCs w:val="20"/>
    </w:rPr>
  </w:style>
  <w:style w:type="character" w:customStyle="1" w:styleId="129">
    <w:name w:val="Document Map Char3"/>
    <w:basedOn w:val="40"/>
    <w:semiHidden/>
    <w:qFormat/>
    <w:locked/>
    <w:uiPriority w:val="99"/>
    <w:rPr>
      <w:rFonts w:ascii="Times New Roman" w:hAnsi="Times New Roman" w:cs="Times New Roman"/>
      <w:sz w:val="2"/>
    </w:rPr>
  </w:style>
  <w:style w:type="paragraph" w:customStyle="1" w:styleId="130">
    <w:name w:val="_Style 1"/>
    <w:basedOn w:val="1"/>
    <w:qFormat/>
    <w:uiPriority w:val="99"/>
    <w:pPr>
      <w:ind w:firstLine="420" w:firstLineChars="200"/>
    </w:pPr>
    <w:rPr>
      <w:rFonts w:ascii="Times New Roman" w:hAnsi="Times New Roman" w:eastAsia="宋体" w:cs="Times New Roman"/>
      <w:szCs w:val="24"/>
    </w:rPr>
  </w:style>
  <w:style w:type="character" w:customStyle="1" w:styleId="131">
    <w:name w:val="正文文本 字符"/>
    <w:basedOn w:val="40"/>
    <w:link w:val="12"/>
    <w:qFormat/>
    <w:uiPriority w:val="99"/>
    <w:rPr>
      <w:rFonts w:ascii="Calibri" w:hAnsi="Calibri" w:eastAsia="宋体" w:cs="Times New Roman"/>
      <w:kern w:val="0"/>
      <w:sz w:val="24"/>
      <w:szCs w:val="20"/>
    </w:rPr>
  </w:style>
  <w:style w:type="character" w:customStyle="1" w:styleId="132">
    <w:name w:val="Body Text Char1"/>
    <w:basedOn w:val="40"/>
    <w:semiHidden/>
    <w:qFormat/>
    <w:locked/>
    <w:uiPriority w:val="99"/>
    <w:rPr>
      <w:rFonts w:cs="Times New Roman"/>
    </w:rPr>
  </w:style>
  <w:style w:type="paragraph" w:customStyle="1" w:styleId="133">
    <w:name w:val="_Style 21"/>
    <w:basedOn w:val="1"/>
    <w:qFormat/>
    <w:uiPriority w:val="99"/>
    <w:rPr>
      <w:rFonts w:ascii="Times New Roman" w:hAnsi="Times New Roman" w:eastAsia="宋体" w:cs="Times New Roman"/>
      <w:szCs w:val="20"/>
    </w:rPr>
  </w:style>
  <w:style w:type="paragraph" w:customStyle="1" w:styleId="134">
    <w:name w:val="p0"/>
    <w:basedOn w:val="1"/>
    <w:qFormat/>
    <w:uiPriority w:val="99"/>
    <w:pPr>
      <w:widowControl/>
    </w:pPr>
    <w:rPr>
      <w:rFonts w:ascii="Times New Roman" w:hAnsi="Times New Roman" w:eastAsia="宋体" w:cs="Times New Roman"/>
      <w:kern w:val="0"/>
      <w:szCs w:val="21"/>
    </w:rPr>
  </w:style>
  <w:style w:type="paragraph" w:customStyle="1" w:styleId="135">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6">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7">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38">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39">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0">
    <w:name w:val="_Style 2"/>
    <w:basedOn w:val="1"/>
    <w:qFormat/>
    <w:uiPriority w:val="99"/>
    <w:pPr>
      <w:ind w:firstLine="420" w:firstLineChars="200"/>
    </w:pPr>
    <w:rPr>
      <w:rFonts w:ascii="Calibri" w:hAnsi="Calibri" w:eastAsia="宋体" w:cs="Times New Roman"/>
    </w:rPr>
  </w:style>
  <w:style w:type="paragraph" w:customStyle="1" w:styleId="141">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2">
    <w:name w:val="_Style 11"/>
    <w:basedOn w:val="1"/>
    <w:qFormat/>
    <w:uiPriority w:val="99"/>
    <w:rPr>
      <w:rFonts w:ascii="Times New Roman" w:hAnsi="Times New Roman" w:eastAsia="宋体" w:cs="Times New Roman"/>
      <w:szCs w:val="24"/>
    </w:rPr>
  </w:style>
  <w:style w:type="paragraph" w:customStyle="1" w:styleId="143">
    <w:name w:val="Char"/>
    <w:basedOn w:val="1"/>
    <w:qFormat/>
    <w:uiPriority w:val="99"/>
    <w:rPr>
      <w:rFonts w:ascii="Times New Roman" w:hAnsi="Times New Roman" w:eastAsia="宋体" w:cs="Times New Roman"/>
      <w:szCs w:val="21"/>
    </w:rPr>
  </w:style>
  <w:style w:type="paragraph" w:customStyle="1" w:styleId="144">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5">
    <w:name w:val="列出段落2"/>
    <w:basedOn w:val="1"/>
    <w:qFormat/>
    <w:uiPriority w:val="99"/>
    <w:pPr>
      <w:ind w:firstLine="420" w:firstLineChars="200"/>
    </w:pPr>
    <w:rPr>
      <w:rFonts w:ascii="Times New Roman" w:hAnsi="Times New Roman" w:eastAsia="宋体" w:cs="Times New Roman"/>
      <w:szCs w:val="24"/>
    </w:rPr>
  </w:style>
  <w:style w:type="paragraph" w:customStyle="1" w:styleId="146">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7">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48">
    <w:name w:val="font41"/>
    <w:qFormat/>
    <w:uiPriority w:val="99"/>
    <w:rPr>
      <w:rFonts w:hint="eastAsia" w:ascii="宋体" w:hAnsi="宋体" w:eastAsia="宋体" w:cs="宋体"/>
      <w:b/>
      <w:color w:val="000000"/>
      <w:sz w:val="22"/>
      <w:szCs w:val="22"/>
      <w:u w:val="none"/>
    </w:rPr>
  </w:style>
  <w:style w:type="character" w:customStyle="1" w:styleId="149">
    <w:name w:val="font81"/>
    <w:qFormat/>
    <w:uiPriority w:val="99"/>
    <w:rPr>
      <w:rFonts w:hint="eastAsia" w:ascii="宋体" w:hAnsi="宋体" w:eastAsia="宋体" w:cs="宋体"/>
      <w:b/>
      <w:color w:val="000000"/>
      <w:sz w:val="22"/>
      <w:szCs w:val="22"/>
      <w:u w:val="none"/>
    </w:rPr>
  </w:style>
  <w:style w:type="character" w:customStyle="1" w:styleId="150">
    <w:name w:val="font21"/>
    <w:qFormat/>
    <w:uiPriority w:val="0"/>
    <w:rPr>
      <w:rFonts w:hint="eastAsia" w:ascii="宋体" w:hAnsi="宋体" w:eastAsia="宋体" w:cs="宋体"/>
      <w:color w:val="000000"/>
      <w:sz w:val="18"/>
      <w:szCs w:val="18"/>
      <w:u w:val="none"/>
    </w:rPr>
  </w:style>
  <w:style w:type="character" w:customStyle="1" w:styleId="151">
    <w:name w:val="日期 字符"/>
    <w:link w:val="18"/>
    <w:qFormat/>
    <w:uiPriority w:val="0"/>
    <w:rPr>
      <w:szCs w:val="21"/>
    </w:rPr>
  </w:style>
  <w:style w:type="character" w:customStyle="1" w:styleId="152">
    <w:name w:val="font01"/>
    <w:qFormat/>
    <w:uiPriority w:val="99"/>
    <w:rPr>
      <w:rFonts w:hint="eastAsia" w:ascii="宋体" w:hAnsi="宋体" w:eastAsia="宋体" w:cs="宋体"/>
      <w:color w:val="000000"/>
      <w:sz w:val="22"/>
      <w:szCs w:val="22"/>
      <w:u w:val="none"/>
    </w:rPr>
  </w:style>
  <w:style w:type="character" w:customStyle="1" w:styleId="153">
    <w:name w:val="Char Char1"/>
    <w:qFormat/>
    <w:uiPriority w:val="0"/>
    <w:rPr>
      <w:rFonts w:eastAsia="宋体"/>
      <w:kern w:val="2"/>
      <w:sz w:val="18"/>
      <w:szCs w:val="18"/>
      <w:lang w:val="en-US" w:eastAsia="zh-CN" w:bidi="ar-SA"/>
    </w:rPr>
  </w:style>
  <w:style w:type="character" w:customStyle="1" w:styleId="154">
    <w:name w:val="标题 字符"/>
    <w:link w:val="34"/>
    <w:qFormat/>
    <w:uiPriority w:val="0"/>
    <w:rPr>
      <w:rFonts w:ascii="Cambria" w:hAnsi="Cambria" w:cs="Times New Roman"/>
      <w:b/>
      <w:bCs/>
      <w:sz w:val="32"/>
      <w:szCs w:val="32"/>
    </w:rPr>
  </w:style>
  <w:style w:type="character" w:customStyle="1" w:styleId="155">
    <w:name w:val="hei141"/>
    <w:qFormat/>
    <w:uiPriority w:val="0"/>
    <w:rPr>
      <w:rFonts w:hint="eastAsia" w:ascii="宋体" w:hAnsi="宋体" w:eastAsia="宋体"/>
      <w:color w:val="000000"/>
      <w:sz w:val="19"/>
      <w:szCs w:val="19"/>
      <w:u w:val="none"/>
    </w:rPr>
  </w:style>
  <w:style w:type="character" w:customStyle="1" w:styleId="156">
    <w:name w:val="批注文字 字符"/>
    <w:link w:val="11"/>
    <w:qFormat/>
    <w:uiPriority w:val="0"/>
  </w:style>
  <w:style w:type="character" w:customStyle="1" w:styleId="157">
    <w:name w:val="apple-style-span"/>
    <w:basedOn w:val="40"/>
    <w:qFormat/>
    <w:uiPriority w:val="0"/>
  </w:style>
  <w:style w:type="character" w:customStyle="1" w:styleId="158">
    <w:name w:val="param-value"/>
    <w:qFormat/>
    <w:uiPriority w:val="99"/>
    <w:rPr>
      <w:rFonts w:cs="Times New Roman"/>
    </w:rPr>
  </w:style>
  <w:style w:type="character" w:customStyle="1" w:styleId="159">
    <w:name w:val="font61"/>
    <w:qFormat/>
    <w:uiPriority w:val="0"/>
    <w:rPr>
      <w:rFonts w:hint="eastAsia" w:ascii="宋体" w:hAnsi="宋体" w:eastAsia="宋体" w:cs="宋体"/>
      <w:color w:val="000000"/>
      <w:sz w:val="22"/>
      <w:szCs w:val="22"/>
      <w:u w:val="none"/>
    </w:rPr>
  </w:style>
  <w:style w:type="character" w:customStyle="1" w:styleId="160">
    <w:name w:val="font11"/>
    <w:basedOn w:val="40"/>
    <w:qFormat/>
    <w:uiPriority w:val="0"/>
    <w:rPr>
      <w:rFonts w:hint="eastAsia" w:ascii="宋体" w:hAnsi="宋体" w:eastAsia="宋体" w:cs="宋体"/>
      <w:color w:val="FF0000"/>
      <w:sz w:val="22"/>
      <w:szCs w:val="22"/>
      <w:u w:val="none"/>
    </w:rPr>
  </w:style>
  <w:style w:type="character" w:customStyle="1" w:styleId="161">
    <w:name w:val="批注主题 字符"/>
    <w:link w:val="35"/>
    <w:qFormat/>
    <w:uiPriority w:val="0"/>
    <w:rPr>
      <w:b/>
      <w:bCs/>
    </w:rPr>
  </w:style>
  <w:style w:type="character" w:customStyle="1" w:styleId="162">
    <w:name w:val="批注文字 Char1"/>
    <w:basedOn w:val="40"/>
    <w:semiHidden/>
    <w:qFormat/>
    <w:uiPriority w:val="99"/>
  </w:style>
  <w:style w:type="paragraph" w:customStyle="1" w:styleId="163">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4">
    <w:name w:val="批注主题 Char1"/>
    <w:basedOn w:val="162"/>
    <w:semiHidden/>
    <w:qFormat/>
    <w:uiPriority w:val="99"/>
    <w:rPr>
      <w:b/>
      <w:bCs/>
    </w:rPr>
  </w:style>
  <w:style w:type="paragraph" w:customStyle="1" w:styleId="165">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6">
    <w:name w:val="日期 Char1"/>
    <w:basedOn w:val="40"/>
    <w:semiHidden/>
    <w:qFormat/>
    <w:uiPriority w:val="99"/>
  </w:style>
  <w:style w:type="paragraph" w:customStyle="1" w:styleId="167">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8">
    <w:name w:val="脚注文本 字符"/>
    <w:basedOn w:val="40"/>
    <w:link w:val="25"/>
    <w:semiHidden/>
    <w:qFormat/>
    <w:uiPriority w:val="0"/>
    <w:rPr>
      <w:rFonts w:ascii="Times New Roman" w:hAnsi="Times New Roman" w:eastAsia="宋体" w:cs="Times New Roman"/>
      <w:sz w:val="18"/>
      <w:szCs w:val="18"/>
    </w:rPr>
  </w:style>
  <w:style w:type="paragraph" w:customStyle="1" w:styleId="169">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0">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1">
    <w:name w:val="标题 Char1"/>
    <w:basedOn w:val="40"/>
    <w:qFormat/>
    <w:uiPriority w:val="10"/>
    <w:rPr>
      <w:rFonts w:eastAsia="宋体" w:asciiTheme="majorHAnsi" w:hAnsiTheme="majorHAnsi" w:cstheme="majorBidi"/>
      <w:b/>
      <w:bCs/>
      <w:sz w:val="32"/>
      <w:szCs w:val="32"/>
    </w:rPr>
  </w:style>
  <w:style w:type="paragraph" w:customStyle="1" w:styleId="172">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3">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4">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5">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6">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2">
    <w:name w:val="列出段落3"/>
    <w:basedOn w:val="1"/>
    <w:qFormat/>
    <w:uiPriority w:val="0"/>
    <w:pPr>
      <w:ind w:firstLine="420" w:firstLineChars="200"/>
    </w:pPr>
    <w:rPr>
      <w:rFonts w:ascii="Times New Roman" w:hAnsi="Times New Roman" w:eastAsia="宋体" w:cs="Times New Roman"/>
      <w:szCs w:val="24"/>
    </w:rPr>
  </w:style>
  <w:style w:type="character" w:customStyle="1" w:styleId="183">
    <w:name w:val="Char Char12"/>
    <w:qFormat/>
    <w:uiPriority w:val="0"/>
    <w:rPr>
      <w:rFonts w:eastAsia="宋体"/>
      <w:kern w:val="2"/>
      <w:sz w:val="18"/>
      <w:szCs w:val="18"/>
      <w:lang w:val="en-US" w:eastAsia="zh-CN" w:bidi="ar-SA"/>
    </w:rPr>
  </w:style>
  <w:style w:type="paragraph" w:customStyle="1" w:styleId="184">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列出段落4"/>
    <w:basedOn w:val="1"/>
    <w:qFormat/>
    <w:uiPriority w:val="0"/>
    <w:pPr>
      <w:ind w:firstLine="420" w:firstLineChars="200"/>
    </w:pPr>
    <w:rPr>
      <w:rFonts w:ascii="Times New Roman" w:hAnsi="Times New Roman" w:eastAsia="宋体" w:cs="Times New Roman"/>
      <w:szCs w:val="24"/>
    </w:rPr>
  </w:style>
  <w:style w:type="character" w:customStyle="1" w:styleId="187">
    <w:name w:val="Char Char11"/>
    <w:qFormat/>
    <w:uiPriority w:val="0"/>
    <w:rPr>
      <w:rFonts w:eastAsia="宋体"/>
      <w:kern w:val="2"/>
      <w:sz w:val="18"/>
      <w:szCs w:val="18"/>
      <w:lang w:val="en-US" w:eastAsia="zh-CN" w:bidi="ar-SA"/>
    </w:rPr>
  </w:style>
  <w:style w:type="paragraph" w:customStyle="1" w:styleId="188">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列出段落5"/>
    <w:basedOn w:val="1"/>
    <w:qFormat/>
    <w:uiPriority w:val="0"/>
    <w:pPr>
      <w:ind w:firstLine="420" w:firstLineChars="200"/>
    </w:pPr>
    <w:rPr>
      <w:rFonts w:ascii="Times New Roman" w:hAnsi="Times New Roman" w:eastAsia="宋体" w:cs="Times New Roman"/>
      <w:szCs w:val="24"/>
    </w:rPr>
  </w:style>
  <w:style w:type="character" w:customStyle="1" w:styleId="191">
    <w:name w:val="纯文本 字符"/>
    <w:link w:val="16"/>
    <w:qFormat/>
    <w:uiPriority w:val="0"/>
    <w:rPr>
      <w:rFonts w:ascii="宋体" w:hAnsi="Courier New" w:eastAsia="宋体"/>
      <w:szCs w:val="21"/>
    </w:rPr>
  </w:style>
  <w:style w:type="character" w:customStyle="1" w:styleId="192">
    <w:name w:val="纯文本 Char1"/>
    <w:basedOn w:val="40"/>
    <w:semiHidden/>
    <w:qFormat/>
    <w:uiPriority w:val="99"/>
    <w:rPr>
      <w:rFonts w:ascii="宋体" w:hAnsi="Courier New" w:eastAsia="宋体" w:cs="Courier New"/>
      <w:szCs w:val="21"/>
    </w:rPr>
  </w:style>
  <w:style w:type="paragraph" w:customStyle="1" w:styleId="19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5">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196">
    <w:name w:val="正文缩进2格"/>
    <w:basedOn w:val="1"/>
    <w:link w:val="197"/>
    <w:qFormat/>
    <w:uiPriority w:val="0"/>
    <w:pPr>
      <w:spacing w:line="600" w:lineRule="exact"/>
      <w:ind w:firstLine="639" w:firstLineChars="206"/>
    </w:pPr>
    <w:rPr>
      <w:rFonts w:ascii="仿宋_GB2312" w:hAnsi="宋体" w:eastAsia="仿宋_GB2312" w:cs="Times New Roman"/>
      <w:sz w:val="31"/>
      <w:szCs w:val="28"/>
    </w:rPr>
  </w:style>
  <w:style w:type="character" w:customStyle="1" w:styleId="197">
    <w:name w:val="正文缩进2格 Char"/>
    <w:link w:val="196"/>
    <w:qFormat/>
    <w:uiPriority w:val="0"/>
    <w:rPr>
      <w:rFonts w:ascii="仿宋_GB2312" w:hAnsi="宋体" w:eastAsia="仿宋_GB2312" w:cs="Times New Roman"/>
      <w:sz w:val="31"/>
      <w:szCs w:val="28"/>
    </w:rPr>
  </w:style>
  <w:style w:type="paragraph" w:customStyle="1" w:styleId="198">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199">
    <w:name w:val="List Paragraph"/>
    <w:basedOn w:val="1"/>
    <w:qFormat/>
    <w:uiPriority w:val="34"/>
    <w:pPr>
      <w:ind w:firstLine="420" w:firstLineChars="200"/>
    </w:pPr>
  </w:style>
  <w:style w:type="paragraph" w:customStyle="1" w:styleId="200">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1">
    <w:name w:val="正文文本首行缩进 字符"/>
    <w:basedOn w:val="131"/>
    <w:link w:val="36"/>
    <w:semiHidden/>
    <w:qFormat/>
    <w:uiPriority w:val="99"/>
    <w:rPr>
      <w:rFonts w:asciiTheme="minorHAnsi" w:hAnsiTheme="minorHAnsi" w:eastAsiaTheme="minorEastAsia" w:cstheme="minorBidi"/>
      <w:kern w:val="2"/>
      <w:sz w:val="21"/>
      <w:szCs w:val="22"/>
    </w:rPr>
  </w:style>
  <w:style w:type="paragraph" w:customStyle="1" w:styleId="202">
    <w:name w:val="Table Paragraph"/>
    <w:basedOn w:val="1"/>
    <w:qFormat/>
    <w:uiPriority w:val="1"/>
    <w:pPr>
      <w:autoSpaceDE w:val="0"/>
      <w:autoSpaceDN w:val="0"/>
      <w:jc w:val="left"/>
    </w:pPr>
    <w:rPr>
      <w:rFonts w:ascii="宋体" w:hAnsi="宋体" w:eastAsia="宋体" w:cs="宋体"/>
      <w:kern w:val="0"/>
      <w:sz w:val="22"/>
    </w:rPr>
  </w:style>
  <w:style w:type="paragraph" w:customStyle="1" w:styleId="203">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4">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5">
    <w:name w:val="font31"/>
    <w:basedOn w:val="40"/>
    <w:qFormat/>
    <w:uiPriority w:val="0"/>
    <w:rPr>
      <w:rFonts w:ascii="Calibri" w:hAnsi="Calibri" w:cs="Calibri"/>
      <w:color w:val="000000"/>
      <w:sz w:val="18"/>
      <w:szCs w:val="18"/>
      <w:u w:val="none"/>
    </w:rPr>
  </w:style>
  <w:style w:type="paragraph" w:customStyle="1" w:styleId="20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207">
    <w:name w:val="Table Normal"/>
    <w:unhideWhenUsed/>
    <w:qFormat/>
    <w:uiPriority w:val="0"/>
    <w:tblPr>
      <w:tblCellMar>
        <w:top w:w="0" w:type="dxa"/>
        <w:left w:w="0" w:type="dxa"/>
        <w:bottom w:w="0" w:type="dxa"/>
        <w:right w:w="0" w:type="dxa"/>
      </w:tblCellMar>
    </w:tblPr>
  </w:style>
  <w:style w:type="paragraph" w:customStyle="1" w:styleId="208">
    <w:name w:val="Normal Indent1"/>
    <w:next w:val="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customStyle="1" w:styleId="209">
    <w:name w:val="字母编号列项"/>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10">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1">
    <w:name w:val="字元 字元"/>
    <w:basedOn w:val="1"/>
    <w:qFormat/>
    <w:uiPriority w:val="0"/>
    <w:rPr>
      <w:rFonts w:ascii="Tahoma" w:hAnsi="Tahoma"/>
      <w:sz w:val="24"/>
      <w:szCs w:val="20"/>
    </w:rPr>
  </w:style>
  <w:style w:type="paragraph" w:customStyle="1" w:styleId="212">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3">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4">
    <w:name w:val="Table Text"/>
    <w:basedOn w:val="1"/>
    <w:semiHidden/>
    <w:qFormat/>
    <w:uiPriority w:val="0"/>
    <w:rPr>
      <w:rFonts w:ascii="宋体" w:hAnsi="宋体" w:eastAsia="宋体" w:cs="宋体"/>
      <w:sz w:val="24"/>
      <w:szCs w:val="24"/>
      <w:lang w:val="en-US" w:eastAsia="en-US" w:bidi="ar-SA"/>
    </w:rPr>
  </w:style>
  <w:style w:type="paragraph" w:customStyle="1" w:styleId="215">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216">
    <w:name w:val="正文缩进2"/>
    <w:basedOn w:val="1"/>
    <w:autoRedefine/>
    <w:qFormat/>
    <w:uiPriority w:val="0"/>
    <w:pPr>
      <w:wordWrap w:val="0"/>
      <w:ind w:firstLine="480"/>
    </w:pPr>
    <w:rPr>
      <w:iCs/>
      <w:shd w:val="clear" w:color="auto" w:fill="FFFFFF" w:themeFill="background1"/>
      <w:lang w:val="zh-CN"/>
    </w:rPr>
  </w:style>
  <w:style w:type="paragraph" w:customStyle="1" w:styleId="217">
    <w:name w:val="Normal"/>
    <w:autoRedefine/>
    <w:qFormat/>
    <w:uiPriority w:val="0"/>
    <w:pPr>
      <w:widowControl w:val="0"/>
      <w:jc w:val="both"/>
    </w:pPr>
    <w:rPr>
      <w:rFonts w:ascii="Times New Roman" w:hAnsi="Times New Roman" w:eastAsia="Times New Roman"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0C109-E789-406A-BDBA-9506EB43D9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76</Pages>
  <Words>11585</Words>
  <Characters>12640</Characters>
  <Lines>358</Lines>
  <Paragraphs>100</Paragraphs>
  <TotalTime>5</TotalTime>
  <ScaleCrop>false</ScaleCrop>
  <LinksUpToDate>false</LinksUpToDate>
  <CharactersWithSpaces>12753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2025-05-09T09:34:00Z</dcterms:created>
  <dc:creator>Administrator</dc:creator>
  <cp:lastModifiedBy>Administrator</cp:lastModifiedBy>
  <cp:lastPrinted>2026-04-07T08:12:00Z</cp:lastPrinted>
  <dcterms:modified xsi:type="dcterms:W3CDTF">2026-05-11T05:37:50Z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BCBAA453423A4ED2AF1D76E8F4E982B7_13</vt:lpwstr>
  </property>
  <property fmtid="{D5CDD505-2E9C-101B-9397-08002B2CF9AE}" pid="4" name="KSOTemplateDocerSaveRecord">
    <vt:lpwstr>eyJoZGlkIjoiZjYxODA4ZmFmMDg0Y2ViNmJkMGFjNDU3ZTYyMWYwZTYiLCJ1c2VySWQiOiIyMDc2NjcyMDcifQ==</vt:lpwstr>
  </property>
</Properties>
</file>