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77CF3">
      <w:pPr>
        <w:snapToGrid w:val="0"/>
        <w:spacing w:before="60" w:after="60" w:line="312" w:lineRule="auto"/>
        <w:rPr>
          <w:rFonts w:hint="default" w:ascii="Times New Roman" w:hAnsi="Times New Roman" w:eastAsia="宋体" w:cs="Times New Roman"/>
          <w:color w:val="auto"/>
          <w:sz w:val="32"/>
          <w:szCs w:val="32"/>
          <w:highlight w:val="none"/>
        </w:rPr>
      </w:pPr>
    </w:p>
    <w:p w14:paraId="712134D7">
      <w:pPr>
        <w:snapToGrid w:val="0"/>
        <w:spacing w:before="60" w:after="60" w:line="312" w:lineRule="auto"/>
        <w:rPr>
          <w:rFonts w:hint="eastAsia" w:ascii="Times New Roman" w:hAnsi="Times New Roman" w:eastAsia="宋体" w:cs="Times New Roman"/>
          <w:b/>
          <w:bCs/>
          <w:color w:val="auto"/>
          <w:sz w:val="32"/>
          <w:szCs w:val="32"/>
          <w:highlight w:val="none"/>
          <w:lang w:eastAsia="zh-CN"/>
        </w:rPr>
      </w:pPr>
      <w:r>
        <w:rPr>
          <w:rFonts w:hint="default" w:ascii="Times New Roman" w:hAnsi="Times New Roman" w:eastAsia="宋体" w:cs="Times New Roman"/>
          <w:b/>
          <w:bCs/>
          <w:color w:val="auto"/>
          <w:sz w:val="32"/>
          <w:szCs w:val="32"/>
          <w:highlight w:val="none"/>
        </w:rPr>
        <w:t>项目编号：1411302026AGK00020</w:t>
      </w:r>
    </w:p>
    <w:p w14:paraId="21F50FA6">
      <w:pPr>
        <w:snapToGrid w:val="0"/>
        <w:spacing w:before="60" w:after="60" w:line="312" w:lineRule="auto"/>
        <w:rPr>
          <w:rFonts w:hint="default" w:ascii="Times New Roman" w:hAnsi="Times New Roman" w:eastAsia="宋体" w:cs="Times New Roman"/>
          <w:color w:val="auto"/>
          <w:sz w:val="32"/>
          <w:szCs w:val="32"/>
          <w:highlight w:val="none"/>
        </w:rPr>
      </w:pPr>
    </w:p>
    <w:p w14:paraId="3F8413FB">
      <w:pPr>
        <w:snapToGrid w:val="0"/>
        <w:spacing w:before="60" w:after="60" w:line="300" w:lineRule="auto"/>
        <w:jc w:val="center"/>
        <w:rPr>
          <w:rFonts w:hint="default" w:ascii="Times New Roman" w:hAnsi="Times New Roman" w:eastAsia="宋体" w:cs="Times New Roman"/>
          <w:b/>
          <w:bCs/>
          <w:color w:val="auto"/>
          <w:sz w:val="56"/>
          <w:szCs w:val="56"/>
          <w:highlight w:val="none"/>
        </w:rPr>
      </w:pPr>
      <w:r>
        <w:rPr>
          <w:rFonts w:hint="default" w:ascii="Times New Roman" w:hAnsi="Times New Roman" w:eastAsia="宋体" w:cs="Times New Roman"/>
          <w:b/>
          <w:bCs/>
          <w:color w:val="auto"/>
          <w:sz w:val="56"/>
          <w:szCs w:val="56"/>
          <w:highlight w:val="none"/>
        </w:rPr>
        <w:t>交口县医疗集团人民医院</w:t>
      </w:r>
    </w:p>
    <w:p w14:paraId="51660A60">
      <w:pPr>
        <w:snapToGrid w:val="0"/>
        <w:spacing w:before="60" w:after="60" w:line="300" w:lineRule="auto"/>
        <w:jc w:val="center"/>
        <w:rPr>
          <w:rFonts w:hint="default" w:ascii="Times New Roman" w:hAnsi="Times New Roman" w:eastAsia="宋体" w:cs="Times New Roman"/>
          <w:b/>
          <w:bCs/>
          <w:color w:val="auto"/>
          <w:sz w:val="56"/>
          <w:szCs w:val="56"/>
          <w:highlight w:val="none"/>
        </w:rPr>
      </w:pPr>
      <w:r>
        <w:rPr>
          <w:rFonts w:hint="default" w:ascii="Times New Roman" w:hAnsi="Times New Roman" w:eastAsia="宋体" w:cs="Times New Roman"/>
          <w:b/>
          <w:bCs/>
          <w:color w:val="auto"/>
          <w:sz w:val="56"/>
          <w:szCs w:val="56"/>
          <w:highlight w:val="none"/>
        </w:rPr>
        <w:t>医疗设备采购项目</w:t>
      </w:r>
    </w:p>
    <w:p w14:paraId="52A8F21F">
      <w:pPr>
        <w:snapToGrid w:val="0"/>
        <w:spacing w:before="60" w:after="60" w:line="300" w:lineRule="auto"/>
        <w:jc w:val="center"/>
        <w:rPr>
          <w:rFonts w:hint="default" w:ascii="Times New Roman" w:hAnsi="Times New Roman" w:eastAsia="宋体" w:cs="Times New Roman"/>
          <w:b/>
          <w:bCs/>
          <w:color w:val="auto"/>
          <w:sz w:val="56"/>
          <w:szCs w:val="56"/>
          <w:highlight w:val="none"/>
        </w:rPr>
      </w:pPr>
      <w:r>
        <w:rPr>
          <w:rFonts w:hint="default" w:ascii="Times New Roman" w:hAnsi="Times New Roman" w:eastAsia="宋体" w:cs="Times New Roman"/>
          <w:b/>
          <w:bCs/>
          <w:color w:val="auto"/>
          <w:sz w:val="56"/>
          <w:szCs w:val="56"/>
          <w:highlight w:val="none"/>
        </w:rPr>
        <w:t>公开招标文件</w:t>
      </w:r>
    </w:p>
    <w:p w14:paraId="365D62A8">
      <w:pPr>
        <w:rPr>
          <w:rFonts w:hint="default" w:ascii="Times New Roman" w:hAnsi="Times New Roman" w:cs="Times New Roman"/>
          <w:b/>
          <w:color w:val="auto"/>
          <w:sz w:val="32"/>
          <w:szCs w:val="32"/>
          <w:highlight w:val="none"/>
        </w:rPr>
      </w:pPr>
      <w:r>
        <w:rPr>
          <w:rFonts w:hint="default" w:ascii="Times New Roman" w:hAnsi="Times New Roman" w:cs="Times New Roman"/>
          <w:color w:val="auto"/>
          <w:highlight w:val="none"/>
        </w:rPr>
        <w:drawing>
          <wp:anchor distT="0" distB="0" distL="114300" distR="114300" simplePos="0" relativeHeight="251659264" behindDoc="0" locked="0" layoutInCell="1" allowOverlap="1">
            <wp:simplePos x="0" y="0"/>
            <wp:positionH relativeFrom="margin">
              <wp:posOffset>1546860</wp:posOffset>
            </wp:positionH>
            <wp:positionV relativeFrom="margin">
              <wp:posOffset>3027045</wp:posOffset>
            </wp:positionV>
            <wp:extent cx="2459990" cy="2446655"/>
            <wp:effectExtent l="0" t="0" r="0" b="0"/>
            <wp:wrapSquare wrapText="bothSides"/>
            <wp:docPr id="2"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ogo"/>
                    <pic:cNvPicPr>
                      <a:picLocks noChangeAspect="1"/>
                    </pic:cNvPicPr>
                  </pic:nvPicPr>
                  <pic:blipFill>
                    <a:blip r:embed="rId10"/>
                    <a:stretch>
                      <a:fillRect/>
                    </a:stretch>
                  </pic:blipFill>
                  <pic:spPr>
                    <a:xfrm>
                      <a:off x="0" y="0"/>
                      <a:ext cx="2459990" cy="2446655"/>
                    </a:xfrm>
                    <a:prstGeom prst="rect">
                      <a:avLst/>
                    </a:prstGeom>
                    <a:noFill/>
                    <a:ln>
                      <a:noFill/>
                    </a:ln>
                  </pic:spPr>
                </pic:pic>
              </a:graphicData>
            </a:graphic>
          </wp:anchor>
        </w:drawing>
      </w:r>
    </w:p>
    <w:p w14:paraId="379EA73D">
      <w:pPr>
        <w:rPr>
          <w:rFonts w:hint="default" w:ascii="Times New Roman" w:hAnsi="Times New Roman" w:cs="Times New Roman"/>
          <w:b/>
          <w:color w:val="auto"/>
          <w:sz w:val="32"/>
          <w:szCs w:val="32"/>
          <w:highlight w:val="none"/>
        </w:rPr>
      </w:pPr>
    </w:p>
    <w:p w14:paraId="5C82B1B0">
      <w:pPr>
        <w:rPr>
          <w:rFonts w:hint="default" w:ascii="Times New Roman" w:hAnsi="Times New Roman" w:cs="Times New Roman"/>
          <w:b/>
          <w:color w:val="auto"/>
          <w:sz w:val="32"/>
          <w:szCs w:val="32"/>
          <w:highlight w:val="none"/>
        </w:rPr>
      </w:pPr>
    </w:p>
    <w:p w14:paraId="1CE7A7AC">
      <w:pPr>
        <w:rPr>
          <w:rFonts w:hint="default" w:ascii="Times New Roman" w:hAnsi="Times New Roman" w:cs="Times New Roman"/>
          <w:b/>
          <w:color w:val="auto"/>
          <w:sz w:val="32"/>
          <w:szCs w:val="32"/>
          <w:highlight w:val="none"/>
        </w:rPr>
      </w:pPr>
    </w:p>
    <w:p w14:paraId="7E183930">
      <w:pPr>
        <w:rPr>
          <w:rFonts w:hint="default" w:ascii="Times New Roman" w:hAnsi="Times New Roman" w:cs="Times New Roman"/>
          <w:b/>
          <w:color w:val="auto"/>
          <w:sz w:val="32"/>
          <w:szCs w:val="32"/>
          <w:highlight w:val="none"/>
        </w:rPr>
      </w:pPr>
    </w:p>
    <w:p w14:paraId="0256E020">
      <w:pPr>
        <w:rPr>
          <w:rFonts w:hint="default" w:ascii="Times New Roman" w:hAnsi="Times New Roman" w:cs="Times New Roman"/>
          <w:b/>
          <w:color w:val="auto"/>
          <w:sz w:val="32"/>
          <w:szCs w:val="32"/>
          <w:highlight w:val="none"/>
        </w:rPr>
      </w:pPr>
    </w:p>
    <w:p w14:paraId="59E0DE80">
      <w:pPr>
        <w:rPr>
          <w:rFonts w:hint="default" w:ascii="Times New Roman" w:hAnsi="Times New Roman" w:cs="Times New Roman"/>
          <w:b/>
          <w:color w:val="auto"/>
          <w:sz w:val="32"/>
          <w:szCs w:val="32"/>
          <w:highlight w:val="none"/>
        </w:rPr>
      </w:pPr>
    </w:p>
    <w:p w14:paraId="22C4BB28">
      <w:pPr>
        <w:tabs>
          <w:tab w:val="left" w:pos="3215"/>
        </w:tabs>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ab/>
      </w:r>
    </w:p>
    <w:p w14:paraId="704CB22A">
      <w:pPr>
        <w:spacing w:line="720" w:lineRule="atLeast"/>
        <w:rPr>
          <w:rFonts w:hint="default" w:ascii="Times New Roman" w:hAnsi="Times New Roman" w:cs="Times New Roman"/>
          <w:b/>
          <w:color w:val="auto"/>
          <w:sz w:val="32"/>
          <w:szCs w:val="32"/>
          <w:highlight w:val="none"/>
        </w:rPr>
      </w:pPr>
    </w:p>
    <w:p w14:paraId="495BDDC8">
      <w:pPr>
        <w:spacing w:line="720" w:lineRule="atLeast"/>
        <w:ind w:firstLine="1606" w:firstLineChars="500"/>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采   购   人：交口县医疗集团人民医院</w:t>
      </w:r>
    </w:p>
    <w:p w14:paraId="64582A7B">
      <w:pPr>
        <w:spacing w:line="720" w:lineRule="atLeas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 xml:space="preserve">          </w:t>
      </w:r>
      <w:bookmarkStart w:id="0" w:name="_Toc9810"/>
      <w:r>
        <w:rPr>
          <w:rFonts w:hint="default" w:ascii="Times New Roman" w:hAnsi="Times New Roman" w:cs="Times New Roman"/>
          <w:b/>
          <w:color w:val="auto"/>
          <w:sz w:val="32"/>
          <w:szCs w:val="32"/>
          <w:highlight w:val="none"/>
        </w:rPr>
        <w:t>采购代理机构：山西宏润招标代理有限公司</w:t>
      </w:r>
      <w:bookmarkEnd w:id="0"/>
    </w:p>
    <w:p w14:paraId="25628EF2">
      <w:pPr>
        <w:rPr>
          <w:rFonts w:hint="default" w:ascii="Times New Roman" w:hAnsi="Times New Roman" w:cs="Times New Roman"/>
          <w:b/>
          <w:color w:val="auto"/>
          <w:sz w:val="32"/>
          <w:szCs w:val="32"/>
          <w:highlight w:val="none"/>
        </w:rPr>
      </w:pPr>
    </w:p>
    <w:p w14:paraId="5112A0B8">
      <w:pPr>
        <w:rPr>
          <w:rFonts w:hint="default" w:ascii="Times New Roman" w:hAnsi="Times New Roman" w:cs="Times New Roman"/>
          <w:b/>
          <w:color w:val="auto"/>
          <w:sz w:val="32"/>
          <w:szCs w:val="32"/>
          <w:highlight w:val="none"/>
        </w:rPr>
      </w:pPr>
    </w:p>
    <w:p w14:paraId="52ACA5A2">
      <w:pPr>
        <w:jc w:val="center"/>
        <w:rPr>
          <w:rFonts w:hint="default" w:ascii="Times New Roman" w:hAnsi="Times New Roman" w:cs="Times New Roman"/>
          <w:b/>
          <w:color w:val="auto"/>
          <w:sz w:val="32"/>
          <w:szCs w:val="32"/>
          <w:highlight w:val="none"/>
        </w:rPr>
      </w:pPr>
      <w:bookmarkStart w:id="1" w:name="_Toc31252"/>
      <w:r>
        <w:rPr>
          <w:rFonts w:hint="default" w:ascii="Times New Roman" w:hAnsi="Times New Roman" w:cs="Times New Roman"/>
          <w:b/>
          <w:color w:val="auto"/>
          <w:sz w:val="32"/>
          <w:szCs w:val="32"/>
          <w:highlight w:val="none"/>
        </w:rPr>
        <w:t>202</w:t>
      </w:r>
      <w:r>
        <w:rPr>
          <w:rFonts w:hint="eastAsia" w:ascii="Times New Roman" w:hAnsi="Times New Roman" w:cs="Times New Roman"/>
          <w:b/>
          <w:color w:val="auto"/>
          <w:sz w:val="32"/>
          <w:szCs w:val="32"/>
          <w:highlight w:val="none"/>
          <w:lang w:val="en-US" w:eastAsia="zh-CN"/>
        </w:rPr>
        <w:t>6</w:t>
      </w:r>
      <w:r>
        <w:rPr>
          <w:rFonts w:hint="default" w:ascii="Times New Roman" w:hAnsi="Times New Roman" w:cs="Times New Roman"/>
          <w:b/>
          <w:color w:val="auto"/>
          <w:sz w:val="32"/>
          <w:szCs w:val="32"/>
          <w:highlight w:val="none"/>
        </w:rPr>
        <w:t>年</w:t>
      </w:r>
      <w:r>
        <w:rPr>
          <w:rFonts w:hint="eastAsia" w:ascii="Times New Roman" w:hAnsi="Times New Roman" w:cs="Times New Roman"/>
          <w:b/>
          <w:color w:val="auto"/>
          <w:sz w:val="32"/>
          <w:szCs w:val="32"/>
          <w:highlight w:val="none"/>
          <w:lang w:val="en-US" w:eastAsia="zh-CN"/>
        </w:rPr>
        <w:t>6</w:t>
      </w:r>
      <w:r>
        <w:rPr>
          <w:rFonts w:hint="default" w:ascii="Times New Roman" w:hAnsi="Times New Roman" w:cs="Times New Roman"/>
          <w:b/>
          <w:color w:val="auto"/>
          <w:sz w:val="32"/>
          <w:szCs w:val="32"/>
          <w:highlight w:val="none"/>
        </w:rPr>
        <w:t>月</w:t>
      </w:r>
      <w:bookmarkEnd w:id="1"/>
    </w:p>
    <w:p w14:paraId="445B1C2E">
      <w:pPr>
        <w:pStyle w:val="5"/>
        <w:rPr>
          <w:rFonts w:hint="default" w:ascii="Times New Roman" w:hAnsi="Times New Roman" w:cs="Times New Roman"/>
          <w:color w:val="auto"/>
          <w:highlight w:val="none"/>
        </w:rPr>
      </w:pPr>
    </w:p>
    <w:p w14:paraId="33F6068A">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0065B886">
      <w:pPr>
        <w:pStyle w:val="5"/>
        <w:rPr>
          <w:rFonts w:hint="default" w:ascii="Times New Roman" w:hAnsi="Times New Roman" w:cs="Times New Roman"/>
          <w:color w:val="auto"/>
          <w:highlight w:val="none"/>
        </w:rPr>
      </w:pPr>
    </w:p>
    <w:p w14:paraId="59649EBB">
      <w:pPr>
        <w:jc w:val="center"/>
        <w:rPr>
          <w:rFonts w:hint="default" w:ascii="Times New Roman" w:hAnsi="Times New Roman" w:eastAsia="宋体" w:cs="Times New Roman"/>
          <w:color w:val="auto"/>
          <w:sz w:val="24"/>
          <w:szCs w:val="24"/>
          <w:highlight w:val="none"/>
        </w:rPr>
      </w:pPr>
    </w:p>
    <w:p w14:paraId="042A52AA">
      <w:pPr>
        <w:jc w:val="center"/>
        <w:rPr>
          <w:rFonts w:hint="default" w:ascii="Times New Roman" w:hAnsi="Times New Roman" w:eastAsia="宋体" w:cs="Times New Roman"/>
          <w:color w:val="auto"/>
          <w:sz w:val="24"/>
          <w:szCs w:val="24"/>
          <w:highlight w:val="none"/>
        </w:rPr>
      </w:pPr>
    </w:p>
    <w:sdt>
      <w:sdtPr>
        <w:rPr>
          <w:rFonts w:hint="default" w:ascii="Times New Roman" w:hAnsi="Times New Roman" w:eastAsia="宋体" w:cs="Times New Roman"/>
          <w:color w:val="auto"/>
          <w:sz w:val="24"/>
          <w:szCs w:val="24"/>
          <w:highlight w:val="none"/>
        </w:rPr>
        <w:id w:val="147453198"/>
        <w15:color w:val="DBDBDB"/>
        <w:docPartObj>
          <w:docPartGallery w:val="Table of Contents"/>
          <w:docPartUnique/>
        </w:docPartObj>
      </w:sdtPr>
      <w:sdtEndPr>
        <w:rPr>
          <w:rFonts w:hint="default" w:ascii="Times New Roman" w:hAnsi="Times New Roman" w:eastAsia="Times New Roman" w:cs="Times New Roman"/>
          <w:color w:val="auto"/>
          <w:kern w:val="0"/>
          <w:sz w:val="21"/>
          <w:szCs w:val="20"/>
          <w:highlight w:val="none"/>
        </w:rPr>
      </w:sdtEndPr>
      <w:sdtContent>
        <w:p w14:paraId="66B206BE">
          <w:pPr>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目   录</w:t>
          </w:r>
        </w:p>
        <w:p w14:paraId="56B98FB2">
          <w:pPr>
            <w:pStyle w:val="25"/>
            <w:tabs>
              <w:tab w:val="right" w:leader="dot" w:pos="9014"/>
            </w:tabs>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fldChar w:fldCharType="begin"/>
          </w:r>
          <w:r>
            <w:rPr>
              <w:rFonts w:hint="default" w:ascii="Times New Roman" w:hAnsi="Times New Roman" w:eastAsia="Times New Roman" w:cs="Times New Roman"/>
              <w:color w:val="auto"/>
              <w:sz w:val="24"/>
              <w:szCs w:val="24"/>
              <w:highlight w:val="none"/>
            </w:rPr>
            <w:instrText xml:space="preserve">TOC \o "1-1" \h \u </w:instrText>
          </w:r>
          <w:r>
            <w:rPr>
              <w:rFonts w:hint="default" w:ascii="Times New Roman" w:hAnsi="Times New Roman" w:eastAsia="Times New Roman" w:cs="Times New Roman"/>
              <w:color w:val="auto"/>
              <w:sz w:val="24"/>
              <w:szCs w:val="24"/>
              <w:highlight w:val="none"/>
            </w:rPr>
            <w:fldChar w:fldCharType="separate"/>
          </w:r>
        </w:p>
        <w:p w14:paraId="27CA965A">
          <w:pPr>
            <w:pStyle w:val="25"/>
            <w:tabs>
              <w:tab w:val="right" w:leader="dot" w:pos="9014"/>
            </w:tabs>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"_Toc5744"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24"/>
              <w:szCs w:val="24"/>
              <w:highlight w:val="none"/>
            </w:rPr>
            <w:t>第一部分</w:t>
          </w:r>
          <w:r>
            <w:rPr>
              <w:rFonts w:hint="default" w:ascii="Times New Roman" w:hAnsi="Times New Roman" w:eastAsia="Calibri" w:cs="Times New Roman"/>
              <w:bCs/>
              <w:color w:val="auto"/>
              <w:sz w:val="24"/>
              <w:szCs w:val="24"/>
              <w:highlight w:val="none"/>
            </w:rPr>
            <w:t xml:space="preserve">  </w:t>
          </w:r>
          <w:r>
            <w:rPr>
              <w:rFonts w:hint="default" w:ascii="Times New Roman" w:hAnsi="Times New Roman" w:eastAsia="宋体" w:cs="Times New Roman"/>
              <w:bCs/>
              <w:color w:val="auto"/>
              <w:sz w:val="24"/>
              <w:szCs w:val="24"/>
              <w:highlight w:val="none"/>
            </w:rPr>
            <w:t>招标公告</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_Toc5744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fldChar w:fldCharType="end"/>
          </w:r>
        </w:p>
        <w:p w14:paraId="21F6C9BF">
          <w:pPr>
            <w:pStyle w:val="25"/>
            <w:tabs>
              <w:tab w:val="right" w:leader="dot" w:pos="9014"/>
            </w:tabs>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"_Toc12704"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24"/>
              <w:szCs w:val="24"/>
              <w:highlight w:val="none"/>
            </w:rPr>
            <w:t>第二部分  投标人须知前附表</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_Toc12704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7</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fldChar w:fldCharType="end"/>
          </w:r>
        </w:p>
        <w:p w14:paraId="13A67011">
          <w:pPr>
            <w:pStyle w:val="25"/>
            <w:tabs>
              <w:tab w:val="right" w:leader="dot" w:pos="9014"/>
            </w:tabs>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"_Toc10678"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24"/>
              <w:szCs w:val="24"/>
              <w:highlight w:val="none"/>
            </w:rPr>
            <w:t>第三部分</w:t>
          </w:r>
          <w:r>
            <w:rPr>
              <w:rFonts w:hint="default" w:ascii="Times New Roman" w:hAnsi="Times New Roman" w:eastAsia="Calibri" w:cs="Times New Roman"/>
              <w:bCs/>
              <w:color w:val="auto"/>
              <w:sz w:val="24"/>
              <w:szCs w:val="24"/>
              <w:highlight w:val="none"/>
            </w:rPr>
            <w:t xml:space="preserve">  </w:t>
          </w:r>
          <w:r>
            <w:rPr>
              <w:rFonts w:hint="default" w:ascii="Times New Roman" w:hAnsi="Times New Roman" w:eastAsia="宋体" w:cs="Times New Roman"/>
              <w:bCs/>
              <w:color w:val="auto"/>
              <w:sz w:val="24"/>
              <w:szCs w:val="24"/>
              <w:highlight w:val="none"/>
            </w:rPr>
            <w:t>投标人须知</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_Toc10678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17</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fldChar w:fldCharType="end"/>
          </w:r>
        </w:p>
        <w:p w14:paraId="7326012F">
          <w:pPr>
            <w:pStyle w:val="25"/>
            <w:tabs>
              <w:tab w:val="right" w:leader="dot" w:pos="9014"/>
            </w:tabs>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"_Toc21814"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szCs w:val="24"/>
              <w:highlight w:val="none"/>
            </w:rPr>
            <w:t>第四部分</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 xml:space="preserve"> 评标标准和评标办法</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_Toc21814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34</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fldChar w:fldCharType="end"/>
          </w:r>
        </w:p>
        <w:p w14:paraId="14084D15">
          <w:pPr>
            <w:pStyle w:val="25"/>
            <w:tabs>
              <w:tab w:val="right" w:leader="dot" w:pos="9014"/>
            </w:tabs>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24"/>
              <w:szCs w:val="24"/>
              <w:highlight w:val="none"/>
            </w:rPr>
            <w:t>第五部分</w:t>
          </w:r>
          <w:r>
            <w:rPr>
              <w:rFonts w:hint="default" w:ascii="Times New Roman" w:hAnsi="Times New Roman" w:eastAsia="Calibri" w:cs="Times New Roman"/>
              <w:bCs/>
              <w:color w:val="auto"/>
              <w:sz w:val="24"/>
              <w:szCs w:val="24"/>
              <w:highlight w:val="none"/>
            </w:rPr>
            <w:t xml:space="preserve"> </w:t>
          </w:r>
          <w:r>
            <w:rPr>
              <w:rFonts w:hint="default" w:ascii="Times New Roman" w:hAnsi="Times New Roman" w:eastAsia="宋体" w:cs="Times New Roman"/>
              <w:bCs/>
              <w:color w:val="auto"/>
              <w:sz w:val="24"/>
              <w:szCs w:val="24"/>
              <w:highlight w:val="none"/>
            </w:rPr>
            <w:t xml:space="preserve"> 采购需求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_Toc1374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43</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fldChar w:fldCharType="end"/>
          </w:r>
        </w:p>
        <w:p w14:paraId="1D81CC6A">
          <w:pPr>
            <w:pStyle w:val="25"/>
            <w:tabs>
              <w:tab w:val="right" w:leader="dot" w:pos="9014"/>
            </w:tabs>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"_Toc21279"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szCs w:val="24"/>
              <w:highlight w:val="none"/>
            </w:rPr>
            <w:t>第六部分</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合同格式（参考）</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_Toc21279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68</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fldChar w:fldCharType="end"/>
          </w:r>
        </w:p>
        <w:p w14:paraId="178BB150">
          <w:pPr>
            <w:pStyle w:val="25"/>
            <w:tabs>
              <w:tab w:val="right" w:leader="dot" w:pos="9014"/>
            </w:tabs>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"_Toc11424"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24"/>
              <w:szCs w:val="24"/>
              <w:highlight w:val="none"/>
            </w:rPr>
            <w:t xml:space="preserve">第七部分  </w:t>
          </w:r>
          <w:r>
            <w:rPr>
              <w:rFonts w:hint="default" w:ascii="Times New Roman" w:hAnsi="Times New Roman" w:eastAsia="宋体" w:cs="Times New Roman"/>
              <w:color w:val="auto"/>
              <w:sz w:val="24"/>
              <w:szCs w:val="24"/>
              <w:highlight w:val="none"/>
            </w:rPr>
            <w:t>投标文件格式</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_Toc11424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71</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fldChar w:fldCharType="end"/>
          </w:r>
        </w:p>
        <w:p w14:paraId="651E0361">
          <w:pPr>
            <w:snapToGrid w:val="0"/>
            <w:spacing w:before="60" w:after="60" w:line="360" w:lineRule="auto"/>
            <w:rPr>
              <w:rFonts w:hint="default" w:ascii="Times New Roman" w:hAnsi="Times New Roman" w:eastAsia="Times New Roman" w:cs="Times New Roman"/>
              <w:color w:val="auto"/>
              <w:kern w:val="0"/>
              <w:sz w:val="20"/>
              <w:szCs w:val="20"/>
              <w:highlight w:val="none"/>
            </w:rPr>
          </w:pPr>
          <w:r>
            <w:rPr>
              <w:rFonts w:hint="default" w:ascii="Times New Roman" w:hAnsi="Times New Roman" w:eastAsia="Times New Roman" w:cs="Times New Roman"/>
              <w:color w:val="auto"/>
              <w:kern w:val="0"/>
              <w:sz w:val="24"/>
              <w:szCs w:val="24"/>
              <w:highlight w:val="none"/>
            </w:rPr>
            <w:fldChar w:fldCharType="end"/>
          </w:r>
        </w:p>
      </w:sdtContent>
    </w:sdt>
    <w:p w14:paraId="63DF90B4">
      <w:pPr>
        <w:pStyle w:val="2"/>
        <w:snapToGrid w:val="0"/>
        <w:spacing w:line="460" w:lineRule="exact"/>
        <w:jc w:val="center"/>
        <w:rPr>
          <w:rFonts w:hint="default" w:ascii="Times New Roman" w:hAnsi="Times New Roman" w:eastAsia="宋体" w:cs="Times New Roman"/>
          <w:color w:val="auto"/>
          <w:sz w:val="32"/>
          <w:szCs w:val="32"/>
          <w:highlight w:val="none"/>
        </w:rPr>
        <w:sectPr>
          <w:headerReference r:id="rId4" w:type="first"/>
          <w:footerReference r:id="rId6" w:type="first"/>
          <w:headerReference r:id="rId3" w:type="default"/>
          <w:footerReference r:id="rId5" w:type="default"/>
          <w:pgSz w:w="11906" w:h="16838"/>
          <w:pgMar w:top="1271" w:right="1361" w:bottom="1020" w:left="1531" w:header="851" w:footer="352" w:gutter="0"/>
          <w:cols w:space="425" w:num="1"/>
          <w:titlePg/>
          <w:docGrid w:type="lines" w:linePitch="312" w:charSpace="0"/>
        </w:sectPr>
      </w:pPr>
      <w:bookmarkStart w:id="2" w:name="_Toc5744"/>
    </w:p>
    <w:p w14:paraId="54BF347C">
      <w:pPr>
        <w:rPr>
          <w:rFonts w:hint="default" w:ascii="Times New Roman" w:hAnsi="Times New Roman" w:cs="Times New Roman"/>
          <w:color w:val="auto"/>
          <w:highlight w:val="none"/>
        </w:rPr>
      </w:pPr>
    </w:p>
    <w:p w14:paraId="464D57D5">
      <w:pPr>
        <w:pStyle w:val="2"/>
        <w:snapToGrid w:val="0"/>
        <w:spacing w:line="460" w:lineRule="exact"/>
        <w:jc w:val="cente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第一部分</w:t>
      </w:r>
      <w:r>
        <w:rPr>
          <w:rFonts w:hint="default" w:ascii="Times New Roman" w:hAnsi="Times New Roman" w:eastAsia="Calibri" w:cs="Times New Roman"/>
          <w:color w:val="auto"/>
          <w:sz w:val="32"/>
          <w:szCs w:val="32"/>
          <w:highlight w:val="none"/>
        </w:rPr>
        <w:t xml:space="preserve"> </w:t>
      </w:r>
      <w:r>
        <w:rPr>
          <w:rFonts w:hint="default" w:ascii="Times New Roman" w:hAnsi="Times New Roman" w:eastAsia="宋体" w:cs="Times New Roman"/>
          <w:color w:val="auto"/>
          <w:sz w:val="32"/>
          <w:szCs w:val="32"/>
          <w:highlight w:val="none"/>
        </w:rPr>
        <w:t>招标公告</w:t>
      </w:r>
      <w:bookmarkEnd w:id="2"/>
    </w:p>
    <w:p w14:paraId="202F579A">
      <w:pPr>
        <w:spacing w:line="460" w:lineRule="exact"/>
        <w:rPr>
          <w:rFonts w:hint="default" w:ascii="Times New Roman" w:hAnsi="Times New Roman" w:cs="Times New Roman"/>
          <w:color w:val="auto"/>
          <w:sz w:val="24"/>
          <w:szCs w:val="24"/>
          <w:highlight w:val="none"/>
        </w:rPr>
      </w:pPr>
    </w:p>
    <w:p w14:paraId="534084E3">
      <w:pPr>
        <w:pBdr>
          <w:top w:val="single" w:color="auto" w:sz="4" w:space="1"/>
          <w:left w:val="single" w:color="auto" w:sz="4" w:space="4"/>
          <w:bottom w:val="single" w:color="auto" w:sz="4" w:space="1"/>
          <w:right w:val="single" w:color="auto" w:sz="4" w:space="4"/>
        </w:pBdr>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项目概况</w:t>
      </w:r>
    </w:p>
    <w:p w14:paraId="6D36DF6A">
      <w:pPr>
        <w:pBdr>
          <w:top w:val="single" w:color="auto" w:sz="4" w:space="1"/>
          <w:left w:val="single" w:color="auto" w:sz="4" w:space="4"/>
          <w:bottom w:val="single" w:color="auto" w:sz="4" w:space="1"/>
          <w:right w:val="single" w:color="auto" w:sz="4" w:space="4"/>
        </w:pBdr>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交口县医疗集团人民医院医疗设备采购项目的潜在投标人</w:t>
      </w:r>
      <w:bookmarkStart w:id="3" w:name="OLE_LINK1"/>
      <w:r>
        <w:rPr>
          <w:rFonts w:hint="default" w:ascii="Times New Roman" w:hAnsi="Times New Roman" w:cs="Times New Roman"/>
          <w:color w:val="auto"/>
          <w:sz w:val="24"/>
          <w:szCs w:val="24"/>
          <w:highlight w:val="none"/>
          <w:lang w:val="en-US" w:eastAsia="zh-CN"/>
        </w:rPr>
        <w:t>应在</w:t>
      </w:r>
      <w:r>
        <w:rPr>
          <w:rFonts w:hint="default" w:ascii="Times New Roman" w:hAnsi="Times New Roman" w:cs="Times New Roman"/>
          <w:color w:val="auto"/>
          <w:sz w:val="24"/>
          <w:szCs w:val="24"/>
          <w:highlight w:val="none"/>
        </w:rPr>
        <w:t>山西政府采购平台(https://login.sxzfcg.zcygov.cn/user-login/#/login)</w:t>
      </w:r>
      <w:bookmarkEnd w:id="3"/>
      <w:r>
        <w:rPr>
          <w:rFonts w:hint="default" w:ascii="Times New Roman" w:hAnsi="Times New Roman" w:cs="Times New Roman"/>
          <w:color w:val="auto"/>
          <w:sz w:val="24"/>
          <w:szCs w:val="24"/>
          <w:highlight w:val="none"/>
          <w:lang w:val="en-US" w:eastAsia="zh-CN"/>
        </w:rPr>
        <w:t>线上</w:t>
      </w:r>
      <w:r>
        <w:rPr>
          <w:rFonts w:hint="default" w:ascii="Times New Roman" w:hAnsi="Times New Roman" w:cs="Times New Roman"/>
          <w:color w:val="auto"/>
          <w:sz w:val="24"/>
          <w:szCs w:val="24"/>
          <w:highlight w:val="none"/>
        </w:rPr>
        <w:t>获取电子招标文件，并于</w:t>
      </w:r>
      <w:r>
        <w:rPr>
          <w:rFonts w:hint="eastAsia" w:ascii="Times New Roman" w:hAnsi="Times New Roman" w:cs="Times New Roman"/>
          <w:color w:val="auto"/>
          <w:sz w:val="24"/>
          <w:szCs w:val="24"/>
          <w:highlight w:val="none"/>
          <w:u w:val="single"/>
          <w:lang w:val="en-US" w:eastAsia="zh-CN"/>
        </w:rPr>
        <w:t>2026</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7</w:t>
      </w:r>
      <w:r>
        <w:rPr>
          <w:rFonts w:hint="default" w:ascii="Times New Roman" w:hAnsi="Times New Roman" w:cs="Times New Roman"/>
          <w:bCs/>
          <w:color w:val="auto"/>
          <w:sz w:val="24"/>
          <w:szCs w:val="24"/>
          <w:highlight w:val="none"/>
          <w:u w:val="single"/>
        </w:rPr>
        <w:t xml:space="preserve">  月</w:t>
      </w:r>
      <w:r>
        <w:rPr>
          <w:rFonts w:hint="eastAsia" w:ascii="Times New Roman" w:hAnsi="Times New Roman" w:cs="Times New Roman"/>
          <w:bCs/>
          <w:color w:val="auto"/>
          <w:sz w:val="24"/>
          <w:szCs w:val="24"/>
          <w:highlight w:val="none"/>
          <w:u w:val="single"/>
          <w:lang w:val="en-US" w:eastAsia="zh-CN"/>
        </w:rPr>
        <w:t>1</w:t>
      </w:r>
      <w:r>
        <w:rPr>
          <w:rFonts w:hint="default" w:ascii="Times New Roman" w:hAnsi="Times New Roman" w:cs="Times New Roman"/>
          <w:bCs/>
          <w:color w:val="auto"/>
          <w:sz w:val="24"/>
          <w:szCs w:val="24"/>
          <w:highlight w:val="none"/>
          <w:u w:val="single"/>
        </w:rPr>
        <w:t>日</w:t>
      </w:r>
      <w:r>
        <w:rPr>
          <w:rFonts w:hint="eastAsia" w:ascii="Times New Roman" w:hAnsi="Times New Roman" w:cs="Times New Roman"/>
          <w:bCs/>
          <w:color w:val="auto"/>
          <w:sz w:val="24"/>
          <w:szCs w:val="24"/>
          <w:highlight w:val="none"/>
          <w:u w:val="single"/>
          <w:lang w:val="en-US" w:eastAsia="zh-CN"/>
        </w:rPr>
        <w:t>9</w:t>
      </w:r>
      <w:r>
        <w:rPr>
          <w:rFonts w:hint="default" w:ascii="Times New Roman" w:hAnsi="Times New Roman" w:cs="Times New Roman"/>
          <w:bCs/>
          <w:color w:val="auto"/>
          <w:sz w:val="24"/>
          <w:szCs w:val="24"/>
          <w:highlight w:val="none"/>
          <w:u w:val="single"/>
        </w:rPr>
        <w:t>点00分（</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5D631DE6">
      <w:pPr>
        <w:pStyle w:val="3"/>
        <w:snapToGrid w:val="0"/>
        <w:spacing w:before="60" w:line="48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一、项目基本情况</w:t>
      </w:r>
    </w:p>
    <w:p w14:paraId="2B21F35C">
      <w:pPr>
        <w:snapToGrid w:val="0"/>
        <w:spacing w:line="480" w:lineRule="exact"/>
        <w:ind w:firstLine="480" w:firstLineChars="200"/>
        <w:rPr>
          <w:rFonts w:hint="eastAsia" w:ascii="Times New Roman" w:hAnsi="Times New Roman" w:eastAsia="Times New Roman" w:cs="Times New Roman"/>
          <w:color w:val="auto"/>
          <w:sz w:val="24"/>
          <w:szCs w:val="24"/>
          <w:highlight w:val="none"/>
          <w:lang w:eastAsia="zh-CN"/>
        </w:rPr>
      </w:pPr>
      <w:r>
        <w:rPr>
          <w:rFonts w:hint="default" w:ascii="Times New Roman" w:hAnsi="Times New Roman" w:eastAsia="Times New Roman" w:cs="Times New Roman"/>
          <w:color w:val="auto"/>
          <w:sz w:val="24"/>
          <w:szCs w:val="24"/>
          <w:highlight w:val="none"/>
        </w:rPr>
        <w:t>1.</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项目编号：1411302026AGK00020</w:t>
      </w:r>
    </w:p>
    <w:p w14:paraId="509007CA">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项目名称：交口县医疗集团人民医院医疗设备采购项目</w:t>
      </w:r>
    </w:p>
    <w:p w14:paraId="4DC35818">
      <w:pPr>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3.</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预算金额：</w:t>
      </w:r>
      <w:r>
        <w:rPr>
          <w:rFonts w:hint="eastAsia" w:ascii="Times New Roman" w:hAnsi="Times New Roman" w:eastAsia="宋体" w:cs="Times New Roman"/>
          <w:color w:val="auto"/>
          <w:sz w:val="24"/>
          <w:szCs w:val="24"/>
          <w:highlight w:val="none"/>
          <w:lang w:val="en-US" w:eastAsia="zh-CN"/>
        </w:rPr>
        <w:t>人民币肆佰柒拾万捌仟元整（￥4708000.00）</w:t>
      </w:r>
      <w:r>
        <w:rPr>
          <w:rFonts w:hint="default" w:ascii="Times New Roman" w:hAnsi="Times New Roman" w:eastAsia="宋体" w:cs="Times New Roman"/>
          <w:color w:val="auto"/>
          <w:sz w:val="24"/>
          <w:szCs w:val="24"/>
          <w:highlight w:val="none"/>
          <w:lang w:val="en-US" w:eastAsia="zh-CN"/>
        </w:rPr>
        <w:t xml:space="preserve">           </w:t>
      </w:r>
    </w:p>
    <w:p w14:paraId="34DD2E8B">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4.</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采购需求：</w:t>
      </w:r>
    </w:p>
    <w:tbl>
      <w:tblPr>
        <w:tblStyle w:val="18"/>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05"/>
        <w:gridCol w:w="2445"/>
        <w:gridCol w:w="840"/>
        <w:gridCol w:w="750"/>
        <w:gridCol w:w="1200"/>
        <w:gridCol w:w="1550"/>
        <w:gridCol w:w="1200"/>
      </w:tblGrid>
      <w:tr w14:paraId="4B56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2BEC0528">
            <w:pPr>
              <w:snapToGrid w:val="0"/>
              <w:spacing w:before="60"/>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rPr>
              <w:t>序号</w:t>
            </w:r>
          </w:p>
        </w:tc>
        <w:tc>
          <w:tcPr>
            <w:tcW w:w="2445" w:type="dxa"/>
            <w:tcBorders>
              <w:top w:val="single" w:color="000000" w:sz="8" w:space="0"/>
              <w:left w:val="single" w:color="000000" w:sz="8" w:space="0"/>
              <w:bottom w:val="single" w:color="000000" w:sz="8" w:space="0"/>
              <w:right w:val="single" w:color="000000" w:sz="8" w:space="0"/>
            </w:tcBorders>
            <w:vAlign w:val="center"/>
          </w:tcPr>
          <w:p w14:paraId="557ADFDE">
            <w:pPr>
              <w:snapToGrid w:val="0"/>
              <w:spacing w:before="60"/>
              <w:jc w:val="center"/>
              <w:rPr>
                <w:rFonts w:hint="default" w:ascii="Times New Roman" w:hAnsi="Times New Roman" w:eastAsia="宋体" w:cs="Times New Roman"/>
                <w:b/>
                <w:bCs/>
                <w:color w:val="auto"/>
                <w:kern w:val="0"/>
                <w:sz w:val="24"/>
                <w:szCs w:val="24"/>
                <w:highlight w:val="none"/>
                <w:lang w:val="en-US"/>
              </w:rPr>
            </w:pPr>
            <w:r>
              <w:rPr>
                <w:rFonts w:hint="default" w:ascii="Times New Roman" w:hAnsi="Times New Roman" w:eastAsia="宋体" w:cs="Times New Roman"/>
                <w:b/>
                <w:bCs/>
                <w:color w:val="auto"/>
                <w:kern w:val="0"/>
                <w:sz w:val="24"/>
                <w:szCs w:val="24"/>
                <w:highlight w:val="none"/>
              </w:rPr>
              <w:t>品目名称</w:t>
            </w:r>
          </w:p>
        </w:tc>
        <w:tc>
          <w:tcPr>
            <w:tcW w:w="840" w:type="dxa"/>
            <w:tcBorders>
              <w:top w:val="single" w:color="000000" w:sz="8" w:space="0"/>
              <w:left w:val="single" w:color="000000" w:sz="8" w:space="0"/>
              <w:bottom w:val="single" w:color="000000" w:sz="8" w:space="0"/>
              <w:right w:val="single" w:color="000000" w:sz="8" w:space="0"/>
            </w:tcBorders>
            <w:vAlign w:val="center"/>
          </w:tcPr>
          <w:p w14:paraId="2794BCA1">
            <w:pPr>
              <w:snapToGrid w:val="0"/>
              <w:spacing w:before="60"/>
              <w:jc w:val="center"/>
              <w:rPr>
                <w:rFonts w:hint="default" w:ascii="Times New Roman" w:hAnsi="Times New Roman" w:eastAsia="宋体" w:cs="Times New Roman"/>
                <w:b/>
                <w:bCs/>
                <w:color w:val="auto"/>
                <w:kern w:val="0"/>
                <w:sz w:val="24"/>
                <w:szCs w:val="24"/>
                <w:highlight w:val="none"/>
                <w:lang w:val="en-US"/>
              </w:rPr>
            </w:pPr>
            <w:r>
              <w:rPr>
                <w:rFonts w:hint="default" w:ascii="Times New Roman" w:hAnsi="Times New Roman" w:eastAsia="宋体" w:cs="Times New Roman"/>
                <w:b/>
                <w:bCs/>
                <w:color w:val="auto"/>
                <w:kern w:val="0"/>
                <w:sz w:val="24"/>
                <w:szCs w:val="24"/>
                <w:highlight w:val="none"/>
              </w:rPr>
              <w:t>采购数量</w:t>
            </w:r>
          </w:p>
        </w:tc>
        <w:tc>
          <w:tcPr>
            <w:tcW w:w="750" w:type="dxa"/>
            <w:tcBorders>
              <w:top w:val="single" w:color="000000" w:sz="8" w:space="0"/>
              <w:left w:val="single" w:color="000000" w:sz="8" w:space="0"/>
              <w:bottom w:val="single" w:color="000000" w:sz="8" w:space="0"/>
              <w:right w:val="single" w:color="000000" w:sz="8" w:space="0"/>
            </w:tcBorders>
            <w:vAlign w:val="center"/>
          </w:tcPr>
          <w:p w14:paraId="75BE0BEF">
            <w:pPr>
              <w:snapToGrid w:val="0"/>
              <w:spacing w:before="60"/>
              <w:jc w:val="center"/>
              <w:rPr>
                <w:rFonts w:hint="default" w:ascii="Times New Roman" w:hAnsi="Times New Roman" w:eastAsia="宋体" w:cs="Times New Roman"/>
                <w:b/>
                <w:bCs/>
                <w:color w:val="auto"/>
                <w:kern w:val="0"/>
                <w:sz w:val="24"/>
                <w:szCs w:val="24"/>
                <w:highlight w:val="none"/>
                <w:lang w:val="en-US"/>
              </w:rPr>
            </w:pPr>
            <w:r>
              <w:rPr>
                <w:rFonts w:hint="default" w:ascii="Times New Roman" w:hAnsi="Times New Roman" w:eastAsia="宋体" w:cs="Times New Roman"/>
                <w:b/>
                <w:bCs/>
                <w:color w:val="auto"/>
                <w:kern w:val="0"/>
                <w:sz w:val="24"/>
                <w:szCs w:val="24"/>
                <w:highlight w:val="none"/>
              </w:rPr>
              <w:t>计量单位</w:t>
            </w:r>
          </w:p>
        </w:tc>
        <w:tc>
          <w:tcPr>
            <w:tcW w:w="1200" w:type="dxa"/>
            <w:tcBorders>
              <w:top w:val="single" w:color="000000" w:sz="8" w:space="0"/>
              <w:left w:val="single" w:color="000000" w:sz="8" w:space="0"/>
              <w:bottom w:val="single" w:color="000000" w:sz="8" w:space="0"/>
              <w:right w:val="single" w:color="000000" w:sz="8" w:space="0"/>
            </w:tcBorders>
            <w:vAlign w:val="center"/>
          </w:tcPr>
          <w:p w14:paraId="745328FC">
            <w:pPr>
              <w:snapToGrid w:val="0"/>
              <w:spacing w:before="60"/>
              <w:jc w:val="center"/>
              <w:rPr>
                <w:rFonts w:hint="default" w:ascii="Times New Roman" w:hAnsi="Times New Roman" w:eastAsia="宋体" w:cs="Times New Roman"/>
                <w:b/>
                <w:bCs/>
                <w:color w:val="auto"/>
                <w:kern w:val="0"/>
                <w:sz w:val="24"/>
                <w:szCs w:val="24"/>
                <w:highlight w:val="none"/>
                <w:lang w:val="en-US"/>
              </w:rPr>
            </w:pPr>
            <w:r>
              <w:rPr>
                <w:rFonts w:hint="default" w:ascii="Times New Roman" w:hAnsi="Times New Roman" w:eastAsia="宋体" w:cs="Times New Roman"/>
                <w:b/>
                <w:bCs/>
                <w:color w:val="auto"/>
                <w:kern w:val="0"/>
                <w:sz w:val="24"/>
                <w:szCs w:val="24"/>
                <w:highlight w:val="none"/>
              </w:rPr>
              <w:t>预算金额（万元）</w:t>
            </w:r>
          </w:p>
        </w:tc>
        <w:tc>
          <w:tcPr>
            <w:tcW w:w="1550" w:type="dxa"/>
            <w:tcBorders>
              <w:top w:val="single" w:color="000000" w:sz="8" w:space="0"/>
              <w:left w:val="single" w:color="000000" w:sz="8" w:space="0"/>
              <w:bottom w:val="single" w:color="000000" w:sz="8" w:space="0"/>
              <w:right w:val="single" w:color="000000" w:sz="8" w:space="0"/>
            </w:tcBorders>
            <w:vAlign w:val="center"/>
          </w:tcPr>
          <w:p w14:paraId="1249BA68">
            <w:pPr>
              <w:snapToGrid w:val="0"/>
              <w:spacing w:before="60"/>
              <w:jc w:val="center"/>
              <w:rPr>
                <w:rFonts w:hint="default" w:ascii="Times New Roman" w:hAnsi="Times New Roman" w:eastAsia="宋体" w:cs="Times New Roman"/>
                <w:b/>
                <w:bCs/>
                <w:color w:val="auto"/>
                <w:kern w:val="0"/>
                <w:sz w:val="24"/>
                <w:szCs w:val="24"/>
                <w:highlight w:val="none"/>
                <w:lang w:val="en-US"/>
              </w:rPr>
            </w:pPr>
            <w:r>
              <w:rPr>
                <w:rFonts w:hint="default" w:ascii="Times New Roman" w:hAnsi="Times New Roman" w:eastAsia="宋体" w:cs="Times New Roman"/>
                <w:b/>
                <w:bCs/>
                <w:color w:val="auto"/>
                <w:kern w:val="0"/>
                <w:sz w:val="24"/>
                <w:szCs w:val="24"/>
                <w:highlight w:val="none"/>
              </w:rPr>
              <w:t>简要技术需求</w:t>
            </w:r>
          </w:p>
        </w:tc>
        <w:tc>
          <w:tcPr>
            <w:tcW w:w="1200" w:type="dxa"/>
            <w:tcBorders>
              <w:top w:val="single" w:color="000000" w:sz="8" w:space="0"/>
              <w:left w:val="single" w:color="000000" w:sz="8" w:space="0"/>
              <w:bottom w:val="single" w:color="000000" w:sz="8" w:space="0"/>
              <w:right w:val="single" w:color="000000" w:sz="8" w:space="0"/>
            </w:tcBorders>
            <w:vAlign w:val="center"/>
          </w:tcPr>
          <w:p w14:paraId="4BECF7A9">
            <w:pPr>
              <w:snapToGrid w:val="0"/>
              <w:spacing w:before="60"/>
              <w:jc w:val="center"/>
              <w:rPr>
                <w:rFonts w:hint="default" w:ascii="Times New Roman" w:hAnsi="Times New Roman" w:eastAsia="宋体" w:cs="Times New Roman"/>
                <w:b/>
                <w:bCs/>
                <w:color w:val="auto"/>
                <w:kern w:val="0"/>
                <w:sz w:val="24"/>
                <w:szCs w:val="24"/>
                <w:highlight w:val="none"/>
                <w:lang w:val="en-US"/>
              </w:rPr>
            </w:pPr>
            <w:r>
              <w:rPr>
                <w:rFonts w:hint="default" w:ascii="Times New Roman" w:hAnsi="Times New Roman" w:eastAsia="宋体" w:cs="Times New Roman"/>
                <w:b/>
                <w:bCs/>
                <w:color w:val="auto"/>
                <w:kern w:val="0"/>
                <w:sz w:val="24"/>
                <w:szCs w:val="24"/>
                <w:highlight w:val="none"/>
              </w:rPr>
              <w:t>备注</w:t>
            </w:r>
          </w:p>
        </w:tc>
      </w:tr>
      <w:tr w14:paraId="645C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12B9013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w:t>
            </w:r>
          </w:p>
        </w:tc>
        <w:tc>
          <w:tcPr>
            <w:tcW w:w="2445" w:type="dxa"/>
            <w:tcBorders>
              <w:top w:val="single" w:color="000000" w:sz="8" w:space="0"/>
              <w:left w:val="single" w:color="000000" w:sz="8" w:space="0"/>
              <w:bottom w:val="single" w:color="000000" w:sz="8" w:space="0"/>
              <w:right w:val="single" w:color="000000" w:sz="8" w:space="0"/>
            </w:tcBorders>
            <w:vAlign w:val="center"/>
          </w:tcPr>
          <w:p w14:paraId="3A15CF70">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血液透析机</w:t>
            </w:r>
          </w:p>
        </w:tc>
        <w:tc>
          <w:tcPr>
            <w:tcW w:w="840" w:type="dxa"/>
            <w:tcBorders>
              <w:top w:val="single" w:color="000000" w:sz="8" w:space="0"/>
              <w:left w:val="single" w:color="000000" w:sz="8" w:space="0"/>
              <w:bottom w:val="single" w:color="000000" w:sz="8" w:space="0"/>
              <w:right w:val="single" w:color="000000" w:sz="8" w:space="0"/>
            </w:tcBorders>
            <w:vAlign w:val="center"/>
          </w:tcPr>
          <w:p w14:paraId="6CF3486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750" w:type="dxa"/>
            <w:tcBorders>
              <w:top w:val="single" w:color="000000" w:sz="8" w:space="0"/>
              <w:left w:val="single" w:color="000000" w:sz="8" w:space="0"/>
              <w:bottom w:val="single" w:color="000000" w:sz="8" w:space="0"/>
              <w:right w:val="single" w:color="000000" w:sz="8" w:space="0"/>
            </w:tcBorders>
            <w:vAlign w:val="center"/>
          </w:tcPr>
          <w:p w14:paraId="7FD6A5E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05D7BF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88</w:t>
            </w:r>
          </w:p>
        </w:tc>
        <w:tc>
          <w:tcPr>
            <w:tcW w:w="1550" w:type="dxa"/>
            <w:tcBorders>
              <w:top w:val="single" w:color="000000" w:sz="8" w:space="0"/>
              <w:left w:val="single" w:color="000000" w:sz="8" w:space="0"/>
              <w:bottom w:val="single" w:color="000000" w:sz="8" w:space="0"/>
              <w:right w:val="single" w:color="000000" w:sz="8" w:space="0"/>
            </w:tcBorders>
            <w:vAlign w:val="center"/>
          </w:tcPr>
          <w:p w14:paraId="54095BCE">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1、≥15英寸彩色液晶触摸显示屏，具备报警灯。</w:t>
            </w:r>
          </w:p>
        </w:tc>
        <w:tc>
          <w:tcPr>
            <w:tcW w:w="1200" w:type="dxa"/>
            <w:tcBorders>
              <w:top w:val="single" w:color="000000" w:sz="8" w:space="0"/>
              <w:left w:val="single" w:color="000000" w:sz="8" w:space="0"/>
              <w:bottom w:val="single" w:color="000000" w:sz="8" w:space="0"/>
              <w:right w:val="single" w:color="000000" w:sz="8" w:space="0"/>
            </w:tcBorders>
            <w:vAlign w:val="center"/>
          </w:tcPr>
          <w:p w14:paraId="141B14F5">
            <w:pPr>
              <w:snapToGrid w:val="0"/>
              <w:spacing w:before="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r>
      <w:tr w14:paraId="3079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37853F6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2445" w:type="dxa"/>
            <w:tcBorders>
              <w:top w:val="single" w:color="000000" w:sz="8" w:space="0"/>
              <w:left w:val="single" w:color="000000" w:sz="8" w:space="0"/>
              <w:bottom w:val="single" w:color="000000" w:sz="8" w:space="0"/>
              <w:right w:val="single" w:color="000000" w:sz="8" w:space="0"/>
            </w:tcBorders>
            <w:vAlign w:val="center"/>
          </w:tcPr>
          <w:p w14:paraId="4B462A3E">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血液透析滤过机</w:t>
            </w:r>
          </w:p>
        </w:tc>
        <w:tc>
          <w:tcPr>
            <w:tcW w:w="840" w:type="dxa"/>
            <w:tcBorders>
              <w:top w:val="single" w:color="000000" w:sz="8" w:space="0"/>
              <w:left w:val="single" w:color="000000" w:sz="8" w:space="0"/>
              <w:bottom w:val="single" w:color="000000" w:sz="8" w:space="0"/>
              <w:right w:val="single" w:color="000000" w:sz="8" w:space="0"/>
            </w:tcBorders>
            <w:vAlign w:val="center"/>
          </w:tcPr>
          <w:p w14:paraId="1962A94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3459826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11E527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1550" w:type="dxa"/>
            <w:tcBorders>
              <w:top w:val="single" w:color="000000" w:sz="8" w:space="0"/>
              <w:left w:val="single" w:color="000000" w:sz="8" w:space="0"/>
              <w:bottom w:val="single" w:color="000000" w:sz="8" w:space="0"/>
              <w:right w:val="single" w:color="000000" w:sz="8" w:space="0"/>
            </w:tcBorders>
            <w:vAlign w:val="center"/>
          </w:tcPr>
          <w:p w14:paraId="09BA4C1E">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1、≥15英寸彩色液晶触摸显示屏，具备报警灯。</w:t>
            </w:r>
          </w:p>
        </w:tc>
        <w:tc>
          <w:tcPr>
            <w:tcW w:w="1200" w:type="dxa"/>
            <w:tcBorders>
              <w:top w:val="single" w:color="000000" w:sz="8" w:space="0"/>
              <w:left w:val="single" w:color="000000" w:sz="8" w:space="0"/>
              <w:bottom w:val="single" w:color="000000" w:sz="8" w:space="0"/>
              <w:right w:val="single" w:color="000000" w:sz="8" w:space="0"/>
            </w:tcBorders>
            <w:vAlign w:val="center"/>
          </w:tcPr>
          <w:p w14:paraId="3AC2CE29">
            <w:pPr>
              <w:snapToGrid w:val="0"/>
              <w:spacing w:before="60"/>
              <w:jc w:val="center"/>
              <w:rPr>
                <w:rFonts w:hint="eastAsia" w:ascii="宋体" w:hAnsi="宋体" w:eastAsia="宋体" w:cs="宋体"/>
                <w:color w:val="auto"/>
                <w:sz w:val="24"/>
                <w:szCs w:val="24"/>
                <w:highlight w:val="none"/>
                <w:lang w:val="en-US" w:eastAsia="zh-CN"/>
              </w:rPr>
            </w:pPr>
          </w:p>
        </w:tc>
      </w:tr>
      <w:tr w14:paraId="1406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4A0A558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2445" w:type="dxa"/>
            <w:tcBorders>
              <w:top w:val="single" w:color="000000" w:sz="8" w:space="0"/>
              <w:left w:val="single" w:color="000000" w:sz="8" w:space="0"/>
              <w:bottom w:val="single" w:color="000000" w:sz="8" w:space="0"/>
              <w:right w:val="single" w:color="000000" w:sz="8" w:space="0"/>
            </w:tcBorders>
            <w:vAlign w:val="center"/>
          </w:tcPr>
          <w:p w14:paraId="62D17183">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血液透析用制水设备</w:t>
            </w:r>
          </w:p>
        </w:tc>
        <w:tc>
          <w:tcPr>
            <w:tcW w:w="840" w:type="dxa"/>
            <w:tcBorders>
              <w:top w:val="single" w:color="000000" w:sz="8" w:space="0"/>
              <w:left w:val="single" w:color="000000" w:sz="8" w:space="0"/>
              <w:bottom w:val="single" w:color="000000" w:sz="8" w:space="0"/>
              <w:right w:val="single" w:color="000000" w:sz="8" w:space="0"/>
            </w:tcBorders>
            <w:vAlign w:val="center"/>
          </w:tcPr>
          <w:p w14:paraId="457F935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2CD0CC9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72370B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550" w:type="dxa"/>
            <w:tcBorders>
              <w:top w:val="single" w:color="000000" w:sz="8" w:space="0"/>
              <w:left w:val="single" w:color="000000" w:sz="8" w:space="0"/>
              <w:bottom w:val="single" w:color="000000" w:sz="8" w:space="0"/>
              <w:right w:val="single" w:color="000000" w:sz="8" w:space="0"/>
            </w:tcBorders>
            <w:vAlign w:val="center"/>
          </w:tcPr>
          <w:p w14:paraId="77FB3030">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1、原水要求：原水进水为市政自来水</w:t>
            </w:r>
          </w:p>
        </w:tc>
        <w:tc>
          <w:tcPr>
            <w:tcW w:w="1200" w:type="dxa"/>
            <w:tcBorders>
              <w:top w:val="single" w:color="000000" w:sz="8" w:space="0"/>
              <w:left w:val="single" w:color="000000" w:sz="8" w:space="0"/>
              <w:bottom w:val="single" w:color="000000" w:sz="8" w:space="0"/>
              <w:right w:val="single" w:color="000000" w:sz="8" w:space="0"/>
            </w:tcBorders>
            <w:vAlign w:val="center"/>
          </w:tcPr>
          <w:p w14:paraId="6D612033">
            <w:pPr>
              <w:snapToGrid w:val="0"/>
              <w:spacing w:before="60"/>
              <w:jc w:val="center"/>
              <w:rPr>
                <w:rFonts w:hint="eastAsia" w:ascii="宋体" w:hAnsi="宋体" w:eastAsia="宋体" w:cs="宋体"/>
                <w:color w:val="auto"/>
                <w:sz w:val="24"/>
                <w:szCs w:val="24"/>
                <w:highlight w:val="none"/>
                <w:lang w:val="en-US" w:eastAsia="zh-CN"/>
              </w:rPr>
            </w:pPr>
          </w:p>
        </w:tc>
      </w:tr>
      <w:tr w14:paraId="00A3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5F69DA7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2445" w:type="dxa"/>
            <w:tcBorders>
              <w:top w:val="single" w:color="000000" w:sz="8" w:space="0"/>
              <w:left w:val="single" w:color="000000" w:sz="8" w:space="0"/>
              <w:bottom w:val="single" w:color="000000" w:sz="8" w:space="0"/>
              <w:right w:val="single" w:color="000000" w:sz="8" w:space="0"/>
            </w:tcBorders>
            <w:vAlign w:val="center"/>
          </w:tcPr>
          <w:p w14:paraId="2FD1D9A2">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全自动软式内镜清洗消毒器</w:t>
            </w:r>
          </w:p>
        </w:tc>
        <w:tc>
          <w:tcPr>
            <w:tcW w:w="840" w:type="dxa"/>
            <w:tcBorders>
              <w:top w:val="single" w:color="000000" w:sz="8" w:space="0"/>
              <w:left w:val="single" w:color="000000" w:sz="8" w:space="0"/>
              <w:bottom w:val="single" w:color="000000" w:sz="8" w:space="0"/>
              <w:right w:val="single" w:color="000000" w:sz="8" w:space="0"/>
            </w:tcBorders>
            <w:vAlign w:val="center"/>
          </w:tcPr>
          <w:p w14:paraId="45B06A2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004F17B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4DD098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550" w:type="dxa"/>
            <w:tcBorders>
              <w:top w:val="single" w:color="000000" w:sz="8" w:space="0"/>
              <w:left w:val="single" w:color="000000" w:sz="8" w:space="0"/>
              <w:bottom w:val="single" w:color="000000" w:sz="8" w:space="0"/>
              <w:right w:val="single" w:color="000000" w:sz="8" w:space="0"/>
            </w:tcBorders>
            <w:vAlign w:val="center"/>
          </w:tcPr>
          <w:p w14:paraId="393927D4">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1、消毒剂桶容量：≥5L</w:t>
            </w:r>
          </w:p>
        </w:tc>
        <w:tc>
          <w:tcPr>
            <w:tcW w:w="1200" w:type="dxa"/>
            <w:tcBorders>
              <w:top w:val="single" w:color="000000" w:sz="8" w:space="0"/>
              <w:left w:val="single" w:color="000000" w:sz="8" w:space="0"/>
              <w:bottom w:val="single" w:color="000000" w:sz="8" w:space="0"/>
              <w:right w:val="single" w:color="000000" w:sz="8" w:space="0"/>
            </w:tcBorders>
            <w:vAlign w:val="center"/>
          </w:tcPr>
          <w:p w14:paraId="1924D0EF">
            <w:pPr>
              <w:snapToGrid w:val="0"/>
              <w:spacing w:before="60"/>
              <w:jc w:val="center"/>
              <w:rPr>
                <w:rFonts w:hint="eastAsia" w:ascii="宋体" w:hAnsi="宋体" w:eastAsia="宋体" w:cs="宋体"/>
                <w:color w:val="auto"/>
                <w:sz w:val="24"/>
                <w:szCs w:val="24"/>
                <w:highlight w:val="none"/>
                <w:lang w:val="en-US" w:eastAsia="zh-CN"/>
              </w:rPr>
            </w:pPr>
          </w:p>
        </w:tc>
      </w:tr>
      <w:tr w14:paraId="6C57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0F60C6F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2445" w:type="dxa"/>
            <w:tcBorders>
              <w:top w:val="single" w:color="000000" w:sz="8" w:space="0"/>
              <w:left w:val="single" w:color="000000" w:sz="8" w:space="0"/>
              <w:bottom w:val="single" w:color="000000" w:sz="8" w:space="0"/>
              <w:right w:val="single" w:color="000000" w:sz="8" w:space="0"/>
            </w:tcBorders>
            <w:vAlign w:val="center"/>
          </w:tcPr>
          <w:p w14:paraId="109ABF36">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脉动真空灭菌器</w:t>
            </w:r>
          </w:p>
        </w:tc>
        <w:tc>
          <w:tcPr>
            <w:tcW w:w="840" w:type="dxa"/>
            <w:tcBorders>
              <w:top w:val="single" w:color="000000" w:sz="8" w:space="0"/>
              <w:left w:val="single" w:color="000000" w:sz="8" w:space="0"/>
              <w:bottom w:val="single" w:color="000000" w:sz="8" w:space="0"/>
              <w:right w:val="single" w:color="000000" w:sz="8" w:space="0"/>
            </w:tcBorders>
            <w:vAlign w:val="center"/>
          </w:tcPr>
          <w:p w14:paraId="539D76E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0A702D2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445BB3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550" w:type="dxa"/>
            <w:tcBorders>
              <w:top w:val="single" w:color="000000" w:sz="8" w:space="0"/>
              <w:left w:val="single" w:color="000000" w:sz="8" w:space="0"/>
              <w:bottom w:val="single" w:color="000000" w:sz="8" w:space="0"/>
              <w:right w:val="single" w:color="000000" w:sz="8" w:space="0"/>
            </w:tcBorders>
            <w:vAlign w:val="center"/>
          </w:tcPr>
          <w:p w14:paraId="32E7A24F">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1、容积:≥</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val="en-US"/>
              </w:rPr>
              <w:t>L</w:t>
            </w:r>
          </w:p>
        </w:tc>
        <w:tc>
          <w:tcPr>
            <w:tcW w:w="1200" w:type="dxa"/>
            <w:tcBorders>
              <w:top w:val="single" w:color="000000" w:sz="8" w:space="0"/>
              <w:left w:val="single" w:color="000000" w:sz="8" w:space="0"/>
              <w:bottom w:val="single" w:color="000000" w:sz="8" w:space="0"/>
              <w:right w:val="single" w:color="000000" w:sz="8" w:space="0"/>
            </w:tcBorders>
            <w:vAlign w:val="center"/>
          </w:tcPr>
          <w:p w14:paraId="01D5E779">
            <w:pPr>
              <w:snapToGrid w:val="0"/>
              <w:spacing w:before="60"/>
              <w:jc w:val="center"/>
              <w:rPr>
                <w:rFonts w:hint="eastAsia" w:ascii="宋体" w:hAnsi="宋体" w:eastAsia="宋体" w:cs="宋体"/>
                <w:color w:val="auto"/>
                <w:sz w:val="24"/>
                <w:szCs w:val="24"/>
                <w:highlight w:val="none"/>
                <w:lang w:val="en-US" w:eastAsia="zh-CN"/>
              </w:rPr>
            </w:pPr>
          </w:p>
        </w:tc>
      </w:tr>
      <w:tr w14:paraId="1614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0B7D6A3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w:t>
            </w:r>
          </w:p>
        </w:tc>
        <w:tc>
          <w:tcPr>
            <w:tcW w:w="2445" w:type="dxa"/>
            <w:tcBorders>
              <w:top w:val="single" w:color="000000" w:sz="8" w:space="0"/>
              <w:left w:val="single" w:color="000000" w:sz="8" w:space="0"/>
              <w:bottom w:val="single" w:color="000000" w:sz="8" w:space="0"/>
              <w:right w:val="single" w:color="000000" w:sz="8" w:space="0"/>
            </w:tcBorders>
            <w:vAlign w:val="center"/>
          </w:tcPr>
          <w:p w14:paraId="3EFA5967">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过氧化氢低温等离子体灭菌器</w:t>
            </w:r>
          </w:p>
        </w:tc>
        <w:tc>
          <w:tcPr>
            <w:tcW w:w="840" w:type="dxa"/>
            <w:tcBorders>
              <w:top w:val="single" w:color="000000" w:sz="8" w:space="0"/>
              <w:left w:val="single" w:color="000000" w:sz="8" w:space="0"/>
              <w:bottom w:val="single" w:color="000000" w:sz="8" w:space="0"/>
              <w:right w:val="single" w:color="000000" w:sz="8" w:space="0"/>
            </w:tcBorders>
            <w:vAlign w:val="center"/>
          </w:tcPr>
          <w:p w14:paraId="5ACB824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4FD5040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45C59F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550" w:type="dxa"/>
            <w:tcBorders>
              <w:top w:val="single" w:color="000000" w:sz="8" w:space="0"/>
              <w:left w:val="single" w:color="000000" w:sz="8" w:space="0"/>
              <w:bottom w:val="single" w:color="000000" w:sz="8" w:space="0"/>
              <w:right w:val="single" w:color="000000" w:sz="8" w:space="0"/>
            </w:tcBorders>
            <w:vAlign w:val="center"/>
          </w:tcPr>
          <w:p w14:paraId="3D35A773">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1、容积:≥120L</w:t>
            </w:r>
          </w:p>
        </w:tc>
        <w:tc>
          <w:tcPr>
            <w:tcW w:w="1200" w:type="dxa"/>
            <w:tcBorders>
              <w:top w:val="single" w:color="000000" w:sz="8" w:space="0"/>
              <w:left w:val="single" w:color="000000" w:sz="8" w:space="0"/>
              <w:bottom w:val="single" w:color="000000" w:sz="8" w:space="0"/>
              <w:right w:val="single" w:color="000000" w:sz="8" w:space="0"/>
            </w:tcBorders>
            <w:vAlign w:val="center"/>
          </w:tcPr>
          <w:p w14:paraId="5C00565E">
            <w:pPr>
              <w:snapToGrid w:val="0"/>
              <w:spacing w:before="60"/>
              <w:jc w:val="center"/>
              <w:rPr>
                <w:rFonts w:hint="eastAsia" w:ascii="宋体" w:hAnsi="宋体" w:eastAsia="宋体" w:cs="宋体"/>
                <w:color w:val="auto"/>
                <w:sz w:val="24"/>
                <w:szCs w:val="24"/>
                <w:highlight w:val="none"/>
                <w:lang w:val="en-US" w:eastAsia="zh-CN"/>
              </w:rPr>
            </w:pPr>
          </w:p>
        </w:tc>
      </w:tr>
      <w:tr w14:paraId="2E4E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77486AA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w:t>
            </w:r>
          </w:p>
        </w:tc>
        <w:tc>
          <w:tcPr>
            <w:tcW w:w="2445" w:type="dxa"/>
            <w:tcBorders>
              <w:top w:val="single" w:color="000000" w:sz="8" w:space="0"/>
              <w:left w:val="single" w:color="000000" w:sz="8" w:space="0"/>
              <w:bottom w:val="single" w:color="000000" w:sz="8" w:space="0"/>
              <w:right w:val="single" w:color="000000" w:sz="8" w:space="0"/>
            </w:tcBorders>
            <w:vAlign w:val="center"/>
          </w:tcPr>
          <w:p w14:paraId="6730AA77">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腔镜绝缘性能检测仪器</w:t>
            </w:r>
          </w:p>
        </w:tc>
        <w:tc>
          <w:tcPr>
            <w:tcW w:w="840" w:type="dxa"/>
            <w:tcBorders>
              <w:top w:val="single" w:color="000000" w:sz="8" w:space="0"/>
              <w:left w:val="single" w:color="000000" w:sz="8" w:space="0"/>
              <w:bottom w:val="single" w:color="000000" w:sz="8" w:space="0"/>
              <w:right w:val="single" w:color="000000" w:sz="8" w:space="0"/>
            </w:tcBorders>
            <w:vAlign w:val="center"/>
          </w:tcPr>
          <w:p w14:paraId="3E65B05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0663CE8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3D5E6E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550" w:type="dxa"/>
            <w:tcBorders>
              <w:top w:val="single" w:color="000000" w:sz="8" w:space="0"/>
              <w:left w:val="single" w:color="000000" w:sz="8" w:space="0"/>
              <w:bottom w:val="single" w:color="000000" w:sz="8" w:space="0"/>
              <w:right w:val="single" w:color="000000" w:sz="8" w:space="0"/>
            </w:tcBorders>
            <w:vAlign w:val="center"/>
          </w:tcPr>
          <w:p w14:paraId="66D33343">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功能：对带电源手术器械进行绝缘层破损检测</w:t>
            </w:r>
          </w:p>
        </w:tc>
        <w:tc>
          <w:tcPr>
            <w:tcW w:w="1200" w:type="dxa"/>
            <w:tcBorders>
              <w:top w:val="single" w:color="000000" w:sz="8" w:space="0"/>
              <w:left w:val="single" w:color="000000" w:sz="8" w:space="0"/>
              <w:bottom w:val="single" w:color="000000" w:sz="8" w:space="0"/>
              <w:right w:val="single" w:color="000000" w:sz="8" w:space="0"/>
            </w:tcBorders>
            <w:vAlign w:val="center"/>
          </w:tcPr>
          <w:p w14:paraId="695621E4">
            <w:pPr>
              <w:snapToGrid w:val="0"/>
              <w:spacing w:before="60"/>
              <w:jc w:val="center"/>
              <w:rPr>
                <w:rFonts w:hint="eastAsia" w:ascii="宋体" w:hAnsi="宋体" w:eastAsia="宋体" w:cs="宋体"/>
                <w:color w:val="auto"/>
                <w:sz w:val="24"/>
                <w:szCs w:val="24"/>
                <w:highlight w:val="none"/>
                <w:lang w:val="en-US" w:eastAsia="zh-CN"/>
              </w:rPr>
            </w:pPr>
          </w:p>
        </w:tc>
      </w:tr>
      <w:tr w14:paraId="6E2C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205D5DF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2445" w:type="dxa"/>
            <w:tcBorders>
              <w:top w:val="single" w:color="000000" w:sz="8" w:space="0"/>
              <w:left w:val="single" w:color="000000" w:sz="8" w:space="0"/>
              <w:bottom w:val="single" w:color="000000" w:sz="8" w:space="0"/>
              <w:right w:val="single" w:color="000000" w:sz="8" w:space="0"/>
            </w:tcBorders>
            <w:vAlign w:val="center"/>
          </w:tcPr>
          <w:p w14:paraId="68DC5C2C">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十二道心电图机</w:t>
            </w:r>
          </w:p>
        </w:tc>
        <w:tc>
          <w:tcPr>
            <w:tcW w:w="840" w:type="dxa"/>
            <w:tcBorders>
              <w:top w:val="single" w:color="000000" w:sz="8" w:space="0"/>
              <w:left w:val="single" w:color="000000" w:sz="8" w:space="0"/>
              <w:bottom w:val="single" w:color="000000" w:sz="8" w:space="0"/>
              <w:right w:val="single" w:color="000000" w:sz="8" w:space="0"/>
            </w:tcBorders>
            <w:vAlign w:val="center"/>
          </w:tcPr>
          <w:p w14:paraId="454B734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05C2AA9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1215EF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550" w:type="dxa"/>
            <w:tcBorders>
              <w:top w:val="single" w:color="000000" w:sz="8" w:space="0"/>
              <w:left w:val="single" w:color="000000" w:sz="8" w:space="0"/>
              <w:bottom w:val="single" w:color="000000" w:sz="8" w:space="0"/>
              <w:right w:val="single" w:color="000000" w:sz="8" w:space="0"/>
            </w:tcBorders>
            <w:vAlign w:val="center"/>
          </w:tcPr>
          <w:p w14:paraId="3588A107">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导联：12导联同步采集、显示、打印</w:t>
            </w:r>
          </w:p>
        </w:tc>
        <w:tc>
          <w:tcPr>
            <w:tcW w:w="1200" w:type="dxa"/>
            <w:tcBorders>
              <w:top w:val="single" w:color="000000" w:sz="8" w:space="0"/>
              <w:left w:val="single" w:color="000000" w:sz="8" w:space="0"/>
              <w:bottom w:val="single" w:color="000000" w:sz="8" w:space="0"/>
              <w:right w:val="single" w:color="000000" w:sz="8" w:space="0"/>
            </w:tcBorders>
            <w:vAlign w:val="center"/>
          </w:tcPr>
          <w:p w14:paraId="2412DFC0">
            <w:pPr>
              <w:snapToGrid w:val="0"/>
              <w:spacing w:before="60"/>
              <w:jc w:val="center"/>
              <w:rPr>
                <w:rFonts w:hint="eastAsia" w:ascii="宋体" w:hAnsi="宋体" w:eastAsia="宋体" w:cs="宋体"/>
                <w:color w:val="auto"/>
                <w:sz w:val="24"/>
                <w:szCs w:val="24"/>
                <w:highlight w:val="none"/>
                <w:lang w:val="en-US" w:eastAsia="zh-CN"/>
              </w:rPr>
            </w:pPr>
          </w:p>
        </w:tc>
      </w:tr>
      <w:tr w14:paraId="044E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6614BEA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9</w:t>
            </w:r>
          </w:p>
        </w:tc>
        <w:tc>
          <w:tcPr>
            <w:tcW w:w="2445" w:type="dxa"/>
            <w:tcBorders>
              <w:top w:val="single" w:color="000000" w:sz="8" w:space="0"/>
              <w:left w:val="single" w:color="000000" w:sz="8" w:space="0"/>
              <w:bottom w:val="single" w:color="000000" w:sz="8" w:space="0"/>
              <w:right w:val="single" w:color="000000" w:sz="8" w:space="0"/>
            </w:tcBorders>
            <w:vAlign w:val="center"/>
          </w:tcPr>
          <w:p w14:paraId="6F4F65A1">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麻醉疼痛专用可视化超声系统</w:t>
            </w:r>
          </w:p>
        </w:tc>
        <w:tc>
          <w:tcPr>
            <w:tcW w:w="840" w:type="dxa"/>
            <w:tcBorders>
              <w:top w:val="single" w:color="000000" w:sz="8" w:space="0"/>
              <w:left w:val="single" w:color="000000" w:sz="8" w:space="0"/>
              <w:bottom w:val="single" w:color="000000" w:sz="8" w:space="0"/>
              <w:right w:val="single" w:color="000000" w:sz="8" w:space="0"/>
            </w:tcBorders>
            <w:vAlign w:val="center"/>
          </w:tcPr>
          <w:p w14:paraId="6419AE7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5346B50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1200" w:type="dxa"/>
            <w:tcBorders>
              <w:top w:val="single" w:color="000000" w:sz="8" w:space="0"/>
              <w:left w:val="single" w:color="000000" w:sz="8" w:space="0"/>
              <w:bottom w:val="single" w:color="000000" w:sz="8" w:space="0"/>
              <w:right w:val="single" w:color="000000" w:sz="8" w:space="0"/>
            </w:tcBorders>
            <w:vAlign w:val="center"/>
          </w:tcPr>
          <w:p w14:paraId="60DEDE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550" w:type="dxa"/>
            <w:tcBorders>
              <w:top w:val="single" w:color="000000" w:sz="8" w:space="0"/>
              <w:left w:val="single" w:color="000000" w:sz="8" w:space="0"/>
              <w:bottom w:val="single" w:color="000000" w:sz="8" w:space="0"/>
              <w:right w:val="single" w:color="000000" w:sz="8" w:space="0"/>
            </w:tcBorders>
            <w:vAlign w:val="center"/>
          </w:tcPr>
          <w:p w14:paraId="24AAFFF9">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显示器：≥15英寸电容式触摸屏，支持单点、滑动操作</w:t>
            </w:r>
          </w:p>
        </w:tc>
        <w:tc>
          <w:tcPr>
            <w:tcW w:w="1200" w:type="dxa"/>
            <w:tcBorders>
              <w:top w:val="single" w:color="000000" w:sz="8" w:space="0"/>
              <w:left w:val="single" w:color="000000" w:sz="8" w:space="0"/>
              <w:bottom w:val="single" w:color="000000" w:sz="8" w:space="0"/>
              <w:right w:val="single" w:color="000000" w:sz="8" w:space="0"/>
            </w:tcBorders>
            <w:vAlign w:val="center"/>
          </w:tcPr>
          <w:p w14:paraId="32E3CBEB">
            <w:pPr>
              <w:snapToGrid w:val="0"/>
              <w:spacing w:before="60"/>
              <w:jc w:val="center"/>
              <w:rPr>
                <w:rFonts w:hint="default" w:ascii="宋体" w:hAnsi="宋体" w:eastAsia="宋体" w:cs="宋体"/>
                <w:color w:val="auto"/>
                <w:sz w:val="24"/>
                <w:szCs w:val="24"/>
                <w:highlight w:val="none"/>
                <w:lang w:val="en-US" w:eastAsia="zh-CN"/>
              </w:rPr>
            </w:pPr>
          </w:p>
        </w:tc>
      </w:tr>
      <w:tr w14:paraId="2C99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396D885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2445" w:type="dxa"/>
            <w:tcBorders>
              <w:top w:val="single" w:color="000000" w:sz="8" w:space="0"/>
              <w:left w:val="single" w:color="000000" w:sz="8" w:space="0"/>
              <w:bottom w:val="single" w:color="000000" w:sz="8" w:space="0"/>
              <w:right w:val="single" w:color="000000" w:sz="8" w:space="0"/>
            </w:tcBorders>
            <w:vAlign w:val="center"/>
          </w:tcPr>
          <w:p w14:paraId="256D79C8">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射频控温热凝仪</w:t>
            </w:r>
          </w:p>
        </w:tc>
        <w:tc>
          <w:tcPr>
            <w:tcW w:w="840" w:type="dxa"/>
            <w:tcBorders>
              <w:top w:val="single" w:color="000000" w:sz="8" w:space="0"/>
              <w:left w:val="single" w:color="000000" w:sz="8" w:space="0"/>
              <w:bottom w:val="single" w:color="000000" w:sz="8" w:space="0"/>
              <w:right w:val="single" w:color="000000" w:sz="8" w:space="0"/>
            </w:tcBorders>
            <w:vAlign w:val="center"/>
          </w:tcPr>
          <w:p w14:paraId="1ABF3DD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3676682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623467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550" w:type="dxa"/>
            <w:tcBorders>
              <w:top w:val="single" w:color="000000" w:sz="8" w:space="0"/>
              <w:left w:val="single" w:color="000000" w:sz="8" w:space="0"/>
              <w:bottom w:val="single" w:color="000000" w:sz="8" w:space="0"/>
              <w:right w:val="single" w:color="000000" w:sz="8" w:space="0"/>
            </w:tcBorders>
            <w:vAlign w:val="center"/>
          </w:tcPr>
          <w:p w14:paraId="3132F773">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1、热凝器额定输出功率：≥50W</w:t>
            </w:r>
          </w:p>
        </w:tc>
        <w:tc>
          <w:tcPr>
            <w:tcW w:w="1200" w:type="dxa"/>
            <w:tcBorders>
              <w:top w:val="single" w:color="000000" w:sz="8" w:space="0"/>
              <w:left w:val="single" w:color="000000" w:sz="8" w:space="0"/>
              <w:bottom w:val="single" w:color="000000" w:sz="8" w:space="0"/>
              <w:right w:val="single" w:color="000000" w:sz="8" w:space="0"/>
            </w:tcBorders>
            <w:vAlign w:val="center"/>
          </w:tcPr>
          <w:p w14:paraId="044BB51C">
            <w:pPr>
              <w:snapToGrid w:val="0"/>
              <w:spacing w:before="60"/>
              <w:jc w:val="center"/>
              <w:rPr>
                <w:rFonts w:hint="eastAsia" w:ascii="宋体" w:hAnsi="宋体" w:eastAsia="宋体" w:cs="宋体"/>
                <w:color w:val="auto"/>
                <w:sz w:val="24"/>
                <w:szCs w:val="24"/>
                <w:highlight w:val="none"/>
                <w:lang w:val="en-US" w:eastAsia="zh-CN"/>
              </w:rPr>
            </w:pPr>
          </w:p>
        </w:tc>
      </w:tr>
      <w:tr w14:paraId="0018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0758F87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w:t>
            </w:r>
          </w:p>
        </w:tc>
        <w:tc>
          <w:tcPr>
            <w:tcW w:w="2445" w:type="dxa"/>
            <w:tcBorders>
              <w:top w:val="single" w:color="000000" w:sz="8" w:space="0"/>
              <w:left w:val="single" w:color="000000" w:sz="8" w:space="0"/>
              <w:bottom w:val="single" w:color="000000" w:sz="8" w:space="0"/>
              <w:right w:val="single" w:color="000000" w:sz="8" w:space="0"/>
            </w:tcBorders>
            <w:vAlign w:val="center"/>
          </w:tcPr>
          <w:p w14:paraId="604841FB">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光谱热疗仪</w:t>
            </w:r>
          </w:p>
        </w:tc>
        <w:tc>
          <w:tcPr>
            <w:tcW w:w="840" w:type="dxa"/>
            <w:tcBorders>
              <w:top w:val="single" w:color="000000" w:sz="8" w:space="0"/>
              <w:left w:val="single" w:color="000000" w:sz="8" w:space="0"/>
              <w:bottom w:val="single" w:color="000000" w:sz="8" w:space="0"/>
              <w:right w:val="single" w:color="000000" w:sz="8" w:space="0"/>
            </w:tcBorders>
            <w:vAlign w:val="center"/>
          </w:tcPr>
          <w:p w14:paraId="1E8B477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3E5BE57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3F1473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550" w:type="dxa"/>
            <w:tcBorders>
              <w:top w:val="single" w:color="000000" w:sz="8" w:space="0"/>
              <w:left w:val="single" w:color="000000" w:sz="8" w:space="0"/>
              <w:bottom w:val="single" w:color="000000" w:sz="8" w:space="0"/>
              <w:right w:val="single" w:color="000000" w:sz="8" w:space="0"/>
            </w:tcBorders>
            <w:vAlign w:val="center"/>
          </w:tcPr>
          <w:p w14:paraId="6049F00C">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1、治疗光源：卤素光源</w:t>
            </w:r>
          </w:p>
        </w:tc>
        <w:tc>
          <w:tcPr>
            <w:tcW w:w="1200" w:type="dxa"/>
            <w:tcBorders>
              <w:top w:val="single" w:color="000000" w:sz="8" w:space="0"/>
              <w:left w:val="single" w:color="000000" w:sz="8" w:space="0"/>
              <w:bottom w:val="single" w:color="000000" w:sz="8" w:space="0"/>
              <w:right w:val="single" w:color="000000" w:sz="8" w:space="0"/>
            </w:tcBorders>
            <w:vAlign w:val="center"/>
          </w:tcPr>
          <w:p w14:paraId="5F5802B2">
            <w:pPr>
              <w:snapToGrid w:val="0"/>
              <w:spacing w:before="60"/>
              <w:jc w:val="center"/>
              <w:rPr>
                <w:rFonts w:hint="eastAsia" w:ascii="宋体" w:hAnsi="宋体" w:eastAsia="宋体" w:cs="宋体"/>
                <w:color w:val="auto"/>
                <w:sz w:val="24"/>
                <w:szCs w:val="24"/>
                <w:highlight w:val="none"/>
                <w:lang w:val="en-US" w:eastAsia="zh-CN"/>
              </w:rPr>
            </w:pPr>
          </w:p>
        </w:tc>
      </w:tr>
      <w:tr w14:paraId="2206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7A7E04A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w:t>
            </w:r>
          </w:p>
        </w:tc>
        <w:tc>
          <w:tcPr>
            <w:tcW w:w="2445" w:type="dxa"/>
            <w:tcBorders>
              <w:top w:val="single" w:color="000000" w:sz="8" w:space="0"/>
              <w:left w:val="single" w:color="000000" w:sz="8" w:space="0"/>
              <w:bottom w:val="single" w:color="000000" w:sz="8" w:space="0"/>
              <w:right w:val="single" w:color="000000" w:sz="8" w:space="0"/>
            </w:tcBorders>
            <w:vAlign w:val="center"/>
          </w:tcPr>
          <w:p w14:paraId="1D3C2375">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高频电刀</w:t>
            </w:r>
          </w:p>
        </w:tc>
        <w:tc>
          <w:tcPr>
            <w:tcW w:w="840" w:type="dxa"/>
            <w:tcBorders>
              <w:top w:val="single" w:color="000000" w:sz="8" w:space="0"/>
              <w:left w:val="single" w:color="000000" w:sz="8" w:space="0"/>
              <w:bottom w:val="single" w:color="000000" w:sz="8" w:space="0"/>
              <w:right w:val="single" w:color="000000" w:sz="8" w:space="0"/>
            </w:tcBorders>
            <w:vAlign w:val="center"/>
          </w:tcPr>
          <w:p w14:paraId="50AAF6F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3DD7C1A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468A80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550" w:type="dxa"/>
            <w:tcBorders>
              <w:top w:val="single" w:color="000000" w:sz="8" w:space="0"/>
              <w:left w:val="single" w:color="000000" w:sz="8" w:space="0"/>
              <w:bottom w:val="single" w:color="000000" w:sz="8" w:space="0"/>
              <w:right w:val="single" w:color="000000" w:sz="8" w:space="0"/>
            </w:tcBorders>
            <w:vAlign w:val="center"/>
          </w:tcPr>
          <w:p w14:paraId="4A34C95E">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、输出功率:300W</w:t>
            </w:r>
          </w:p>
        </w:tc>
        <w:tc>
          <w:tcPr>
            <w:tcW w:w="1200" w:type="dxa"/>
            <w:tcBorders>
              <w:top w:val="single" w:color="000000" w:sz="8" w:space="0"/>
              <w:left w:val="single" w:color="000000" w:sz="8" w:space="0"/>
              <w:bottom w:val="single" w:color="000000" w:sz="8" w:space="0"/>
              <w:right w:val="single" w:color="000000" w:sz="8" w:space="0"/>
            </w:tcBorders>
            <w:vAlign w:val="center"/>
          </w:tcPr>
          <w:p w14:paraId="482F885C">
            <w:pPr>
              <w:snapToGrid w:val="0"/>
              <w:spacing w:before="60"/>
              <w:jc w:val="center"/>
              <w:rPr>
                <w:rFonts w:hint="eastAsia" w:ascii="宋体" w:hAnsi="宋体" w:eastAsia="宋体" w:cs="宋体"/>
                <w:color w:val="auto"/>
                <w:sz w:val="24"/>
                <w:szCs w:val="24"/>
                <w:highlight w:val="none"/>
                <w:lang w:val="en-US" w:eastAsia="zh-CN"/>
              </w:rPr>
            </w:pPr>
          </w:p>
        </w:tc>
      </w:tr>
      <w:tr w14:paraId="1819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6E30A9E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13</w:t>
            </w:r>
          </w:p>
        </w:tc>
        <w:tc>
          <w:tcPr>
            <w:tcW w:w="2445" w:type="dxa"/>
            <w:tcBorders>
              <w:top w:val="single" w:color="000000" w:sz="8" w:space="0"/>
              <w:left w:val="single" w:color="000000" w:sz="8" w:space="0"/>
              <w:bottom w:val="single" w:color="000000" w:sz="8" w:space="0"/>
              <w:right w:val="single" w:color="000000" w:sz="8" w:space="0"/>
            </w:tcBorders>
            <w:vAlign w:val="center"/>
          </w:tcPr>
          <w:p w14:paraId="5149778C">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全自动化学发光免疫分析仪</w:t>
            </w:r>
          </w:p>
        </w:tc>
        <w:tc>
          <w:tcPr>
            <w:tcW w:w="840" w:type="dxa"/>
            <w:tcBorders>
              <w:top w:val="single" w:color="000000" w:sz="8" w:space="0"/>
              <w:left w:val="single" w:color="000000" w:sz="8" w:space="0"/>
              <w:bottom w:val="single" w:color="000000" w:sz="8" w:space="0"/>
              <w:right w:val="single" w:color="000000" w:sz="8" w:space="0"/>
            </w:tcBorders>
            <w:vAlign w:val="center"/>
          </w:tcPr>
          <w:p w14:paraId="3D8C6C8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089C773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0B475B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10.6</w:t>
            </w:r>
          </w:p>
        </w:tc>
        <w:tc>
          <w:tcPr>
            <w:tcW w:w="1550" w:type="dxa"/>
            <w:tcBorders>
              <w:top w:val="single" w:color="000000" w:sz="8" w:space="0"/>
              <w:left w:val="single" w:color="000000" w:sz="8" w:space="0"/>
              <w:bottom w:val="single" w:color="000000" w:sz="8" w:space="0"/>
              <w:right w:val="single" w:color="000000" w:sz="8" w:space="0"/>
            </w:tcBorders>
            <w:vAlign w:val="center"/>
          </w:tcPr>
          <w:p w14:paraId="1450AA3E">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1、可以通过人机对话指令，使仪器能自动完成不同样品、测试项目的分析任务</w:t>
            </w:r>
          </w:p>
        </w:tc>
        <w:tc>
          <w:tcPr>
            <w:tcW w:w="1200" w:type="dxa"/>
            <w:tcBorders>
              <w:top w:val="single" w:color="000000" w:sz="8" w:space="0"/>
              <w:left w:val="single" w:color="000000" w:sz="8" w:space="0"/>
              <w:bottom w:val="single" w:color="000000" w:sz="8" w:space="0"/>
              <w:right w:val="single" w:color="000000" w:sz="8" w:space="0"/>
            </w:tcBorders>
            <w:vAlign w:val="center"/>
          </w:tcPr>
          <w:p w14:paraId="11879669">
            <w:pPr>
              <w:snapToGrid w:val="0"/>
              <w:spacing w:before="60"/>
              <w:jc w:val="center"/>
              <w:rPr>
                <w:rFonts w:hint="eastAsia" w:ascii="宋体" w:hAnsi="宋体" w:eastAsia="宋体" w:cs="宋体"/>
                <w:color w:val="auto"/>
                <w:sz w:val="24"/>
                <w:szCs w:val="24"/>
                <w:highlight w:val="none"/>
                <w:lang w:val="en-US" w:eastAsia="zh-CN"/>
              </w:rPr>
            </w:pPr>
          </w:p>
        </w:tc>
      </w:tr>
      <w:tr w14:paraId="3A2C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6EA1A1B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14</w:t>
            </w:r>
          </w:p>
        </w:tc>
        <w:tc>
          <w:tcPr>
            <w:tcW w:w="2445" w:type="dxa"/>
            <w:tcBorders>
              <w:top w:val="single" w:color="000000" w:sz="8" w:space="0"/>
              <w:left w:val="single" w:color="000000" w:sz="8" w:space="0"/>
              <w:bottom w:val="single" w:color="000000" w:sz="8" w:space="0"/>
              <w:right w:val="single" w:color="000000" w:sz="8" w:space="0"/>
            </w:tcBorders>
            <w:vAlign w:val="center"/>
          </w:tcPr>
          <w:p w14:paraId="2D55C439">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手术室空调制冷系统(双机)</w:t>
            </w:r>
          </w:p>
        </w:tc>
        <w:tc>
          <w:tcPr>
            <w:tcW w:w="840" w:type="dxa"/>
            <w:tcBorders>
              <w:top w:val="single" w:color="000000" w:sz="8" w:space="0"/>
              <w:left w:val="single" w:color="000000" w:sz="8" w:space="0"/>
              <w:bottom w:val="single" w:color="000000" w:sz="8" w:space="0"/>
              <w:right w:val="single" w:color="000000" w:sz="8" w:space="0"/>
            </w:tcBorders>
            <w:vAlign w:val="center"/>
          </w:tcPr>
          <w:p w14:paraId="0FC98A6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6A1B4A3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1200" w:type="dxa"/>
            <w:tcBorders>
              <w:top w:val="single" w:color="000000" w:sz="8" w:space="0"/>
              <w:left w:val="single" w:color="000000" w:sz="8" w:space="0"/>
              <w:bottom w:val="single" w:color="000000" w:sz="8" w:space="0"/>
              <w:right w:val="single" w:color="000000" w:sz="8" w:space="0"/>
            </w:tcBorders>
            <w:vAlign w:val="center"/>
          </w:tcPr>
          <w:p w14:paraId="0758BD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1550" w:type="dxa"/>
            <w:tcBorders>
              <w:top w:val="single" w:color="000000" w:sz="8" w:space="0"/>
              <w:left w:val="single" w:color="000000" w:sz="8" w:space="0"/>
              <w:bottom w:val="single" w:color="000000" w:sz="8" w:space="0"/>
              <w:right w:val="single" w:color="000000" w:sz="8" w:space="0"/>
            </w:tcBorders>
            <w:vAlign w:val="center"/>
          </w:tcPr>
          <w:p w14:paraId="2AD296B3">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制冷机组制冷量应不小于130KW</w:t>
            </w:r>
          </w:p>
        </w:tc>
        <w:tc>
          <w:tcPr>
            <w:tcW w:w="1200" w:type="dxa"/>
            <w:tcBorders>
              <w:top w:val="single" w:color="000000" w:sz="8" w:space="0"/>
              <w:left w:val="single" w:color="000000" w:sz="8" w:space="0"/>
              <w:bottom w:val="single" w:color="000000" w:sz="8" w:space="0"/>
              <w:right w:val="single" w:color="000000" w:sz="8" w:space="0"/>
            </w:tcBorders>
            <w:vAlign w:val="center"/>
          </w:tcPr>
          <w:p w14:paraId="47B0438C">
            <w:pPr>
              <w:snapToGrid w:val="0"/>
              <w:spacing w:before="60"/>
              <w:jc w:val="center"/>
              <w:rPr>
                <w:rFonts w:hint="eastAsia" w:ascii="宋体" w:hAnsi="宋体" w:eastAsia="宋体" w:cs="宋体"/>
                <w:color w:val="auto"/>
                <w:sz w:val="24"/>
                <w:szCs w:val="24"/>
                <w:highlight w:val="none"/>
                <w:lang w:val="en-US" w:eastAsia="zh-CN"/>
              </w:rPr>
            </w:pPr>
          </w:p>
        </w:tc>
      </w:tr>
      <w:tr w14:paraId="2512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1EA4E83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2445" w:type="dxa"/>
            <w:tcBorders>
              <w:top w:val="single" w:color="000000" w:sz="8" w:space="0"/>
              <w:left w:val="single" w:color="000000" w:sz="8" w:space="0"/>
              <w:bottom w:val="single" w:color="000000" w:sz="8" w:space="0"/>
              <w:right w:val="single" w:color="000000" w:sz="8" w:space="0"/>
            </w:tcBorders>
            <w:vAlign w:val="center"/>
          </w:tcPr>
          <w:p w14:paraId="4B3D0C7C">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全自动血凝分析仪</w:t>
            </w:r>
          </w:p>
        </w:tc>
        <w:tc>
          <w:tcPr>
            <w:tcW w:w="840" w:type="dxa"/>
            <w:tcBorders>
              <w:top w:val="single" w:color="000000" w:sz="8" w:space="0"/>
              <w:left w:val="single" w:color="000000" w:sz="8" w:space="0"/>
              <w:bottom w:val="single" w:color="000000" w:sz="8" w:space="0"/>
              <w:right w:val="single" w:color="000000" w:sz="8" w:space="0"/>
            </w:tcBorders>
            <w:vAlign w:val="center"/>
          </w:tcPr>
          <w:p w14:paraId="498FCDF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025DBBC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2122AE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w:t>
            </w:r>
          </w:p>
        </w:tc>
        <w:tc>
          <w:tcPr>
            <w:tcW w:w="1550" w:type="dxa"/>
            <w:tcBorders>
              <w:top w:val="single" w:color="000000" w:sz="8" w:space="0"/>
              <w:left w:val="single" w:color="000000" w:sz="8" w:space="0"/>
              <w:bottom w:val="single" w:color="000000" w:sz="8" w:space="0"/>
              <w:right w:val="single" w:color="000000" w:sz="8" w:space="0"/>
            </w:tcBorders>
            <w:vAlign w:val="center"/>
          </w:tcPr>
          <w:p w14:paraId="3772E6F6">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1、检测方法：可提供多种方法学的血栓/止血分析系统，包括但不限于凝固法、发色底物法、免疫比浊法</w:t>
            </w:r>
          </w:p>
        </w:tc>
        <w:tc>
          <w:tcPr>
            <w:tcW w:w="1200" w:type="dxa"/>
            <w:tcBorders>
              <w:top w:val="single" w:color="000000" w:sz="8" w:space="0"/>
              <w:left w:val="single" w:color="000000" w:sz="8" w:space="0"/>
              <w:bottom w:val="single" w:color="000000" w:sz="8" w:space="0"/>
              <w:right w:val="single" w:color="000000" w:sz="8" w:space="0"/>
            </w:tcBorders>
            <w:vAlign w:val="center"/>
          </w:tcPr>
          <w:p w14:paraId="183EA05A">
            <w:pPr>
              <w:snapToGrid w:val="0"/>
              <w:spacing w:before="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r>
      <w:tr w14:paraId="011B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1B4EA68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16</w:t>
            </w:r>
          </w:p>
        </w:tc>
        <w:tc>
          <w:tcPr>
            <w:tcW w:w="2445" w:type="dxa"/>
            <w:tcBorders>
              <w:top w:val="single" w:color="000000" w:sz="8" w:space="0"/>
              <w:left w:val="single" w:color="000000" w:sz="8" w:space="0"/>
              <w:bottom w:val="single" w:color="000000" w:sz="8" w:space="0"/>
              <w:right w:val="single" w:color="000000" w:sz="8" w:space="0"/>
            </w:tcBorders>
            <w:vAlign w:val="center"/>
          </w:tcPr>
          <w:p w14:paraId="374C0292">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轮椅</w:t>
            </w:r>
          </w:p>
        </w:tc>
        <w:tc>
          <w:tcPr>
            <w:tcW w:w="840" w:type="dxa"/>
            <w:tcBorders>
              <w:top w:val="single" w:color="000000" w:sz="8" w:space="0"/>
              <w:left w:val="single" w:color="000000" w:sz="8" w:space="0"/>
              <w:bottom w:val="single" w:color="000000" w:sz="8" w:space="0"/>
              <w:right w:val="single" w:color="000000" w:sz="8" w:space="0"/>
            </w:tcBorders>
            <w:vAlign w:val="center"/>
          </w:tcPr>
          <w:p w14:paraId="23919B4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750" w:type="dxa"/>
            <w:tcBorders>
              <w:top w:val="single" w:color="000000" w:sz="8" w:space="0"/>
              <w:left w:val="single" w:color="000000" w:sz="8" w:space="0"/>
              <w:bottom w:val="single" w:color="000000" w:sz="8" w:space="0"/>
              <w:right w:val="single" w:color="000000" w:sz="8" w:space="0"/>
            </w:tcBorders>
            <w:vAlign w:val="center"/>
          </w:tcPr>
          <w:p w14:paraId="0149FAB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2D68E5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0.2</w:t>
            </w:r>
          </w:p>
        </w:tc>
        <w:tc>
          <w:tcPr>
            <w:tcW w:w="1550" w:type="dxa"/>
            <w:tcBorders>
              <w:top w:val="single" w:color="000000" w:sz="8" w:space="0"/>
              <w:left w:val="single" w:color="000000" w:sz="8" w:space="0"/>
              <w:bottom w:val="single" w:color="000000" w:sz="8" w:space="0"/>
              <w:right w:val="single" w:color="000000" w:sz="8" w:space="0"/>
            </w:tcBorders>
            <w:vAlign w:val="center"/>
          </w:tcPr>
          <w:p w14:paraId="2CAA2E92">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钢管材质，坐垫和靠采用皮革材质或织布，折叠后≤28cm，车长≤110cm</w:t>
            </w:r>
          </w:p>
        </w:tc>
        <w:tc>
          <w:tcPr>
            <w:tcW w:w="1200" w:type="dxa"/>
            <w:tcBorders>
              <w:top w:val="single" w:color="000000" w:sz="8" w:space="0"/>
              <w:left w:val="single" w:color="000000" w:sz="8" w:space="0"/>
              <w:bottom w:val="single" w:color="000000" w:sz="8" w:space="0"/>
              <w:right w:val="single" w:color="000000" w:sz="8" w:space="0"/>
            </w:tcBorders>
            <w:vAlign w:val="center"/>
          </w:tcPr>
          <w:p w14:paraId="73C77641">
            <w:pPr>
              <w:snapToGrid w:val="0"/>
              <w:spacing w:before="60"/>
              <w:jc w:val="center"/>
              <w:rPr>
                <w:rFonts w:hint="eastAsia" w:ascii="宋体" w:hAnsi="宋体" w:eastAsia="宋体" w:cs="宋体"/>
                <w:color w:val="auto"/>
                <w:sz w:val="24"/>
                <w:szCs w:val="24"/>
                <w:highlight w:val="none"/>
                <w:lang w:val="en-US" w:eastAsia="zh-CN"/>
              </w:rPr>
            </w:pPr>
          </w:p>
        </w:tc>
      </w:tr>
      <w:tr w14:paraId="086F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24E41B6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17</w:t>
            </w:r>
          </w:p>
        </w:tc>
        <w:tc>
          <w:tcPr>
            <w:tcW w:w="2445" w:type="dxa"/>
            <w:tcBorders>
              <w:top w:val="single" w:color="000000" w:sz="8" w:space="0"/>
              <w:left w:val="single" w:color="000000" w:sz="8" w:space="0"/>
              <w:bottom w:val="single" w:color="000000" w:sz="8" w:space="0"/>
              <w:right w:val="single" w:color="000000" w:sz="8" w:space="0"/>
            </w:tcBorders>
            <w:vAlign w:val="center"/>
          </w:tcPr>
          <w:p w14:paraId="2537E09E">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体重秤</w:t>
            </w:r>
          </w:p>
        </w:tc>
        <w:tc>
          <w:tcPr>
            <w:tcW w:w="840" w:type="dxa"/>
            <w:tcBorders>
              <w:top w:val="single" w:color="000000" w:sz="8" w:space="0"/>
              <w:left w:val="single" w:color="000000" w:sz="8" w:space="0"/>
              <w:bottom w:val="single" w:color="000000" w:sz="8" w:space="0"/>
              <w:right w:val="single" w:color="000000" w:sz="8" w:space="0"/>
            </w:tcBorders>
            <w:vAlign w:val="center"/>
          </w:tcPr>
          <w:p w14:paraId="728F63C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51EFF2D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4A08E2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0.1</w:t>
            </w:r>
          </w:p>
        </w:tc>
        <w:tc>
          <w:tcPr>
            <w:tcW w:w="1550" w:type="dxa"/>
            <w:tcBorders>
              <w:top w:val="single" w:color="000000" w:sz="8" w:space="0"/>
              <w:left w:val="single" w:color="000000" w:sz="8" w:space="0"/>
              <w:bottom w:val="single" w:color="000000" w:sz="8" w:space="0"/>
              <w:right w:val="single" w:color="000000" w:sz="8" w:space="0"/>
            </w:tcBorders>
            <w:vAlign w:val="center"/>
          </w:tcPr>
          <w:p w14:paraId="407CE131">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1、最大称量：≥200kg，最小称量≤2kg，分度值：200g</w:t>
            </w:r>
          </w:p>
        </w:tc>
        <w:tc>
          <w:tcPr>
            <w:tcW w:w="1200" w:type="dxa"/>
            <w:tcBorders>
              <w:top w:val="single" w:color="000000" w:sz="8" w:space="0"/>
              <w:left w:val="single" w:color="000000" w:sz="8" w:space="0"/>
              <w:bottom w:val="single" w:color="000000" w:sz="8" w:space="0"/>
              <w:right w:val="single" w:color="000000" w:sz="8" w:space="0"/>
            </w:tcBorders>
            <w:vAlign w:val="center"/>
          </w:tcPr>
          <w:p w14:paraId="38C9CE04">
            <w:pPr>
              <w:snapToGrid w:val="0"/>
              <w:spacing w:before="60"/>
              <w:jc w:val="center"/>
              <w:rPr>
                <w:rFonts w:hint="eastAsia" w:ascii="宋体" w:hAnsi="宋体" w:eastAsia="宋体" w:cs="宋体"/>
                <w:color w:val="auto"/>
                <w:sz w:val="24"/>
                <w:szCs w:val="24"/>
                <w:highlight w:val="none"/>
                <w:lang w:val="en-US" w:eastAsia="zh-CN"/>
              </w:rPr>
            </w:pPr>
          </w:p>
        </w:tc>
      </w:tr>
      <w:tr w14:paraId="36FD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1D7C328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18</w:t>
            </w:r>
          </w:p>
        </w:tc>
        <w:tc>
          <w:tcPr>
            <w:tcW w:w="2445" w:type="dxa"/>
            <w:tcBorders>
              <w:top w:val="single" w:color="000000" w:sz="8" w:space="0"/>
              <w:left w:val="single" w:color="000000" w:sz="8" w:space="0"/>
              <w:bottom w:val="single" w:color="000000" w:sz="8" w:space="0"/>
              <w:right w:val="single" w:color="000000" w:sz="8" w:space="0"/>
            </w:tcBorders>
            <w:vAlign w:val="center"/>
          </w:tcPr>
          <w:p w14:paraId="7139CD9F">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防压疮床垫</w:t>
            </w:r>
          </w:p>
        </w:tc>
        <w:tc>
          <w:tcPr>
            <w:tcW w:w="840" w:type="dxa"/>
            <w:tcBorders>
              <w:top w:val="single" w:color="000000" w:sz="8" w:space="0"/>
              <w:left w:val="single" w:color="000000" w:sz="8" w:space="0"/>
              <w:bottom w:val="single" w:color="000000" w:sz="8" w:space="0"/>
              <w:right w:val="single" w:color="000000" w:sz="8" w:space="0"/>
            </w:tcBorders>
            <w:vAlign w:val="center"/>
          </w:tcPr>
          <w:p w14:paraId="2F13A97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20C3E6D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1200" w:type="dxa"/>
            <w:tcBorders>
              <w:top w:val="single" w:color="000000" w:sz="8" w:space="0"/>
              <w:left w:val="single" w:color="000000" w:sz="8" w:space="0"/>
              <w:bottom w:val="single" w:color="000000" w:sz="8" w:space="0"/>
              <w:right w:val="single" w:color="000000" w:sz="8" w:space="0"/>
            </w:tcBorders>
            <w:vAlign w:val="center"/>
          </w:tcPr>
          <w:p w14:paraId="32FC19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0.1</w:t>
            </w:r>
          </w:p>
        </w:tc>
        <w:tc>
          <w:tcPr>
            <w:tcW w:w="1550" w:type="dxa"/>
            <w:tcBorders>
              <w:top w:val="single" w:color="000000" w:sz="8" w:space="0"/>
              <w:left w:val="single" w:color="000000" w:sz="8" w:space="0"/>
              <w:bottom w:val="single" w:color="000000" w:sz="8" w:space="0"/>
              <w:right w:val="single" w:color="000000" w:sz="8" w:space="0"/>
            </w:tcBorders>
            <w:vAlign w:val="center"/>
          </w:tcPr>
          <w:p w14:paraId="71C87D68">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工作载荷:气床垫工作载荷≥100kg。</w:t>
            </w:r>
          </w:p>
        </w:tc>
        <w:tc>
          <w:tcPr>
            <w:tcW w:w="1200" w:type="dxa"/>
            <w:tcBorders>
              <w:top w:val="single" w:color="000000" w:sz="8" w:space="0"/>
              <w:left w:val="single" w:color="000000" w:sz="8" w:space="0"/>
              <w:bottom w:val="single" w:color="000000" w:sz="8" w:space="0"/>
              <w:right w:val="single" w:color="000000" w:sz="8" w:space="0"/>
            </w:tcBorders>
            <w:vAlign w:val="center"/>
          </w:tcPr>
          <w:p w14:paraId="463E0D0F">
            <w:pPr>
              <w:snapToGrid w:val="0"/>
              <w:spacing w:before="60"/>
              <w:jc w:val="center"/>
              <w:rPr>
                <w:rFonts w:hint="eastAsia" w:ascii="宋体" w:hAnsi="宋体" w:eastAsia="宋体" w:cs="宋体"/>
                <w:color w:val="auto"/>
                <w:sz w:val="24"/>
                <w:szCs w:val="24"/>
                <w:highlight w:val="none"/>
                <w:lang w:val="en-US" w:eastAsia="zh-CN"/>
              </w:rPr>
            </w:pPr>
          </w:p>
        </w:tc>
      </w:tr>
      <w:tr w14:paraId="5C65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2AAC3A5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19</w:t>
            </w:r>
          </w:p>
        </w:tc>
        <w:tc>
          <w:tcPr>
            <w:tcW w:w="2445" w:type="dxa"/>
            <w:tcBorders>
              <w:top w:val="single" w:color="000000" w:sz="8" w:space="0"/>
              <w:left w:val="single" w:color="000000" w:sz="8" w:space="0"/>
              <w:bottom w:val="single" w:color="000000" w:sz="8" w:space="0"/>
              <w:right w:val="single" w:color="000000" w:sz="8" w:space="0"/>
            </w:tcBorders>
            <w:vAlign w:val="center"/>
          </w:tcPr>
          <w:p w14:paraId="5159DC2C">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病人推车</w:t>
            </w:r>
          </w:p>
        </w:tc>
        <w:tc>
          <w:tcPr>
            <w:tcW w:w="840" w:type="dxa"/>
            <w:tcBorders>
              <w:top w:val="single" w:color="000000" w:sz="8" w:space="0"/>
              <w:left w:val="single" w:color="000000" w:sz="8" w:space="0"/>
              <w:bottom w:val="single" w:color="000000" w:sz="8" w:space="0"/>
              <w:right w:val="single" w:color="000000" w:sz="8" w:space="0"/>
            </w:tcBorders>
            <w:vAlign w:val="center"/>
          </w:tcPr>
          <w:p w14:paraId="1482D71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3C8E154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5C1260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0.2</w:t>
            </w:r>
          </w:p>
        </w:tc>
        <w:tc>
          <w:tcPr>
            <w:tcW w:w="1550" w:type="dxa"/>
            <w:tcBorders>
              <w:top w:val="single" w:color="000000" w:sz="8" w:space="0"/>
              <w:left w:val="single" w:color="000000" w:sz="8" w:space="0"/>
              <w:bottom w:val="single" w:color="000000" w:sz="8" w:space="0"/>
              <w:right w:val="single" w:color="000000" w:sz="8" w:space="0"/>
            </w:tcBorders>
            <w:vAlign w:val="center"/>
          </w:tcPr>
          <w:p w14:paraId="5B014788">
            <w:pPr>
              <w:snapToGrid w:val="0"/>
              <w:spacing w:before="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1、材质：框架高强度不锈钢焊接加工而成。</w:t>
            </w:r>
          </w:p>
        </w:tc>
        <w:tc>
          <w:tcPr>
            <w:tcW w:w="1200" w:type="dxa"/>
            <w:tcBorders>
              <w:top w:val="single" w:color="000000" w:sz="8" w:space="0"/>
              <w:left w:val="single" w:color="000000" w:sz="8" w:space="0"/>
              <w:bottom w:val="single" w:color="000000" w:sz="8" w:space="0"/>
              <w:right w:val="single" w:color="000000" w:sz="8" w:space="0"/>
            </w:tcBorders>
            <w:vAlign w:val="center"/>
          </w:tcPr>
          <w:p w14:paraId="33E9E091">
            <w:pPr>
              <w:snapToGrid w:val="0"/>
              <w:spacing w:before="60"/>
              <w:jc w:val="center"/>
              <w:rPr>
                <w:rFonts w:hint="eastAsia" w:ascii="宋体" w:hAnsi="宋体" w:eastAsia="宋体" w:cs="宋体"/>
                <w:color w:val="auto"/>
                <w:sz w:val="24"/>
                <w:szCs w:val="24"/>
                <w:highlight w:val="none"/>
                <w:lang w:val="en-US" w:eastAsia="zh-CN"/>
              </w:rPr>
            </w:pPr>
          </w:p>
        </w:tc>
      </w:tr>
      <w:tr w14:paraId="7C08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2FADE3B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2445" w:type="dxa"/>
            <w:tcBorders>
              <w:top w:val="single" w:color="000000" w:sz="8" w:space="0"/>
              <w:left w:val="single" w:color="000000" w:sz="8" w:space="0"/>
              <w:bottom w:val="single" w:color="000000" w:sz="8" w:space="0"/>
              <w:right w:val="single" w:color="000000" w:sz="8" w:space="0"/>
            </w:tcBorders>
            <w:vAlign w:val="center"/>
          </w:tcPr>
          <w:p w14:paraId="5E017DF5">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坐便椅</w:t>
            </w:r>
          </w:p>
        </w:tc>
        <w:tc>
          <w:tcPr>
            <w:tcW w:w="840" w:type="dxa"/>
            <w:tcBorders>
              <w:top w:val="single" w:color="000000" w:sz="8" w:space="0"/>
              <w:left w:val="single" w:color="000000" w:sz="8" w:space="0"/>
              <w:bottom w:val="single" w:color="000000" w:sz="8" w:space="0"/>
              <w:right w:val="single" w:color="000000" w:sz="8" w:space="0"/>
            </w:tcBorders>
            <w:vAlign w:val="center"/>
          </w:tcPr>
          <w:p w14:paraId="12F5ED4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26CE073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1200" w:type="dxa"/>
            <w:tcBorders>
              <w:top w:val="single" w:color="000000" w:sz="8" w:space="0"/>
              <w:left w:val="single" w:color="000000" w:sz="8" w:space="0"/>
              <w:bottom w:val="single" w:color="000000" w:sz="8" w:space="0"/>
              <w:right w:val="single" w:color="000000" w:sz="8" w:space="0"/>
            </w:tcBorders>
            <w:vAlign w:val="center"/>
          </w:tcPr>
          <w:p w14:paraId="65B4C5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0.1</w:t>
            </w:r>
          </w:p>
        </w:tc>
        <w:tc>
          <w:tcPr>
            <w:tcW w:w="1550" w:type="dxa"/>
            <w:tcBorders>
              <w:top w:val="single" w:color="000000" w:sz="8" w:space="0"/>
              <w:left w:val="single" w:color="000000" w:sz="8" w:space="0"/>
              <w:bottom w:val="single" w:color="000000" w:sz="8" w:space="0"/>
              <w:right w:val="single" w:color="000000" w:sz="8" w:space="0"/>
            </w:tcBorders>
            <w:vAlign w:val="center"/>
          </w:tcPr>
          <w:p w14:paraId="7C9CE5B7">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1、材质：铝合金材质；高度可调节</w:t>
            </w:r>
          </w:p>
        </w:tc>
        <w:tc>
          <w:tcPr>
            <w:tcW w:w="1200" w:type="dxa"/>
            <w:tcBorders>
              <w:top w:val="single" w:color="000000" w:sz="8" w:space="0"/>
              <w:left w:val="single" w:color="000000" w:sz="8" w:space="0"/>
              <w:bottom w:val="single" w:color="000000" w:sz="8" w:space="0"/>
              <w:right w:val="single" w:color="000000" w:sz="8" w:space="0"/>
            </w:tcBorders>
            <w:vAlign w:val="center"/>
          </w:tcPr>
          <w:p w14:paraId="28361BC3">
            <w:pPr>
              <w:snapToGrid w:val="0"/>
              <w:spacing w:before="60"/>
              <w:jc w:val="center"/>
              <w:rPr>
                <w:rFonts w:hint="eastAsia" w:ascii="宋体" w:hAnsi="宋体" w:eastAsia="宋体" w:cs="宋体"/>
                <w:color w:val="auto"/>
                <w:sz w:val="24"/>
                <w:szCs w:val="24"/>
                <w:highlight w:val="none"/>
                <w:lang w:val="en-US" w:eastAsia="zh-CN"/>
              </w:rPr>
            </w:pPr>
          </w:p>
        </w:tc>
      </w:tr>
      <w:tr w14:paraId="7AEA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7F52F3E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21</w:t>
            </w:r>
          </w:p>
        </w:tc>
        <w:tc>
          <w:tcPr>
            <w:tcW w:w="2445" w:type="dxa"/>
            <w:tcBorders>
              <w:top w:val="single" w:color="000000" w:sz="8" w:space="0"/>
              <w:left w:val="single" w:color="000000" w:sz="8" w:space="0"/>
              <w:bottom w:val="single" w:color="000000" w:sz="8" w:space="0"/>
              <w:right w:val="single" w:color="000000" w:sz="8" w:space="0"/>
            </w:tcBorders>
            <w:vAlign w:val="center"/>
          </w:tcPr>
          <w:p w14:paraId="1FD1E57A">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注射泵</w:t>
            </w:r>
          </w:p>
        </w:tc>
        <w:tc>
          <w:tcPr>
            <w:tcW w:w="840" w:type="dxa"/>
            <w:tcBorders>
              <w:top w:val="single" w:color="000000" w:sz="8" w:space="0"/>
              <w:left w:val="single" w:color="000000" w:sz="8" w:space="0"/>
              <w:bottom w:val="single" w:color="000000" w:sz="8" w:space="0"/>
              <w:right w:val="single" w:color="000000" w:sz="8" w:space="0"/>
            </w:tcBorders>
            <w:vAlign w:val="center"/>
          </w:tcPr>
          <w:p w14:paraId="12B79FA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3F9F49F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5B4BEE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550" w:type="dxa"/>
            <w:tcBorders>
              <w:top w:val="single" w:color="000000" w:sz="8" w:space="0"/>
              <w:left w:val="single" w:color="000000" w:sz="8" w:space="0"/>
              <w:bottom w:val="single" w:color="000000" w:sz="8" w:space="0"/>
              <w:right w:val="single" w:color="000000" w:sz="8" w:space="0"/>
            </w:tcBorders>
            <w:vAlign w:val="center"/>
          </w:tcPr>
          <w:p w14:paraId="285410E2">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双通道一体机：A.B通道操作屏幕及按键上下相互独立；</w:t>
            </w:r>
          </w:p>
        </w:tc>
        <w:tc>
          <w:tcPr>
            <w:tcW w:w="1200" w:type="dxa"/>
            <w:tcBorders>
              <w:top w:val="single" w:color="000000" w:sz="8" w:space="0"/>
              <w:left w:val="single" w:color="000000" w:sz="8" w:space="0"/>
              <w:bottom w:val="single" w:color="000000" w:sz="8" w:space="0"/>
              <w:right w:val="single" w:color="000000" w:sz="8" w:space="0"/>
            </w:tcBorders>
            <w:vAlign w:val="center"/>
          </w:tcPr>
          <w:p w14:paraId="3C787C97">
            <w:pPr>
              <w:snapToGrid w:val="0"/>
              <w:spacing w:before="60"/>
              <w:jc w:val="center"/>
              <w:rPr>
                <w:rFonts w:hint="eastAsia" w:ascii="宋体" w:hAnsi="宋体" w:eastAsia="宋体" w:cs="宋体"/>
                <w:color w:val="auto"/>
                <w:sz w:val="24"/>
                <w:szCs w:val="24"/>
                <w:highlight w:val="none"/>
                <w:lang w:val="en-US" w:eastAsia="zh-CN"/>
              </w:rPr>
            </w:pPr>
          </w:p>
        </w:tc>
      </w:tr>
      <w:tr w14:paraId="1D91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2783D9A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22</w:t>
            </w:r>
          </w:p>
        </w:tc>
        <w:tc>
          <w:tcPr>
            <w:tcW w:w="2445" w:type="dxa"/>
            <w:tcBorders>
              <w:top w:val="single" w:color="000000" w:sz="8" w:space="0"/>
              <w:left w:val="single" w:color="000000" w:sz="8" w:space="0"/>
              <w:bottom w:val="single" w:color="000000" w:sz="8" w:space="0"/>
              <w:right w:val="single" w:color="000000" w:sz="8" w:space="0"/>
            </w:tcBorders>
            <w:vAlign w:val="center"/>
          </w:tcPr>
          <w:p w14:paraId="01DBCB7A">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观片灯</w:t>
            </w:r>
          </w:p>
        </w:tc>
        <w:tc>
          <w:tcPr>
            <w:tcW w:w="840" w:type="dxa"/>
            <w:tcBorders>
              <w:top w:val="single" w:color="000000" w:sz="8" w:space="0"/>
              <w:left w:val="single" w:color="000000" w:sz="8" w:space="0"/>
              <w:bottom w:val="single" w:color="000000" w:sz="8" w:space="0"/>
              <w:right w:val="single" w:color="000000" w:sz="8" w:space="0"/>
            </w:tcBorders>
            <w:vAlign w:val="center"/>
          </w:tcPr>
          <w:p w14:paraId="389C2DE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430D395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4B0401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0.3</w:t>
            </w:r>
          </w:p>
        </w:tc>
        <w:tc>
          <w:tcPr>
            <w:tcW w:w="1550" w:type="dxa"/>
            <w:tcBorders>
              <w:top w:val="single" w:color="000000" w:sz="8" w:space="0"/>
              <w:left w:val="single" w:color="000000" w:sz="8" w:space="0"/>
              <w:bottom w:val="single" w:color="000000" w:sz="8" w:space="0"/>
              <w:right w:val="single" w:color="000000" w:sz="8" w:space="0"/>
            </w:tcBorders>
            <w:vAlign w:val="center"/>
          </w:tcPr>
          <w:p w14:paraId="54F0AA44">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1、尺寸≥850*510*25mm</w:t>
            </w:r>
          </w:p>
        </w:tc>
        <w:tc>
          <w:tcPr>
            <w:tcW w:w="1200" w:type="dxa"/>
            <w:tcBorders>
              <w:top w:val="single" w:color="000000" w:sz="8" w:space="0"/>
              <w:left w:val="single" w:color="000000" w:sz="8" w:space="0"/>
              <w:bottom w:val="single" w:color="000000" w:sz="8" w:space="0"/>
              <w:right w:val="single" w:color="000000" w:sz="8" w:space="0"/>
            </w:tcBorders>
            <w:vAlign w:val="center"/>
          </w:tcPr>
          <w:p w14:paraId="506DF6DB">
            <w:pPr>
              <w:snapToGrid w:val="0"/>
              <w:spacing w:before="60"/>
              <w:jc w:val="center"/>
              <w:rPr>
                <w:rFonts w:hint="eastAsia" w:ascii="宋体" w:hAnsi="宋体" w:eastAsia="宋体" w:cs="宋体"/>
                <w:color w:val="auto"/>
                <w:sz w:val="24"/>
                <w:szCs w:val="24"/>
                <w:highlight w:val="none"/>
                <w:lang w:val="en-US" w:eastAsia="zh-CN"/>
              </w:rPr>
            </w:pPr>
          </w:p>
        </w:tc>
      </w:tr>
      <w:tr w14:paraId="72E9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5DDF774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23</w:t>
            </w:r>
          </w:p>
        </w:tc>
        <w:tc>
          <w:tcPr>
            <w:tcW w:w="2445" w:type="dxa"/>
            <w:tcBorders>
              <w:top w:val="single" w:color="000000" w:sz="8" w:space="0"/>
              <w:left w:val="single" w:color="000000" w:sz="8" w:space="0"/>
              <w:bottom w:val="single" w:color="000000" w:sz="8" w:space="0"/>
              <w:right w:val="single" w:color="000000" w:sz="8" w:space="0"/>
            </w:tcBorders>
            <w:vAlign w:val="center"/>
          </w:tcPr>
          <w:p w14:paraId="4B738169">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骨科模型</w:t>
            </w:r>
          </w:p>
        </w:tc>
        <w:tc>
          <w:tcPr>
            <w:tcW w:w="840" w:type="dxa"/>
            <w:tcBorders>
              <w:top w:val="single" w:color="000000" w:sz="8" w:space="0"/>
              <w:left w:val="single" w:color="000000" w:sz="8" w:space="0"/>
              <w:bottom w:val="single" w:color="000000" w:sz="8" w:space="0"/>
              <w:right w:val="single" w:color="000000" w:sz="8" w:space="0"/>
            </w:tcBorders>
            <w:vAlign w:val="center"/>
          </w:tcPr>
          <w:p w14:paraId="6BBBDBB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3AB4883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39F63F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0.4</w:t>
            </w:r>
          </w:p>
        </w:tc>
        <w:tc>
          <w:tcPr>
            <w:tcW w:w="1550" w:type="dxa"/>
            <w:tcBorders>
              <w:top w:val="single" w:color="000000" w:sz="8" w:space="0"/>
              <w:left w:val="single" w:color="000000" w:sz="8" w:space="0"/>
              <w:bottom w:val="single" w:color="000000" w:sz="8" w:space="0"/>
              <w:right w:val="single" w:color="000000" w:sz="8" w:space="0"/>
            </w:tcBorders>
            <w:vAlign w:val="center"/>
          </w:tcPr>
          <w:p w14:paraId="7AA4D43B">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1、人体骨骼模型</w:t>
            </w:r>
          </w:p>
        </w:tc>
        <w:tc>
          <w:tcPr>
            <w:tcW w:w="1200" w:type="dxa"/>
            <w:tcBorders>
              <w:top w:val="single" w:color="000000" w:sz="8" w:space="0"/>
              <w:left w:val="single" w:color="000000" w:sz="8" w:space="0"/>
              <w:bottom w:val="single" w:color="000000" w:sz="8" w:space="0"/>
              <w:right w:val="single" w:color="000000" w:sz="8" w:space="0"/>
            </w:tcBorders>
            <w:vAlign w:val="center"/>
          </w:tcPr>
          <w:p w14:paraId="259088D1">
            <w:pPr>
              <w:snapToGrid w:val="0"/>
              <w:spacing w:before="60"/>
              <w:jc w:val="center"/>
              <w:rPr>
                <w:rFonts w:hint="eastAsia" w:ascii="宋体" w:hAnsi="宋体" w:eastAsia="宋体" w:cs="宋体"/>
                <w:color w:val="auto"/>
                <w:sz w:val="24"/>
                <w:szCs w:val="24"/>
                <w:highlight w:val="none"/>
                <w:lang w:val="en-US" w:eastAsia="zh-CN"/>
              </w:rPr>
            </w:pPr>
          </w:p>
        </w:tc>
      </w:tr>
      <w:tr w14:paraId="4D3B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12B7ACF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24</w:t>
            </w:r>
          </w:p>
        </w:tc>
        <w:tc>
          <w:tcPr>
            <w:tcW w:w="2445" w:type="dxa"/>
            <w:tcBorders>
              <w:top w:val="single" w:color="000000" w:sz="8" w:space="0"/>
              <w:left w:val="single" w:color="000000" w:sz="8" w:space="0"/>
              <w:bottom w:val="single" w:color="000000" w:sz="8" w:space="0"/>
              <w:right w:val="single" w:color="000000" w:sz="8" w:space="0"/>
            </w:tcBorders>
            <w:vAlign w:val="center"/>
          </w:tcPr>
          <w:p w14:paraId="69D4F577">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电动吸引器</w:t>
            </w:r>
          </w:p>
        </w:tc>
        <w:tc>
          <w:tcPr>
            <w:tcW w:w="840" w:type="dxa"/>
            <w:tcBorders>
              <w:top w:val="single" w:color="000000" w:sz="8" w:space="0"/>
              <w:left w:val="single" w:color="000000" w:sz="8" w:space="0"/>
              <w:bottom w:val="single" w:color="000000" w:sz="8" w:space="0"/>
              <w:right w:val="single" w:color="000000" w:sz="8" w:space="0"/>
            </w:tcBorders>
            <w:vAlign w:val="center"/>
          </w:tcPr>
          <w:p w14:paraId="1AE2448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5C51305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401503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0.3</w:t>
            </w:r>
          </w:p>
        </w:tc>
        <w:tc>
          <w:tcPr>
            <w:tcW w:w="1550" w:type="dxa"/>
            <w:tcBorders>
              <w:top w:val="single" w:color="000000" w:sz="8" w:space="0"/>
              <w:left w:val="single" w:color="000000" w:sz="8" w:space="0"/>
              <w:bottom w:val="single" w:color="000000" w:sz="8" w:space="0"/>
              <w:right w:val="single" w:color="000000" w:sz="8" w:space="0"/>
            </w:tcBorders>
            <w:vAlign w:val="center"/>
          </w:tcPr>
          <w:p w14:paraId="4CC5F462">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间歇吸引</w:t>
            </w:r>
          </w:p>
        </w:tc>
        <w:tc>
          <w:tcPr>
            <w:tcW w:w="1200" w:type="dxa"/>
            <w:tcBorders>
              <w:top w:val="single" w:color="000000" w:sz="8" w:space="0"/>
              <w:left w:val="single" w:color="000000" w:sz="8" w:space="0"/>
              <w:bottom w:val="single" w:color="000000" w:sz="8" w:space="0"/>
              <w:right w:val="single" w:color="000000" w:sz="8" w:space="0"/>
            </w:tcBorders>
            <w:vAlign w:val="center"/>
          </w:tcPr>
          <w:p w14:paraId="5586C203">
            <w:pPr>
              <w:snapToGrid w:val="0"/>
              <w:spacing w:before="60"/>
              <w:jc w:val="center"/>
              <w:rPr>
                <w:rFonts w:hint="eastAsia" w:ascii="宋体" w:hAnsi="宋体" w:eastAsia="宋体" w:cs="宋体"/>
                <w:color w:val="auto"/>
                <w:sz w:val="24"/>
                <w:szCs w:val="24"/>
                <w:highlight w:val="none"/>
                <w:lang w:val="en-US" w:eastAsia="zh-CN"/>
              </w:rPr>
            </w:pPr>
          </w:p>
        </w:tc>
      </w:tr>
      <w:tr w14:paraId="07DC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1B82BED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25</w:t>
            </w:r>
          </w:p>
        </w:tc>
        <w:tc>
          <w:tcPr>
            <w:tcW w:w="2445" w:type="dxa"/>
            <w:tcBorders>
              <w:top w:val="single" w:color="000000" w:sz="8" w:space="0"/>
              <w:left w:val="single" w:color="000000" w:sz="8" w:space="0"/>
              <w:bottom w:val="single" w:color="000000" w:sz="8" w:space="0"/>
              <w:right w:val="single" w:color="000000" w:sz="8" w:space="0"/>
            </w:tcBorders>
            <w:vAlign w:val="center"/>
          </w:tcPr>
          <w:p w14:paraId="2CEA0135">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智能关节康复器（下肢关节康复器）</w:t>
            </w:r>
          </w:p>
        </w:tc>
        <w:tc>
          <w:tcPr>
            <w:tcW w:w="840" w:type="dxa"/>
            <w:tcBorders>
              <w:top w:val="single" w:color="000000" w:sz="8" w:space="0"/>
              <w:left w:val="single" w:color="000000" w:sz="8" w:space="0"/>
              <w:bottom w:val="single" w:color="000000" w:sz="8" w:space="0"/>
              <w:right w:val="single" w:color="000000" w:sz="8" w:space="0"/>
            </w:tcBorders>
            <w:vAlign w:val="center"/>
          </w:tcPr>
          <w:p w14:paraId="5F935B3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54DE45E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264FCF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50" w:type="dxa"/>
            <w:tcBorders>
              <w:top w:val="single" w:color="000000" w:sz="8" w:space="0"/>
              <w:left w:val="single" w:color="000000" w:sz="8" w:space="0"/>
              <w:bottom w:val="single" w:color="000000" w:sz="8" w:space="0"/>
              <w:right w:val="single" w:color="000000" w:sz="8" w:space="0"/>
            </w:tcBorders>
            <w:vAlign w:val="center"/>
          </w:tcPr>
          <w:p w14:paraId="58DA708E">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支架长度调节范围：大腿0～260mm，小腿0～260mm，滑动连杆0～340mm，允差±10%</w:t>
            </w:r>
          </w:p>
        </w:tc>
        <w:tc>
          <w:tcPr>
            <w:tcW w:w="1200" w:type="dxa"/>
            <w:tcBorders>
              <w:top w:val="single" w:color="000000" w:sz="8" w:space="0"/>
              <w:left w:val="single" w:color="000000" w:sz="8" w:space="0"/>
              <w:bottom w:val="single" w:color="000000" w:sz="8" w:space="0"/>
              <w:right w:val="single" w:color="000000" w:sz="8" w:space="0"/>
            </w:tcBorders>
            <w:vAlign w:val="center"/>
          </w:tcPr>
          <w:p w14:paraId="6372EB64">
            <w:pPr>
              <w:snapToGrid w:val="0"/>
              <w:spacing w:before="60"/>
              <w:jc w:val="center"/>
              <w:rPr>
                <w:rFonts w:hint="eastAsia" w:ascii="宋体" w:hAnsi="宋体" w:eastAsia="宋体" w:cs="宋体"/>
                <w:color w:val="auto"/>
                <w:sz w:val="24"/>
                <w:szCs w:val="24"/>
                <w:highlight w:val="none"/>
                <w:lang w:val="en-US" w:eastAsia="zh-CN"/>
              </w:rPr>
            </w:pPr>
          </w:p>
        </w:tc>
      </w:tr>
      <w:tr w14:paraId="0FD3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535A3CE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26</w:t>
            </w:r>
          </w:p>
        </w:tc>
        <w:tc>
          <w:tcPr>
            <w:tcW w:w="2445" w:type="dxa"/>
            <w:tcBorders>
              <w:top w:val="single" w:color="000000" w:sz="8" w:space="0"/>
              <w:left w:val="single" w:color="000000" w:sz="8" w:space="0"/>
              <w:bottom w:val="single" w:color="000000" w:sz="8" w:space="0"/>
              <w:right w:val="single" w:color="000000" w:sz="8" w:space="0"/>
            </w:tcBorders>
            <w:vAlign w:val="center"/>
          </w:tcPr>
          <w:p w14:paraId="0BEF8A4E">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颈腰椎治疗多功能牵引床</w:t>
            </w:r>
          </w:p>
        </w:tc>
        <w:tc>
          <w:tcPr>
            <w:tcW w:w="840" w:type="dxa"/>
            <w:tcBorders>
              <w:top w:val="single" w:color="000000" w:sz="8" w:space="0"/>
              <w:left w:val="single" w:color="000000" w:sz="8" w:space="0"/>
              <w:bottom w:val="single" w:color="000000" w:sz="8" w:space="0"/>
              <w:right w:val="single" w:color="000000" w:sz="8" w:space="0"/>
            </w:tcBorders>
            <w:vAlign w:val="center"/>
          </w:tcPr>
          <w:p w14:paraId="4C7614E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3CFD3F4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3DE8AF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550" w:type="dxa"/>
            <w:tcBorders>
              <w:top w:val="single" w:color="000000" w:sz="8" w:space="0"/>
              <w:left w:val="single" w:color="000000" w:sz="8" w:space="0"/>
              <w:bottom w:val="single" w:color="000000" w:sz="8" w:space="0"/>
              <w:right w:val="single" w:color="000000" w:sz="8" w:space="0"/>
            </w:tcBorders>
            <w:vAlign w:val="center"/>
          </w:tcPr>
          <w:p w14:paraId="355289D4">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腰椎牵引行程：0～300mm</w:t>
            </w:r>
          </w:p>
        </w:tc>
        <w:tc>
          <w:tcPr>
            <w:tcW w:w="1200" w:type="dxa"/>
            <w:tcBorders>
              <w:top w:val="single" w:color="000000" w:sz="8" w:space="0"/>
              <w:left w:val="single" w:color="000000" w:sz="8" w:space="0"/>
              <w:bottom w:val="single" w:color="000000" w:sz="8" w:space="0"/>
              <w:right w:val="single" w:color="000000" w:sz="8" w:space="0"/>
            </w:tcBorders>
            <w:vAlign w:val="center"/>
          </w:tcPr>
          <w:p w14:paraId="46D4085C">
            <w:pPr>
              <w:snapToGrid w:val="0"/>
              <w:spacing w:before="60"/>
              <w:jc w:val="center"/>
              <w:rPr>
                <w:rFonts w:hint="eastAsia" w:ascii="宋体" w:hAnsi="宋体" w:eastAsia="宋体" w:cs="宋体"/>
                <w:color w:val="auto"/>
                <w:sz w:val="24"/>
                <w:szCs w:val="24"/>
                <w:highlight w:val="none"/>
                <w:lang w:val="en-US" w:eastAsia="zh-CN"/>
              </w:rPr>
            </w:pPr>
          </w:p>
        </w:tc>
      </w:tr>
      <w:tr w14:paraId="0B52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4A9D034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27</w:t>
            </w:r>
          </w:p>
        </w:tc>
        <w:tc>
          <w:tcPr>
            <w:tcW w:w="2445" w:type="dxa"/>
            <w:tcBorders>
              <w:top w:val="single" w:color="000000" w:sz="8" w:space="0"/>
              <w:left w:val="single" w:color="000000" w:sz="8" w:space="0"/>
              <w:bottom w:val="single" w:color="000000" w:sz="8" w:space="0"/>
              <w:right w:val="single" w:color="000000" w:sz="8" w:space="0"/>
            </w:tcBorders>
            <w:vAlign w:val="center"/>
          </w:tcPr>
          <w:p w14:paraId="3AC5AEEB">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全自动血液细胞分析仪</w:t>
            </w:r>
          </w:p>
        </w:tc>
        <w:tc>
          <w:tcPr>
            <w:tcW w:w="840" w:type="dxa"/>
            <w:tcBorders>
              <w:top w:val="single" w:color="000000" w:sz="8" w:space="0"/>
              <w:left w:val="single" w:color="000000" w:sz="8" w:space="0"/>
              <w:bottom w:val="single" w:color="000000" w:sz="8" w:space="0"/>
              <w:right w:val="single" w:color="000000" w:sz="8" w:space="0"/>
            </w:tcBorders>
            <w:vAlign w:val="center"/>
          </w:tcPr>
          <w:p w14:paraId="64894FA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048558E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1200" w:type="dxa"/>
            <w:tcBorders>
              <w:top w:val="single" w:color="000000" w:sz="8" w:space="0"/>
              <w:left w:val="single" w:color="000000" w:sz="8" w:space="0"/>
              <w:bottom w:val="single" w:color="000000" w:sz="8" w:space="0"/>
              <w:right w:val="single" w:color="000000" w:sz="8" w:space="0"/>
            </w:tcBorders>
            <w:vAlign w:val="center"/>
          </w:tcPr>
          <w:p w14:paraId="23CA85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1550" w:type="dxa"/>
            <w:tcBorders>
              <w:top w:val="single" w:color="000000" w:sz="8" w:space="0"/>
              <w:left w:val="single" w:color="000000" w:sz="8" w:space="0"/>
              <w:bottom w:val="single" w:color="000000" w:sz="8" w:space="0"/>
              <w:right w:val="single" w:color="000000" w:sz="8" w:space="0"/>
            </w:tcBorders>
            <w:vAlign w:val="center"/>
          </w:tcPr>
          <w:p w14:paraId="5047E696">
            <w:pPr>
              <w:snapToGrid w:val="0"/>
              <w:spacing w:before="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检测原理：具备半导体激光散射、鞘流阻抗法、核酸荧光染色法；CRP/SAA：胶乳增强免疫散射比浊法，一台仪器可实现血常规与CRP、SAA项目联检</w:t>
            </w:r>
          </w:p>
        </w:tc>
        <w:tc>
          <w:tcPr>
            <w:tcW w:w="1200" w:type="dxa"/>
            <w:tcBorders>
              <w:top w:val="single" w:color="000000" w:sz="8" w:space="0"/>
              <w:left w:val="single" w:color="000000" w:sz="8" w:space="0"/>
              <w:bottom w:val="single" w:color="000000" w:sz="8" w:space="0"/>
              <w:right w:val="single" w:color="000000" w:sz="8" w:space="0"/>
            </w:tcBorders>
            <w:vAlign w:val="center"/>
          </w:tcPr>
          <w:p w14:paraId="754C787F">
            <w:pPr>
              <w:snapToGrid w:val="0"/>
              <w:spacing w:before="60"/>
              <w:jc w:val="center"/>
              <w:rPr>
                <w:rFonts w:hint="eastAsia" w:ascii="宋体" w:hAnsi="宋体" w:eastAsia="宋体" w:cs="宋体"/>
                <w:color w:val="auto"/>
                <w:sz w:val="24"/>
                <w:szCs w:val="24"/>
                <w:highlight w:val="none"/>
                <w:lang w:val="en-US" w:eastAsia="zh-CN"/>
              </w:rPr>
            </w:pPr>
          </w:p>
        </w:tc>
      </w:tr>
      <w:tr w14:paraId="4ACD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3150" w:type="dxa"/>
            <w:gridSpan w:val="2"/>
            <w:tcBorders>
              <w:top w:val="single" w:color="000000" w:sz="8" w:space="0"/>
              <w:left w:val="single" w:color="000000" w:sz="8" w:space="0"/>
              <w:bottom w:val="single" w:color="000000" w:sz="8" w:space="0"/>
              <w:right w:val="single" w:color="000000" w:sz="8" w:space="0"/>
            </w:tcBorders>
            <w:vAlign w:val="center"/>
          </w:tcPr>
          <w:p w14:paraId="7DD6342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w:t>
            </w:r>
          </w:p>
        </w:tc>
        <w:tc>
          <w:tcPr>
            <w:tcW w:w="840" w:type="dxa"/>
            <w:tcBorders>
              <w:top w:val="single" w:color="000000" w:sz="8" w:space="0"/>
              <w:left w:val="single" w:color="000000" w:sz="8" w:space="0"/>
              <w:bottom w:val="single" w:color="000000" w:sz="8" w:space="0"/>
              <w:right w:val="single" w:color="000000" w:sz="8" w:space="0"/>
            </w:tcBorders>
            <w:vAlign w:val="center"/>
          </w:tcPr>
          <w:p w14:paraId="3131A98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750" w:type="dxa"/>
            <w:tcBorders>
              <w:top w:val="single" w:color="000000" w:sz="8" w:space="0"/>
              <w:left w:val="single" w:color="000000" w:sz="8" w:space="0"/>
              <w:bottom w:val="single" w:color="000000" w:sz="8" w:space="0"/>
              <w:right w:val="single" w:color="000000" w:sz="8" w:space="0"/>
            </w:tcBorders>
            <w:vAlign w:val="center"/>
          </w:tcPr>
          <w:p w14:paraId="7B12AC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6E330FF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470.8</w:t>
            </w:r>
          </w:p>
        </w:tc>
        <w:tc>
          <w:tcPr>
            <w:tcW w:w="1550" w:type="dxa"/>
            <w:tcBorders>
              <w:top w:val="single" w:color="000000" w:sz="8" w:space="0"/>
              <w:left w:val="single" w:color="000000" w:sz="8" w:space="0"/>
              <w:bottom w:val="single" w:color="000000" w:sz="8" w:space="0"/>
              <w:right w:val="single" w:color="000000" w:sz="8" w:space="0"/>
            </w:tcBorders>
            <w:vAlign w:val="center"/>
          </w:tcPr>
          <w:p w14:paraId="531A5B05">
            <w:pPr>
              <w:snapToGrid w:val="0"/>
              <w:spacing w:before="60"/>
              <w:jc w:val="center"/>
              <w:rPr>
                <w:rFonts w:hint="eastAsia" w:ascii="宋体" w:hAnsi="宋体" w:eastAsia="宋体" w:cs="宋体"/>
                <w:color w:val="auto"/>
                <w:sz w:val="24"/>
                <w:szCs w:val="24"/>
                <w:highlight w:val="none"/>
                <w:lang w:val="en-US" w:eastAsia="zh-CN"/>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353BDD32">
            <w:pPr>
              <w:snapToGrid w:val="0"/>
              <w:spacing w:before="60"/>
              <w:jc w:val="center"/>
              <w:rPr>
                <w:rFonts w:hint="eastAsia" w:ascii="宋体" w:hAnsi="宋体" w:eastAsia="宋体" w:cs="宋体"/>
                <w:color w:val="auto"/>
                <w:sz w:val="24"/>
                <w:szCs w:val="24"/>
                <w:highlight w:val="none"/>
                <w:lang w:val="en-US" w:eastAsia="zh-CN"/>
              </w:rPr>
            </w:pPr>
          </w:p>
        </w:tc>
      </w:tr>
    </w:tbl>
    <w:p w14:paraId="16CE43C8">
      <w:pPr>
        <w:numPr>
          <w:ilvl w:val="0"/>
          <w:numId w:val="1"/>
        </w:num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上述内容中未特别标注为“进口”字样的，均必须采购国产产品。本项目其他采购需求的具体内容，以招标文件中商务、技术和服务的相应规定为准。</w:t>
      </w:r>
    </w:p>
    <w:p w14:paraId="51DA9BC2">
      <w:pPr>
        <w:numPr>
          <w:ilvl w:val="0"/>
          <w:numId w:val="1"/>
        </w:num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合同履行期限：签订合同后一个月内</w:t>
      </w:r>
      <w:r>
        <w:rPr>
          <w:rFonts w:hint="eastAsia" w:ascii="Times New Roman" w:hAnsi="Times New Roman" w:eastAsia="宋体" w:cs="Times New Roman"/>
          <w:color w:val="auto"/>
          <w:sz w:val="24"/>
          <w:szCs w:val="24"/>
          <w:highlight w:val="none"/>
          <w:lang w:eastAsia="zh-CN"/>
        </w:rPr>
        <w:t>。</w:t>
      </w:r>
    </w:p>
    <w:p w14:paraId="59D2BDCB">
      <w:pPr>
        <w:numPr>
          <w:ilvl w:val="0"/>
          <w:numId w:val="1"/>
        </w:num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本项目不接受联合体投标。</w:t>
      </w:r>
    </w:p>
    <w:p w14:paraId="051A8881">
      <w:pPr>
        <w:pStyle w:val="3"/>
        <w:snapToGrid w:val="0"/>
        <w:spacing w:before="60" w:line="48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二、申请人的资格要求：</w:t>
      </w:r>
    </w:p>
    <w:p w14:paraId="65F36A0B">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满足《中华人民共和国政府采购法》第二十二条规定：</w:t>
      </w:r>
    </w:p>
    <w:p w14:paraId="46381624">
      <w:pPr>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（一）具有独立承担民事责任的能力；</w:t>
      </w:r>
    </w:p>
    <w:p w14:paraId="70B63D5D">
      <w:pPr>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（二）具有良好的商业信誉和健全的财务会计制度；</w:t>
      </w:r>
    </w:p>
    <w:p w14:paraId="1A5D1445">
      <w:pPr>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（三）具有履行合同所必需的设备和专业技术能力；</w:t>
      </w:r>
    </w:p>
    <w:p w14:paraId="7FDF5BBA">
      <w:pPr>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（四）有依法缴纳税收和社会保障资金的良好记录；</w:t>
      </w:r>
    </w:p>
    <w:p w14:paraId="36CEE568">
      <w:pPr>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（五）参加政府采购活动前三年内，在经营活动中没有重大违法记录；</w:t>
      </w:r>
    </w:p>
    <w:p w14:paraId="3A43A3EB">
      <w:pPr>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（六）法律、行政法规规定的其他条件。</w:t>
      </w:r>
    </w:p>
    <w:p w14:paraId="4FF43FBE">
      <w:pPr>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落实政府采购政策需满足的资格要求：</w:t>
      </w:r>
      <w:r>
        <w:rPr>
          <w:rFonts w:hint="eastAsia" w:ascii="Times New Roman" w:hAnsi="Times New Roman" w:eastAsia="宋体" w:cs="Times New Roman"/>
          <w:color w:val="auto"/>
          <w:sz w:val="24"/>
          <w:szCs w:val="24"/>
          <w:highlight w:val="none"/>
          <w:lang w:val="en-US" w:eastAsia="zh-CN"/>
        </w:rPr>
        <w:t>无</w:t>
      </w:r>
      <w:r>
        <w:rPr>
          <w:rFonts w:hint="default" w:ascii="Times New Roman" w:hAnsi="Times New Roman" w:eastAsia="宋体" w:cs="Times New Roman"/>
          <w:color w:val="auto"/>
          <w:sz w:val="24"/>
          <w:szCs w:val="24"/>
          <w:highlight w:val="none"/>
        </w:rPr>
        <w:t>。</w:t>
      </w:r>
    </w:p>
    <w:p w14:paraId="244FF735">
      <w:pPr>
        <w:snapToGrid w:val="0"/>
        <w:spacing w:line="480" w:lineRule="exact"/>
        <w:ind w:firstLine="480" w:firstLineChars="200"/>
        <w:rPr>
          <w:rFonts w:hint="default" w:ascii="Times New Roman" w:hAnsi="Times New Roman" w:cs="Times New Roman"/>
          <w:color w:val="auto"/>
          <w:highlight w:val="none"/>
        </w:rPr>
      </w:pPr>
      <w:r>
        <w:rPr>
          <w:rFonts w:hint="default" w:ascii="Times New Roman" w:hAnsi="Times New Roman" w:eastAsia="Times New Roman" w:cs="Times New Roman"/>
          <w:color w:val="auto"/>
          <w:sz w:val="24"/>
          <w:szCs w:val="24"/>
          <w:highlight w:val="none"/>
        </w:rPr>
        <w:t>3.本项目的特定资格要求：投标产品若为医疗器械，申请人须具有经营医疗器械的相关资格，满足《医疗器械监督管理条例》的资格要求。</w:t>
      </w:r>
    </w:p>
    <w:p w14:paraId="1D1AEE92">
      <w:pPr>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4. </w:t>
      </w:r>
      <w:r>
        <w:rPr>
          <w:rFonts w:hint="default" w:ascii="Times New Roman" w:hAnsi="Times New Roman" w:eastAsia="Times New Roman" w:cs="Times New Roman"/>
          <w:color w:val="auto"/>
          <w:kern w:val="0"/>
          <w:sz w:val="24"/>
          <w:szCs w:val="24"/>
          <w:highlight w:val="none"/>
        </w:rPr>
        <w:t>单位负责人为同一人或者存在直接控股、管理关系的不同供应商，不得参加同一合同项下的政府采购活动。</w:t>
      </w:r>
      <w:r>
        <w:rPr>
          <w:rFonts w:hint="default" w:ascii="Times New Roman" w:hAnsi="Times New Roman" w:eastAsia="宋体" w:cs="Times New Roman"/>
          <w:color w:val="auto"/>
          <w:spacing w:val="6"/>
          <w:sz w:val="24"/>
          <w:szCs w:val="24"/>
          <w:highlight w:val="none"/>
        </w:rPr>
        <w:t>为本次采购项目提供整体设计、规范编制或者项目管理、监理、检测等服务的供应商，不得再参加本项目的其他采购活动。</w:t>
      </w:r>
    </w:p>
    <w:p w14:paraId="6A5A4F65">
      <w:pPr>
        <w:pStyle w:val="3"/>
        <w:snapToGrid w:val="0"/>
        <w:spacing w:before="60" w:line="48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三、获取招标文件</w:t>
      </w:r>
    </w:p>
    <w:p w14:paraId="25A4B920">
      <w:pPr>
        <w:snapToGrid w:val="0"/>
        <w:spacing w:line="480" w:lineRule="exact"/>
        <w:ind w:firstLine="480" w:firstLineChars="20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时间：</w:t>
      </w:r>
      <w:r>
        <w:rPr>
          <w:rFonts w:hint="eastAsia" w:ascii="Times New Roman" w:hAnsi="Times New Roman" w:eastAsia="宋体" w:cs="Times New Roman"/>
          <w:color w:val="auto"/>
          <w:sz w:val="24"/>
          <w:szCs w:val="24"/>
          <w:highlight w:val="none"/>
          <w:lang w:val="en-US" w:eastAsia="zh-CN"/>
        </w:rPr>
        <w:t>2026</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Times New Roman"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11</w:t>
      </w:r>
      <w:r>
        <w:rPr>
          <w:rFonts w:hint="default" w:ascii="Times New Roman" w:hAnsi="Times New Roman" w:eastAsia="Times New Roman" w:cs="Times New Roman"/>
          <w:color w:val="auto"/>
          <w:sz w:val="24"/>
          <w:szCs w:val="24"/>
          <w:highlight w:val="none"/>
        </w:rPr>
        <w:t>日00时00分00秒至</w:t>
      </w:r>
      <w:r>
        <w:rPr>
          <w:rFonts w:hint="eastAsia" w:ascii="Times New Roman" w:hAnsi="Times New Roman" w:eastAsia="宋体" w:cs="Times New Roman"/>
          <w:color w:val="auto"/>
          <w:sz w:val="24"/>
          <w:szCs w:val="24"/>
          <w:highlight w:val="none"/>
          <w:lang w:val="en-US" w:eastAsia="zh-CN"/>
        </w:rPr>
        <w:t>2026</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Times New Roman"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17</w:t>
      </w:r>
      <w:r>
        <w:rPr>
          <w:rFonts w:hint="default" w:ascii="Times New Roman" w:hAnsi="Times New Roman" w:eastAsia="Times New Roman"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23</w:t>
      </w:r>
      <w:r>
        <w:rPr>
          <w:rFonts w:hint="default" w:ascii="Times New Roman" w:hAnsi="Times New Roman" w:eastAsia="Times New Roman" w:cs="Times New Roman"/>
          <w:color w:val="auto"/>
          <w:sz w:val="24"/>
          <w:szCs w:val="24"/>
          <w:highlight w:val="none"/>
        </w:rPr>
        <w:t>时</w:t>
      </w:r>
      <w:r>
        <w:rPr>
          <w:rFonts w:hint="eastAsia" w:ascii="Times New Roman" w:hAnsi="Times New Roman" w:eastAsia="宋体" w:cs="Times New Roman"/>
          <w:color w:val="auto"/>
          <w:sz w:val="24"/>
          <w:szCs w:val="24"/>
          <w:highlight w:val="none"/>
          <w:lang w:val="en-US" w:eastAsia="zh-CN"/>
        </w:rPr>
        <w:t>59</w:t>
      </w:r>
      <w:r>
        <w:rPr>
          <w:rFonts w:hint="default" w:ascii="Times New Roman" w:hAnsi="Times New Roman" w:eastAsia="Times New Roman" w:cs="Times New Roman"/>
          <w:color w:val="auto"/>
          <w:sz w:val="24"/>
          <w:szCs w:val="24"/>
          <w:highlight w:val="none"/>
        </w:rPr>
        <w:t>分</w:t>
      </w:r>
      <w:r>
        <w:rPr>
          <w:rFonts w:hint="eastAsia" w:ascii="Times New Roman" w:hAnsi="Times New Roman" w:eastAsia="宋体" w:cs="Times New Roman"/>
          <w:color w:val="auto"/>
          <w:sz w:val="24"/>
          <w:szCs w:val="24"/>
          <w:highlight w:val="none"/>
          <w:lang w:val="en-US" w:eastAsia="zh-CN"/>
        </w:rPr>
        <w:t>59</w:t>
      </w:r>
      <w:r>
        <w:rPr>
          <w:rFonts w:hint="default" w:ascii="Times New Roman" w:hAnsi="Times New Roman" w:eastAsia="Times New Roman" w:cs="Times New Roman"/>
          <w:color w:val="auto"/>
          <w:sz w:val="24"/>
          <w:szCs w:val="24"/>
          <w:highlight w:val="none"/>
        </w:rPr>
        <w:t>秒（北京时间）</w:t>
      </w:r>
    </w:p>
    <w:p w14:paraId="3B5EB586">
      <w:pPr>
        <w:snapToGrid w:val="0"/>
        <w:spacing w:line="480" w:lineRule="exact"/>
        <w:ind w:firstLine="480" w:firstLineChars="200"/>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Times New Roman" w:cs="Times New Roman"/>
          <w:color w:val="auto"/>
          <w:sz w:val="24"/>
          <w:szCs w:val="24"/>
          <w:highlight w:val="none"/>
        </w:rPr>
        <w:t>2获取地点：山西政府采购平台(https://login.sxzfcg.zcygov.cn/user-login/#/login)</w:t>
      </w:r>
      <w:r>
        <w:rPr>
          <w:rFonts w:hint="default" w:ascii="Times New Roman" w:hAnsi="Times New Roman" w:eastAsia="宋体" w:cs="Times New Roman"/>
          <w:color w:val="auto"/>
          <w:sz w:val="24"/>
          <w:szCs w:val="24"/>
          <w:highlight w:val="none"/>
          <w:lang w:eastAsia="zh-CN"/>
        </w:rPr>
        <w:t>；</w:t>
      </w:r>
    </w:p>
    <w:p w14:paraId="3B66B8A9">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获取方式：</w:t>
      </w:r>
      <w:r>
        <w:rPr>
          <w:rFonts w:hint="default" w:ascii="Times New Roman" w:hAnsi="Times New Roman" w:eastAsia="宋体" w:cs="Times New Roman"/>
          <w:color w:val="auto"/>
          <w:sz w:val="24"/>
          <w:szCs w:val="24"/>
          <w:highlight w:val="none"/>
          <w:lang w:eastAsia="zh-CN"/>
        </w:rPr>
        <w:t>山西政府采购平台</w:t>
      </w:r>
      <w:r>
        <w:rPr>
          <w:rFonts w:hint="default" w:ascii="Times New Roman" w:hAnsi="Times New Roman" w:eastAsia="Times New Roman" w:cs="Times New Roman"/>
          <w:color w:val="auto"/>
          <w:sz w:val="24"/>
          <w:szCs w:val="24"/>
          <w:highlight w:val="none"/>
        </w:rPr>
        <w:t>线上获取。不接受现场报名。</w:t>
      </w:r>
    </w:p>
    <w:p w14:paraId="6EC70335">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凡有意参加本项目的投标人，请按照以下步骤免费获取招标文件:</w:t>
      </w:r>
    </w:p>
    <w:p w14:paraId="63D303F5">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（1）在中国政府采购网山西分网完成注册，已完成注册的请跳过此步骤;</w:t>
      </w:r>
    </w:p>
    <w:p w14:paraId="314BCA03">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（2）请于招标文件获取截止时间前(北京时间，下同)，进入山西政府采购平台(https://login.sxzfcg.zcygov.cn/user-login/#/login)使用企业数字证书(CA) 在网上获取招标文件。</w:t>
      </w:r>
    </w:p>
    <w:p w14:paraId="4391A02B">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4.</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招标文件售价：0元</w:t>
      </w:r>
    </w:p>
    <w:p w14:paraId="44BA6B9C">
      <w:pPr>
        <w:pStyle w:val="3"/>
        <w:snapToGrid w:val="0"/>
        <w:spacing w:before="60" w:line="48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四、提交投标文件截止时间、开标时间和地点</w:t>
      </w:r>
    </w:p>
    <w:p w14:paraId="3EBF1F48">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 xml:space="preserve"> 提交</w:t>
      </w:r>
      <w:r>
        <w:rPr>
          <w:rFonts w:hint="default" w:ascii="Times New Roman" w:hAnsi="Times New Roman" w:eastAsia="Times New Roman" w:cs="Times New Roman"/>
          <w:color w:val="auto"/>
          <w:sz w:val="24"/>
          <w:szCs w:val="24"/>
          <w:highlight w:val="none"/>
        </w:rPr>
        <w:t>截止时间：</w:t>
      </w:r>
      <w:r>
        <w:rPr>
          <w:rFonts w:hint="eastAsia" w:ascii="Times New Roman" w:hAnsi="Times New Roman" w:eastAsia="宋体" w:cs="Times New Roman"/>
          <w:color w:val="auto"/>
          <w:sz w:val="24"/>
          <w:szCs w:val="24"/>
          <w:highlight w:val="none"/>
          <w:lang w:val="en-US" w:eastAsia="zh-CN"/>
        </w:rPr>
        <w:t>2026</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Times New Roman"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Times New Roman"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Times New Roman" w:cs="Times New Roman"/>
          <w:color w:val="auto"/>
          <w:sz w:val="24"/>
          <w:szCs w:val="24"/>
          <w:highlight w:val="none"/>
        </w:rPr>
        <w:t>时</w:t>
      </w:r>
      <w:r>
        <w:rPr>
          <w:rFonts w:hint="eastAsia" w:ascii="Times New Roman" w:hAnsi="Times New Roman" w:eastAsia="宋体" w:cs="Times New Roman"/>
          <w:color w:val="auto"/>
          <w:sz w:val="24"/>
          <w:szCs w:val="24"/>
          <w:highlight w:val="none"/>
          <w:lang w:val="en-US" w:eastAsia="zh-CN"/>
        </w:rPr>
        <w:t>00</w:t>
      </w:r>
      <w:r>
        <w:rPr>
          <w:rFonts w:hint="default" w:ascii="Times New Roman" w:hAnsi="Times New Roman" w:eastAsia="Times New Roman" w:cs="Times New Roman"/>
          <w:color w:val="auto"/>
          <w:sz w:val="24"/>
          <w:szCs w:val="24"/>
          <w:highlight w:val="none"/>
        </w:rPr>
        <w:t>分</w:t>
      </w:r>
    </w:p>
    <w:p w14:paraId="37F844E7">
      <w:pPr>
        <w:numPr>
          <w:ilvl w:val="0"/>
          <w:numId w:val="2"/>
        </w:num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提交</w:t>
      </w:r>
      <w:r>
        <w:rPr>
          <w:rFonts w:hint="default" w:ascii="Times New Roman" w:hAnsi="Times New Roman" w:eastAsia="Times New Roman" w:cs="Times New Roman"/>
          <w:color w:val="auto"/>
          <w:sz w:val="24"/>
          <w:szCs w:val="24"/>
          <w:highlight w:val="none"/>
        </w:rPr>
        <w:t>地点：山西政府采购平台</w:t>
      </w:r>
      <w:r>
        <w:rPr>
          <w:rFonts w:hint="default" w:ascii="Times New Roman" w:hAnsi="Times New Roman" w:eastAsia="宋体" w:cs="Times New Roman"/>
          <w:color w:val="auto"/>
          <w:sz w:val="24"/>
          <w:szCs w:val="24"/>
          <w:highlight w:val="none"/>
          <w:lang w:val="en-US" w:eastAsia="zh-CN"/>
        </w:rPr>
        <w:t>线上</w:t>
      </w:r>
      <w:r>
        <w:rPr>
          <w:rFonts w:hint="default" w:ascii="Times New Roman" w:hAnsi="Times New Roman" w:eastAsia="Times New Roman" w:cs="Times New Roman"/>
          <w:color w:val="auto"/>
          <w:sz w:val="24"/>
          <w:szCs w:val="24"/>
          <w:highlight w:val="none"/>
        </w:rPr>
        <w:t>提交</w:t>
      </w:r>
    </w:p>
    <w:p w14:paraId="2BD1C6F3">
      <w:pPr>
        <w:numPr>
          <w:ilvl w:val="0"/>
          <w:numId w:val="2"/>
        </w:num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开标时间：</w:t>
      </w:r>
      <w:r>
        <w:rPr>
          <w:rFonts w:hint="eastAsia" w:ascii="Times New Roman" w:hAnsi="Times New Roman" w:eastAsia="宋体" w:cs="Times New Roman"/>
          <w:color w:val="auto"/>
          <w:sz w:val="24"/>
          <w:szCs w:val="24"/>
          <w:highlight w:val="none"/>
          <w:lang w:val="en-US" w:eastAsia="zh-CN"/>
        </w:rPr>
        <w:t>2026</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Times New Roman"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Times New Roman"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Times New Roman" w:cs="Times New Roman"/>
          <w:color w:val="auto"/>
          <w:sz w:val="24"/>
          <w:szCs w:val="24"/>
          <w:highlight w:val="none"/>
        </w:rPr>
        <w:t>时</w:t>
      </w:r>
      <w:r>
        <w:rPr>
          <w:rFonts w:hint="eastAsia" w:ascii="Times New Roman" w:hAnsi="Times New Roman" w:eastAsia="宋体" w:cs="Times New Roman"/>
          <w:color w:val="auto"/>
          <w:sz w:val="24"/>
          <w:szCs w:val="24"/>
          <w:highlight w:val="none"/>
          <w:lang w:val="en-US" w:eastAsia="zh-CN"/>
        </w:rPr>
        <w:t>00</w:t>
      </w:r>
      <w:r>
        <w:rPr>
          <w:rFonts w:hint="default" w:ascii="Times New Roman" w:hAnsi="Times New Roman" w:eastAsia="Times New Roman" w:cs="Times New Roman"/>
          <w:color w:val="auto"/>
          <w:sz w:val="24"/>
          <w:szCs w:val="24"/>
          <w:highlight w:val="none"/>
        </w:rPr>
        <w:t>分</w:t>
      </w:r>
    </w:p>
    <w:p w14:paraId="29CA2BD3">
      <w:pPr>
        <w:numPr>
          <w:ilvl w:val="0"/>
          <w:numId w:val="2"/>
        </w:num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开标地点：太原市迎泽区解放南路87号菜园广场写字楼</w:t>
      </w:r>
      <w:r>
        <w:rPr>
          <w:rFonts w:hint="eastAsia" w:ascii="Times New Roman" w:hAnsi="Times New Roman" w:eastAsia="宋体"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rPr>
        <w:t>层</w:t>
      </w:r>
      <w:r>
        <w:rPr>
          <w:rFonts w:hint="default" w:ascii="Times New Roman" w:hAnsi="Times New Roman" w:eastAsia="Times New Roman" w:cs="Times New Roman"/>
          <w:color w:val="auto"/>
          <w:sz w:val="24"/>
          <w:szCs w:val="24"/>
          <w:highlight w:val="none"/>
        </w:rPr>
        <w:t>会议室</w:t>
      </w:r>
    </w:p>
    <w:p w14:paraId="4C00056F">
      <w:pPr>
        <w:pStyle w:val="3"/>
        <w:snapToGrid w:val="0"/>
        <w:spacing w:before="60" w:line="48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五、公告期限</w:t>
      </w:r>
    </w:p>
    <w:p w14:paraId="37DD4D9D">
      <w:pPr>
        <w:snapToGrid w:val="0"/>
        <w:spacing w:before="60" w:line="48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w:t>
      </w:r>
      <w:r>
        <w:rPr>
          <w:rFonts w:hint="default" w:ascii="Times New Roman" w:hAnsi="Times New Roman" w:eastAsia="Calibri" w:cs="Times New Roman"/>
          <w:color w:val="auto"/>
          <w:kern w:val="0"/>
          <w:sz w:val="24"/>
          <w:szCs w:val="24"/>
          <w:highlight w:val="none"/>
        </w:rPr>
        <w:t>5</w:t>
      </w:r>
      <w:r>
        <w:rPr>
          <w:rFonts w:hint="default" w:ascii="Times New Roman" w:hAnsi="Times New Roman" w:eastAsia="宋体" w:cs="Times New Roman"/>
          <w:color w:val="auto"/>
          <w:kern w:val="0"/>
          <w:sz w:val="24"/>
          <w:szCs w:val="24"/>
          <w:highlight w:val="none"/>
        </w:rPr>
        <w:t>个工作日。</w:t>
      </w:r>
    </w:p>
    <w:p w14:paraId="3FF75527">
      <w:pPr>
        <w:pStyle w:val="3"/>
        <w:snapToGrid w:val="0"/>
        <w:spacing w:before="60" w:line="48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六、其他补充事宜</w:t>
      </w:r>
    </w:p>
    <w:p w14:paraId="3D41ED95">
      <w:pPr>
        <w:snapToGrid w:val="0"/>
        <w:spacing w:before="60" w:line="48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005BB8DF">
      <w:pPr>
        <w:snapToGrid w:val="0"/>
        <w:spacing w:before="60" w:line="48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代理费支付方式：</w:t>
      </w:r>
      <w:r>
        <w:rPr>
          <w:rFonts w:hint="default" w:ascii="Times New Roman" w:hAnsi="Times New Roman" w:eastAsia="宋体" w:cs="Times New Roman"/>
          <w:color w:val="auto"/>
          <w:kern w:val="0"/>
          <w:sz w:val="24"/>
          <w:szCs w:val="24"/>
          <w:highlight w:val="none"/>
          <w:lang w:val="en-US" w:eastAsia="zh-CN"/>
        </w:rPr>
        <w:t>中标供应商</w:t>
      </w:r>
      <w:r>
        <w:rPr>
          <w:rFonts w:hint="default" w:ascii="Times New Roman" w:hAnsi="Times New Roman" w:eastAsia="宋体" w:cs="Times New Roman"/>
          <w:color w:val="auto"/>
          <w:kern w:val="0"/>
          <w:sz w:val="24"/>
          <w:szCs w:val="24"/>
          <w:highlight w:val="none"/>
        </w:rPr>
        <w:t xml:space="preserve">支付 </w:t>
      </w:r>
    </w:p>
    <w:p w14:paraId="73CB07E7">
      <w:pPr>
        <w:snapToGrid w:val="0"/>
        <w:spacing w:before="60" w:line="48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代理费收费标准：参照</w:t>
      </w:r>
      <w:r>
        <w:rPr>
          <w:rFonts w:hint="default" w:ascii="Times New Roman" w:hAnsi="Times New Roman" w:eastAsia="宋体" w:cs="Times New Roman"/>
          <w:color w:val="auto"/>
          <w:kern w:val="0"/>
          <w:sz w:val="24"/>
          <w:szCs w:val="24"/>
          <w:highlight w:val="none"/>
          <w:lang w:val="en-US" w:eastAsia="zh-CN"/>
        </w:rPr>
        <w:t>原</w:t>
      </w:r>
      <w:r>
        <w:rPr>
          <w:rFonts w:hint="default" w:ascii="Times New Roman" w:hAnsi="Times New Roman" w:eastAsia="宋体" w:cs="Times New Roman"/>
          <w:color w:val="auto"/>
          <w:kern w:val="0"/>
          <w:sz w:val="24"/>
          <w:szCs w:val="24"/>
          <w:highlight w:val="none"/>
        </w:rPr>
        <w:t>国家计委“计价格【2002】1980号”文件、国家发改委发改办价格【2003】857号文件及发改价格【2011】534号文件</w:t>
      </w:r>
      <w:r>
        <w:rPr>
          <w:rFonts w:hint="default" w:ascii="Times New Roman" w:hAnsi="Times New Roman" w:eastAsia="宋体" w:cs="Times New Roman"/>
          <w:color w:val="auto"/>
          <w:kern w:val="0"/>
          <w:sz w:val="24"/>
          <w:szCs w:val="24"/>
          <w:highlight w:val="none"/>
          <w:lang w:val="en-US" w:eastAsia="zh-CN"/>
        </w:rPr>
        <w:t>及约定收取</w:t>
      </w:r>
    </w:p>
    <w:p w14:paraId="77306EA2">
      <w:pPr>
        <w:pStyle w:val="3"/>
        <w:snapToGrid w:val="0"/>
        <w:spacing w:before="60" w:line="48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七、对本次招标提出询问，请按以下方式联系。</w:t>
      </w:r>
    </w:p>
    <w:p w14:paraId="18114034">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1.采购人信息</w:t>
      </w:r>
    </w:p>
    <w:p w14:paraId="20209FCB">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名    称：</w:t>
      </w:r>
      <w:r>
        <w:rPr>
          <w:rFonts w:hint="eastAsia" w:ascii="Times New Roman" w:hAnsi="Times New Roman" w:eastAsia="宋体" w:cs="Times New Roman"/>
          <w:color w:val="auto"/>
          <w:sz w:val="24"/>
          <w:szCs w:val="24"/>
          <w:highlight w:val="none"/>
          <w:lang w:eastAsia="zh-CN"/>
        </w:rPr>
        <w:t>交口县医疗集团人民医院</w:t>
      </w:r>
    </w:p>
    <w:p w14:paraId="098588C9">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地    址：交口县城云梦街16号</w:t>
      </w:r>
    </w:p>
    <w:p w14:paraId="48676ED4">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联系方式：0358-5422217 </w:t>
      </w:r>
    </w:p>
    <w:p w14:paraId="43139468">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2.采购代理机构信息</w:t>
      </w:r>
    </w:p>
    <w:p w14:paraId="61312801">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名  称：山西宏润招标代理有限公司</w:t>
      </w:r>
    </w:p>
    <w:p w14:paraId="35D8A07B">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地  址：太原市解放南路87号菜园广场写字楼</w:t>
      </w:r>
    </w:p>
    <w:p w14:paraId="52915AA9">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联系方式：0351-6292999</w:t>
      </w:r>
    </w:p>
    <w:p w14:paraId="2D4FE647">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3.项目联系方式</w:t>
      </w:r>
    </w:p>
    <w:p w14:paraId="6B4FF078">
      <w:pPr>
        <w:snapToGrid w:val="0"/>
        <w:spacing w:line="480" w:lineRule="exact"/>
        <w:ind w:firstLine="480" w:firstLineChars="200"/>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项目联系人：董香弟、张建钰、尹元、刘洋、雷鸣、刘月莹</w:t>
      </w:r>
    </w:p>
    <w:p w14:paraId="239CEAE9">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电  话：0351-6292999</w:t>
      </w:r>
    </w:p>
    <w:p w14:paraId="55ECA73D">
      <w:pPr>
        <w:snapToGrid w:val="0"/>
        <w:spacing w:before="60" w:line="480" w:lineRule="exact"/>
        <w:ind w:firstLine="480" w:firstLineChars="200"/>
        <w:rPr>
          <w:rFonts w:hint="default" w:ascii="Times New Roman" w:hAnsi="Times New Roman" w:eastAsia="宋体" w:cs="Times New Roman"/>
          <w:color w:val="auto"/>
          <w:sz w:val="24"/>
          <w:szCs w:val="24"/>
          <w:highlight w:val="none"/>
        </w:rPr>
      </w:pPr>
    </w:p>
    <w:p w14:paraId="72D8AAA5">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p>
    <w:p w14:paraId="7D1773D3">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p>
    <w:p w14:paraId="07C35779">
      <w:pPr>
        <w:snapToGrid w:val="0"/>
        <w:spacing w:before="60" w:after="60" w:line="460" w:lineRule="exact"/>
        <w:jc w:val="left"/>
        <w:rPr>
          <w:rFonts w:hint="default" w:ascii="Times New Roman" w:hAnsi="Times New Roman" w:eastAsia="宋体" w:cs="Times New Roman"/>
          <w:color w:val="auto"/>
          <w:sz w:val="24"/>
          <w:szCs w:val="24"/>
          <w:highlight w:val="none"/>
        </w:rPr>
      </w:pPr>
    </w:p>
    <w:p w14:paraId="6BFF6D22">
      <w:pPr>
        <w:rPr>
          <w:rFonts w:hint="default" w:ascii="Times New Roman" w:hAnsi="Times New Roman" w:eastAsia="宋体" w:cs="Times New Roman"/>
          <w:b/>
          <w:bCs/>
          <w:color w:val="auto"/>
          <w:sz w:val="32"/>
          <w:szCs w:val="32"/>
          <w:highlight w:val="none"/>
        </w:rPr>
      </w:pPr>
      <w:bookmarkStart w:id="4" w:name="_Toc12704"/>
      <w:r>
        <w:rPr>
          <w:rFonts w:hint="default" w:ascii="Times New Roman" w:hAnsi="Times New Roman" w:eastAsia="宋体" w:cs="Times New Roman"/>
          <w:b/>
          <w:bCs/>
          <w:color w:val="auto"/>
          <w:sz w:val="32"/>
          <w:szCs w:val="32"/>
          <w:highlight w:val="none"/>
        </w:rPr>
        <w:br w:type="page"/>
      </w:r>
    </w:p>
    <w:p w14:paraId="410AA9B0">
      <w:pPr>
        <w:rPr>
          <w:rFonts w:hint="default" w:ascii="Times New Roman" w:hAnsi="Times New Roman" w:cs="Times New Roman"/>
          <w:color w:val="auto"/>
          <w:highlight w:val="none"/>
        </w:rPr>
      </w:pPr>
    </w:p>
    <w:p w14:paraId="511C93FC">
      <w:pPr>
        <w:pStyle w:val="2"/>
        <w:snapToGrid w:val="0"/>
        <w:ind w:left="2730"/>
        <w:jc w:val="both"/>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32"/>
          <w:szCs w:val="32"/>
          <w:highlight w:val="none"/>
        </w:rPr>
        <w:t>第二部分 投标人须知前附表</w:t>
      </w:r>
      <w:bookmarkEnd w:id="4"/>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2010"/>
        <w:gridCol w:w="6225"/>
      </w:tblGrid>
      <w:tr w14:paraId="067A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0661C96">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2010" w:type="dxa"/>
            <w:tcBorders>
              <w:top w:val="single" w:color="000000" w:sz="8" w:space="0"/>
              <w:left w:val="single" w:color="000000" w:sz="8" w:space="0"/>
              <w:bottom w:val="single" w:color="000000" w:sz="8" w:space="0"/>
              <w:right w:val="single" w:color="000000" w:sz="8" w:space="0"/>
            </w:tcBorders>
            <w:vAlign w:val="center"/>
          </w:tcPr>
          <w:p w14:paraId="786391DC">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内</w:t>
            </w:r>
            <w:r>
              <w:rPr>
                <w:rFonts w:hint="default" w:ascii="Times New Roman" w:hAnsi="Times New Roman" w:eastAsia="Calibri"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rPr>
              <w:t>容</w:t>
            </w:r>
          </w:p>
        </w:tc>
        <w:tc>
          <w:tcPr>
            <w:tcW w:w="6225" w:type="dxa"/>
            <w:tcBorders>
              <w:top w:val="single" w:color="000000" w:sz="8" w:space="0"/>
              <w:left w:val="single" w:color="000000" w:sz="8" w:space="0"/>
              <w:bottom w:val="single" w:color="000000" w:sz="8" w:space="0"/>
              <w:right w:val="single" w:color="000000" w:sz="8" w:space="0"/>
            </w:tcBorders>
            <w:vAlign w:val="center"/>
          </w:tcPr>
          <w:p w14:paraId="1EDFB04A">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说明与要求</w:t>
            </w:r>
          </w:p>
        </w:tc>
      </w:tr>
      <w:tr w14:paraId="77A3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23174B5">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1</w:t>
            </w:r>
          </w:p>
        </w:tc>
        <w:tc>
          <w:tcPr>
            <w:tcW w:w="2010" w:type="dxa"/>
            <w:tcBorders>
              <w:top w:val="single" w:color="000000" w:sz="8" w:space="0"/>
              <w:left w:val="single" w:color="000000" w:sz="8" w:space="0"/>
              <w:bottom w:val="single" w:color="000000" w:sz="8" w:space="0"/>
              <w:right w:val="single" w:color="000000" w:sz="8" w:space="0"/>
            </w:tcBorders>
            <w:vAlign w:val="center"/>
          </w:tcPr>
          <w:p w14:paraId="2E572370">
            <w:pPr>
              <w:tabs>
                <w:tab w:val="left" w:pos="630"/>
              </w:tabs>
              <w:snapToGrid w:val="0"/>
              <w:spacing w:line="440" w:lineRule="exact"/>
              <w:ind w:left="0" w:leftChars="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投标人应具备的资格要求</w:t>
            </w:r>
          </w:p>
        </w:tc>
        <w:tc>
          <w:tcPr>
            <w:tcW w:w="6225" w:type="dxa"/>
            <w:tcBorders>
              <w:top w:val="single" w:color="000000" w:sz="8" w:space="0"/>
              <w:left w:val="single" w:color="000000" w:sz="8" w:space="0"/>
              <w:bottom w:val="single" w:color="000000" w:sz="8" w:space="0"/>
              <w:right w:val="single" w:color="000000" w:sz="8" w:space="0"/>
            </w:tcBorders>
            <w:vAlign w:val="center"/>
          </w:tcPr>
          <w:p w14:paraId="5FF757CD">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1.1、具备政府采购法第二十二条规定的条件； </w:t>
            </w:r>
          </w:p>
          <w:p w14:paraId="2EF044B1">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1.2、落实政府采购政策需满足的资格要求：</w:t>
            </w:r>
            <w:r>
              <w:rPr>
                <w:rFonts w:hint="eastAsia" w:ascii="Times New Roman" w:hAnsi="Times New Roman" w:eastAsia="宋体" w:cs="Times New Roman"/>
                <w:color w:val="auto"/>
                <w:sz w:val="24"/>
                <w:szCs w:val="24"/>
                <w:highlight w:val="none"/>
                <w:lang w:val="en-US" w:eastAsia="zh-CN"/>
              </w:rPr>
              <w:t>无</w:t>
            </w:r>
            <w:r>
              <w:rPr>
                <w:rFonts w:hint="default" w:ascii="Times New Roman" w:hAnsi="Times New Roman" w:eastAsia="宋体" w:cs="Times New Roman"/>
                <w:color w:val="auto"/>
                <w:sz w:val="24"/>
                <w:szCs w:val="24"/>
                <w:highlight w:val="none"/>
              </w:rPr>
              <w:t>。</w:t>
            </w:r>
          </w:p>
          <w:p w14:paraId="465D3E93">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1.3、本项目的特定资格要求：</w:t>
            </w:r>
          </w:p>
          <w:p w14:paraId="02365D6E">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1.3.1 </w:t>
            </w:r>
            <w:r>
              <w:rPr>
                <w:rFonts w:hint="default" w:ascii="Times New Roman" w:hAnsi="Times New Roman" w:eastAsia="宋体" w:cs="Times New Roman"/>
                <w:color w:val="auto"/>
                <w:sz w:val="24"/>
                <w:szCs w:val="24"/>
                <w:highlight w:val="none"/>
              </w:rPr>
              <w:t>投标产品若为医疗器械，申请人须具有经营医疗器械的相关资格，满足《医疗器械监督管理条例》的资格要求：</w:t>
            </w:r>
          </w:p>
          <w:p w14:paraId="2140F32F">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①投标人属于医疗器械生产企业直接参加投标的，所投产品属于一类医疗器械的须提供</w:t>
            </w:r>
            <w:r>
              <w:rPr>
                <w:rFonts w:hint="default" w:ascii="Times New Roman" w:hAnsi="Times New Roman" w:cs="Times New Roman"/>
                <w:color w:val="auto"/>
                <w:sz w:val="24"/>
                <w:szCs w:val="24"/>
                <w:highlight w:val="none"/>
                <w:lang w:val="en-US" w:eastAsia="zh-CN"/>
              </w:rPr>
              <w:t>第一类医疗器械</w:t>
            </w:r>
            <w:r>
              <w:rPr>
                <w:rFonts w:hint="default" w:ascii="Times New Roman" w:hAnsi="Times New Roman" w:eastAsia="宋体" w:cs="Times New Roman"/>
                <w:color w:val="auto"/>
                <w:sz w:val="24"/>
                <w:szCs w:val="24"/>
                <w:highlight w:val="none"/>
              </w:rPr>
              <w:t>生产备案凭证；所投产品属于二类医疗器械的须提供</w:t>
            </w:r>
            <w:r>
              <w:rPr>
                <w:rFonts w:hint="default" w:ascii="Times New Roman" w:hAnsi="Times New Roman" w:eastAsia="宋体" w:cs="Times New Roman"/>
                <w:color w:val="auto"/>
                <w:sz w:val="24"/>
                <w:szCs w:val="24"/>
                <w:highlight w:val="none"/>
                <w:lang w:val="en-US" w:eastAsia="zh-CN"/>
              </w:rPr>
              <w:t>医疗器械</w:t>
            </w:r>
            <w:r>
              <w:rPr>
                <w:rFonts w:hint="default" w:ascii="Times New Roman" w:hAnsi="Times New Roman" w:eastAsia="宋体" w:cs="Times New Roman"/>
                <w:color w:val="auto"/>
                <w:sz w:val="24"/>
                <w:szCs w:val="24"/>
                <w:highlight w:val="none"/>
              </w:rPr>
              <w:t>生产企业许可证和</w:t>
            </w:r>
            <w:r>
              <w:rPr>
                <w:rFonts w:hint="default" w:ascii="Times New Roman" w:hAnsi="Times New Roman" w:eastAsia="宋体" w:cs="Times New Roman"/>
                <w:color w:val="auto"/>
                <w:sz w:val="24"/>
                <w:szCs w:val="24"/>
                <w:highlight w:val="none"/>
                <w:lang w:val="en-US" w:eastAsia="zh-CN"/>
              </w:rPr>
              <w:t>第二类医疗器械</w:t>
            </w:r>
            <w:r>
              <w:rPr>
                <w:rFonts w:hint="default" w:ascii="Times New Roman" w:hAnsi="Times New Roman" w:eastAsia="宋体" w:cs="Times New Roman"/>
                <w:color w:val="auto"/>
                <w:sz w:val="24"/>
                <w:szCs w:val="24"/>
                <w:highlight w:val="none"/>
              </w:rPr>
              <w:t>经营备案凭证；所投产品属于三类医疗器械须提供</w:t>
            </w:r>
            <w:r>
              <w:rPr>
                <w:rFonts w:hint="default" w:ascii="Times New Roman" w:hAnsi="Times New Roman" w:eastAsia="宋体" w:cs="Times New Roman"/>
                <w:color w:val="auto"/>
                <w:sz w:val="24"/>
                <w:szCs w:val="24"/>
                <w:highlight w:val="none"/>
                <w:lang w:val="en-US" w:eastAsia="zh-CN"/>
              </w:rPr>
              <w:t>医疗器械</w:t>
            </w:r>
            <w:r>
              <w:rPr>
                <w:rFonts w:hint="default" w:ascii="Times New Roman" w:hAnsi="Times New Roman" w:eastAsia="宋体" w:cs="Times New Roman"/>
                <w:color w:val="auto"/>
                <w:sz w:val="24"/>
                <w:szCs w:val="24"/>
                <w:highlight w:val="none"/>
              </w:rPr>
              <w:t>生产许可证和</w:t>
            </w:r>
            <w:r>
              <w:rPr>
                <w:rFonts w:hint="default" w:ascii="Times New Roman" w:hAnsi="Times New Roman" w:eastAsia="宋体" w:cs="Times New Roman"/>
                <w:color w:val="auto"/>
                <w:sz w:val="24"/>
                <w:szCs w:val="24"/>
                <w:highlight w:val="none"/>
                <w:lang w:val="en-US" w:eastAsia="zh-CN"/>
              </w:rPr>
              <w:t>医疗器械</w:t>
            </w:r>
            <w:r>
              <w:rPr>
                <w:rFonts w:hint="default" w:ascii="Times New Roman" w:hAnsi="Times New Roman" w:eastAsia="宋体" w:cs="Times New Roman"/>
                <w:color w:val="auto"/>
                <w:sz w:val="24"/>
                <w:szCs w:val="24"/>
                <w:highlight w:val="none"/>
              </w:rPr>
              <w:t>经营许可证；</w:t>
            </w:r>
          </w:p>
          <w:p w14:paraId="7A519ECA">
            <w:pPr>
              <w:snapToGrid w:val="0"/>
              <w:spacing w:line="44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②投标人属于医疗器械经营企业参加投标的，所投产品属于二类医疗器械的须提供</w:t>
            </w:r>
            <w:r>
              <w:rPr>
                <w:rFonts w:hint="default" w:ascii="Times New Roman" w:hAnsi="Times New Roman" w:eastAsia="宋体" w:cs="Times New Roman"/>
                <w:color w:val="auto"/>
                <w:sz w:val="24"/>
                <w:szCs w:val="24"/>
                <w:highlight w:val="none"/>
                <w:lang w:val="en-US" w:eastAsia="zh-CN"/>
              </w:rPr>
              <w:t>第二类医疗器械</w:t>
            </w:r>
            <w:r>
              <w:rPr>
                <w:rFonts w:hint="default" w:ascii="Times New Roman" w:hAnsi="Times New Roman" w:eastAsia="宋体" w:cs="Times New Roman"/>
                <w:color w:val="auto"/>
                <w:sz w:val="24"/>
                <w:szCs w:val="24"/>
                <w:highlight w:val="none"/>
              </w:rPr>
              <w:t>经营备案凭证，三类医疗器械提供</w:t>
            </w:r>
            <w:r>
              <w:rPr>
                <w:rFonts w:hint="default" w:ascii="Times New Roman" w:hAnsi="Times New Roman" w:eastAsia="宋体" w:cs="Times New Roman"/>
                <w:color w:val="auto"/>
                <w:sz w:val="24"/>
                <w:szCs w:val="24"/>
                <w:highlight w:val="none"/>
                <w:lang w:val="en-US" w:eastAsia="zh-CN"/>
              </w:rPr>
              <w:t>医疗器械</w:t>
            </w:r>
            <w:r>
              <w:rPr>
                <w:rFonts w:hint="default" w:ascii="Times New Roman" w:hAnsi="Times New Roman" w:eastAsia="宋体" w:cs="Times New Roman"/>
                <w:color w:val="auto"/>
                <w:sz w:val="24"/>
                <w:szCs w:val="24"/>
                <w:highlight w:val="none"/>
              </w:rPr>
              <w:t>经营许可证，一类医疗器械不提供</w:t>
            </w:r>
            <w:r>
              <w:rPr>
                <w:rFonts w:hint="default" w:ascii="Times New Roman" w:hAnsi="Times New Roman" w:eastAsia="宋体" w:cs="Times New Roman"/>
                <w:color w:val="auto"/>
                <w:sz w:val="24"/>
                <w:szCs w:val="24"/>
                <w:highlight w:val="none"/>
                <w:lang w:eastAsia="zh-CN"/>
              </w:rPr>
              <w:t>；</w:t>
            </w:r>
          </w:p>
          <w:p w14:paraId="0BFE32E2">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③本次投标产品属于二类、三类医疗器械的，须提供医疗器械注册证，属于一类医疗器械提供</w:t>
            </w:r>
            <w:r>
              <w:rPr>
                <w:rFonts w:hint="default" w:ascii="Times New Roman" w:hAnsi="Times New Roman" w:eastAsia="宋体" w:cs="Times New Roman"/>
                <w:color w:val="auto"/>
                <w:sz w:val="24"/>
                <w:szCs w:val="24"/>
                <w:highlight w:val="none"/>
                <w:lang w:val="en-US" w:eastAsia="zh-CN"/>
              </w:rPr>
              <w:t>第一类医疗器械</w:t>
            </w:r>
            <w:r>
              <w:rPr>
                <w:rFonts w:hint="default" w:ascii="Times New Roman" w:hAnsi="Times New Roman" w:eastAsia="宋体" w:cs="Times New Roman"/>
                <w:color w:val="auto"/>
                <w:sz w:val="24"/>
                <w:szCs w:val="24"/>
                <w:highlight w:val="none"/>
              </w:rPr>
              <w:t>备案凭证；</w:t>
            </w:r>
          </w:p>
          <w:p w14:paraId="33A052B3">
            <w:pPr>
              <w:snapToGrid w:val="0"/>
              <w:spacing w:line="440" w:lineRule="exac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本次报价产品涉及压力容器的，提供生产厂家《</w:t>
            </w:r>
            <w:r>
              <w:rPr>
                <w:rFonts w:ascii="宋体" w:hAnsi="宋体" w:eastAsia="宋体" w:cs="宋体"/>
                <w:sz w:val="24"/>
                <w:szCs w:val="24"/>
                <w:highlight w:val="none"/>
              </w:rPr>
              <w:t>压力容器生产许可证</w:t>
            </w:r>
            <w:r>
              <w:rPr>
                <w:rFonts w:hint="eastAsia" w:ascii="Times New Roman" w:hAnsi="Times New Roman" w:eastAsia="宋体" w:cs="Times New Roman"/>
                <w:color w:val="auto"/>
                <w:sz w:val="24"/>
                <w:szCs w:val="24"/>
                <w:highlight w:val="none"/>
                <w:lang w:val="en-US" w:eastAsia="zh-CN"/>
              </w:rPr>
              <w:t>》；</w:t>
            </w:r>
          </w:p>
          <w:p w14:paraId="482FAD25">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注：按本次招标文件规定所属行业相关法律、法规等对生产或经营该投标产品有特殊资格、证照等规定的，投标人须主动提供其相关证明材料。</w:t>
            </w:r>
          </w:p>
          <w:p w14:paraId="68123AFB">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1.4、是否接受联合体投标：否</w:t>
            </w:r>
          </w:p>
          <w:p w14:paraId="1E6DA785">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1.5、是否接受代理商投标：是</w:t>
            </w:r>
          </w:p>
          <w:p w14:paraId="1C47E886">
            <w:pPr>
              <w:snapToGrid w:val="0"/>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1.6、是否允许再分包：否</w:t>
            </w:r>
          </w:p>
          <w:p w14:paraId="436AEA16">
            <w:pPr>
              <w:snapToGrid w:val="0"/>
              <w:spacing w:line="44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w:t>
            </w:r>
            <w:r>
              <w:rPr>
                <w:rFonts w:hint="default" w:ascii="Times New Roman" w:hAnsi="Times New Roman" w:eastAsia="Times New Roman" w:cs="Times New Roman"/>
                <w:color w:val="auto"/>
                <w:kern w:val="0"/>
                <w:sz w:val="24"/>
                <w:szCs w:val="24"/>
                <w:highlight w:val="none"/>
              </w:rPr>
              <w:t>单位负责人为同一人或者存在直接控股、管理关系的不同供应商，不得参加同一合同项下的政府采购活动。</w:t>
            </w:r>
            <w:r>
              <w:rPr>
                <w:rFonts w:hint="default" w:ascii="Times New Roman" w:hAnsi="Times New Roman" w:eastAsia="宋体" w:cs="Times New Roman"/>
                <w:color w:val="auto"/>
                <w:spacing w:val="6"/>
                <w:sz w:val="24"/>
                <w:szCs w:val="24"/>
                <w:highlight w:val="none"/>
              </w:rPr>
              <w:t>为本次采购项目提供整体设计、规范编制或者项目管理、监理、检测等服务的供应商，不得再参加本项目的其他采购活动。</w:t>
            </w:r>
          </w:p>
        </w:tc>
      </w:tr>
      <w:tr w14:paraId="1461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4758FDC7">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2</w:t>
            </w:r>
          </w:p>
        </w:tc>
        <w:tc>
          <w:tcPr>
            <w:tcW w:w="2010" w:type="dxa"/>
            <w:tcBorders>
              <w:top w:val="single" w:color="000000" w:sz="8" w:space="0"/>
              <w:left w:val="single" w:color="000000" w:sz="8" w:space="0"/>
              <w:bottom w:val="single" w:color="000000" w:sz="8" w:space="0"/>
              <w:right w:val="single" w:color="000000" w:sz="8" w:space="0"/>
            </w:tcBorders>
            <w:vAlign w:val="center"/>
          </w:tcPr>
          <w:p w14:paraId="3C0C96A2">
            <w:pPr>
              <w:snapToGrid w:val="0"/>
              <w:spacing w:line="440" w:lineRule="exact"/>
              <w:ind w:firstLine="120" w:firstLineChars="5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投标文件</w:t>
            </w:r>
          </w:p>
          <w:p w14:paraId="49FB8870">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（资格证明</w:t>
            </w:r>
            <w:r>
              <w:rPr>
                <w:rFonts w:hint="default" w:ascii="Times New Roman" w:hAnsi="Times New Roman" w:eastAsia="宋体" w:cs="Times New Roman"/>
                <w:b/>
                <w:bCs/>
                <w:color w:val="auto"/>
                <w:sz w:val="24"/>
                <w:szCs w:val="24"/>
                <w:highlight w:val="none"/>
                <w:lang w:val="en-US" w:eastAsia="zh-CN"/>
              </w:rPr>
              <w:t>部分</w:t>
            </w:r>
            <w:r>
              <w:rPr>
                <w:rFonts w:hint="default" w:ascii="Times New Roman" w:hAnsi="Times New Roman" w:eastAsia="宋体" w:cs="Times New Roman"/>
                <w:b/>
                <w:bCs/>
                <w:color w:val="auto"/>
                <w:sz w:val="24"/>
                <w:szCs w:val="24"/>
                <w:highlight w:val="none"/>
              </w:rPr>
              <w:t>）</w:t>
            </w:r>
          </w:p>
        </w:tc>
        <w:tc>
          <w:tcPr>
            <w:tcW w:w="6225" w:type="dxa"/>
            <w:tcBorders>
              <w:top w:val="single" w:color="000000" w:sz="8" w:space="0"/>
              <w:left w:val="single" w:color="000000" w:sz="8" w:space="0"/>
              <w:bottom w:val="single" w:color="000000" w:sz="8" w:space="0"/>
              <w:right w:val="single" w:color="000000" w:sz="8" w:space="0"/>
            </w:tcBorders>
            <w:vAlign w:val="center"/>
          </w:tcPr>
          <w:p w14:paraId="51AE0462">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2.</w:t>
            </w:r>
            <w:r>
              <w:rPr>
                <w:rFonts w:hint="default" w:ascii="Times New Roman" w:hAnsi="Times New Roman" w:eastAsia="宋体" w:cs="Times New Roman"/>
                <w:b/>
                <w:bCs/>
                <w:color w:val="auto"/>
                <w:sz w:val="24"/>
                <w:szCs w:val="24"/>
                <w:highlight w:val="none"/>
              </w:rPr>
              <w:t>1</w:t>
            </w:r>
            <w:r>
              <w:rPr>
                <w:rFonts w:hint="default" w:ascii="Times New Roman" w:hAnsi="Times New Roman" w:eastAsia="Times New Roman" w:cs="Times New Roman"/>
                <w:b/>
                <w:bCs/>
                <w:color w:val="auto"/>
                <w:sz w:val="24"/>
                <w:szCs w:val="24"/>
                <w:highlight w:val="none"/>
              </w:rPr>
              <w:t>、具有独立承担民事责任的能力</w:t>
            </w:r>
            <w:r>
              <w:rPr>
                <w:rFonts w:hint="default" w:ascii="Times New Roman" w:hAnsi="Times New Roman" w:eastAsia="宋体" w:cs="Times New Roman"/>
                <w:b/>
                <w:bCs/>
                <w:color w:val="auto"/>
                <w:sz w:val="24"/>
                <w:szCs w:val="24"/>
                <w:highlight w:val="none"/>
              </w:rPr>
              <w:t>，具有良好的商业信誉和健全的财务会计制度；具有依法缴纳税收的良好记录；具有依法缴纳社会保障资金的良好记录；具有履行合同所必需的设备和专业技术能力；参加政府采购活动前三年内，在经营活动中没有重大违法记录</w:t>
            </w:r>
          </w:p>
          <w:p w14:paraId="1BEAF952">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以上内容提供《供应商信用承诺书》（格式见第七部分）</w:t>
            </w:r>
          </w:p>
          <w:p w14:paraId="093769A9">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2.</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Times New Roman" w:cs="Times New Roman"/>
                <w:b/>
                <w:bCs/>
                <w:color w:val="auto"/>
                <w:sz w:val="24"/>
                <w:szCs w:val="24"/>
                <w:highlight w:val="none"/>
              </w:rPr>
              <w:t>、</w:t>
            </w:r>
            <w:r>
              <w:rPr>
                <w:rFonts w:hint="default" w:ascii="Times New Roman" w:hAnsi="Times New Roman" w:eastAsia="宋体" w:cs="Times New Roman"/>
                <w:b/>
                <w:bCs/>
                <w:color w:val="auto"/>
                <w:sz w:val="24"/>
                <w:szCs w:val="24"/>
                <w:highlight w:val="none"/>
              </w:rPr>
              <w:t>落实政府采购政策需满足的资格要求：</w:t>
            </w:r>
          </w:p>
          <w:p w14:paraId="2DDD32C4">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按照本部分序号</w:t>
            </w:r>
            <w:r>
              <w:rPr>
                <w:rFonts w:hint="default" w:ascii="Times New Roman" w:hAnsi="Times New Roman" w:eastAsia="Calibri"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“落实政府采购政策需满足的资格要求”规定提交相关证明文件。</w:t>
            </w:r>
          </w:p>
          <w:p w14:paraId="19F14FCA">
            <w:pPr>
              <w:snapToGrid w:val="0"/>
              <w:spacing w:line="440" w:lineRule="exact"/>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Times New Roman" w:cs="Times New Roman"/>
                <w:b/>
                <w:bCs/>
                <w:color w:val="auto"/>
                <w:sz w:val="24"/>
                <w:szCs w:val="24"/>
                <w:highlight w:val="none"/>
              </w:rPr>
              <w:t>2.</w:t>
            </w: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Times New Roman" w:cs="Times New Roman"/>
                <w:b/>
                <w:bCs/>
                <w:color w:val="auto"/>
                <w:sz w:val="24"/>
                <w:szCs w:val="24"/>
                <w:highlight w:val="none"/>
              </w:rPr>
              <w:t>、</w:t>
            </w:r>
            <w:r>
              <w:rPr>
                <w:rFonts w:hint="default" w:ascii="Times New Roman" w:hAnsi="Times New Roman" w:eastAsia="宋体" w:cs="Times New Roman"/>
                <w:b/>
                <w:bCs/>
                <w:color w:val="auto"/>
                <w:sz w:val="24"/>
                <w:szCs w:val="24"/>
                <w:highlight w:val="none"/>
              </w:rPr>
              <w:t>本项目的</w:t>
            </w:r>
            <w:r>
              <w:rPr>
                <w:rFonts w:hint="default" w:ascii="Times New Roman" w:hAnsi="Times New Roman" w:eastAsia="宋体" w:cs="Times New Roman"/>
                <w:b/>
                <w:bCs/>
                <w:color w:val="auto"/>
                <w:sz w:val="24"/>
                <w:szCs w:val="24"/>
                <w:highlight w:val="none"/>
                <w:lang w:eastAsia="zh-CN"/>
              </w:rPr>
              <w:t>特定资格要求</w:t>
            </w:r>
          </w:p>
          <w:p w14:paraId="598EAFE7">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按照本部分序号</w:t>
            </w:r>
            <w:r>
              <w:rPr>
                <w:rFonts w:hint="default" w:ascii="Times New Roman" w:hAnsi="Times New Roman" w:eastAsia="Calibri"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“本项目的特定资格要求”规定提交相关证明文件。</w:t>
            </w:r>
          </w:p>
          <w:p w14:paraId="291FC6B8">
            <w:pPr>
              <w:keepNext w:val="0"/>
              <w:keepLines w:val="0"/>
              <w:pageBreakBefore w:val="0"/>
              <w:widowControl w:val="0"/>
              <w:kinsoku/>
              <w:wordWrap/>
              <w:overflowPunct/>
              <w:topLinePunct w:val="0"/>
              <w:bidi w:val="0"/>
              <w:spacing w:line="460" w:lineRule="exact"/>
              <w:rPr>
                <w:rFonts w:hint="default" w:ascii="Times New Roman" w:hAnsi="Times New Roman" w:eastAsia="宋体" w:cs="Times New Roman"/>
                <w:b/>
                <w:bCs/>
                <w:color w:val="auto"/>
                <w:spacing w:val="6"/>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2.4、</w:t>
            </w:r>
            <w:r>
              <w:rPr>
                <w:rFonts w:hint="default" w:ascii="Times New Roman" w:hAnsi="Times New Roman" w:eastAsia="宋体" w:cs="Times New Roman"/>
                <w:b/>
                <w:bCs/>
                <w:color w:val="auto"/>
                <w:sz w:val="24"/>
                <w:szCs w:val="24"/>
                <w:highlight w:val="none"/>
                <w:lang w:eastAsia="zh-CN"/>
              </w:rPr>
              <w:t>不存在</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eastAsia="zh-CN"/>
              </w:rPr>
              <w:t>单位负责人为同一人或者存在直接控股、管理关系的不同供应商，参加同一合同项下的政府采购活动</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的情况。</w:t>
            </w:r>
          </w:p>
          <w:p w14:paraId="0D30F248">
            <w:pPr>
              <w:keepNext w:val="0"/>
              <w:keepLines w:val="0"/>
              <w:pageBreakBefore w:val="0"/>
              <w:widowControl w:val="0"/>
              <w:kinsoku/>
              <w:wordWrap/>
              <w:overflowPunct/>
              <w:topLinePunct w:val="0"/>
              <w:bidi w:val="0"/>
              <w:spacing w:line="460" w:lineRule="exact"/>
              <w:rPr>
                <w:rFonts w:hint="default" w:ascii="Times New Roman" w:hAnsi="Times New Roman" w:cs="Times New Roman"/>
                <w:color w:val="auto"/>
                <w:spacing w:val="6"/>
                <w:sz w:val="24"/>
                <w:szCs w:val="24"/>
                <w:highlight w:val="none"/>
                <w:lang w:val="en-US" w:eastAsia="zh-CN"/>
              </w:rPr>
            </w:pPr>
            <w:r>
              <w:rPr>
                <w:rFonts w:hint="default" w:ascii="Times New Roman" w:hAnsi="Times New Roman" w:cs="Times New Roman"/>
                <w:color w:val="auto"/>
                <w:spacing w:val="6"/>
                <w:sz w:val="24"/>
                <w:szCs w:val="24"/>
                <w:highlight w:val="none"/>
                <w:lang w:val="en-US" w:eastAsia="zh-CN"/>
              </w:rPr>
              <w:t>提供《供应商控股及关联企业信息表》（</w:t>
            </w:r>
            <w:r>
              <w:rPr>
                <w:rFonts w:hint="default" w:ascii="Times New Roman" w:hAnsi="Times New Roman" w:eastAsia="宋体" w:cs="Times New Roman"/>
                <w:color w:val="auto"/>
                <w:sz w:val="24"/>
                <w:szCs w:val="24"/>
                <w:highlight w:val="none"/>
                <w:lang w:val="en-US" w:eastAsia="zh-CN"/>
              </w:rPr>
              <w:t>格式见附件</w:t>
            </w:r>
            <w:r>
              <w:rPr>
                <w:rFonts w:hint="default" w:ascii="Times New Roman" w:hAnsi="Times New Roman" w:cs="Times New Roman"/>
                <w:color w:val="auto"/>
                <w:spacing w:val="6"/>
                <w:sz w:val="24"/>
                <w:szCs w:val="24"/>
                <w:highlight w:val="none"/>
                <w:lang w:val="en-US" w:eastAsia="zh-CN"/>
              </w:rPr>
              <w:t>）</w:t>
            </w:r>
          </w:p>
          <w:p w14:paraId="34A761D9">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说明：本项目将根据投标人提供的上述文件进行资格审查，具体资格审查内容及标准见第四部分。</w:t>
            </w:r>
          </w:p>
        </w:tc>
      </w:tr>
      <w:tr w14:paraId="524F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7DC0BC9F">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3</w:t>
            </w:r>
          </w:p>
        </w:tc>
        <w:tc>
          <w:tcPr>
            <w:tcW w:w="2010" w:type="dxa"/>
            <w:tcBorders>
              <w:top w:val="single" w:color="000000" w:sz="8" w:space="0"/>
              <w:left w:val="single" w:color="000000" w:sz="8" w:space="0"/>
              <w:bottom w:val="single" w:color="000000" w:sz="8" w:space="0"/>
              <w:right w:val="single" w:color="000000" w:sz="8" w:space="0"/>
            </w:tcBorders>
            <w:vAlign w:val="center"/>
          </w:tcPr>
          <w:p w14:paraId="66111912">
            <w:pPr>
              <w:snapToGrid w:val="0"/>
              <w:spacing w:line="440" w:lineRule="exact"/>
              <w:ind w:firstLine="120" w:firstLineChars="5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投标文件</w:t>
            </w:r>
          </w:p>
          <w:p w14:paraId="38FBA460">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（商务技术</w:t>
            </w:r>
            <w:r>
              <w:rPr>
                <w:rFonts w:hint="default" w:ascii="Times New Roman" w:hAnsi="Times New Roman" w:eastAsia="宋体" w:cs="Times New Roman"/>
                <w:b/>
                <w:bCs/>
                <w:color w:val="auto"/>
                <w:sz w:val="24"/>
                <w:szCs w:val="24"/>
                <w:highlight w:val="none"/>
                <w:lang w:val="en-US" w:eastAsia="zh-CN"/>
              </w:rPr>
              <w:t>部分</w:t>
            </w:r>
            <w:r>
              <w:rPr>
                <w:rFonts w:hint="default" w:ascii="Times New Roman" w:hAnsi="Times New Roman" w:eastAsia="宋体" w:cs="Times New Roman"/>
                <w:b/>
                <w:bCs/>
                <w:color w:val="auto"/>
                <w:sz w:val="24"/>
                <w:szCs w:val="24"/>
                <w:highlight w:val="none"/>
              </w:rPr>
              <w:t>）</w:t>
            </w:r>
          </w:p>
        </w:tc>
        <w:tc>
          <w:tcPr>
            <w:tcW w:w="6225" w:type="dxa"/>
            <w:tcBorders>
              <w:top w:val="single" w:color="000000" w:sz="8" w:space="0"/>
              <w:left w:val="single" w:color="000000" w:sz="8" w:space="0"/>
              <w:bottom w:val="single" w:color="000000" w:sz="8" w:space="0"/>
              <w:right w:val="single" w:color="000000" w:sz="8" w:space="0"/>
            </w:tcBorders>
            <w:vAlign w:val="center"/>
          </w:tcPr>
          <w:p w14:paraId="60EA6AA9">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3.1</w:t>
            </w:r>
            <w:r>
              <w:rPr>
                <w:rFonts w:hint="default" w:ascii="Times New Roman" w:hAnsi="Times New Roman" w:eastAsia="Times New Roman" w:cs="Times New Roman"/>
                <w:b/>
                <w:bCs/>
                <w:color w:val="auto"/>
                <w:sz w:val="24"/>
                <w:szCs w:val="24"/>
                <w:highlight w:val="none"/>
              </w:rPr>
              <w:t>报价</w:t>
            </w:r>
            <w:r>
              <w:rPr>
                <w:rFonts w:hint="default" w:ascii="Times New Roman" w:hAnsi="Times New Roman" w:eastAsia="宋体" w:cs="Times New Roman"/>
                <w:b/>
                <w:bCs/>
                <w:color w:val="auto"/>
                <w:sz w:val="24"/>
                <w:szCs w:val="24"/>
                <w:highlight w:val="none"/>
              </w:rPr>
              <w:t>响应情况</w:t>
            </w:r>
          </w:p>
          <w:p w14:paraId="08BC8F80">
            <w:pPr>
              <w:numPr>
                <w:ilvl w:val="0"/>
                <w:numId w:val="0"/>
              </w:num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eastAsia="宋体" w:cs="Times New Roman"/>
                <w:color w:val="auto"/>
                <w:sz w:val="24"/>
                <w:szCs w:val="24"/>
                <w:highlight w:val="none"/>
              </w:rPr>
              <w:t>开标一览表</w:t>
            </w:r>
            <w:r>
              <w:rPr>
                <w:rFonts w:hint="default" w:ascii="Times New Roman" w:hAnsi="Times New Roman" w:cs="Times New Roman"/>
                <w:color w:val="auto"/>
                <w:spacing w:val="6"/>
                <w:sz w:val="24"/>
                <w:szCs w:val="24"/>
                <w:highlight w:val="none"/>
                <w:lang w:val="en-US" w:eastAsia="zh-CN"/>
              </w:rPr>
              <w:t>（格式见第七部分）</w:t>
            </w:r>
          </w:p>
          <w:p w14:paraId="1C0AB29C">
            <w:pPr>
              <w:numPr>
                <w:ilvl w:val="0"/>
                <w:numId w:val="0"/>
              </w:num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sz w:val="24"/>
                <w:szCs w:val="24"/>
                <w:highlight w:val="none"/>
              </w:rPr>
              <w:t>报价明细表</w:t>
            </w:r>
            <w:r>
              <w:rPr>
                <w:rFonts w:hint="default" w:ascii="Times New Roman" w:hAnsi="Times New Roman" w:cs="Times New Roman"/>
                <w:color w:val="auto"/>
                <w:spacing w:val="6"/>
                <w:sz w:val="24"/>
                <w:szCs w:val="24"/>
                <w:highlight w:val="none"/>
                <w:lang w:val="en-US" w:eastAsia="zh-CN"/>
              </w:rPr>
              <w:t>（格式见第七部分）</w:t>
            </w:r>
          </w:p>
          <w:p w14:paraId="6172BCA6">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3.2</w:t>
            </w:r>
            <w:r>
              <w:rPr>
                <w:rFonts w:hint="default" w:ascii="Times New Roman" w:hAnsi="Times New Roman" w:eastAsia="宋体" w:cs="Times New Roman"/>
                <w:b/>
                <w:bCs/>
                <w:color w:val="auto"/>
                <w:sz w:val="24"/>
                <w:szCs w:val="24"/>
                <w:highlight w:val="none"/>
                <w:lang w:eastAsia="zh-CN"/>
              </w:rPr>
              <w:t>商务</w:t>
            </w:r>
            <w:r>
              <w:rPr>
                <w:rFonts w:hint="default" w:ascii="Times New Roman" w:hAnsi="Times New Roman" w:eastAsia="宋体" w:cs="Times New Roman"/>
                <w:b/>
                <w:bCs/>
                <w:color w:val="auto"/>
                <w:sz w:val="24"/>
                <w:szCs w:val="24"/>
                <w:highlight w:val="none"/>
              </w:rPr>
              <w:t>响应情况</w:t>
            </w:r>
          </w:p>
          <w:p w14:paraId="75D038F4">
            <w:pPr>
              <w:snapToGrid w:val="0"/>
              <w:spacing w:line="440" w:lineRule="exac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Times New Roman" w:cs="Times New Roman"/>
                <w:b/>
                <w:bCs/>
                <w:color w:val="auto"/>
                <w:sz w:val="24"/>
                <w:szCs w:val="24"/>
                <w:highlight w:val="none"/>
                <w:lang w:val="en-US" w:eastAsia="zh-CN"/>
              </w:rPr>
              <w:t>*</w:t>
            </w:r>
            <w:r>
              <w:rPr>
                <w:rFonts w:hint="default" w:ascii="Times New Roman" w:hAnsi="Times New Roman" w:eastAsia="Times New Roman" w:cs="Times New Roman"/>
                <w:b/>
                <w:bCs/>
                <w:color w:val="auto"/>
                <w:sz w:val="24"/>
                <w:szCs w:val="24"/>
                <w:highlight w:val="none"/>
                <w:lang w:eastAsia="zh-CN"/>
              </w:rPr>
              <w:t>1）</w:t>
            </w:r>
            <w:r>
              <w:rPr>
                <w:rFonts w:hint="default" w:ascii="Times New Roman" w:hAnsi="Times New Roman" w:eastAsia="宋体" w:cs="Times New Roman"/>
                <w:b/>
                <w:bCs/>
                <w:color w:val="auto"/>
                <w:sz w:val="24"/>
                <w:szCs w:val="24"/>
                <w:highlight w:val="none"/>
              </w:rPr>
              <w:t>投标</w:t>
            </w:r>
            <w:r>
              <w:rPr>
                <w:rFonts w:hint="default" w:ascii="Times New Roman" w:hAnsi="Times New Roman" w:eastAsia="Times New Roman" w:cs="Times New Roman"/>
                <w:b/>
                <w:bCs/>
                <w:color w:val="auto"/>
                <w:sz w:val="24"/>
                <w:szCs w:val="24"/>
                <w:highlight w:val="none"/>
              </w:rPr>
              <w:t>函</w:t>
            </w:r>
            <w:r>
              <w:rPr>
                <w:rFonts w:hint="default" w:ascii="Times New Roman" w:hAnsi="Times New Roman" w:eastAsia="Times New Roman" w:cs="Times New Roman"/>
                <w:b w:val="0"/>
                <w:bCs w:val="0"/>
                <w:color w:val="auto"/>
                <w:sz w:val="24"/>
                <w:szCs w:val="24"/>
                <w:highlight w:val="none"/>
              </w:rPr>
              <w:t>（格式见第七部分</w:t>
            </w:r>
            <w:r>
              <w:rPr>
                <w:rFonts w:hint="default" w:ascii="Times New Roman" w:hAnsi="Times New Roman" w:eastAsia="宋体" w:cs="Times New Roman"/>
                <w:b w:val="0"/>
                <w:bCs w:val="0"/>
                <w:color w:val="auto"/>
                <w:sz w:val="24"/>
                <w:szCs w:val="24"/>
                <w:highlight w:val="none"/>
                <w:lang w:eastAsia="zh-CN"/>
              </w:rPr>
              <w:t>）</w:t>
            </w:r>
          </w:p>
          <w:p w14:paraId="6D16FECC">
            <w:pPr>
              <w:snapToGrid w:val="0"/>
              <w:spacing w:line="440" w:lineRule="exact"/>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eastAsia="zh-CN"/>
              </w:rPr>
              <w:t>2）</w:t>
            </w:r>
            <w:r>
              <w:rPr>
                <w:rFonts w:hint="default" w:ascii="Times New Roman" w:hAnsi="Times New Roman" w:eastAsia="宋体" w:cs="Times New Roman"/>
                <w:b/>
                <w:bCs/>
                <w:color w:val="auto"/>
                <w:sz w:val="24"/>
                <w:szCs w:val="24"/>
                <w:highlight w:val="none"/>
                <w:lang w:val="en-US" w:eastAsia="zh-CN"/>
              </w:rPr>
              <w:t>投标人代表身份证明</w:t>
            </w:r>
            <w:r>
              <w:rPr>
                <w:rFonts w:hint="default" w:ascii="Times New Roman" w:hAnsi="Times New Roman" w:eastAsia="宋体" w:cs="Times New Roman"/>
                <w:b w:val="0"/>
                <w:bCs w:val="0"/>
                <w:color w:val="auto"/>
                <w:sz w:val="24"/>
                <w:szCs w:val="24"/>
                <w:highlight w:val="none"/>
                <w:lang w:val="en-US" w:eastAsia="zh-CN"/>
              </w:rPr>
              <w:t>（格式见第七部分）</w:t>
            </w:r>
          </w:p>
          <w:p w14:paraId="012C794A">
            <w:pPr>
              <w:snapToGrid w:val="0"/>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法定代表人（负责人）参加投标的，提供“法定代表人（负责人）</w:t>
            </w:r>
            <w:r>
              <w:rPr>
                <w:rFonts w:hint="default" w:ascii="Times New Roman" w:hAnsi="Times New Roman" w:eastAsia="宋体" w:cs="Times New Roman"/>
                <w:color w:val="auto"/>
                <w:sz w:val="24"/>
                <w:szCs w:val="24"/>
                <w:highlight w:val="none"/>
                <w:lang w:val="en-US" w:eastAsia="zh-CN"/>
              </w:rPr>
              <w:t>身份</w:t>
            </w:r>
            <w:r>
              <w:rPr>
                <w:rFonts w:hint="default" w:ascii="Times New Roman" w:hAnsi="Times New Roman" w:eastAsia="宋体" w:cs="Times New Roman"/>
                <w:color w:val="auto"/>
                <w:sz w:val="24"/>
                <w:szCs w:val="24"/>
                <w:highlight w:val="none"/>
              </w:rPr>
              <w:t>证明书”；委托代理人参加投标的，提供“法定代表人（负责人）</w:t>
            </w:r>
            <w:r>
              <w:rPr>
                <w:rFonts w:hint="default" w:ascii="Times New Roman" w:hAnsi="Times New Roman" w:eastAsia="宋体" w:cs="Times New Roman"/>
                <w:color w:val="auto"/>
                <w:sz w:val="24"/>
                <w:szCs w:val="24"/>
                <w:highlight w:val="none"/>
                <w:lang w:val="en-US" w:eastAsia="zh-CN"/>
              </w:rPr>
              <w:t>身份</w:t>
            </w:r>
            <w:r>
              <w:rPr>
                <w:rFonts w:hint="default" w:ascii="Times New Roman" w:hAnsi="Times New Roman" w:eastAsia="宋体" w:cs="Times New Roman"/>
                <w:color w:val="auto"/>
                <w:sz w:val="24"/>
                <w:szCs w:val="24"/>
                <w:highlight w:val="none"/>
              </w:rPr>
              <w:t>证明书”</w:t>
            </w:r>
            <w:r>
              <w:rPr>
                <w:rFonts w:hint="default" w:ascii="Times New Roman" w:hAnsi="Times New Roman" w:eastAsia="宋体" w:cs="Times New Roman"/>
                <w:color w:val="auto"/>
                <w:sz w:val="24"/>
                <w:szCs w:val="24"/>
                <w:highlight w:val="none"/>
                <w:lang w:val="en-US" w:eastAsia="zh-CN"/>
              </w:rPr>
              <w:t>及</w:t>
            </w:r>
            <w:r>
              <w:rPr>
                <w:rFonts w:hint="default" w:ascii="Times New Roman" w:hAnsi="Times New Roman" w:eastAsia="宋体" w:cs="Times New Roman"/>
                <w:color w:val="auto"/>
                <w:sz w:val="24"/>
                <w:szCs w:val="24"/>
                <w:highlight w:val="none"/>
              </w:rPr>
              <w:t>“法定代表人（负责人）授权委托书”；自然人参加投标的，提供个人身份证明扫</w:t>
            </w:r>
            <w:r>
              <w:rPr>
                <w:rFonts w:hint="default" w:ascii="Times New Roman" w:hAnsi="Times New Roman" w:eastAsia="宋体" w:cs="Times New Roman"/>
                <w:color w:val="auto"/>
                <w:sz w:val="24"/>
                <w:szCs w:val="24"/>
                <w:highlight w:val="none"/>
                <w:lang w:val="en-US" w:eastAsia="zh-CN"/>
              </w:rPr>
              <w:t>描件</w:t>
            </w:r>
          </w:p>
          <w:p w14:paraId="7D4D220C">
            <w:pPr>
              <w:snapToGrid w:val="0"/>
              <w:spacing w:line="440" w:lineRule="exact"/>
              <w:rPr>
                <w:rFonts w:hint="default" w:ascii="Times New Roman" w:hAnsi="Times New Roman" w:eastAsia="Times New Roman" w:cs="Times New Roman"/>
                <w:b/>
                <w:bCs/>
                <w:color w:val="auto"/>
                <w:sz w:val="24"/>
                <w:szCs w:val="24"/>
                <w:highlight w:val="none"/>
                <w:lang w:val="en-US" w:eastAsia="zh-CN"/>
              </w:rPr>
            </w:pPr>
            <w:r>
              <w:rPr>
                <w:rFonts w:hint="default"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color w:val="auto"/>
                <w:kern w:val="2"/>
                <w:sz w:val="24"/>
                <w:szCs w:val="24"/>
                <w:highlight w:val="none"/>
                <w:lang w:eastAsia="zh-CN" w:bidi="ar-SA"/>
              </w:rPr>
              <w:t>3）</w:t>
            </w:r>
            <w:r>
              <w:rPr>
                <w:rFonts w:hint="default" w:ascii="Times New Roman" w:hAnsi="Times New Roman" w:eastAsia="Times New Roman" w:cs="Times New Roman"/>
                <w:b/>
                <w:bCs/>
                <w:color w:val="auto"/>
                <w:sz w:val="24"/>
                <w:szCs w:val="24"/>
                <w:highlight w:val="none"/>
                <w:lang w:val="en-US" w:eastAsia="zh-CN"/>
              </w:rPr>
              <w:t>投标保证金的交纳情况</w:t>
            </w:r>
          </w:p>
          <w:p w14:paraId="71DDEC8A">
            <w:pPr>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保证金要求足额交纳，从</w:t>
            </w:r>
            <w:r>
              <w:rPr>
                <w:rFonts w:hint="default" w:ascii="Times New Roman" w:hAnsi="Times New Roman" w:eastAsia="宋体" w:cs="Times New Roman"/>
                <w:color w:val="auto"/>
                <w:sz w:val="24"/>
                <w:szCs w:val="24"/>
                <w:highlight w:val="none"/>
                <w:lang w:val="en-US" w:eastAsia="zh-CN"/>
              </w:rPr>
              <w:t>供应商对公</w:t>
            </w:r>
            <w:r>
              <w:rPr>
                <w:rFonts w:hint="default" w:ascii="Times New Roman" w:hAnsi="Times New Roman" w:eastAsia="宋体" w:cs="Times New Roman"/>
                <w:color w:val="auto"/>
                <w:sz w:val="24"/>
                <w:szCs w:val="24"/>
                <w:highlight w:val="none"/>
              </w:rPr>
              <w:t>账户转出。</w:t>
            </w:r>
            <w:r>
              <w:rPr>
                <w:rFonts w:hint="default" w:ascii="Times New Roman" w:hAnsi="Times New Roman" w:eastAsia="宋体"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可自主选择以银行转账、支票、汇票、本票或者金融机构、担保机构出具的保函等非现金形式提交</w:t>
            </w:r>
            <w:r>
              <w:rPr>
                <w:rFonts w:hint="default"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保证金</w:t>
            </w:r>
            <w:r>
              <w:rPr>
                <w:rFonts w:hint="default" w:ascii="Times New Roman" w:hAnsi="Times New Roman" w:eastAsia="宋体" w:cs="Times New Roman"/>
                <w:color w:val="auto"/>
                <w:sz w:val="24"/>
                <w:szCs w:val="24"/>
                <w:highlight w:val="none"/>
                <w:lang w:val="en-US" w:eastAsia="zh-CN"/>
              </w:rPr>
              <w:t>。</w:t>
            </w:r>
          </w:p>
          <w:p w14:paraId="747613B8">
            <w:pPr>
              <w:snapToGrid w:val="0"/>
              <w:spacing w:line="440" w:lineRule="exac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cs="Times New Roman"/>
                <w:b/>
                <w:bCs/>
                <w:color w:val="auto"/>
                <w:highlight w:val="none"/>
                <w:lang w:val="en-US" w:eastAsia="zh-CN"/>
              </w:rPr>
              <w:t>*4</w:t>
            </w:r>
            <w:r>
              <w:rPr>
                <w:rFonts w:hint="default" w:ascii="Times New Roman" w:hAnsi="Times New Roman" w:cs="Times New Roman"/>
                <w:b/>
                <w:bCs/>
                <w:color w:val="auto"/>
                <w:highlight w:val="none"/>
                <w:lang w:eastAsia="zh-CN"/>
              </w:rPr>
              <w:t>）</w:t>
            </w:r>
            <w:r>
              <w:rPr>
                <w:rFonts w:hint="default" w:ascii="Times New Roman" w:hAnsi="Times New Roman" w:eastAsia="宋体" w:cs="Times New Roman"/>
                <w:b/>
                <w:bCs/>
                <w:color w:val="auto"/>
                <w:sz w:val="24"/>
                <w:szCs w:val="24"/>
                <w:highlight w:val="none"/>
              </w:rPr>
              <w:t>商务条款响应表</w:t>
            </w:r>
            <w:r>
              <w:rPr>
                <w:rFonts w:hint="default" w:ascii="Times New Roman" w:hAnsi="Times New Roman" w:eastAsia="Times New Roman" w:cs="Times New Roman"/>
                <w:b w:val="0"/>
                <w:bCs w:val="0"/>
                <w:color w:val="auto"/>
                <w:sz w:val="24"/>
                <w:szCs w:val="24"/>
                <w:highlight w:val="none"/>
              </w:rPr>
              <w:t>（格式见第七部分</w:t>
            </w:r>
            <w:r>
              <w:rPr>
                <w:rFonts w:hint="default" w:ascii="Times New Roman" w:hAnsi="Times New Roman" w:eastAsia="宋体" w:cs="Times New Roman"/>
                <w:b w:val="0"/>
                <w:bCs w:val="0"/>
                <w:color w:val="auto"/>
                <w:sz w:val="24"/>
                <w:szCs w:val="24"/>
                <w:highlight w:val="none"/>
                <w:lang w:eastAsia="zh-CN"/>
              </w:rPr>
              <w:t>）</w:t>
            </w:r>
          </w:p>
          <w:p w14:paraId="02F49698">
            <w:pPr>
              <w:numPr>
                <w:ilvl w:val="0"/>
                <w:numId w:val="0"/>
              </w:numPr>
              <w:snapToGrid w:val="0"/>
              <w:spacing w:line="440" w:lineRule="exact"/>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供应商售后服务承诺函</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（格式自拟）</w:t>
            </w:r>
          </w:p>
          <w:p w14:paraId="09BC0C11">
            <w:pPr>
              <w:numPr>
                <w:ilvl w:val="0"/>
                <w:numId w:val="0"/>
              </w:num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*6）政策性及强制性要求的</w:t>
            </w:r>
            <w:r>
              <w:rPr>
                <w:rFonts w:hint="default" w:ascii="Times New Roman" w:hAnsi="Times New Roman" w:eastAsia="宋体" w:cs="Times New Roman"/>
                <w:b/>
                <w:bCs/>
                <w:color w:val="auto"/>
                <w:sz w:val="24"/>
                <w:szCs w:val="24"/>
                <w:highlight w:val="none"/>
              </w:rPr>
              <w:t>响应情况</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lang w:val="en-US" w:eastAsia="zh-CN"/>
              </w:rPr>
              <w:t>如涉及须提供</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color w:val="auto"/>
                <w:sz w:val="24"/>
                <w:szCs w:val="24"/>
                <w:highlight w:val="none"/>
              </w:rPr>
              <w:t>；</w:t>
            </w:r>
          </w:p>
          <w:p w14:paraId="0E27A0E6">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3.3</w:t>
            </w:r>
            <w:r>
              <w:rPr>
                <w:rFonts w:hint="default" w:ascii="Times New Roman" w:hAnsi="Times New Roman" w:eastAsia="Times New Roman" w:cs="Times New Roman"/>
                <w:b/>
                <w:bCs/>
                <w:color w:val="auto"/>
                <w:sz w:val="24"/>
                <w:szCs w:val="24"/>
                <w:highlight w:val="none"/>
              </w:rPr>
              <w:t>技术</w:t>
            </w:r>
            <w:r>
              <w:rPr>
                <w:rFonts w:hint="default" w:ascii="Times New Roman" w:hAnsi="Times New Roman" w:eastAsia="宋体" w:cs="Times New Roman"/>
                <w:b/>
                <w:bCs/>
                <w:color w:val="auto"/>
                <w:sz w:val="24"/>
                <w:szCs w:val="24"/>
                <w:highlight w:val="none"/>
              </w:rPr>
              <w:t>响应情况</w:t>
            </w:r>
          </w:p>
          <w:p w14:paraId="58F94FEC">
            <w:pPr>
              <w:numPr>
                <w:ilvl w:val="0"/>
                <w:numId w:val="0"/>
              </w:numPr>
              <w:snapToGrid w:val="0"/>
              <w:spacing w:line="440" w:lineRule="exact"/>
              <w:jc w:val="left"/>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b/>
                <w:bCs/>
                <w:color w:val="auto"/>
                <w:spacing w:val="6"/>
                <w:kern w:val="2"/>
                <w:sz w:val="24"/>
                <w:szCs w:val="24"/>
                <w:highlight w:val="none"/>
                <w:lang w:val="en-US" w:eastAsia="zh-CN" w:bidi="ar-SA"/>
              </w:rPr>
              <w:t>*1）</w:t>
            </w:r>
            <w:r>
              <w:rPr>
                <w:rFonts w:hint="default" w:ascii="Times New Roman" w:hAnsi="Times New Roman" w:eastAsia="宋体" w:cs="Times New Roman"/>
                <w:b/>
                <w:bCs/>
                <w:color w:val="auto"/>
                <w:spacing w:val="6"/>
                <w:sz w:val="24"/>
                <w:szCs w:val="24"/>
                <w:highlight w:val="none"/>
              </w:rPr>
              <w:t>投标产品技术应答书</w:t>
            </w:r>
            <w:r>
              <w:rPr>
                <w:rFonts w:hint="default" w:ascii="Times New Roman" w:hAnsi="Times New Roman" w:eastAsia="Times New Roman" w:cs="Times New Roman"/>
                <w:b w:val="0"/>
                <w:bCs w:val="0"/>
                <w:color w:val="auto"/>
                <w:sz w:val="24"/>
                <w:szCs w:val="24"/>
                <w:highlight w:val="none"/>
              </w:rPr>
              <w:t>（格式见第七部分</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color w:val="auto"/>
                <w:spacing w:val="6"/>
                <w:sz w:val="24"/>
                <w:szCs w:val="24"/>
                <w:highlight w:val="none"/>
              </w:rPr>
              <w:t>；</w:t>
            </w:r>
          </w:p>
          <w:p w14:paraId="4EB965ED">
            <w:pPr>
              <w:numPr>
                <w:ilvl w:val="0"/>
                <w:numId w:val="0"/>
              </w:numPr>
              <w:snapToGrid w:val="0"/>
              <w:spacing w:line="440" w:lineRule="exact"/>
              <w:jc w:val="left"/>
              <w:rPr>
                <w:rFonts w:hint="default" w:ascii="Times New Roman" w:hAnsi="Times New Roman" w:eastAsia="宋体" w:cs="Times New Roman"/>
                <w:b/>
                <w:bCs/>
                <w:color w:val="auto"/>
                <w:spacing w:val="6"/>
                <w:sz w:val="24"/>
                <w:szCs w:val="24"/>
                <w:highlight w:val="none"/>
              </w:rPr>
            </w:pPr>
            <w:r>
              <w:rPr>
                <w:rFonts w:hint="default" w:ascii="Times New Roman" w:hAnsi="Times New Roman" w:eastAsia="宋体" w:cs="Times New Roman"/>
                <w:b/>
                <w:bCs/>
                <w:color w:val="auto"/>
                <w:spacing w:val="6"/>
                <w:kern w:val="2"/>
                <w:sz w:val="24"/>
                <w:szCs w:val="24"/>
                <w:highlight w:val="none"/>
                <w:lang w:val="en-US" w:eastAsia="zh-CN" w:bidi="ar-SA"/>
              </w:rPr>
              <w:t>2）</w:t>
            </w:r>
            <w:r>
              <w:rPr>
                <w:rFonts w:hint="default" w:ascii="Times New Roman" w:hAnsi="Times New Roman" w:eastAsia="宋体" w:cs="Times New Roman"/>
                <w:b/>
                <w:bCs/>
                <w:color w:val="auto"/>
                <w:spacing w:val="6"/>
                <w:sz w:val="24"/>
                <w:szCs w:val="24"/>
                <w:highlight w:val="none"/>
              </w:rPr>
              <w:t>投标产品技术参数及配置清单；</w:t>
            </w:r>
          </w:p>
          <w:p w14:paraId="21545E4A">
            <w:pPr>
              <w:numPr>
                <w:ilvl w:val="0"/>
                <w:numId w:val="0"/>
              </w:numPr>
              <w:snapToGrid w:val="0"/>
              <w:spacing w:line="440" w:lineRule="exact"/>
              <w:jc w:val="left"/>
              <w:rPr>
                <w:rFonts w:hint="default" w:ascii="Times New Roman" w:hAnsi="Times New Roman" w:eastAsia="宋体" w:cs="Times New Roman"/>
                <w:color w:val="auto"/>
                <w:spacing w:val="6"/>
                <w:sz w:val="24"/>
                <w:szCs w:val="24"/>
                <w:highlight w:val="none"/>
              </w:rPr>
            </w:pPr>
            <w:r>
              <w:rPr>
                <w:rFonts w:hint="default" w:ascii="Times New Roman" w:hAnsi="Times New Roman" w:cs="Times New Roman"/>
                <w:b/>
                <w:bCs/>
                <w:color w:val="auto"/>
                <w:highlight w:val="none"/>
                <w:lang w:val="en-US" w:eastAsia="zh-CN"/>
              </w:rPr>
              <w:t>*</w:t>
            </w:r>
            <w:r>
              <w:rPr>
                <w:rFonts w:hint="default" w:ascii="Times New Roman" w:hAnsi="Times New Roman" w:eastAsia="宋体" w:cs="Times New Roman"/>
                <w:b/>
                <w:bCs/>
                <w:color w:val="auto"/>
                <w:spacing w:val="6"/>
                <w:kern w:val="2"/>
                <w:sz w:val="24"/>
                <w:szCs w:val="24"/>
                <w:highlight w:val="none"/>
                <w:lang w:val="en-US" w:eastAsia="zh-CN" w:bidi="ar-SA"/>
              </w:rPr>
              <w:t>3）技术</w:t>
            </w:r>
            <w:r>
              <w:rPr>
                <w:rFonts w:hint="default" w:ascii="Times New Roman" w:hAnsi="Times New Roman" w:eastAsia="宋体" w:cs="Times New Roman"/>
                <w:b/>
                <w:bCs/>
                <w:color w:val="auto"/>
                <w:spacing w:val="6"/>
                <w:sz w:val="24"/>
                <w:szCs w:val="24"/>
                <w:highlight w:val="none"/>
              </w:rPr>
              <w:t>响应文件</w:t>
            </w:r>
            <w:r>
              <w:rPr>
                <w:rFonts w:hint="default" w:ascii="Times New Roman" w:hAnsi="Times New Roman" w:eastAsia="宋体" w:cs="Times New Roman"/>
                <w:color w:val="auto"/>
                <w:spacing w:val="6"/>
                <w:sz w:val="24"/>
                <w:szCs w:val="24"/>
                <w:highlight w:val="none"/>
              </w:rPr>
              <w:t>（能够证明响应标的物满足</w:t>
            </w:r>
            <w:r>
              <w:rPr>
                <w:rFonts w:hint="default" w:ascii="Times New Roman" w:hAnsi="Times New Roman" w:eastAsia="宋体" w:cs="Times New Roman"/>
                <w:color w:val="auto"/>
                <w:spacing w:val="6"/>
                <w:sz w:val="24"/>
                <w:szCs w:val="24"/>
                <w:highlight w:val="none"/>
                <w:lang w:val="en-US" w:eastAsia="zh-CN"/>
              </w:rPr>
              <w:t>招标</w:t>
            </w:r>
            <w:r>
              <w:rPr>
                <w:rFonts w:hint="default" w:ascii="Times New Roman" w:hAnsi="Times New Roman" w:eastAsia="宋体" w:cs="Times New Roman"/>
                <w:color w:val="auto"/>
                <w:spacing w:val="6"/>
                <w:sz w:val="24"/>
                <w:szCs w:val="24"/>
                <w:highlight w:val="none"/>
              </w:rPr>
              <w:t>文件技术需求的证明材料，可提供：产品技术白皮书</w:t>
            </w:r>
            <w:r>
              <w:rPr>
                <w:rFonts w:hint="default" w:ascii="Times New Roman" w:hAnsi="Times New Roman" w:eastAsia="Calibri"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rPr>
              <w:t>功能截图</w:t>
            </w:r>
            <w:r>
              <w:rPr>
                <w:rFonts w:hint="default" w:ascii="Times New Roman" w:hAnsi="Times New Roman" w:eastAsia="Calibri"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rPr>
              <w:t>产品彩页</w:t>
            </w:r>
            <w:r>
              <w:rPr>
                <w:rFonts w:hint="default" w:ascii="Times New Roman" w:hAnsi="Times New Roman" w:eastAsia="Calibri"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rPr>
              <w:t>详细的技术说明文件</w:t>
            </w:r>
            <w:r>
              <w:rPr>
                <w:rFonts w:hint="default" w:ascii="Times New Roman" w:hAnsi="Times New Roman" w:eastAsia="Calibri"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rPr>
              <w:t>运行性能的详细描述文件等）</w:t>
            </w:r>
          </w:p>
          <w:p w14:paraId="06676680">
            <w:pPr>
              <w:snapToGrid w:val="0"/>
              <w:spacing w:line="440" w:lineRule="exact"/>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3.4政府采购政策价格扣除相关文件</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如涉及</w:t>
            </w:r>
            <w:r>
              <w:rPr>
                <w:rFonts w:hint="default" w:ascii="Times New Roman" w:hAnsi="Times New Roman" w:eastAsia="宋体" w:cs="Times New Roman"/>
                <w:b/>
                <w:bCs/>
                <w:color w:val="auto"/>
                <w:sz w:val="24"/>
                <w:szCs w:val="24"/>
                <w:highlight w:val="none"/>
                <w:lang w:eastAsia="zh-CN"/>
              </w:rPr>
              <w:t>）</w:t>
            </w:r>
          </w:p>
          <w:p w14:paraId="70F3D2B9">
            <w:pPr>
              <w:snapToGrid w:val="0"/>
              <w:spacing w:line="44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中小企业声明函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eastAsia="zh-CN"/>
              </w:rPr>
              <w:t>）</w:t>
            </w:r>
          </w:p>
          <w:p w14:paraId="2708A1EF">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监狱企业证明文件</w:t>
            </w:r>
          </w:p>
          <w:p w14:paraId="32F6E0AF">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残疾人福利性单位声明函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eastAsia="zh-CN"/>
              </w:rPr>
              <w:t>）</w:t>
            </w:r>
          </w:p>
          <w:p w14:paraId="2D42B022">
            <w:pPr>
              <w:snapToGrid w:val="0"/>
              <w:spacing w:line="44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333333"/>
                <w:sz w:val="24"/>
                <w:szCs w:val="24"/>
                <w:highlight w:val="none"/>
                <w:lang w:eastAsia="zh-CN"/>
              </w:rPr>
              <w:t>政府采购绿色产品明细表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eastAsia="zh-CN"/>
              </w:rPr>
              <w:t>）</w:t>
            </w:r>
          </w:p>
          <w:p w14:paraId="6C831290">
            <w:pPr>
              <w:snapToGrid w:val="0"/>
              <w:spacing w:line="440" w:lineRule="exac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关于符合本国产品标准的声明函（</w:t>
            </w:r>
            <w:r>
              <w:rPr>
                <w:rFonts w:hint="eastAsia" w:ascii="Times New Roman" w:hAnsi="Times New Roman" w:eastAsia="宋体" w:cs="Times New Roman"/>
                <w:sz w:val="24"/>
                <w:szCs w:val="24"/>
                <w:lang w:val="en-US" w:eastAsia="zh-CN"/>
              </w:rPr>
              <w:t>如涉及</w:t>
            </w:r>
            <w:r>
              <w:rPr>
                <w:rFonts w:hint="eastAsia" w:ascii="Times New Roman" w:hAnsi="Times New Roman" w:eastAsia="宋体" w:cs="Times New Roman"/>
                <w:sz w:val="24"/>
                <w:szCs w:val="24"/>
                <w:lang w:eastAsia="zh-CN"/>
              </w:rPr>
              <w:t>）</w:t>
            </w:r>
          </w:p>
          <w:p w14:paraId="1B96295F">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3.5招标文件要求或投标人认为需要</w:t>
            </w:r>
            <w:r>
              <w:rPr>
                <w:rFonts w:hint="default" w:ascii="Times New Roman" w:hAnsi="Times New Roman" w:eastAsia="Times New Roman" w:cs="Times New Roman"/>
                <w:b/>
                <w:bCs/>
                <w:color w:val="auto"/>
                <w:sz w:val="24"/>
                <w:szCs w:val="24"/>
                <w:highlight w:val="none"/>
              </w:rPr>
              <w:t>提供的其他商务技术材料/文件</w:t>
            </w:r>
          </w:p>
          <w:p w14:paraId="5EA576DE">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Times New Roman" w:cs="Times New Roman"/>
                <w:b/>
                <w:bCs/>
                <w:color w:val="auto"/>
                <w:sz w:val="24"/>
                <w:szCs w:val="24"/>
                <w:highlight w:val="none"/>
              </w:rPr>
              <w:t>商务资信评分</w:t>
            </w:r>
          </w:p>
          <w:p w14:paraId="0CCDFE10">
            <w:pPr>
              <w:snapToGrid w:val="0"/>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p w14:paraId="5598765D">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Times New Roman" w:cs="Times New Roman"/>
                <w:b/>
                <w:bCs/>
                <w:color w:val="auto"/>
                <w:sz w:val="24"/>
                <w:szCs w:val="24"/>
                <w:highlight w:val="none"/>
              </w:rPr>
              <w:t>技术部分评分</w:t>
            </w:r>
          </w:p>
          <w:p w14:paraId="5501C3B9">
            <w:pPr>
              <w:snapToGrid w:val="0"/>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p w14:paraId="17ADC901">
            <w:pPr>
              <w:pStyle w:val="7"/>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3）投标人为体现自身优势提供的其他文件</w:t>
            </w:r>
          </w:p>
          <w:p w14:paraId="61AE80DC">
            <w:pPr>
              <w:spacing w:line="460" w:lineRule="exact"/>
              <w:ind w:firstLine="480" w:firstLineChars="200"/>
              <w:rPr>
                <w:rFonts w:hint="default" w:ascii="Times New Roman" w:hAnsi="Times New Roman" w:cs="Times New Roman"/>
                <w:color w:val="auto"/>
                <w:spacing w:val="6"/>
                <w:sz w:val="24"/>
                <w:szCs w:val="24"/>
                <w:highlight w:val="none"/>
              </w:rPr>
            </w:pPr>
            <w:r>
              <w:rPr>
                <w:rFonts w:hint="default" w:ascii="Times New Roman" w:hAnsi="Times New Roman" w:eastAsia="宋体" w:cs="Times New Roman"/>
                <w:color w:val="auto"/>
                <w:sz w:val="24"/>
                <w:szCs w:val="24"/>
                <w:highlight w:val="none"/>
              </w:rPr>
              <w:t>以上资料按评分标准中的评审因素顺序排列</w:t>
            </w:r>
            <w:r>
              <w:rPr>
                <w:rFonts w:hint="default" w:ascii="Times New Roman" w:hAnsi="Times New Roman" w:cs="Times New Roman"/>
                <w:color w:val="auto"/>
                <w:spacing w:val="6"/>
                <w:sz w:val="24"/>
                <w:szCs w:val="24"/>
                <w:highlight w:val="none"/>
              </w:rPr>
              <w:t>（如在符合性审查中已提供的资料，请注明在投标文件的页数，无需重复提交）</w:t>
            </w:r>
          </w:p>
          <w:p w14:paraId="4D6913DC">
            <w:pPr>
              <w:pStyle w:val="7"/>
              <w:rPr>
                <w:rFonts w:hint="default" w:ascii="Times New Roman" w:hAnsi="Times New Roman" w:cs="Times New Roman"/>
                <w:color w:val="auto"/>
                <w:highlight w:val="none"/>
              </w:rPr>
            </w:pPr>
          </w:p>
          <w:p w14:paraId="2038CE3D">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说明：</w:t>
            </w:r>
          </w:p>
          <w:p w14:paraId="3E4CB415">
            <w:pPr>
              <w:numPr>
                <w:ilvl w:val="0"/>
                <w:numId w:val="0"/>
              </w:numPr>
              <w:spacing w:line="240" w:lineRule="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2"/>
                <w:sz w:val="20"/>
                <w:szCs w:val="20"/>
                <w:highlight w:val="none"/>
                <w:lang w:val="en-US" w:eastAsia="zh-CN" w:bidi="ar-SA"/>
              </w:rPr>
              <w:t>1）</w:t>
            </w:r>
            <w:r>
              <w:rPr>
                <w:rFonts w:hint="default" w:ascii="Times New Roman" w:hAnsi="Times New Roman" w:eastAsia="宋体" w:cs="Times New Roman"/>
                <w:color w:val="auto"/>
                <w:sz w:val="20"/>
                <w:szCs w:val="20"/>
                <w:highlight w:val="none"/>
              </w:rPr>
              <w:t>以上内容涉及的格式详见第七部分；</w:t>
            </w:r>
          </w:p>
          <w:p w14:paraId="237ECB74">
            <w:pPr>
              <w:numPr>
                <w:ilvl w:val="0"/>
                <w:numId w:val="0"/>
              </w:numPr>
              <w:spacing w:line="240" w:lineRule="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2"/>
                <w:sz w:val="20"/>
                <w:szCs w:val="20"/>
                <w:highlight w:val="none"/>
                <w:lang w:val="en-US" w:eastAsia="zh-CN" w:bidi="ar-SA"/>
              </w:rPr>
              <w:t>2）</w:t>
            </w:r>
            <w:r>
              <w:rPr>
                <w:rFonts w:hint="default" w:ascii="Times New Roman" w:hAnsi="Times New Roman" w:eastAsia="宋体" w:cs="Times New Roman"/>
                <w:color w:val="auto"/>
                <w:sz w:val="20"/>
                <w:szCs w:val="20"/>
                <w:highlight w:val="none"/>
                <w:lang w:val="en-US" w:eastAsia="zh-CN"/>
              </w:rPr>
              <w:t>标注“*”为符合性审查内容，不得缺失。符合性审查</w:t>
            </w:r>
            <w:r>
              <w:rPr>
                <w:rFonts w:hint="default" w:ascii="Times New Roman" w:hAnsi="Times New Roman" w:eastAsia="宋体" w:cs="Times New Roman"/>
                <w:color w:val="auto"/>
                <w:sz w:val="20"/>
                <w:szCs w:val="20"/>
                <w:highlight w:val="none"/>
              </w:rPr>
              <w:t>要求的内容见本文件第四部分相对应内容。</w:t>
            </w:r>
          </w:p>
          <w:p w14:paraId="34FA5238">
            <w:pPr>
              <w:numPr>
                <w:ilvl w:val="0"/>
                <w:numId w:val="0"/>
              </w:numPr>
              <w:spacing w:line="240" w:lineRule="auto"/>
              <w:rPr>
                <w:rFonts w:hint="default" w:ascii="Times New Roman" w:hAnsi="Times New Roman" w:cs="Times New Roman"/>
                <w:color w:val="auto"/>
                <w:highlight w:val="none"/>
              </w:rPr>
            </w:pPr>
            <w:r>
              <w:rPr>
                <w:rFonts w:hint="default" w:ascii="Times New Roman" w:hAnsi="Times New Roman" w:cs="Times New Roman" w:eastAsiaTheme="minorEastAsia"/>
                <w:color w:val="auto"/>
                <w:kern w:val="2"/>
                <w:sz w:val="21"/>
                <w:szCs w:val="22"/>
                <w:highlight w:val="none"/>
                <w:lang w:val="en-US" w:eastAsia="zh-CN" w:bidi="ar-SA"/>
              </w:rPr>
              <w:t>3）</w:t>
            </w:r>
            <w:r>
              <w:rPr>
                <w:rFonts w:hint="default" w:ascii="Times New Roman" w:hAnsi="Times New Roman" w:eastAsia="宋体" w:cs="Times New Roman"/>
                <w:color w:val="auto"/>
                <w:sz w:val="20"/>
                <w:szCs w:val="20"/>
                <w:highlight w:val="none"/>
                <w:lang w:val="en-US" w:eastAsia="zh-CN"/>
              </w:rPr>
              <w:t>资格证明部分和商务技术部分装订成一册</w:t>
            </w:r>
          </w:p>
        </w:tc>
      </w:tr>
      <w:tr w14:paraId="18A5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EB2FF81">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4</w:t>
            </w:r>
          </w:p>
        </w:tc>
        <w:tc>
          <w:tcPr>
            <w:tcW w:w="2010" w:type="dxa"/>
            <w:tcBorders>
              <w:top w:val="single" w:color="000000" w:sz="8" w:space="0"/>
              <w:left w:val="single" w:color="000000" w:sz="8" w:space="0"/>
              <w:bottom w:val="single" w:color="000000" w:sz="8" w:space="0"/>
              <w:right w:val="single" w:color="000000" w:sz="8" w:space="0"/>
            </w:tcBorders>
            <w:vAlign w:val="center"/>
          </w:tcPr>
          <w:p w14:paraId="1400E2DD">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投标文件份数</w:t>
            </w:r>
          </w:p>
        </w:tc>
        <w:tc>
          <w:tcPr>
            <w:tcW w:w="6225" w:type="dxa"/>
            <w:tcBorders>
              <w:top w:val="single" w:color="000000" w:sz="8" w:space="0"/>
              <w:left w:val="single" w:color="000000" w:sz="8" w:space="0"/>
              <w:bottom w:val="single" w:color="000000" w:sz="8" w:space="0"/>
              <w:right w:val="single" w:color="000000" w:sz="8" w:space="0"/>
            </w:tcBorders>
            <w:vAlign w:val="center"/>
          </w:tcPr>
          <w:p w14:paraId="010BFA73">
            <w:pPr>
              <w:snapToGrid w:val="0"/>
              <w:spacing w:line="44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eastAsia="Times New Roman" w:cs="Times New Roman"/>
                <w:color w:val="auto"/>
                <w:sz w:val="24"/>
                <w:szCs w:val="24"/>
                <w:highlight w:val="none"/>
              </w:rPr>
              <w:t>4.1、电子投标文件1份，投标文件递交截止</w:t>
            </w:r>
            <w:r>
              <w:rPr>
                <w:rFonts w:hint="eastAsia" w:ascii="Times New Roman" w:hAnsi="Times New Roman" w:eastAsia="宋体" w:cs="Times New Roman"/>
                <w:color w:val="auto"/>
                <w:sz w:val="24"/>
                <w:szCs w:val="24"/>
                <w:highlight w:val="none"/>
                <w:lang w:val="en-US" w:eastAsia="zh-CN"/>
              </w:rPr>
              <w:t>时间</w:t>
            </w:r>
            <w:r>
              <w:rPr>
                <w:rFonts w:hint="default" w:ascii="Times New Roman" w:hAnsi="Times New Roman" w:eastAsia="Times New Roman" w:cs="Times New Roman"/>
                <w:color w:val="auto"/>
                <w:sz w:val="24"/>
                <w:szCs w:val="24"/>
                <w:highlight w:val="none"/>
              </w:rPr>
              <w:t>前</w:t>
            </w:r>
            <w:r>
              <w:rPr>
                <w:rFonts w:hint="default" w:ascii="Times New Roman" w:hAnsi="Times New Roman" w:eastAsia="宋体" w:cs="Times New Roman"/>
                <w:color w:val="auto"/>
                <w:sz w:val="24"/>
                <w:szCs w:val="24"/>
                <w:highlight w:val="none"/>
                <w:lang w:val="en-US" w:eastAsia="zh-CN"/>
              </w:rPr>
              <w:t>在山西政府采购</w:t>
            </w:r>
            <w:r>
              <w:rPr>
                <w:rFonts w:hint="default" w:ascii="Times New Roman" w:hAnsi="Times New Roman" w:eastAsia="Times New Roman" w:cs="Times New Roman"/>
                <w:color w:val="auto"/>
                <w:sz w:val="24"/>
                <w:szCs w:val="24"/>
                <w:highlight w:val="none"/>
              </w:rPr>
              <w:t>平台</w:t>
            </w:r>
            <w:r>
              <w:rPr>
                <w:rFonts w:hint="default" w:ascii="Times New Roman" w:hAnsi="Times New Roman" w:eastAsia="宋体" w:cs="Times New Roman"/>
                <w:color w:val="auto"/>
                <w:sz w:val="24"/>
                <w:szCs w:val="24"/>
                <w:highlight w:val="none"/>
                <w:lang w:val="en-US" w:eastAsia="zh-CN"/>
              </w:rPr>
              <w:t>线上完成</w:t>
            </w:r>
            <w:r>
              <w:rPr>
                <w:rFonts w:hint="default" w:ascii="Times New Roman" w:hAnsi="Times New Roman" w:eastAsia="Times New Roman" w:cs="Times New Roman"/>
                <w:color w:val="auto"/>
                <w:sz w:val="24"/>
                <w:szCs w:val="24"/>
                <w:highlight w:val="none"/>
              </w:rPr>
              <w:t>提交</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上传</w:t>
            </w:r>
            <w:r>
              <w:rPr>
                <w:rFonts w:hint="default" w:ascii="Times New Roman" w:hAnsi="Times New Roman" w:eastAsia="宋体" w:cs="Times New Roman"/>
                <w:color w:val="auto"/>
                <w:sz w:val="24"/>
                <w:szCs w:val="24"/>
                <w:highlight w:val="none"/>
                <w:lang w:eastAsia="zh-CN"/>
              </w:rPr>
              <w:t>）。</w:t>
            </w:r>
          </w:p>
          <w:p w14:paraId="760F8F7F">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4.2、</w:t>
            </w:r>
            <w:r>
              <w:rPr>
                <w:rFonts w:hint="default" w:ascii="Times New Roman" w:hAnsi="Times New Roman" w:cs="Times New Roman"/>
                <w:color w:val="auto"/>
                <w:spacing w:val="6"/>
                <w:sz w:val="24"/>
                <w:szCs w:val="24"/>
                <w:highlight w:val="none"/>
                <w:lang w:val="en-US" w:eastAsia="zh-CN"/>
              </w:rPr>
              <w:t>为便于存档，供应商应提供</w:t>
            </w:r>
            <w:r>
              <w:rPr>
                <w:rFonts w:hint="default" w:ascii="Times New Roman" w:hAnsi="Times New Roman" w:cs="Times New Roman"/>
                <w:color w:val="auto"/>
                <w:spacing w:val="6"/>
                <w:sz w:val="24"/>
                <w:szCs w:val="24"/>
                <w:highlight w:val="none"/>
              </w:rPr>
              <w:t>纸质</w:t>
            </w:r>
            <w:r>
              <w:rPr>
                <w:rFonts w:hint="default" w:ascii="Times New Roman" w:hAnsi="Times New Roman" w:cs="Times New Roman"/>
                <w:color w:val="auto"/>
                <w:spacing w:val="6"/>
                <w:sz w:val="24"/>
                <w:szCs w:val="24"/>
                <w:highlight w:val="none"/>
                <w:lang w:val="en-US" w:eastAsia="zh-CN"/>
              </w:rPr>
              <w:t>投标</w:t>
            </w:r>
            <w:r>
              <w:rPr>
                <w:rFonts w:hint="default" w:ascii="Times New Roman" w:hAnsi="Times New Roman" w:cs="Times New Roman"/>
                <w:color w:val="auto"/>
                <w:spacing w:val="6"/>
                <w:sz w:val="24"/>
                <w:szCs w:val="24"/>
                <w:highlight w:val="none"/>
              </w:rPr>
              <w:t>文件</w:t>
            </w:r>
            <w:r>
              <w:rPr>
                <w:rFonts w:hint="default" w:ascii="Times New Roman" w:hAnsi="Times New Roman" w:cs="Times New Roman"/>
                <w:color w:val="auto"/>
                <w:sz w:val="24"/>
                <w:szCs w:val="24"/>
                <w:highlight w:val="none"/>
              </w:rPr>
              <w:t>正本1份，副本</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份</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装入一密封袋内</w:t>
            </w:r>
            <w:r>
              <w:rPr>
                <w:rFonts w:hint="default" w:ascii="Times New Roman" w:hAnsi="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投标文件提交截止时间前</w:t>
            </w:r>
            <w:r>
              <w:rPr>
                <w:rFonts w:hint="default" w:ascii="Times New Roman" w:hAnsi="Times New Roman" w:cs="Times New Roman"/>
                <w:color w:val="auto"/>
                <w:spacing w:val="6"/>
                <w:sz w:val="24"/>
                <w:szCs w:val="24"/>
                <w:highlight w:val="none"/>
              </w:rPr>
              <w:t>提交</w:t>
            </w:r>
          </w:p>
        </w:tc>
      </w:tr>
      <w:tr w14:paraId="0A59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7BFA19E">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5</w:t>
            </w:r>
          </w:p>
        </w:tc>
        <w:tc>
          <w:tcPr>
            <w:tcW w:w="2010" w:type="dxa"/>
            <w:tcBorders>
              <w:top w:val="single" w:color="000000" w:sz="8" w:space="0"/>
              <w:left w:val="single" w:color="000000" w:sz="8" w:space="0"/>
              <w:bottom w:val="single" w:color="000000" w:sz="8" w:space="0"/>
              <w:right w:val="single" w:color="000000" w:sz="8" w:space="0"/>
            </w:tcBorders>
            <w:vAlign w:val="center"/>
          </w:tcPr>
          <w:p w14:paraId="7DA7EE6E">
            <w:pPr>
              <w:snapToGrid w:val="0"/>
              <w:spacing w:line="440" w:lineRule="exact"/>
              <w:ind w:firstLine="120" w:firstLineChars="5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响应有效期</w:t>
            </w:r>
          </w:p>
        </w:tc>
        <w:tc>
          <w:tcPr>
            <w:tcW w:w="6225" w:type="dxa"/>
            <w:tcBorders>
              <w:top w:val="single" w:color="000000" w:sz="8" w:space="0"/>
              <w:left w:val="single" w:color="000000" w:sz="8" w:space="0"/>
              <w:bottom w:val="single" w:color="000000" w:sz="8" w:space="0"/>
              <w:right w:val="single" w:color="000000" w:sz="8" w:space="0"/>
            </w:tcBorders>
            <w:vAlign w:val="center"/>
          </w:tcPr>
          <w:p w14:paraId="2E72EF78">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90个日历天（自投标文件递交截止之日起计算）</w:t>
            </w:r>
          </w:p>
        </w:tc>
      </w:tr>
      <w:tr w14:paraId="5030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84FADA9">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6</w:t>
            </w:r>
          </w:p>
        </w:tc>
        <w:tc>
          <w:tcPr>
            <w:tcW w:w="2010" w:type="dxa"/>
            <w:tcBorders>
              <w:top w:val="single" w:color="000000" w:sz="8" w:space="0"/>
              <w:left w:val="single" w:color="000000" w:sz="8" w:space="0"/>
              <w:bottom w:val="single" w:color="000000" w:sz="8" w:space="0"/>
              <w:right w:val="single" w:color="000000" w:sz="8" w:space="0"/>
            </w:tcBorders>
            <w:vAlign w:val="center"/>
          </w:tcPr>
          <w:p w14:paraId="13C5E904">
            <w:pPr>
              <w:snapToGrid w:val="0"/>
              <w:spacing w:line="440" w:lineRule="exact"/>
              <w:ind w:firstLine="120" w:firstLineChars="5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投标保证金</w:t>
            </w:r>
          </w:p>
        </w:tc>
        <w:tc>
          <w:tcPr>
            <w:tcW w:w="6225" w:type="dxa"/>
            <w:tcBorders>
              <w:top w:val="single" w:color="000000" w:sz="8" w:space="0"/>
              <w:left w:val="single" w:color="000000" w:sz="8" w:space="0"/>
              <w:bottom w:val="single" w:color="000000" w:sz="8" w:space="0"/>
              <w:right w:val="single" w:color="000000" w:sz="8" w:space="0"/>
            </w:tcBorders>
            <w:vAlign w:val="center"/>
          </w:tcPr>
          <w:p w14:paraId="2A88EFE8">
            <w:pPr>
              <w:snapToGrid w:val="0"/>
              <w:spacing w:line="440" w:lineRule="exact"/>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6.1、投标保证金</w:t>
            </w:r>
            <w:r>
              <w:rPr>
                <w:rFonts w:hint="default" w:ascii="Times New Roman" w:hAnsi="Times New Roman" w:eastAsia="宋体" w:cs="Times New Roman"/>
                <w:color w:val="auto"/>
                <w:sz w:val="24"/>
                <w:szCs w:val="24"/>
                <w:highlight w:val="none"/>
                <w:lang w:val="en-US" w:eastAsia="zh-CN"/>
              </w:rPr>
              <w:t>金</w:t>
            </w:r>
            <w:r>
              <w:rPr>
                <w:rFonts w:hint="default" w:ascii="Times New Roman" w:hAnsi="Times New Roman" w:eastAsia="Times New Roman" w:cs="Times New Roman"/>
                <w:color w:val="auto"/>
                <w:sz w:val="24"/>
                <w:szCs w:val="24"/>
                <w:highlight w:val="none"/>
              </w:rPr>
              <w:t>额：</w:t>
            </w:r>
            <w:r>
              <w:rPr>
                <w:rFonts w:hint="eastAsia" w:ascii="Times New Roman" w:hAnsi="Times New Roman" w:eastAsia="Times New Roman" w:cs="Times New Roman"/>
                <w:color w:val="auto"/>
                <w:sz w:val="24"/>
                <w:szCs w:val="24"/>
                <w:highlight w:val="none"/>
                <w:lang w:eastAsia="zh-CN"/>
              </w:rPr>
              <w:t>￥</w:t>
            </w:r>
            <w:r>
              <w:rPr>
                <w:rFonts w:hint="eastAsia" w:ascii="Times New Roman" w:hAnsi="Times New Roman" w:eastAsia="Times New Roman" w:cs="Times New Roman"/>
                <w:color w:val="auto"/>
                <w:sz w:val="24"/>
                <w:szCs w:val="24"/>
                <w:highlight w:val="none"/>
                <w:lang w:val="en-US" w:eastAsia="zh-CN"/>
              </w:rPr>
              <w:t>47000.00</w:t>
            </w:r>
          </w:p>
          <w:p w14:paraId="5DF96FC6">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6.2投标保证金交纳账户信息：</w:t>
            </w:r>
          </w:p>
          <w:p w14:paraId="0AC9A7DF">
            <w:pPr>
              <w:snapToGrid w:val="0"/>
              <w:spacing w:line="44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收款单位：</w:t>
            </w:r>
            <w:r>
              <w:rPr>
                <w:rFonts w:hint="default" w:ascii="Times New Roman" w:hAnsi="Times New Roman" w:eastAsia="宋体" w:cs="Times New Roman"/>
                <w:color w:val="auto"/>
                <w:kern w:val="0"/>
                <w:sz w:val="24"/>
                <w:szCs w:val="24"/>
                <w:highlight w:val="none"/>
              </w:rPr>
              <w:t>山西宏润招标代理有限公司</w:t>
            </w:r>
          </w:p>
          <w:p w14:paraId="7539C451">
            <w:pPr>
              <w:snapToGrid w:val="0"/>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开</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户</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行：</w:t>
            </w:r>
            <w:r>
              <w:rPr>
                <w:rFonts w:hint="default" w:ascii="Times New Roman" w:hAnsi="Times New Roman" w:eastAsia="宋体" w:cs="Times New Roman"/>
                <w:color w:val="auto"/>
                <w:sz w:val="24"/>
                <w:szCs w:val="24"/>
                <w:highlight w:val="none"/>
              </w:rPr>
              <w:t>民生银行太原桃园南路支行</w:t>
            </w:r>
          </w:p>
          <w:p w14:paraId="442D3B01">
            <w:pPr>
              <w:snapToGrid w:val="0"/>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银行账号：9902001850797653</w:t>
            </w:r>
          </w:p>
          <w:p w14:paraId="08EB96F5">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（须注明项目编号、包号（可缩写））。</w:t>
            </w:r>
          </w:p>
          <w:p w14:paraId="163D7EA4">
            <w:pPr>
              <w:snapToGrid w:val="0"/>
              <w:spacing w:line="440" w:lineRule="exact"/>
              <w:rPr>
                <w:rFonts w:hint="default" w:ascii="Times New Roman" w:hAnsi="Times New Roman" w:eastAsia="宋体" w:cs="Times New Roman"/>
                <w:color w:val="auto"/>
                <w:spacing w:val="6"/>
                <w:sz w:val="24"/>
                <w:szCs w:val="24"/>
                <w:highlight w:val="none"/>
                <w:lang w:val="en-US" w:eastAsia="zh-CN"/>
              </w:rPr>
            </w:pPr>
            <w:r>
              <w:rPr>
                <w:rFonts w:hint="default" w:ascii="Times New Roman" w:hAnsi="Times New Roman" w:eastAsia="Times New Roman" w:cs="Times New Roman"/>
                <w:color w:val="auto"/>
                <w:sz w:val="24"/>
                <w:szCs w:val="24"/>
                <w:highlight w:val="none"/>
                <w:lang w:val="en-US" w:eastAsia="zh-CN"/>
              </w:rPr>
              <w:t>6.3投标人</w:t>
            </w:r>
            <w:r>
              <w:rPr>
                <w:rFonts w:hint="default" w:ascii="Times New Roman" w:hAnsi="Times New Roman" w:eastAsia="Times New Roman" w:cs="Times New Roman"/>
                <w:color w:val="auto"/>
                <w:sz w:val="24"/>
                <w:szCs w:val="24"/>
                <w:highlight w:val="none"/>
              </w:rPr>
              <w:t>可自主选择以银行转账、支票、汇票、本票或者金融机构、担保机构出具的保函等非现金形式提交保证金</w:t>
            </w:r>
            <w:r>
              <w:rPr>
                <w:rFonts w:hint="default" w:ascii="Times New Roman" w:hAnsi="Times New Roman" w:eastAsia="Times New Roman" w:cs="Times New Roman"/>
                <w:color w:val="auto"/>
                <w:sz w:val="24"/>
                <w:szCs w:val="24"/>
                <w:highlight w:val="none"/>
                <w:lang w:val="en-US" w:eastAsia="zh-CN"/>
              </w:rPr>
              <w:t>。</w:t>
            </w:r>
          </w:p>
        </w:tc>
      </w:tr>
      <w:tr w14:paraId="5633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F9F762D">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7</w:t>
            </w:r>
          </w:p>
        </w:tc>
        <w:tc>
          <w:tcPr>
            <w:tcW w:w="2010" w:type="dxa"/>
            <w:tcBorders>
              <w:top w:val="single" w:color="000000" w:sz="8" w:space="0"/>
              <w:left w:val="single" w:color="000000" w:sz="8" w:space="0"/>
              <w:bottom w:val="single" w:color="000000" w:sz="8" w:space="0"/>
              <w:right w:val="single" w:color="000000" w:sz="8" w:space="0"/>
            </w:tcBorders>
            <w:vAlign w:val="center"/>
          </w:tcPr>
          <w:p w14:paraId="03859164">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政府采购</w:t>
            </w:r>
          </w:p>
          <w:p w14:paraId="3627522A">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相关政策要求</w:t>
            </w:r>
          </w:p>
          <w:p w14:paraId="1D87EEE0">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（如涉及须提供）</w:t>
            </w:r>
          </w:p>
        </w:tc>
        <w:tc>
          <w:tcPr>
            <w:tcW w:w="6225" w:type="dxa"/>
            <w:tcBorders>
              <w:top w:val="single" w:color="000000" w:sz="8" w:space="0"/>
              <w:left w:val="single" w:color="000000" w:sz="8" w:space="0"/>
              <w:bottom w:val="single" w:color="000000" w:sz="8" w:space="0"/>
              <w:right w:val="single" w:color="000000" w:sz="8" w:space="0"/>
            </w:tcBorders>
            <w:vAlign w:val="center"/>
          </w:tcPr>
          <w:p w14:paraId="765993F5">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7.1、</w:t>
            </w:r>
            <w:r>
              <w:rPr>
                <w:rFonts w:hint="eastAsia" w:ascii="Times New Roman" w:hAnsi="Times New Roman" w:eastAsia="宋体" w:cs="Times New Roman"/>
                <w:color w:val="auto"/>
                <w:sz w:val="24"/>
                <w:szCs w:val="24"/>
                <w:highlight w:val="none"/>
              </w:rPr>
              <w:t>涉及进口产品的要求：</w:t>
            </w:r>
          </w:p>
          <w:p w14:paraId="7882F2E8">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）本项目采购标的物未特别注明“进口产品”（通过中国海关报关验放进入中国境内且产自境外的产品）字样的，均必须采购国产产品。</w:t>
            </w:r>
          </w:p>
          <w:p w14:paraId="5C18592B">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4F43574B">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7.2、</w:t>
            </w:r>
            <w:r>
              <w:rPr>
                <w:rFonts w:hint="eastAsia" w:ascii="Times New Roman" w:hAnsi="Times New Roman" w:eastAsia="宋体" w:cs="Times New Roman"/>
                <w:color w:val="auto"/>
                <w:sz w:val="24"/>
                <w:szCs w:val="24"/>
                <w:highlight w:val="none"/>
              </w:rPr>
              <w:t>涉及</w:t>
            </w:r>
            <w:r>
              <w:rPr>
                <w:rFonts w:hint="eastAsia" w:ascii="Times New Roman" w:hAnsi="Times New Roman" w:eastAsia="宋体" w:cs="Times New Roman"/>
                <w:color w:val="auto"/>
                <w:sz w:val="24"/>
                <w:szCs w:val="24"/>
                <w:highlight w:val="none"/>
                <w:lang w:val="en-US" w:eastAsia="zh-CN"/>
              </w:rPr>
              <w:t>执行政府绿色采购政策</w:t>
            </w:r>
            <w:r>
              <w:rPr>
                <w:rFonts w:hint="eastAsia" w:ascii="Times New Roman" w:hAnsi="Times New Roman" w:eastAsia="宋体" w:cs="Times New Roman"/>
                <w:color w:val="auto"/>
                <w:sz w:val="24"/>
                <w:szCs w:val="24"/>
                <w:highlight w:val="none"/>
              </w:rPr>
              <w:t>的要求：</w:t>
            </w:r>
          </w:p>
          <w:p w14:paraId="1F254C62">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）本文件列</w:t>
            </w:r>
            <w:r>
              <w:rPr>
                <w:rFonts w:hint="eastAsia" w:ascii="Times New Roman" w:hAnsi="Times New Roman" w:eastAsia="宋体" w:cs="Times New Roman"/>
                <w:color w:val="auto"/>
                <w:sz w:val="24"/>
                <w:szCs w:val="24"/>
                <w:highlight w:val="none"/>
                <w:lang w:val="en-US" w:eastAsia="zh-CN"/>
              </w:rPr>
              <w:t>明的强制采购绿色产品标的物，</w:t>
            </w:r>
            <w:r>
              <w:rPr>
                <w:rFonts w:hint="eastAsia" w:ascii="Times New Roman" w:hAnsi="Times New Roman" w:eastAsia="宋体" w:cs="Times New Roman"/>
                <w:color w:val="auto"/>
                <w:sz w:val="24"/>
                <w:szCs w:val="24"/>
                <w:highlight w:val="none"/>
              </w:rPr>
              <w:t>投标人必须投报“节能产品政府采购品目清单”</w:t>
            </w:r>
            <w:r>
              <w:rPr>
                <w:rFonts w:hint="eastAsia" w:ascii="Times New Roman" w:hAnsi="Times New Roman" w:eastAsia="宋体" w:cs="Times New Roman"/>
                <w:color w:val="auto"/>
                <w:sz w:val="24"/>
                <w:szCs w:val="24"/>
                <w:highlight w:val="none"/>
                <w:lang w:val="en-US" w:eastAsia="zh-CN"/>
              </w:rPr>
              <w:t>中的强制节能</w:t>
            </w:r>
            <w:r>
              <w:rPr>
                <w:rFonts w:hint="eastAsia" w:ascii="Times New Roman" w:hAnsi="Times New Roman" w:eastAsia="宋体" w:cs="Times New Roman"/>
                <w:color w:val="auto"/>
                <w:sz w:val="24"/>
                <w:szCs w:val="24"/>
                <w:highlight w:val="none"/>
              </w:rPr>
              <w:t>产品</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同时</w:t>
            </w:r>
            <w:r>
              <w:rPr>
                <w:rFonts w:hint="eastAsia" w:ascii="Times New Roman" w:hAnsi="Times New Roman" w:eastAsia="宋体" w:cs="Times New Roman"/>
                <w:color w:val="auto"/>
                <w:sz w:val="24"/>
                <w:szCs w:val="24"/>
                <w:highlight w:val="none"/>
              </w:rPr>
              <w:t>提供处于有效期之内的产品认证证书扫描件，并如实填写《</w:t>
            </w:r>
            <w:r>
              <w:rPr>
                <w:rFonts w:hint="eastAsia" w:ascii="Times New Roman" w:hAnsi="Times New Roman" w:eastAsia="宋体" w:cs="Times New Roman"/>
                <w:color w:val="auto"/>
                <w:sz w:val="24"/>
                <w:szCs w:val="24"/>
                <w:highlight w:val="none"/>
                <w:lang w:val="en-US" w:eastAsia="zh-CN"/>
              </w:rPr>
              <w:t>政府强制采购产品明细表</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不接受非强制采购产品。</w:t>
            </w:r>
          </w:p>
          <w:p w14:paraId="682C1C75">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）本文件列</w:t>
            </w:r>
            <w:r>
              <w:rPr>
                <w:rFonts w:hint="eastAsia" w:ascii="Times New Roman" w:hAnsi="Times New Roman" w:eastAsia="宋体" w:cs="Times New Roman"/>
                <w:color w:val="auto"/>
                <w:sz w:val="24"/>
                <w:szCs w:val="24"/>
                <w:highlight w:val="none"/>
                <w:lang w:val="en-US" w:eastAsia="zh-CN"/>
              </w:rPr>
              <w:t>明的优先采购的绿色产品标的物，</w:t>
            </w:r>
            <w:r>
              <w:rPr>
                <w:rFonts w:hint="eastAsia" w:ascii="Times New Roman" w:hAnsi="Times New Roman" w:eastAsia="宋体" w:cs="Times New Roman"/>
                <w:color w:val="auto"/>
                <w:sz w:val="24"/>
                <w:szCs w:val="24"/>
                <w:highlight w:val="none"/>
              </w:rPr>
              <w:t>投标人</w:t>
            </w:r>
            <w:r>
              <w:rPr>
                <w:rFonts w:hint="eastAsia" w:ascii="Times New Roman" w:hAnsi="Times New Roman" w:eastAsia="宋体" w:cs="Times New Roman"/>
                <w:color w:val="auto"/>
                <w:sz w:val="24"/>
                <w:szCs w:val="24"/>
                <w:highlight w:val="none"/>
                <w:lang w:val="en-US" w:eastAsia="zh-CN"/>
              </w:rPr>
              <w:t>可以投报</w:t>
            </w:r>
            <w:r>
              <w:rPr>
                <w:rFonts w:hint="eastAsia" w:ascii="Times New Roman" w:hAnsi="Times New Roman" w:eastAsia="宋体" w:cs="Times New Roman"/>
                <w:color w:val="auto"/>
                <w:sz w:val="24"/>
                <w:szCs w:val="24"/>
                <w:highlight w:val="none"/>
              </w:rPr>
              <w:t>“节能产品政府采购品目清单”</w:t>
            </w:r>
            <w:r>
              <w:rPr>
                <w:rFonts w:hint="eastAsia" w:ascii="Times New Roman" w:hAnsi="Times New Roman" w:eastAsia="宋体" w:cs="Times New Roman"/>
                <w:color w:val="auto"/>
                <w:sz w:val="24"/>
                <w:szCs w:val="24"/>
                <w:highlight w:val="none"/>
                <w:lang w:val="en-US" w:eastAsia="zh-CN"/>
              </w:rPr>
              <w:t>中的非强制类产品、“</w:t>
            </w:r>
            <w:r>
              <w:rPr>
                <w:rFonts w:hint="eastAsia" w:ascii="Times New Roman" w:hAnsi="Times New Roman" w:eastAsia="宋体" w:cs="Times New Roman"/>
                <w:color w:val="auto"/>
                <w:sz w:val="24"/>
                <w:szCs w:val="24"/>
                <w:highlight w:val="none"/>
              </w:rPr>
              <w:t>环境标志产品政府采购品目清单”</w:t>
            </w:r>
            <w:r>
              <w:rPr>
                <w:rFonts w:hint="eastAsia" w:ascii="Times New Roman" w:hAnsi="Times New Roman" w:eastAsia="宋体" w:cs="Times New Roman"/>
                <w:color w:val="auto"/>
                <w:sz w:val="24"/>
                <w:szCs w:val="24"/>
                <w:highlight w:val="none"/>
                <w:lang w:val="en-US" w:eastAsia="zh-CN"/>
              </w:rPr>
              <w:t>中</w:t>
            </w:r>
            <w:r>
              <w:rPr>
                <w:rFonts w:hint="eastAsia" w:ascii="Times New Roman" w:hAnsi="Times New Roman" w:eastAsia="宋体" w:cs="Times New Roman"/>
                <w:color w:val="auto"/>
                <w:sz w:val="24"/>
                <w:szCs w:val="24"/>
                <w:highlight w:val="none"/>
              </w:rPr>
              <w:t>的产品</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也可投报清单以外的产品。</w:t>
            </w:r>
          </w:p>
          <w:p w14:paraId="052A8DF5">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当投标人所投产品属于优先采购的绿色产品时，享受该项产品的价格扣除政策优惠。投标人应提供处于有效期之内的节能/环保产品认证证书扫描件，并如实填写《政府采购绿色产品明细表》（格式见第七部分），符合价格扣除优惠措施的，将根据投标人提供的产品及证明材料给予4%的价格扣除（具体比例详见投标人须知前附表第一项）。</w:t>
            </w:r>
          </w:p>
          <w:p w14:paraId="41A2F60B">
            <w:pPr>
              <w:snapToGrid w:val="0"/>
              <w:spacing w:line="440" w:lineRule="exac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6852046B">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7.3、涉及绿色数据中心建设的要求：</w:t>
            </w:r>
          </w:p>
          <w:p w14:paraId="62BABABA">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七部分。</w:t>
            </w:r>
          </w:p>
          <w:p w14:paraId="5EADCE26">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7.4、</w:t>
            </w:r>
            <w:r>
              <w:rPr>
                <w:rFonts w:hint="eastAsia" w:ascii="Times New Roman" w:hAnsi="Times New Roman" w:eastAsia="宋体" w:cs="Times New Roman"/>
                <w:color w:val="auto"/>
                <w:sz w:val="24"/>
                <w:szCs w:val="24"/>
                <w:highlight w:val="none"/>
              </w:rPr>
              <w:t>涉及正版软件的要求：</w:t>
            </w:r>
          </w:p>
          <w:p w14:paraId="65AC2C96">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本项目采购标的物涉及计算机产品或硬件产品内预装软件的，投标人须填写《正版软件承诺》（</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7E14CAB1">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7.5、</w:t>
            </w:r>
            <w:r>
              <w:rPr>
                <w:rFonts w:hint="eastAsia" w:ascii="Times New Roman" w:hAnsi="Times New Roman" w:eastAsia="宋体" w:cs="Times New Roman"/>
                <w:color w:val="auto"/>
                <w:sz w:val="24"/>
                <w:szCs w:val="24"/>
                <w:highlight w:val="none"/>
              </w:rPr>
              <w:t>涉及网络安全专用产品的要求：</w:t>
            </w:r>
          </w:p>
          <w:p w14:paraId="35A3AC23">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投标货物中如含有</w:t>
            </w:r>
            <w:r>
              <w:rPr>
                <w:rFonts w:hint="eastAsia" w:ascii="Times New Roman" w:hAnsi="Times New Roman" w:eastAsia="宋体" w:cs="Times New Roman"/>
                <w:color w:val="auto"/>
                <w:sz w:val="24"/>
                <w:szCs w:val="24"/>
                <w:highlight w:val="none"/>
                <w:lang w:val="en-US" w:eastAsia="zh-CN"/>
              </w:rPr>
              <w:t>工信部</w:t>
            </w:r>
            <w:r>
              <w:rPr>
                <w:rFonts w:hint="eastAsia" w:ascii="Times New Roman" w:hAnsi="Times New Roman" w:eastAsia="宋体" w:cs="Times New Roman"/>
                <w:color w:val="auto"/>
                <w:sz w:val="24"/>
                <w:szCs w:val="24"/>
                <w:highlight w:val="none"/>
              </w:rPr>
              <w:t>会同有关部门制定下发的《网络关键设备和网络安全专用产品目录》中的网络安全专用产品，须提供由具备资格的机构安全认证合格或者安全检测符合要求的有效</w:t>
            </w:r>
            <w:r>
              <w:rPr>
                <w:rFonts w:hint="eastAsia" w:ascii="Times New Roman" w:hAnsi="Times New Roman" w:eastAsia="宋体" w:cs="Times New Roman"/>
                <w:color w:val="auto"/>
                <w:sz w:val="24"/>
                <w:szCs w:val="24"/>
                <w:highlight w:val="none"/>
                <w:lang w:val="en-US" w:eastAsia="zh-CN"/>
              </w:rPr>
              <w:t>证明材料</w:t>
            </w:r>
            <w:r>
              <w:rPr>
                <w:rFonts w:hint="eastAsia" w:ascii="Times New Roman" w:hAnsi="Times New Roman" w:eastAsia="宋体" w:cs="Times New Roman"/>
                <w:color w:val="auto"/>
                <w:sz w:val="24"/>
                <w:szCs w:val="24"/>
                <w:highlight w:val="none"/>
              </w:rPr>
              <w:t>扫描件。</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具备资格的机构是指列入《承担网络关键设备和网络安全专用产品安全认证和安全检测任务机构名录》的机构</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详情参见国务院2023年第1号《</w:t>
            </w:r>
            <w:r>
              <w:rPr>
                <w:rFonts w:hint="eastAsia" w:ascii="Times New Roman" w:hAnsi="Times New Roman" w:eastAsia="宋体" w:cs="Times New Roman"/>
                <w:color w:val="auto"/>
                <w:sz w:val="24"/>
                <w:szCs w:val="24"/>
                <w:highlight w:val="none"/>
              </w:rPr>
              <w:t>关于调整网络安全专用产品安全管理有关事项的公告</w:t>
            </w:r>
            <w:r>
              <w:rPr>
                <w:rFonts w:hint="eastAsia" w:ascii="Times New Roman" w:hAnsi="Times New Roman" w:eastAsia="宋体" w:cs="Times New Roman"/>
                <w:color w:val="auto"/>
                <w:sz w:val="24"/>
                <w:szCs w:val="24"/>
                <w:highlight w:val="none"/>
                <w:lang w:val="en-US" w:eastAsia="zh-CN"/>
              </w:rPr>
              <w:t>》。</w:t>
            </w:r>
          </w:p>
          <w:p w14:paraId="0F93FA4C">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7.6、</w:t>
            </w:r>
            <w:r>
              <w:rPr>
                <w:rFonts w:hint="eastAsia" w:ascii="Times New Roman" w:hAnsi="Times New Roman" w:eastAsia="宋体" w:cs="Times New Roman"/>
                <w:color w:val="auto"/>
                <w:sz w:val="24"/>
                <w:szCs w:val="24"/>
                <w:highlight w:val="none"/>
              </w:rPr>
              <w:t>涉及小型、微型企业参加投标的要求：</w:t>
            </w:r>
          </w:p>
          <w:p w14:paraId="3C7AE491">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Times New Roman" w:hAnsi="Times New Roman" w:eastAsia="宋体" w:cs="Times New Roman"/>
                <w:color w:val="auto"/>
                <w:sz w:val="24"/>
                <w:szCs w:val="24"/>
                <w:highlight w:val="none"/>
                <w:lang w:val="en-US" w:eastAsia="zh-CN"/>
              </w:rPr>
              <w:t>中小</w:t>
            </w:r>
            <w:r>
              <w:rPr>
                <w:rFonts w:hint="eastAsia" w:ascii="Times New Roman" w:hAnsi="Times New Roman" w:eastAsia="宋体" w:cs="Times New Roman"/>
                <w:color w:val="auto"/>
                <w:sz w:val="24"/>
                <w:szCs w:val="24"/>
                <w:highlight w:val="none"/>
              </w:rPr>
              <w:t>企业声明函》（</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71DF9FA6">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lang w:val="en-US" w:eastAsia="zh-CN"/>
              </w:rPr>
              <w:t>投标人</w:t>
            </w:r>
            <w:r>
              <w:rPr>
                <w:rFonts w:hint="eastAsia" w:ascii="Times New Roman" w:hAnsi="Times New Roman" w:eastAsia="宋体" w:cs="Times New Roman"/>
                <w:color w:val="auto"/>
                <w:sz w:val="24"/>
                <w:szCs w:val="24"/>
                <w:highlight w:val="none"/>
              </w:rPr>
              <w:t>提供小型、微型企业制造的货物，享受投标货物</w:t>
            </w:r>
            <w:r>
              <w:rPr>
                <w:rFonts w:hint="eastAsia" w:ascii="Times New Roman" w:hAnsi="Times New Roman" w:eastAsia="宋体" w:cs="Times New Roman"/>
                <w:color w:val="auto"/>
                <w:sz w:val="24"/>
                <w:szCs w:val="24"/>
                <w:highlight w:val="none"/>
                <w:lang w:val="en-US" w:eastAsia="zh-CN"/>
              </w:rPr>
              <w:t>15%</w:t>
            </w:r>
            <w:r>
              <w:rPr>
                <w:rFonts w:hint="eastAsia"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w:t>
            </w:r>
          </w:p>
          <w:p w14:paraId="121813FD">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投标人</w:t>
            </w:r>
            <w:r>
              <w:rPr>
                <w:rFonts w:hint="eastAsia" w:ascii="Times New Roman" w:hAnsi="Times New Roman" w:eastAsia="宋体" w:cs="Times New Roman"/>
                <w:color w:val="auto"/>
                <w:sz w:val="24"/>
                <w:szCs w:val="24"/>
                <w:highlight w:val="none"/>
              </w:rPr>
              <w:t>提供的货物既有中小企业制造货物，也有大型企业制造货物的，不享受</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w:t>
            </w:r>
          </w:p>
          <w:p w14:paraId="41CCD33D">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（4）联合体</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Times New Roman" w:hAnsi="Times New Roman" w:eastAsia="宋体" w:cs="Times New Roman"/>
                <w:color w:val="auto"/>
                <w:sz w:val="24"/>
                <w:szCs w:val="24"/>
                <w:highlight w:val="none"/>
                <w:lang w:val="en-US" w:eastAsia="zh-CN"/>
              </w:rPr>
              <w:t>其中联合体中小微企业需按采购文件格式要求，如实填写《中小企业声明函》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60E1B05C">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lang w:val="en-US" w:eastAsia="zh-CN"/>
              </w:rPr>
              <w:t>大中型企业向小型、微型企业分包的价格扣除：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七部分）</w:t>
            </w:r>
          </w:p>
          <w:p w14:paraId="1C497750">
            <w:pPr>
              <w:snapToGrid w:val="0"/>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通过</w:t>
            </w:r>
            <w:r>
              <w:rPr>
                <w:rFonts w:hint="eastAsia" w:ascii="Times New Roman" w:hAnsi="Times New Roman" w:eastAsia="宋体" w:cs="Times New Roman"/>
                <w:color w:val="auto"/>
                <w:sz w:val="24"/>
                <w:szCs w:val="24"/>
                <w:highlight w:val="none"/>
                <w:lang w:eastAsia="zh-CN"/>
              </w:rPr>
              <w:t>享受扶持政策、</w:t>
            </w:r>
            <w:r>
              <w:rPr>
                <w:rFonts w:hint="eastAsia" w:ascii="Times New Roman" w:hAnsi="Times New Roman" w:eastAsia="宋体" w:cs="Times New Roman"/>
                <w:color w:val="auto"/>
                <w:sz w:val="24"/>
                <w:szCs w:val="24"/>
                <w:highlight w:val="none"/>
                <w:lang w:val="en-US" w:eastAsia="zh-CN"/>
              </w:rPr>
              <w:t>价格扣除并</w:t>
            </w:r>
            <w:r>
              <w:rPr>
                <w:rFonts w:hint="eastAsia" w:ascii="Times New Roman" w:hAnsi="Times New Roman" w:eastAsia="宋体" w:cs="Times New Roman"/>
                <w:color w:val="auto"/>
                <w:sz w:val="24"/>
                <w:szCs w:val="24"/>
                <w:highlight w:val="none"/>
                <w:lang w:eastAsia="zh-CN"/>
              </w:rPr>
              <w:t>获得政府采购合同的：小微企业不得将合同分包给大中型企业；中型企业不得将合同分包给大型企业。</w:t>
            </w:r>
          </w:p>
          <w:p w14:paraId="4005B483">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7）若评标委员会在评审过程中发现有投标人提供的《中小企业声明函》内容不实的，可将有关情况上报财政部门，经财政部门核实后，按照有关法律法规予以处罚；若投标人发现中标供应商所提供的《中小企业声明函》内容不实，可按照采购文件中规定流程提出相关质疑材料，若质疑成立，采购代理机构将上报财政部门，经财政部门核实后，按照有关法律法规予以处罚</w:t>
            </w:r>
            <w:r>
              <w:rPr>
                <w:rFonts w:hint="eastAsia" w:ascii="Times New Roman" w:hAnsi="Times New Roman" w:eastAsia="宋体" w:cs="Times New Roman"/>
                <w:color w:val="auto"/>
                <w:sz w:val="24"/>
                <w:szCs w:val="24"/>
                <w:highlight w:val="none"/>
              </w:rPr>
              <w:t>。</w:t>
            </w:r>
          </w:p>
          <w:p w14:paraId="6D99E67D">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7.7、</w:t>
            </w:r>
            <w:r>
              <w:rPr>
                <w:rFonts w:hint="eastAsia" w:ascii="Times New Roman" w:hAnsi="Times New Roman" w:eastAsia="宋体" w:cs="Times New Roman"/>
                <w:color w:val="auto"/>
                <w:sz w:val="24"/>
                <w:szCs w:val="24"/>
                <w:highlight w:val="none"/>
              </w:rPr>
              <w:t>涉及残疾人福利性单位参加投标的要求：</w:t>
            </w:r>
          </w:p>
          <w:p w14:paraId="54AFCAB8">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）须根据财库【</w:t>
            </w:r>
            <w:r>
              <w:rPr>
                <w:rFonts w:hint="default" w:ascii="Times New Roman" w:hAnsi="Times New Roman" w:eastAsia="宋体" w:cs="Times New Roman"/>
                <w:color w:val="auto"/>
                <w:sz w:val="24"/>
                <w:szCs w:val="24"/>
                <w:highlight w:val="none"/>
              </w:rPr>
              <w:t>2017</w:t>
            </w: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141</w:t>
            </w:r>
            <w:r>
              <w:rPr>
                <w:rFonts w:hint="eastAsia" w:ascii="Times New Roman" w:hAnsi="Times New Roman" w:eastAsia="宋体" w:cs="Times New Roman"/>
                <w:color w:val="auto"/>
                <w:sz w:val="24"/>
                <w:szCs w:val="24"/>
                <w:highlight w:val="none"/>
              </w:rPr>
              <w:t>号《关于促进残疾人就业政府采购政策的通知》的要求，如实填写《残疾人福利性单位声明函》（</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587E2EC1">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）残疾人福利性单位提供本企业制造的货物或者服务，或者提供其他残疾人福利性单位制造的货物或服务</w:t>
            </w:r>
            <w:r>
              <w:rPr>
                <w:rFonts w:hint="eastAsia" w:ascii="Times New Roman" w:hAnsi="Times New Roman" w:eastAsia="宋体" w:cs="Times New Roman"/>
                <w:color w:val="auto"/>
                <w:sz w:val="24"/>
                <w:szCs w:val="24"/>
                <w:highlight w:val="none"/>
                <w:lang w:eastAsia="zh-CN"/>
              </w:rPr>
              <w:t>的</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视同小微企业，</w:t>
            </w:r>
            <w:r>
              <w:rPr>
                <w:rFonts w:hint="eastAsia" w:ascii="Times New Roman" w:hAnsi="Times New Roman" w:eastAsia="宋体" w:cs="Times New Roman"/>
                <w:color w:val="auto"/>
                <w:sz w:val="24"/>
                <w:szCs w:val="24"/>
                <w:highlight w:val="none"/>
              </w:rPr>
              <w:t>享受投标货物或服务的</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w:t>
            </w:r>
          </w:p>
          <w:p w14:paraId="7B12FD3F">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7.8、</w:t>
            </w:r>
            <w:r>
              <w:rPr>
                <w:rFonts w:hint="eastAsia" w:ascii="Times New Roman" w:hAnsi="Times New Roman" w:eastAsia="宋体" w:cs="Times New Roman"/>
                <w:color w:val="auto"/>
                <w:sz w:val="24"/>
                <w:szCs w:val="24"/>
                <w:highlight w:val="none"/>
              </w:rPr>
              <w:t>涉及监狱企业参加投标的要求：</w:t>
            </w:r>
          </w:p>
          <w:p w14:paraId="1432CBC5">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）监狱企业参加投标视同小、微企业，需提供由省级以上监狱管理局或戒毒管理局出具的属于监狱企业的证明文件。</w:t>
            </w:r>
          </w:p>
          <w:p w14:paraId="7F18CD7C">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）监狱企业只有提供本企业制造的货物或服务，或者提供其他小、微企业制造的货物，享受投标货物的</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w:t>
            </w:r>
          </w:p>
          <w:p w14:paraId="5B8A895D">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）监狱企业与中型企业组成联合体参加投标的，或者向监狱企业分包，且联合体协议或分包意向协议约定监狱企业的协议金额占到合同金额</w:t>
            </w:r>
            <w:r>
              <w:rPr>
                <w:rFonts w:hint="default" w:ascii="Times New Roman" w:hAnsi="Times New Roman" w:eastAsia="宋体" w:cs="Times New Roman"/>
                <w:color w:val="auto"/>
                <w:sz w:val="24"/>
                <w:szCs w:val="24"/>
                <w:highlight w:val="none"/>
              </w:rPr>
              <w:t>30%</w:t>
            </w:r>
            <w:r>
              <w:rPr>
                <w:rFonts w:hint="eastAsia" w:ascii="Times New Roman" w:hAnsi="Times New Roman" w:eastAsia="宋体" w:cs="Times New Roman"/>
                <w:color w:val="auto"/>
                <w:sz w:val="24"/>
                <w:szCs w:val="24"/>
                <w:highlight w:val="none"/>
              </w:rPr>
              <w:t>以上的，享受投标标的</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，用扣除后的价格参与评审。</w:t>
            </w:r>
          </w:p>
          <w:p w14:paraId="18D3E389">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7.9、专门面向中小企业采购的项目，不重复执行中小企业发展、促进残疾人就业、支持监狱企业发展的价格优惠政策。</w:t>
            </w:r>
          </w:p>
          <w:p w14:paraId="02EF4941">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7.10、</w:t>
            </w:r>
            <w:r>
              <w:rPr>
                <w:rFonts w:hint="eastAsia" w:ascii="Times New Roman" w:hAnsi="Times New Roman" w:eastAsia="宋体" w:cs="Times New Roman"/>
                <w:color w:val="auto"/>
                <w:sz w:val="24"/>
                <w:szCs w:val="24"/>
                <w:highlight w:val="none"/>
              </w:rPr>
              <w:t>涉及商品包装和快递包装的要求：</w:t>
            </w:r>
          </w:p>
          <w:p w14:paraId="58F86DF2">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严格落实《商品包装政府采购需求标准（试行）》《快递包装政府采购需求标准（试行）》。</w:t>
            </w:r>
            <w:r>
              <w:rPr>
                <w:rFonts w:hint="eastAsia" w:ascii="Times New Roman" w:hAnsi="Times New Roman" w:eastAsia="宋体" w:cs="Times New Roman"/>
                <w:color w:val="auto"/>
                <w:sz w:val="24"/>
                <w:szCs w:val="24"/>
                <w:highlight w:val="none"/>
              </w:rPr>
              <w:t>本项目涉及商品包装和快递包装要求的，投标人须填写《商品包装和快递包装承诺函》（</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79D02E63">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7.11、</w:t>
            </w:r>
            <w:r>
              <w:rPr>
                <w:rFonts w:hint="eastAsia" w:ascii="Times New Roman" w:hAnsi="Times New Roman" w:eastAsia="宋体" w:cs="Times New Roman"/>
                <w:color w:val="auto"/>
                <w:sz w:val="24"/>
                <w:szCs w:val="24"/>
                <w:highlight w:val="none"/>
              </w:rPr>
              <w:t>涉及</w:t>
            </w:r>
            <w:r>
              <w:rPr>
                <w:rFonts w:hint="eastAsia" w:ascii="Times New Roman" w:hAnsi="Times New Roman" w:eastAsia="宋体" w:cs="Times New Roman"/>
                <w:color w:val="auto"/>
                <w:sz w:val="24"/>
                <w:szCs w:val="24"/>
                <w:highlight w:val="none"/>
                <w:lang w:val="en-US" w:eastAsia="zh-CN"/>
              </w:rPr>
              <w:t>绿色建筑和绿色建材政府强制采购的要求：</w:t>
            </w:r>
          </w:p>
          <w:p w14:paraId="298661D5">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七部分）。</w:t>
            </w:r>
          </w:p>
          <w:p w14:paraId="48492E88">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7.12、本国产品的评审要求</w:t>
            </w:r>
          </w:p>
          <w:p w14:paraId="28C0F3AC">
            <w:pPr>
              <w:snapToGrid w:val="0"/>
              <w:spacing w:line="440" w:lineRule="exact"/>
              <w:rPr>
                <w:rFonts w:hint="default"/>
                <w:color w:val="auto"/>
                <w:highlight w:val="none"/>
              </w:rPr>
            </w:pPr>
            <w:r>
              <w:rPr>
                <w:rFonts w:hint="eastAsia" w:ascii="Times New Roman" w:hAnsi="Times New Roman" w:eastAsia="宋体" w:cs="Times New Roman"/>
                <w:color w:val="auto"/>
                <w:sz w:val="24"/>
                <w:szCs w:val="24"/>
                <w:highlight w:val="none"/>
                <w:lang w:val="en-US" w:eastAsia="zh-CN"/>
              </w:rPr>
              <w:t>如</w:t>
            </w:r>
            <w:r>
              <w:rPr>
                <w:rFonts w:hint="default" w:ascii="Times New Roman" w:hAnsi="Times New Roman" w:cs="Times New Roman"/>
                <w:bCs/>
                <w:sz w:val="24"/>
                <w:highlight w:val="none"/>
                <w:shd w:val="clear"/>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w:t>
            </w:r>
            <w:r>
              <w:rPr>
                <w:rFonts w:hint="eastAsia" w:ascii="Times New Roman" w:hAnsi="Times New Roman" w:cs="Times New Roman"/>
                <w:bCs/>
                <w:sz w:val="24"/>
                <w:highlight w:val="none"/>
                <w:shd w:val="clear"/>
                <w:lang w:val="en-US" w:eastAsia="zh-CN"/>
              </w:rPr>
              <w:t>（</w:t>
            </w:r>
            <w:r>
              <w:rPr>
                <w:rFonts w:hint="default" w:ascii="Times New Roman" w:hAnsi="Times New Roman" w:cs="Times New Roman"/>
                <w:bCs/>
                <w:sz w:val="24"/>
                <w:highlight w:val="none"/>
                <w:shd w:val="clear"/>
                <w:lang w:val="en-US" w:eastAsia="zh-CN"/>
              </w:rPr>
              <w:t>格式详见第七部分</w:t>
            </w:r>
            <w:r>
              <w:rPr>
                <w:rFonts w:hint="eastAsia" w:ascii="Times New Roman" w:hAnsi="Times New Roman" w:cs="Times New Roman"/>
                <w:bCs/>
                <w:sz w:val="24"/>
                <w:highlight w:val="none"/>
                <w:shd w:val="clear"/>
                <w:lang w:val="en-US" w:eastAsia="zh-CN"/>
              </w:rPr>
              <w:t>）</w:t>
            </w:r>
            <w:r>
              <w:rPr>
                <w:rFonts w:hint="default" w:ascii="Times New Roman" w:hAnsi="Times New Roman" w:cs="Times New Roman"/>
                <w:bCs/>
                <w:sz w:val="24"/>
                <w:highlight w:val="none"/>
                <w:shd w:val="clear"/>
                <w:lang w:val="en-US" w:eastAsia="zh-CN"/>
              </w:rPr>
              <w:t>或财政部会同有关部门规定的有关证明文件《声明函》或有关证明文件符合要求的，该产品视为本国产品</w:t>
            </w:r>
            <w:r>
              <w:rPr>
                <w:rFonts w:hint="eastAsia" w:ascii="Times New Roman" w:hAnsi="Times New Roman" w:cs="Times New Roman"/>
                <w:bCs/>
                <w:sz w:val="24"/>
                <w:highlight w:val="none"/>
                <w:shd w:val="clear"/>
                <w:lang w:val="en-US" w:eastAsia="zh-CN"/>
              </w:rPr>
              <w:t>。</w:t>
            </w:r>
          </w:p>
        </w:tc>
      </w:tr>
      <w:tr w14:paraId="0686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0CFF227B">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8</w:t>
            </w:r>
          </w:p>
        </w:tc>
        <w:tc>
          <w:tcPr>
            <w:tcW w:w="2010" w:type="dxa"/>
            <w:tcBorders>
              <w:top w:val="single" w:color="000000" w:sz="8" w:space="0"/>
              <w:left w:val="single" w:color="000000" w:sz="8" w:space="0"/>
              <w:bottom w:val="single" w:color="000000" w:sz="8" w:space="0"/>
              <w:right w:val="single" w:color="000000" w:sz="8" w:space="0"/>
            </w:tcBorders>
            <w:vAlign w:val="center"/>
          </w:tcPr>
          <w:p w14:paraId="32DA8082">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现场勘查</w:t>
            </w:r>
          </w:p>
          <w:p w14:paraId="0380BB12">
            <w:pPr>
              <w:snapToGrid w:val="0"/>
              <w:spacing w:line="440" w:lineRule="exact"/>
              <w:ind w:firstLine="120" w:firstLineChars="5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（标前答疑会）</w:t>
            </w:r>
          </w:p>
        </w:tc>
        <w:tc>
          <w:tcPr>
            <w:tcW w:w="6225" w:type="dxa"/>
            <w:tcBorders>
              <w:top w:val="single" w:color="000000" w:sz="8" w:space="0"/>
              <w:left w:val="single" w:color="000000" w:sz="8" w:space="0"/>
              <w:bottom w:val="single" w:color="000000" w:sz="8" w:space="0"/>
              <w:right w:val="single" w:color="000000" w:sz="8" w:space="0"/>
            </w:tcBorders>
            <w:vAlign w:val="center"/>
          </w:tcPr>
          <w:p w14:paraId="7C954BB8">
            <w:pPr>
              <w:snapToGrid w:val="0"/>
              <w:spacing w:line="44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无</w:t>
            </w:r>
          </w:p>
        </w:tc>
      </w:tr>
      <w:tr w14:paraId="1FD8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7EB8F6B8">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9</w:t>
            </w:r>
          </w:p>
        </w:tc>
        <w:tc>
          <w:tcPr>
            <w:tcW w:w="2010" w:type="dxa"/>
            <w:tcBorders>
              <w:top w:val="single" w:color="000000" w:sz="8" w:space="0"/>
              <w:left w:val="single" w:color="000000" w:sz="8" w:space="0"/>
              <w:bottom w:val="single" w:color="000000" w:sz="8" w:space="0"/>
              <w:right w:val="single" w:color="000000" w:sz="8" w:space="0"/>
            </w:tcBorders>
            <w:vAlign w:val="center"/>
          </w:tcPr>
          <w:p w14:paraId="18DDEB48">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备选投标方案</w:t>
            </w:r>
          </w:p>
        </w:tc>
        <w:tc>
          <w:tcPr>
            <w:tcW w:w="6225" w:type="dxa"/>
            <w:tcBorders>
              <w:top w:val="single" w:color="000000" w:sz="8" w:space="0"/>
              <w:left w:val="single" w:color="000000" w:sz="8" w:space="0"/>
              <w:bottom w:val="single" w:color="000000" w:sz="8" w:space="0"/>
              <w:right w:val="single" w:color="000000" w:sz="8" w:space="0"/>
            </w:tcBorders>
            <w:vAlign w:val="center"/>
          </w:tcPr>
          <w:p w14:paraId="1497D524">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不接受</w:t>
            </w:r>
          </w:p>
        </w:tc>
      </w:tr>
      <w:tr w14:paraId="4BE0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15901197">
            <w:pPr>
              <w:snapToGrid w:val="0"/>
              <w:spacing w:line="44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10</w:t>
            </w:r>
          </w:p>
        </w:tc>
        <w:tc>
          <w:tcPr>
            <w:tcW w:w="2010" w:type="dxa"/>
            <w:tcBorders>
              <w:top w:val="single" w:color="000000" w:sz="8" w:space="0"/>
              <w:left w:val="single" w:color="000000" w:sz="8" w:space="0"/>
              <w:bottom w:val="single" w:color="000000" w:sz="8" w:space="0"/>
              <w:right w:val="single" w:color="000000" w:sz="8" w:space="0"/>
            </w:tcBorders>
            <w:vAlign w:val="center"/>
          </w:tcPr>
          <w:p w14:paraId="4F184C47">
            <w:pPr>
              <w:snapToGrid w:val="0"/>
              <w:spacing w:line="440" w:lineRule="exact"/>
              <w:jc w:val="center"/>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eastAsia="zh-CN"/>
              </w:rPr>
              <w:t>评标委员会组成</w:t>
            </w:r>
          </w:p>
        </w:tc>
        <w:tc>
          <w:tcPr>
            <w:tcW w:w="6225" w:type="dxa"/>
            <w:tcBorders>
              <w:top w:val="single" w:color="000000" w:sz="8" w:space="0"/>
              <w:left w:val="single" w:color="000000" w:sz="8" w:space="0"/>
              <w:bottom w:val="single" w:color="000000" w:sz="8" w:space="0"/>
              <w:right w:val="single" w:color="000000" w:sz="8" w:space="0"/>
            </w:tcBorders>
            <w:vAlign w:val="center"/>
          </w:tcPr>
          <w:p w14:paraId="1C1A3820">
            <w:pPr>
              <w:pStyle w:val="29"/>
              <w:snapToGrid w:val="0"/>
              <w:spacing w:line="4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6"/>
                <w:sz w:val="24"/>
                <w:szCs w:val="24"/>
                <w:highlight w:val="none"/>
                <w:lang w:val="en-US" w:eastAsia="zh-CN"/>
              </w:rPr>
              <w:t>评标委员会由山西省</w:t>
            </w:r>
            <w:r>
              <w:rPr>
                <w:rFonts w:hint="default" w:ascii="Times New Roman" w:hAnsi="Times New Roman" w:cs="Times New Roman"/>
                <w:color w:val="auto"/>
                <w:spacing w:val="6"/>
                <w:sz w:val="24"/>
                <w:szCs w:val="24"/>
                <w:highlight w:val="none"/>
                <w:lang w:eastAsia="zh-CN"/>
              </w:rPr>
              <w:t>政府采购评标专家库中随机抽取</w:t>
            </w:r>
            <w:r>
              <w:rPr>
                <w:rFonts w:hint="default" w:ascii="Times New Roman" w:hAnsi="Times New Roman" w:cs="Times New Roman"/>
                <w:color w:val="auto"/>
                <w:spacing w:val="6"/>
                <w:sz w:val="24"/>
                <w:szCs w:val="24"/>
                <w:highlight w:val="none"/>
                <w:lang w:val="en-US" w:eastAsia="zh-CN"/>
              </w:rPr>
              <w:t>的</w:t>
            </w:r>
            <w:r>
              <w:rPr>
                <w:rFonts w:hint="default" w:ascii="Times New Roman" w:hAnsi="Times New Roman" w:cs="Times New Roman"/>
                <w:color w:val="auto"/>
                <w:spacing w:val="6"/>
                <w:sz w:val="24"/>
                <w:szCs w:val="24"/>
                <w:highlight w:val="none"/>
                <w:lang w:eastAsia="zh-CN"/>
              </w:rPr>
              <w:t>专家</w:t>
            </w:r>
            <w:r>
              <w:rPr>
                <w:rFonts w:hint="default" w:ascii="Times New Roman" w:hAnsi="Times New Roman" w:cs="Times New Roman"/>
                <w:color w:val="auto"/>
                <w:spacing w:val="6"/>
                <w:sz w:val="24"/>
                <w:szCs w:val="24"/>
                <w:highlight w:val="none"/>
                <w:u w:val="single"/>
                <w:lang w:val="en-US" w:eastAsia="zh-CN"/>
              </w:rPr>
              <w:t xml:space="preserve"> </w:t>
            </w:r>
            <w:r>
              <w:rPr>
                <w:rFonts w:hint="eastAsia" w:ascii="Times New Roman" w:hAnsi="Times New Roman" w:cs="Times New Roman"/>
                <w:color w:val="auto"/>
                <w:spacing w:val="6"/>
                <w:sz w:val="24"/>
                <w:szCs w:val="24"/>
                <w:highlight w:val="none"/>
                <w:u w:val="single"/>
                <w:lang w:val="en-US" w:eastAsia="zh-CN"/>
              </w:rPr>
              <w:t>4</w:t>
            </w:r>
            <w:r>
              <w:rPr>
                <w:rFonts w:hint="default" w:ascii="Times New Roman" w:hAnsi="Times New Roman" w:cs="Times New Roman"/>
                <w:color w:val="auto"/>
                <w:spacing w:val="6"/>
                <w:sz w:val="24"/>
                <w:szCs w:val="24"/>
                <w:highlight w:val="none"/>
                <w:lang w:eastAsia="zh-CN"/>
              </w:rPr>
              <w:t>人</w:t>
            </w:r>
            <w:r>
              <w:rPr>
                <w:rFonts w:hint="eastAsia" w:ascii="Times New Roman" w:hAnsi="Times New Roman" w:cs="Times New Roman"/>
                <w:color w:val="auto"/>
                <w:spacing w:val="6"/>
                <w:sz w:val="24"/>
                <w:szCs w:val="24"/>
                <w:highlight w:val="none"/>
                <w:lang w:eastAsia="zh-CN"/>
              </w:rPr>
              <w:t>，</w:t>
            </w:r>
            <w:r>
              <w:rPr>
                <w:rFonts w:hint="eastAsia" w:ascii="Times New Roman" w:hAnsi="Times New Roman" w:cs="Times New Roman"/>
                <w:color w:val="auto"/>
                <w:spacing w:val="6"/>
                <w:sz w:val="24"/>
                <w:szCs w:val="24"/>
                <w:highlight w:val="none"/>
                <w:lang w:val="en-US" w:eastAsia="zh-CN"/>
              </w:rPr>
              <w:t>采购方代表</w:t>
            </w:r>
            <w:r>
              <w:rPr>
                <w:rFonts w:hint="eastAsia" w:ascii="Times New Roman" w:hAnsi="Times New Roman" w:cs="Times New Roman"/>
                <w:color w:val="auto"/>
                <w:spacing w:val="6"/>
                <w:sz w:val="24"/>
                <w:szCs w:val="24"/>
                <w:highlight w:val="none"/>
                <w:u w:val="single"/>
                <w:lang w:val="en-US" w:eastAsia="zh-CN"/>
              </w:rPr>
              <w:t>1</w:t>
            </w:r>
            <w:r>
              <w:rPr>
                <w:rFonts w:hint="eastAsia" w:ascii="Times New Roman" w:hAnsi="Times New Roman" w:cs="Times New Roman"/>
                <w:color w:val="auto"/>
                <w:spacing w:val="6"/>
                <w:sz w:val="24"/>
                <w:szCs w:val="24"/>
                <w:highlight w:val="none"/>
                <w:lang w:val="en-US" w:eastAsia="zh-CN"/>
              </w:rPr>
              <w:t>人，</w:t>
            </w:r>
            <w:r>
              <w:rPr>
                <w:rFonts w:hint="default" w:ascii="Times New Roman" w:hAnsi="Times New Roman" w:cs="Times New Roman"/>
                <w:color w:val="auto"/>
                <w:spacing w:val="6"/>
                <w:sz w:val="24"/>
                <w:szCs w:val="24"/>
                <w:highlight w:val="none"/>
                <w:lang w:val="en-US" w:eastAsia="zh-CN"/>
              </w:rPr>
              <w:t>共</w:t>
            </w:r>
            <w:r>
              <w:rPr>
                <w:rFonts w:hint="default" w:ascii="Times New Roman" w:hAnsi="Times New Roman" w:cs="Times New Roman"/>
                <w:color w:val="auto"/>
                <w:spacing w:val="6"/>
                <w:sz w:val="24"/>
                <w:szCs w:val="24"/>
                <w:highlight w:val="none"/>
                <w:u w:val="single"/>
                <w:lang w:val="en-US" w:eastAsia="zh-CN"/>
              </w:rPr>
              <w:t xml:space="preserve"> </w:t>
            </w:r>
            <w:r>
              <w:rPr>
                <w:rFonts w:hint="eastAsia" w:ascii="Times New Roman" w:hAnsi="Times New Roman" w:cs="Times New Roman"/>
                <w:color w:val="auto"/>
                <w:spacing w:val="6"/>
                <w:sz w:val="24"/>
                <w:szCs w:val="24"/>
                <w:highlight w:val="none"/>
                <w:u w:val="single"/>
                <w:lang w:val="en-US" w:eastAsia="zh-CN"/>
              </w:rPr>
              <w:t>5</w:t>
            </w:r>
            <w:r>
              <w:rPr>
                <w:rFonts w:hint="default" w:ascii="Times New Roman" w:hAnsi="Times New Roman" w:cs="Times New Roman"/>
                <w:color w:val="auto"/>
                <w:spacing w:val="6"/>
                <w:sz w:val="24"/>
                <w:szCs w:val="24"/>
                <w:highlight w:val="none"/>
                <w:u w:val="single"/>
                <w:lang w:val="en-US" w:eastAsia="zh-CN"/>
              </w:rPr>
              <w:t xml:space="preserve"> </w:t>
            </w:r>
            <w:r>
              <w:rPr>
                <w:rFonts w:hint="default" w:ascii="Times New Roman" w:hAnsi="Times New Roman" w:cs="Times New Roman"/>
                <w:color w:val="auto"/>
                <w:spacing w:val="6"/>
                <w:sz w:val="24"/>
                <w:szCs w:val="24"/>
                <w:highlight w:val="none"/>
                <w:lang w:val="en-US" w:eastAsia="zh-CN"/>
              </w:rPr>
              <w:t>人组成。</w:t>
            </w:r>
          </w:p>
        </w:tc>
      </w:tr>
      <w:tr w14:paraId="4CE4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193DEB6">
            <w:pPr>
              <w:snapToGrid w:val="0"/>
              <w:spacing w:line="44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11</w:t>
            </w:r>
          </w:p>
        </w:tc>
        <w:tc>
          <w:tcPr>
            <w:tcW w:w="2010" w:type="dxa"/>
            <w:tcBorders>
              <w:top w:val="single" w:color="000000" w:sz="8" w:space="0"/>
              <w:left w:val="single" w:color="000000" w:sz="8" w:space="0"/>
              <w:bottom w:val="single" w:color="000000" w:sz="8" w:space="0"/>
              <w:right w:val="single" w:color="000000" w:sz="8" w:space="0"/>
            </w:tcBorders>
            <w:vAlign w:val="center"/>
          </w:tcPr>
          <w:p w14:paraId="5E4F78DA">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中标供应商的确定</w:t>
            </w:r>
          </w:p>
        </w:tc>
        <w:tc>
          <w:tcPr>
            <w:tcW w:w="6225" w:type="dxa"/>
            <w:tcBorders>
              <w:top w:val="single" w:color="000000" w:sz="8" w:space="0"/>
              <w:left w:val="single" w:color="000000" w:sz="8" w:space="0"/>
              <w:bottom w:val="single" w:color="000000" w:sz="8" w:space="0"/>
              <w:right w:val="single" w:color="000000" w:sz="8" w:space="0"/>
            </w:tcBorders>
            <w:vAlign w:val="center"/>
          </w:tcPr>
          <w:p w14:paraId="75D391C1">
            <w:pPr>
              <w:snapToGrid w:val="0"/>
              <w:spacing w:line="44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授权评标委员会直接确定</w:t>
            </w:r>
          </w:p>
        </w:tc>
      </w:tr>
      <w:tr w14:paraId="1341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A9E7BC2">
            <w:pPr>
              <w:snapToGrid w:val="0"/>
              <w:spacing w:line="44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12</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1B99A">
            <w:pPr>
              <w:snapToGrid w:val="0"/>
              <w:spacing w:line="440" w:lineRule="exact"/>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rPr>
              <w:t>代理服务费</w:t>
            </w:r>
          </w:p>
        </w:tc>
        <w:tc>
          <w:tcPr>
            <w:tcW w:w="62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61AD1">
            <w:pPr>
              <w:snapToGrid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 xml:space="preserve">代理服务费由中标人支付，收费标准：参照原国家计委计价格[2002]1980号、发改办价格[2003]857号及发改价格[2011]534号文件收取。 </w:t>
            </w:r>
          </w:p>
        </w:tc>
      </w:tr>
      <w:tr w14:paraId="4424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2510501">
            <w:pPr>
              <w:snapToGrid w:val="0"/>
              <w:spacing w:line="44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13</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9C67E">
            <w:pPr>
              <w:snapToGrid w:val="0"/>
              <w:spacing w:line="440" w:lineRule="exact"/>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rPr>
              <w:t>本项目所属行业</w:t>
            </w:r>
          </w:p>
        </w:tc>
        <w:tc>
          <w:tcPr>
            <w:tcW w:w="62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07C0F">
            <w:pPr>
              <w:snapToGrid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工业（制造业）</w:t>
            </w:r>
          </w:p>
        </w:tc>
      </w:tr>
      <w:tr w14:paraId="737B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5FA249F">
            <w:pPr>
              <w:snapToGrid w:val="0"/>
              <w:spacing w:line="44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14</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BB862">
            <w:pPr>
              <w:snapToGrid w:val="0"/>
              <w:spacing w:line="440" w:lineRule="exact"/>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rPr>
              <w:t>其他</w:t>
            </w:r>
          </w:p>
        </w:tc>
        <w:tc>
          <w:tcPr>
            <w:tcW w:w="62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D7286">
            <w:pPr>
              <w:snapToGrid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政采智贷：凡符合要求且自愿选择“政采智贷”的中标/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bl>
    <w:p w14:paraId="23377E8E">
      <w:pPr>
        <w:snapToGrid w:val="0"/>
        <w:spacing w:before="60" w:after="60" w:line="460" w:lineRule="exact"/>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注：本表内容与投标人须知内容不一致的，以本表内容为准。</w:t>
      </w:r>
    </w:p>
    <w:p w14:paraId="22FEC2A3">
      <w:pPr>
        <w:snapToGrid w:val="0"/>
        <w:spacing w:before="60" w:after="60" w:line="460" w:lineRule="exact"/>
        <w:jc w:val="center"/>
        <w:rPr>
          <w:rFonts w:hint="default" w:ascii="Times New Roman" w:hAnsi="Times New Roman" w:eastAsia="宋体" w:cs="Times New Roman"/>
          <w:color w:val="auto"/>
          <w:sz w:val="24"/>
          <w:szCs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2010"/>
        <w:gridCol w:w="6180"/>
      </w:tblGrid>
      <w:tr w14:paraId="4B19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8835" w:type="dxa"/>
            <w:gridSpan w:val="3"/>
            <w:tcBorders>
              <w:top w:val="single" w:color="000000" w:sz="8" w:space="0"/>
              <w:left w:val="single" w:color="000000" w:sz="8" w:space="0"/>
              <w:bottom w:val="single" w:color="000000" w:sz="8" w:space="0"/>
              <w:right w:val="single" w:color="000000" w:sz="8" w:space="0"/>
            </w:tcBorders>
            <w:vAlign w:val="center"/>
          </w:tcPr>
          <w:p w14:paraId="227DB1C5">
            <w:pPr>
              <w:snapToGrid w:val="0"/>
              <w:spacing w:line="460" w:lineRule="exact"/>
              <w:ind w:firstLine="482" w:firstLineChars="20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电子招标补充内容</w:t>
            </w:r>
          </w:p>
        </w:tc>
      </w:tr>
      <w:tr w14:paraId="23BD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118F79A">
            <w:pPr>
              <w:snapToGrid w:val="0"/>
              <w:spacing w:line="46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w:t>
            </w:r>
          </w:p>
        </w:tc>
        <w:tc>
          <w:tcPr>
            <w:tcW w:w="2010" w:type="dxa"/>
            <w:tcBorders>
              <w:top w:val="single" w:color="000000" w:sz="8" w:space="0"/>
              <w:left w:val="single" w:color="000000" w:sz="8" w:space="0"/>
              <w:bottom w:val="single" w:color="000000" w:sz="8" w:space="0"/>
              <w:right w:val="single" w:color="000000" w:sz="8" w:space="0"/>
            </w:tcBorders>
            <w:vAlign w:val="center"/>
          </w:tcPr>
          <w:p w14:paraId="45DFB632">
            <w:pPr>
              <w:snapToGrid w:val="0"/>
              <w:spacing w:line="4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投标文件编制及递交</w:t>
            </w:r>
          </w:p>
        </w:tc>
        <w:tc>
          <w:tcPr>
            <w:tcW w:w="6180" w:type="dxa"/>
            <w:tcBorders>
              <w:top w:val="single" w:color="000000" w:sz="8" w:space="0"/>
              <w:left w:val="single" w:color="000000" w:sz="8" w:space="0"/>
              <w:bottom w:val="single" w:color="000000" w:sz="8" w:space="0"/>
              <w:right w:val="single" w:color="000000" w:sz="8" w:space="0"/>
            </w:tcBorders>
            <w:vAlign w:val="center"/>
          </w:tcPr>
          <w:p w14:paraId="325D818B">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r>
              <w:rPr>
                <w:rFonts w:hint="default" w:ascii="Times New Roman" w:hAnsi="Times New Roman" w:eastAsia="宋体" w:cs="Times New Roman"/>
                <w:color w:val="auto"/>
                <w:sz w:val="24"/>
                <w:szCs w:val="24"/>
                <w:highlight w:val="none"/>
              </w:rPr>
              <w:t>投标人</w:t>
            </w:r>
            <w:r>
              <w:rPr>
                <w:rFonts w:hint="default"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在山西</w:t>
            </w:r>
            <w:r>
              <w:rPr>
                <w:rFonts w:hint="default" w:ascii="Times New Roman" w:hAnsi="Times New Roman" w:eastAsia="宋体" w:cs="Times New Roman"/>
                <w:color w:val="auto"/>
                <w:sz w:val="24"/>
                <w:szCs w:val="24"/>
                <w:highlight w:val="none"/>
                <w:lang w:val="en-US" w:eastAsia="zh-CN"/>
              </w:rPr>
              <w:t>政府采购平台</w:t>
            </w:r>
            <w:r>
              <w:rPr>
                <w:rFonts w:hint="default" w:ascii="Times New Roman" w:hAnsi="Times New Roman" w:eastAsia="宋体" w:cs="Times New Roman"/>
                <w:color w:val="auto"/>
                <w:sz w:val="24"/>
                <w:szCs w:val="24"/>
                <w:highlight w:val="none"/>
              </w:rPr>
              <w:t>电子投标客户端制作、编制投标文件，同步生成一个加密文件，一个备份文件，要求均存储在</w:t>
            </w:r>
            <w:r>
              <w:rPr>
                <w:rFonts w:hint="default" w:ascii="Times New Roman" w:hAnsi="Times New Roman" w:eastAsia="Calibri" w:cs="Times New Roman"/>
                <w:color w:val="auto"/>
                <w:sz w:val="24"/>
                <w:szCs w:val="24"/>
                <w:highlight w:val="none"/>
              </w:rPr>
              <w:t>U</w:t>
            </w:r>
            <w:r>
              <w:rPr>
                <w:rFonts w:hint="default" w:ascii="Times New Roman" w:hAnsi="Times New Roman" w:eastAsia="宋体" w:cs="Times New Roman"/>
                <w:color w:val="auto"/>
                <w:sz w:val="24"/>
                <w:szCs w:val="24"/>
                <w:highlight w:val="none"/>
              </w:rPr>
              <w:t>盘里并密封，</w:t>
            </w:r>
            <w:r>
              <w:rPr>
                <w:rFonts w:hint="default" w:ascii="Times New Roman" w:hAnsi="Times New Roman" w:eastAsia="宋体" w:cs="Times New Roman"/>
                <w:color w:val="auto"/>
                <w:sz w:val="24"/>
                <w:szCs w:val="24"/>
                <w:highlight w:val="none"/>
                <w:lang w:val="en-US" w:eastAsia="zh-CN"/>
              </w:rPr>
              <w:t>以备开标异常时提交</w:t>
            </w:r>
            <w:r>
              <w:rPr>
                <w:rFonts w:hint="default" w:ascii="Times New Roman" w:hAnsi="Times New Roman" w:eastAsia="宋体" w:cs="Times New Roman"/>
                <w:color w:val="auto"/>
                <w:sz w:val="24"/>
                <w:szCs w:val="24"/>
                <w:highlight w:val="none"/>
              </w:rPr>
              <w:t>。</w:t>
            </w:r>
          </w:p>
          <w:p w14:paraId="483F821E">
            <w:pPr>
              <w:snapToGrid w:val="0"/>
              <w:spacing w:line="46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2）</w:t>
            </w:r>
            <w:r>
              <w:rPr>
                <w:rFonts w:hint="default" w:ascii="Times New Roman" w:hAnsi="Times New Roman" w:eastAsia="宋体" w:cs="Times New Roman"/>
                <w:color w:val="auto"/>
                <w:sz w:val="24"/>
                <w:szCs w:val="24"/>
                <w:highlight w:val="none"/>
              </w:rPr>
              <w:t>投标人应在投标文件递交截止时间前，将符合上述要求的</w:t>
            </w:r>
            <w:r>
              <w:rPr>
                <w:rFonts w:hint="default" w:ascii="Times New Roman" w:hAnsi="Times New Roman" w:eastAsia="Calibri" w:cs="Times New Roman"/>
                <w:color w:val="auto"/>
                <w:sz w:val="24"/>
                <w:szCs w:val="24"/>
                <w:highlight w:val="none"/>
              </w:rPr>
              <w:t>jmbs</w:t>
            </w:r>
            <w:r>
              <w:rPr>
                <w:rFonts w:hint="default" w:ascii="Times New Roman" w:hAnsi="Times New Roman" w:eastAsia="宋体" w:cs="Times New Roman"/>
                <w:color w:val="auto"/>
                <w:sz w:val="24"/>
                <w:szCs w:val="24"/>
                <w:highlight w:val="none"/>
              </w:rPr>
              <w:t>格式（加密）电子投标文件上传至山西省</w:t>
            </w:r>
            <w:r>
              <w:rPr>
                <w:rFonts w:hint="default" w:ascii="Times New Roman" w:hAnsi="Times New Roman" w:eastAsia="宋体" w:cs="Times New Roman"/>
                <w:color w:val="auto"/>
                <w:sz w:val="24"/>
                <w:szCs w:val="24"/>
                <w:highlight w:val="none"/>
                <w:lang w:val="en-US" w:eastAsia="zh-CN"/>
              </w:rPr>
              <w:t>政府采购平台</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未按规定时间完成上传的，视为未提供投标文件。</w:t>
            </w:r>
          </w:p>
          <w:p w14:paraId="3C7FD8A1">
            <w:pPr>
              <w:snapToGrid w:val="0"/>
              <w:spacing w:line="46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投标人</w:t>
            </w:r>
            <w:r>
              <w:rPr>
                <w:rFonts w:hint="default" w:ascii="Times New Roman" w:hAnsi="Times New Roman" w:eastAsia="宋体" w:cs="Times New Roman"/>
                <w:color w:val="auto"/>
                <w:sz w:val="24"/>
                <w:szCs w:val="24"/>
                <w:highlight w:val="none"/>
                <w:lang w:val="en-US" w:eastAsia="zh-CN"/>
              </w:rPr>
              <w:t>应在</w:t>
            </w:r>
            <w:r>
              <w:rPr>
                <w:rFonts w:hint="eastAsia" w:ascii="Times New Roman" w:hAnsi="Times New Roman" w:eastAsia="宋体" w:cs="Times New Roman"/>
                <w:color w:val="auto"/>
                <w:sz w:val="24"/>
                <w:szCs w:val="24"/>
                <w:highlight w:val="none"/>
                <w:lang w:val="en-US" w:eastAsia="zh-CN"/>
              </w:rPr>
              <w:t>投标文件提交截止时间前</w:t>
            </w:r>
            <w:r>
              <w:rPr>
                <w:rFonts w:hint="default" w:ascii="Times New Roman" w:hAnsi="Times New Roman" w:eastAsia="宋体" w:cs="Times New Roman"/>
                <w:color w:val="auto"/>
                <w:sz w:val="24"/>
                <w:szCs w:val="24"/>
                <w:highlight w:val="none"/>
                <w:lang w:val="en-US" w:eastAsia="zh-CN"/>
              </w:rPr>
              <w:t>，递交纸质版投标文件到采购代理机构，用于项目存档。</w:t>
            </w:r>
          </w:p>
          <w:p w14:paraId="2E7D9B57">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纸质投标文件及投标人认为有必要提交的其他资料全部密封提交，并加盖投标人公章，密封要求详见投标人须知前附表。</w:t>
            </w:r>
          </w:p>
        </w:tc>
      </w:tr>
      <w:tr w14:paraId="3AED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BD4F622">
            <w:pPr>
              <w:snapToGrid w:val="0"/>
              <w:spacing w:line="460" w:lineRule="exact"/>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2</w:t>
            </w:r>
          </w:p>
        </w:tc>
        <w:tc>
          <w:tcPr>
            <w:tcW w:w="2010" w:type="dxa"/>
            <w:tcBorders>
              <w:top w:val="single" w:color="000000" w:sz="8" w:space="0"/>
              <w:left w:val="single" w:color="000000" w:sz="8" w:space="0"/>
              <w:bottom w:val="single" w:color="000000" w:sz="8" w:space="0"/>
              <w:right w:val="single" w:color="000000" w:sz="8" w:space="0"/>
            </w:tcBorders>
            <w:vAlign w:val="center"/>
          </w:tcPr>
          <w:p w14:paraId="23F330A6">
            <w:pPr>
              <w:snapToGrid w:val="0"/>
              <w:spacing w:line="4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开启</w:t>
            </w:r>
          </w:p>
        </w:tc>
        <w:tc>
          <w:tcPr>
            <w:tcW w:w="6180" w:type="dxa"/>
            <w:tcBorders>
              <w:top w:val="single" w:color="000000" w:sz="8" w:space="0"/>
              <w:left w:val="single" w:color="000000" w:sz="8" w:space="0"/>
              <w:bottom w:val="single" w:color="000000" w:sz="8" w:space="0"/>
              <w:right w:val="single" w:color="000000" w:sz="8" w:space="0"/>
            </w:tcBorders>
            <w:vAlign w:val="center"/>
          </w:tcPr>
          <w:p w14:paraId="1AA85C5E">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投标人</w:t>
            </w:r>
            <w:r>
              <w:rPr>
                <w:rFonts w:hint="default" w:ascii="Times New Roman" w:hAnsi="Times New Roman" w:eastAsia="宋体" w:cs="Times New Roman"/>
                <w:color w:val="auto"/>
                <w:sz w:val="24"/>
                <w:szCs w:val="24"/>
                <w:highlight w:val="none"/>
                <w:lang w:val="en-US" w:eastAsia="zh-CN"/>
              </w:rPr>
              <w:t>须在开启时间前登录山西政府采购平台，项目开启后及时</w:t>
            </w:r>
            <w:r>
              <w:rPr>
                <w:rFonts w:hint="default" w:ascii="Times New Roman" w:hAnsi="Times New Roman" w:eastAsia="宋体" w:cs="Times New Roman"/>
                <w:color w:val="auto"/>
                <w:sz w:val="24"/>
                <w:szCs w:val="24"/>
                <w:highlight w:val="none"/>
              </w:rPr>
              <w:t>使用</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数字证书对其递交的电子投标文件进行解密，解密时长</w:t>
            </w:r>
            <w:r>
              <w:rPr>
                <w:rFonts w:hint="default" w:ascii="Times New Roman" w:hAnsi="Times New Roman" w:eastAsia="Times New Roman" w:cs="Times New Roman"/>
                <w:color w:val="auto"/>
                <w:sz w:val="24"/>
                <w:szCs w:val="24"/>
                <w:highlight w:val="none"/>
              </w:rPr>
              <w:t>30</w:t>
            </w:r>
            <w:r>
              <w:rPr>
                <w:rFonts w:hint="default" w:ascii="Times New Roman" w:hAnsi="Times New Roman" w:eastAsia="宋体" w:cs="Times New Roman"/>
                <w:color w:val="auto"/>
                <w:sz w:val="24"/>
                <w:szCs w:val="24"/>
                <w:highlight w:val="none"/>
              </w:rPr>
              <w:t>分钟。</w:t>
            </w:r>
          </w:p>
          <w:p w14:paraId="4A35536E">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因投标人原因造成投标文件未解密的，视为未递交投标文件，包括以下情形：</w:t>
            </w:r>
          </w:p>
          <w:p w14:paraId="3468A62F">
            <w:pPr>
              <w:snapToGrid w:val="0"/>
              <w:spacing w:line="46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①投标人未</w:t>
            </w:r>
            <w:r>
              <w:rPr>
                <w:rFonts w:hint="default" w:ascii="Times New Roman" w:hAnsi="Times New Roman" w:eastAsia="宋体" w:cs="Times New Roman"/>
                <w:color w:val="auto"/>
                <w:sz w:val="24"/>
                <w:szCs w:val="24"/>
                <w:highlight w:val="none"/>
                <w:lang w:val="en-US" w:eastAsia="zh-CN"/>
              </w:rPr>
              <w:t>在规定时间内解密或自动放弃解密的；</w:t>
            </w:r>
          </w:p>
          <w:p w14:paraId="2781A562">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lang w:val="en-US" w:eastAsia="zh-CN"/>
              </w:rPr>
              <w:t>投标人使用</w:t>
            </w:r>
            <w:r>
              <w:rPr>
                <w:rFonts w:hint="default" w:ascii="Times New Roman" w:hAnsi="Times New Roman" w:eastAsia="宋体" w:cs="Times New Roman"/>
                <w:color w:val="auto"/>
                <w:sz w:val="24"/>
                <w:szCs w:val="24"/>
                <w:highlight w:val="none"/>
              </w:rPr>
              <w:t>非本次投标加密用</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w:t>
            </w:r>
            <w:r>
              <w:rPr>
                <w:rFonts w:hint="default" w:ascii="Times New Roman" w:hAnsi="Times New Roman" w:eastAsia="宋体" w:cs="Times New Roman"/>
                <w:color w:val="auto"/>
                <w:sz w:val="24"/>
                <w:szCs w:val="24"/>
                <w:highlight w:val="none"/>
                <w:lang w:val="en-US" w:eastAsia="zh-CN"/>
              </w:rPr>
              <w:t>解密，造成解密失败的</w:t>
            </w:r>
            <w:r>
              <w:rPr>
                <w:rFonts w:hint="default" w:ascii="Times New Roman" w:hAnsi="Times New Roman" w:eastAsia="宋体" w:cs="Times New Roman"/>
                <w:color w:val="auto"/>
                <w:sz w:val="24"/>
                <w:szCs w:val="24"/>
                <w:highlight w:val="none"/>
              </w:rPr>
              <w:t>；</w:t>
            </w:r>
          </w:p>
          <w:p w14:paraId="5A338C24">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③投标人使用的</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数字证书属于注销或无效的；</w:t>
            </w:r>
          </w:p>
          <w:p w14:paraId="50DFB62C">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4 \* GB3 \* MERGEFORMAT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cs="Times New Roman"/>
                <w:color w:val="auto"/>
                <w:highlight w:val="none"/>
              </w:rPr>
              <w:t>④</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投标人</w:t>
            </w:r>
            <w:r>
              <w:rPr>
                <w:rFonts w:hint="default" w:ascii="Times New Roman" w:hAnsi="Times New Roman" w:eastAsia="宋体" w:cs="Times New Roman"/>
                <w:color w:val="auto"/>
                <w:sz w:val="24"/>
                <w:szCs w:val="24"/>
                <w:highlight w:val="none"/>
                <w:lang w:val="en-US" w:eastAsia="zh-CN"/>
              </w:rPr>
              <w:t>使用</w:t>
            </w:r>
            <w:r>
              <w:rPr>
                <w:rFonts w:hint="default" w:ascii="Times New Roman" w:hAnsi="Times New Roman" w:eastAsia="宋体" w:cs="Times New Roman"/>
                <w:color w:val="auto"/>
                <w:sz w:val="24"/>
                <w:szCs w:val="24"/>
                <w:highlight w:val="none"/>
              </w:rPr>
              <w:t>的</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数字证书已损坏的。</w:t>
            </w:r>
          </w:p>
          <w:p w14:paraId="670C1964">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如非上述原因造成解密失败，可开启异常处理。</w:t>
            </w:r>
          </w:p>
        </w:tc>
      </w:tr>
      <w:tr w14:paraId="7EF5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D345259">
            <w:pPr>
              <w:snapToGrid w:val="0"/>
              <w:spacing w:line="460" w:lineRule="exact"/>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3</w:t>
            </w:r>
          </w:p>
        </w:tc>
        <w:tc>
          <w:tcPr>
            <w:tcW w:w="2010" w:type="dxa"/>
            <w:tcBorders>
              <w:top w:val="single" w:color="000000" w:sz="8" w:space="0"/>
              <w:left w:val="single" w:color="000000" w:sz="8" w:space="0"/>
              <w:bottom w:val="single" w:color="000000" w:sz="8" w:space="0"/>
              <w:right w:val="single" w:color="000000" w:sz="8" w:space="0"/>
            </w:tcBorders>
            <w:vAlign w:val="center"/>
          </w:tcPr>
          <w:p w14:paraId="1B4802DE">
            <w:pPr>
              <w:snapToGrid w:val="0"/>
              <w:spacing w:line="4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开评审补救措施</w:t>
            </w:r>
          </w:p>
        </w:tc>
        <w:tc>
          <w:tcPr>
            <w:tcW w:w="6180" w:type="dxa"/>
            <w:tcBorders>
              <w:top w:val="single" w:color="000000" w:sz="8" w:space="0"/>
              <w:left w:val="single" w:color="000000" w:sz="8" w:space="0"/>
              <w:bottom w:val="single" w:color="000000" w:sz="8" w:space="0"/>
              <w:right w:val="single" w:color="000000" w:sz="8" w:space="0"/>
            </w:tcBorders>
            <w:vAlign w:val="center"/>
          </w:tcPr>
          <w:p w14:paraId="35943F15">
            <w:pPr>
              <w:keepNext w:val="0"/>
              <w:keepLines w:val="0"/>
              <w:pageBreakBefore w:val="0"/>
              <w:widowControl w:val="0"/>
              <w:kinsoku/>
              <w:wordWrap/>
              <w:overflowPunct/>
              <w:topLinePunct w:val="0"/>
              <w:autoSpaceDE/>
              <w:autoSpaceDN/>
              <w:bidi w:val="0"/>
              <w:adjustRightInd/>
              <w:snapToGrid w:val="0"/>
              <w:spacing w:before="157" w:beforeLines="50" w:line="46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开标：本项目采用网上电子开标的方式进行，因不可抗因素导致业务执行系统无法正常运行时，采购代理机构将等待系统恢复正常后继续进行开标。系统不能及时恢复正常时，采购代理机构将待系统恢复正常后继续开标。</w:t>
            </w:r>
          </w:p>
          <w:p w14:paraId="2A3C9A8E">
            <w:pPr>
              <w:keepNext w:val="0"/>
              <w:keepLines w:val="0"/>
              <w:pageBreakBefore w:val="0"/>
              <w:widowControl w:val="0"/>
              <w:kinsoku/>
              <w:wordWrap/>
              <w:overflowPunct/>
              <w:topLinePunct w:val="0"/>
              <w:autoSpaceDE/>
              <w:autoSpaceDN/>
              <w:bidi w:val="0"/>
              <w:adjustRightInd/>
              <w:snapToGrid w:val="0"/>
              <w:spacing w:before="157" w:beforeLines="50" w:line="460" w:lineRule="exac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评标：本项目采用网上电子评审的方式进行，依据上传至系统的投标文件进行评审，因不可抗因素导致业务执行系统无法正常运行时，采购代理机构将等待系统恢复正常后继续进行评审。系统不能及时恢复正常时，采购代理机构将封标，待系统恢复正常后继续或重新进行评审。</w:t>
            </w:r>
          </w:p>
        </w:tc>
      </w:tr>
      <w:tr w14:paraId="3371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CAF2EC4">
            <w:pPr>
              <w:snapToGrid w:val="0"/>
              <w:spacing w:line="46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91D69">
            <w:pPr>
              <w:keepNext w:val="0"/>
              <w:keepLines w:val="0"/>
              <w:pageBreakBefore w:val="0"/>
              <w:widowControl w:val="0"/>
              <w:kinsoku/>
              <w:wordWrap/>
              <w:overflowPunct/>
              <w:topLinePunct w:val="0"/>
              <w:autoSpaceDE/>
              <w:autoSpaceDN/>
              <w:bidi w:val="0"/>
              <w:adjustRightInd/>
              <w:snapToGrid w:val="0"/>
              <w:spacing w:before="157" w:beforeLines="50" w:line="460" w:lineRule="exact"/>
              <w:ind w:firstLine="241" w:firstLineChars="1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特别说明</w:t>
            </w:r>
          </w:p>
        </w:tc>
        <w:tc>
          <w:tcPr>
            <w:tcW w:w="61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4D0B5">
            <w:pPr>
              <w:keepNext w:val="0"/>
              <w:keepLines w:val="0"/>
              <w:pageBreakBefore w:val="0"/>
              <w:widowControl w:val="0"/>
              <w:kinsoku/>
              <w:wordWrap/>
              <w:overflowPunct/>
              <w:topLinePunct w:val="0"/>
              <w:autoSpaceDE/>
              <w:autoSpaceDN/>
              <w:bidi w:val="0"/>
              <w:adjustRightInd/>
              <w:snapToGrid w:val="0"/>
              <w:spacing w:before="157" w:beforeLines="50" w:line="46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投标供应商在解密自身投标文件后，保持投标终端网络畅通、联系方式畅通即可。如评审委员会需发起询问、澄清或告知，均会通过“政采云”系统发起或通过电话通知。</w:t>
            </w:r>
          </w:p>
        </w:tc>
      </w:tr>
    </w:tbl>
    <w:p w14:paraId="1F614876">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bookmarkStart w:id="5" w:name="_Toc10678"/>
    </w:p>
    <w:p w14:paraId="7225A22B">
      <w:pPr>
        <w:rPr>
          <w:rFonts w:hint="default" w:ascii="Times New Roman" w:hAnsi="Times New Roman" w:cs="Times New Roman"/>
          <w:color w:val="auto"/>
          <w:highlight w:val="none"/>
        </w:rPr>
      </w:pPr>
    </w:p>
    <w:p w14:paraId="28CB3A84">
      <w:pPr>
        <w:pStyle w:val="2"/>
        <w:snapToGrid w:val="0"/>
        <w:jc w:val="cente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第三部分</w:t>
      </w:r>
      <w:r>
        <w:rPr>
          <w:rFonts w:hint="default" w:ascii="Times New Roman" w:hAnsi="Times New Roman" w:eastAsia="Calibri" w:cs="Times New Roman"/>
          <w:color w:val="auto"/>
          <w:sz w:val="32"/>
          <w:szCs w:val="32"/>
          <w:highlight w:val="none"/>
        </w:rPr>
        <w:t xml:space="preserve"> </w:t>
      </w:r>
      <w:r>
        <w:rPr>
          <w:rFonts w:hint="default" w:ascii="Times New Roman" w:hAnsi="Times New Roman" w:eastAsia="宋体" w:cs="Times New Roman"/>
          <w:color w:val="auto"/>
          <w:sz w:val="32"/>
          <w:szCs w:val="32"/>
          <w:highlight w:val="none"/>
        </w:rPr>
        <w:t>投标人须知</w:t>
      </w:r>
      <w:bookmarkEnd w:id="5"/>
    </w:p>
    <w:p w14:paraId="1790AD34">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一、适用范围：</w:t>
      </w:r>
    </w:p>
    <w:p w14:paraId="24514FCD">
      <w:pPr>
        <w:snapToGrid w:val="0"/>
        <w:spacing w:before="60" w:after="60" w:line="48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本招标文件适用于本次招标活动的全过程。</w:t>
      </w:r>
    </w:p>
    <w:p w14:paraId="5E6F2FE1">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二、定义</w:t>
      </w:r>
    </w:p>
    <w:p w14:paraId="6A8CC4B8">
      <w:pPr>
        <w:snapToGrid w:val="0"/>
        <w:spacing w:before="60" w:after="60"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2.1 “采购人</w:t>
      </w:r>
      <w:r>
        <w:rPr>
          <w:rFonts w:hint="default" w:ascii="Times New Roman" w:hAnsi="Times New Roman" w:eastAsia="宋体" w:cs="Times New Roman"/>
          <w:color w:val="auto"/>
          <w:sz w:val="24"/>
          <w:szCs w:val="24"/>
          <w:highlight w:val="none"/>
        </w:rPr>
        <w:t>”指本次招标活动的采购单位。</w:t>
      </w:r>
    </w:p>
    <w:p w14:paraId="3563BBF5">
      <w:pPr>
        <w:snapToGrid w:val="0"/>
        <w:spacing w:before="60" w:after="60"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2.2 “采购代理机构</w:t>
      </w:r>
      <w:r>
        <w:rPr>
          <w:rFonts w:hint="default" w:ascii="Times New Roman" w:hAnsi="Times New Roman" w:eastAsia="宋体" w:cs="Times New Roman"/>
          <w:color w:val="auto"/>
          <w:sz w:val="24"/>
          <w:szCs w:val="24"/>
          <w:highlight w:val="none"/>
        </w:rPr>
        <w:t>”指组织本次招标活动的集中采购代理机构或其他采购代理机构。</w:t>
      </w:r>
    </w:p>
    <w:p w14:paraId="4E2E7C2C">
      <w:pPr>
        <w:snapToGrid w:val="0"/>
        <w:spacing w:before="60" w:after="60"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2.3 “投标人</w:t>
      </w:r>
      <w:r>
        <w:rPr>
          <w:rFonts w:hint="default" w:ascii="Times New Roman" w:hAnsi="Times New Roman" w:eastAsia="宋体" w:cs="Times New Roman"/>
          <w:color w:val="auto"/>
          <w:sz w:val="24"/>
          <w:szCs w:val="24"/>
          <w:highlight w:val="none"/>
        </w:rPr>
        <w:t>”指符合本招标文件规定并向采购代理机构提交投标文件的供应商。</w:t>
      </w:r>
    </w:p>
    <w:p w14:paraId="685E797A">
      <w:pPr>
        <w:snapToGrid w:val="0"/>
        <w:spacing w:before="60" w:after="60"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2.4 “货物</w:t>
      </w:r>
      <w:r>
        <w:rPr>
          <w:rFonts w:hint="default" w:ascii="Times New Roman" w:hAnsi="Times New Roman" w:eastAsia="宋体" w:cs="Times New Roman"/>
          <w:color w:val="auto"/>
          <w:sz w:val="24"/>
          <w:szCs w:val="24"/>
          <w:highlight w:val="none"/>
        </w:rPr>
        <w:t>”指供应商按招标文件的规定，须向采购人提供的各种形态和种类的物品及其他有关技术资料和材料。</w:t>
      </w:r>
    </w:p>
    <w:p w14:paraId="0B6720D4">
      <w:pPr>
        <w:snapToGrid w:val="0"/>
        <w:spacing w:before="60" w:after="60"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2.5 “服务</w:t>
      </w:r>
      <w:r>
        <w:rPr>
          <w:rFonts w:hint="default" w:ascii="Times New Roman" w:hAnsi="Times New Roman" w:eastAsia="宋体" w:cs="Times New Roman"/>
          <w:color w:val="auto"/>
          <w:sz w:val="24"/>
          <w:szCs w:val="24"/>
          <w:highlight w:val="none"/>
        </w:rPr>
        <w:t>”指招标文件所表述的投标人须向采购人提供的服务和应当履行的承诺和义务。</w:t>
      </w:r>
    </w:p>
    <w:p w14:paraId="17746B3C">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 xml:space="preserve"> “电子印章”指可通过政采云电子投标客户端正确读取印章信息的电子印章（电子印章包含法人电子印章、法定代表人电子印章、自然人电子印章）。</w:t>
      </w:r>
    </w:p>
    <w:p w14:paraId="0EFD6DD0">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2.7本招标文件各部分规定的期间以时、日、月、年计算。期间开始的时和日，不计算在期间内。</w:t>
      </w:r>
    </w:p>
    <w:p w14:paraId="7184F73D">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Times New Roman" w:cs="Times New Roman"/>
          <w:color w:val="auto"/>
          <w:kern w:val="0"/>
          <w:sz w:val="24"/>
          <w:szCs w:val="24"/>
          <w:highlight w:val="none"/>
        </w:rPr>
        <w:t>本文件所称的“以上”、“以下”、“内”、“以内”，包含本数；所称的“不足”，不包含本数。</w:t>
      </w:r>
    </w:p>
    <w:p w14:paraId="4588218F">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Times New Roman" w:cs="Times New Roman"/>
          <w:color w:val="auto"/>
          <w:sz w:val="24"/>
          <w:szCs w:val="24"/>
          <w:highlight w:val="none"/>
        </w:rPr>
        <w:t>本须知中单独对货物或服务所描述的要求，只针对涉及采购货物或服务。</w:t>
      </w:r>
    </w:p>
    <w:p w14:paraId="127C3CC6">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三、合格投标人的条件</w:t>
      </w:r>
    </w:p>
    <w:p w14:paraId="433438E5">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3.1 满足《中华人民共和国政府采购法》第二十二条规定。</w:t>
      </w:r>
    </w:p>
    <w:p w14:paraId="45776F2D">
      <w:pPr>
        <w:snapToGrid w:val="0"/>
        <w:spacing w:before="60" w:after="60" w:line="480" w:lineRule="exact"/>
        <w:ind w:firstLine="480" w:firstLineChars="200"/>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3.2 落实政府采购政策需满足的资格要求：</w:t>
      </w:r>
      <w:r>
        <w:rPr>
          <w:rFonts w:hint="default" w:ascii="Times New Roman" w:hAnsi="Times New Roman" w:eastAsia="宋体" w:cs="Times New Roman"/>
          <w:color w:val="auto"/>
          <w:kern w:val="0"/>
          <w:sz w:val="24"/>
          <w:szCs w:val="24"/>
          <w:highlight w:val="none"/>
        </w:rPr>
        <w:t>详见</w:t>
      </w:r>
      <w:r>
        <w:rPr>
          <w:rFonts w:hint="default" w:ascii="Times New Roman" w:hAnsi="Times New Roman" w:eastAsia="Times New Roman" w:cs="Times New Roman"/>
          <w:color w:val="auto"/>
          <w:kern w:val="0"/>
          <w:sz w:val="24"/>
          <w:szCs w:val="24"/>
          <w:highlight w:val="none"/>
        </w:rPr>
        <w:t>“第二部分 投标人须知前附表”</w:t>
      </w:r>
      <w:r>
        <w:rPr>
          <w:rFonts w:hint="default" w:ascii="Times New Roman" w:hAnsi="Times New Roman" w:eastAsia="宋体" w:cs="Times New Roman"/>
          <w:color w:val="auto"/>
          <w:kern w:val="0"/>
          <w:sz w:val="24"/>
          <w:szCs w:val="24"/>
          <w:highlight w:val="none"/>
        </w:rPr>
        <w:t>的规定</w:t>
      </w:r>
      <w:r>
        <w:rPr>
          <w:rFonts w:hint="default" w:ascii="Times New Roman" w:hAnsi="Times New Roman" w:eastAsia="Times New Roman" w:cs="Times New Roman"/>
          <w:color w:val="auto"/>
          <w:kern w:val="0"/>
          <w:sz w:val="24"/>
          <w:szCs w:val="24"/>
          <w:highlight w:val="none"/>
        </w:rPr>
        <w:t>。</w:t>
      </w:r>
    </w:p>
    <w:p w14:paraId="11F0DDDA">
      <w:pPr>
        <w:snapToGrid w:val="0"/>
        <w:spacing w:before="60" w:after="60" w:line="480" w:lineRule="exact"/>
        <w:ind w:firstLine="480" w:firstLineChars="200"/>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3.3 本项目的特定资格要求：详见“第二部分 投标人须知前附表”的规定。</w:t>
      </w:r>
    </w:p>
    <w:p w14:paraId="607BB921">
      <w:pPr>
        <w:snapToGrid w:val="0"/>
        <w:spacing w:before="60" w:after="60" w:line="480" w:lineRule="exact"/>
        <w:ind w:firstLine="480" w:firstLineChars="200"/>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57A0507">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3.5 分支机构参与本项目投标时，须以法人名义参加，产生的民事责任由法人承担，也可以先以该分支机构管理的财产承担，不足以承担的，由法人承担。</w:t>
      </w:r>
    </w:p>
    <w:p w14:paraId="16CEE135">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3.6 投标人未被列入失信被执行人、</w:t>
      </w:r>
      <w:r>
        <w:rPr>
          <w:rFonts w:hint="eastAsia" w:ascii="Times New Roman" w:hAnsi="Times New Roman" w:eastAsia="Times New Roman" w:cs="Times New Roman"/>
          <w:color w:val="auto"/>
          <w:sz w:val="24"/>
          <w:szCs w:val="24"/>
          <w:highlight w:val="none"/>
          <w:lang w:eastAsia="zh-CN"/>
        </w:rPr>
        <w:t>重大税收违法失信主体</w:t>
      </w:r>
      <w:r>
        <w:rPr>
          <w:rFonts w:hint="eastAsia" w:ascii="Times New Roman" w:hAnsi="Times New Roman" w:eastAsia="Times New Roman" w:cs="Times New Roman"/>
          <w:color w:val="auto"/>
          <w:sz w:val="24"/>
          <w:szCs w:val="24"/>
          <w:highlight w:val="none"/>
          <w:lang w:val="en-US" w:eastAsia="zh-CN"/>
        </w:rPr>
        <w:t>名单</w:t>
      </w:r>
      <w:r>
        <w:rPr>
          <w:rFonts w:hint="default" w:ascii="Times New Roman" w:hAnsi="Times New Roman" w:eastAsia="Times New Roman" w:cs="Times New Roman"/>
          <w:color w:val="auto"/>
          <w:sz w:val="24"/>
          <w:szCs w:val="24"/>
          <w:highlight w:val="none"/>
        </w:rPr>
        <w:t>、政府采购严重违法失信行为记录名单。投标人的信用信息查询渠道为信用中国（http://www.creditchina.gov.cn）和中国政府采购网（http://www.ccgp.gov.cn）,采购代理机构开标后查询信用中国网的失信被执行人、</w:t>
      </w:r>
      <w:r>
        <w:rPr>
          <w:rFonts w:hint="eastAsia" w:ascii="Times New Roman" w:hAnsi="Times New Roman" w:eastAsia="Times New Roman" w:cs="Times New Roman"/>
          <w:color w:val="auto"/>
          <w:sz w:val="24"/>
          <w:szCs w:val="24"/>
          <w:highlight w:val="none"/>
          <w:lang w:eastAsia="zh-CN"/>
        </w:rPr>
        <w:t>重大税收违法失信主体</w:t>
      </w:r>
      <w:r>
        <w:rPr>
          <w:rFonts w:hint="eastAsia" w:ascii="Times New Roman" w:hAnsi="Times New Roman" w:eastAsia="Times New Roman" w:cs="Times New Roman"/>
          <w:color w:val="auto"/>
          <w:sz w:val="24"/>
          <w:szCs w:val="24"/>
          <w:highlight w:val="none"/>
          <w:lang w:val="en-US" w:eastAsia="zh-CN"/>
        </w:rPr>
        <w:t>名单</w:t>
      </w:r>
      <w:r>
        <w:rPr>
          <w:rFonts w:hint="default" w:ascii="Times New Roman" w:hAnsi="Times New Roman" w:eastAsia="Times New Roman" w:cs="Times New Roman"/>
          <w:color w:val="auto"/>
          <w:sz w:val="24"/>
          <w:szCs w:val="24"/>
          <w:highlight w:val="none"/>
        </w:rPr>
        <w:t>和中国政府采购网上的政府采购严重违法失信行为信息记录情况；</w:t>
      </w:r>
      <w:r>
        <w:rPr>
          <w:rFonts w:hint="default" w:ascii="Times New Roman" w:hAnsi="Times New Roman" w:eastAsia="Times New Roman" w:cs="Times New Roman"/>
          <w:color w:val="auto"/>
          <w:sz w:val="24"/>
          <w:szCs w:val="24"/>
          <w:highlight w:val="none"/>
          <w:lang w:val="en-US" w:eastAsia="zh-CN"/>
        </w:rPr>
        <w:t>以上</w:t>
      </w:r>
      <w:r>
        <w:rPr>
          <w:rFonts w:hint="default" w:ascii="Times New Roman" w:hAnsi="Times New Roman" w:eastAsia="Times New Roman" w:cs="Times New Roman"/>
          <w:color w:val="auto"/>
          <w:sz w:val="24"/>
          <w:szCs w:val="24"/>
          <w:highlight w:val="none"/>
        </w:rPr>
        <w:t>查询结果有不良记录的，将被否决投标。</w:t>
      </w:r>
    </w:p>
    <w:p w14:paraId="19A26B19">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3.7 本次招标是否允许联合体投标，详见“第二部分 投标人须知前附表”的规定。</w:t>
      </w:r>
    </w:p>
    <w:p w14:paraId="06F36472">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3.7.1 如允许联合体投标，联合体各方均应当符合</w:t>
      </w:r>
      <w:r>
        <w:rPr>
          <w:rFonts w:hint="default" w:ascii="Times New Roman" w:hAnsi="Times New Roman" w:eastAsia="宋体" w:cs="Times New Roman"/>
          <w:color w:val="auto"/>
          <w:sz w:val="24"/>
          <w:szCs w:val="24"/>
          <w:highlight w:val="none"/>
          <w:lang w:eastAsia="zh-CN"/>
        </w:rPr>
        <w:t>《中华人民共和国政府采购法》</w:t>
      </w:r>
      <w:r>
        <w:rPr>
          <w:rFonts w:hint="default" w:ascii="Times New Roman" w:hAnsi="Times New Roman" w:eastAsia="Times New Roman" w:cs="Times New Roman"/>
          <w:color w:val="auto"/>
          <w:sz w:val="24"/>
          <w:szCs w:val="24"/>
          <w:highlight w:val="none"/>
        </w:rPr>
        <w:t>第二十二条规定的条件，联合体各方均应按照本部分3.3条的要求提供相关材料。</w:t>
      </w:r>
    </w:p>
    <w:p w14:paraId="42610C08">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3.7.2 本项目的特殊要求规定投标人</w:t>
      </w:r>
      <w:r>
        <w:rPr>
          <w:rFonts w:hint="default" w:ascii="Times New Roman" w:hAnsi="Times New Roman" w:eastAsia="宋体" w:cs="Times New Roman"/>
          <w:color w:val="auto"/>
          <w:sz w:val="24"/>
          <w:szCs w:val="24"/>
          <w:highlight w:val="none"/>
          <w:lang w:eastAsia="zh-CN"/>
        </w:rPr>
        <w:t>特定资格要求</w:t>
      </w:r>
      <w:r>
        <w:rPr>
          <w:rFonts w:hint="default" w:ascii="Times New Roman" w:hAnsi="Times New Roman" w:eastAsia="Times New Roman" w:cs="Times New Roman"/>
          <w:color w:val="auto"/>
          <w:sz w:val="24"/>
          <w:szCs w:val="24"/>
          <w:highlight w:val="none"/>
        </w:rPr>
        <w:t>的，联合体各方的同类资质按照资质等级较低的确定联合体资质等级。联合体各方不得再单独参加或者与其他供应商另外组成联合体参加本项目同一包的投标。</w:t>
      </w:r>
    </w:p>
    <w:p w14:paraId="2017659A">
      <w:pPr>
        <w:snapToGrid w:val="0"/>
        <w:spacing w:before="60" w:after="60"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3.7.3 联合体各方之间应当签订联合投标协议，明确约定联合体各方承担的工作和相应的责任，并将联合投标协议连同</w:t>
      </w:r>
      <w:r>
        <w:rPr>
          <w:rFonts w:hint="default" w:ascii="Times New Roman" w:hAnsi="Times New Roman" w:eastAsia="宋体" w:cs="Times New Roman"/>
          <w:color w:val="auto"/>
          <w:sz w:val="24"/>
          <w:szCs w:val="24"/>
          <w:highlight w:val="none"/>
        </w:rPr>
        <w:t>投标文件一并提交，联合投标协议格式见本招标文件“第七部分”。</w:t>
      </w:r>
    </w:p>
    <w:p w14:paraId="3CA17E7E">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四、投标费用</w:t>
      </w:r>
    </w:p>
    <w:p w14:paraId="1A7E6E6F">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4.1不论投标的结果如何，投标人应承担所有与准备和参加投标有关的费用，采购代理机构（或采购人)在任何情况下均无义务和责任承担这些费用。</w:t>
      </w:r>
    </w:p>
    <w:p w14:paraId="7F5F56D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五、招标文件的构成</w:t>
      </w:r>
    </w:p>
    <w:p w14:paraId="07925623">
      <w:pPr>
        <w:snapToGrid w:val="0"/>
        <w:spacing w:before="60" w:after="60" w:line="48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5.1招标文件由下列</w:t>
      </w:r>
      <w:r>
        <w:rPr>
          <w:rFonts w:hint="default" w:ascii="Times New Roman" w:hAnsi="Times New Roman" w:eastAsia="宋体" w:cs="Times New Roman"/>
          <w:b/>
          <w:bCs/>
          <w:color w:val="auto"/>
          <w:kern w:val="0"/>
          <w:sz w:val="24"/>
          <w:szCs w:val="24"/>
          <w:highlight w:val="none"/>
        </w:rPr>
        <w:t>七部分</w:t>
      </w:r>
      <w:r>
        <w:rPr>
          <w:rFonts w:hint="default" w:ascii="Times New Roman" w:hAnsi="Times New Roman" w:eastAsia="宋体" w:cs="Times New Roman"/>
          <w:color w:val="auto"/>
          <w:kern w:val="0"/>
          <w:sz w:val="24"/>
          <w:szCs w:val="24"/>
          <w:highlight w:val="none"/>
        </w:rPr>
        <w:t>内容组成：</w:t>
      </w:r>
    </w:p>
    <w:p w14:paraId="13FF37D6">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第一部分 招标公告；</w:t>
      </w:r>
    </w:p>
    <w:p w14:paraId="410DCC48">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第二部分 投标人须知前附表；</w:t>
      </w:r>
    </w:p>
    <w:p w14:paraId="4962C132">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第三部分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w:t>
      </w:r>
    </w:p>
    <w:p w14:paraId="6C9A693D">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第四部分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评标标准和评分办法；</w:t>
      </w:r>
    </w:p>
    <w:p w14:paraId="7AC42D56">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第五部分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采购需求；</w:t>
      </w:r>
    </w:p>
    <w:p w14:paraId="530C36E6">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第六部分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合同格式（参考）；</w:t>
      </w:r>
    </w:p>
    <w:p w14:paraId="16A2FCBC">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第七部分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投标文件格式。</w:t>
      </w:r>
    </w:p>
    <w:p w14:paraId="05C67059">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5.2 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28D0B4B7">
      <w:pPr>
        <w:snapToGrid w:val="0"/>
        <w:spacing w:before="60" w:after="60" w:line="480" w:lineRule="exact"/>
        <w:ind w:firstLine="475" w:firstLineChars="198"/>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5.3 除非特殊要求，招标文件不提供项目使用地的自然环境、气候条件、公用设施情况。</w:t>
      </w:r>
    </w:p>
    <w:p w14:paraId="69B194AA">
      <w:pPr>
        <w:snapToGrid w:val="0"/>
        <w:spacing w:before="60" w:after="60" w:line="480" w:lineRule="exact"/>
        <w:ind w:firstLine="475" w:firstLineChars="198"/>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5.4 招标文件未作须知明示，而又有法律、法规规定的，将依据法律法规的规定解释。</w:t>
      </w:r>
    </w:p>
    <w:p w14:paraId="5CA122D6">
      <w:pPr>
        <w:snapToGrid w:val="0"/>
        <w:spacing w:before="60" w:after="60" w:line="480" w:lineRule="exact"/>
        <w:ind w:firstLine="475" w:firstLineChars="198"/>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5.5 对与本项目有关的通知，采购代理机构将以在本次招标公告刊登的媒体上发布公告的形式送达所有已登记并领取了招标文件的潜在投标人，联系方式以潜在投标人的</w:t>
      </w:r>
      <w:r>
        <w:rPr>
          <w:rFonts w:hint="default" w:ascii="Times New Roman" w:hAnsi="Times New Roman" w:eastAsia="宋体" w:cs="Times New Roman"/>
          <w:color w:val="auto"/>
          <w:sz w:val="24"/>
          <w:szCs w:val="24"/>
          <w:highlight w:val="none"/>
          <w:lang w:val="en-US" w:eastAsia="zh-CN"/>
        </w:rPr>
        <w:t>政采云平台</w:t>
      </w:r>
      <w:r>
        <w:rPr>
          <w:rFonts w:hint="default" w:ascii="Times New Roman" w:hAnsi="Times New Roman" w:eastAsia="Times New Roman" w:cs="Times New Roman"/>
          <w:color w:val="auto"/>
          <w:sz w:val="24"/>
          <w:szCs w:val="24"/>
          <w:highlight w:val="none"/>
        </w:rPr>
        <w:t>登记</w:t>
      </w:r>
      <w:r>
        <w:rPr>
          <w:rFonts w:hint="default" w:ascii="Times New Roman" w:hAnsi="Times New Roman" w:eastAsia="宋体" w:cs="Times New Roman"/>
          <w:color w:val="auto"/>
          <w:sz w:val="24"/>
          <w:szCs w:val="24"/>
          <w:highlight w:val="none"/>
          <w:lang w:val="en-US" w:eastAsia="zh-CN"/>
        </w:rPr>
        <w:t>信息</w:t>
      </w:r>
      <w:r>
        <w:rPr>
          <w:rFonts w:hint="default" w:ascii="Times New Roman" w:hAnsi="Times New Roman" w:eastAsia="Times New Roman" w:cs="Times New Roman"/>
          <w:color w:val="auto"/>
          <w:sz w:val="24"/>
          <w:szCs w:val="24"/>
          <w:highlight w:val="none"/>
        </w:rPr>
        <w:t>为准。投标人及潜在投标人可登录山西政府采购平台更正公告中查看本项目是否发布更正公告</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kern w:val="0"/>
          <w:sz w:val="24"/>
          <w:szCs w:val="24"/>
          <w:highlight w:val="none"/>
          <w:lang w:val="en-US" w:eastAsia="zh-CN"/>
        </w:rPr>
        <w:t>因供应商自身原因导致</w:t>
      </w:r>
      <w:r>
        <w:rPr>
          <w:rFonts w:hint="default" w:ascii="Times New Roman" w:hAnsi="Times New Roman" w:cs="Times New Roman"/>
          <w:color w:val="auto"/>
          <w:kern w:val="0"/>
          <w:sz w:val="24"/>
          <w:szCs w:val="24"/>
          <w:highlight w:val="none"/>
        </w:rPr>
        <w:t>通知延迟送达或无法送达</w:t>
      </w:r>
      <w:r>
        <w:rPr>
          <w:rFonts w:hint="default" w:ascii="Times New Roman" w:hAnsi="Times New Roman" w:eastAsia="Times New Roman" w:cs="Times New Roman"/>
          <w:color w:val="auto"/>
          <w:sz w:val="24"/>
          <w:szCs w:val="24"/>
          <w:highlight w:val="none"/>
        </w:rPr>
        <w:t>，采购代理机构不承担责任。</w:t>
      </w:r>
    </w:p>
    <w:p w14:paraId="2CC246DB">
      <w:pPr>
        <w:snapToGrid w:val="0"/>
        <w:spacing w:before="60" w:after="60" w:line="480" w:lineRule="exact"/>
        <w:ind w:firstLine="475" w:firstLineChars="198"/>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5.6 投标人应注意采购人在技术规格中指出的工艺、材料和设备的参照品牌型号（如有）仅起说明作用，没有任何倾向性或限制性，也不会以其作为评审依据或标准。</w:t>
      </w:r>
    </w:p>
    <w:p w14:paraId="3425149A">
      <w:pPr>
        <w:snapToGrid w:val="0"/>
        <w:spacing w:before="60" w:after="60" w:line="480" w:lineRule="exact"/>
        <w:ind w:firstLine="475" w:firstLineChars="198"/>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5.7 无论招标文件中是否要求，投标人所投货物</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服务</w:t>
      </w:r>
      <w:r>
        <w:rPr>
          <w:rFonts w:hint="default" w:ascii="Times New Roman" w:hAnsi="Times New Roman" w:eastAsia="宋体" w:cs="Times New Roman"/>
          <w:color w:val="auto"/>
          <w:sz w:val="24"/>
          <w:szCs w:val="24"/>
          <w:highlight w:val="none"/>
          <w:lang w:val="en-US" w:eastAsia="zh-CN"/>
        </w:rPr>
        <w:t>或</w:t>
      </w:r>
      <w:r>
        <w:rPr>
          <w:rFonts w:hint="default" w:ascii="Times New Roman" w:hAnsi="Times New Roman" w:eastAsia="Times New Roman" w:cs="Times New Roman"/>
          <w:color w:val="auto"/>
          <w:sz w:val="24"/>
          <w:szCs w:val="24"/>
          <w:highlight w:val="none"/>
        </w:rPr>
        <w:t>工程均应符合国家强制性标准。</w:t>
      </w:r>
    </w:p>
    <w:p w14:paraId="20547BBA">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六、招标文件的澄清和修改</w:t>
      </w:r>
    </w:p>
    <w:p w14:paraId="60E3912A">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可以对已发出的招标文件进行必要的澄清或者修改，澄清或者修改在原公告发布媒体上发布</w:t>
      </w:r>
      <w:r>
        <w:rPr>
          <w:rFonts w:hint="default" w:ascii="Times New Roman" w:hAnsi="Times New Roman" w:eastAsia="宋体" w:cs="Times New Roman"/>
          <w:color w:val="auto"/>
          <w:kern w:val="0"/>
          <w:sz w:val="24"/>
          <w:szCs w:val="24"/>
          <w:highlight w:val="none"/>
          <w:lang w:val="en-US" w:eastAsia="zh-CN"/>
        </w:rPr>
        <w:t>变更</w:t>
      </w:r>
      <w:r>
        <w:rPr>
          <w:rFonts w:hint="default" w:ascii="Times New Roman" w:hAnsi="Times New Roman" w:eastAsia="Times New Roman" w:cs="Times New Roman"/>
          <w:color w:val="auto"/>
          <w:kern w:val="0"/>
          <w:sz w:val="24"/>
          <w:szCs w:val="24"/>
          <w:highlight w:val="none"/>
        </w:rPr>
        <w:t>公告。澄清或者修改的内容为招标文件的组成部分，对所有投标人均具有约束作用。</w:t>
      </w:r>
    </w:p>
    <w:p w14:paraId="469F26A1">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.2澄清或者修改的内容可能影响投标文件编制的，</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在投标截止时间至少15日前，在本项目原招标公告刊登的媒体上以发布公告的形式通知所有获取招标文件的潜在投标人；不足15日的，顺延提交投标文件的截止时间。</w:t>
      </w:r>
    </w:p>
    <w:p w14:paraId="36B2DD5A">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投标人澄清要求的提交：任何已登记并领取了招标文件的潜在投标人，均可要求对招标文件进行澄清，</w:t>
      </w:r>
      <w:r>
        <w:rPr>
          <w:rFonts w:hint="default" w:ascii="Times New Roman" w:hAnsi="Times New Roman" w:eastAsia="宋体" w:cs="Times New Roman"/>
          <w:color w:val="auto"/>
          <w:kern w:val="0"/>
          <w:sz w:val="24"/>
          <w:szCs w:val="24"/>
          <w:highlight w:val="none"/>
          <w:lang w:val="en-US" w:eastAsia="zh-CN"/>
        </w:rPr>
        <w:t>在山西政府采购平台线上提交给</w:t>
      </w:r>
      <w:r>
        <w:rPr>
          <w:rFonts w:hint="default" w:ascii="Times New Roman" w:hAnsi="Times New Roman" w:eastAsia="Times New Roman" w:cs="Times New Roman"/>
          <w:color w:val="auto"/>
          <w:kern w:val="0"/>
          <w:sz w:val="24"/>
          <w:szCs w:val="24"/>
          <w:highlight w:val="none"/>
        </w:rPr>
        <w:t>采购代理机构。</w:t>
      </w:r>
    </w:p>
    <w:p w14:paraId="309FF518">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Times New Roman" w:cs="Times New Roman"/>
          <w:color w:val="auto"/>
          <w:kern w:val="0"/>
          <w:sz w:val="24"/>
          <w:szCs w:val="24"/>
          <w:highlight w:val="none"/>
        </w:rPr>
        <w:t xml:space="preserve"> 采购人或采购代理机构将视情况确定是否有必要安排所有已登记备案并领取了招标文件的潜在投标人踏勘现场，而无论采购代理机构（或采购人)是否安排踏勘现场，投标人均应当将相关的因素作为投标所应当考虑或依据的因素。</w:t>
      </w:r>
    </w:p>
    <w:p w14:paraId="1CD40225">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 xml:space="preserve"> 采购人或采购代理机构将视情况确定是否有必要召开标前会或现场考察。如果召开标前会或现场考察，采购人或采购代理机构将向所有已登记备案并领取了招标文件的潜在投标人发出通知。</w:t>
      </w:r>
    </w:p>
    <w:p w14:paraId="5205BD01">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6.6</w:t>
      </w:r>
      <w:r>
        <w:rPr>
          <w:rFonts w:hint="default" w:ascii="Times New Roman" w:hAnsi="Times New Roman" w:eastAsia="Times New Roman" w:cs="Times New Roman"/>
          <w:color w:val="auto"/>
          <w:kern w:val="0"/>
          <w:sz w:val="24"/>
          <w:szCs w:val="24"/>
          <w:highlight w:val="none"/>
        </w:rPr>
        <w:t>招标文件中有不一致的，有澄清的部分以最终的澄清更正内容为准；未澄清的，以投标须知前附表为准；投标须知前附表不涉及的内容，以编排在后的最后描述为准。</w:t>
      </w:r>
    </w:p>
    <w:p w14:paraId="64D6CAE1">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七、投标文件的语言和计量单位</w:t>
      </w:r>
    </w:p>
    <w:p w14:paraId="6B5A0110">
      <w:pPr>
        <w:snapToGrid w:val="0"/>
        <w:spacing w:before="60" w:after="60" w:line="48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7.1 投标人提交的</w:t>
      </w:r>
      <w:r>
        <w:rPr>
          <w:rFonts w:hint="default" w:ascii="Times New Roman" w:hAnsi="Times New Roman" w:eastAsia="宋体" w:cs="Times New Roman"/>
          <w:color w:val="auto"/>
          <w:kern w:val="0"/>
          <w:sz w:val="24"/>
          <w:szCs w:val="24"/>
          <w:highlight w:val="none"/>
        </w:rPr>
        <w:t>投标文件（包括技术文件和资料、图纸中的说明）以及投标人与采购代理机构（或采购人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就有关投标的所有来往函电均应使用中文简体字。</w:t>
      </w:r>
    </w:p>
    <w:p w14:paraId="437CA19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7.2 </w:t>
      </w:r>
      <w:r>
        <w:rPr>
          <w:rFonts w:hint="default" w:ascii="Times New Roman" w:hAnsi="Times New Roman" w:eastAsia="宋体" w:cs="Times New Roman"/>
          <w:color w:val="auto"/>
          <w:kern w:val="0"/>
          <w:sz w:val="24"/>
          <w:szCs w:val="24"/>
          <w:highlight w:val="none"/>
        </w:rPr>
        <w:t>投标人所使用的计量单位，须使用国家法定计量单位。</w:t>
      </w:r>
    </w:p>
    <w:p w14:paraId="656B753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7.3 原版为外文的证书类文件，以及由外国人做出的本人签名、外国公司的名称或外国印章等可以是外文，</w:t>
      </w:r>
      <w:r>
        <w:rPr>
          <w:rFonts w:hint="default" w:ascii="Times New Roman" w:hAnsi="Times New Roman" w:eastAsia="宋体" w:cs="Times New Roman"/>
          <w:color w:val="auto"/>
          <w:kern w:val="0"/>
          <w:sz w:val="24"/>
          <w:szCs w:val="24"/>
          <w:highlight w:val="none"/>
        </w:rPr>
        <w:t>但应当提供中文翻译文件。</w:t>
      </w:r>
    </w:p>
    <w:p w14:paraId="2685F41D">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八、投标文件的组成及相关要求</w:t>
      </w:r>
    </w:p>
    <w:p w14:paraId="5796A698">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 xml:space="preserve">8.1  </w:t>
      </w:r>
      <w:r>
        <w:rPr>
          <w:rFonts w:hint="default" w:ascii="Times New Roman" w:hAnsi="Times New Roman" w:eastAsia="宋体" w:cs="Times New Roman"/>
          <w:b/>
          <w:bCs/>
          <w:color w:val="auto"/>
          <w:kern w:val="0"/>
          <w:sz w:val="24"/>
          <w:szCs w:val="24"/>
          <w:highlight w:val="none"/>
        </w:rPr>
        <w:t>投标文件的组成：</w:t>
      </w:r>
    </w:p>
    <w:p w14:paraId="2D8B160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投标文件分为资格证明部分、商务技术部分两部分。装订成册，投标文件份数要求详见“第二部分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投标人须知前附表”的规定。</w:t>
      </w:r>
    </w:p>
    <w:p w14:paraId="41D7563D">
      <w:pPr>
        <w:snapToGrid w:val="0"/>
        <w:spacing w:before="60" w:after="60" w:line="460" w:lineRule="exact"/>
        <w:ind w:firstLine="600" w:firstLineChars="249"/>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u w:val="single"/>
        </w:rPr>
        <w:t>资格证明部分</w:t>
      </w:r>
      <w:r>
        <w:rPr>
          <w:rFonts w:hint="default" w:ascii="Times New Roman" w:hAnsi="Times New Roman" w:eastAsia="宋体" w:cs="Times New Roman"/>
          <w:color w:val="auto"/>
          <w:kern w:val="0"/>
          <w:sz w:val="24"/>
          <w:szCs w:val="24"/>
          <w:highlight w:val="none"/>
        </w:rPr>
        <w:t>指投标人提交的证明其有资格参加投标的文件；资格证明文件组成内容详见“第二部分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投标人须知前附表”的规定。</w:t>
      </w:r>
    </w:p>
    <w:p w14:paraId="12C3683B">
      <w:pPr>
        <w:snapToGrid w:val="0"/>
        <w:spacing w:before="60" w:after="60" w:line="460" w:lineRule="exact"/>
        <w:ind w:firstLine="600" w:firstLineChars="249"/>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u w:val="single"/>
        </w:rPr>
        <w:t>商务技术部分</w:t>
      </w:r>
      <w:r>
        <w:rPr>
          <w:rFonts w:hint="default" w:ascii="Times New Roman" w:hAnsi="Times New Roman" w:eastAsia="宋体" w:cs="Times New Roman"/>
          <w:color w:val="auto"/>
          <w:kern w:val="0"/>
          <w:sz w:val="24"/>
          <w:szCs w:val="24"/>
          <w:highlight w:val="none"/>
        </w:rPr>
        <w:t>指投标人提交的证明投标人提供的货物及服务符合招标文件规定的</w:t>
      </w:r>
      <w:r>
        <w:rPr>
          <w:rFonts w:hint="default" w:ascii="Times New Roman" w:hAnsi="Times New Roman" w:eastAsia="宋体" w:cs="Times New Roman"/>
          <w:color w:val="auto"/>
          <w:kern w:val="0"/>
          <w:sz w:val="24"/>
          <w:szCs w:val="24"/>
          <w:highlight w:val="none"/>
          <w:lang w:val="en-US" w:eastAsia="zh-CN"/>
        </w:rPr>
        <w:t>文件</w:t>
      </w:r>
      <w:r>
        <w:rPr>
          <w:rFonts w:hint="default" w:ascii="Times New Roman" w:hAnsi="Times New Roman" w:eastAsia="宋体" w:cs="Times New Roman"/>
          <w:color w:val="auto"/>
          <w:kern w:val="0"/>
          <w:sz w:val="24"/>
          <w:szCs w:val="24"/>
          <w:highlight w:val="none"/>
        </w:rPr>
        <w:t>且中标后有能力履行合同的文件；商务技术部分文件组成内容详见“第二部分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投标人须知前附表”的规定。</w:t>
      </w:r>
    </w:p>
    <w:p w14:paraId="1EDEC3CB">
      <w:pPr>
        <w:snapToGrid w:val="0"/>
        <w:spacing w:before="60" w:after="60" w:line="460" w:lineRule="exact"/>
        <w:ind w:firstLine="600" w:firstLineChars="2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本次招标，投标人应按本招标文件要求提交资格证明、商务技术部分的内容，投标人为了体现自身优势可另提供有关资料。（具体填写要求及部分格式参考招标文件</w:t>
      </w:r>
      <w:r>
        <w:rPr>
          <w:rFonts w:hint="default" w:ascii="Times New Roman" w:hAnsi="Times New Roman" w:eastAsia="宋体" w:cs="Times New Roman"/>
          <w:b/>
          <w:bCs/>
          <w:color w:val="auto"/>
          <w:kern w:val="0"/>
          <w:sz w:val="24"/>
          <w:szCs w:val="24"/>
          <w:highlight w:val="none"/>
        </w:rPr>
        <w:t>第七部分</w:t>
      </w:r>
      <w:r>
        <w:rPr>
          <w:rFonts w:hint="default" w:ascii="Times New Roman" w:hAnsi="Times New Roman" w:eastAsia="宋体" w:cs="Times New Roman"/>
          <w:color w:val="auto"/>
          <w:kern w:val="0"/>
          <w:sz w:val="24"/>
          <w:szCs w:val="24"/>
          <w:highlight w:val="none"/>
        </w:rPr>
        <w:t>）。</w:t>
      </w:r>
    </w:p>
    <w:p w14:paraId="177EB55B">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 xml:space="preserve">8.2 </w:t>
      </w:r>
      <w:r>
        <w:rPr>
          <w:rFonts w:hint="default" w:ascii="Times New Roman" w:hAnsi="Times New Roman" w:eastAsia="宋体" w:cs="Times New Roman"/>
          <w:b/>
          <w:bCs/>
          <w:color w:val="auto"/>
          <w:kern w:val="0"/>
          <w:sz w:val="24"/>
          <w:szCs w:val="24"/>
          <w:highlight w:val="none"/>
        </w:rPr>
        <w:t>投标文件编制、递交要求：</w:t>
      </w:r>
    </w:p>
    <w:p w14:paraId="6938336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纸质投标文件规格幅面（</w:t>
      </w:r>
      <w:r>
        <w:rPr>
          <w:rFonts w:hint="default" w:ascii="Times New Roman" w:hAnsi="Times New Roman" w:eastAsia="Calibri" w:cs="Times New Roman"/>
          <w:color w:val="auto"/>
          <w:kern w:val="0"/>
          <w:sz w:val="24"/>
          <w:szCs w:val="24"/>
          <w:highlight w:val="none"/>
        </w:rPr>
        <w:t>A4</w:t>
      </w:r>
      <w:r>
        <w:rPr>
          <w:rFonts w:hint="default" w:ascii="Times New Roman" w:hAnsi="Times New Roman" w:eastAsia="宋体" w:cs="Times New Roman"/>
          <w:color w:val="auto"/>
          <w:kern w:val="0"/>
          <w:sz w:val="24"/>
          <w:szCs w:val="24"/>
          <w:highlight w:val="none"/>
        </w:rPr>
        <w:t>），正文使用宋体小四号字，按照招标文件所规定的内容，</w:t>
      </w:r>
      <w:r>
        <w:rPr>
          <w:rFonts w:hint="default" w:ascii="Times New Roman" w:hAnsi="Times New Roman" w:eastAsia="宋体" w:cs="Times New Roman"/>
          <w:b/>
          <w:bCs/>
          <w:color w:val="auto"/>
          <w:kern w:val="0"/>
          <w:sz w:val="24"/>
          <w:szCs w:val="24"/>
          <w:highlight w:val="none"/>
        </w:rPr>
        <w:t>双面打印、编目录、编页码装订</w:t>
      </w:r>
      <w:r>
        <w:rPr>
          <w:rFonts w:hint="default" w:ascii="Times New Roman" w:hAnsi="Times New Roman" w:eastAsia="宋体" w:cs="Times New Roman"/>
          <w:color w:val="auto"/>
          <w:kern w:val="0"/>
          <w:sz w:val="24"/>
          <w:szCs w:val="24"/>
          <w:highlight w:val="none"/>
        </w:rPr>
        <w:t>（投标人中复印件及彩色宣传资料等均须与投标人正文一起逐页编排页码）。由于编排混乱导致投标文件被误读或查找不到，其责任应当由投标人承担。装订必须采用胶订形式，不得采用活页装订。</w:t>
      </w:r>
    </w:p>
    <w:p w14:paraId="4B1A143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电子投标文件的编制要求见“第二部分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投标人须知前附表”规定。</w:t>
      </w:r>
    </w:p>
    <w:p w14:paraId="514841E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纸质和电子投标文件须在</w:t>
      </w:r>
      <w:r>
        <w:rPr>
          <w:rFonts w:hint="default" w:ascii="Times New Roman" w:hAnsi="Times New Roman" w:eastAsia="宋体" w:cs="Times New Roman"/>
          <w:color w:val="auto"/>
          <w:kern w:val="0"/>
          <w:sz w:val="24"/>
          <w:szCs w:val="24"/>
          <w:highlight w:val="none"/>
          <w:lang w:val="en-US" w:eastAsia="zh-CN"/>
        </w:rPr>
        <w:t>招标文件规定的时间</w:t>
      </w:r>
      <w:r>
        <w:rPr>
          <w:rFonts w:hint="default" w:ascii="Times New Roman" w:hAnsi="Times New Roman" w:eastAsia="宋体" w:cs="Times New Roman"/>
          <w:color w:val="auto"/>
          <w:kern w:val="0"/>
          <w:sz w:val="24"/>
          <w:szCs w:val="24"/>
          <w:highlight w:val="none"/>
        </w:rPr>
        <w:t>完成递交。逾期递交的投标文件为无效投标。</w:t>
      </w:r>
    </w:p>
    <w:p w14:paraId="3C019AF0">
      <w:pPr>
        <w:snapToGrid w:val="0"/>
        <w:spacing w:before="60" w:after="60" w:line="460" w:lineRule="exact"/>
        <w:ind w:firstLine="480" w:firstLineChars="200"/>
        <w:jc w:val="left"/>
        <w:rPr>
          <w:rFonts w:hint="default" w:ascii="Times New Roman" w:hAnsi="Times New Roman" w:eastAsia="Times New Roman"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8.3 投标保证金</w:t>
      </w:r>
    </w:p>
    <w:p w14:paraId="320C9403">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（1）投标保证金：投标人须在开标前提交投标保证金，各包保证金</w:t>
      </w:r>
      <w:r>
        <w:rPr>
          <w:rFonts w:hint="default" w:ascii="Times New Roman" w:hAnsi="Times New Roman" w:eastAsia="宋体" w:cs="Times New Roman"/>
          <w:color w:val="auto"/>
          <w:kern w:val="0"/>
          <w:sz w:val="24"/>
          <w:szCs w:val="24"/>
          <w:highlight w:val="none"/>
          <w:lang w:val="en-US" w:eastAsia="zh-CN"/>
        </w:rPr>
        <w:t>金</w:t>
      </w:r>
      <w:r>
        <w:rPr>
          <w:rFonts w:hint="default" w:ascii="Times New Roman" w:hAnsi="Times New Roman" w:eastAsia="宋体" w:cs="Times New Roman"/>
          <w:color w:val="auto"/>
          <w:kern w:val="0"/>
          <w:sz w:val="24"/>
          <w:szCs w:val="24"/>
          <w:highlight w:val="none"/>
        </w:rPr>
        <w:t>额详见投标人须知前附表。</w:t>
      </w:r>
    </w:p>
    <w:p w14:paraId="2E60B667">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（2）投标保证金是为了保护采购人免遭因投标人的行为而蒙受的损失。采购代理机构在采购人因投标人的行为受到损害时可根据有关规定没收投标人的投标保证金。</w:t>
      </w:r>
    </w:p>
    <w:p w14:paraId="61092DF6">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（3）不允许他人代缴、个人账户汇款、现金形式缴纳保证金。 </w:t>
      </w:r>
    </w:p>
    <w:p w14:paraId="6FA70451">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）供应商可自主选择以银行转账、支票、汇票、本票或者金融机构、担保机构出具的保函等非现金形式提交保证金</w:t>
      </w:r>
      <w:r>
        <w:rPr>
          <w:rFonts w:hint="default" w:ascii="Times New Roman" w:hAnsi="Times New Roman" w:eastAsia="宋体" w:cs="Times New Roman"/>
          <w:color w:val="auto"/>
          <w:kern w:val="0"/>
          <w:sz w:val="24"/>
          <w:szCs w:val="24"/>
          <w:highlight w:val="none"/>
          <w:lang w:val="en-US" w:eastAsia="zh-CN"/>
        </w:rPr>
        <w:t>。</w:t>
      </w:r>
    </w:p>
    <w:p w14:paraId="16D0D5B2">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①</w:t>
      </w:r>
      <w:r>
        <w:rPr>
          <w:rFonts w:hint="default" w:ascii="Times New Roman" w:hAnsi="Times New Roman" w:eastAsia="宋体" w:cs="Times New Roman"/>
          <w:color w:val="auto"/>
          <w:kern w:val="0"/>
          <w:sz w:val="24"/>
          <w:szCs w:val="24"/>
          <w:highlight w:val="none"/>
          <w:lang w:val="en-US" w:eastAsia="zh-CN"/>
        </w:rPr>
        <w:t>采用银行转账方式的，需提交保证金缴纳回单或回执扫描件；（保证金是否缴纳成功，以采购代理机构财务部门出具的最终入账信息为准）</w:t>
      </w:r>
    </w:p>
    <w:p w14:paraId="7A10CE39">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②</w:t>
      </w:r>
      <w:r>
        <w:rPr>
          <w:rFonts w:hint="default" w:ascii="Times New Roman" w:hAnsi="Times New Roman" w:eastAsia="宋体" w:cs="Times New Roman"/>
          <w:color w:val="auto"/>
          <w:kern w:val="0"/>
          <w:sz w:val="24"/>
          <w:szCs w:val="24"/>
          <w:highlight w:val="none"/>
          <w:lang w:val="en-US" w:eastAsia="zh-CN"/>
        </w:rPr>
        <w:t>采用电子保函形式的，需提供“政采云”系统电子保函缴纳成功回执截图；</w:t>
      </w:r>
    </w:p>
    <w:p w14:paraId="085A5BAB">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③采用支票、汇票、本票、纸质保函形式的，需提交</w:t>
      </w:r>
      <w:r>
        <w:rPr>
          <w:rFonts w:hint="eastAsia" w:ascii="Times New Roman" w:hAnsi="Times New Roman" w:eastAsia="宋体" w:cs="Times New Roman"/>
          <w:color w:val="auto"/>
          <w:kern w:val="0"/>
          <w:sz w:val="24"/>
          <w:szCs w:val="24"/>
          <w:highlight w:val="none"/>
          <w:lang w:val="en-US" w:eastAsia="zh-CN"/>
        </w:rPr>
        <w:t>加盖采购代理机构公章</w:t>
      </w:r>
      <w:r>
        <w:rPr>
          <w:rFonts w:hint="default" w:ascii="Times New Roman" w:hAnsi="Times New Roman" w:eastAsia="宋体" w:cs="Times New Roman"/>
          <w:color w:val="auto"/>
          <w:kern w:val="0"/>
          <w:sz w:val="24"/>
          <w:szCs w:val="24"/>
          <w:highlight w:val="none"/>
          <w:lang w:val="en-US" w:eastAsia="zh-CN"/>
        </w:rPr>
        <w:t>的回执单扫描件。</w:t>
      </w:r>
    </w:p>
    <w:p w14:paraId="2ACD51E6">
      <w:pPr>
        <w:snapToGrid w:val="0"/>
        <w:spacing w:before="60" w:after="60" w:line="460" w:lineRule="exact"/>
        <w:ind w:firstLine="360" w:firstLineChars="150"/>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）投标截止时间之前投标保证金未缴纳</w:t>
      </w:r>
      <w:r>
        <w:rPr>
          <w:rFonts w:hint="default" w:ascii="Times New Roman" w:hAnsi="Times New Roman" w:eastAsia="宋体" w:cs="Times New Roman"/>
          <w:color w:val="auto"/>
          <w:sz w:val="24"/>
          <w:szCs w:val="24"/>
          <w:highlight w:val="none"/>
        </w:rPr>
        <w:t>或缴纳不符合招标文件要求的投标，</w:t>
      </w:r>
      <w:r>
        <w:rPr>
          <w:rFonts w:hint="default" w:ascii="Times New Roman" w:hAnsi="Times New Roman" w:eastAsia="宋体" w:cs="Times New Roman"/>
          <w:b/>
          <w:bCs/>
          <w:color w:val="auto"/>
          <w:kern w:val="0"/>
          <w:sz w:val="24"/>
          <w:szCs w:val="24"/>
          <w:highlight w:val="none"/>
        </w:rPr>
        <w:t>将被视为无效投标。</w:t>
      </w:r>
    </w:p>
    <w:p w14:paraId="3097DE66">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（6）未</w:t>
      </w:r>
      <w:r>
        <w:rPr>
          <w:rFonts w:hint="default" w:ascii="Times New Roman" w:hAnsi="Times New Roman" w:eastAsia="宋体" w:cs="Times New Roman"/>
          <w:color w:val="auto"/>
          <w:kern w:val="0"/>
          <w:sz w:val="24"/>
          <w:szCs w:val="24"/>
          <w:highlight w:val="none"/>
          <w:lang w:val="en-US" w:eastAsia="zh-CN"/>
        </w:rPr>
        <w:t>中标</w:t>
      </w:r>
      <w:r>
        <w:rPr>
          <w:rFonts w:hint="default" w:ascii="Times New Roman" w:hAnsi="Times New Roman" w:eastAsia="宋体" w:cs="Times New Roman"/>
          <w:color w:val="auto"/>
          <w:kern w:val="0"/>
          <w:sz w:val="24"/>
          <w:szCs w:val="24"/>
          <w:highlight w:val="none"/>
        </w:rPr>
        <w:t>供应商的保证金自</w:t>
      </w:r>
      <w:r>
        <w:rPr>
          <w:rFonts w:hint="default" w:ascii="Times New Roman" w:hAnsi="Times New Roman" w:eastAsia="宋体" w:cs="Times New Roman"/>
          <w:color w:val="auto"/>
          <w:kern w:val="0"/>
          <w:sz w:val="24"/>
          <w:szCs w:val="24"/>
          <w:highlight w:val="none"/>
          <w:lang w:val="en-US" w:eastAsia="zh-CN"/>
        </w:rPr>
        <w:t>中标</w:t>
      </w:r>
      <w:r>
        <w:rPr>
          <w:rFonts w:hint="default" w:ascii="Times New Roman" w:hAnsi="Times New Roman" w:eastAsia="宋体" w:cs="Times New Roman"/>
          <w:color w:val="auto"/>
          <w:kern w:val="0"/>
          <w:sz w:val="24"/>
          <w:szCs w:val="24"/>
          <w:highlight w:val="none"/>
        </w:rPr>
        <w:t>通知书发出之日起5个工作日内退还。</w:t>
      </w:r>
    </w:p>
    <w:p w14:paraId="56EAC9F9">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（7）</w:t>
      </w:r>
      <w:r>
        <w:rPr>
          <w:rFonts w:hint="default" w:ascii="Times New Roman" w:hAnsi="Times New Roman" w:eastAsia="宋体" w:cs="Times New Roman"/>
          <w:color w:val="auto"/>
          <w:kern w:val="0"/>
          <w:sz w:val="24"/>
          <w:szCs w:val="24"/>
          <w:highlight w:val="none"/>
          <w:lang w:val="en-US" w:eastAsia="zh-CN"/>
        </w:rPr>
        <w:t>自政府采购合同签订之日起5个工作日内</w:t>
      </w:r>
      <w:r>
        <w:rPr>
          <w:rFonts w:hint="default" w:ascii="Times New Roman" w:hAnsi="Times New Roman" w:eastAsia="宋体" w:cs="Times New Roman"/>
          <w:color w:val="auto"/>
          <w:kern w:val="0"/>
          <w:sz w:val="24"/>
          <w:szCs w:val="24"/>
          <w:highlight w:val="none"/>
        </w:rPr>
        <w:t>退还</w:t>
      </w:r>
      <w:r>
        <w:rPr>
          <w:rFonts w:hint="default" w:ascii="Times New Roman" w:hAnsi="Times New Roman" w:eastAsia="宋体" w:cs="Times New Roman"/>
          <w:color w:val="auto"/>
          <w:kern w:val="0"/>
          <w:sz w:val="24"/>
          <w:szCs w:val="24"/>
          <w:highlight w:val="none"/>
          <w:lang w:val="en-US" w:eastAsia="zh-CN"/>
        </w:rPr>
        <w:t>中标</w:t>
      </w:r>
      <w:r>
        <w:rPr>
          <w:rFonts w:hint="default" w:ascii="Times New Roman" w:hAnsi="Times New Roman" w:eastAsia="宋体" w:cs="Times New Roman"/>
          <w:color w:val="auto"/>
          <w:kern w:val="0"/>
          <w:sz w:val="24"/>
          <w:szCs w:val="24"/>
          <w:highlight w:val="none"/>
        </w:rPr>
        <w:t>供应商的保证金。</w:t>
      </w:r>
    </w:p>
    <w:p w14:paraId="2FCB5FDC">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退还方式</w:t>
      </w:r>
    </w:p>
    <w:p w14:paraId="697BB215">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（一）银行转账形式：</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lang w:val="en-US" w:eastAsia="zh-CN"/>
        </w:rPr>
        <w:t>原路退还项目投标保证金</w:t>
      </w:r>
    </w:p>
    <w:p w14:paraId="31157D97">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（二）电子保函形式：</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lang w:val="en-US" w:eastAsia="zh-CN"/>
        </w:rPr>
        <w:t>原路退还电子保函</w:t>
      </w:r>
    </w:p>
    <w:p w14:paraId="02E66530">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（三）支票、汇票、本票、纸质保函形式：需投标人持回执单当面至</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lang w:val="en-US" w:eastAsia="zh-CN"/>
        </w:rPr>
        <w:t>财务部门领取票据/保函，并在领取时在回执单存根联签字确认。</w:t>
      </w:r>
    </w:p>
    <w:p w14:paraId="1B827564">
      <w:pPr>
        <w:snapToGrid w:val="0"/>
        <w:spacing w:before="60" w:after="60" w:line="460" w:lineRule="exact"/>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有下列情形之一的，</w:t>
      </w:r>
      <w:r>
        <w:rPr>
          <w:rFonts w:hint="default" w:ascii="Times New Roman" w:hAnsi="Times New Roman" w:eastAsia="宋体" w:cs="Times New Roman"/>
          <w:color w:val="auto"/>
          <w:kern w:val="0"/>
          <w:sz w:val="24"/>
          <w:szCs w:val="24"/>
          <w:highlight w:val="none"/>
        </w:rPr>
        <w:t>投标保证金</w:t>
      </w:r>
      <w:r>
        <w:rPr>
          <w:rFonts w:hint="default" w:ascii="Times New Roman" w:hAnsi="Times New Roman" w:eastAsia="宋体" w:cs="Times New Roman"/>
          <w:color w:val="auto"/>
          <w:sz w:val="24"/>
          <w:szCs w:val="24"/>
          <w:highlight w:val="none"/>
        </w:rPr>
        <w:t>不予退还：</w:t>
      </w:r>
      <w:r>
        <w:rPr>
          <w:rFonts w:hint="default" w:ascii="Times New Roman" w:hAnsi="Times New Roman" w:eastAsia="Calibri" w:cs="Times New Roman"/>
          <w:color w:val="auto"/>
          <w:sz w:val="24"/>
          <w:szCs w:val="24"/>
          <w:highlight w:val="none"/>
        </w:rPr>
        <w:t>(a)</w:t>
      </w:r>
      <w:r>
        <w:rPr>
          <w:rFonts w:hint="default" w:ascii="Times New Roman" w:hAnsi="Times New Roman" w:eastAsia="宋体" w:cs="Times New Roman"/>
          <w:color w:val="auto"/>
          <w:sz w:val="24"/>
          <w:szCs w:val="24"/>
          <w:highlight w:val="none"/>
        </w:rPr>
        <w:t>投标人在提交投标文件截止时间后</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投标有效期内</w:t>
      </w:r>
      <w:r>
        <w:rPr>
          <w:rFonts w:hint="default" w:ascii="Times New Roman" w:hAnsi="Times New Roman" w:eastAsia="宋体" w:cs="Times New Roman"/>
          <w:color w:val="auto"/>
          <w:sz w:val="24"/>
          <w:szCs w:val="24"/>
          <w:highlight w:val="none"/>
        </w:rPr>
        <w:t>撤销投标</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w:t>
      </w:r>
      <w:r>
        <w:rPr>
          <w:rFonts w:hint="default" w:ascii="Times New Roman" w:hAnsi="Times New Roman" w:eastAsia="Calibri" w:cs="Times New Roman"/>
          <w:color w:val="auto"/>
          <w:sz w:val="24"/>
          <w:szCs w:val="24"/>
          <w:highlight w:val="none"/>
        </w:rPr>
        <w:t>(b)</w:t>
      </w:r>
      <w:r>
        <w:rPr>
          <w:rFonts w:hint="default" w:ascii="Times New Roman" w:hAnsi="Times New Roman" w:eastAsia="宋体" w:cs="Times New Roman"/>
          <w:color w:val="auto"/>
          <w:sz w:val="24"/>
          <w:szCs w:val="24"/>
          <w:highlight w:val="none"/>
        </w:rPr>
        <w:t>投标人在投标文件中提供虚假材料的；</w:t>
      </w:r>
      <w:r>
        <w:rPr>
          <w:rFonts w:hint="default" w:ascii="Times New Roman" w:hAnsi="Times New Roman" w:eastAsia="Calibri" w:cs="Times New Roman"/>
          <w:color w:val="auto"/>
          <w:sz w:val="24"/>
          <w:szCs w:val="24"/>
          <w:highlight w:val="none"/>
        </w:rPr>
        <w:t>(c)</w:t>
      </w:r>
      <w:r>
        <w:rPr>
          <w:rFonts w:hint="default" w:ascii="Times New Roman" w:hAnsi="Times New Roman" w:eastAsia="宋体" w:cs="Times New Roman"/>
          <w:color w:val="auto"/>
          <w:sz w:val="24"/>
          <w:szCs w:val="24"/>
          <w:highlight w:val="none"/>
        </w:rPr>
        <w:t>除因不可抗力或招标文件认可的情形以外，中标人不与采购人签订合同的；</w:t>
      </w:r>
      <w:r>
        <w:rPr>
          <w:rFonts w:hint="default" w:ascii="Times New Roman" w:hAnsi="Times New Roman" w:eastAsia="Calibri" w:cs="Times New Roman"/>
          <w:color w:val="auto"/>
          <w:sz w:val="24"/>
          <w:szCs w:val="24"/>
          <w:highlight w:val="none"/>
        </w:rPr>
        <w:t>(d)</w:t>
      </w:r>
      <w:r>
        <w:rPr>
          <w:rFonts w:hint="default" w:ascii="Times New Roman" w:hAnsi="Times New Roman" w:eastAsia="宋体" w:cs="Times New Roman"/>
          <w:color w:val="auto"/>
          <w:sz w:val="24"/>
          <w:szCs w:val="24"/>
          <w:highlight w:val="none"/>
        </w:rPr>
        <w:t>中标人与采购人、其他投标人</w:t>
      </w:r>
      <w:r>
        <w:rPr>
          <w:rFonts w:hint="default" w:ascii="Times New Roman" w:hAnsi="Times New Roman" w:eastAsia="宋体" w:cs="Times New Roman"/>
          <w:color w:val="auto"/>
          <w:sz w:val="24"/>
          <w:szCs w:val="24"/>
          <w:highlight w:val="none"/>
          <w:lang w:val="en-US" w:eastAsia="zh-CN"/>
        </w:rPr>
        <w:t>或采购代理机构</w:t>
      </w:r>
      <w:r>
        <w:rPr>
          <w:rFonts w:hint="default" w:ascii="Times New Roman" w:hAnsi="Times New Roman" w:eastAsia="宋体" w:cs="Times New Roman"/>
          <w:color w:val="auto"/>
          <w:sz w:val="24"/>
          <w:szCs w:val="24"/>
          <w:highlight w:val="none"/>
        </w:rPr>
        <w:t>恶意串通的；</w:t>
      </w:r>
      <w:r>
        <w:rPr>
          <w:rFonts w:hint="default" w:ascii="Times New Roman" w:hAnsi="Times New Roman" w:eastAsia="Calibri" w:cs="Times New Roman"/>
          <w:color w:val="auto"/>
          <w:sz w:val="24"/>
          <w:szCs w:val="24"/>
          <w:highlight w:val="none"/>
        </w:rPr>
        <w:t>(e)</w:t>
      </w:r>
      <w:r>
        <w:rPr>
          <w:rFonts w:hint="default" w:ascii="Times New Roman" w:hAnsi="Times New Roman" w:eastAsia="宋体" w:cs="Times New Roman"/>
          <w:color w:val="auto"/>
          <w:sz w:val="24"/>
          <w:szCs w:val="24"/>
          <w:highlight w:val="none"/>
        </w:rPr>
        <w:t>招标文件规定的其他情形。</w:t>
      </w:r>
    </w:p>
    <w:p w14:paraId="708FBF35">
      <w:pPr>
        <w:snapToGrid w:val="0"/>
        <w:spacing w:before="60" w:after="60" w:line="460" w:lineRule="exact"/>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采购人因重大变故取消采购任务的，采购代理机构在财政部门指定的政府采购信息发布媒体上发布终止公告，对已经交纳投标保证金的，采购代理机构在终止公告发布后</w:t>
      </w:r>
      <w:r>
        <w:rPr>
          <w:rFonts w:hint="default" w:ascii="Times New Roman" w:hAnsi="Times New Roman" w:eastAsia="Calibri" w:cs="Times New Roman"/>
          <w:color w:val="auto"/>
          <w:sz w:val="24"/>
          <w:szCs w:val="24"/>
          <w:highlight w:val="none"/>
        </w:rPr>
        <w:t>5</w:t>
      </w:r>
      <w:r>
        <w:rPr>
          <w:rFonts w:hint="default" w:ascii="Times New Roman" w:hAnsi="Times New Roman" w:eastAsia="宋体" w:cs="Times New Roman"/>
          <w:color w:val="auto"/>
          <w:sz w:val="24"/>
          <w:szCs w:val="24"/>
          <w:highlight w:val="none"/>
        </w:rPr>
        <w:t>个工作日内予以退还。</w:t>
      </w:r>
    </w:p>
    <w:p w14:paraId="28F8BA40">
      <w:pPr>
        <w:snapToGrid w:val="0"/>
        <w:spacing w:before="60" w:after="60" w:line="460" w:lineRule="exact"/>
        <w:ind w:firstLine="480" w:firstLineChars="200"/>
        <w:jc w:val="left"/>
        <w:rPr>
          <w:rFonts w:hint="default" w:ascii="Times New Roman" w:hAnsi="Times New Roman" w:eastAsia="Times New Roman"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8.4 投标报价</w:t>
      </w:r>
    </w:p>
    <w:p w14:paraId="22DC0E5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投标人自行承担。</w:t>
      </w:r>
    </w:p>
    <w:p w14:paraId="20E90F6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）投标人投报多包的，应对每包分别报价并分别填报开标一览表。</w:t>
      </w:r>
    </w:p>
    <w:p w14:paraId="6CE14DE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）本次招标</w:t>
      </w:r>
      <w:r>
        <w:rPr>
          <w:rFonts w:hint="default" w:ascii="Times New Roman" w:hAnsi="Times New Roman" w:eastAsia="宋体" w:cs="Times New Roman"/>
          <w:b/>
          <w:bCs/>
          <w:color w:val="auto"/>
          <w:kern w:val="0"/>
          <w:sz w:val="24"/>
          <w:szCs w:val="24"/>
          <w:highlight w:val="none"/>
        </w:rPr>
        <w:t>不接受</w:t>
      </w:r>
      <w:r>
        <w:rPr>
          <w:rFonts w:hint="default" w:ascii="Times New Roman" w:hAnsi="Times New Roman" w:eastAsia="宋体" w:cs="Times New Roman"/>
          <w:color w:val="auto"/>
          <w:kern w:val="0"/>
          <w:sz w:val="24"/>
          <w:szCs w:val="24"/>
          <w:highlight w:val="none"/>
        </w:rPr>
        <w:t>可选择或可调整的投标和报价。</w:t>
      </w:r>
      <w:r>
        <w:rPr>
          <w:rFonts w:hint="default" w:ascii="Times New Roman" w:hAnsi="Times New Roman" w:eastAsia="Times New Roman" w:cs="Times New Roman"/>
          <w:color w:val="auto"/>
          <w:kern w:val="0"/>
          <w:sz w:val="24"/>
          <w:szCs w:val="24"/>
          <w:highlight w:val="none"/>
        </w:rPr>
        <w:t>任何包含价格调整要求的投标，其投标将被认定为投标无效。</w:t>
      </w:r>
    </w:p>
    <w:p w14:paraId="74A348B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）投标人要按投标货物数量、价格表的内容填写货物单价（包括货物报价、装箱、包装、包装物料、送货和保险费用）、总价及其他事项。</w:t>
      </w:r>
    </w:p>
    <w:p w14:paraId="0A010C3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5</w:t>
      </w:r>
      <w:r>
        <w:rPr>
          <w:rFonts w:hint="default" w:ascii="Times New Roman" w:hAnsi="Times New Roman" w:eastAsia="宋体" w:cs="Times New Roman"/>
          <w:color w:val="auto"/>
          <w:kern w:val="0"/>
          <w:sz w:val="24"/>
          <w:szCs w:val="24"/>
          <w:highlight w:val="none"/>
        </w:rPr>
        <w:t>）投标人对投标报价若有说明应在开标一览表显著处注明，只有开标时唱出的报价优惠承诺才会在评标时予以考虑。</w:t>
      </w:r>
    </w:p>
    <w:p w14:paraId="108DD38C">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rPr>
        <w:t>）投标的报价优惠承诺应对应开标一览表、投标货物数量价格表等提供相应的明细清单。除报价优惠承诺外，任何超出招标文件要求而额外赠送的软硬件设备、免费培训等其他形式的优惠，在评标时将不作为价格折算的必备条件。</w:t>
      </w:r>
    </w:p>
    <w:p w14:paraId="4ECFD51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7</w:t>
      </w:r>
      <w:r>
        <w:rPr>
          <w:rFonts w:hint="default" w:ascii="Times New Roman" w:hAnsi="Times New Roman" w:eastAsia="宋体" w:cs="Times New Roman"/>
          <w:color w:val="auto"/>
          <w:kern w:val="0"/>
          <w:sz w:val="24"/>
          <w:szCs w:val="24"/>
          <w:highlight w:val="none"/>
        </w:rPr>
        <w:t>）对于有配件、耗材、选件、备件和特殊工具的货物，投标人可以视情况填报投标货物配件、耗材、选件、备件及特殊工具清单，注明品牌、型号、产地、功能、单价、批量折扣等内容，该表格式由投标人自行设计。</w:t>
      </w:r>
    </w:p>
    <w:p w14:paraId="3F3A4174">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8</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b/>
          <w:bCs/>
          <w:color w:val="auto"/>
          <w:kern w:val="0"/>
          <w:sz w:val="24"/>
          <w:szCs w:val="24"/>
          <w:highlight w:val="none"/>
        </w:rPr>
        <w:t>采用综合评分法的，最低报价不能作为中标的保证。</w:t>
      </w:r>
    </w:p>
    <w:p w14:paraId="0B3203B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rPr>
        <w:t>）投标报价可以在保证质量的前提下合理低价，但低于成本价格的投标文件将被视为无效。</w:t>
      </w:r>
    </w:p>
    <w:p w14:paraId="1BD8056B">
      <w:pPr>
        <w:snapToGrid w:val="0"/>
        <w:spacing w:before="60" w:after="60" w:line="460" w:lineRule="exact"/>
        <w:ind w:firstLine="482" w:firstLineChars="200"/>
        <w:jc w:val="left"/>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（10）异常低价的处理</w:t>
      </w:r>
    </w:p>
    <w:p w14:paraId="0BA55B0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政府采购评审中出现下列情形之一的，评审委员会应当启动异常低价投标（响应）审查程序：</w:t>
      </w:r>
    </w:p>
    <w:p w14:paraId="5A9A65A4">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F0139B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6FCA520">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3）投标（响应）报价低于采购项目最高限价45%的，即投标（响应）报价&lt;采购项目最高限价×45%；</w:t>
      </w:r>
    </w:p>
    <w:p w14:paraId="6167A1F9">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4）评审委员会基于专业判断，认为供应商报价过低，有可能影响产品质量或者不能诚信履约的其他情形。</w:t>
      </w:r>
    </w:p>
    <w:p w14:paraId="7023B359">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5）相关法律法规对供应商报价有规定的，从其规定。</w:t>
      </w:r>
    </w:p>
    <w:p w14:paraId="0539AEC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11）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07EB99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82285E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E1F374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5FCCB15">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Times New Roman"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 xml:space="preserve">8.5政府采购相关政策要求 </w:t>
      </w:r>
    </w:p>
    <w:p w14:paraId="23474BF6">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sz w:val="24"/>
          <w:szCs w:val="24"/>
          <w:highlight w:val="none"/>
          <w:lang w:val="en-US" w:eastAsia="zh-CN"/>
        </w:rPr>
        <w:t>详见招标文件“第二部分 投标人须知前附表”的规定</w:t>
      </w:r>
      <w:r>
        <w:rPr>
          <w:rFonts w:hint="default" w:ascii="Times New Roman" w:hAnsi="Times New Roman" w:eastAsia="宋体" w:cs="Times New Roman"/>
          <w:color w:val="auto"/>
          <w:sz w:val="24"/>
          <w:szCs w:val="24"/>
          <w:highlight w:val="none"/>
          <w:lang w:val="en-US" w:eastAsia="zh-CN"/>
        </w:rPr>
        <w:t>。</w:t>
      </w:r>
    </w:p>
    <w:p w14:paraId="36DB2331">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九、投标内容填写说明</w:t>
      </w:r>
    </w:p>
    <w:p w14:paraId="482BB4F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9.1 投标人应详细阅读招标文件的全部内容，按招标文件的要求提供</w:t>
      </w:r>
      <w:r>
        <w:rPr>
          <w:rFonts w:hint="default" w:ascii="Times New Roman" w:hAnsi="Times New Roman" w:eastAsia="宋体" w:cs="Times New Roman"/>
          <w:color w:val="auto"/>
          <w:kern w:val="0"/>
          <w:sz w:val="24"/>
          <w:szCs w:val="24"/>
          <w:highlight w:val="none"/>
        </w:rPr>
        <w:t>投标文件，并保证所提供的全部资料的真实性，以使投标对招标文件中的内容做出实质性和完整性的响应，否则，投标人须自行承担由此引起的风险和责任。</w:t>
      </w:r>
    </w:p>
    <w:p w14:paraId="1A7C97A0">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9.2 </w:t>
      </w:r>
      <w:r>
        <w:rPr>
          <w:rFonts w:hint="default" w:ascii="Times New Roman" w:hAnsi="Times New Roman" w:eastAsia="宋体" w:cs="Times New Roman"/>
          <w:color w:val="auto"/>
          <w:kern w:val="0"/>
          <w:sz w:val="24"/>
          <w:szCs w:val="24"/>
          <w:highlight w:val="none"/>
        </w:rPr>
        <w:t>投标人应按照招标文件</w:t>
      </w:r>
      <w:r>
        <w:rPr>
          <w:rFonts w:hint="default" w:ascii="Times New Roman" w:hAnsi="Times New Roman" w:eastAsia="宋体" w:cs="Times New Roman"/>
          <w:b/>
          <w:bCs/>
          <w:color w:val="auto"/>
          <w:kern w:val="0"/>
          <w:sz w:val="24"/>
          <w:szCs w:val="24"/>
          <w:highlight w:val="none"/>
        </w:rPr>
        <w:t>第七部分</w:t>
      </w:r>
      <w:r>
        <w:rPr>
          <w:rFonts w:hint="default" w:ascii="Times New Roman" w:hAnsi="Times New Roman" w:eastAsia="宋体" w:cs="Times New Roman"/>
          <w:color w:val="auto"/>
          <w:kern w:val="0"/>
          <w:sz w:val="24"/>
          <w:szCs w:val="24"/>
          <w:highlight w:val="none"/>
        </w:rPr>
        <w:t>的要求提交，并按规定的统一格式逐项填写，不准有空项；投标人可对表格格式及内容做适当调整，但不得有实质性变更。无相应内容可填的项应填写“无”、“未测试”、“没有相应指标”等明确的回答文字。</w:t>
      </w:r>
      <w:r>
        <w:rPr>
          <w:rFonts w:hint="default" w:ascii="Times New Roman" w:hAnsi="Times New Roman" w:eastAsia="Calibri" w:cs="Times New Roman"/>
          <w:color w:val="auto"/>
          <w:kern w:val="0"/>
          <w:sz w:val="24"/>
          <w:szCs w:val="24"/>
          <w:highlight w:val="none"/>
        </w:rPr>
        <w:t xml:space="preserve">   </w:t>
      </w:r>
    </w:p>
    <w:p w14:paraId="744CFEB0">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9.3 开标一览表为在开标仪式上唱标的内容，要求按格式统一填写，不得自行增减内容。</w:t>
      </w:r>
    </w:p>
    <w:p w14:paraId="72EEB13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9.4 投标人必须保证</w:t>
      </w:r>
      <w:r>
        <w:rPr>
          <w:rFonts w:hint="default" w:ascii="Times New Roman" w:hAnsi="Times New Roman" w:eastAsia="宋体" w:cs="Times New Roman"/>
          <w:color w:val="auto"/>
          <w:kern w:val="0"/>
          <w:sz w:val="24"/>
          <w:szCs w:val="24"/>
          <w:highlight w:val="none"/>
        </w:rPr>
        <w:t>投标文件所提供的全部资料真实可靠，并接受评标委员会对其中任何资料进一步审查的要求。</w:t>
      </w:r>
    </w:p>
    <w:p w14:paraId="2E547FC0">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9.5投标人必须整包进行投标，不得拆包分项投标。</w:t>
      </w:r>
    </w:p>
    <w:p w14:paraId="33EC5F4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任何超出招标文件要求而额外</w:t>
      </w:r>
      <w:r>
        <w:rPr>
          <w:rFonts w:hint="default" w:ascii="Times New Roman" w:hAnsi="Times New Roman" w:eastAsia="宋体" w:cs="Times New Roman"/>
          <w:color w:val="auto"/>
          <w:kern w:val="0"/>
          <w:sz w:val="24"/>
          <w:szCs w:val="24"/>
          <w:highlight w:val="none"/>
        </w:rPr>
        <w:t>配置的货物、服务等其他形式的优惠，在评标时将不作为价格折算的必备条件。</w:t>
      </w:r>
    </w:p>
    <w:p w14:paraId="3251A9DE">
      <w:pPr>
        <w:snapToGrid w:val="0"/>
        <w:spacing w:before="60" w:after="60" w:line="460" w:lineRule="exact"/>
        <w:ind w:firstLine="480" w:firstLineChars="200"/>
        <w:jc w:val="left"/>
        <w:rPr>
          <w:rFonts w:hint="default" w:ascii="Times New Roman" w:hAnsi="Times New Roman" w:eastAsia="宋体" w:cs="Times New Roman"/>
          <w:color w:val="auto"/>
          <w:sz w:val="20"/>
          <w:szCs w:val="20"/>
          <w:highlight w:val="none"/>
        </w:rPr>
      </w:pPr>
      <w:r>
        <w:rPr>
          <w:rFonts w:hint="default" w:ascii="Times New Roman" w:hAnsi="Times New Roman" w:eastAsia="Times New Roman"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Times New Roman" w:cs="Times New Roman"/>
          <w:color w:val="auto"/>
          <w:kern w:val="0"/>
          <w:sz w:val="24"/>
          <w:szCs w:val="24"/>
          <w:highlight w:val="none"/>
        </w:rPr>
        <w:t>项目实施过程中需要主要辅材的项目，投标人自行设计表格，填写主要辅材清单，注明品牌、型号、产地、单价、数量等内容。</w:t>
      </w:r>
    </w:p>
    <w:p w14:paraId="6D3C9F23">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十、投标文件的有效期</w:t>
      </w:r>
    </w:p>
    <w:p w14:paraId="64FB8D91">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10.1 本项目</w:t>
      </w:r>
      <w:r>
        <w:rPr>
          <w:rFonts w:hint="default" w:ascii="Times New Roman" w:hAnsi="Times New Roman" w:eastAsia="宋体" w:cs="Times New Roman"/>
          <w:color w:val="auto"/>
          <w:kern w:val="0"/>
          <w:sz w:val="24"/>
          <w:szCs w:val="24"/>
          <w:highlight w:val="none"/>
        </w:rPr>
        <w:t>投标文件的有效期为投标截止之日起</w:t>
      </w:r>
      <w:r>
        <w:rPr>
          <w:rFonts w:hint="default" w:ascii="Times New Roman" w:hAnsi="Times New Roman" w:eastAsia="Calibri" w:cs="Times New Roman"/>
          <w:color w:val="auto"/>
          <w:kern w:val="0"/>
          <w:sz w:val="24"/>
          <w:szCs w:val="24"/>
          <w:highlight w:val="none"/>
        </w:rPr>
        <w:t>90</w:t>
      </w:r>
      <w:r>
        <w:rPr>
          <w:rFonts w:hint="default" w:ascii="Times New Roman" w:hAnsi="Times New Roman" w:eastAsia="宋体" w:cs="Times New Roman"/>
          <w:color w:val="auto"/>
          <w:kern w:val="0"/>
          <w:sz w:val="24"/>
          <w:szCs w:val="24"/>
          <w:highlight w:val="none"/>
        </w:rPr>
        <w:t>日历天。</w:t>
      </w:r>
      <w:r>
        <w:rPr>
          <w:rFonts w:hint="default" w:ascii="Times New Roman" w:hAnsi="Times New Roman" w:eastAsia="宋体" w:cs="Times New Roman"/>
          <w:b/>
          <w:bCs/>
          <w:color w:val="auto"/>
          <w:kern w:val="0"/>
          <w:sz w:val="24"/>
          <w:szCs w:val="24"/>
          <w:highlight w:val="none"/>
        </w:rPr>
        <w:t>有效期短于该规定期限的投标将被拒绝。</w:t>
      </w:r>
    </w:p>
    <w:p w14:paraId="165991B4">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10.2 因特殊原因，采购人或采购代理机构可在原投标有效期截止之前，要求投标</w:t>
      </w:r>
      <w:r>
        <w:rPr>
          <w:rFonts w:hint="default" w:ascii="Times New Roman" w:hAnsi="Times New Roman" w:eastAsia="宋体" w:cs="Times New Roman"/>
          <w:color w:val="auto"/>
          <w:kern w:val="0"/>
          <w:sz w:val="24"/>
          <w:szCs w:val="24"/>
          <w:highlight w:val="none"/>
        </w:rPr>
        <w:t>人延长投标文件的有效期。接受该要求的投标人将不会被要求和允许修正其投标。投标人也可以拒绝延长投标有效期的要求，且不承担任何责任。上述要求和答复都应以书面形式提交。</w:t>
      </w:r>
    </w:p>
    <w:p w14:paraId="73438347">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10.3投标有效期内投标人撤销</w:t>
      </w:r>
      <w:r>
        <w:rPr>
          <w:rFonts w:hint="default" w:ascii="Times New Roman" w:hAnsi="Times New Roman" w:eastAsia="宋体" w:cs="Times New Roman"/>
          <w:color w:val="auto"/>
          <w:kern w:val="0"/>
          <w:sz w:val="24"/>
          <w:szCs w:val="24"/>
          <w:highlight w:val="none"/>
        </w:rPr>
        <w:t>投标文件的，采购人或者采购代理机构可以不退还投标保证金。</w:t>
      </w:r>
    </w:p>
    <w:p w14:paraId="143E5A38">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十一、投标文件的签署及规定</w:t>
      </w:r>
    </w:p>
    <w:p w14:paraId="429DDF1F">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11.1 投标人在</w:t>
      </w:r>
      <w:r>
        <w:rPr>
          <w:rFonts w:hint="default" w:ascii="Times New Roman" w:hAnsi="Times New Roman" w:eastAsia="宋体" w:cs="Times New Roman"/>
          <w:color w:val="auto"/>
          <w:kern w:val="0"/>
          <w:sz w:val="24"/>
          <w:szCs w:val="24"/>
          <w:highlight w:val="none"/>
        </w:rPr>
        <w:t>投标文件及相关文件的签订、履行、通知等事项的书面文件中的“单位盖章”、“印章”、“公章”等处均仅指与当事人名称全称相一致的标准公章</w:t>
      </w:r>
      <w:r>
        <w:rPr>
          <w:rFonts w:hint="default" w:ascii="Times New Roman" w:hAnsi="Times New Roman" w:eastAsia="宋体" w:cs="Times New Roman"/>
          <w:b/>
          <w:bCs/>
          <w:color w:val="auto"/>
          <w:kern w:val="0"/>
          <w:sz w:val="24"/>
          <w:szCs w:val="24"/>
          <w:highlight w:val="none"/>
        </w:rPr>
        <w:t>。</w:t>
      </w:r>
    </w:p>
    <w:p w14:paraId="4FE997B4">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11.2 </w:t>
      </w:r>
      <w:r>
        <w:rPr>
          <w:rFonts w:hint="default" w:ascii="Times New Roman" w:hAnsi="Times New Roman" w:eastAsia="宋体" w:cs="Times New Roman"/>
          <w:color w:val="auto"/>
          <w:kern w:val="0"/>
          <w:sz w:val="24"/>
          <w:szCs w:val="24"/>
          <w:highlight w:val="none"/>
        </w:rPr>
        <w:t>投标人应按照招标文件要求签署、盖章。投标文件正本无需逐页小签，纸质版副本允许是正本完整的复印件，与正本具有同等的法律效应。若正本和副本不一致，以正本为准。</w:t>
      </w:r>
    </w:p>
    <w:p w14:paraId="05493F18">
      <w:pPr>
        <w:snapToGrid w:val="0"/>
        <w:spacing w:before="60" w:after="60" w:line="46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kern w:val="0"/>
          <w:sz w:val="24"/>
          <w:szCs w:val="24"/>
          <w:highlight w:val="none"/>
        </w:rPr>
        <w:t xml:space="preserve">11.3 </w:t>
      </w:r>
      <w:r>
        <w:rPr>
          <w:rFonts w:hint="default" w:ascii="Times New Roman" w:hAnsi="Times New Roman" w:eastAsia="宋体" w:cs="Times New Roman"/>
          <w:color w:val="auto"/>
          <w:sz w:val="24"/>
          <w:szCs w:val="24"/>
          <w:highlight w:val="none"/>
        </w:rPr>
        <w:t>投标人须注意：在本次投标文件的偏离表和其它偏离文件中，以审慎的态度明确、清楚地披露各项偏离。若投标人对某一事项是否存在或是否属于偏离不能确定，亦必须在偏离表中清楚地表明该偏离事项，并可以注明‘不能确定’的字样。对于投标人没有在偏离表中明确、清楚地披露的事项，包括可能属于被投标人在偏离表中遗漏的事项，评标委员会有权认定为其属于负偏离。</w:t>
      </w:r>
    </w:p>
    <w:p w14:paraId="67DB9530">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11.4 投标人应按本招标文件所要求的</w:t>
      </w:r>
      <w:r>
        <w:rPr>
          <w:rFonts w:hint="default" w:ascii="Times New Roman" w:hAnsi="Times New Roman" w:eastAsia="宋体" w:cs="Times New Roman"/>
          <w:color w:val="auto"/>
          <w:kern w:val="0"/>
          <w:sz w:val="24"/>
          <w:szCs w:val="24"/>
          <w:highlight w:val="none"/>
        </w:rPr>
        <w:t>投标文件的份数提交投标人。</w:t>
      </w:r>
    </w:p>
    <w:p w14:paraId="19F5A99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）投标人应保证投标文件副本与正本内容一致；</w:t>
      </w:r>
    </w:p>
    <w:p w14:paraId="2E676077">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）投标人对本招标文件第</w:t>
      </w:r>
      <w:r>
        <w:rPr>
          <w:rFonts w:hint="default" w:ascii="Times New Roman" w:hAnsi="Times New Roman" w:eastAsia="宋体" w:cs="Times New Roman"/>
          <w:color w:val="auto"/>
          <w:kern w:val="0"/>
          <w:sz w:val="24"/>
          <w:szCs w:val="24"/>
          <w:highlight w:val="none"/>
          <w:lang w:val="en-US" w:eastAsia="zh-CN"/>
        </w:rPr>
        <w:t>七</w:t>
      </w:r>
      <w:r>
        <w:rPr>
          <w:rFonts w:hint="default" w:ascii="Times New Roman" w:hAnsi="Times New Roman" w:eastAsia="宋体" w:cs="Times New Roman"/>
          <w:color w:val="auto"/>
          <w:kern w:val="0"/>
          <w:sz w:val="24"/>
          <w:szCs w:val="24"/>
          <w:highlight w:val="none"/>
        </w:rPr>
        <w:t>部分“投标文件格式”中提供格式的资料，应按照样表格式要求在指定位置加盖与</w:t>
      </w:r>
      <w:r>
        <w:rPr>
          <w:rFonts w:hint="default" w:ascii="Times New Roman" w:hAnsi="Times New Roman" w:eastAsia="宋体" w:cs="Times New Roman"/>
          <w:b/>
          <w:bCs/>
          <w:color w:val="auto"/>
          <w:kern w:val="0"/>
          <w:sz w:val="24"/>
          <w:szCs w:val="24"/>
          <w:highlight w:val="none"/>
        </w:rPr>
        <w:t>投标人全称相一致的标准公章并经法定代表人或投标人代表签字，投标人仅可对表格格式和内容作细微调整，不允许实质性变更。</w:t>
      </w:r>
    </w:p>
    <w:p w14:paraId="79AA4CB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11.5 </w:t>
      </w:r>
      <w:r>
        <w:rPr>
          <w:rFonts w:hint="default" w:ascii="Times New Roman" w:hAnsi="Times New Roman" w:eastAsia="宋体" w:cs="Times New Roman"/>
          <w:color w:val="auto"/>
          <w:kern w:val="0"/>
          <w:sz w:val="24"/>
          <w:szCs w:val="24"/>
          <w:highlight w:val="none"/>
        </w:rPr>
        <w:t>投标人应字迹清楚、内容齐全、不得涂改或增删。如有修改和增删，必须有投标人公章及法定代表人或其授权的投标人代表签字。</w:t>
      </w:r>
    </w:p>
    <w:p w14:paraId="0827C0D4">
      <w:pPr>
        <w:snapToGrid w:val="0"/>
        <w:spacing w:before="60" w:after="60"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11.6 因</w:t>
      </w:r>
      <w:r>
        <w:rPr>
          <w:rFonts w:hint="default" w:ascii="Times New Roman" w:hAnsi="Times New Roman" w:eastAsia="宋体" w:cs="Times New Roman"/>
          <w:color w:val="auto"/>
          <w:kern w:val="0"/>
          <w:sz w:val="24"/>
          <w:szCs w:val="24"/>
          <w:highlight w:val="none"/>
        </w:rPr>
        <w:t>投标人字迹潦草或表达不清所引起的不利后果由投标人承担。</w:t>
      </w:r>
    </w:p>
    <w:p w14:paraId="6E977621">
      <w:pPr>
        <w:snapToGrid w:val="0"/>
        <w:spacing w:before="60" w:after="60"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sz w:val="24"/>
          <w:szCs w:val="24"/>
          <w:highlight w:val="none"/>
        </w:rPr>
        <w:t>11.7 投标文件未按招标文件要求签署、盖章的，投标无效；</w:t>
      </w:r>
    </w:p>
    <w:p w14:paraId="55DCC8EA">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十二、投标文件的密封及标记</w:t>
      </w:r>
    </w:p>
    <w:p w14:paraId="056BC7FB">
      <w:pPr>
        <w:snapToGrid w:val="0"/>
        <w:spacing w:before="60" w:after="60" w:line="46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kern w:val="0"/>
          <w:sz w:val="24"/>
          <w:szCs w:val="24"/>
          <w:highlight w:val="none"/>
        </w:rPr>
        <w:t>12.1</w:t>
      </w:r>
      <w:r>
        <w:rPr>
          <w:rFonts w:hint="default" w:ascii="Times New Roman" w:hAnsi="Times New Roman" w:eastAsia="宋体" w:cs="Times New Roman"/>
          <w:color w:val="auto"/>
          <w:sz w:val="24"/>
          <w:szCs w:val="24"/>
          <w:highlight w:val="none"/>
        </w:rPr>
        <w:t>各包段投标文件均应分包制作，并按要求密封。</w:t>
      </w:r>
    </w:p>
    <w:p w14:paraId="13159F5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12.2 </w:t>
      </w:r>
      <w:r>
        <w:rPr>
          <w:rFonts w:hint="default" w:ascii="Times New Roman" w:hAnsi="Times New Roman" w:eastAsia="宋体" w:cs="Times New Roman"/>
          <w:color w:val="auto"/>
          <w:kern w:val="0"/>
          <w:sz w:val="24"/>
          <w:szCs w:val="24"/>
          <w:highlight w:val="none"/>
        </w:rPr>
        <w:t>纸质投标文件应按以下方法装袋密封：</w:t>
      </w:r>
    </w:p>
    <w:p w14:paraId="77B2DDEF">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12.2.1</w:t>
      </w:r>
      <w:r>
        <w:rPr>
          <w:rFonts w:hint="default" w:ascii="Times New Roman" w:hAnsi="Times New Roman" w:eastAsia="宋体" w:cs="Times New Roman"/>
          <w:color w:val="auto"/>
          <w:kern w:val="0"/>
          <w:sz w:val="24"/>
          <w:szCs w:val="24"/>
          <w:highlight w:val="none"/>
        </w:rPr>
        <w:t>投标文件正本及全部副本（装入一密封袋内）</w:t>
      </w:r>
    </w:p>
    <w:p w14:paraId="45F8BAD6">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12.2.2 在封口处加盖投标人公章，或由法定代表人，或委托代理人签字。封皮上注明招标公告中指明的项目名称、项目编号、分包名称及包号（如有）、投标人名称和“密封”字样。</w:t>
      </w:r>
    </w:p>
    <w:p w14:paraId="79672F7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12.2.</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如果投标人未按上述要求对</w:t>
      </w:r>
      <w:r>
        <w:rPr>
          <w:rFonts w:hint="default" w:ascii="Times New Roman" w:hAnsi="Times New Roman" w:eastAsia="宋体" w:cs="Times New Roman"/>
          <w:color w:val="auto"/>
          <w:kern w:val="0"/>
          <w:sz w:val="24"/>
          <w:szCs w:val="24"/>
          <w:highlight w:val="none"/>
        </w:rPr>
        <w:t>投标文件密封及加写标记，采购代理机构（或采购人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对投标文件的误投和提前启封概不负责。对由此造成提前开封的投标文件，采购代理机构（或采购人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b/>
          <w:bCs/>
          <w:color w:val="auto"/>
          <w:kern w:val="0"/>
          <w:sz w:val="24"/>
          <w:szCs w:val="24"/>
          <w:highlight w:val="none"/>
        </w:rPr>
        <w:t>有权予以拒绝</w:t>
      </w:r>
      <w:r>
        <w:rPr>
          <w:rFonts w:hint="default" w:ascii="Times New Roman" w:hAnsi="Times New Roman" w:eastAsia="宋体" w:cs="Times New Roman"/>
          <w:color w:val="auto"/>
          <w:kern w:val="0"/>
          <w:sz w:val="24"/>
          <w:szCs w:val="24"/>
          <w:highlight w:val="none"/>
        </w:rPr>
        <w:t>，并退回投标人。</w:t>
      </w:r>
    </w:p>
    <w:p w14:paraId="20111C21">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12.3 </w:t>
      </w:r>
      <w:r>
        <w:rPr>
          <w:rFonts w:hint="default" w:ascii="Times New Roman" w:hAnsi="Times New Roman" w:eastAsia="宋体" w:cs="Times New Roman"/>
          <w:color w:val="auto"/>
          <w:kern w:val="0"/>
          <w:sz w:val="24"/>
          <w:szCs w:val="24"/>
          <w:highlight w:val="none"/>
        </w:rPr>
        <w:t>电子投标文件应按以下方法加密：</w:t>
      </w:r>
    </w:p>
    <w:p w14:paraId="73C7E8AA">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12.3.1 按照招标文件“第二部分 投标人须知前附表”的规定</w:t>
      </w:r>
      <w:r>
        <w:rPr>
          <w:rFonts w:hint="default" w:ascii="Times New Roman" w:hAnsi="Times New Roman" w:eastAsia="宋体" w:cs="Times New Roman"/>
          <w:color w:val="auto"/>
          <w:sz w:val="24"/>
          <w:szCs w:val="24"/>
          <w:highlight w:val="none"/>
          <w:lang w:val="en-US" w:eastAsia="zh-CN"/>
        </w:rPr>
        <w:t>提供，</w:t>
      </w:r>
      <w:r>
        <w:rPr>
          <w:rFonts w:hint="default" w:ascii="Times New Roman" w:hAnsi="Times New Roman" w:cs="Times New Roman"/>
          <w:color w:val="auto"/>
          <w:kern w:val="0"/>
          <w:sz w:val="24"/>
          <w:szCs w:val="24"/>
          <w:highlight w:val="none"/>
        </w:rPr>
        <w:t>供应商应在响应文件递交截止时间前，将符合要求的jmbs格式（加密）电子响应文件上传至山西省政府采购网电子投标客户端。</w:t>
      </w:r>
    </w:p>
    <w:p w14:paraId="6A2602E3">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十三、投标截止时间</w:t>
      </w:r>
    </w:p>
    <w:p w14:paraId="3AAC3D39">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.1投标人须在</w:t>
      </w:r>
      <w:r>
        <w:rPr>
          <w:rFonts w:hint="default" w:ascii="Times New Roman" w:hAnsi="Times New Roman" w:eastAsia="宋体" w:cs="Times New Roman"/>
          <w:color w:val="auto"/>
          <w:kern w:val="0"/>
          <w:sz w:val="24"/>
          <w:szCs w:val="24"/>
          <w:highlight w:val="none"/>
          <w:lang w:val="en-US" w:eastAsia="zh-CN"/>
        </w:rPr>
        <w:t>投标截止时间前，完成</w:t>
      </w:r>
      <w:r>
        <w:rPr>
          <w:rFonts w:hint="default" w:ascii="Times New Roman" w:hAnsi="Times New Roman" w:eastAsia="Times New Roman" w:cs="Times New Roman"/>
          <w:color w:val="auto"/>
          <w:kern w:val="0"/>
          <w:sz w:val="24"/>
          <w:szCs w:val="24"/>
          <w:highlight w:val="none"/>
        </w:rPr>
        <w:t>投标文件</w:t>
      </w:r>
      <w:r>
        <w:rPr>
          <w:rFonts w:hint="default" w:ascii="Times New Roman" w:hAnsi="Times New Roman" w:eastAsia="宋体" w:cs="Times New Roman"/>
          <w:color w:val="auto"/>
          <w:kern w:val="0"/>
          <w:sz w:val="24"/>
          <w:szCs w:val="24"/>
          <w:highlight w:val="none"/>
          <w:lang w:val="en-US" w:eastAsia="zh-CN"/>
        </w:rPr>
        <w:t>的提交（</w:t>
      </w:r>
      <w:r>
        <w:rPr>
          <w:rFonts w:hint="default" w:ascii="Times New Roman" w:hAnsi="Times New Roman" w:eastAsia="Times New Roman" w:cs="Times New Roman"/>
          <w:color w:val="auto"/>
          <w:kern w:val="0"/>
          <w:sz w:val="24"/>
          <w:szCs w:val="24"/>
          <w:highlight w:val="none"/>
        </w:rPr>
        <w:t>上传</w:t>
      </w:r>
      <w:r>
        <w:rPr>
          <w:rFonts w:hint="default" w:ascii="Times New Roman" w:hAnsi="Times New Roman" w:eastAsia="宋体" w:cs="Times New Roman"/>
          <w:color w:val="auto"/>
          <w:kern w:val="0"/>
          <w:sz w:val="24"/>
          <w:szCs w:val="24"/>
          <w:highlight w:val="none"/>
          <w:lang w:eastAsia="zh-CN"/>
        </w:rPr>
        <w:t>）。</w:t>
      </w:r>
    </w:p>
    <w:p w14:paraId="7AD8AD98">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根据本须知的规定，通过修改招标文件或自行决定延长提交投标文件截止日期的，采购人和投标人受提交截止日期制约的所有权利和义务均延长至新的截止日期。</w:t>
      </w:r>
    </w:p>
    <w:p w14:paraId="155B0EE2">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十四、投标文件的补充、修改和撤回</w:t>
      </w:r>
    </w:p>
    <w:p w14:paraId="3542FB0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.1投标人在投标文件</w:t>
      </w:r>
      <w:r>
        <w:rPr>
          <w:rFonts w:hint="eastAsia" w:ascii="Times New Roman" w:hAnsi="Times New Roman" w:eastAsia="宋体" w:cs="Times New Roman"/>
          <w:color w:val="auto"/>
          <w:kern w:val="0"/>
          <w:sz w:val="24"/>
          <w:szCs w:val="24"/>
          <w:highlight w:val="none"/>
          <w:lang w:val="en-US" w:eastAsia="zh-CN"/>
        </w:rPr>
        <w:t>投标</w:t>
      </w:r>
      <w:r>
        <w:rPr>
          <w:rFonts w:hint="default" w:ascii="Times New Roman" w:hAnsi="Times New Roman" w:eastAsia="宋体" w:cs="Times New Roman"/>
          <w:color w:val="auto"/>
          <w:kern w:val="0"/>
          <w:sz w:val="24"/>
          <w:szCs w:val="24"/>
          <w:highlight w:val="none"/>
        </w:rPr>
        <w:t>截止时间前，可以对投标文件进行补充、修改或者撤回，补充、修改的内容作为投标文件的组成部分，补充、修改的内容与投标文件不一致的，以补充、修改的内容为准。</w:t>
      </w:r>
    </w:p>
    <w:p w14:paraId="2F63F1B7">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.2在招标文件要求的投标文件提交截止时间之后，投标人不得对其投标文件进行补充、修改或撤回。</w:t>
      </w:r>
    </w:p>
    <w:p w14:paraId="6B7885B1">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十五、开标及其有关事项</w:t>
      </w:r>
    </w:p>
    <w:p w14:paraId="58E847CF">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15.1 采购人或采购代理机构按招标文件规定的时间、地点主持公开开标，投标人代表及有关工作人员参加，评标委员会成员不参加开标活动。</w:t>
      </w:r>
    </w:p>
    <w:p w14:paraId="259B6328">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15.</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Times New Roman" w:cs="Times New Roman"/>
          <w:color w:val="auto"/>
          <w:kern w:val="0"/>
          <w:sz w:val="24"/>
          <w:szCs w:val="24"/>
          <w:highlight w:val="none"/>
        </w:rPr>
        <w:t xml:space="preserve"> 投标人不足三家的，不得开标。</w:t>
      </w:r>
    </w:p>
    <w:p w14:paraId="65806BD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15.</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投标人</w:t>
      </w:r>
      <w:r>
        <w:rPr>
          <w:rFonts w:hint="default" w:ascii="Times New Roman" w:hAnsi="Times New Roman" w:eastAsia="宋体" w:cs="Times New Roman"/>
          <w:color w:val="auto"/>
          <w:kern w:val="0"/>
          <w:sz w:val="24"/>
          <w:szCs w:val="24"/>
          <w:highlight w:val="none"/>
          <w:lang w:val="en-US" w:eastAsia="zh-CN"/>
        </w:rPr>
        <w:t>应</w:t>
      </w:r>
      <w:r>
        <w:rPr>
          <w:rFonts w:hint="default" w:ascii="Times New Roman" w:hAnsi="Times New Roman" w:eastAsia="宋体" w:cs="Times New Roman"/>
          <w:color w:val="auto"/>
          <w:kern w:val="0"/>
          <w:sz w:val="24"/>
          <w:szCs w:val="24"/>
          <w:highlight w:val="none"/>
        </w:rPr>
        <w:t>在规定时间内登录</w:t>
      </w:r>
      <w:r>
        <w:rPr>
          <w:rFonts w:hint="default" w:ascii="Times New Roman" w:hAnsi="Times New Roman" w:eastAsia="宋体" w:cs="Times New Roman"/>
          <w:color w:val="auto"/>
          <w:kern w:val="0"/>
          <w:sz w:val="24"/>
          <w:szCs w:val="24"/>
          <w:highlight w:val="none"/>
          <w:lang w:eastAsia="zh-CN"/>
        </w:rPr>
        <w:t>山西政府采购平台</w:t>
      </w:r>
      <w:r>
        <w:rPr>
          <w:rFonts w:hint="default" w:ascii="Times New Roman" w:hAnsi="Times New Roman" w:eastAsia="宋体" w:cs="Times New Roman"/>
          <w:color w:val="auto"/>
          <w:kern w:val="0"/>
          <w:sz w:val="24"/>
          <w:szCs w:val="24"/>
          <w:highlight w:val="none"/>
        </w:rPr>
        <w:t>系统签到并进行投标文件解密。</w:t>
      </w:r>
    </w:p>
    <w:p w14:paraId="28D34AE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15.4</w:t>
      </w:r>
      <w:r>
        <w:rPr>
          <w:rFonts w:hint="default" w:ascii="Times New Roman" w:hAnsi="Times New Roman" w:eastAsia="Times New Roman"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lang w:val="en-US" w:eastAsia="zh-CN"/>
        </w:rPr>
        <w:t>所有投标人解密结束后，投标人授权代表在</w:t>
      </w:r>
      <w:r>
        <w:rPr>
          <w:rFonts w:hint="default" w:ascii="Times New Roman" w:hAnsi="Times New Roman" w:eastAsia="宋体" w:cs="Times New Roman"/>
          <w:color w:val="auto"/>
          <w:kern w:val="0"/>
          <w:sz w:val="24"/>
          <w:szCs w:val="24"/>
          <w:highlight w:val="none"/>
          <w:lang w:eastAsia="zh-CN"/>
        </w:rPr>
        <w:t>山西政府采购平台</w:t>
      </w:r>
      <w:r>
        <w:rPr>
          <w:rFonts w:hint="default" w:ascii="Times New Roman" w:hAnsi="Times New Roman" w:eastAsia="宋体" w:cs="Times New Roman"/>
          <w:color w:val="auto"/>
          <w:kern w:val="0"/>
          <w:sz w:val="24"/>
          <w:szCs w:val="24"/>
          <w:highlight w:val="none"/>
          <w:lang w:val="en-US" w:eastAsia="zh-CN"/>
        </w:rPr>
        <w:t>使用CA数字证书签字确认投标报价。</w:t>
      </w:r>
      <w:r>
        <w:rPr>
          <w:rFonts w:hint="default" w:ascii="Times New Roman" w:hAnsi="Times New Roman" w:eastAsia="Times New Roman" w:cs="Times New Roman"/>
          <w:color w:val="auto"/>
          <w:kern w:val="0"/>
          <w:sz w:val="24"/>
          <w:szCs w:val="24"/>
          <w:highlight w:val="none"/>
        </w:rPr>
        <w:t>对开标结果有异议的，可在</w:t>
      </w:r>
      <w:r>
        <w:rPr>
          <w:rFonts w:hint="default" w:ascii="Times New Roman" w:hAnsi="Times New Roman" w:eastAsia="宋体" w:cs="Times New Roman"/>
          <w:color w:val="auto"/>
          <w:kern w:val="0"/>
          <w:sz w:val="24"/>
          <w:szCs w:val="24"/>
          <w:highlight w:val="none"/>
          <w:lang w:eastAsia="zh-CN"/>
        </w:rPr>
        <w:t>山西政府采购平台</w:t>
      </w:r>
      <w:r>
        <w:rPr>
          <w:rFonts w:hint="default" w:ascii="Times New Roman" w:hAnsi="Times New Roman" w:eastAsia="Times New Roman" w:cs="Times New Roman"/>
          <w:color w:val="auto"/>
          <w:kern w:val="0"/>
          <w:sz w:val="24"/>
          <w:szCs w:val="24"/>
          <w:highlight w:val="none"/>
        </w:rPr>
        <w:t>提出；</w:t>
      </w:r>
    </w:p>
    <w:p w14:paraId="13806D5B">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 xml:space="preserve">15.5 </w:t>
      </w:r>
      <w:r>
        <w:rPr>
          <w:rFonts w:hint="default" w:ascii="Times New Roman" w:hAnsi="Times New Roman" w:eastAsia="Times New Roman" w:cs="Times New Roman"/>
          <w:color w:val="auto"/>
          <w:kern w:val="0"/>
          <w:sz w:val="24"/>
          <w:szCs w:val="24"/>
          <w:highlight w:val="none"/>
        </w:rPr>
        <w:t>本项目采用网上电子开标的方式进行，因不可抗因素导致系统无法正常运行时，</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将等待系统恢复正常后继续进行开标。系统不能及时恢复正常时，</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将封标，待系统恢复正常后继续或重新进行开标。</w:t>
      </w:r>
    </w:p>
    <w:p w14:paraId="63807B01">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十六、组建评标委员会</w:t>
      </w:r>
    </w:p>
    <w:p w14:paraId="1273485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lang w:val="en-US" w:eastAsia="zh-CN"/>
        </w:rPr>
        <w:t>16.1</w:t>
      </w:r>
      <w:r>
        <w:rPr>
          <w:rFonts w:hint="default" w:ascii="Times New Roman" w:hAnsi="Times New Roman" w:eastAsia="Times New Roman" w:cs="Times New Roman"/>
          <w:color w:val="auto"/>
          <w:kern w:val="0"/>
          <w:sz w:val="24"/>
          <w:szCs w:val="24"/>
          <w:highlight w:val="none"/>
        </w:rPr>
        <w:t>根据政府采购有关法律法规的规定，依法组建评标委员会，评标委员会由采购人代表和有关专家共五人</w:t>
      </w:r>
      <w:r>
        <w:rPr>
          <w:rFonts w:hint="default" w:ascii="Times New Roman" w:hAnsi="Times New Roman" w:eastAsia="宋体" w:cs="Times New Roman"/>
          <w:color w:val="auto"/>
          <w:kern w:val="0"/>
          <w:sz w:val="24"/>
          <w:szCs w:val="24"/>
          <w:highlight w:val="none"/>
          <w:lang w:val="en-US" w:eastAsia="zh-CN"/>
        </w:rPr>
        <w:t>及</w:t>
      </w:r>
      <w:r>
        <w:rPr>
          <w:rFonts w:hint="default" w:ascii="Times New Roman" w:hAnsi="Times New Roman" w:eastAsia="Times New Roman" w:cs="Times New Roman"/>
          <w:color w:val="auto"/>
          <w:kern w:val="0"/>
          <w:sz w:val="24"/>
          <w:szCs w:val="24"/>
          <w:highlight w:val="none"/>
        </w:rPr>
        <w:t>以上单数组成。</w:t>
      </w:r>
    </w:p>
    <w:p w14:paraId="554D4404">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16.</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Times New Roman" w:cs="Times New Roman"/>
          <w:b/>
          <w:bCs/>
          <w:color w:val="auto"/>
          <w:kern w:val="0"/>
          <w:sz w:val="24"/>
          <w:szCs w:val="24"/>
          <w:highlight w:val="none"/>
        </w:rPr>
        <w:t xml:space="preserve"> </w:t>
      </w:r>
      <w:r>
        <w:rPr>
          <w:rFonts w:hint="default" w:ascii="Times New Roman" w:hAnsi="Times New Roman" w:eastAsia="宋体" w:cs="Times New Roman"/>
          <w:b/>
          <w:bCs/>
          <w:color w:val="auto"/>
          <w:kern w:val="0"/>
          <w:sz w:val="24"/>
          <w:szCs w:val="24"/>
          <w:highlight w:val="none"/>
        </w:rPr>
        <w:t>评审专家存在以下情形的，须主动提出回避：</w:t>
      </w:r>
    </w:p>
    <w:p w14:paraId="13106AF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bookmarkStart w:id="6" w:name="zhusong"/>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一</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参加采购活动前三年内</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与供应商存在劳动关系</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或者担任过供应商的董事、监事</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或者是供应商的控股股东或实际控制人</w:t>
      </w:r>
      <w:r>
        <w:rPr>
          <w:rFonts w:hint="default" w:ascii="Times New Roman" w:hAnsi="Times New Roman" w:eastAsia="Times New Roman" w:cs="Times New Roman"/>
          <w:color w:val="auto"/>
          <w:kern w:val="0"/>
          <w:sz w:val="24"/>
          <w:szCs w:val="24"/>
          <w:highlight w:val="none"/>
        </w:rPr>
        <w:t>;</w:t>
      </w:r>
    </w:p>
    <w:p w14:paraId="7FD36CC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二</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与供应商的法定代表人或者负责人有夫妻、直系血亲、三代以内旁系血亲或者近姻亲关系</w:t>
      </w:r>
      <w:r>
        <w:rPr>
          <w:rFonts w:hint="default" w:ascii="Times New Roman" w:hAnsi="Times New Roman" w:eastAsia="Times New Roman" w:cs="Times New Roman"/>
          <w:color w:val="auto"/>
          <w:kern w:val="0"/>
          <w:sz w:val="24"/>
          <w:szCs w:val="24"/>
          <w:highlight w:val="none"/>
        </w:rPr>
        <w:t>;</w:t>
      </w:r>
    </w:p>
    <w:p w14:paraId="6FDED770">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lang w:eastAsia="zh-TW"/>
        </w:rPr>
      </w:pP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三</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与供应商有其他可能影响政府采购活动公平、公正进行的关系。</w:t>
      </w:r>
    </w:p>
    <w:bookmarkEnd w:id="6"/>
    <w:p w14:paraId="2EC5D47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(四)如本项目含进口产品，参加进口产品论证的专家，不得参加本项目的评审。</w:t>
      </w:r>
    </w:p>
    <w:p w14:paraId="3CBFC169">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(五)各级财政部门政府采购监督管理工作人员不得作为评审专家参与政府采购项目的评审活动。</w:t>
      </w:r>
    </w:p>
    <w:p w14:paraId="08FD76A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(六) 采购代理机构工作人员不得参加本机构代理的政府采购项目的评审活动。</w:t>
      </w:r>
    </w:p>
    <w:p w14:paraId="5EC4593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评审专家应回避而未回避的，其评审意见无效。不得获取评审费用，禁止参加政府 采购活动。给他人造成损失的，依法承担民事责任。</w:t>
      </w:r>
    </w:p>
    <w:p w14:paraId="431E464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16.</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采</w:t>
      </w:r>
      <w:r>
        <w:rPr>
          <w:rFonts w:hint="default" w:ascii="Times New Roman" w:hAnsi="Times New Roman" w:eastAsia="宋体" w:cs="Times New Roman"/>
          <w:color w:val="auto"/>
          <w:kern w:val="0"/>
          <w:sz w:val="24"/>
          <w:szCs w:val="24"/>
          <w:highlight w:val="none"/>
        </w:rPr>
        <w:t>购人代表参与评标时须持有采购人授权函，其他人不得参与评标。</w:t>
      </w:r>
    </w:p>
    <w:p w14:paraId="75D80D1C">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16.</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Times New Roman" w:cs="Times New Roman"/>
          <w:color w:val="auto"/>
          <w:kern w:val="0"/>
          <w:sz w:val="24"/>
          <w:szCs w:val="24"/>
          <w:highlight w:val="none"/>
        </w:rPr>
        <w:t xml:space="preserve"> 评标中因评标委员会成员缺席、回避或者健康等特殊原因导致评标不能继续的，采购人或者采购代理机构应当依法补足后继续评标。被更换的评标委员会成员所作出的评标意见无效。</w:t>
      </w:r>
    </w:p>
    <w:p w14:paraId="5999D64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4C2D4B8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十七、投标文件审查</w:t>
      </w:r>
    </w:p>
    <w:p w14:paraId="434933E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17.1 开标后，采购人或采购代理机构对投标人</w:t>
      </w:r>
      <w:r>
        <w:rPr>
          <w:rFonts w:hint="default" w:ascii="Times New Roman" w:hAnsi="Times New Roman" w:eastAsia="宋体" w:cs="Times New Roman"/>
          <w:color w:val="auto"/>
          <w:kern w:val="0"/>
          <w:sz w:val="24"/>
          <w:szCs w:val="24"/>
          <w:highlight w:val="none"/>
        </w:rPr>
        <w:t>投标文件进行资格性审查，以确定参加投标的投标人是否具备投标资格。审查后合格投标人不足</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家的，不得评标。</w:t>
      </w:r>
    </w:p>
    <w:p w14:paraId="048506F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17.2 评标委员会负责对符合资格的投标人的</w:t>
      </w:r>
      <w:r>
        <w:rPr>
          <w:rFonts w:hint="default" w:ascii="Times New Roman" w:hAnsi="Times New Roman" w:eastAsia="宋体" w:cs="Times New Roman"/>
          <w:color w:val="auto"/>
          <w:kern w:val="0"/>
          <w:sz w:val="24"/>
          <w:szCs w:val="24"/>
          <w:highlight w:val="none"/>
        </w:rPr>
        <w:t>投标文件（商务技术文件）进行符合性审查和商务、技术部分的</w:t>
      </w:r>
      <w:r>
        <w:rPr>
          <w:rFonts w:hint="default" w:ascii="Times New Roman" w:hAnsi="Times New Roman" w:eastAsia="宋体" w:cs="Times New Roman"/>
          <w:color w:val="auto"/>
          <w:kern w:val="0"/>
          <w:sz w:val="24"/>
          <w:szCs w:val="24"/>
          <w:highlight w:val="none"/>
          <w:lang w:val="en-US" w:eastAsia="zh-CN"/>
        </w:rPr>
        <w:t>评审</w:t>
      </w:r>
      <w:r>
        <w:rPr>
          <w:rFonts w:hint="default" w:ascii="Times New Roman" w:hAnsi="Times New Roman" w:eastAsia="宋体" w:cs="Times New Roman"/>
          <w:color w:val="auto"/>
          <w:kern w:val="0"/>
          <w:sz w:val="24"/>
          <w:szCs w:val="24"/>
          <w:highlight w:val="none"/>
        </w:rPr>
        <w:t>。符合性审查是指依据招标文件的规定，从商务和技术角度对投标文件的有效性和完整性进行审查，以确定是否对招标文件的实质性要求做出响应。</w:t>
      </w:r>
    </w:p>
    <w:p w14:paraId="4A20D17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17.3 审核时，要审核每份投标文件是否实质上响应了招标文件的要求：</w:t>
      </w:r>
    </w:p>
    <w:p w14:paraId="0833C2F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（1）实质上响应的投标是指与招标文件的主要条款、条件和规格相符，没有重大偏离。</w:t>
      </w:r>
    </w:p>
    <w:p w14:paraId="49E568A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重大偏离（主要技术、商务要求）指投标货物的质量、数量等明显不能满足招标文件的要求，或者实质上与招标文件不一致，而且限制了采购人的权利或其他投标人的义务，纠正这些偏离将对其他实质上响应要求的投标人的竞争地位产生不公正的影响。重大偏离不允许在开标后修正。</w:t>
      </w:r>
    </w:p>
    <w:p w14:paraId="1D5C9073">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（3）如果投标文件实质上没有响应招标文件的要求，将被视为无效投标，投标人不得再对投标文件进行任何修正从而使其投标成为实质上响应的投标。</w:t>
      </w:r>
    </w:p>
    <w:p w14:paraId="4367A7FE">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（4）投标文件的</w:t>
      </w:r>
      <w:r>
        <w:rPr>
          <w:rFonts w:hint="default" w:ascii="Times New Roman" w:hAnsi="Times New Roman" w:eastAsia="Times New Roman" w:cs="Times New Roman"/>
          <w:color w:val="auto"/>
          <w:kern w:val="0"/>
          <w:sz w:val="24"/>
          <w:szCs w:val="24"/>
          <w:highlight w:val="none"/>
          <w:u w:val="single"/>
        </w:rPr>
        <w:t>细微偏差（一般技术、商务要求）</w:t>
      </w:r>
      <w:r>
        <w:rPr>
          <w:rFonts w:hint="default" w:ascii="Times New Roman" w:hAnsi="Times New Roman" w:eastAsia="Times New Roman" w:cs="Times New Roman"/>
          <w:color w:val="auto"/>
          <w:kern w:val="0"/>
          <w:sz w:val="24"/>
          <w:szCs w:val="24"/>
          <w:highlight w:val="none"/>
        </w:rPr>
        <w:t>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36F4A05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17.4</w:t>
      </w:r>
      <w:r>
        <w:rPr>
          <w:rFonts w:hint="default" w:ascii="Times New Roman" w:hAnsi="Times New Roman" w:eastAsia="Times New Roman" w:cs="Times New Roman"/>
          <w:color w:val="auto"/>
          <w:kern w:val="0"/>
          <w:sz w:val="24"/>
          <w:szCs w:val="24"/>
          <w:highlight w:val="none"/>
        </w:rPr>
        <w:t>审查中，投标人存在下列情况之一的，投标无效：</w:t>
      </w:r>
    </w:p>
    <w:p w14:paraId="1F6FFA6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（1）未按招标文件的规定提交投标保证金的；</w:t>
      </w:r>
    </w:p>
    <w:p w14:paraId="0A09439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（2）投标文件未按</w:t>
      </w:r>
      <w:r>
        <w:rPr>
          <w:rFonts w:hint="default" w:ascii="Times New Roman" w:hAnsi="Times New Roman" w:eastAsia="Times New Roman" w:cs="Times New Roman"/>
          <w:color w:val="auto"/>
          <w:kern w:val="0"/>
          <w:sz w:val="24"/>
          <w:szCs w:val="24"/>
          <w:highlight w:val="none"/>
          <w:lang w:eastAsia="zh-CN"/>
        </w:rPr>
        <w:t>“</w:t>
      </w:r>
      <w:r>
        <w:rPr>
          <w:rFonts w:hint="default" w:ascii="Times New Roman" w:hAnsi="Times New Roman" w:eastAsia="Times New Roman" w:cs="Times New Roman"/>
          <w:color w:val="auto"/>
          <w:kern w:val="0"/>
          <w:sz w:val="24"/>
          <w:szCs w:val="24"/>
          <w:highlight w:val="none"/>
        </w:rPr>
        <w:t>投标文件的签署</w:t>
      </w:r>
      <w:r>
        <w:rPr>
          <w:rFonts w:hint="default" w:ascii="Times New Roman" w:hAnsi="Times New Roman" w:eastAsia="Times New Roman" w:cs="Times New Roman"/>
          <w:color w:val="auto"/>
          <w:kern w:val="0"/>
          <w:sz w:val="24"/>
          <w:szCs w:val="24"/>
          <w:highlight w:val="none"/>
          <w:lang w:eastAsia="zh-CN"/>
        </w:rPr>
        <w:t>”</w:t>
      </w:r>
      <w:r>
        <w:rPr>
          <w:rFonts w:hint="default" w:ascii="Times New Roman" w:hAnsi="Times New Roman" w:eastAsia="Times New Roman" w:cs="Times New Roman"/>
          <w:color w:val="auto"/>
          <w:kern w:val="0"/>
          <w:sz w:val="24"/>
          <w:szCs w:val="24"/>
          <w:highlight w:val="none"/>
        </w:rPr>
        <w:t>要求签署、盖章的；</w:t>
      </w:r>
    </w:p>
    <w:p w14:paraId="7EBAAB8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（3）不具备招标文件规定的资格要求的；</w:t>
      </w:r>
    </w:p>
    <w:p w14:paraId="099FA681">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（4）报价超过招标文件规定预算金额或者最高限价的；</w:t>
      </w:r>
    </w:p>
    <w:p w14:paraId="726872D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（5）投标文件含有采购人不能接受的附加条件的；</w:t>
      </w:r>
    </w:p>
    <w:p w14:paraId="5ACA326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（6）法律、法规和招标文件规定的其他无效情形的。</w:t>
      </w:r>
    </w:p>
    <w:p w14:paraId="226D413C">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 xml:space="preserve"> 审核中，对明显的文字和计算错误按下述原则处理：</w:t>
      </w:r>
    </w:p>
    <w:p w14:paraId="142567A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）如果正本与副本不一致，以正本为准；开标一览表内容与投标文件中相应内容不一致的</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以开标一览表为准。</w:t>
      </w:r>
    </w:p>
    <w:p w14:paraId="6CA5370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）如果以文字表示的数据与数字表示的有差别，以文字表示的为准。如果大小写金额不一致的，以大写金额为准。</w:t>
      </w:r>
    </w:p>
    <w:p w14:paraId="39559D8C">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）单价金额小数点或百分比有明显错误的，以开标报价一览表的总价为准，并修改单价；</w:t>
      </w:r>
    </w:p>
    <w:p w14:paraId="6E2A551C">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）总价金额与按单价汇总金额不一致的，以单价金额计算结果为准；</w:t>
      </w:r>
      <w:r>
        <w:rPr>
          <w:rFonts w:hint="default" w:ascii="Times New Roman" w:hAnsi="Times New Roman" w:eastAsia="Calibri" w:cs="Times New Roman"/>
          <w:color w:val="auto"/>
          <w:kern w:val="0"/>
          <w:sz w:val="24"/>
          <w:szCs w:val="24"/>
          <w:highlight w:val="none"/>
        </w:rPr>
        <w:t xml:space="preserve"> </w:t>
      </w:r>
    </w:p>
    <w:p w14:paraId="3F22E5B9">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同时出现两种以上不一致的，按照以上规定的顺序修正。评标委员会将要求投标人按上述原则以书面形式调整确认，投标人确认后的报价对投标人具有约束力，如果投标人不予确认，</w:t>
      </w:r>
      <w:r>
        <w:rPr>
          <w:rFonts w:hint="default" w:ascii="Times New Roman" w:hAnsi="Times New Roman" w:eastAsia="宋体" w:cs="Times New Roman"/>
          <w:b/>
          <w:bCs/>
          <w:color w:val="auto"/>
          <w:kern w:val="0"/>
          <w:sz w:val="24"/>
          <w:szCs w:val="24"/>
          <w:highlight w:val="none"/>
        </w:rPr>
        <w:t>其投标无效。</w:t>
      </w:r>
    </w:p>
    <w:p w14:paraId="334BB205">
      <w:pPr>
        <w:snapToGrid w:val="0"/>
        <w:spacing w:before="60" w:after="60" w:line="460" w:lineRule="exact"/>
        <w:ind w:firstLine="600" w:firstLineChars="25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在评标过程中发现投标</w:t>
      </w:r>
      <w:r>
        <w:rPr>
          <w:rFonts w:hint="default" w:ascii="Times New Roman" w:hAnsi="Times New Roman" w:eastAsia="宋体" w:cs="Times New Roman"/>
          <w:color w:val="auto"/>
          <w:kern w:val="0"/>
          <w:sz w:val="24"/>
          <w:szCs w:val="24"/>
          <w:highlight w:val="none"/>
        </w:rPr>
        <w:t>人有下列情形的，评标委员会应认定其投标无效，并书面报告本级财政部门：</w:t>
      </w:r>
      <w:r>
        <w:rPr>
          <w:rFonts w:hint="default" w:ascii="Times New Roman" w:hAnsi="Times New Roman" w:eastAsia="Calibri" w:cs="Times New Roman"/>
          <w:color w:val="auto"/>
          <w:kern w:val="0"/>
          <w:sz w:val="24"/>
          <w:szCs w:val="24"/>
          <w:highlight w:val="none"/>
        </w:rPr>
        <w:t xml:space="preserve"> </w:t>
      </w:r>
    </w:p>
    <w:p w14:paraId="27A5DF93">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A、有恶意串通的；</w:t>
      </w:r>
    </w:p>
    <w:p w14:paraId="51CAC1AD">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B、有妨碍其他投标人的竞争行为的；</w:t>
      </w:r>
    </w:p>
    <w:p w14:paraId="66C560FB">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C、有损害采购人或者其他投标人的合法权益的。</w:t>
      </w:r>
    </w:p>
    <w:p w14:paraId="7D16E547">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Times New Roman" w:cs="Times New Roman"/>
          <w:color w:val="auto"/>
          <w:kern w:val="0"/>
          <w:sz w:val="24"/>
          <w:szCs w:val="24"/>
          <w:highlight w:val="none"/>
        </w:rPr>
        <w:t xml:space="preserve"> 投标</w:t>
      </w:r>
      <w:r>
        <w:rPr>
          <w:rFonts w:hint="default" w:ascii="Times New Roman" w:hAnsi="Times New Roman" w:eastAsia="宋体" w:cs="Times New Roman"/>
          <w:color w:val="auto"/>
          <w:kern w:val="0"/>
          <w:sz w:val="24"/>
          <w:szCs w:val="24"/>
          <w:highlight w:val="none"/>
        </w:rPr>
        <w:t>文件有下列情形之一的，视为串通投标，其投标无效：</w:t>
      </w:r>
    </w:p>
    <w:p w14:paraId="10113B7D">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A、不同投标人的</w:t>
      </w:r>
      <w:r>
        <w:rPr>
          <w:rFonts w:hint="default" w:ascii="Times New Roman" w:hAnsi="Times New Roman" w:eastAsia="宋体" w:cs="Times New Roman"/>
          <w:color w:val="auto"/>
          <w:kern w:val="0"/>
          <w:sz w:val="24"/>
          <w:szCs w:val="24"/>
          <w:highlight w:val="none"/>
        </w:rPr>
        <w:t>投标文件由同一单位或者个人编制；</w:t>
      </w:r>
    </w:p>
    <w:p w14:paraId="302FC8AD">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B、不同投标人委托同一单位或者个人办理投标事宜；</w:t>
      </w:r>
    </w:p>
    <w:p w14:paraId="6B528CFA">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C、不同投标人的</w:t>
      </w:r>
      <w:r>
        <w:rPr>
          <w:rFonts w:hint="default" w:ascii="Times New Roman" w:hAnsi="Times New Roman" w:eastAsia="宋体" w:cs="Times New Roman"/>
          <w:color w:val="auto"/>
          <w:kern w:val="0"/>
          <w:sz w:val="24"/>
          <w:szCs w:val="24"/>
          <w:highlight w:val="none"/>
        </w:rPr>
        <w:t>投标文件载明的项目管理成员或者联系人为同一人；</w:t>
      </w:r>
    </w:p>
    <w:p w14:paraId="61D7C2A2">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D、不同投标人的</w:t>
      </w:r>
      <w:r>
        <w:rPr>
          <w:rFonts w:hint="default" w:ascii="Times New Roman" w:hAnsi="Times New Roman" w:eastAsia="宋体" w:cs="Times New Roman"/>
          <w:color w:val="auto"/>
          <w:kern w:val="0"/>
          <w:sz w:val="24"/>
          <w:szCs w:val="24"/>
          <w:highlight w:val="none"/>
        </w:rPr>
        <w:t>投标文件异常一致或者投标报价呈规律性差异；</w:t>
      </w:r>
    </w:p>
    <w:p w14:paraId="09003F77">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E、不同投标人的</w:t>
      </w:r>
      <w:r>
        <w:rPr>
          <w:rFonts w:hint="default" w:ascii="Times New Roman" w:hAnsi="Times New Roman" w:eastAsia="宋体" w:cs="Times New Roman"/>
          <w:color w:val="auto"/>
          <w:kern w:val="0"/>
          <w:sz w:val="24"/>
          <w:szCs w:val="24"/>
          <w:highlight w:val="none"/>
        </w:rPr>
        <w:t>投标文件相互混装；</w:t>
      </w:r>
    </w:p>
    <w:p w14:paraId="6AB90FC0">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F、不同投标人的投标保证金从同一单位或者个人的账户转出；</w:t>
      </w:r>
    </w:p>
    <w:p w14:paraId="564FBAC1">
      <w:pPr>
        <w:snapToGrid w:val="0"/>
        <w:spacing w:before="60" w:after="60" w:line="460" w:lineRule="exact"/>
        <w:ind w:firstLine="720" w:firstLineChars="3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J、不同投标人的单位负责人为同一人或者存在直接控股、管理关系。</w:t>
      </w:r>
    </w:p>
    <w:p w14:paraId="04592D74">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17.8 如果多个投标人所投产品为同一品牌的按下述原则处理：</w:t>
      </w:r>
    </w:p>
    <w:p w14:paraId="372D1245">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A、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904FBD2">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B、使用综合评分法的采购项目，提供相同品牌产品且通过资格审查、符合性审查的不同投标人参加同一合同项下投标的，按一家投标人计算，评审后得分最高的同品牌投标人获取中标人推荐资格；若评审得分相同，总报价最低的投标人获得中标人推荐资格；若评审得分与总报价均相同，技术得分最高的投标人获得中标人推荐资格；若评审得分、总报价、技术得分都相同的，由评标委员会投票确定，其他同品牌投标人不作为中标候选人。</w:t>
      </w:r>
    </w:p>
    <w:p w14:paraId="7C6AF3C0">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C、非单一产品采购项目，根据采购项目技术构成、产品价格比重等合理确定核心产品。多家投标人有任意一项核心产品品牌相同的，按前两款规定处理。 </w:t>
      </w:r>
    </w:p>
    <w:p w14:paraId="1C27E9D6">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十八、</w:t>
      </w:r>
      <w:r>
        <w:rPr>
          <w:rFonts w:hint="default" w:ascii="Times New Roman" w:hAnsi="Times New Roman" w:cs="Times New Roman"/>
          <w:color w:val="auto"/>
          <w:sz w:val="28"/>
          <w:szCs w:val="28"/>
          <w:highlight w:val="none"/>
        </w:rPr>
        <w:t xml:space="preserve"> 投标的澄清、说明或者补正</w:t>
      </w:r>
    </w:p>
    <w:p w14:paraId="7AD5267E">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lang w:val="en-US" w:eastAsia="zh-CN"/>
        </w:rPr>
        <w:t>18.1</w:t>
      </w:r>
      <w:r>
        <w:rPr>
          <w:rFonts w:hint="default" w:ascii="Times New Roman" w:hAnsi="Times New Roman" w:eastAsia="Times New Roman" w:cs="Times New Roman"/>
          <w:color w:val="auto"/>
          <w:kern w:val="0"/>
          <w:sz w:val="24"/>
          <w:szCs w:val="24"/>
          <w:highlight w:val="none"/>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53D4C2B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18.2</w:t>
      </w:r>
      <w:r>
        <w:rPr>
          <w:rFonts w:hint="default" w:ascii="Times New Roman" w:hAnsi="Times New Roman" w:eastAsia="Times New Roman" w:cs="Times New Roman"/>
          <w:color w:val="auto"/>
          <w:kern w:val="0"/>
          <w:sz w:val="24"/>
          <w:szCs w:val="24"/>
          <w:highlight w:val="none"/>
        </w:rPr>
        <w:t xml:space="preserve"> 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4F7697B7">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十九、详细评审</w:t>
      </w:r>
    </w:p>
    <w:p w14:paraId="003D6488">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19.1 评标委员会只对通过符合性审查的</w:t>
      </w:r>
      <w:r>
        <w:rPr>
          <w:rFonts w:hint="default" w:ascii="Times New Roman" w:hAnsi="Times New Roman" w:eastAsia="宋体" w:cs="Times New Roman"/>
          <w:color w:val="auto"/>
          <w:kern w:val="0"/>
          <w:sz w:val="24"/>
          <w:szCs w:val="24"/>
          <w:highlight w:val="none"/>
        </w:rPr>
        <w:t>投标文件进行评价和比较；评审应严格按照招标文件的要求和条件进行；具体评审原则、方法和中标条件详见招标文件</w:t>
      </w:r>
      <w:r>
        <w:rPr>
          <w:rFonts w:hint="default" w:ascii="Times New Roman" w:hAnsi="Times New Roman" w:eastAsia="宋体" w:cs="Times New Roman"/>
          <w:b/>
          <w:bCs/>
          <w:color w:val="auto"/>
          <w:kern w:val="0"/>
          <w:sz w:val="24"/>
          <w:szCs w:val="24"/>
          <w:highlight w:val="none"/>
        </w:rPr>
        <w:t>第四部分“评标标准和评标办法”。</w:t>
      </w:r>
    </w:p>
    <w:p w14:paraId="6372307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19.2 评标委员会对</w:t>
      </w:r>
      <w:r>
        <w:rPr>
          <w:rFonts w:hint="default" w:ascii="Times New Roman" w:hAnsi="Times New Roman" w:eastAsia="宋体" w:cs="Times New Roman"/>
          <w:color w:val="auto"/>
          <w:kern w:val="0"/>
          <w:sz w:val="24"/>
          <w:szCs w:val="24"/>
          <w:highlight w:val="none"/>
          <w:lang w:val="en-US" w:eastAsia="zh-CN"/>
        </w:rPr>
        <w:t>需要</w:t>
      </w:r>
      <w:r>
        <w:rPr>
          <w:rFonts w:hint="default" w:ascii="Times New Roman" w:hAnsi="Times New Roman" w:eastAsia="Times New Roman" w:cs="Times New Roman"/>
          <w:color w:val="auto"/>
          <w:kern w:val="0"/>
          <w:sz w:val="24"/>
          <w:szCs w:val="24"/>
          <w:highlight w:val="none"/>
        </w:rPr>
        <w:t>共同认定的事项存在争议的，应当按照少数服从多数的原则做出结论。持不同意见的评委应当在评标报告上签署不同意见及理由，否则视为同意评标报告。</w:t>
      </w:r>
    </w:p>
    <w:p w14:paraId="2BFFDB71">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19.3 采购人或采购代理机构应对评审数据进行校对、核对。除下列情形外，任何人不得修改评标结果：</w:t>
      </w:r>
    </w:p>
    <w:p w14:paraId="4A1EF791">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A、分值汇总计算错误的；</w:t>
      </w:r>
    </w:p>
    <w:p w14:paraId="307C787C">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B、分项评分超出评分标准范围的；</w:t>
      </w:r>
    </w:p>
    <w:p w14:paraId="0B7079C0">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C、评标委员会成员对客观评审因素评分不一致的；</w:t>
      </w:r>
    </w:p>
    <w:p w14:paraId="24856388">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D、经评标委员会认定评分畸高、畸低的；</w:t>
      </w:r>
    </w:p>
    <w:p w14:paraId="1BCBD76B">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19.4 评标报告签署前，经复核发现存在19.3的情形之一的，评标委员会应当当场修改评标结果，并在评标报告中记载；评标报告签署后，采购人或采购代理机构发现存在以上情形之一的，应当组织原评标委员会进行重新评审，重新评审改变评标结果的，书面报告本级财政部门。</w:t>
      </w:r>
    </w:p>
    <w:p w14:paraId="621A4567">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二十、推荐中标候选人</w:t>
      </w:r>
    </w:p>
    <w:p w14:paraId="419874D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20.1采用综合评分法的，评标结果按评审后得分由高到低顺序排列。得分相同的，按投标报价由低到高顺序排列。得分且投标报价相同的</w:t>
      </w:r>
      <w:r>
        <w:rPr>
          <w:rFonts w:hint="default" w:ascii="Times New Roman" w:hAnsi="Times New Roman" w:eastAsia="Times New Roman" w:cs="Times New Roman"/>
          <w:color w:val="auto"/>
          <w:kern w:val="0"/>
          <w:sz w:val="24"/>
          <w:szCs w:val="24"/>
          <w:highlight w:val="none"/>
          <w:lang w:eastAsia="zh-CN"/>
        </w:rPr>
        <w:t>，</w:t>
      </w:r>
      <w:r>
        <w:rPr>
          <w:rFonts w:hint="default" w:ascii="Times New Roman" w:hAnsi="Times New Roman" w:eastAsia="Times New Roman" w:cs="Times New Roman"/>
          <w:color w:val="auto"/>
          <w:kern w:val="0"/>
          <w:sz w:val="24"/>
          <w:szCs w:val="24"/>
          <w:highlight w:val="none"/>
          <w:lang w:val="en-US" w:eastAsia="zh-CN"/>
        </w:rPr>
        <w:t>按照</w:t>
      </w:r>
      <w:r>
        <w:rPr>
          <w:rFonts w:hint="default" w:ascii="Times New Roman" w:hAnsi="Times New Roman" w:eastAsia="Times New Roman" w:cs="Times New Roman"/>
          <w:color w:val="auto"/>
          <w:kern w:val="0"/>
          <w:sz w:val="24"/>
          <w:szCs w:val="24"/>
          <w:highlight w:val="none"/>
        </w:rPr>
        <w:t>投标人</w:t>
      </w:r>
      <w:r>
        <w:rPr>
          <w:rFonts w:hint="default" w:ascii="Times New Roman" w:hAnsi="Times New Roman" w:eastAsia="Times New Roman" w:cs="Times New Roman"/>
          <w:color w:val="auto"/>
          <w:kern w:val="0"/>
          <w:sz w:val="24"/>
          <w:szCs w:val="24"/>
          <w:highlight w:val="none"/>
          <w:lang w:val="en-US" w:eastAsia="zh-CN"/>
        </w:rPr>
        <w:t>技术评分由高到低推荐中标候选人。若评审得分、投标报价、技术得分都相同的，由评标委员会投票确定</w:t>
      </w:r>
      <w:r>
        <w:rPr>
          <w:rFonts w:hint="eastAsia" w:ascii="Times New Roman" w:hAnsi="Times New Roman" w:eastAsia="Times New Roman" w:cs="Times New Roman"/>
          <w:color w:val="auto"/>
          <w:kern w:val="0"/>
          <w:sz w:val="24"/>
          <w:szCs w:val="24"/>
          <w:highlight w:val="none"/>
          <w:lang w:val="en-US" w:eastAsia="zh-CN"/>
        </w:rPr>
        <w:t>。</w:t>
      </w:r>
    </w:p>
    <w:p w14:paraId="3AA97BDC">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20.2采用最低评标价法的，评标结果按投标报价由低到高顺序排列。投标报价相同的</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根据技术响应程度情况由高到低推荐中标候选人。</w:t>
      </w:r>
    </w:p>
    <w:p w14:paraId="2FA13075">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二十一、评标过程保密</w:t>
      </w:r>
    </w:p>
    <w:p w14:paraId="7869B3B0">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21.1 开标之后，直到授予中标人合同止，凡是属于审查、澄清、评价和比较投标的有关资料以及授标意向等，均不得向投标人或其他与评标无关的人员透露。</w:t>
      </w:r>
    </w:p>
    <w:p w14:paraId="7F8D74C6">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21.2 在评标期间，投标人企图影响采购代理机构或评标委员会的任何活动，将导致投标被拒绝，并由其承担相应的法律责任。</w:t>
      </w:r>
    </w:p>
    <w:p w14:paraId="449F962F">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21.3 评标结束后，参与评标的所有人员不得带走评标现场的任何资料。</w:t>
      </w:r>
    </w:p>
    <w:p w14:paraId="06502F0E">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二十二、关于投标文件非实质性响应滞后发现的处理规则</w:t>
      </w:r>
    </w:p>
    <w:p w14:paraId="2E848FBE">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无论基于何种原因，各项本应做拒绝投标处理的情形，即便未被及时发现而使该投标文件进入初审、详细评审或其它后续程序，包括已经签约的情形。一旦被发现存在上述情形，</w:t>
      </w:r>
      <w:r>
        <w:rPr>
          <w:rFonts w:hint="default" w:ascii="Times New Roman" w:hAnsi="Times New Roman" w:eastAsia="宋体" w:cs="Times New Roman"/>
          <w:b/>
          <w:bCs/>
          <w:color w:val="auto"/>
          <w:kern w:val="0"/>
          <w:sz w:val="24"/>
          <w:szCs w:val="24"/>
          <w:highlight w:val="none"/>
        </w:rPr>
        <w:t>采购人或采购代理机构均有权决定取消该投标人的此前评议结果，或决定对该投标予以拒绝，并有权采取相应的补救及纠正措施。</w:t>
      </w:r>
    </w:p>
    <w:p w14:paraId="6F059A88">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二十三、采购项目中止及废标情形</w:t>
      </w:r>
    </w:p>
    <w:p w14:paraId="46D4720E">
      <w:pPr>
        <w:snapToGrid w:val="0"/>
        <w:spacing w:before="60" w:after="60" w:line="460" w:lineRule="exact"/>
        <w:ind w:firstLine="624"/>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23.1 除因重大变故采购任务取消情况外，任何人均不得擅自终止招标活动。终止招标的，采购代理机构须及时在原公告发布媒体上发布终止公告，并于5个工作日内，退还所收取的投标保证金。</w:t>
      </w:r>
    </w:p>
    <w:p w14:paraId="11A90DE0">
      <w:pPr>
        <w:snapToGrid w:val="0"/>
        <w:spacing w:before="60" w:after="60" w:line="460" w:lineRule="exact"/>
        <w:ind w:firstLine="624"/>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23.2 在评标过程中，评标委员会发现有下列情形之一的，应对采购项目予以废标：</w:t>
      </w:r>
    </w:p>
    <w:p w14:paraId="4C35CF73">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）符合专业条件的投标人或者对招标文件作实质响应的投标人数量不足</w:t>
      </w:r>
      <w:r>
        <w:rPr>
          <w:rFonts w:hint="default" w:ascii="Times New Roman" w:hAnsi="Times New Roman" w:eastAsia="Calibri" w:cs="Times New Roman"/>
          <w:color w:val="auto"/>
          <w:kern w:val="0"/>
          <w:sz w:val="24"/>
          <w:szCs w:val="24"/>
          <w:highlight w:val="none"/>
        </w:rPr>
        <w:t xml:space="preserve"> 3</w:t>
      </w:r>
      <w:r>
        <w:rPr>
          <w:rFonts w:hint="default" w:ascii="Times New Roman" w:hAnsi="Times New Roman" w:eastAsia="宋体" w:cs="Times New Roman"/>
          <w:color w:val="auto"/>
          <w:kern w:val="0"/>
          <w:sz w:val="24"/>
          <w:szCs w:val="24"/>
          <w:highlight w:val="none"/>
        </w:rPr>
        <w:t>家的；</w:t>
      </w:r>
    </w:p>
    <w:p w14:paraId="000F3E01">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）投标人的报价均超过了采购预算，采购人不能支付的；</w:t>
      </w:r>
    </w:p>
    <w:p w14:paraId="026A5FAE">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）出现影响采购公正的违法、违规行为的；</w:t>
      </w:r>
    </w:p>
    <w:p w14:paraId="05D131C2">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）因重大变故，采购任务取消的。</w:t>
      </w:r>
    </w:p>
    <w:p w14:paraId="207281B0">
      <w:pPr>
        <w:snapToGrid w:val="0"/>
        <w:spacing w:before="60" w:after="60" w:line="460" w:lineRule="exact"/>
        <w:ind w:left="609" w:leftChars="267" w:hanging="48" w:hangingChars="2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23.3 采购项目废标后，评标委员会应做出书面报告。</w:t>
      </w:r>
    </w:p>
    <w:p w14:paraId="2F60F254">
      <w:pPr>
        <w:snapToGrid w:val="0"/>
        <w:spacing w:before="60" w:after="60" w:line="460" w:lineRule="exact"/>
        <w:ind w:left="609" w:leftChars="267" w:hanging="48" w:hangingChars="2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23.4  废标后，采购代理机构应当将废标原因通知所有投标人，并依法重新</w:t>
      </w:r>
    </w:p>
    <w:p w14:paraId="001FD4CB">
      <w:pPr>
        <w:snapToGrid w:val="0"/>
        <w:spacing w:before="60" w:after="60" w:line="46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组织采购活动。</w:t>
      </w:r>
    </w:p>
    <w:p w14:paraId="10B45898">
      <w:pPr>
        <w:pStyle w:val="3"/>
        <w:rPr>
          <w:rFonts w:hint="default" w:ascii="Times New Roman" w:hAnsi="Times New Roman" w:eastAsia="Times New Roman" w:cs="Times New Roman"/>
          <w:color w:val="auto"/>
          <w:kern w:val="0"/>
          <w:sz w:val="24"/>
          <w:szCs w:val="24"/>
          <w:highlight w:val="none"/>
        </w:rPr>
      </w:pPr>
      <w:r>
        <w:rPr>
          <w:rFonts w:hint="default" w:ascii="Times New Roman" w:hAnsi="Times New Roman" w:cs="Times New Roman"/>
          <w:color w:val="auto"/>
          <w:sz w:val="28"/>
          <w:szCs w:val="28"/>
          <w:highlight w:val="none"/>
        </w:rPr>
        <w:t>二十四、中标通知</w:t>
      </w:r>
    </w:p>
    <w:p w14:paraId="7BBAF8CB">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Times New Roman" w:cs="Times New Roman"/>
          <w:color w:val="auto"/>
          <w:kern w:val="0"/>
          <w:sz w:val="24"/>
          <w:szCs w:val="24"/>
          <w:highlight w:val="none"/>
        </w:rPr>
        <w:t>.1 中标供应商确定后，</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73C2993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Times New Roman" w:cs="Times New Roman"/>
          <w:color w:val="auto"/>
          <w:kern w:val="0"/>
          <w:sz w:val="24"/>
          <w:szCs w:val="24"/>
          <w:highlight w:val="none"/>
        </w:rPr>
        <w:t xml:space="preserve">.2 </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对未中标的投标人不作未中标原因的解释。</w:t>
      </w:r>
    </w:p>
    <w:p w14:paraId="5043AB7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Times New Roman" w:cs="Times New Roman"/>
          <w:color w:val="auto"/>
          <w:kern w:val="0"/>
          <w:sz w:val="24"/>
          <w:szCs w:val="24"/>
          <w:highlight w:val="none"/>
        </w:rPr>
        <w:t>.3 中标通知书是合同的组成部分。</w:t>
      </w:r>
    </w:p>
    <w:p w14:paraId="51737BF9">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二十五、代理服务费</w:t>
      </w:r>
    </w:p>
    <w:p w14:paraId="404C93FB">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25.1中</w:t>
      </w:r>
      <w:r>
        <w:rPr>
          <w:rFonts w:hint="default" w:ascii="Times New Roman" w:hAnsi="Times New Roman" w:eastAsia="宋体" w:cs="Times New Roman"/>
          <w:color w:val="auto"/>
          <w:sz w:val="24"/>
          <w:szCs w:val="24"/>
          <w:highlight w:val="none"/>
        </w:rPr>
        <w:t>标人在接受“中标通知书”一周内应向采购代理机构缴纳代理服务费。</w:t>
      </w:r>
    </w:p>
    <w:p w14:paraId="0133C943">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25.2代理服务费收取具体标准如下：</w:t>
      </w:r>
    </w:p>
    <w:p w14:paraId="47D24C76">
      <w:pPr>
        <w:snapToGrid w:val="0"/>
        <w:spacing w:before="187"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服务费金额参照原国家计委计价格[2002]1980号、发改办价格[2003]857号及发改价格[2011]534号文件收取。</w:t>
      </w:r>
    </w:p>
    <w:p w14:paraId="762C6E03">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二十六、签订合同</w:t>
      </w:r>
    </w:p>
    <w:p w14:paraId="5C9F8672">
      <w:pPr>
        <w:snapToGrid w:val="0"/>
        <w:spacing w:before="60" w:after="60" w:line="460" w:lineRule="exact"/>
        <w:ind w:firstLine="54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26.1采购人应当自中标通知书发出之日起30日内，按照招标文件和中标人</w:t>
      </w:r>
      <w:r>
        <w:rPr>
          <w:rFonts w:hint="default" w:ascii="Times New Roman" w:hAnsi="Times New Roman" w:eastAsia="宋体" w:cs="Times New Roman"/>
          <w:color w:val="auto"/>
          <w:kern w:val="0"/>
          <w:sz w:val="24"/>
          <w:szCs w:val="24"/>
          <w:highlight w:val="none"/>
        </w:rPr>
        <w:t>投标文件的规定，</w:t>
      </w:r>
      <w:r>
        <w:rPr>
          <w:rFonts w:hint="default" w:ascii="Times New Roman" w:hAnsi="Times New Roman" w:eastAsia="宋体" w:cs="Times New Roman"/>
          <w:color w:val="auto"/>
          <w:kern w:val="0"/>
          <w:sz w:val="24"/>
          <w:szCs w:val="24"/>
          <w:highlight w:val="none"/>
          <w:lang w:val="en-US" w:eastAsia="zh-CN"/>
        </w:rPr>
        <w:t>与采购人</w:t>
      </w:r>
      <w:r>
        <w:rPr>
          <w:rFonts w:hint="default" w:ascii="Times New Roman" w:hAnsi="Times New Roman" w:eastAsia="宋体" w:cs="Times New Roman"/>
          <w:color w:val="auto"/>
          <w:kern w:val="0"/>
          <w:sz w:val="24"/>
          <w:szCs w:val="24"/>
          <w:highlight w:val="none"/>
        </w:rPr>
        <w:t>在山西政府采购业务执行系统中线上签订政府采购合同。</w:t>
      </w:r>
    </w:p>
    <w:p w14:paraId="17B62A93">
      <w:pPr>
        <w:snapToGrid w:val="0"/>
        <w:spacing w:before="60" w:after="60" w:line="460" w:lineRule="exact"/>
        <w:ind w:firstLine="54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26.2 中标人应按照招标文件、</w:t>
      </w:r>
      <w:r>
        <w:rPr>
          <w:rFonts w:hint="default" w:ascii="Times New Roman" w:hAnsi="Times New Roman" w:eastAsia="宋体" w:cs="Times New Roman"/>
          <w:color w:val="auto"/>
          <w:kern w:val="0"/>
          <w:sz w:val="24"/>
          <w:szCs w:val="24"/>
          <w:highlight w:val="none"/>
        </w:rPr>
        <w:t>投标文件及评标过程中的有关澄清、说明或者补正文件的内容与采购人签订合同。中标人不得再与采购人签订背离合同实质性内容的其它协议或声明。</w:t>
      </w:r>
    </w:p>
    <w:p w14:paraId="2D13B405">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26.3 在合同履行中，采购人如需追加与合同标的相同的货物，在不改变合同其他条款的前提下，中标人可与采购人协商签订补充合同，但所有补充合同的采购金额不得超过原合同金额的百分之十。</w:t>
      </w:r>
    </w:p>
    <w:p w14:paraId="14EF8756">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26.4 中标人一旦中标，未经采购人或采购代理机构事先给予书面同意不得转包、分包，亦不得将合同全部及任何权利、义务向第三方转让，否则将被视为严重违约，采购人或采购代理机构有权决定按照中标人中标后毁标、终止或解除合同等依约处理。</w:t>
      </w:r>
    </w:p>
    <w:p w14:paraId="23BB4EDB">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 xml:space="preserve"> 如中标人拒绝与采购人签订合同的，采购人可以按照评标报告推荐的中标候选人排序，确定下一中标候选人为中标人，也可以重新开展采购活动。当出现法律法规规定的中标无效或中标结果无效情形时，采购人可与排名下一位的中标候选人另行签订合同，或依法重新开展采购活动。</w:t>
      </w:r>
    </w:p>
    <w:p w14:paraId="77A4A3BE">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  违反2</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.1-2</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所列规定，给采购人和采购代理机构造成损失的，应承担赔偿责任。</w:t>
      </w:r>
    </w:p>
    <w:p w14:paraId="6723B5C5">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二十七、保密</w:t>
      </w:r>
    </w:p>
    <w:p w14:paraId="2EFB01E2">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27.1 投标人自领取招标文件之日起，招标文件仅可用于本项目招标过程，招标过程结束后，相关所有资料均不能以任何形式进行传播和使用。</w:t>
      </w:r>
    </w:p>
    <w:p w14:paraId="7DDBCF39">
      <w:pPr>
        <w:snapToGrid w:val="0"/>
        <w:spacing w:before="60" w:after="60" w:line="460" w:lineRule="exact"/>
        <w:ind w:right="-359" w:rightChars="-171"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27.2 除非经采购人的书面同意，否则任何时候均不得向任何第三方透露从本次招标获得的信息。</w:t>
      </w:r>
    </w:p>
    <w:p w14:paraId="08264FD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27.3 投标人应确保其雇员遵守同样的保密义务。</w:t>
      </w:r>
    </w:p>
    <w:p w14:paraId="03BB3C61">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27.4 如投标人因故意、过失或任何其它原因导致任何保密信息泄露、公开或为第三方知晓，由此造成的各项损失均由投标人承担全部责任。</w:t>
      </w:r>
    </w:p>
    <w:p w14:paraId="44C37E8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二十八、披露</w:t>
      </w:r>
    </w:p>
    <w:p w14:paraId="47236F93">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28.1 采购代理机构（或采购人）有权将投标人提供的所有资料向有关政府部门或评审标书的有关人员披露。</w:t>
      </w:r>
    </w:p>
    <w:p w14:paraId="4BB2811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28.2 在采购代理机构（或采购人）认为适当时</w:t>
      </w:r>
      <w:r>
        <w:rPr>
          <w:rFonts w:hint="default" w:ascii="Times New Roman" w:hAnsi="Times New Roman" w:eastAsia="宋体" w:cs="Times New Roman"/>
          <w:color w:val="auto"/>
          <w:kern w:val="0"/>
          <w:sz w:val="24"/>
          <w:szCs w:val="24"/>
          <w:highlight w:val="none"/>
          <w:lang w:val="en-US" w:eastAsia="zh-CN"/>
        </w:rPr>
        <w:t>或</w:t>
      </w:r>
      <w:r>
        <w:rPr>
          <w:rFonts w:hint="default" w:ascii="Times New Roman" w:hAnsi="Times New Roman" w:eastAsia="Times New Roman" w:cs="Times New Roman"/>
          <w:color w:val="auto"/>
          <w:kern w:val="0"/>
          <w:sz w:val="24"/>
          <w:szCs w:val="24"/>
          <w:highlight w:val="none"/>
        </w:rPr>
        <w:t>国家机关调查、审查、审计时以及其他符合法律规定的情形下，采购代理机构（或采购人）无须事先征求投标人/中标人同意</w:t>
      </w:r>
      <w:r>
        <w:rPr>
          <w:rFonts w:hint="default" w:ascii="Times New Roman" w:hAnsi="Times New Roman" w:eastAsia="宋体" w:cs="Times New Roman"/>
          <w:color w:val="auto"/>
          <w:kern w:val="0"/>
          <w:sz w:val="24"/>
          <w:szCs w:val="24"/>
          <w:highlight w:val="none"/>
          <w:lang w:val="en-US" w:eastAsia="zh-CN"/>
        </w:rPr>
        <w:t>即可</w:t>
      </w:r>
      <w:r>
        <w:rPr>
          <w:rFonts w:hint="default" w:ascii="Times New Roman" w:hAnsi="Times New Roman" w:eastAsia="Times New Roman" w:cs="Times New Roman"/>
          <w:color w:val="auto"/>
          <w:kern w:val="0"/>
          <w:sz w:val="24"/>
          <w:szCs w:val="24"/>
          <w:highlight w:val="none"/>
        </w:rPr>
        <w:t>披露关于采购过程、合同文本、签署情况的资料、投标人/中标人的名称及地址、</w:t>
      </w:r>
      <w:r>
        <w:rPr>
          <w:rFonts w:hint="default" w:ascii="Times New Roman" w:hAnsi="Times New Roman" w:eastAsia="宋体" w:cs="Times New Roman"/>
          <w:color w:val="auto"/>
          <w:kern w:val="0"/>
          <w:sz w:val="24"/>
          <w:szCs w:val="24"/>
          <w:highlight w:val="none"/>
        </w:rPr>
        <w:t>投标人的有关信息以及补充条款等，但</w:t>
      </w:r>
      <w:r>
        <w:rPr>
          <w:rFonts w:hint="default" w:ascii="Times New Roman" w:hAnsi="Times New Roman" w:eastAsia="宋体" w:cs="Times New Roman"/>
          <w:color w:val="auto"/>
          <w:kern w:val="0"/>
          <w:sz w:val="24"/>
          <w:szCs w:val="24"/>
          <w:highlight w:val="none"/>
          <w:lang w:val="en-US" w:eastAsia="zh-CN"/>
        </w:rPr>
        <w:t>必须</w:t>
      </w:r>
      <w:r>
        <w:rPr>
          <w:rFonts w:hint="default" w:ascii="Times New Roman" w:hAnsi="Times New Roman" w:eastAsia="宋体" w:cs="Times New Roman"/>
          <w:color w:val="auto"/>
          <w:kern w:val="0"/>
          <w:sz w:val="24"/>
          <w:szCs w:val="24"/>
          <w:highlight w:val="none"/>
        </w:rPr>
        <w:t>在合理的必要范围内。对任何已经公布过的内容或与之内容相同的资料，以及投标人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中标人已经泄露或公开的，无须再承担保密责任。</w:t>
      </w:r>
    </w:p>
    <w:p w14:paraId="6F38091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二十九、询问和质疑</w:t>
      </w:r>
    </w:p>
    <w:p w14:paraId="43DDFC08">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29.1询问和质疑的线上提交</w:t>
      </w:r>
    </w:p>
    <w:p w14:paraId="43224D71">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29.1.1投标供应商对招标文件（除采购需求、综合评分细则）、评审过程、采购结果进行口头询问的，可按第一部分招标公告中载明的联系方式、地址向采购代理机构口头提出询问。</w:t>
      </w:r>
    </w:p>
    <w:p w14:paraId="47353EA9">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29.1.2投标供应商对招标文件的采购需求、综合评分细则进行口头询问的，可按第一部分招标公告中载明的联系方式、地址向采购人口头提出询问。</w:t>
      </w:r>
    </w:p>
    <w:p w14:paraId="7B46B4AB">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29.1.3投标供应商对招标文件的采购程序、采购需求、综合评分细则、采购过程、采购结果进行书面询问或质疑的，须通过政府采购平台进入“项目质疑管理”，按照系统中询问列表、质疑列表填写相关内容，填写完成后在“被询问/质疑对象机构类型”中选择“代理机构”，向采购代理机构提交询问函或质疑函。</w:t>
      </w:r>
    </w:p>
    <w:p w14:paraId="729CA199">
      <w:pPr>
        <w:pStyle w:val="29"/>
        <w:snapToGrid w:val="0"/>
        <w:spacing w:line="360" w:lineRule="auto"/>
        <w:ind w:firstLine="480" w:firstLineChars="200"/>
        <w:textAlignment w:val="auto"/>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29.2．询问和质疑的线上答复</w:t>
      </w:r>
    </w:p>
    <w:p w14:paraId="5BFF6D55">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29.2.1 向“代理机构”提交询问函或质疑函的，由代理机构（以下表述为采购代理机构）按照法律法规规定在系统中进行答复。</w:t>
      </w:r>
    </w:p>
    <w:p w14:paraId="5CF3DCEA">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29.2.2质疑答复内容不得涉及商业秘密。</w:t>
      </w:r>
    </w:p>
    <w:p w14:paraId="34C138CF">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29.2.3质疑供应商撤回质疑的，采购人或采购代理机构终止质疑处理。</w:t>
      </w:r>
    </w:p>
    <w:p w14:paraId="705F31A8">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29.2.4供应商质疑不成立，或者成立但未对中标结果构成影响的，继续开展采购活动；认为供应商质疑成立且影响或者可能影响中标结果的，按照下列情况处理：</w:t>
      </w:r>
    </w:p>
    <w:p w14:paraId="320E60DE">
      <w:pPr>
        <w:spacing w:line="360" w:lineRule="auto"/>
        <w:ind w:firstLine="360" w:firstLineChars="15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（1）对招标文件提出的质疑，依法通过澄清或者修改可以继续开展采购活动的，澄清或者修改招标文件后继续开展采购活动；否则应修改招标文件后重新开展采购活动。</w:t>
      </w:r>
    </w:p>
    <w:p w14:paraId="52840836">
      <w:pPr>
        <w:spacing w:line="360" w:lineRule="auto"/>
        <w:ind w:firstLine="360" w:firstLineChars="15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（2）对采购过程、中标结果提出的质疑，合格供应商符合法定数量时，可以从合格的中标候选人中另行确定中标供应商的，应当依法另行确定中标供应商；否则应重新开展采购活动。</w:t>
      </w:r>
    </w:p>
    <w:p w14:paraId="2E272A22">
      <w:pPr>
        <w:pStyle w:val="29"/>
        <w:snapToGrid w:val="0"/>
        <w:spacing w:line="360" w:lineRule="auto"/>
        <w:ind w:firstLine="360" w:firstLineChars="150"/>
        <w:textAlignment w:val="auto"/>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3）质疑答复导致中标结果改变的，属于采购人答复的，采购人应当将质疑答复结果告知被质疑供应商，将质疑答复内容和重新确定的采购结果函告采购代理机构，采购代理机构按照采购人的意见发布结果变更公告，并将有关情况书面报告本级财政部门。属于采购代理机构答复的，采购代理机构编制变更公告，经采购人确认后发布结果变更公告，并将有关情况书面报告本级财政部门。</w:t>
      </w:r>
    </w:p>
    <w:p w14:paraId="52677707">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三十、违约处罚</w:t>
      </w:r>
    </w:p>
    <w:p w14:paraId="279B861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30.1 发生下列情况之一，投标人的投标保证金将被没收，并可能被列入不良记录名单，投标人今后参与同类政府采购项目的机会可能会受到影响：</w:t>
      </w:r>
    </w:p>
    <w:p w14:paraId="658734F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）开标后在投标有效期内，投标人</w:t>
      </w:r>
      <w:r>
        <w:rPr>
          <w:rFonts w:hint="default" w:ascii="Times New Roman" w:hAnsi="Times New Roman" w:eastAsia="宋体" w:cs="Times New Roman"/>
          <w:color w:val="auto"/>
          <w:kern w:val="0"/>
          <w:sz w:val="24"/>
          <w:szCs w:val="24"/>
          <w:highlight w:val="none"/>
          <w:lang w:val="en-US" w:eastAsia="zh-CN"/>
        </w:rPr>
        <w:t>撤销</w:t>
      </w:r>
      <w:r>
        <w:rPr>
          <w:rFonts w:hint="default" w:ascii="Times New Roman" w:hAnsi="Times New Roman" w:eastAsia="宋体" w:cs="Times New Roman"/>
          <w:color w:val="auto"/>
          <w:kern w:val="0"/>
          <w:sz w:val="24"/>
          <w:szCs w:val="24"/>
          <w:highlight w:val="none"/>
        </w:rPr>
        <w:t>其投标；</w:t>
      </w:r>
    </w:p>
    <w:p w14:paraId="6C5AFF8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）在评标期间，投标人企图影响采购机构或评标委员会的任何活动，将导致投标被拒绝，并由其承担相应的法律责任。</w:t>
      </w:r>
    </w:p>
    <w:p w14:paraId="4D1B86D0">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）中标人未按本招标文件规定签约；</w:t>
      </w:r>
      <w:r>
        <w:rPr>
          <w:rFonts w:hint="default" w:ascii="Times New Roman" w:hAnsi="Times New Roman" w:eastAsia="Calibri" w:cs="Times New Roman"/>
          <w:color w:val="auto"/>
          <w:kern w:val="0"/>
          <w:sz w:val="24"/>
          <w:szCs w:val="24"/>
          <w:highlight w:val="none"/>
        </w:rPr>
        <w:t xml:space="preserve"> </w:t>
      </w:r>
    </w:p>
    <w:p w14:paraId="11DB07C3">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）中标人与采购人订立背离合同实质性内容的其它协议；</w:t>
      </w:r>
      <w:r>
        <w:rPr>
          <w:rFonts w:hint="default" w:ascii="Times New Roman" w:hAnsi="Times New Roman" w:eastAsia="Calibri" w:cs="Times New Roman"/>
          <w:color w:val="auto"/>
          <w:kern w:val="0"/>
          <w:sz w:val="24"/>
          <w:szCs w:val="24"/>
          <w:highlight w:val="none"/>
        </w:rPr>
        <w:t xml:space="preserve"> </w:t>
      </w:r>
    </w:p>
    <w:p w14:paraId="16436A1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5</w:t>
      </w:r>
      <w:r>
        <w:rPr>
          <w:rFonts w:hint="default" w:ascii="Times New Roman" w:hAnsi="Times New Roman" w:eastAsia="宋体" w:cs="Times New Roman"/>
          <w:color w:val="auto"/>
          <w:kern w:val="0"/>
          <w:sz w:val="24"/>
          <w:szCs w:val="24"/>
          <w:highlight w:val="none"/>
        </w:rPr>
        <w:t>）投标人未按招标文件规定和合同约定履行义务的。</w:t>
      </w:r>
    </w:p>
    <w:p w14:paraId="6C7660BB">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三十一、履约验收</w:t>
      </w:r>
    </w:p>
    <w:p w14:paraId="7D4CBCDF">
      <w:pPr>
        <w:snapToGrid w:val="0"/>
        <w:spacing w:before="60" w:after="60" w:line="460" w:lineRule="exact"/>
        <w:ind w:firstLine="588" w:firstLineChars="245"/>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31.1 采购人应根据依据招标文件、</w:t>
      </w:r>
      <w:r>
        <w:rPr>
          <w:rFonts w:hint="default" w:ascii="Times New Roman" w:hAnsi="Times New Roman" w:eastAsia="宋体" w:cs="Times New Roman"/>
          <w:color w:val="auto"/>
          <w:kern w:val="0"/>
          <w:sz w:val="24"/>
          <w:szCs w:val="24"/>
          <w:highlight w:val="none"/>
        </w:rPr>
        <w:t>投标文件、采购合同所约定的商务、技术条款验收，自行组织项目验收。</w:t>
      </w:r>
    </w:p>
    <w:p w14:paraId="1F209252">
      <w:pPr>
        <w:snapToGrid w:val="0"/>
        <w:spacing w:before="60" w:after="60" w:line="460" w:lineRule="exact"/>
        <w:ind w:firstLine="588" w:firstLineChars="245"/>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31.2 履约保证金：按采购人和中标人双方签订的合同办理。</w:t>
      </w:r>
    </w:p>
    <w:p w14:paraId="31660BC8">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bookmarkStart w:id="7" w:name="_Toc21814"/>
    </w:p>
    <w:p w14:paraId="32DEB70C">
      <w:pPr>
        <w:rPr>
          <w:rFonts w:hint="default" w:ascii="Times New Roman" w:hAnsi="Times New Roman" w:cs="Times New Roman"/>
          <w:color w:val="auto"/>
          <w:highlight w:val="none"/>
        </w:rPr>
      </w:pPr>
    </w:p>
    <w:p w14:paraId="25211476">
      <w:pPr>
        <w:pStyle w:val="2"/>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第四部分</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评标标准和评标办法</w:t>
      </w:r>
      <w:bookmarkEnd w:id="7"/>
    </w:p>
    <w:p w14:paraId="011AC930">
      <w:pPr>
        <w:snapToGrid w:val="0"/>
        <w:spacing w:before="60" w:after="60" w:line="460" w:lineRule="exact"/>
        <w:jc w:val="center"/>
        <w:rPr>
          <w:rFonts w:hint="default" w:ascii="Times New Roman" w:hAnsi="Times New Roman" w:eastAsia="宋体" w:cs="Times New Roman"/>
          <w:color w:val="auto"/>
          <w:sz w:val="32"/>
          <w:szCs w:val="32"/>
          <w:highlight w:val="none"/>
        </w:rPr>
      </w:pPr>
    </w:p>
    <w:p w14:paraId="7BA4F380">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一、评标内容及评标原则</w:t>
      </w:r>
    </w:p>
    <w:p w14:paraId="021E772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评标委员会在评标时，依据投标报价和各项技术、</w:t>
      </w:r>
      <w:r>
        <w:rPr>
          <w:rFonts w:hint="default" w:ascii="Times New Roman" w:hAnsi="Times New Roman" w:eastAsia="宋体" w:cs="Times New Roman"/>
          <w:color w:val="auto"/>
          <w:kern w:val="0"/>
          <w:sz w:val="24"/>
          <w:szCs w:val="24"/>
          <w:highlight w:val="none"/>
          <w:lang w:val="en-US" w:eastAsia="zh-CN"/>
        </w:rPr>
        <w:t>商务</w:t>
      </w:r>
      <w:r>
        <w:rPr>
          <w:rFonts w:hint="default" w:ascii="Times New Roman" w:hAnsi="Times New Roman" w:eastAsia="宋体" w:cs="Times New Roman"/>
          <w:color w:val="auto"/>
          <w:kern w:val="0"/>
          <w:sz w:val="24"/>
          <w:szCs w:val="24"/>
          <w:highlight w:val="none"/>
        </w:rPr>
        <w:t>因素对投标文件及投标货物进行综合评价。</w:t>
      </w:r>
    </w:p>
    <w:p w14:paraId="65CCF524">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二、评分办法</w:t>
      </w:r>
    </w:p>
    <w:p w14:paraId="02E56337">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u w:val="single"/>
        </w:rPr>
      </w:pPr>
      <w:r>
        <w:rPr>
          <w:rFonts w:hint="default" w:ascii="Times New Roman" w:hAnsi="Times New Roman" w:eastAsia="宋体" w:cs="Times New Roman"/>
          <w:color w:val="auto"/>
          <w:kern w:val="0"/>
          <w:sz w:val="24"/>
          <w:szCs w:val="24"/>
          <w:highlight w:val="none"/>
        </w:rPr>
        <w:t>本次评标采用</w:t>
      </w:r>
      <w:r>
        <w:rPr>
          <w:rFonts w:hint="default" w:ascii="Times New Roman" w:hAnsi="Times New Roman" w:eastAsia="宋体" w:cs="Times New Roman"/>
          <w:color w:val="auto"/>
          <w:kern w:val="0"/>
          <w:sz w:val="24"/>
          <w:szCs w:val="24"/>
          <w:highlight w:val="none"/>
          <w:u w:val="single"/>
        </w:rPr>
        <w:t>综合评分法</w:t>
      </w:r>
      <w:r>
        <w:rPr>
          <w:rFonts w:hint="default" w:ascii="Times New Roman" w:hAnsi="Times New Roman" w:eastAsia="宋体" w:cs="Times New Roman"/>
          <w:color w:val="auto"/>
          <w:kern w:val="0"/>
          <w:sz w:val="24"/>
          <w:szCs w:val="24"/>
          <w:highlight w:val="none"/>
        </w:rPr>
        <w:t>，综合评分因素的主要因素为价格、技术、信誉、业绩、服务以及</w:t>
      </w:r>
      <w:r>
        <w:rPr>
          <w:rFonts w:hint="default" w:ascii="Times New Roman" w:hAnsi="Times New Roman" w:eastAsia="宋体" w:cs="Times New Roman"/>
          <w:color w:val="auto"/>
          <w:kern w:val="0"/>
          <w:sz w:val="24"/>
          <w:szCs w:val="24"/>
          <w:highlight w:val="none"/>
          <w:lang w:val="en-US" w:eastAsia="zh-CN"/>
        </w:rPr>
        <w:t>投标产品</w:t>
      </w:r>
      <w:r>
        <w:rPr>
          <w:rFonts w:hint="default" w:ascii="Times New Roman" w:hAnsi="Times New Roman" w:eastAsia="宋体" w:cs="Times New Roman"/>
          <w:color w:val="auto"/>
          <w:kern w:val="0"/>
          <w:sz w:val="24"/>
          <w:szCs w:val="24"/>
          <w:highlight w:val="none"/>
        </w:rPr>
        <w:t>对招标文件的响应程度。评标委员会对通过资格性符合性审查的合格投标人的投标文件商务技术部分进行综合评分。每一投标文件的最终得分为所有评委评分的</w:t>
      </w:r>
      <w:r>
        <w:rPr>
          <w:rFonts w:hint="default" w:ascii="Times New Roman" w:hAnsi="Times New Roman" w:eastAsia="宋体" w:cs="Times New Roman"/>
          <w:color w:val="auto"/>
          <w:kern w:val="0"/>
          <w:sz w:val="24"/>
          <w:szCs w:val="24"/>
          <w:highlight w:val="none"/>
          <w:lang w:val="en-US" w:eastAsia="zh-CN"/>
        </w:rPr>
        <w:t>算术</w:t>
      </w:r>
      <w:r>
        <w:rPr>
          <w:rFonts w:hint="default" w:ascii="Times New Roman" w:hAnsi="Times New Roman" w:eastAsia="宋体" w:cs="Times New Roman"/>
          <w:color w:val="auto"/>
          <w:kern w:val="0"/>
          <w:sz w:val="24"/>
          <w:szCs w:val="24"/>
          <w:highlight w:val="none"/>
        </w:rPr>
        <w:t>平均值。评标委员会按照合格投标人综合评分由高到低的顺序推荐中标候选人。</w:t>
      </w:r>
      <w:r>
        <w:rPr>
          <w:rFonts w:hint="default" w:ascii="Times New Roman" w:hAnsi="Times New Roman" w:eastAsia="宋体" w:cs="Times New Roman"/>
          <w:b/>
          <w:bCs/>
          <w:color w:val="auto"/>
          <w:kern w:val="0"/>
          <w:sz w:val="24"/>
          <w:szCs w:val="24"/>
          <w:highlight w:val="none"/>
          <w:u w:val="single"/>
        </w:rPr>
        <w:t>最低报价不能作为中标的唯一保证</w:t>
      </w:r>
      <w:r>
        <w:rPr>
          <w:rFonts w:hint="default" w:ascii="Times New Roman" w:hAnsi="Times New Roman" w:eastAsia="宋体" w:cs="Times New Roman"/>
          <w:b/>
          <w:bCs/>
          <w:color w:val="auto"/>
          <w:kern w:val="0"/>
          <w:sz w:val="24"/>
          <w:szCs w:val="24"/>
          <w:highlight w:val="none"/>
        </w:rPr>
        <w:t>。</w:t>
      </w:r>
    </w:p>
    <w:p w14:paraId="351BE622">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bookmarkStart w:id="8" w:name="_Toc494736969"/>
      <w:r>
        <w:rPr>
          <w:rFonts w:hint="default" w:ascii="Times New Roman" w:hAnsi="Times New Roman" w:eastAsia="宋体" w:cs="Times New Roman"/>
          <w:b/>
          <w:bCs/>
          <w:color w:val="auto"/>
          <w:kern w:val="0"/>
          <w:sz w:val="24"/>
          <w:szCs w:val="24"/>
          <w:highlight w:val="none"/>
        </w:rPr>
        <w:t>三、资格审查内容</w:t>
      </w:r>
      <w:bookmarkEnd w:id="8"/>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74"/>
        <w:gridCol w:w="1467"/>
        <w:gridCol w:w="2316"/>
        <w:gridCol w:w="4689"/>
      </w:tblGrid>
      <w:tr w14:paraId="68BB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0A588631">
            <w:pPr>
              <w:snapToGrid w:val="0"/>
              <w:spacing w:line="360" w:lineRule="exact"/>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序号</w:t>
            </w:r>
          </w:p>
        </w:tc>
        <w:tc>
          <w:tcPr>
            <w:tcW w:w="1467" w:type="dxa"/>
            <w:tcBorders>
              <w:top w:val="single" w:color="000000" w:sz="8" w:space="0"/>
              <w:left w:val="single" w:color="000000" w:sz="8" w:space="0"/>
              <w:bottom w:val="single" w:color="000000" w:sz="8" w:space="0"/>
              <w:right w:val="single" w:color="000000" w:sz="8" w:space="0"/>
            </w:tcBorders>
            <w:vAlign w:val="center"/>
          </w:tcPr>
          <w:p w14:paraId="45CF356E">
            <w:pPr>
              <w:snapToGrid w:val="0"/>
              <w:spacing w:line="360" w:lineRule="exact"/>
              <w:jc w:val="center"/>
              <w:rPr>
                <w:rFonts w:hint="default" w:ascii="Times New Roman" w:hAnsi="Times New Roman" w:cs="Times New Roman"/>
                <w:color w:val="auto"/>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类型</w:t>
            </w:r>
          </w:p>
        </w:tc>
        <w:tc>
          <w:tcPr>
            <w:tcW w:w="2316" w:type="dxa"/>
            <w:tcBorders>
              <w:top w:val="single" w:color="000000" w:sz="8" w:space="0"/>
              <w:left w:val="single" w:color="000000" w:sz="8" w:space="0"/>
              <w:bottom w:val="single" w:color="000000" w:sz="8" w:space="0"/>
              <w:right w:val="single" w:color="000000" w:sz="8" w:space="0"/>
            </w:tcBorders>
            <w:vAlign w:val="center"/>
          </w:tcPr>
          <w:p w14:paraId="0120B622">
            <w:pPr>
              <w:snapToGrid w:val="0"/>
              <w:spacing w:line="360" w:lineRule="exact"/>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lang w:val="en-US" w:eastAsia="zh-CN"/>
              </w:rPr>
              <w:t>审查</w:t>
            </w:r>
            <w:r>
              <w:rPr>
                <w:rFonts w:hint="default" w:ascii="Times New Roman" w:hAnsi="Times New Roman" w:eastAsia="宋体" w:cs="Times New Roman"/>
                <w:b/>
                <w:bCs/>
                <w:color w:val="auto"/>
                <w:kern w:val="0"/>
                <w:sz w:val="24"/>
                <w:szCs w:val="24"/>
                <w:highlight w:val="none"/>
              </w:rPr>
              <w:t>内容</w:t>
            </w:r>
          </w:p>
        </w:tc>
        <w:tc>
          <w:tcPr>
            <w:tcW w:w="4689" w:type="dxa"/>
            <w:tcBorders>
              <w:top w:val="single" w:color="000000" w:sz="8" w:space="0"/>
              <w:left w:val="single" w:color="000000" w:sz="8" w:space="0"/>
              <w:bottom w:val="single" w:color="000000" w:sz="8" w:space="0"/>
              <w:right w:val="single" w:color="000000" w:sz="8" w:space="0"/>
            </w:tcBorders>
            <w:vAlign w:val="center"/>
          </w:tcPr>
          <w:p w14:paraId="5EF7EFE5">
            <w:pPr>
              <w:snapToGrid w:val="0"/>
              <w:spacing w:line="360" w:lineRule="exact"/>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审查标准</w:t>
            </w:r>
          </w:p>
        </w:tc>
      </w:tr>
      <w:tr w14:paraId="7BAB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25"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6B9034EF">
            <w:pPr>
              <w:snapToGrid w:val="0"/>
              <w:spacing w:line="3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p>
        </w:tc>
        <w:tc>
          <w:tcPr>
            <w:tcW w:w="1467" w:type="dxa"/>
            <w:tcBorders>
              <w:top w:val="single" w:color="000000" w:sz="8" w:space="0"/>
              <w:left w:val="single" w:color="000000" w:sz="8" w:space="0"/>
              <w:right w:val="single" w:color="000000" w:sz="8" w:space="0"/>
            </w:tcBorders>
            <w:vAlign w:val="center"/>
          </w:tcPr>
          <w:p w14:paraId="253AF863">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基本资质</w:t>
            </w:r>
          </w:p>
        </w:tc>
        <w:tc>
          <w:tcPr>
            <w:tcW w:w="2316" w:type="dxa"/>
            <w:tcBorders>
              <w:top w:val="single" w:color="000000" w:sz="8" w:space="0"/>
              <w:left w:val="single" w:color="000000" w:sz="8" w:space="0"/>
              <w:bottom w:val="single" w:color="000000" w:sz="8" w:space="0"/>
              <w:right w:val="single" w:color="000000" w:sz="8" w:space="0"/>
            </w:tcBorders>
            <w:vAlign w:val="center"/>
          </w:tcPr>
          <w:p w14:paraId="2023E976">
            <w:pPr>
              <w:snapToGrid w:val="0"/>
              <w:spacing w:line="36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eastAsia="Times New Roman" w:cs="Times New Roman"/>
                <w:color w:val="auto"/>
                <w:sz w:val="24"/>
                <w:szCs w:val="24"/>
                <w:highlight w:val="none"/>
              </w:rPr>
              <w:t>满足《中华人民共和国政府采购法》第二十二条规定</w:t>
            </w:r>
            <w:r>
              <w:rPr>
                <w:rFonts w:hint="default" w:ascii="Times New Roman" w:hAnsi="Times New Roman" w:eastAsia="宋体" w:cs="Times New Roman"/>
                <w:color w:val="auto"/>
                <w:sz w:val="24"/>
                <w:szCs w:val="24"/>
                <w:highlight w:val="none"/>
                <w:lang w:eastAsia="zh-CN"/>
              </w:rPr>
              <w:t>：</w:t>
            </w:r>
          </w:p>
          <w:p w14:paraId="164B9962">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具有独立承担民事责任的能力；</w:t>
            </w:r>
          </w:p>
          <w:p w14:paraId="4A1C61DB">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具有健全的财务会计制度；</w:t>
            </w:r>
          </w:p>
          <w:p w14:paraId="7E126C61">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具有依法缴纳税收的良好记录；</w:t>
            </w:r>
          </w:p>
          <w:p w14:paraId="164A4033">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具有依法缴纳社会保障资金的良好记录；</w:t>
            </w:r>
          </w:p>
          <w:p w14:paraId="20ECA4D4">
            <w:pPr>
              <w:snapToGrid w:val="0"/>
              <w:spacing w:line="360" w:lineRule="exact"/>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具有履行合同的能力</w:t>
            </w:r>
            <w:r>
              <w:rPr>
                <w:rFonts w:hint="default" w:ascii="Times New Roman" w:hAnsi="Times New Roman" w:eastAsia="宋体" w:cs="Times New Roman"/>
                <w:color w:val="auto"/>
                <w:kern w:val="0"/>
                <w:sz w:val="24"/>
                <w:szCs w:val="24"/>
                <w:highlight w:val="none"/>
                <w:lang w:eastAsia="zh-CN"/>
              </w:rPr>
              <w:t>；</w:t>
            </w:r>
          </w:p>
          <w:p w14:paraId="05A930D6">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参加政府采购活动前三年内，在经营活动中没有重大违法记录</w:t>
            </w:r>
          </w:p>
        </w:tc>
        <w:tc>
          <w:tcPr>
            <w:tcW w:w="4689" w:type="dxa"/>
            <w:tcBorders>
              <w:top w:val="single" w:color="000000" w:sz="8" w:space="0"/>
              <w:left w:val="single" w:color="000000" w:sz="8" w:space="0"/>
              <w:bottom w:val="single" w:color="000000" w:sz="8" w:space="0"/>
              <w:right w:val="single" w:color="000000" w:sz="8" w:space="0"/>
            </w:tcBorders>
            <w:vAlign w:val="center"/>
          </w:tcPr>
          <w:p w14:paraId="6D47EF15">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提供《供应商信用承诺书》，内容完整，签章符合要求</w:t>
            </w:r>
          </w:p>
        </w:tc>
      </w:tr>
      <w:tr w14:paraId="62A6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4FC7F062">
            <w:pPr>
              <w:snapToGrid w:val="0"/>
              <w:spacing w:line="360" w:lineRule="exact"/>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6C1C6">
            <w:pPr>
              <w:snapToGrid w:val="0"/>
              <w:spacing w:line="360" w:lineRule="exact"/>
              <w:jc w:val="center"/>
              <w:rPr>
                <w:rFonts w:hint="default" w:ascii="Times New Roman" w:hAnsi="Times New Roman" w:eastAsia="Times New Roman" w:cs="Times New Roman"/>
                <w:color w:val="auto"/>
                <w:kern w:val="0"/>
                <w:sz w:val="24"/>
                <w:szCs w:val="24"/>
                <w:highlight w:val="none"/>
                <w:lang w:val="en-US"/>
              </w:rPr>
            </w:pPr>
            <w:r>
              <w:rPr>
                <w:rFonts w:hint="default" w:ascii="Times New Roman" w:hAnsi="Times New Roman" w:eastAsia="宋体" w:cs="Times New Roman"/>
                <w:color w:val="auto"/>
                <w:kern w:val="0"/>
                <w:sz w:val="24"/>
                <w:szCs w:val="24"/>
                <w:highlight w:val="none"/>
                <w:lang w:val="en-US" w:eastAsia="zh-CN"/>
              </w:rPr>
              <w:t>特定资质</w:t>
            </w:r>
          </w:p>
        </w:tc>
        <w:tc>
          <w:tcPr>
            <w:tcW w:w="2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2B1BF">
            <w:pPr>
              <w:snapToGrid w:val="0"/>
              <w:spacing w:line="360" w:lineRule="exact"/>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本项目的特定资格</w:t>
            </w:r>
          </w:p>
          <w:p w14:paraId="445DCE6C">
            <w:pPr>
              <w:snapToGrid w:val="0"/>
              <w:spacing w:line="36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条件</w:t>
            </w:r>
          </w:p>
        </w:tc>
        <w:tc>
          <w:tcPr>
            <w:tcW w:w="46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0B0D8">
            <w:pPr>
              <w:snapToGrid w:val="0"/>
              <w:spacing w:line="3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按照“第二部分</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投标人须知前附表”序号</w:t>
            </w:r>
            <w:r>
              <w:rPr>
                <w:rFonts w:hint="default" w:ascii="Times New Roman" w:hAnsi="Times New Roman" w:eastAsia="Calibri"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“本项目的特定资格要求”规定提交相关证明文件。</w:t>
            </w:r>
          </w:p>
          <w:p w14:paraId="3B86CF53">
            <w:pPr>
              <w:snapToGrid w:val="0"/>
              <w:spacing w:line="3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按本次招标文件规定所属行业相关法律、法规等对生产或经营该投标产品有特殊资格、证照等规定的，投标人须主动提供其相关证明材料。</w:t>
            </w:r>
          </w:p>
          <w:p w14:paraId="223A90CE">
            <w:pPr>
              <w:snapToGrid w:val="0"/>
              <w:spacing w:line="36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证明文件齐全，扫描件清晰有效。</w:t>
            </w:r>
          </w:p>
        </w:tc>
      </w:tr>
      <w:tr w14:paraId="1168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56"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73627">
            <w:pPr>
              <w:snapToGrid w:val="0"/>
              <w:spacing w:line="3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3</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0BF30">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基本资质</w:t>
            </w:r>
          </w:p>
        </w:tc>
        <w:tc>
          <w:tcPr>
            <w:tcW w:w="2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5F977">
            <w:pPr>
              <w:snapToGrid w:val="0"/>
              <w:spacing w:line="36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不存在</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单位负责人为同一人或者存在直接控股、管理关系的不同供应商参加同一合同项下的政府采购活动</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的情况</w:t>
            </w:r>
          </w:p>
        </w:tc>
        <w:tc>
          <w:tcPr>
            <w:tcW w:w="46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FED57">
            <w:pPr>
              <w:snapToGrid w:val="0"/>
              <w:spacing w:line="360" w:lineRule="exact"/>
              <w:jc w:val="left"/>
              <w:rPr>
                <w:rFonts w:hint="default" w:ascii="Times New Roman" w:hAnsi="Times New Roman" w:cs="Times New Roman" w:eastAsiaTheme="minorEastAsia"/>
                <w:color w:val="auto"/>
                <w:kern w:val="0"/>
                <w:sz w:val="20"/>
                <w:szCs w:val="22"/>
                <w:highlight w:val="none"/>
                <w:lang w:val="en-US" w:eastAsia="zh-CN" w:bidi="ar-SA"/>
              </w:rPr>
            </w:pPr>
            <w:r>
              <w:rPr>
                <w:rFonts w:hint="default" w:ascii="Times New Roman" w:hAnsi="Times New Roman" w:eastAsia="宋体" w:cs="Times New Roman"/>
                <w:color w:val="auto"/>
                <w:kern w:val="0"/>
                <w:sz w:val="24"/>
                <w:szCs w:val="24"/>
                <w:highlight w:val="none"/>
              </w:rPr>
              <w:t>提供</w:t>
            </w:r>
            <w:r>
              <w:rPr>
                <w:rFonts w:hint="default" w:ascii="Times New Roman" w:hAnsi="Times New Roman" w:cs="Times New Roman"/>
                <w:color w:val="auto"/>
                <w:spacing w:val="6"/>
                <w:sz w:val="24"/>
                <w:szCs w:val="24"/>
                <w:highlight w:val="none"/>
                <w:lang w:val="en-US" w:eastAsia="zh-CN"/>
              </w:rPr>
              <w:t>《供应商控股及关联企业信息表》</w:t>
            </w:r>
            <w:r>
              <w:rPr>
                <w:rFonts w:hint="default" w:ascii="Times New Roman" w:hAnsi="Times New Roman" w:eastAsia="宋体" w:cs="Times New Roman"/>
                <w:color w:val="auto"/>
                <w:kern w:val="0"/>
                <w:sz w:val="24"/>
                <w:szCs w:val="24"/>
                <w:highlight w:val="none"/>
              </w:rPr>
              <w:t>，内容完整，签章符合要求</w:t>
            </w:r>
          </w:p>
        </w:tc>
      </w:tr>
    </w:tbl>
    <w:p w14:paraId="4CC14047">
      <w:pPr>
        <w:keepNext w:val="0"/>
        <w:keepLines w:val="0"/>
        <w:pageBreakBefore w:val="0"/>
        <w:widowControl w:val="0"/>
        <w:kinsoku/>
        <w:wordWrap/>
        <w:overflowPunct/>
        <w:topLinePunct w:val="0"/>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说明： </w:t>
      </w:r>
    </w:p>
    <w:p w14:paraId="74B8CD55">
      <w:pPr>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1）评审现场将通过</w:t>
      </w:r>
      <w:r>
        <w:rPr>
          <w:rFonts w:hint="default" w:ascii="Times New Roman" w:hAnsi="Times New Roman" w:eastAsia="宋体" w:cs="Times New Roman"/>
          <w:color w:val="auto"/>
          <w:sz w:val="24"/>
          <w:szCs w:val="24"/>
          <w:highlight w:val="none"/>
        </w:rPr>
        <w:t>“信用中国”网站（www.creditchina.gov.cn），中国政府采购网（www.ccgp.gov.cn）</w:t>
      </w:r>
      <w:r>
        <w:rPr>
          <w:rFonts w:hint="default" w:ascii="Times New Roman" w:hAnsi="Times New Roman" w:eastAsia="宋体" w:cs="Times New Roman"/>
          <w:color w:val="auto"/>
          <w:sz w:val="24"/>
          <w:szCs w:val="24"/>
          <w:highlight w:val="none"/>
          <w:lang w:val="en-US" w:eastAsia="zh-CN"/>
        </w:rPr>
        <w:t>对供应商信用信息进行查询，</w:t>
      </w:r>
      <w:r>
        <w:rPr>
          <w:rFonts w:hint="default" w:ascii="Times New Roman" w:hAnsi="Times New Roman" w:eastAsia="宋体" w:cs="Times New Roman"/>
          <w:color w:val="auto"/>
          <w:sz w:val="24"/>
          <w:szCs w:val="24"/>
          <w:highlight w:val="none"/>
        </w:rPr>
        <w:t>被列入失信被执行人、</w:t>
      </w:r>
      <w:r>
        <w:rPr>
          <w:rFonts w:hint="eastAsia" w:ascii="Times New Roman" w:hAnsi="Times New Roman" w:eastAsia="宋体" w:cs="Times New Roman"/>
          <w:color w:val="auto"/>
          <w:sz w:val="24"/>
          <w:szCs w:val="24"/>
          <w:highlight w:val="none"/>
          <w:lang w:eastAsia="zh-CN"/>
        </w:rPr>
        <w:t>重大税收违法失信主体</w:t>
      </w:r>
      <w:r>
        <w:rPr>
          <w:rFonts w:hint="eastAsia" w:ascii="Times New Roman" w:hAnsi="Times New Roman" w:eastAsia="宋体" w:cs="Times New Roman"/>
          <w:color w:val="auto"/>
          <w:sz w:val="24"/>
          <w:szCs w:val="24"/>
          <w:highlight w:val="none"/>
          <w:lang w:val="en-US" w:eastAsia="zh-CN"/>
        </w:rPr>
        <w:t>名单</w:t>
      </w:r>
      <w:r>
        <w:rPr>
          <w:rFonts w:hint="default" w:ascii="Times New Roman" w:hAnsi="Times New Roman" w:eastAsia="宋体" w:cs="Times New Roman"/>
          <w:color w:val="auto"/>
          <w:sz w:val="24"/>
          <w:szCs w:val="24"/>
          <w:highlight w:val="none"/>
        </w:rPr>
        <w:t>、政府采购严重违法失信行为记录名单的供应商的</w:t>
      </w:r>
      <w:r>
        <w:rPr>
          <w:rFonts w:hint="default"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文件无效。</w:t>
      </w:r>
    </w:p>
    <w:p w14:paraId="1031D9B6">
      <w:pPr>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资格性审查的内容若有一项未提供或达不到审查标准，将导致其不具备</w:t>
      </w:r>
      <w:r>
        <w:rPr>
          <w:rFonts w:hint="default" w:ascii="Times New Roman" w:hAnsi="Times New Roman" w:eastAsia="宋体" w:cs="Times New Roman"/>
          <w:color w:val="auto"/>
          <w:sz w:val="24"/>
          <w:szCs w:val="24"/>
          <w:highlight w:val="none"/>
          <w:lang w:eastAsia="zh-CN"/>
        </w:rPr>
        <w:t>参加</w:t>
      </w:r>
      <w:r>
        <w:rPr>
          <w:rFonts w:hint="default"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资格，且不允许在</w:t>
      </w:r>
      <w:r>
        <w:rPr>
          <w:rFonts w:hint="eastAsia" w:ascii="Times New Roman" w:hAnsi="Times New Roman" w:eastAsia="宋体" w:cs="Times New Roman"/>
          <w:color w:val="auto"/>
          <w:sz w:val="24"/>
          <w:szCs w:val="24"/>
          <w:highlight w:val="none"/>
          <w:lang w:val="en-US" w:eastAsia="zh-CN"/>
        </w:rPr>
        <w:t>投标文件</w:t>
      </w:r>
      <w:r>
        <w:rPr>
          <w:rFonts w:hint="default" w:ascii="Times New Roman" w:hAnsi="Times New Roman" w:eastAsia="宋体" w:cs="Times New Roman"/>
          <w:color w:val="auto"/>
          <w:sz w:val="24"/>
          <w:szCs w:val="24"/>
          <w:highlight w:val="none"/>
        </w:rPr>
        <w:t>提交截止时间后补正。</w:t>
      </w:r>
    </w:p>
    <w:p w14:paraId="6837A5A8">
      <w:pPr>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）供应商提供的其他材料，不作为资格</w:t>
      </w:r>
      <w:r>
        <w:rPr>
          <w:rFonts w:hint="default" w:ascii="Times New Roman" w:hAnsi="Times New Roman" w:eastAsia="宋体" w:cs="Times New Roman"/>
          <w:color w:val="auto"/>
          <w:sz w:val="24"/>
          <w:szCs w:val="24"/>
          <w:highlight w:val="none"/>
          <w:lang w:val="en-US" w:eastAsia="zh-CN"/>
        </w:rPr>
        <w:t>审查</w:t>
      </w:r>
      <w:r>
        <w:rPr>
          <w:rFonts w:hint="default" w:ascii="Times New Roman" w:hAnsi="Times New Roman" w:eastAsia="宋体" w:cs="Times New Roman"/>
          <w:color w:val="auto"/>
          <w:sz w:val="24"/>
          <w:szCs w:val="24"/>
          <w:highlight w:val="none"/>
        </w:rPr>
        <w:t>的内容</w:t>
      </w:r>
      <w:r>
        <w:rPr>
          <w:rFonts w:hint="default" w:ascii="Times New Roman" w:hAnsi="Times New Roman" w:eastAsia="宋体" w:cs="Times New Roman"/>
          <w:color w:val="auto"/>
          <w:sz w:val="24"/>
          <w:szCs w:val="24"/>
          <w:highlight w:val="none"/>
          <w:lang w:eastAsia="zh-CN"/>
        </w:rPr>
        <w:t>。</w:t>
      </w:r>
    </w:p>
    <w:p w14:paraId="7C1D166B">
      <w:pPr>
        <w:snapToGrid w:val="0"/>
        <w:spacing w:before="60" w:after="60" w:line="460" w:lineRule="exact"/>
        <w:rPr>
          <w:rFonts w:hint="default" w:ascii="Times New Roman" w:hAnsi="Times New Roman" w:eastAsia="宋体" w:cs="Times New Roman"/>
          <w:b/>
          <w:bCs/>
          <w:color w:val="auto"/>
          <w:sz w:val="24"/>
          <w:szCs w:val="24"/>
          <w:highlight w:val="none"/>
          <w:shd w:val="clear" w:color="auto" w:fill="FFFFFF"/>
        </w:rPr>
      </w:pPr>
      <w:r>
        <w:rPr>
          <w:rFonts w:hint="default" w:ascii="Times New Roman" w:hAnsi="Times New Roman" w:eastAsia="宋体" w:cs="Times New Roman"/>
          <w:b/>
          <w:bCs/>
          <w:color w:val="auto"/>
          <w:sz w:val="24"/>
          <w:szCs w:val="24"/>
          <w:highlight w:val="none"/>
          <w:shd w:val="clear" w:color="auto" w:fill="FFFFFF"/>
        </w:rPr>
        <w:t>四、符合性审查的内容及标准</w:t>
      </w:r>
    </w:p>
    <w:tbl>
      <w:tblPr>
        <w:tblStyle w:val="1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16"/>
        <w:gridCol w:w="1441"/>
        <w:gridCol w:w="1784"/>
        <w:gridCol w:w="5220"/>
      </w:tblGrid>
      <w:tr w14:paraId="47DC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02F1F399">
            <w:pPr>
              <w:snapToGrid w:val="0"/>
              <w:spacing w:line="3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1441" w:type="dxa"/>
            <w:tcBorders>
              <w:top w:val="single" w:color="000000" w:sz="8" w:space="0"/>
              <w:left w:val="single" w:color="000000" w:sz="8" w:space="0"/>
              <w:bottom w:val="single" w:color="000000" w:sz="8" w:space="0"/>
              <w:right w:val="single" w:color="000000" w:sz="8" w:space="0"/>
            </w:tcBorders>
            <w:vAlign w:val="center"/>
          </w:tcPr>
          <w:p w14:paraId="4A07D11F">
            <w:pPr>
              <w:snapToGrid w:val="0"/>
              <w:spacing w:line="36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类型</w:t>
            </w:r>
          </w:p>
        </w:tc>
        <w:tc>
          <w:tcPr>
            <w:tcW w:w="1784" w:type="dxa"/>
            <w:tcBorders>
              <w:top w:val="single" w:color="000000" w:sz="8" w:space="0"/>
              <w:left w:val="single" w:color="000000" w:sz="8" w:space="0"/>
              <w:bottom w:val="single" w:color="000000" w:sz="8" w:space="0"/>
              <w:right w:val="single" w:color="000000" w:sz="8" w:space="0"/>
            </w:tcBorders>
            <w:vAlign w:val="center"/>
          </w:tcPr>
          <w:p w14:paraId="171AD747">
            <w:pPr>
              <w:snapToGrid w:val="0"/>
              <w:spacing w:line="3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审查内容</w:t>
            </w:r>
          </w:p>
        </w:tc>
        <w:tc>
          <w:tcPr>
            <w:tcW w:w="5220" w:type="dxa"/>
            <w:tcBorders>
              <w:top w:val="single" w:color="000000" w:sz="8" w:space="0"/>
              <w:left w:val="single" w:color="000000" w:sz="8" w:space="0"/>
              <w:bottom w:val="single" w:color="000000" w:sz="8" w:space="0"/>
              <w:right w:val="single" w:color="000000" w:sz="8" w:space="0"/>
            </w:tcBorders>
            <w:vAlign w:val="center"/>
          </w:tcPr>
          <w:p w14:paraId="7BC17617">
            <w:pPr>
              <w:snapToGrid w:val="0"/>
              <w:spacing w:line="3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审查</w:t>
            </w:r>
            <w:r>
              <w:rPr>
                <w:rFonts w:hint="default" w:ascii="Times New Roman" w:hAnsi="Times New Roman" w:eastAsia="宋体" w:cs="Times New Roman"/>
                <w:b/>
                <w:bCs/>
                <w:color w:val="auto"/>
                <w:sz w:val="24"/>
                <w:szCs w:val="24"/>
                <w:highlight w:val="none"/>
              </w:rPr>
              <w:t>标准</w:t>
            </w:r>
          </w:p>
        </w:tc>
      </w:tr>
      <w:tr w14:paraId="0E85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49"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6808C6C5">
            <w:pPr>
              <w:snapToGrid w:val="0"/>
              <w:spacing w:line="36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1441" w:type="dxa"/>
            <w:tcBorders>
              <w:top w:val="single" w:color="000000" w:sz="8" w:space="0"/>
              <w:left w:val="single" w:color="000000" w:sz="8" w:space="0"/>
              <w:bottom w:val="single" w:color="000000" w:sz="8" w:space="0"/>
              <w:right w:val="single" w:color="000000" w:sz="8" w:space="0"/>
            </w:tcBorders>
            <w:vAlign w:val="center"/>
          </w:tcPr>
          <w:p w14:paraId="477C75AF">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报价</w:t>
            </w:r>
          </w:p>
        </w:tc>
        <w:tc>
          <w:tcPr>
            <w:tcW w:w="1784" w:type="dxa"/>
            <w:tcBorders>
              <w:top w:val="single" w:color="000000" w:sz="8" w:space="0"/>
              <w:left w:val="single" w:color="000000" w:sz="8" w:space="0"/>
              <w:bottom w:val="single" w:color="000000" w:sz="8" w:space="0"/>
              <w:right w:val="single" w:color="000000" w:sz="8" w:space="0"/>
            </w:tcBorders>
            <w:vAlign w:val="center"/>
          </w:tcPr>
          <w:p w14:paraId="33BE55B9">
            <w:pPr>
              <w:snapToGrid w:val="0"/>
              <w:spacing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报价</w:t>
            </w:r>
          </w:p>
        </w:tc>
        <w:tc>
          <w:tcPr>
            <w:tcW w:w="5220" w:type="dxa"/>
            <w:tcBorders>
              <w:top w:val="single" w:color="000000" w:sz="8" w:space="0"/>
              <w:left w:val="single" w:color="000000" w:sz="8" w:space="0"/>
              <w:right w:val="single" w:color="000000" w:sz="8" w:space="0"/>
            </w:tcBorders>
            <w:vAlign w:val="center"/>
          </w:tcPr>
          <w:p w14:paraId="27EB721A">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①所有投标报价均以人民币为计算单位。</w:t>
            </w:r>
          </w:p>
          <w:p w14:paraId="67C996D8">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②不存在投标报价超出本项目预算金额或最高限价的情形。</w:t>
            </w:r>
          </w:p>
          <w:p w14:paraId="50209872">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③不接受可选择</w:t>
            </w:r>
            <w:r>
              <w:rPr>
                <w:rFonts w:hint="default" w:ascii="Times New Roman" w:hAnsi="Times New Roman" w:eastAsia="宋体" w:cs="Times New Roman"/>
                <w:color w:val="auto"/>
                <w:sz w:val="24"/>
                <w:szCs w:val="24"/>
                <w:highlight w:val="none"/>
                <w:lang w:val="en-US" w:eastAsia="zh-CN"/>
              </w:rPr>
              <w:t>或可调整</w:t>
            </w:r>
            <w:r>
              <w:rPr>
                <w:rFonts w:hint="default" w:ascii="Times New Roman" w:hAnsi="Times New Roman" w:eastAsia="宋体" w:cs="Times New Roman"/>
                <w:color w:val="auto"/>
                <w:sz w:val="24"/>
                <w:szCs w:val="24"/>
                <w:highlight w:val="none"/>
              </w:rPr>
              <w:t>的报价</w:t>
            </w:r>
          </w:p>
        </w:tc>
      </w:tr>
      <w:tr w14:paraId="3C3A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19"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10C79BDA">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1441" w:type="dxa"/>
            <w:tcBorders>
              <w:top w:val="single" w:color="000000" w:sz="8" w:space="0"/>
              <w:left w:val="single" w:color="000000" w:sz="8" w:space="0"/>
              <w:bottom w:val="single" w:color="000000" w:sz="8" w:space="0"/>
              <w:right w:val="single" w:color="000000" w:sz="8" w:space="0"/>
            </w:tcBorders>
            <w:vAlign w:val="center"/>
          </w:tcPr>
          <w:p w14:paraId="6E4CD675">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4B278A53">
            <w:pPr>
              <w:snapToGrid w:val="0"/>
              <w:spacing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投标函</w:t>
            </w:r>
          </w:p>
        </w:tc>
        <w:tc>
          <w:tcPr>
            <w:tcW w:w="5220" w:type="dxa"/>
            <w:tcBorders>
              <w:top w:val="single" w:color="000000" w:sz="8" w:space="0"/>
              <w:left w:val="single" w:color="000000" w:sz="8" w:space="0"/>
              <w:right w:val="single" w:color="000000" w:sz="8" w:space="0"/>
            </w:tcBorders>
            <w:vAlign w:val="center"/>
          </w:tcPr>
          <w:p w14:paraId="0C000F78">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提供内容齐全,签章符合要求；</w:t>
            </w:r>
          </w:p>
        </w:tc>
      </w:tr>
      <w:tr w14:paraId="70D0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19"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582E22FC">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441" w:type="dxa"/>
            <w:tcBorders>
              <w:top w:val="single" w:color="000000" w:sz="8" w:space="0"/>
              <w:left w:val="single" w:color="000000" w:sz="8" w:space="0"/>
              <w:bottom w:val="single" w:color="000000" w:sz="8" w:space="0"/>
              <w:right w:val="single" w:color="000000" w:sz="8" w:space="0"/>
            </w:tcBorders>
            <w:vAlign w:val="center"/>
          </w:tcPr>
          <w:p w14:paraId="7082BA19">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1D177484">
            <w:pPr>
              <w:snapToGrid w:val="0"/>
              <w:spacing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投标人代表身份证明文件</w:t>
            </w:r>
          </w:p>
        </w:tc>
        <w:tc>
          <w:tcPr>
            <w:tcW w:w="5220" w:type="dxa"/>
            <w:tcBorders>
              <w:top w:val="single" w:color="000000" w:sz="8" w:space="0"/>
              <w:left w:val="single" w:color="000000" w:sz="8" w:space="0"/>
              <w:right w:val="single" w:color="000000" w:sz="8" w:space="0"/>
            </w:tcBorders>
            <w:vAlign w:val="center"/>
          </w:tcPr>
          <w:p w14:paraId="0F8E4588">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1</w:t>
            </w:r>
            <w:r>
              <w:rPr>
                <w:rFonts w:hint="default" w:ascii="Times New Roman" w:hAnsi="Times New Roman" w:eastAsia="宋体" w:cs="Times New Roman"/>
                <w:color w:val="auto"/>
                <w:sz w:val="24"/>
                <w:szCs w:val="24"/>
                <w:highlight w:val="none"/>
              </w:rPr>
              <w:t>）法定代表人（负责人）参加投标的，提供“</w:t>
            </w:r>
            <w:r>
              <w:rPr>
                <w:rFonts w:hint="default" w:ascii="Times New Roman" w:hAnsi="Times New Roman" w:eastAsia="宋体" w:cs="Times New Roman"/>
                <w:color w:val="auto"/>
                <w:sz w:val="24"/>
                <w:szCs w:val="24"/>
                <w:highlight w:val="none"/>
                <w:lang w:eastAsia="zh-CN"/>
              </w:rPr>
              <w:t>法定代表人（负责人）身份证明书</w:t>
            </w:r>
            <w:r>
              <w:rPr>
                <w:rFonts w:hint="default" w:ascii="Times New Roman" w:hAnsi="Times New Roman" w:eastAsia="宋体" w:cs="Times New Roman"/>
                <w:color w:val="auto"/>
                <w:sz w:val="24"/>
                <w:szCs w:val="24"/>
                <w:highlight w:val="none"/>
              </w:rPr>
              <w:t>”</w:t>
            </w:r>
          </w:p>
          <w:p w14:paraId="79B31DF1">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2</w:t>
            </w:r>
            <w:r>
              <w:rPr>
                <w:rFonts w:hint="default" w:ascii="Times New Roman" w:hAnsi="Times New Roman" w:eastAsia="宋体" w:cs="Times New Roman"/>
                <w:color w:val="auto"/>
                <w:sz w:val="24"/>
                <w:szCs w:val="24"/>
                <w:highlight w:val="none"/>
              </w:rPr>
              <w:t>）委托代理人参加投标的，提供“</w:t>
            </w:r>
            <w:r>
              <w:rPr>
                <w:rFonts w:hint="default" w:ascii="Times New Roman" w:hAnsi="Times New Roman" w:eastAsia="宋体" w:cs="Times New Roman"/>
                <w:color w:val="auto"/>
                <w:sz w:val="24"/>
                <w:szCs w:val="24"/>
                <w:highlight w:val="none"/>
                <w:lang w:eastAsia="zh-CN"/>
              </w:rPr>
              <w:t>法定代表人（负责人）身份证明书</w:t>
            </w:r>
            <w:r>
              <w:rPr>
                <w:rFonts w:hint="default" w:ascii="Times New Roman" w:hAnsi="Times New Roman" w:eastAsia="宋体" w:cs="Times New Roman"/>
                <w:color w:val="auto"/>
                <w:sz w:val="24"/>
                <w:szCs w:val="24"/>
                <w:highlight w:val="none"/>
              </w:rPr>
              <w:t>”和“法定代表人（负责人）授权委托书”</w:t>
            </w:r>
          </w:p>
          <w:p w14:paraId="526E57E5">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3</w:t>
            </w:r>
            <w:r>
              <w:rPr>
                <w:rFonts w:hint="default" w:ascii="Times New Roman" w:hAnsi="Times New Roman" w:eastAsia="宋体" w:cs="Times New Roman"/>
                <w:color w:val="auto"/>
                <w:sz w:val="24"/>
                <w:szCs w:val="24"/>
                <w:highlight w:val="none"/>
              </w:rPr>
              <w:t>）自然人参加投标的，提供个人身份证明扫描件。</w:t>
            </w:r>
          </w:p>
          <w:p w14:paraId="1C80F7DC">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内容齐全，签章符合要求。</w:t>
            </w:r>
          </w:p>
        </w:tc>
      </w:tr>
      <w:tr w14:paraId="7C2E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64C107A3">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1441" w:type="dxa"/>
            <w:tcBorders>
              <w:top w:val="single" w:color="000000" w:sz="8" w:space="0"/>
              <w:left w:val="single" w:color="000000" w:sz="8" w:space="0"/>
              <w:bottom w:val="single" w:color="000000" w:sz="8" w:space="0"/>
              <w:right w:val="single" w:color="000000" w:sz="8" w:space="0"/>
            </w:tcBorders>
            <w:vAlign w:val="center"/>
          </w:tcPr>
          <w:p w14:paraId="56DC28BE">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28658B2A">
            <w:pPr>
              <w:snapToGrid w:val="0"/>
              <w:spacing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投标保证金</w:t>
            </w:r>
          </w:p>
        </w:tc>
        <w:tc>
          <w:tcPr>
            <w:tcW w:w="5220" w:type="dxa"/>
            <w:tcBorders>
              <w:top w:val="single" w:color="000000" w:sz="8" w:space="0"/>
              <w:left w:val="single" w:color="000000" w:sz="8" w:space="0"/>
              <w:right w:val="single" w:color="000000" w:sz="8" w:space="0"/>
            </w:tcBorders>
            <w:vAlign w:val="center"/>
          </w:tcPr>
          <w:p w14:paraId="2A49A5F5">
            <w:pPr>
              <w:keepNext w:val="0"/>
              <w:keepLines w:val="0"/>
              <w:pageBreakBefore w:val="0"/>
              <w:widowControl w:val="0"/>
              <w:kinsoku/>
              <w:wordWrap/>
              <w:overflowPunct/>
              <w:topLinePunct w:val="0"/>
              <w:bidi w:val="0"/>
              <w:spacing w:line="46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投标保证金要求足额交纳</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提供交纳凭证。</w:t>
            </w:r>
          </w:p>
          <w:p w14:paraId="3B6A5527">
            <w:pPr>
              <w:keepNext w:val="0"/>
              <w:keepLines w:val="0"/>
              <w:pageBreakBefore w:val="0"/>
              <w:widowControl w:val="0"/>
              <w:kinsoku/>
              <w:wordWrap/>
              <w:overflowPunct/>
              <w:topLinePunct w:val="0"/>
              <w:bidi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rPr>
              <w:t>投标人</w:t>
            </w:r>
            <w:r>
              <w:rPr>
                <w:rFonts w:hint="default" w:ascii="Times New Roman" w:hAnsi="Times New Roman" w:eastAsia="宋体" w:cs="Times New Roman"/>
                <w:color w:val="auto"/>
                <w:kern w:val="0"/>
                <w:sz w:val="24"/>
                <w:szCs w:val="24"/>
                <w:highlight w:val="none"/>
              </w:rPr>
              <w:t>可自主选择以银行转账、支票、汇票、本票或者金融机构、担保机构出具的保函等非现金形式提交保证金</w:t>
            </w:r>
            <w:r>
              <w:rPr>
                <w:rFonts w:hint="default" w:ascii="Times New Roman" w:hAnsi="Times New Roman" w:eastAsia="宋体" w:cs="Times New Roman"/>
                <w:color w:val="auto"/>
                <w:spacing w:val="6"/>
                <w:sz w:val="24"/>
                <w:szCs w:val="24"/>
                <w:highlight w:val="none"/>
                <w:lang w:val="en-US" w:eastAsia="zh-CN"/>
              </w:rPr>
              <w:t>。</w:t>
            </w:r>
          </w:p>
          <w:p w14:paraId="7BF71421">
            <w:pPr>
              <w:snapToGrid w:val="0"/>
              <w:spacing w:line="3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证明文件扫描件清晰。</w:t>
            </w:r>
          </w:p>
        </w:tc>
      </w:tr>
      <w:tr w14:paraId="005C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0A4D5807">
            <w:pPr>
              <w:snapToGrid w:val="0"/>
              <w:spacing w:line="36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5</w:t>
            </w:r>
          </w:p>
        </w:tc>
        <w:tc>
          <w:tcPr>
            <w:tcW w:w="1441" w:type="dxa"/>
            <w:tcBorders>
              <w:top w:val="single" w:color="000000" w:sz="8" w:space="0"/>
              <w:left w:val="single" w:color="000000" w:sz="8" w:space="0"/>
              <w:bottom w:val="single" w:color="000000" w:sz="8" w:space="0"/>
              <w:right w:val="single" w:color="000000" w:sz="8" w:space="0"/>
            </w:tcBorders>
            <w:vAlign w:val="center"/>
          </w:tcPr>
          <w:p w14:paraId="2A9EB51D">
            <w:pPr>
              <w:snapToGrid w:val="0"/>
              <w:spacing w:line="36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5436BDA3">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商务条款响应</w:t>
            </w:r>
          </w:p>
        </w:tc>
        <w:tc>
          <w:tcPr>
            <w:tcW w:w="5220" w:type="dxa"/>
            <w:tcBorders>
              <w:top w:val="single" w:color="000000" w:sz="8" w:space="0"/>
              <w:left w:val="single" w:color="000000" w:sz="8" w:space="0"/>
              <w:bottom w:val="single" w:color="000000" w:sz="8" w:space="0"/>
              <w:right w:val="single" w:color="000000" w:sz="8" w:space="0"/>
            </w:tcBorders>
            <w:vAlign w:val="center"/>
          </w:tcPr>
          <w:p w14:paraId="0E02BF9A">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投标文件有效期符合招标文件要求；</w:t>
            </w:r>
          </w:p>
          <w:p w14:paraId="47AB7848">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投标文件符合招标文件 “第五部分 采购需求” 商务要求；</w:t>
            </w:r>
          </w:p>
        </w:tc>
      </w:tr>
      <w:tr w14:paraId="7B17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13FDDF56">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1441" w:type="dxa"/>
            <w:tcBorders>
              <w:top w:val="single" w:color="000000" w:sz="8" w:space="0"/>
              <w:left w:val="single" w:color="000000" w:sz="8" w:space="0"/>
              <w:bottom w:val="single" w:color="000000" w:sz="8" w:space="0"/>
              <w:right w:val="single" w:color="000000" w:sz="8" w:space="0"/>
            </w:tcBorders>
            <w:vAlign w:val="center"/>
          </w:tcPr>
          <w:p w14:paraId="77290197">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0A950085">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政策性强制性要求</w:t>
            </w:r>
          </w:p>
        </w:tc>
        <w:tc>
          <w:tcPr>
            <w:tcW w:w="5220" w:type="dxa"/>
            <w:tcBorders>
              <w:top w:val="single" w:color="000000" w:sz="8" w:space="0"/>
              <w:left w:val="single" w:color="000000" w:sz="8" w:space="0"/>
              <w:bottom w:val="single" w:color="000000" w:sz="8" w:space="0"/>
              <w:right w:val="single" w:color="000000" w:sz="8" w:space="0"/>
            </w:tcBorders>
            <w:vAlign w:val="center"/>
          </w:tcPr>
          <w:p w14:paraId="26C32282">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投标文件符合招标文件 “第五部分 采购需求” </w:t>
            </w:r>
            <w:r>
              <w:rPr>
                <w:rFonts w:hint="default" w:ascii="Times New Roman" w:hAnsi="Times New Roman" w:eastAsia="宋体" w:cs="Times New Roman"/>
                <w:color w:val="auto"/>
                <w:sz w:val="24"/>
                <w:szCs w:val="24"/>
                <w:highlight w:val="none"/>
                <w:lang w:val="en-US" w:eastAsia="zh-CN"/>
              </w:rPr>
              <w:t>政策性及强制性</w:t>
            </w:r>
            <w:r>
              <w:rPr>
                <w:rFonts w:hint="default" w:ascii="Times New Roman" w:hAnsi="Times New Roman" w:eastAsia="宋体" w:cs="Times New Roman"/>
                <w:color w:val="auto"/>
                <w:sz w:val="24"/>
                <w:szCs w:val="24"/>
                <w:highlight w:val="none"/>
              </w:rPr>
              <w:t>要求；</w:t>
            </w:r>
          </w:p>
        </w:tc>
      </w:tr>
      <w:tr w14:paraId="26B1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450A9B18">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p>
        </w:tc>
        <w:tc>
          <w:tcPr>
            <w:tcW w:w="1441" w:type="dxa"/>
            <w:tcBorders>
              <w:top w:val="single" w:color="000000" w:sz="8" w:space="0"/>
              <w:left w:val="single" w:color="000000" w:sz="8" w:space="0"/>
              <w:bottom w:val="single" w:color="000000" w:sz="8" w:space="0"/>
              <w:right w:val="single" w:color="000000" w:sz="8" w:space="0"/>
            </w:tcBorders>
            <w:vAlign w:val="center"/>
          </w:tcPr>
          <w:p w14:paraId="270E6C83">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5E853231">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其他实质性要求</w:t>
            </w:r>
          </w:p>
        </w:tc>
        <w:tc>
          <w:tcPr>
            <w:tcW w:w="5220" w:type="dxa"/>
            <w:tcBorders>
              <w:top w:val="single" w:color="000000" w:sz="8" w:space="0"/>
              <w:left w:val="single" w:color="000000" w:sz="8" w:space="0"/>
              <w:bottom w:val="single" w:color="000000" w:sz="8" w:space="0"/>
              <w:right w:val="single" w:color="000000" w:sz="8" w:space="0"/>
            </w:tcBorders>
            <w:vAlign w:val="center"/>
          </w:tcPr>
          <w:p w14:paraId="5ADE0028">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投标文件按照招标文件要求签署、盖章；</w:t>
            </w:r>
          </w:p>
          <w:p w14:paraId="0CC7CAA6">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投标文件未含有采购人不能接受的附加条件；</w:t>
            </w:r>
          </w:p>
          <w:p w14:paraId="04CFDE2E">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投标文件满足法律法规和招标文件中其他实质性要求。</w:t>
            </w:r>
          </w:p>
        </w:tc>
      </w:tr>
      <w:tr w14:paraId="2BE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724E7A0C">
            <w:pPr>
              <w:snapToGrid w:val="0"/>
              <w:spacing w:line="36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8</w:t>
            </w:r>
          </w:p>
        </w:tc>
        <w:tc>
          <w:tcPr>
            <w:tcW w:w="1441" w:type="dxa"/>
            <w:tcBorders>
              <w:top w:val="single" w:color="000000" w:sz="8" w:space="0"/>
              <w:left w:val="single" w:color="000000" w:sz="8" w:space="0"/>
              <w:bottom w:val="single" w:color="000000" w:sz="8" w:space="0"/>
              <w:right w:val="single" w:color="000000" w:sz="8" w:space="0"/>
            </w:tcBorders>
            <w:vAlign w:val="center"/>
          </w:tcPr>
          <w:p w14:paraId="3E2A379E">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技术</w:t>
            </w:r>
          </w:p>
        </w:tc>
        <w:tc>
          <w:tcPr>
            <w:tcW w:w="1784" w:type="dxa"/>
            <w:tcBorders>
              <w:top w:val="single" w:color="000000" w:sz="8" w:space="0"/>
              <w:left w:val="single" w:color="000000" w:sz="8" w:space="0"/>
              <w:bottom w:val="single" w:color="000000" w:sz="8" w:space="0"/>
              <w:right w:val="single" w:color="000000" w:sz="8" w:space="0"/>
            </w:tcBorders>
            <w:vAlign w:val="center"/>
          </w:tcPr>
          <w:p w14:paraId="47AD0A68">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技术应答</w:t>
            </w:r>
          </w:p>
        </w:tc>
        <w:tc>
          <w:tcPr>
            <w:tcW w:w="5220" w:type="dxa"/>
            <w:tcBorders>
              <w:top w:val="single" w:color="000000" w:sz="8" w:space="0"/>
              <w:left w:val="single" w:color="000000" w:sz="8" w:space="0"/>
              <w:bottom w:val="single" w:color="000000" w:sz="8" w:space="0"/>
              <w:right w:val="single" w:color="000000" w:sz="8" w:space="0"/>
            </w:tcBorders>
            <w:vAlign w:val="center"/>
          </w:tcPr>
          <w:p w14:paraId="54751D29">
            <w:pPr>
              <w:snapToGrid w:val="0"/>
              <w:spacing w:line="360" w:lineRule="exact"/>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投标文件按照招标文件要求提供投标产品技术应答书；</w:t>
            </w:r>
          </w:p>
        </w:tc>
      </w:tr>
    </w:tbl>
    <w:p w14:paraId="2ABE78E1">
      <w:pPr>
        <w:snapToGrid w:val="0"/>
        <w:spacing w:before="60" w:after="60"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符合性审查注意事项：评标委员会各成员判定某投标文件未通过符合性审查的，应签署具体原因，否则视为该投标文件通过符合性审查。</w:t>
      </w:r>
    </w:p>
    <w:p w14:paraId="68300AEE">
      <w:pPr>
        <w:rPr>
          <w:rFonts w:hint="default" w:ascii="Times New Roman" w:hAnsi="Times New Roman" w:cs="Times New Roman"/>
          <w:color w:val="auto"/>
          <w:highlight w:val="none"/>
        </w:rPr>
      </w:pPr>
    </w:p>
    <w:p w14:paraId="16203956">
      <w:pPr>
        <w:snapToGrid w:val="0"/>
        <w:spacing w:before="60" w:after="60" w:line="46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五、落实政府采购政策性要求的评审内容及标准</w:t>
      </w:r>
    </w:p>
    <w:p w14:paraId="65A0C1C2">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48BBE9A2">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（二）本文件列明的强制采购绿色产品标的物，投标人必须投报“节能产品政府采购品目清单”中的强制节能产品，同时提供处于有效期之内的产品认证证书扫描件，并如实填写《政府强制采购产品明细表》</w:t>
      </w:r>
      <w:r>
        <w:rPr>
          <w:rFonts w:hint="eastAsia"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val="en-US" w:eastAsia="zh-CN"/>
        </w:rPr>
        <w:t>；不接受非强制采购产品。</w:t>
      </w:r>
    </w:p>
    <w:p w14:paraId="5F9A2531">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本文件列明的优先采购的绿色产品标的物，投标人可以投报“节能产品政府采购品目清单”中的非强制类产品、“环境标志产品政府采购品目清单”中的产品，也可投报清单以外的产品。</w:t>
      </w:r>
    </w:p>
    <w:p w14:paraId="676D727D">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（三）当投标人所投产品属于优先采购的绿色产品时，享受该项产品的</w:t>
      </w:r>
      <w:r>
        <w:rPr>
          <w:rFonts w:hint="eastAsia" w:ascii="Times New Roman" w:hAnsi="Times New Roman" w:eastAsia="宋体" w:cs="Times New Roman"/>
          <w:color w:val="auto"/>
          <w:sz w:val="24"/>
          <w:szCs w:val="24"/>
          <w:highlight w:val="none"/>
          <w:lang w:val="en-US" w:eastAsia="zh-CN"/>
        </w:rPr>
        <w:t>价格扣除</w:t>
      </w:r>
      <w:r>
        <w:rPr>
          <w:rFonts w:hint="default" w:ascii="Times New Roman" w:hAnsi="Times New Roman" w:eastAsia="宋体" w:cs="Times New Roman"/>
          <w:color w:val="auto"/>
          <w:sz w:val="24"/>
          <w:szCs w:val="24"/>
          <w:highlight w:val="none"/>
          <w:lang w:val="en-US" w:eastAsia="zh-CN"/>
        </w:rPr>
        <w:t>政策优惠。投标人应提供处于有效期之内的节能/环保产品认证证书扫描件，并如实填写《政府采购绿色产品明细表》</w:t>
      </w:r>
      <w:r>
        <w:rPr>
          <w:rFonts w:hint="eastAsia"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val="en-US" w:eastAsia="zh-CN"/>
        </w:rPr>
        <w:t>，符合价格扣除优惠措施的，将根据投标人提供的产品及证明材料给予</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的价格扣除。</w:t>
      </w:r>
    </w:p>
    <w:p w14:paraId="5C03288E">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4A661AC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w:t>
      </w:r>
      <w:r>
        <w:rPr>
          <w:rFonts w:hint="default" w:ascii="Times New Roman" w:hAnsi="Times New Roman" w:eastAsia="宋体" w:cs="Times New Roman"/>
          <w:color w:val="auto"/>
          <w:sz w:val="24"/>
          <w:szCs w:val="24"/>
          <w:highlight w:val="none"/>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符合绿色数据中心建设要求承诺书》，</w:t>
      </w:r>
      <w:r>
        <w:rPr>
          <w:rFonts w:hint="eastAsia"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val="en-US" w:eastAsia="zh-CN"/>
        </w:rPr>
        <w:t>。</w:t>
      </w:r>
    </w:p>
    <w:p w14:paraId="1C778894">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（五）本项目采购标的物涉及计算机产品或硬件产品内预装软件的，投标人须填写《正版软件承诺》。</w:t>
      </w:r>
    </w:p>
    <w:p w14:paraId="7079DDF7">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（六）投标货物中如含有</w:t>
      </w:r>
      <w:r>
        <w:rPr>
          <w:rFonts w:hint="default" w:ascii="Times New Roman" w:hAnsi="Times New Roman" w:eastAsia="宋体" w:cs="Times New Roman"/>
          <w:color w:val="auto"/>
          <w:sz w:val="24"/>
          <w:szCs w:val="24"/>
          <w:highlight w:val="none"/>
          <w:lang w:val="en-US" w:eastAsia="zh-CN"/>
        </w:rPr>
        <w:t>工信部</w:t>
      </w:r>
      <w:r>
        <w:rPr>
          <w:rFonts w:hint="default" w:ascii="Times New Roman" w:hAnsi="Times New Roman" w:eastAsia="宋体" w:cs="Times New Roman"/>
          <w:color w:val="auto"/>
          <w:sz w:val="24"/>
          <w:szCs w:val="24"/>
          <w:highlight w:val="none"/>
        </w:rPr>
        <w:t>会同有关部门制定下发的《网络关键设备和网络安全专用产品目录》中的产品，须</w:t>
      </w:r>
      <w:r>
        <w:rPr>
          <w:rFonts w:hint="eastAsia" w:ascii="Times New Roman" w:hAnsi="Times New Roman" w:eastAsia="宋体" w:cs="Times New Roman"/>
          <w:color w:val="auto"/>
          <w:sz w:val="24"/>
          <w:szCs w:val="24"/>
          <w:highlight w:val="none"/>
          <w:lang w:eastAsia="zh-CN"/>
        </w:rPr>
        <w:t>提供</w:t>
      </w:r>
      <w:r>
        <w:rPr>
          <w:rFonts w:hint="default" w:ascii="Times New Roman" w:hAnsi="Times New Roman" w:eastAsia="宋体" w:cs="Times New Roman"/>
          <w:color w:val="auto"/>
          <w:sz w:val="24"/>
          <w:szCs w:val="24"/>
          <w:highlight w:val="none"/>
        </w:rPr>
        <w:t>由具备资格的机构安全认证合格或者安全检测符合要求的有效</w:t>
      </w:r>
      <w:r>
        <w:rPr>
          <w:rFonts w:hint="default" w:ascii="Times New Roman" w:hAnsi="Times New Roman" w:eastAsia="宋体" w:cs="Times New Roman"/>
          <w:color w:val="auto"/>
          <w:sz w:val="24"/>
          <w:szCs w:val="24"/>
          <w:highlight w:val="none"/>
          <w:lang w:val="en-US" w:eastAsia="zh-CN"/>
        </w:rPr>
        <w:t>证明材料</w:t>
      </w:r>
      <w:r>
        <w:rPr>
          <w:rFonts w:hint="default" w:ascii="Times New Roman" w:hAnsi="Times New Roman" w:eastAsia="宋体" w:cs="Times New Roman"/>
          <w:color w:val="auto"/>
          <w:sz w:val="24"/>
          <w:szCs w:val="24"/>
          <w:highlight w:val="none"/>
        </w:rPr>
        <w:t>扫描件</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具备资格的机构是指列入《承担网络关键设备和网络安全专用产品安全认证和安全检测任务机构名录》的机构</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否则将可能导致投标无效。</w:t>
      </w:r>
    </w:p>
    <w:p w14:paraId="1FBA782F">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（七）小型、微型企业参加本项目的评审标准</w:t>
      </w:r>
    </w:p>
    <w:p w14:paraId="78B9DD0C">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default" w:ascii="Times New Roman" w:hAnsi="Times New Roman" w:eastAsia="宋体" w:cs="Times New Roman"/>
          <w:color w:val="auto"/>
          <w:sz w:val="24"/>
          <w:szCs w:val="24"/>
          <w:highlight w:val="none"/>
          <w:lang w:val="en-US" w:eastAsia="zh-CN"/>
        </w:rPr>
        <w:t>中小</w:t>
      </w:r>
      <w:r>
        <w:rPr>
          <w:rFonts w:hint="default" w:ascii="Times New Roman" w:hAnsi="Times New Roman" w:eastAsia="宋体" w:cs="Times New Roman"/>
          <w:color w:val="auto"/>
          <w:sz w:val="24"/>
          <w:szCs w:val="24"/>
          <w:highlight w:val="none"/>
        </w:rPr>
        <w:t>企业声明函》。</w:t>
      </w:r>
    </w:p>
    <w:p w14:paraId="2BC13D8F">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2. </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lang w:val="en-US" w:eastAsia="zh-CN"/>
        </w:rPr>
        <w:t>提供小型、微型企业制造的货物，享受投标货物</w:t>
      </w:r>
      <w:r>
        <w:rPr>
          <w:rFonts w:hint="eastAsia" w:ascii="Times New Roman" w:hAnsi="Times New Roman" w:eastAsia="宋体" w:cs="Times New Roman"/>
          <w:color w:val="auto"/>
          <w:sz w:val="24"/>
          <w:szCs w:val="24"/>
          <w:highlight w:val="none"/>
          <w:lang w:val="en-US" w:eastAsia="zh-CN"/>
        </w:rPr>
        <w:t>15%的价格扣除</w:t>
      </w:r>
      <w:r>
        <w:rPr>
          <w:rFonts w:hint="default" w:ascii="Times New Roman" w:hAnsi="Times New Roman" w:eastAsia="宋体" w:cs="Times New Roman"/>
          <w:color w:val="auto"/>
          <w:sz w:val="24"/>
          <w:szCs w:val="24"/>
          <w:highlight w:val="none"/>
          <w:lang w:val="en-US" w:eastAsia="zh-CN"/>
        </w:rPr>
        <w:t>。</w:t>
      </w:r>
    </w:p>
    <w:p w14:paraId="67320425">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3. </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lang w:val="en-US" w:eastAsia="zh-CN"/>
        </w:rPr>
        <w:t>提供的货物既有中小企业制造货物，也有大型企业制造货物的，不享受</w:t>
      </w:r>
      <w:r>
        <w:rPr>
          <w:rFonts w:hint="eastAsia" w:ascii="Times New Roman" w:hAnsi="Times New Roman" w:eastAsia="宋体" w:cs="Times New Roman"/>
          <w:color w:val="auto"/>
          <w:sz w:val="24"/>
          <w:szCs w:val="24"/>
          <w:highlight w:val="none"/>
          <w:lang w:val="en-US" w:eastAsia="zh-CN"/>
        </w:rPr>
        <w:t>价格扣除</w:t>
      </w:r>
      <w:r>
        <w:rPr>
          <w:rFonts w:hint="default" w:ascii="Times New Roman" w:hAnsi="Times New Roman" w:eastAsia="宋体" w:cs="Times New Roman"/>
          <w:color w:val="auto"/>
          <w:sz w:val="24"/>
          <w:szCs w:val="24"/>
          <w:highlight w:val="none"/>
          <w:lang w:val="en-US" w:eastAsia="zh-CN"/>
        </w:rPr>
        <w:t>。</w:t>
      </w:r>
    </w:p>
    <w:p w14:paraId="36A8CFB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 联合体</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宋体" w:cs="Times New Roman"/>
          <w:color w:val="auto"/>
          <w:sz w:val="24"/>
          <w:szCs w:val="24"/>
          <w:highlight w:val="none"/>
        </w:rPr>
        <w:t>：本项目若允许联合体参加，大中型企业与小型、微型企业组成联合体的，联合协议约定小型、微型企业的合同份额占到合同总金额30%以上的，对联合体的报价给予</w:t>
      </w:r>
      <w:r>
        <w:rPr>
          <w:rFonts w:hint="default" w:ascii="Times New Roman" w:hAnsi="Times New Roman" w:eastAsia="宋体" w:cs="Times New Roman"/>
          <w:color w:val="auto"/>
          <w:sz w:val="24"/>
          <w:szCs w:val="24"/>
          <w:highlight w:val="none"/>
          <w:lang w:val="en-US" w:eastAsia="zh-CN"/>
        </w:rPr>
        <w:t>一定比例</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lang w:val="en-US" w:eastAsia="zh-CN"/>
        </w:rPr>
        <w:t>价格</w:t>
      </w:r>
      <w:r>
        <w:rPr>
          <w:rFonts w:hint="default" w:ascii="Times New Roman" w:hAnsi="Times New Roman" w:eastAsia="宋体" w:cs="Times New Roman"/>
          <w:color w:val="auto"/>
          <w:sz w:val="24"/>
          <w:szCs w:val="24"/>
          <w:highlight w:val="none"/>
        </w:rPr>
        <w:t>扣除，用扣除后价格参加评审。组成联合体小微企业与联合体内其他企业之间存在直接控 股、管理关系的，不享受价格扣除优惠政策。</w:t>
      </w:r>
    </w:p>
    <w:p w14:paraId="71E2CAD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 大中型企业向小型、微型企业分包的</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宋体" w:cs="Times New Roman"/>
          <w:color w:val="auto"/>
          <w:sz w:val="24"/>
          <w:szCs w:val="24"/>
          <w:highlight w:val="none"/>
        </w:rPr>
        <w:t>：大中型企业向一家或者多家小型、微型企业分包的，分包意向协议约定小型、微型企业的合同份额占到合同总金额30%以上的，对大中型企业的报价给予</w:t>
      </w:r>
      <w:r>
        <w:rPr>
          <w:rFonts w:hint="default" w:ascii="Times New Roman" w:hAnsi="Times New Roman" w:eastAsia="宋体" w:cs="Times New Roman"/>
          <w:color w:val="auto"/>
          <w:sz w:val="24"/>
          <w:szCs w:val="24"/>
          <w:highlight w:val="none"/>
          <w:lang w:val="en-US" w:eastAsia="zh-CN"/>
        </w:rPr>
        <w:t>一定比例</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lang w:val="en-US" w:eastAsia="zh-CN"/>
        </w:rPr>
        <w:t>价格</w:t>
      </w:r>
      <w:r>
        <w:rPr>
          <w:rFonts w:hint="default" w:ascii="Times New Roman" w:hAnsi="Times New Roman" w:eastAsia="宋体" w:cs="Times New Roman"/>
          <w:color w:val="auto"/>
          <w:sz w:val="24"/>
          <w:szCs w:val="24"/>
          <w:highlight w:val="none"/>
        </w:rPr>
        <w:t>扣除，用扣除后价格参加评审。接受分包 的小微企业与分包企业之间存在直接控 股、管理关系的，不享受价格扣除优惠政策。</w:t>
      </w:r>
    </w:p>
    <w:p w14:paraId="6F35E703">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6. 通过</w:t>
      </w:r>
      <w:r>
        <w:rPr>
          <w:rFonts w:hint="default" w:ascii="Times New Roman" w:hAnsi="Times New Roman" w:eastAsia="宋体" w:cs="Times New Roman"/>
          <w:color w:val="auto"/>
          <w:sz w:val="24"/>
          <w:szCs w:val="24"/>
          <w:highlight w:val="none"/>
        </w:rPr>
        <w:t>享受扶持政策</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价格扣除</w:t>
      </w:r>
      <w:r>
        <w:rPr>
          <w:rFonts w:hint="default" w:ascii="Times New Roman" w:hAnsi="Times New Roman" w:eastAsia="宋体" w:cs="Times New Roman"/>
          <w:color w:val="auto"/>
          <w:sz w:val="24"/>
          <w:szCs w:val="24"/>
          <w:highlight w:val="none"/>
          <w:lang w:val="en-US" w:eastAsia="zh-CN"/>
        </w:rPr>
        <w:t>并</w:t>
      </w:r>
      <w:r>
        <w:rPr>
          <w:rFonts w:hint="default" w:ascii="Times New Roman" w:hAnsi="Times New Roman" w:eastAsia="宋体" w:cs="Times New Roman"/>
          <w:color w:val="auto"/>
          <w:sz w:val="24"/>
          <w:szCs w:val="24"/>
          <w:highlight w:val="none"/>
        </w:rPr>
        <w:t>获得政府采购合同的</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小微企业不得将合同分包给大中型企业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中型企业不得将合同分包给大型企业</w:t>
      </w:r>
      <w:r>
        <w:rPr>
          <w:rFonts w:hint="default" w:ascii="Times New Roman" w:hAnsi="Times New Roman" w:eastAsia="宋体" w:cs="Times New Roman"/>
          <w:color w:val="auto"/>
          <w:sz w:val="24"/>
          <w:szCs w:val="24"/>
          <w:highlight w:val="none"/>
          <w:lang w:eastAsia="zh-CN"/>
        </w:rPr>
        <w:t>。</w:t>
      </w:r>
    </w:p>
    <w:p w14:paraId="570B13C7">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（八）残疾人福利性单位参加本项目的评审标准</w:t>
      </w:r>
    </w:p>
    <w:p w14:paraId="3BB8FF7B">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须根据财库【2017】141号《关于促进残疾人就业政府采购政策的通知》的要求，如实填写《残疾人福利性单位声明函》，残疾人福利性单位参加本项目投标时，享受</w:t>
      </w:r>
      <w:r>
        <w:rPr>
          <w:rFonts w:hint="default" w:ascii="Times New Roman" w:hAnsi="Times New Roman" w:eastAsia="宋体" w:cs="Times New Roman"/>
          <w:color w:val="auto"/>
          <w:sz w:val="24"/>
          <w:szCs w:val="24"/>
          <w:highlight w:val="none"/>
          <w:lang w:val="en-US" w:eastAsia="zh-CN"/>
        </w:rPr>
        <w:t>等同于小微企业</w:t>
      </w:r>
      <w:r>
        <w:rPr>
          <w:rFonts w:hint="default"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宋体" w:cs="Times New Roman"/>
          <w:color w:val="auto"/>
          <w:sz w:val="24"/>
          <w:szCs w:val="24"/>
          <w:highlight w:val="none"/>
        </w:rPr>
        <w:t>，用扣除后的价格参与评审。</w:t>
      </w:r>
    </w:p>
    <w:p w14:paraId="2F57AACA">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享受政府采购支持政策的残疾人福利性单位应当同时满足以下条件：</w:t>
      </w:r>
    </w:p>
    <w:p w14:paraId="332B135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（1）安置的残疾人占本单位在职职工人数的比例不低于25%（含25%），并且安置的残疾人人数不少于10人（含10人）；</w:t>
      </w:r>
    </w:p>
    <w:p w14:paraId="306AD0E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（2）依法与安置的每位残疾人签订了一年以上（含一年）的劳动合同或服务协议；</w:t>
      </w:r>
    </w:p>
    <w:p w14:paraId="3A3F4BE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（3）为安置的每位残疾人按月足额缴纳了基本养老保险、基本医疗保险、失业保险、工伤保险和生育保险等社会保险费；</w:t>
      </w:r>
    </w:p>
    <w:p w14:paraId="39EEA7D1">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（4）通过银行等金融机构向安置的每位残疾人，按月支付了不低于单位所在区县适用的经省级人民政府批准的月最低工资标准的工资；</w:t>
      </w:r>
    </w:p>
    <w:p w14:paraId="4C68401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（5）提供本单位制造的货物、承担的工程或者服务（以下简称产品），或者提供其他残疾人福利性单位制造的货物（不包括使用非残疾人福利性单位注册商标的货物）</w:t>
      </w:r>
      <w:r>
        <w:rPr>
          <w:rFonts w:hint="default" w:ascii="Times New Roman" w:hAnsi="Times New Roman" w:eastAsia="宋体" w:cs="Times New Roman"/>
          <w:color w:val="auto"/>
          <w:sz w:val="24"/>
          <w:szCs w:val="24"/>
          <w:highlight w:val="none"/>
          <w:lang w:eastAsia="zh-CN"/>
        </w:rPr>
        <w:t>；</w:t>
      </w:r>
    </w:p>
    <w:p w14:paraId="2EFC9255">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80DFF2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（7）供应商提供的《残疾人福利性单位声明函》与事实不符的，依照《政府采购法》第七十七条第一款的规定追究法律责任；</w:t>
      </w:r>
    </w:p>
    <w:p w14:paraId="47AF2371">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4CDFF5F">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（九）监狱企业参加本项目的评审标准</w:t>
      </w:r>
    </w:p>
    <w:p w14:paraId="5804CAAB">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监狱企业参加投标视同小微企业，需提供由省级以上监狱管理局或戒毒管理局出具的属于监狱企业的证明文件。</w:t>
      </w:r>
    </w:p>
    <w:p w14:paraId="1F83E665">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监狱企业只有提供本企业制造的货物或服务，或者提供其他小、微企业制造的货物，享受</w:t>
      </w:r>
      <w:r>
        <w:rPr>
          <w:rFonts w:hint="default" w:ascii="Times New Roman" w:hAnsi="Times New Roman" w:eastAsia="宋体" w:cs="Times New Roman"/>
          <w:color w:val="auto"/>
          <w:sz w:val="24"/>
          <w:szCs w:val="24"/>
          <w:highlight w:val="none"/>
          <w:lang w:val="en-US" w:eastAsia="zh-CN"/>
        </w:rPr>
        <w:t>等同于小微企业</w:t>
      </w:r>
      <w:r>
        <w:rPr>
          <w:rFonts w:hint="default"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宋体" w:cs="Times New Roman"/>
          <w:color w:val="auto"/>
          <w:sz w:val="24"/>
          <w:szCs w:val="24"/>
          <w:highlight w:val="none"/>
        </w:rPr>
        <w:t>。</w:t>
      </w:r>
    </w:p>
    <w:p w14:paraId="23B80ABA">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 监狱企业与中型企业组成联合体参加投标的，或者向监狱企业分包，且联合体协议或分包意向协议约定监狱企业的协议金额占到合同金额30%以上的，享受投标标的</w:t>
      </w:r>
      <w:r>
        <w:rPr>
          <w:rFonts w:hint="default" w:ascii="Times New Roman" w:hAnsi="Times New Roman" w:eastAsia="宋体" w:cs="Times New Roman"/>
          <w:color w:val="auto"/>
          <w:sz w:val="24"/>
          <w:szCs w:val="24"/>
          <w:highlight w:val="none"/>
          <w:lang w:val="en-US" w:eastAsia="zh-CN"/>
        </w:rPr>
        <w:t>一定比例</w:t>
      </w:r>
      <w:r>
        <w:rPr>
          <w:rFonts w:hint="default" w:ascii="Times New Roman" w:hAnsi="Times New Roman" w:eastAsia="宋体" w:cs="Times New Roman"/>
          <w:color w:val="auto"/>
          <w:sz w:val="24"/>
          <w:szCs w:val="24"/>
          <w:highlight w:val="none"/>
        </w:rPr>
        <w:t>的价格扣除，用扣除后的价格参与评审。</w:t>
      </w:r>
    </w:p>
    <w:p w14:paraId="7D699217">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十</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专门面向中小企业采购的项目，不重复执行中小企业发展、促进残疾人就业、支持监狱企业发展的价格优惠政策。</w:t>
      </w:r>
    </w:p>
    <w:p w14:paraId="349988C2">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十一</w:t>
      </w:r>
      <w:r>
        <w:rPr>
          <w:rFonts w:hint="default" w:ascii="Times New Roman" w:hAnsi="Times New Roman" w:eastAsia="宋体" w:cs="Times New Roman"/>
          <w:color w:val="auto"/>
          <w:sz w:val="24"/>
          <w:szCs w:val="24"/>
          <w:highlight w:val="none"/>
        </w:rPr>
        <w:t>）本项目涉及商品包装和快递包装的评审标准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严格落实《商品包装政府采购需求标准（试行）》《快递包装政府采购需求标准（试行）》。</w:t>
      </w:r>
      <w:r>
        <w:rPr>
          <w:rFonts w:hint="default" w:ascii="Times New Roman" w:hAnsi="Times New Roman" w:eastAsia="宋体" w:cs="Times New Roman"/>
          <w:color w:val="auto"/>
          <w:sz w:val="24"/>
          <w:szCs w:val="24"/>
          <w:highlight w:val="none"/>
        </w:rPr>
        <w:t>本项目涉及商品包装和快递包装要求的，投标人须填写《商品包装和快递包装承诺函》</w:t>
      </w:r>
      <w:r>
        <w:rPr>
          <w:rFonts w:hint="eastAsia" w:ascii="Times New Roman" w:hAnsi="Times New Roman" w:eastAsia="宋体" w:cs="Times New Roman"/>
          <w:color w:val="auto"/>
          <w:sz w:val="24"/>
          <w:szCs w:val="24"/>
          <w:highlight w:val="none"/>
          <w:lang w:eastAsia="zh-CN"/>
        </w:rPr>
        <w:t>（格式见第七部分）</w:t>
      </w:r>
      <w:r>
        <w:rPr>
          <w:rFonts w:hint="default" w:ascii="Times New Roman" w:hAnsi="Times New Roman" w:eastAsia="宋体" w:cs="Times New Roman"/>
          <w:color w:val="auto"/>
          <w:sz w:val="24"/>
          <w:szCs w:val="24"/>
          <w:highlight w:val="none"/>
        </w:rPr>
        <w:t>。</w:t>
      </w:r>
    </w:p>
    <w:p w14:paraId="505BA613">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（十二）涉及绿色建筑和绿色建材政府强制采购的要求：</w:t>
      </w:r>
    </w:p>
    <w:p w14:paraId="4E95D316">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w:t>
      </w:r>
      <w:r>
        <w:rPr>
          <w:rFonts w:hint="eastAsia"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val="en-US" w:eastAsia="zh-CN"/>
        </w:rPr>
        <w:t>。</w:t>
      </w:r>
    </w:p>
    <w:p w14:paraId="1C2C0ADE">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十三</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本国产品的评审标准： </w:t>
      </w:r>
    </w:p>
    <w:p w14:paraId="71F24214">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1、本国产品标准主要包括以下三方面内容： </w:t>
      </w:r>
    </w:p>
    <w:p w14:paraId="1CADC7BB">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A、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 </w:t>
      </w:r>
    </w:p>
    <w:p w14:paraId="6F2470BC">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B、中国境内生产的组件成本占比要求。产品在中国境内生产的组件成本占产品总成本的比重应当达到规定比例。 </w:t>
      </w:r>
    </w:p>
    <w:p w14:paraId="6B8FE84A">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 C、特定产品的关键组件、关键工序要求。对特定产品，在符合上述两项条件的基础上，还应当符合财政部会同有关行业主管部门确定的其关键组件在中国境内生产、关键工序在中国境内完成等要求。 </w:t>
      </w:r>
    </w:p>
    <w:p w14:paraId="2BC792E5">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格式详见第七部分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或财政部会同有关部门规定的有关证明文件《声明函》或有关证明文件符合要求的，该产品视为本国产品。</w:t>
      </w:r>
    </w:p>
    <w:p w14:paraId="6B135334">
      <w:pPr>
        <w:snapToGrid w:val="0"/>
        <w:spacing w:before="60" w:after="60" w:line="46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六、评定内容及评分标准</w:t>
      </w:r>
    </w:p>
    <w:tbl>
      <w:tblPr>
        <w:tblStyle w:val="18"/>
        <w:tblW w:w="9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137"/>
        <w:gridCol w:w="6956"/>
      </w:tblGrid>
      <w:tr w14:paraId="5C54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1AD12E7B">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default" w:ascii="Times New Roman" w:hAnsi="Times New Roman" w:eastAsia="Calibri" w:cs="Times New Roman"/>
                <w:color w:val="auto"/>
                <w:sz w:val="24"/>
                <w:szCs w:val="24"/>
                <w:highlight w:val="none"/>
              </w:rPr>
            </w:pPr>
            <w:r>
              <w:rPr>
                <w:rFonts w:hint="default" w:ascii="Times New Roman" w:hAnsi="Times New Roman" w:eastAsia="宋体" w:cs="Times New Roman"/>
                <w:color w:val="auto"/>
                <w:sz w:val="24"/>
                <w:szCs w:val="24"/>
                <w:highlight w:val="none"/>
              </w:rPr>
              <w:t>一、</w:t>
            </w:r>
            <w:r>
              <w:rPr>
                <w:rFonts w:hint="default" w:ascii="Times New Roman" w:hAnsi="Times New Roman" w:eastAsia="宋体" w:cs="Times New Roman"/>
                <w:color w:val="auto"/>
                <w:sz w:val="24"/>
                <w:szCs w:val="24"/>
                <w:highlight w:val="none"/>
                <w:lang w:eastAsia="zh-CN"/>
              </w:rPr>
              <w:t>商务</w:t>
            </w:r>
            <w:r>
              <w:rPr>
                <w:rFonts w:hint="default" w:ascii="Times New Roman" w:hAnsi="Times New Roman" w:eastAsia="宋体" w:cs="Times New Roman"/>
                <w:color w:val="auto"/>
                <w:sz w:val="24"/>
                <w:szCs w:val="24"/>
                <w:highlight w:val="none"/>
              </w:rPr>
              <w:t>评分内容</w:t>
            </w:r>
            <w:r>
              <w:rPr>
                <w:rFonts w:hint="default" w:ascii="Times New Roman" w:hAnsi="Times New Roman" w:eastAsia="Calibri"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分</w:t>
            </w:r>
            <w:r>
              <w:rPr>
                <w:rFonts w:hint="default" w:ascii="Times New Roman" w:hAnsi="Times New Roman" w:eastAsia="Calibri" w:cs="Times New Roman"/>
                <w:color w:val="auto"/>
                <w:sz w:val="24"/>
                <w:szCs w:val="24"/>
                <w:highlight w:val="none"/>
              </w:rPr>
              <w:t>)</w:t>
            </w:r>
          </w:p>
        </w:tc>
      </w:tr>
      <w:tr w14:paraId="4D34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7D3279F7">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业绩（</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分）</w:t>
            </w:r>
          </w:p>
          <w:p w14:paraId="04DB8E0E">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default" w:ascii="Times New Roman" w:hAnsi="Times New Roman" w:eastAsia="宋体" w:cs="Times New Roman"/>
                <w:color w:val="auto"/>
                <w:sz w:val="24"/>
                <w:szCs w:val="24"/>
                <w:highlight w:val="none"/>
              </w:rPr>
            </w:pPr>
          </w:p>
        </w:tc>
        <w:tc>
          <w:tcPr>
            <w:tcW w:w="6956" w:type="dxa"/>
            <w:tcBorders>
              <w:top w:val="single" w:color="000000" w:sz="8" w:space="0"/>
              <w:left w:val="single" w:color="000000" w:sz="8" w:space="0"/>
              <w:bottom w:val="single" w:color="000000" w:sz="8" w:space="0"/>
              <w:right w:val="single" w:color="000000" w:sz="8" w:space="0"/>
            </w:tcBorders>
          </w:tcPr>
          <w:p w14:paraId="5854D4DB">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auto"/>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提供本次投标核心产品销售合同案例，卖方不限于投标人自身。要求必须提供与最终用户签订的合同，包括但不限于合同首页、产品信息、数量、金额所在页、签字盖章页作为证明，每提供一个近三年（合同签订时间202</w:t>
            </w:r>
            <w:r>
              <w:rPr>
                <w:rFonts w:hint="eastAsia" w:ascii="Times New Roman" w:hAnsi="Times New Roman" w:eastAsia="宋体" w:cs="Times New Roman"/>
                <w:color w:val="auto"/>
                <w:spacing w:val="6"/>
                <w:sz w:val="24"/>
                <w:szCs w:val="24"/>
                <w:highlight w:val="none"/>
                <w:lang w:val="en-US" w:eastAsia="zh-CN"/>
              </w:rPr>
              <w:t>3</w:t>
            </w:r>
            <w:r>
              <w:rPr>
                <w:rFonts w:hint="default" w:ascii="Times New Roman" w:hAnsi="Times New Roman" w:eastAsia="宋体" w:cs="Times New Roman"/>
                <w:color w:val="auto"/>
                <w:spacing w:val="6"/>
                <w:sz w:val="24"/>
                <w:szCs w:val="24"/>
                <w:highlight w:val="none"/>
              </w:rPr>
              <w:t>年</w:t>
            </w:r>
            <w:r>
              <w:rPr>
                <w:rFonts w:hint="eastAsia" w:ascii="Times New Roman" w:hAnsi="Times New Roman" w:eastAsia="宋体" w:cs="Times New Roman"/>
                <w:color w:val="auto"/>
                <w:spacing w:val="6"/>
                <w:sz w:val="24"/>
                <w:szCs w:val="24"/>
                <w:highlight w:val="none"/>
                <w:lang w:val="en-US" w:eastAsia="zh-CN"/>
              </w:rPr>
              <w:t>6</w:t>
            </w:r>
            <w:r>
              <w:rPr>
                <w:rFonts w:hint="default" w:ascii="Times New Roman" w:hAnsi="Times New Roman" w:eastAsia="宋体" w:cs="Times New Roman"/>
                <w:color w:val="auto"/>
                <w:spacing w:val="6"/>
                <w:sz w:val="24"/>
                <w:szCs w:val="24"/>
                <w:highlight w:val="none"/>
              </w:rPr>
              <w:t>月至今）签署的完整的合同案例得1分，最高得分为5分。</w:t>
            </w:r>
          </w:p>
        </w:tc>
      </w:tr>
      <w:tr w14:paraId="1F3F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30EC33F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售后服务承诺    （</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分）</w:t>
            </w:r>
          </w:p>
        </w:tc>
        <w:tc>
          <w:tcPr>
            <w:tcW w:w="6956" w:type="dxa"/>
            <w:tcBorders>
              <w:top w:val="single" w:color="000000" w:sz="8" w:space="0"/>
              <w:left w:val="single" w:color="000000" w:sz="8" w:space="0"/>
              <w:bottom w:val="single" w:color="000000" w:sz="8" w:space="0"/>
              <w:right w:val="single" w:color="000000" w:sz="8" w:space="0"/>
            </w:tcBorders>
          </w:tcPr>
          <w:p w14:paraId="5569C4F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A、质保期内，承诺所供货物需要派人维修时，在接到采购人故障信息2小时内响应，12小时内派出合格的维修工程师，在24小时内到</w:t>
            </w:r>
            <w:r>
              <w:rPr>
                <w:rFonts w:hint="eastAsia" w:ascii="Times New Roman" w:hAnsi="Times New Roman" w:eastAsia="宋体" w:cs="Times New Roman"/>
                <w:color w:val="auto"/>
                <w:sz w:val="24"/>
                <w:szCs w:val="24"/>
                <w:highlight w:val="none"/>
                <w:lang w:val="en-US" w:eastAsia="zh-CN"/>
              </w:rPr>
              <w:t>达</w:t>
            </w:r>
            <w:r>
              <w:rPr>
                <w:rFonts w:hint="eastAsia" w:ascii="Times New Roman" w:hAnsi="Times New Roman" w:eastAsia="宋体" w:cs="Times New Roman"/>
                <w:color w:val="auto"/>
                <w:sz w:val="24"/>
                <w:szCs w:val="24"/>
                <w:highlight w:val="none"/>
              </w:rPr>
              <w:t xml:space="preserve">用户现场进行免费维修服务，直到解除故障为止；                                                                                                                                                                                                                                                                                                                                                          </w:t>
            </w:r>
          </w:p>
          <w:p w14:paraId="16FF8CB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B</w:t>
            </w:r>
            <w:r>
              <w:rPr>
                <w:rFonts w:hint="eastAsia" w:ascii="Times New Roman" w:hAnsi="Times New Roman" w:eastAsia="宋体" w:cs="Times New Roman"/>
                <w:color w:val="auto"/>
                <w:sz w:val="24"/>
                <w:szCs w:val="24"/>
                <w:highlight w:val="none"/>
              </w:rPr>
              <w:t>、在货物检修期内不能满足采购人的正常使用要求时，承诺提供备品供采购人使用且不影响正常使用的。</w:t>
            </w:r>
          </w:p>
          <w:p w14:paraId="2EC5020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（以上每具备一项得1分，共计</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分，不承诺或不完善的均不得分）。</w:t>
            </w:r>
          </w:p>
        </w:tc>
      </w:tr>
      <w:tr w14:paraId="74D2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3731A5E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center"/>
              <w:textAlignment w:val="auto"/>
              <w:rPr>
                <w:rFonts w:hint="default" w:ascii="Times New Roman" w:hAnsi="Times New Roman" w:eastAsia="宋体" w:cs="Times New Roman"/>
                <w:color w:val="auto"/>
                <w:sz w:val="24"/>
                <w:szCs w:val="24"/>
                <w:highlight w:val="none"/>
              </w:rPr>
            </w:pPr>
            <w:r>
              <w:rPr>
                <w:rFonts w:hint="eastAsia" w:ascii="宋体" w:hAnsi="宋体" w:eastAsia="宋体"/>
                <w:b w:val="0"/>
                <w:bCs/>
                <w:color w:val="auto"/>
                <w:sz w:val="24"/>
                <w:szCs w:val="24"/>
                <w:highlight w:val="none"/>
              </w:rPr>
              <w:t>二、</w:t>
            </w:r>
            <w:r>
              <w:rPr>
                <w:rFonts w:hint="eastAsia" w:ascii="宋体" w:hAnsi="宋体" w:eastAsia="宋体"/>
                <w:b w:val="0"/>
                <w:bCs/>
                <w:color w:val="auto"/>
                <w:sz w:val="24"/>
                <w:szCs w:val="24"/>
                <w:highlight w:val="none"/>
                <w:lang w:val="en-US" w:eastAsia="zh-CN"/>
              </w:rPr>
              <w:t>服务</w:t>
            </w:r>
            <w:r>
              <w:rPr>
                <w:rFonts w:ascii="宋体" w:hAnsi="宋体" w:eastAsia="宋体"/>
                <w:b w:val="0"/>
                <w:bCs/>
                <w:color w:val="auto"/>
                <w:sz w:val="24"/>
                <w:szCs w:val="24"/>
                <w:highlight w:val="none"/>
              </w:rPr>
              <w:t>部分（</w:t>
            </w:r>
            <w:r>
              <w:rPr>
                <w:rFonts w:hint="eastAsia" w:ascii="Calibri" w:hAnsi="Calibri" w:eastAsia="宋体"/>
                <w:b w:val="0"/>
                <w:bCs/>
                <w:color w:val="auto"/>
                <w:sz w:val="24"/>
                <w:szCs w:val="24"/>
                <w:highlight w:val="none"/>
                <w:lang w:val="en-US" w:eastAsia="zh-CN"/>
              </w:rPr>
              <w:t>27</w:t>
            </w:r>
            <w:r>
              <w:rPr>
                <w:rFonts w:ascii="宋体" w:hAnsi="宋体" w:eastAsia="宋体"/>
                <w:b w:val="0"/>
                <w:bCs/>
                <w:color w:val="auto"/>
                <w:sz w:val="24"/>
                <w:szCs w:val="24"/>
                <w:highlight w:val="none"/>
              </w:rPr>
              <w:t>分）</w:t>
            </w:r>
          </w:p>
        </w:tc>
      </w:tr>
      <w:tr w14:paraId="2C90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03"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4564243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Times New Roman" w:hAnsi="Times New Roman" w:eastAsia="Times New Roman" w:cs="Times New Roman"/>
                <w:color w:val="auto"/>
                <w:sz w:val="24"/>
                <w:szCs w:val="24"/>
                <w:highlight w:val="none"/>
              </w:rPr>
            </w:pPr>
            <w:r>
              <w:rPr>
                <w:rFonts w:hint="eastAsia" w:ascii="Times New Roman" w:hAnsi="Times New Roman" w:eastAsia="Times New Roman" w:cs="Times New Roman"/>
                <w:color w:val="auto"/>
                <w:kern w:val="2"/>
                <w:sz w:val="24"/>
                <w:szCs w:val="24"/>
                <w:highlight w:val="none"/>
                <w:lang w:val="en-US" w:eastAsia="zh-CN" w:bidi="ar-SA"/>
              </w:rPr>
              <w:t>1</w:t>
            </w:r>
            <w:r>
              <w:rPr>
                <w:rFonts w:hint="default" w:ascii="Times New Roman" w:hAnsi="Times New Roman" w:eastAsia="Times New Roman" w:cs="Times New Roman"/>
                <w:color w:val="auto"/>
                <w:kern w:val="2"/>
                <w:sz w:val="24"/>
                <w:szCs w:val="24"/>
                <w:highlight w:val="none"/>
                <w:lang w:val="en-US" w:eastAsia="zh-CN" w:bidi="ar-SA"/>
              </w:rPr>
              <w:t>、</w:t>
            </w:r>
            <w:r>
              <w:rPr>
                <w:rFonts w:hint="default" w:ascii="Times New Roman" w:hAnsi="Times New Roman" w:eastAsia="Times New Roman" w:cs="Times New Roman"/>
                <w:color w:val="auto"/>
                <w:sz w:val="24"/>
                <w:szCs w:val="24"/>
                <w:highlight w:val="none"/>
              </w:rPr>
              <w:t>免费质保期</w:t>
            </w:r>
          </w:p>
          <w:p w14:paraId="52A745D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Times New Roman" w:cs="Times New Roman"/>
                <w:color w:val="auto"/>
                <w:sz w:val="24"/>
                <w:szCs w:val="24"/>
                <w:highlight w:val="none"/>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2E072DE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满足招标文件要求的前提下，投标人承诺的免费质保期优于招标文件要求，每超出1年得</w:t>
            </w:r>
            <w:r>
              <w:rPr>
                <w:rFonts w:hint="eastAsia" w:ascii="Times New Roman" w:hAnsi="Times New Roman" w:eastAsia="宋体" w:cs="Times New Roman"/>
                <w:color w:val="auto"/>
                <w:sz w:val="24"/>
                <w:szCs w:val="24"/>
                <w:highlight w:val="none"/>
                <w:lang w:val="en-US" w:eastAsia="zh-CN"/>
              </w:rPr>
              <w:t>0.5</w:t>
            </w:r>
            <w:r>
              <w:rPr>
                <w:rFonts w:hint="default" w:ascii="Times New Roman" w:hAnsi="Times New Roman" w:eastAsia="宋体" w:cs="Times New Roman"/>
                <w:color w:val="auto"/>
                <w:sz w:val="24"/>
                <w:szCs w:val="24"/>
                <w:highlight w:val="none"/>
              </w:rPr>
              <w:t>分，最高</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分。</w:t>
            </w:r>
          </w:p>
        </w:tc>
      </w:tr>
      <w:tr w14:paraId="335A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03" w:hRule="atLeast"/>
        </w:trPr>
        <w:tc>
          <w:tcPr>
            <w:tcW w:w="21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93A9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2、项目实施方案</w:t>
            </w:r>
          </w:p>
          <w:p w14:paraId="095D767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lang w:val="en-US" w:eastAsia="zh-CN"/>
              </w:rPr>
              <w:t>15</w:t>
            </w:r>
            <w:r>
              <w:rPr>
                <w:rFonts w:hint="default" w:ascii="Times New Roman" w:hAnsi="Times New Roman" w:eastAsia="宋体" w:cs="Times New Roman"/>
                <w:bCs/>
                <w:color w:val="auto"/>
                <w:sz w:val="24"/>
                <w:szCs w:val="24"/>
                <w:highlight w:val="none"/>
                <w:lang w:val="en-US" w:eastAsia="zh-CN"/>
              </w:rPr>
              <w:t>分）</w:t>
            </w:r>
          </w:p>
        </w:tc>
        <w:tc>
          <w:tcPr>
            <w:tcW w:w="69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0CA53">
            <w:pPr>
              <w:widowControl/>
              <w:spacing w:line="44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根据投标人提供的</w:t>
            </w:r>
            <w:r>
              <w:rPr>
                <w:rFonts w:hint="eastAsia" w:ascii="Times New Roman" w:hAnsi="Times New Roman" w:eastAsia="宋体" w:cs="Times New Roman"/>
                <w:color w:val="auto"/>
                <w:sz w:val="24"/>
                <w:szCs w:val="24"/>
                <w:highlight w:val="none"/>
                <w:lang w:val="en-US" w:eastAsia="zh-CN"/>
              </w:rPr>
              <w:t>项目实施方案进行评审</w:t>
            </w:r>
            <w:r>
              <w:rPr>
                <w:rFonts w:hint="default" w:ascii="Times New Roman" w:hAnsi="Times New Roman" w:eastAsia="宋体" w:cs="Times New Roman"/>
                <w:color w:val="auto"/>
                <w:sz w:val="24"/>
                <w:szCs w:val="24"/>
                <w:highlight w:val="none"/>
                <w:lang w:val="en-US" w:eastAsia="zh-CN"/>
              </w:rPr>
              <w:t>，内容包括</w:t>
            </w:r>
            <w:r>
              <w:rPr>
                <w:rFonts w:hint="eastAsia" w:ascii="Times New Roman" w:hAnsi="Times New Roman" w:eastAsia="宋体" w:cs="Times New Roman"/>
                <w:color w:val="auto"/>
                <w:sz w:val="24"/>
                <w:szCs w:val="24"/>
                <w:highlight w:val="none"/>
                <w:lang w:val="en-US" w:eastAsia="zh-CN"/>
              </w:rPr>
              <w:t>但</w:t>
            </w:r>
            <w:r>
              <w:rPr>
                <w:rFonts w:hint="default" w:ascii="Times New Roman" w:hAnsi="Times New Roman" w:eastAsia="宋体" w:cs="Times New Roman"/>
                <w:color w:val="auto"/>
                <w:sz w:val="24"/>
                <w:szCs w:val="24"/>
                <w:highlight w:val="none"/>
                <w:lang w:val="en-US" w:eastAsia="zh-CN"/>
              </w:rPr>
              <w:t>不限于实施计划、团队配备</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技术能力</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人员分工</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实施节点</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进度控制</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质量保障措施、交付标准、应急措施、管理制度等</w:t>
            </w:r>
            <w:bookmarkStart w:id="15" w:name="_GoBack"/>
            <w:bookmarkEnd w:id="15"/>
            <w:r>
              <w:rPr>
                <w:rFonts w:hint="eastAsia" w:ascii="Times New Roman" w:hAnsi="Times New Roman" w:eastAsia="宋体" w:cs="Times New Roman"/>
                <w:color w:val="auto"/>
                <w:sz w:val="24"/>
                <w:szCs w:val="24"/>
                <w:highlight w:val="none"/>
                <w:lang w:val="en-US" w:eastAsia="zh-CN"/>
              </w:rPr>
              <w:t>，要求项目实施方案全面科学，</w:t>
            </w:r>
            <w:r>
              <w:rPr>
                <w:rFonts w:hint="eastAsia"/>
                <w:color w:val="auto"/>
                <w:sz w:val="24"/>
                <w:highlight w:val="none"/>
                <w:u w:val="none"/>
                <w:lang w:val="en-US" w:eastAsia="zh-CN"/>
              </w:rPr>
              <w:t>与采购需求切实相关，具体可行。</w:t>
            </w:r>
          </w:p>
          <w:p w14:paraId="713028A1">
            <w:pPr>
              <w:widowControl/>
              <w:spacing w:line="440" w:lineRule="exact"/>
              <w:ind w:firstLine="480" w:firstLineChars="200"/>
              <w:rPr>
                <w:rFonts w:hint="default"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color w:val="auto"/>
                <w:sz w:val="24"/>
                <w:szCs w:val="24"/>
                <w:highlight w:val="none"/>
                <w:lang w:val="zh-CN"/>
              </w:rPr>
              <w:t>以上</w:t>
            </w:r>
            <w:r>
              <w:rPr>
                <w:rFonts w:hint="eastAsia" w:ascii="Times New Roman" w:hAnsi="Times New Roman"/>
                <w:color w:val="auto"/>
                <w:sz w:val="24"/>
                <w:szCs w:val="24"/>
                <w:highlight w:val="none"/>
                <w:lang w:val="en-US" w:eastAsia="zh-CN"/>
              </w:rPr>
              <w:t>10</w:t>
            </w:r>
            <w:r>
              <w:rPr>
                <w:rFonts w:hint="eastAsia" w:ascii="Times New Roman" w:hAnsi="Times New Roman"/>
                <w:color w:val="auto"/>
                <w:sz w:val="24"/>
                <w:szCs w:val="24"/>
                <w:highlight w:val="none"/>
                <w:lang w:val="zh-CN"/>
              </w:rPr>
              <w:t>项，每项</w:t>
            </w:r>
            <w:r>
              <w:rPr>
                <w:rFonts w:hint="eastAsia" w:ascii="Times New Roman" w:hAnsi="Times New Roman"/>
                <w:color w:val="auto"/>
                <w:sz w:val="24"/>
                <w:szCs w:val="24"/>
                <w:highlight w:val="none"/>
                <w:lang w:val="en-US" w:eastAsia="zh-CN"/>
              </w:rPr>
              <w:t>1.5</w:t>
            </w:r>
            <w:r>
              <w:rPr>
                <w:rFonts w:hint="eastAsia" w:ascii="Times New Roman" w:hAnsi="Times New Roman"/>
                <w:color w:val="auto"/>
                <w:sz w:val="24"/>
                <w:szCs w:val="24"/>
                <w:highlight w:val="none"/>
                <w:lang w:val="zh-CN"/>
              </w:rPr>
              <w:t>分，最高得</w:t>
            </w:r>
            <w:r>
              <w:rPr>
                <w:rFonts w:hint="eastAsia" w:ascii="Times New Roman" w:hAnsi="Times New Roman"/>
                <w:color w:val="auto"/>
                <w:sz w:val="24"/>
                <w:szCs w:val="24"/>
                <w:highlight w:val="none"/>
                <w:lang w:val="en-US" w:eastAsia="zh-CN"/>
              </w:rPr>
              <w:t>15</w:t>
            </w:r>
            <w:r>
              <w:rPr>
                <w:rFonts w:hint="eastAsia" w:ascii="Times New Roman" w:hAnsi="Times New Roman"/>
                <w:color w:val="auto"/>
                <w:sz w:val="24"/>
                <w:szCs w:val="24"/>
                <w:highlight w:val="none"/>
                <w:lang w:val="zh-CN"/>
              </w:rPr>
              <w:t>分。每项内容每存在1项缺陷扣</w:t>
            </w:r>
            <w:r>
              <w:rPr>
                <w:rFonts w:hint="eastAsia" w:ascii="Times New Roman" w:hAnsi="Times New Roman"/>
                <w:color w:val="auto"/>
                <w:sz w:val="24"/>
                <w:szCs w:val="24"/>
                <w:highlight w:val="none"/>
                <w:lang w:val="en-US" w:eastAsia="zh-CN"/>
              </w:rPr>
              <w:t>0.5</w:t>
            </w:r>
            <w:r>
              <w:rPr>
                <w:rFonts w:hint="eastAsia" w:ascii="Times New Roman" w:hAnsi="Times New Roman"/>
                <w:color w:val="auto"/>
                <w:sz w:val="24"/>
                <w:szCs w:val="24"/>
                <w:highlight w:val="none"/>
                <w:lang w:val="zh-CN"/>
              </w:rPr>
              <w:t>分，无相关内容</w:t>
            </w:r>
            <w:r>
              <w:rPr>
                <w:rFonts w:hint="eastAsia" w:ascii="Times New Roman" w:hAnsi="Times New Roman"/>
                <w:color w:val="auto"/>
                <w:sz w:val="24"/>
                <w:szCs w:val="24"/>
                <w:highlight w:val="none"/>
                <w:lang w:val="en-US" w:eastAsia="zh-CN"/>
              </w:rPr>
              <w:t>或内容与本项目无关</w:t>
            </w:r>
            <w:r>
              <w:rPr>
                <w:rFonts w:hint="eastAsia" w:ascii="Times New Roman" w:hAnsi="Times New Roman"/>
                <w:color w:val="auto"/>
                <w:sz w:val="24"/>
                <w:szCs w:val="24"/>
                <w:highlight w:val="none"/>
                <w:lang w:val="zh-CN"/>
              </w:rPr>
              <w:t>不得分。（</w:t>
            </w:r>
            <w:r>
              <w:rPr>
                <w:rFonts w:hint="eastAsia" w:ascii="Times New Roman" w:hAnsi="Times New Roman"/>
                <w:color w:val="auto"/>
                <w:sz w:val="24"/>
                <w:szCs w:val="24"/>
                <w:highlight w:val="none"/>
              </w:rPr>
              <w:t>缺陷是指内容不合理或前后不一致、表述前后逻辑错误、引用和执行的标准和规范错误、套用其他项目方案</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或</w:t>
            </w:r>
            <w:r>
              <w:rPr>
                <w:rFonts w:hint="eastAsia" w:ascii="Times New Roman" w:hAnsi="Times New Roman"/>
                <w:color w:val="auto"/>
                <w:sz w:val="24"/>
                <w:szCs w:val="24"/>
                <w:highlight w:val="none"/>
              </w:rPr>
              <w:t>其他不利于项目实施的任意一种情形）</w:t>
            </w:r>
            <w:r>
              <w:rPr>
                <w:rFonts w:hint="eastAsia" w:ascii="Times New Roman" w:hAnsi="Times New Roman"/>
                <w:color w:val="auto"/>
                <w:sz w:val="24"/>
                <w:szCs w:val="24"/>
                <w:highlight w:val="none"/>
                <w:lang w:val="zh-CN"/>
              </w:rPr>
              <w:t>。</w:t>
            </w:r>
          </w:p>
        </w:tc>
      </w:tr>
      <w:tr w14:paraId="3C6B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03" w:hRule="atLeast"/>
        </w:trPr>
        <w:tc>
          <w:tcPr>
            <w:tcW w:w="21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9D8E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rPr>
              <w:t>售后服务措施</w:t>
            </w:r>
          </w:p>
          <w:p w14:paraId="15FB56B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分）</w:t>
            </w:r>
          </w:p>
        </w:tc>
        <w:tc>
          <w:tcPr>
            <w:tcW w:w="69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5399E">
            <w:pPr>
              <w:widowControl/>
              <w:spacing w:line="440" w:lineRule="exact"/>
              <w:ind w:firstLine="480" w:firstLineChars="200"/>
              <w:rPr>
                <w:rFonts w:hint="default" w:ascii="Times New Roman" w:hAnsi="Times New Roman" w:cs="Times New Roman" w:eastAsiaTheme="minorEastAsia"/>
                <w:color w:val="auto"/>
                <w:sz w:val="24"/>
                <w:szCs w:val="24"/>
                <w:highlight w:val="none"/>
                <w:lang w:val="en-US" w:eastAsia="zh-CN"/>
              </w:rPr>
            </w:pPr>
            <w:r>
              <w:rPr>
                <w:rFonts w:hint="eastAsia"/>
                <w:color w:val="auto"/>
                <w:sz w:val="24"/>
                <w:highlight w:val="none"/>
                <w:u w:val="none"/>
              </w:rPr>
              <w:t>提供详细售后服务方案，</w:t>
            </w:r>
            <w:r>
              <w:rPr>
                <w:rFonts w:hint="eastAsia"/>
                <w:color w:val="auto"/>
                <w:sz w:val="24"/>
                <w:highlight w:val="none"/>
                <w:u w:val="none"/>
                <w:lang w:val="en-US" w:eastAsia="zh-CN"/>
              </w:rPr>
              <w:t>包括但不限于</w:t>
            </w:r>
            <w:r>
              <w:rPr>
                <w:rFonts w:hint="eastAsia"/>
                <w:color w:val="auto"/>
                <w:sz w:val="24"/>
                <w:highlight w:val="none"/>
                <w:u w:val="none"/>
              </w:rPr>
              <w:t>售后服务网点的分布情况、售后服务机构备品备件储备，售后服务机构技术服务人员情况、定期</w:t>
            </w:r>
            <w:r>
              <w:rPr>
                <w:rFonts w:hint="eastAsia"/>
                <w:color w:val="auto"/>
                <w:sz w:val="24"/>
                <w:highlight w:val="none"/>
                <w:u w:val="none"/>
                <w:lang w:val="en-US" w:eastAsia="zh-CN"/>
              </w:rPr>
              <w:t>维护</w:t>
            </w:r>
            <w:r>
              <w:rPr>
                <w:rFonts w:hint="eastAsia"/>
                <w:color w:val="auto"/>
                <w:sz w:val="24"/>
                <w:highlight w:val="none"/>
                <w:u w:val="none"/>
              </w:rPr>
              <w:t>巡检</w:t>
            </w:r>
            <w:r>
              <w:rPr>
                <w:rFonts w:hint="eastAsia"/>
                <w:color w:val="auto"/>
                <w:sz w:val="24"/>
                <w:highlight w:val="none"/>
                <w:u w:val="none"/>
                <w:lang w:val="en-US" w:eastAsia="zh-CN"/>
              </w:rPr>
              <w:t>安排</w:t>
            </w:r>
            <w:r>
              <w:rPr>
                <w:rFonts w:hint="eastAsia"/>
                <w:color w:val="auto"/>
                <w:sz w:val="24"/>
                <w:highlight w:val="none"/>
                <w:u w:val="none"/>
              </w:rPr>
              <w:t>、故障解决方案、应急</w:t>
            </w:r>
            <w:r>
              <w:rPr>
                <w:rFonts w:hint="eastAsia"/>
                <w:color w:val="auto"/>
                <w:sz w:val="24"/>
                <w:highlight w:val="none"/>
                <w:u w:val="none"/>
                <w:lang w:val="en-US" w:eastAsia="zh-CN"/>
              </w:rPr>
              <w:t>保障</w:t>
            </w:r>
            <w:r>
              <w:rPr>
                <w:rFonts w:hint="eastAsia"/>
                <w:color w:val="auto"/>
                <w:sz w:val="24"/>
                <w:highlight w:val="none"/>
                <w:u w:val="none"/>
              </w:rPr>
              <w:t>措施等</w:t>
            </w:r>
            <w:r>
              <w:rPr>
                <w:rFonts w:hint="eastAsia"/>
                <w:color w:val="auto"/>
                <w:sz w:val="24"/>
                <w:highlight w:val="none"/>
                <w:u w:val="none"/>
                <w:lang w:eastAsia="zh-CN"/>
              </w:rPr>
              <w:t>，</w:t>
            </w:r>
            <w:r>
              <w:rPr>
                <w:rFonts w:hint="eastAsia"/>
                <w:color w:val="auto"/>
                <w:sz w:val="24"/>
                <w:highlight w:val="none"/>
                <w:u w:val="none"/>
                <w:lang w:val="en-US" w:eastAsia="zh-CN"/>
              </w:rPr>
              <w:t>售后服务措施须与采购需求切实相关，合理有效。</w:t>
            </w:r>
          </w:p>
          <w:p w14:paraId="4C153C8A">
            <w:pPr>
              <w:widowControl/>
              <w:spacing w:line="440" w:lineRule="exact"/>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zh-CN" w:eastAsia="zh-CN"/>
              </w:rPr>
              <w:t>以</w:t>
            </w:r>
            <w:r>
              <w:rPr>
                <w:rFonts w:hint="eastAsia" w:ascii="Times New Roman" w:hAnsi="Times New Roman" w:eastAsia="宋体" w:cs="Times New Roman"/>
                <w:color w:val="auto"/>
                <w:sz w:val="24"/>
                <w:szCs w:val="24"/>
                <w:highlight w:val="none"/>
                <w:lang w:val="en-US" w:eastAsia="zh-CN"/>
              </w:rPr>
              <w:t>上6</w:t>
            </w:r>
            <w:r>
              <w:rPr>
                <w:rFonts w:hint="eastAsia" w:ascii="Times New Roman" w:hAnsi="Times New Roman" w:eastAsia="宋体" w:cs="Times New Roman"/>
                <w:color w:val="auto"/>
                <w:sz w:val="24"/>
                <w:szCs w:val="24"/>
                <w:highlight w:val="none"/>
                <w:lang w:val="zh-CN" w:eastAsia="zh-CN"/>
              </w:rPr>
              <w:t>项，每项</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zh-CN" w:eastAsia="zh-CN"/>
              </w:rPr>
              <w:t>分，最高得</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zh-CN" w:eastAsia="zh-CN"/>
              </w:rPr>
              <w:t>分。每项内容每存在1项缺陷扣0.5分，</w:t>
            </w:r>
            <w:r>
              <w:rPr>
                <w:rFonts w:hint="eastAsia" w:ascii="Times New Roman" w:hAnsi="Times New Roman"/>
                <w:color w:val="auto"/>
                <w:sz w:val="24"/>
                <w:szCs w:val="24"/>
                <w:highlight w:val="none"/>
                <w:lang w:val="zh-CN"/>
              </w:rPr>
              <w:t>无相关内容</w:t>
            </w:r>
            <w:r>
              <w:rPr>
                <w:rFonts w:hint="eastAsia" w:ascii="Times New Roman" w:hAnsi="Times New Roman"/>
                <w:color w:val="auto"/>
                <w:sz w:val="24"/>
                <w:szCs w:val="24"/>
                <w:highlight w:val="none"/>
                <w:lang w:val="en-US" w:eastAsia="zh-CN"/>
              </w:rPr>
              <w:t>或内容与本项目无关</w:t>
            </w:r>
            <w:r>
              <w:rPr>
                <w:rFonts w:hint="eastAsia" w:ascii="Times New Roman" w:hAnsi="Times New Roman"/>
                <w:color w:val="auto"/>
                <w:sz w:val="24"/>
                <w:szCs w:val="24"/>
                <w:highlight w:val="none"/>
                <w:lang w:val="zh-CN"/>
              </w:rPr>
              <w:t>不得分。（</w:t>
            </w:r>
            <w:r>
              <w:rPr>
                <w:rFonts w:hint="eastAsia" w:ascii="Times New Roman" w:hAnsi="Times New Roman"/>
                <w:color w:val="auto"/>
                <w:sz w:val="24"/>
                <w:szCs w:val="24"/>
                <w:highlight w:val="none"/>
              </w:rPr>
              <w:t>缺陷是指内容不合理或前后不一致、表述前后逻辑错误、引用和执行的标准和规范错误、套用其他项目方案</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或</w:t>
            </w:r>
            <w:r>
              <w:rPr>
                <w:rFonts w:hint="eastAsia" w:ascii="Times New Roman" w:hAnsi="Times New Roman"/>
                <w:color w:val="auto"/>
                <w:sz w:val="24"/>
                <w:szCs w:val="24"/>
                <w:highlight w:val="none"/>
              </w:rPr>
              <w:t>其他不利于项目实施的任意一种情形）</w:t>
            </w:r>
            <w:r>
              <w:rPr>
                <w:rFonts w:hint="eastAsia" w:ascii="Times New Roman" w:hAnsi="Times New Roman"/>
                <w:color w:val="auto"/>
                <w:sz w:val="24"/>
                <w:szCs w:val="24"/>
                <w:highlight w:val="none"/>
                <w:lang w:val="zh-CN"/>
              </w:rPr>
              <w:t>。</w:t>
            </w:r>
          </w:p>
        </w:tc>
      </w:tr>
      <w:tr w14:paraId="31FF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90" w:hRule="atLeast"/>
        </w:trPr>
        <w:tc>
          <w:tcPr>
            <w:tcW w:w="21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6CC9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、培训方案</w:t>
            </w:r>
          </w:p>
          <w:p w14:paraId="48B4B78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分）</w:t>
            </w:r>
          </w:p>
        </w:tc>
        <w:tc>
          <w:tcPr>
            <w:tcW w:w="69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728A4">
            <w:pPr>
              <w:widowControl/>
              <w:spacing w:line="44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根据投标人提供的</w:t>
            </w:r>
            <w:r>
              <w:rPr>
                <w:rFonts w:hint="eastAsia" w:ascii="Times New Roman" w:hAnsi="Times New Roman" w:eastAsia="宋体" w:cs="Times New Roman"/>
                <w:color w:val="auto"/>
                <w:sz w:val="24"/>
                <w:szCs w:val="24"/>
                <w:highlight w:val="none"/>
                <w:lang w:val="en-US" w:eastAsia="zh-CN"/>
              </w:rPr>
              <w:t>培训方案进行评分，</w:t>
            </w:r>
            <w:r>
              <w:rPr>
                <w:rFonts w:hint="eastAsia"/>
                <w:color w:val="auto"/>
                <w:sz w:val="24"/>
                <w:highlight w:val="none"/>
                <w:u w:val="none"/>
              </w:rPr>
              <w:t>包括</w:t>
            </w:r>
            <w:r>
              <w:rPr>
                <w:rFonts w:hint="eastAsia"/>
                <w:color w:val="auto"/>
                <w:sz w:val="24"/>
                <w:highlight w:val="none"/>
                <w:u w:val="none"/>
                <w:lang w:val="en-US" w:eastAsia="zh-CN"/>
              </w:rPr>
              <w:t>但不限于</w:t>
            </w:r>
            <w:r>
              <w:rPr>
                <w:rFonts w:hint="eastAsia"/>
                <w:color w:val="auto"/>
                <w:sz w:val="24"/>
                <w:highlight w:val="none"/>
                <w:u w:val="none"/>
              </w:rPr>
              <w:t>培训对象、课时内容安排、师资力量安排，培训形式等。要求培训方案考虑充分，贴合实际，师资充分，课程详实，安排有效</w:t>
            </w:r>
            <w:r>
              <w:rPr>
                <w:rFonts w:hint="default" w:ascii="Times New Roman" w:hAnsi="Times New Roman" w:eastAsia="宋体" w:cs="Times New Roman"/>
                <w:color w:val="auto"/>
                <w:sz w:val="24"/>
                <w:szCs w:val="24"/>
                <w:highlight w:val="none"/>
                <w:lang w:val="en-US" w:eastAsia="zh-CN"/>
              </w:rPr>
              <w:t>。</w:t>
            </w:r>
          </w:p>
          <w:p w14:paraId="344BA242">
            <w:pPr>
              <w:widowControl/>
              <w:spacing w:line="440" w:lineRule="exact"/>
              <w:ind w:firstLine="480" w:firstLineChars="200"/>
              <w:rPr>
                <w:rFonts w:hint="eastAsia" w:ascii="Times New Roman" w:hAnsi="Times New Roman" w:eastAsia="宋体" w:cs="Times New Roman"/>
                <w:bCs/>
                <w:color w:val="auto"/>
                <w:kern w:val="2"/>
                <w:sz w:val="24"/>
                <w:szCs w:val="24"/>
                <w:highlight w:val="none"/>
                <w:lang w:val="zh-CN" w:eastAsia="zh-CN" w:bidi="ar-SA"/>
              </w:rPr>
            </w:pPr>
            <w:r>
              <w:rPr>
                <w:rFonts w:hint="eastAsia" w:ascii="Times New Roman" w:hAnsi="Times New Roman"/>
                <w:color w:val="auto"/>
                <w:sz w:val="24"/>
                <w:szCs w:val="24"/>
                <w:highlight w:val="none"/>
                <w:lang w:val="zh-CN"/>
              </w:rPr>
              <w:t>以上</w:t>
            </w:r>
            <w:r>
              <w:rPr>
                <w:rFonts w:hint="eastAsia" w:ascii="Times New Roman" w:hAnsi="Times New Roman"/>
                <w:color w:val="auto"/>
                <w:sz w:val="24"/>
                <w:szCs w:val="24"/>
                <w:highlight w:val="none"/>
                <w:lang w:val="en-US" w:eastAsia="zh-CN"/>
              </w:rPr>
              <w:t>4</w:t>
            </w:r>
            <w:r>
              <w:rPr>
                <w:rFonts w:hint="eastAsia" w:ascii="Times New Roman" w:hAnsi="Times New Roman"/>
                <w:color w:val="auto"/>
                <w:sz w:val="24"/>
                <w:szCs w:val="24"/>
                <w:highlight w:val="none"/>
                <w:lang w:val="zh-CN"/>
              </w:rPr>
              <w:t>项，每项</w:t>
            </w:r>
            <w:r>
              <w:rPr>
                <w:rFonts w:hint="eastAsia" w:ascii="Times New Roman" w:hAnsi="Times New Roman"/>
                <w:color w:val="auto"/>
                <w:sz w:val="24"/>
                <w:szCs w:val="24"/>
                <w:highlight w:val="none"/>
                <w:lang w:val="en-US" w:eastAsia="zh-CN"/>
              </w:rPr>
              <w:t>0.5</w:t>
            </w:r>
            <w:r>
              <w:rPr>
                <w:rFonts w:hint="eastAsia" w:ascii="Times New Roman" w:hAnsi="Times New Roman"/>
                <w:color w:val="auto"/>
                <w:sz w:val="24"/>
                <w:szCs w:val="24"/>
                <w:highlight w:val="none"/>
                <w:lang w:val="zh-CN"/>
              </w:rPr>
              <w:t>分，最高得</w:t>
            </w:r>
            <w:r>
              <w:rPr>
                <w:rFonts w:hint="eastAsia" w:ascii="Times New Roman" w:hAnsi="Times New Roman"/>
                <w:color w:val="auto"/>
                <w:sz w:val="24"/>
                <w:szCs w:val="24"/>
                <w:highlight w:val="none"/>
                <w:lang w:val="en-US" w:eastAsia="zh-CN"/>
              </w:rPr>
              <w:t>2</w:t>
            </w:r>
            <w:r>
              <w:rPr>
                <w:rFonts w:hint="eastAsia" w:ascii="Times New Roman" w:hAnsi="Times New Roman"/>
                <w:color w:val="auto"/>
                <w:sz w:val="24"/>
                <w:szCs w:val="24"/>
                <w:highlight w:val="none"/>
                <w:lang w:val="zh-CN"/>
              </w:rPr>
              <w:t>分。每项内容每存在</w:t>
            </w:r>
            <w:r>
              <w:rPr>
                <w:rFonts w:hint="eastAsia" w:ascii="Times New Roman" w:hAnsi="Times New Roman"/>
                <w:color w:val="auto"/>
                <w:sz w:val="24"/>
                <w:szCs w:val="24"/>
                <w:highlight w:val="none"/>
                <w:lang w:val="en-US" w:eastAsia="zh-CN"/>
              </w:rPr>
              <w:t>1</w:t>
            </w:r>
            <w:r>
              <w:rPr>
                <w:rFonts w:hint="eastAsia" w:ascii="Times New Roman" w:hAnsi="Times New Roman"/>
                <w:color w:val="auto"/>
                <w:sz w:val="24"/>
                <w:szCs w:val="24"/>
                <w:highlight w:val="none"/>
                <w:lang w:val="zh-CN"/>
              </w:rPr>
              <w:t>项缺陷扣</w:t>
            </w:r>
            <w:r>
              <w:rPr>
                <w:rFonts w:hint="eastAsia" w:ascii="Times New Roman" w:hAnsi="Times New Roman"/>
                <w:color w:val="auto"/>
                <w:sz w:val="24"/>
                <w:szCs w:val="24"/>
                <w:highlight w:val="none"/>
                <w:lang w:val="en-US" w:eastAsia="zh-CN"/>
              </w:rPr>
              <w:t>0.5</w:t>
            </w:r>
            <w:r>
              <w:rPr>
                <w:rFonts w:hint="eastAsia" w:ascii="Times New Roman" w:hAnsi="Times New Roman"/>
                <w:color w:val="auto"/>
                <w:sz w:val="24"/>
                <w:szCs w:val="24"/>
                <w:highlight w:val="none"/>
                <w:lang w:val="zh-CN"/>
              </w:rPr>
              <w:t>分，无相关内容</w:t>
            </w:r>
            <w:r>
              <w:rPr>
                <w:rFonts w:hint="eastAsia" w:ascii="Times New Roman" w:hAnsi="Times New Roman"/>
                <w:color w:val="auto"/>
                <w:sz w:val="24"/>
                <w:szCs w:val="24"/>
                <w:highlight w:val="none"/>
                <w:lang w:val="en-US" w:eastAsia="zh-CN"/>
              </w:rPr>
              <w:t>或与本项目无关</w:t>
            </w:r>
            <w:r>
              <w:rPr>
                <w:rFonts w:hint="eastAsia" w:ascii="Times New Roman" w:hAnsi="Times New Roman"/>
                <w:color w:val="auto"/>
                <w:sz w:val="24"/>
                <w:szCs w:val="24"/>
                <w:highlight w:val="none"/>
                <w:lang w:val="zh-CN"/>
              </w:rPr>
              <w:t>不得分。（</w:t>
            </w:r>
            <w:r>
              <w:rPr>
                <w:rFonts w:hint="eastAsia" w:ascii="Times New Roman" w:hAnsi="Times New Roman"/>
                <w:color w:val="auto"/>
                <w:sz w:val="24"/>
                <w:szCs w:val="24"/>
                <w:highlight w:val="none"/>
              </w:rPr>
              <w:t>缺陷是指内容不合理或前后不一致、表述前后逻辑错误、引用和执行的标准和规范错误、套用其他项目方案</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或</w:t>
            </w:r>
            <w:r>
              <w:rPr>
                <w:rFonts w:hint="eastAsia" w:ascii="Times New Roman" w:hAnsi="Times New Roman"/>
                <w:color w:val="auto"/>
                <w:sz w:val="24"/>
                <w:szCs w:val="24"/>
                <w:highlight w:val="none"/>
              </w:rPr>
              <w:t>其他不利于项目实施的任意一种情形）</w:t>
            </w:r>
          </w:p>
        </w:tc>
      </w:tr>
      <w:tr w14:paraId="2096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24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1C69BC9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bCs/>
                <w:color w:val="auto"/>
                <w:sz w:val="24"/>
                <w:szCs w:val="24"/>
                <w:highlight w:val="none"/>
                <w:lang w:val="en-US" w:eastAsia="zh-CN"/>
              </w:rPr>
              <w:t>5</w:t>
            </w:r>
            <w:r>
              <w:rPr>
                <w:rFonts w:hint="default" w:ascii="Times New Roman" w:hAnsi="Times New Roman" w:eastAsia="宋体" w:cs="Times New Roman"/>
                <w:bCs/>
                <w:color w:val="auto"/>
                <w:sz w:val="24"/>
                <w:szCs w:val="24"/>
                <w:highlight w:val="none"/>
                <w:lang w:val="en-US" w:eastAsia="zh-CN"/>
              </w:rPr>
              <w:t>、质保期外的</w:t>
            </w:r>
            <w:r>
              <w:rPr>
                <w:rFonts w:hint="eastAsia" w:ascii="Times New Roman" w:hAnsi="Times New Roman" w:eastAsia="宋体" w:cs="Times New Roman"/>
                <w:bCs/>
                <w:color w:val="auto"/>
                <w:sz w:val="24"/>
                <w:szCs w:val="24"/>
                <w:highlight w:val="none"/>
                <w:lang w:val="en-US" w:eastAsia="zh-CN"/>
              </w:rPr>
              <w:t>保障措施</w:t>
            </w:r>
            <w:r>
              <w:rPr>
                <w:rFonts w:hint="default"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lang w:val="en-US" w:eastAsia="zh-CN"/>
              </w:rPr>
              <w:t>3</w:t>
            </w:r>
            <w:r>
              <w:rPr>
                <w:rFonts w:hint="default" w:ascii="Times New Roman" w:hAnsi="Times New Roman" w:eastAsia="宋体" w:cs="Times New Roman"/>
                <w:bCs/>
                <w:color w:val="auto"/>
                <w:sz w:val="24"/>
                <w:szCs w:val="24"/>
                <w:highlight w:val="none"/>
                <w:lang w:val="en-US" w:eastAsia="zh-CN"/>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161E8EF9">
            <w:pPr>
              <w:widowControl/>
              <w:spacing w:line="44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根据投标人提供的</w:t>
            </w:r>
            <w:r>
              <w:rPr>
                <w:rFonts w:hint="default" w:ascii="Times New Roman" w:hAnsi="Times New Roman" w:eastAsia="宋体" w:cs="Times New Roman"/>
                <w:bCs/>
                <w:color w:val="auto"/>
                <w:sz w:val="24"/>
                <w:szCs w:val="24"/>
                <w:highlight w:val="none"/>
                <w:lang w:val="en-US" w:eastAsia="zh-CN"/>
              </w:rPr>
              <w:t>质保期外的</w:t>
            </w:r>
            <w:r>
              <w:rPr>
                <w:rFonts w:hint="eastAsia" w:ascii="Times New Roman" w:hAnsi="Times New Roman" w:eastAsia="宋体" w:cs="Times New Roman"/>
                <w:bCs/>
                <w:color w:val="auto"/>
                <w:sz w:val="24"/>
                <w:szCs w:val="24"/>
                <w:highlight w:val="none"/>
                <w:lang w:val="en-US" w:eastAsia="zh-CN"/>
              </w:rPr>
              <w:t>保障措施，包括但不限于</w:t>
            </w:r>
            <w:r>
              <w:rPr>
                <w:rFonts w:hint="default" w:ascii="Times New Roman" w:hAnsi="Times New Roman" w:eastAsia="宋体" w:cs="Times New Roman"/>
                <w:color w:val="auto"/>
                <w:sz w:val="24"/>
                <w:szCs w:val="24"/>
                <w:highlight w:val="none"/>
                <w:lang w:val="en-US" w:eastAsia="zh-CN"/>
              </w:rPr>
              <w:t>①质保期外对所供货物的维修优惠政策</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②</w:t>
            </w:r>
            <w:r>
              <w:rPr>
                <w:rFonts w:hint="eastAsia" w:ascii="Times New Roman" w:hAnsi="Times New Roman" w:eastAsia="宋体" w:cs="Times New Roman"/>
                <w:color w:val="auto"/>
                <w:sz w:val="24"/>
                <w:szCs w:val="24"/>
                <w:highlight w:val="none"/>
                <w:lang w:val="en-US" w:eastAsia="zh-CN"/>
              </w:rPr>
              <w:t>备品备件调配方案；</w:t>
            </w:r>
            <w:r>
              <w:rPr>
                <w:rFonts w:hint="eastAsia" w:ascii="Times New Roman" w:hAnsi="Times New Roman" w:eastAsia="宋体" w:cs="Times New Roman"/>
                <w:color w:val="auto"/>
                <w:sz w:val="24"/>
                <w:szCs w:val="24"/>
                <w:highlight w:val="none"/>
                <w:lang w:val="en-US" w:eastAsia="zh-CN"/>
              </w:rPr>
              <w:fldChar w:fldCharType="begin"/>
            </w:r>
            <w:r>
              <w:rPr>
                <w:rFonts w:hint="eastAsia" w:ascii="Times New Roman" w:hAnsi="Times New Roman" w:eastAsia="宋体" w:cs="Times New Roman"/>
                <w:color w:val="auto"/>
                <w:sz w:val="24"/>
                <w:szCs w:val="24"/>
                <w:highlight w:val="none"/>
                <w:lang w:val="en-US" w:eastAsia="zh-CN"/>
              </w:rPr>
              <w:instrText xml:space="preserve"> = 3 \* GB3 \* MERGEFORMAT </w:instrText>
            </w:r>
            <w:r>
              <w:rPr>
                <w:rFonts w:hint="eastAsia" w:ascii="Times New Roman" w:hAnsi="Times New Roman" w:eastAsia="宋体" w:cs="Times New Roman"/>
                <w:color w:val="auto"/>
                <w:sz w:val="24"/>
                <w:szCs w:val="24"/>
                <w:highlight w:val="none"/>
                <w:lang w:val="en-US" w:eastAsia="zh-CN"/>
              </w:rPr>
              <w:fldChar w:fldCharType="separate"/>
            </w:r>
            <w:r>
              <w:rPr>
                <w:color w:val="auto"/>
                <w:highlight w:val="none"/>
              </w:rPr>
              <w:t>③</w:t>
            </w:r>
            <w:r>
              <w:rPr>
                <w:rFonts w:hint="eastAsia" w:ascii="Times New Roman" w:hAnsi="Times New Roman" w:eastAsia="宋体" w:cs="Times New Roman"/>
                <w:color w:val="auto"/>
                <w:sz w:val="24"/>
                <w:szCs w:val="24"/>
                <w:highlight w:val="none"/>
                <w:lang w:val="en-US" w:eastAsia="zh-CN"/>
              </w:rPr>
              <w:fldChar w:fldCharType="end"/>
            </w:r>
            <w:r>
              <w:rPr>
                <w:rFonts w:hint="eastAsia" w:ascii="Times New Roman" w:hAnsi="Times New Roman" w:eastAsia="宋体" w:cs="Times New Roman"/>
                <w:color w:val="auto"/>
                <w:sz w:val="24"/>
                <w:szCs w:val="24"/>
                <w:highlight w:val="none"/>
                <w:lang w:val="en-US" w:eastAsia="zh-CN"/>
              </w:rPr>
              <w:t>优化升级方案等，要求收费合理，保障措施合理得当。</w:t>
            </w:r>
          </w:p>
          <w:p w14:paraId="3D785F9F">
            <w:pPr>
              <w:widowControl/>
              <w:spacing w:line="440" w:lineRule="exact"/>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color w:val="auto"/>
                <w:sz w:val="24"/>
                <w:szCs w:val="24"/>
                <w:highlight w:val="none"/>
              </w:rPr>
              <w:t>以上</w:t>
            </w:r>
            <w:r>
              <w:rPr>
                <w:rFonts w:hint="eastAsia" w:ascii="Times New Roman" w:hAnsi="Times New Roman"/>
                <w:color w:val="auto"/>
                <w:sz w:val="24"/>
                <w:szCs w:val="24"/>
                <w:highlight w:val="none"/>
                <w:lang w:val="en-US" w:eastAsia="zh-CN"/>
              </w:rPr>
              <w:t>3</w:t>
            </w:r>
            <w:r>
              <w:rPr>
                <w:rFonts w:hint="eastAsia" w:ascii="Times New Roman" w:hAnsi="Times New Roman"/>
                <w:color w:val="auto"/>
                <w:sz w:val="24"/>
                <w:szCs w:val="24"/>
                <w:highlight w:val="none"/>
              </w:rPr>
              <w:t>项，每项</w:t>
            </w:r>
            <w:r>
              <w:rPr>
                <w:rFonts w:hint="eastAsia" w:ascii="Times New Roman" w:hAnsi="Times New Roman"/>
                <w:color w:val="auto"/>
                <w:sz w:val="24"/>
                <w:szCs w:val="24"/>
                <w:highlight w:val="none"/>
                <w:lang w:val="en-US" w:eastAsia="zh-CN"/>
              </w:rPr>
              <w:t>1</w:t>
            </w:r>
            <w:r>
              <w:rPr>
                <w:rFonts w:hint="eastAsia" w:ascii="Times New Roman" w:hAnsi="Times New Roman"/>
                <w:color w:val="auto"/>
                <w:sz w:val="24"/>
                <w:szCs w:val="24"/>
                <w:highlight w:val="none"/>
              </w:rPr>
              <w:t>分，最高得</w:t>
            </w:r>
            <w:r>
              <w:rPr>
                <w:rFonts w:hint="eastAsia" w:ascii="Times New Roman" w:hAnsi="Times New Roman"/>
                <w:color w:val="auto"/>
                <w:sz w:val="24"/>
                <w:szCs w:val="24"/>
                <w:highlight w:val="none"/>
                <w:lang w:val="en-US" w:eastAsia="zh-CN"/>
              </w:rPr>
              <w:t>3</w:t>
            </w:r>
            <w:r>
              <w:rPr>
                <w:rFonts w:hint="eastAsia" w:ascii="Times New Roman" w:hAnsi="Times New Roman"/>
                <w:color w:val="auto"/>
                <w:sz w:val="24"/>
                <w:szCs w:val="24"/>
                <w:highlight w:val="none"/>
              </w:rPr>
              <w:t>分。每项内容每存在1项缺陷扣</w:t>
            </w:r>
            <w:r>
              <w:rPr>
                <w:rFonts w:hint="eastAsia" w:ascii="Times New Roman" w:hAnsi="Times New Roman"/>
                <w:color w:val="auto"/>
                <w:sz w:val="24"/>
                <w:szCs w:val="24"/>
                <w:highlight w:val="none"/>
                <w:lang w:val="en-US" w:eastAsia="zh-CN"/>
              </w:rPr>
              <w:t>0.5</w:t>
            </w:r>
            <w:r>
              <w:rPr>
                <w:rFonts w:hint="eastAsia" w:ascii="Times New Roman" w:hAnsi="Times New Roman"/>
                <w:color w:val="auto"/>
                <w:sz w:val="24"/>
                <w:szCs w:val="24"/>
                <w:highlight w:val="none"/>
              </w:rPr>
              <w:t>分，</w:t>
            </w:r>
            <w:r>
              <w:rPr>
                <w:rFonts w:hint="eastAsia" w:ascii="Times New Roman" w:hAnsi="Times New Roman"/>
                <w:color w:val="auto"/>
                <w:sz w:val="24"/>
                <w:szCs w:val="24"/>
                <w:highlight w:val="none"/>
                <w:lang w:val="zh-CN"/>
              </w:rPr>
              <w:t>无相关内容</w:t>
            </w:r>
            <w:r>
              <w:rPr>
                <w:rFonts w:hint="eastAsia" w:ascii="Times New Roman" w:hAnsi="Times New Roman"/>
                <w:color w:val="auto"/>
                <w:sz w:val="24"/>
                <w:szCs w:val="24"/>
                <w:highlight w:val="none"/>
                <w:lang w:val="en-US" w:eastAsia="zh-CN"/>
              </w:rPr>
              <w:t>或与本项目无关</w:t>
            </w:r>
            <w:r>
              <w:rPr>
                <w:rFonts w:hint="eastAsia" w:ascii="Times New Roman" w:hAnsi="Times New Roman"/>
                <w:color w:val="auto"/>
                <w:sz w:val="24"/>
                <w:szCs w:val="24"/>
                <w:highlight w:val="none"/>
                <w:lang w:val="zh-CN"/>
              </w:rPr>
              <w:t>不得分。（</w:t>
            </w:r>
            <w:r>
              <w:rPr>
                <w:rFonts w:hint="eastAsia" w:ascii="Times New Roman" w:hAnsi="Times New Roman"/>
                <w:color w:val="auto"/>
                <w:sz w:val="24"/>
                <w:szCs w:val="24"/>
                <w:highlight w:val="none"/>
              </w:rPr>
              <w:t>缺陷是指内容不合理或前后不一致、表述前后逻辑错误、</w:t>
            </w:r>
            <w:r>
              <w:rPr>
                <w:rFonts w:hint="eastAsia" w:ascii="Times New Roman" w:hAnsi="Times New Roman"/>
                <w:color w:val="auto"/>
                <w:sz w:val="24"/>
                <w:szCs w:val="24"/>
                <w:highlight w:val="none"/>
                <w:lang w:val="en-US" w:eastAsia="zh-CN"/>
              </w:rPr>
              <w:t>维修维护成本高</w:t>
            </w:r>
            <w:r>
              <w:rPr>
                <w:rFonts w:hint="eastAsia" w:ascii="Times New Roman" w:hAnsi="Times New Roman"/>
                <w:color w:val="auto"/>
                <w:sz w:val="24"/>
                <w:szCs w:val="24"/>
                <w:highlight w:val="none"/>
              </w:rPr>
              <w:t>、套用其他项目方案</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或</w:t>
            </w:r>
            <w:r>
              <w:rPr>
                <w:rFonts w:hint="eastAsia" w:ascii="Times New Roman" w:hAnsi="Times New Roman"/>
                <w:color w:val="auto"/>
                <w:sz w:val="24"/>
                <w:szCs w:val="24"/>
                <w:highlight w:val="none"/>
              </w:rPr>
              <w:t>其他不利于项目实施的任意一种情形）</w:t>
            </w:r>
            <w:r>
              <w:rPr>
                <w:rFonts w:hint="eastAsia" w:ascii="Times New Roman" w:hAnsi="Times New Roman"/>
                <w:color w:val="auto"/>
                <w:sz w:val="24"/>
                <w:szCs w:val="24"/>
                <w:highlight w:val="none"/>
                <w:lang w:val="zh-CN"/>
              </w:rPr>
              <w:t>。</w:t>
            </w:r>
          </w:p>
        </w:tc>
      </w:tr>
      <w:tr w14:paraId="30B2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4806380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center"/>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技术</w:t>
            </w:r>
            <w:r>
              <w:rPr>
                <w:rFonts w:hint="default" w:ascii="Times New Roman" w:hAnsi="Times New Roman" w:eastAsia="宋体" w:cs="Times New Roman"/>
                <w:color w:val="auto"/>
                <w:sz w:val="24"/>
                <w:szCs w:val="24"/>
                <w:highlight w:val="none"/>
              </w:rPr>
              <w:t>评分内容（</w:t>
            </w:r>
            <w:r>
              <w:rPr>
                <w:rFonts w:hint="eastAsia" w:ascii="Times New Roman" w:hAnsi="Times New Roman" w:eastAsia="宋体" w:cs="Times New Roman"/>
                <w:color w:val="auto"/>
                <w:sz w:val="24"/>
                <w:szCs w:val="24"/>
                <w:highlight w:val="none"/>
                <w:lang w:val="en-US" w:eastAsia="zh-CN"/>
              </w:rPr>
              <w:t>36</w:t>
            </w:r>
            <w:r>
              <w:rPr>
                <w:rFonts w:hint="default" w:ascii="Times New Roman" w:hAnsi="Times New Roman" w:eastAsia="宋体" w:cs="Times New Roman"/>
                <w:color w:val="auto"/>
                <w:sz w:val="24"/>
                <w:szCs w:val="24"/>
                <w:highlight w:val="none"/>
              </w:rPr>
              <w:t>分）</w:t>
            </w:r>
          </w:p>
        </w:tc>
      </w:tr>
      <w:tr w14:paraId="7F51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4E3C20D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1、投标产品技术指标（</w:t>
            </w:r>
            <w:r>
              <w:rPr>
                <w:rFonts w:hint="eastAsia" w:ascii="Times New Roman" w:hAnsi="Times New Roman" w:eastAsia="宋体" w:cs="Times New Roman"/>
                <w:color w:val="auto"/>
                <w:sz w:val="24"/>
                <w:szCs w:val="24"/>
                <w:highlight w:val="none"/>
                <w:lang w:val="en-US" w:eastAsia="zh-CN"/>
              </w:rPr>
              <w:t>36</w:t>
            </w:r>
            <w:r>
              <w:rPr>
                <w:rFonts w:hint="default" w:ascii="Times New Roman" w:hAnsi="Times New Roman" w:eastAsia="Times New Roman" w:cs="Times New Roman"/>
                <w:color w:val="auto"/>
                <w:sz w:val="24"/>
                <w:szCs w:val="24"/>
                <w:highlight w:val="none"/>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59E3B175">
            <w:pPr>
              <w:widowControl/>
              <w:spacing w:line="44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产品技术性能指标：投标产品完全满足招标文件要求的全部</w:t>
            </w:r>
          </w:p>
          <w:p w14:paraId="4D1E459E">
            <w:pPr>
              <w:widowControl/>
              <w:spacing w:line="44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技术性能指标得 </w:t>
            </w:r>
            <w:r>
              <w:rPr>
                <w:rFonts w:hint="eastAsia" w:ascii="Times New Roman" w:hAnsi="Times New Roman" w:eastAsia="宋体"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lang w:val="en-US" w:eastAsia="zh-CN"/>
              </w:rPr>
              <w:t>分；每有一项非关键技术性能指标(未标记“*” 号）负偏离的减 2 分，</w:t>
            </w:r>
            <w:r>
              <w:rPr>
                <w:rFonts w:hint="eastAsia" w:ascii="Times New Roman" w:hAnsi="Times New Roman" w:eastAsia="宋体" w:cs="Times New Roman"/>
                <w:color w:val="auto"/>
                <w:sz w:val="24"/>
                <w:szCs w:val="24"/>
                <w:highlight w:val="none"/>
                <w:lang w:val="en-US" w:eastAsia="zh-CN"/>
              </w:rPr>
              <w:t>15项及以上技术负偏离技术分为0分</w:t>
            </w:r>
            <w:r>
              <w:rPr>
                <w:rFonts w:hint="default" w:ascii="Times New Roman" w:hAnsi="Times New Roman" w:eastAsia="宋体" w:cs="Times New Roman"/>
                <w:color w:val="auto"/>
                <w:sz w:val="24"/>
                <w:szCs w:val="24"/>
                <w:highlight w:val="none"/>
                <w:lang w:val="en-US" w:eastAsia="zh-CN"/>
              </w:rPr>
              <w:t>。</w:t>
            </w:r>
          </w:p>
          <w:p w14:paraId="00FBB761">
            <w:pPr>
              <w:widowControl/>
              <w:spacing w:line="44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注：投标人需提供相应产品原厂彩页或网站截图等相关证明</w:t>
            </w:r>
          </w:p>
          <w:p w14:paraId="6C4B2F93">
            <w:pPr>
              <w:widowControl/>
              <w:spacing w:line="440" w:lineRule="exact"/>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材料扫描件并加盖投标人公章。评标委员会对投标文件中所投货物技术指标的偏离情况进行共同认定。</w:t>
            </w:r>
          </w:p>
        </w:tc>
      </w:tr>
      <w:tr w14:paraId="7C9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7859994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center"/>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四</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价格部分（</w:t>
            </w:r>
            <w:r>
              <w:rPr>
                <w:rFonts w:hint="default" w:ascii="Times New Roman" w:hAnsi="Times New Roman" w:eastAsia="Calibri" w:cs="Times New Roman"/>
                <w:color w:val="auto"/>
                <w:sz w:val="24"/>
                <w:szCs w:val="24"/>
                <w:highlight w:val="none"/>
              </w:rPr>
              <w:t>30</w:t>
            </w:r>
            <w:r>
              <w:rPr>
                <w:rFonts w:hint="default" w:ascii="Times New Roman" w:hAnsi="Times New Roman" w:eastAsia="宋体" w:cs="Times New Roman"/>
                <w:color w:val="auto"/>
                <w:sz w:val="24"/>
                <w:szCs w:val="24"/>
                <w:highlight w:val="none"/>
              </w:rPr>
              <w:t>分）</w:t>
            </w:r>
          </w:p>
        </w:tc>
      </w:tr>
      <w:tr w14:paraId="09CF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1DF7678E">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价格分</w:t>
            </w:r>
          </w:p>
          <w:p w14:paraId="1A53BAE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30</w:t>
            </w:r>
            <w:r>
              <w:rPr>
                <w:rFonts w:hint="default" w:ascii="Times New Roman" w:hAnsi="Times New Roman" w:eastAsia="宋体" w:cs="Times New Roman"/>
                <w:color w:val="auto"/>
                <w:sz w:val="24"/>
                <w:szCs w:val="24"/>
                <w:highlight w:val="none"/>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6BF6664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满足招标文件要求且经算术修正后的投标报价最低（含扣除后的价格）的报价为评标基准价，其价格分为满分。其他投标人的价格分统一按照下列公式计算：</w:t>
            </w:r>
          </w:p>
          <w:p w14:paraId="60B368E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价格分</w:t>
            </w:r>
            <w:r>
              <w:rPr>
                <w:rFonts w:hint="default" w:ascii="Times New Roman" w:hAnsi="Times New Roman" w:eastAsia="Calibri" w:cs="Times New Roman"/>
                <w:color w:val="auto"/>
                <w:sz w:val="24"/>
                <w:szCs w:val="24"/>
                <w:highlight w:val="none"/>
              </w:rPr>
              <w:t>=(</w:t>
            </w:r>
            <w:bookmarkStart w:id="9" w:name="OLE_LINK2"/>
            <w:r>
              <w:rPr>
                <w:rFonts w:hint="default" w:ascii="Times New Roman" w:hAnsi="Times New Roman" w:eastAsia="宋体" w:cs="Times New Roman"/>
                <w:color w:val="auto"/>
                <w:sz w:val="24"/>
                <w:szCs w:val="24"/>
                <w:highlight w:val="none"/>
              </w:rPr>
              <w:t>评标基准价</w:t>
            </w:r>
            <w:bookmarkEnd w:id="9"/>
            <w:r>
              <w:rPr>
                <w:rFonts w:hint="default" w:ascii="Times New Roman" w:hAnsi="Times New Roman" w:eastAsia="宋体" w:cs="Times New Roman"/>
                <w:color w:val="auto"/>
                <w:sz w:val="24"/>
                <w:szCs w:val="24"/>
                <w:highlight w:val="none"/>
              </w:rPr>
              <w:t>／投标报价</w:t>
            </w:r>
            <w:r>
              <w:rPr>
                <w:rFonts w:hint="default" w:ascii="Times New Roman" w:hAnsi="Times New Roman" w:eastAsia="Calibri" w:cs="Times New Roman"/>
                <w:color w:val="auto"/>
                <w:sz w:val="24"/>
                <w:szCs w:val="24"/>
                <w:highlight w:val="none"/>
              </w:rPr>
              <w:t>)</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30%</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100</w:t>
            </w:r>
            <w:r>
              <w:rPr>
                <w:rFonts w:hint="default" w:ascii="Times New Roman" w:hAnsi="Times New Roman" w:eastAsia="宋体" w:cs="Times New Roman"/>
                <w:color w:val="auto"/>
                <w:sz w:val="24"/>
                <w:szCs w:val="24"/>
                <w:highlight w:val="none"/>
              </w:rPr>
              <w:t>。</w:t>
            </w:r>
          </w:p>
          <w:p w14:paraId="449CCDB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注：因落实政府采购政策给予价格扣除的，以扣除后的价格参与评审和计算评标基准价。</w:t>
            </w:r>
          </w:p>
        </w:tc>
      </w:tr>
    </w:tbl>
    <w:p w14:paraId="3810F3A1">
      <w:pPr>
        <w:pStyle w:val="2"/>
        <w:snapToGrid w:val="0"/>
        <w:spacing w:line="460" w:lineRule="exact"/>
        <w:jc w:val="center"/>
        <w:rPr>
          <w:rFonts w:hint="default" w:ascii="Times New Roman" w:hAnsi="Times New Roman" w:eastAsia="宋体" w:cs="Times New Roman"/>
          <w:color w:val="auto"/>
          <w:sz w:val="32"/>
          <w:szCs w:val="32"/>
          <w:highlight w:val="none"/>
        </w:rPr>
      </w:pPr>
      <w:r>
        <w:rPr>
          <w:rFonts w:hint="default" w:ascii="Times New Roman" w:hAnsi="Times New Roman" w:eastAsia="微软雅黑" w:cs="Times New Roman"/>
          <w:color w:val="auto"/>
          <w:highlight w:val="none"/>
        </w:rPr>
        <w:br w:type="page"/>
      </w:r>
      <w:bookmarkStart w:id="10" w:name="_Toc1374"/>
      <w:r>
        <w:rPr>
          <w:rFonts w:hint="default" w:ascii="Times New Roman" w:hAnsi="Times New Roman" w:eastAsia="宋体" w:cs="Times New Roman"/>
          <w:color w:val="auto"/>
          <w:sz w:val="32"/>
          <w:szCs w:val="32"/>
          <w:highlight w:val="none"/>
        </w:rPr>
        <w:t>第五部分</w:t>
      </w:r>
      <w:r>
        <w:rPr>
          <w:rFonts w:hint="default" w:ascii="Times New Roman" w:hAnsi="Times New Roman" w:eastAsia="Calibri" w:cs="Times New Roman"/>
          <w:color w:val="auto"/>
          <w:sz w:val="32"/>
          <w:szCs w:val="32"/>
          <w:highlight w:val="none"/>
        </w:rPr>
        <w:t xml:space="preserve"> </w:t>
      </w:r>
      <w:r>
        <w:rPr>
          <w:rFonts w:hint="default" w:ascii="Times New Roman" w:hAnsi="Times New Roman" w:eastAsia="宋体" w:cs="Times New Roman"/>
          <w:color w:val="auto"/>
          <w:sz w:val="32"/>
          <w:szCs w:val="32"/>
          <w:highlight w:val="none"/>
        </w:rPr>
        <w:t>采购需求</w:t>
      </w:r>
      <w:bookmarkEnd w:id="10"/>
    </w:p>
    <w:p w14:paraId="7D5F4C6A">
      <w:pPr>
        <w:snapToGrid w:val="0"/>
        <w:spacing w:before="60" w:after="60" w:line="360" w:lineRule="auto"/>
        <w:ind w:firstLine="480" w:firstLineChars="200"/>
        <w:rPr>
          <w:rFonts w:hint="default" w:ascii="Times New Roman" w:hAnsi="Times New Roman" w:eastAsia="宋体" w:cs="Times New Roman"/>
          <w:color w:val="auto"/>
          <w:sz w:val="24"/>
          <w:szCs w:val="24"/>
          <w:highlight w:val="none"/>
        </w:rPr>
      </w:pPr>
    </w:p>
    <w:p w14:paraId="4C03720C">
      <w:pPr>
        <w:snapToGrid w:val="0"/>
        <w:spacing w:before="60" w:after="60"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一、商务要求</w:t>
      </w:r>
    </w:p>
    <w:p w14:paraId="42995D57">
      <w:pPr>
        <w:snapToGrid w:val="0"/>
        <w:spacing w:before="60" w:after="60"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1、免费质保期</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一年</w:t>
      </w:r>
    </w:p>
    <w:p w14:paraId="37238BAA">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r>
        <w:rPr>
          <w:rFonts w:hint="default" w:ascii="Times New Roman" w:hAnsi="Times New Roman" w:eastAsia="宋体" w:cs="Times New Roman"/>
          <w:color w:val="auto"/>
          <w:sz w:val="24"/>
          <w:szCs w:val="24"/>
          <w:highlight w:val="none"/>
        </w:rPr>
        <w:t>交货时间</w:t>
      </w:r>
      <w:r>
        <w:rPr>
          <w:rFonts w:hint="default" w:ascii="Times New Roman" w:hAnsi="Times New Roman" w:eastAsia="Times New Roman" w:cs="Times New Roman"/>
          <w:color w:val="auto"/>
          <w:sz w:val="24"/>
          <w:szCs w:val="24"/>
          <w:highlight w:val="none"/>
        </w:rPr>
        <w:t>：签订合同后一个月内。</w:t>
      </w:r>
    </w:p>
    <w:p w14:paraId="05F59064">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w:t>
      </w:r>
      <w:r>
        <w:rPr>
          <w:rFonts w:hint="default" w:ascii="Times New Roman" w:hAnsi="Times New Roman" w:eastAsia="宋体" w:cs="Times New Roman"/>
          <w:color w:val="auto"/>
          <w:sz w:val="24"/>
          <w:szCs w:val="24"/>
          <w:highlight w:val="none"/>
        </w:rPr>
        <w:t>交货方式</w:t>
      </w:r>
      <w:r>
        <w:rPr>
          <w:rFonts w:hint="default" w:ascii="Times New Roman" w:hAnsi="Times New Roman" w:eastAsia="Times New Roman" w:cs="Times New Roman"/>
          <w:color w:val="auto"/>
          <w:sz w:val="24"/>
          <w:szCs w:val="24"/>
          <w:highlight w:val="none"/>
        </w:rPr>
        <w:t>：现场交货、卖方送货并且承担到货前所有费用。</w:t>
      </w:r>
    </w:p>
    <w:p w14:paraId="4CC2D559">
      <w:pPr>
        <w:snapToGrid w:val="0"/>
        <w:spacing w:before="60" w:after="60"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4、交货地点：交口县医疗集团人民医院</w:t>
      </w:r>
      <w:r>
        <w:rPr>
          <w:rFonts w:hint="eastAsia" w:ascii="Times New Roman" w:hAnsi="Times New Roman" w:eastAsia="宋体" w:cs="Times New Roman"/>
          <w:color w:val="auto"/>
          <w:sz w:val="24"/>
          <w:szCs w:val="24"/>
          <w:highlight w:val="none"/>
          <w:lang w:val="en-US" w:eastAsia="zh-CN"/>
        </w:rPr>
        <w:t>指定地点</w:t>
      </w:r>
    </w:p>
    <w:p w14:paraId="7F6082DE">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5、付款方式：供货后，安装验收调试完成后付90%，一年后付10%。</w:t>
      </w:r>
    </w:p>
    <w:p w14:paraId="7873F953">
      <w:pPr>
        <w:snapToGrid w:val="0"/>
        <w:spacing w:before="60" w:after="60"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6、培训要求：提供免费的设备使用培训直至采购人能独立使用。</w:t>
      </w:r>
    </w:p>
    <w:p w14:paraId="1426F483">
      <w:pPr>
        <w:snapToGrid w:val="0"/>
        <w:spacing w:before="60" w:after="60"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w:t>
      </w:r>
      <w:r>
        <w:rPr>
          <w:rFonts w:hint="default" w:ascii="Times New Roman" w:hAnsi="Times New Roman" w:eastAsia="宋体" w:cs="Times New Roman"/>
          <w:b/>
          <w:bCs/>
          <w:color w:val="auto"/>
          <w:sz w:val="24"/>
          <w:szCs w:val="24"/>
          <w:highlight w:val="none"/>
          <w:lang w:val="en-US" w:eastAsia="zh-CN"/>
        </w:rPr>
        <w:t>政策性及强制性要求</w:t>
      </w:r>
    </w:p>
    <w:p w14:paraId="294D4C16">
      <w:pPr>
        <w:snapToGrid w:val="0"/>
        <w:spacing w:before="60" w:after="6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1、强制性采购的节能产品：投报产品中如包含“品目清单</w:t>
      </w:r>
      <w:r>
        <w:rPr>
          <w:rFonts w:hint="default" w:ascii="Times New Roman" w:hAnsi="Times New Roman" w:eastAsia="宋体" w:cs="Times New Roman"/>
          <w:color w:val="auto"/>
          <w:sz w:val="24"/>
          <w:szCs w:val="24"/>
          <w:highlight w:val="none"/>
        </w:rPr>
        <w:t>”政府强制采购产品的，需将政府强制采购产品如实填写到《政府强制采购产品明细表》（格式见第七部分），并提供处于有效期之内的强制节能产品认证证书</w:t>
      </w:r>
      <w:r>
        <w:rPr>
          <w:rFonts w:hint="default" w:ascii="Times New Roman" w:hAnsi="Times New Roman" w:eastAsia="宋体" w:cs="Times New Roman"/>
          <w:b/>
          <w:bCs/>
          <w:color w:val="auto"/>
          <w:sz w:val="24"/>
          <w:szCs w:val="24"/>
          <w:highlight w:val="none"/>
        </w:rPr>
        <w:t>（如涉及须提供）</w:t>
      </w:r>
      <w:r>
        <w:rPr>
          <w:rFonts w:hint="default" w:ascii="Times New Roman" w:hAnsi="Times New Roman" w:eastAsia="宋体" w:cs="Times New Roman"/>
          <w:color w:val="auto"/>
          <w:sz w:val="24"/>
          <w:szCs w:val="24"/>
          <w:highlight w:val="none"/>
        </w:rPr>
        <w:t>。</w:t>
      </w:r>
    </w:p>
    <w:p w14:paraId="76F7E2E9">
      <w:pPr>
        <w:pStyle w:val="29"/>
        <w:snapToGrid w:val="0"/>
        <w:spacing w:line="360" w:lineRule="auto"/>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2、涉及</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Times New Roman" w:cs="Times New Roman"/>
          <w:color w:val="auto"/>
          <w:sz w:val="24"/>
          <w:szCs w:val="24"/>
          <w:highlight w:val="none"/>
        </w:rPr>
        <w:t>优惠的绿色产品：无</w:t>
      </w:r>
    </w:p>
    <w:p w14:paraId="4D226C72">
      <w:pPr>
        <w:pStyle w:val="29"/>
        <w:snapToGrid w:val="0"/>
        <w:spacing w:line="360" w:lineRule="auto"/>
        <w:ind w:firstLine="480" w:firstLineChars="200"/>
        <w:textAlignment w:val="auto"/>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3、《网络关键设备和网络安全专用产品目录》中的网络安全专用产品：无</w:t>
      </w:r>
    </w:p>
    <w:p w14:paraId="79F4ADBA">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Times New Roman" w:cs="Times New Roman"/>
          <w:color w:val="auto"/>
          <w:sz w:val="24"/>
          <w:szCs w:val="24"/>
          <w:highlight w:val="none"/>
        </w:rPr>
        <w:t>正版软件承诺：承诺所投报的计算机预装正版操作系统，硬件产品内的预装软件为正版软件</w:t>
      </w:r>
      <w:r>
        <w:rPr>
          <w:rFonts w:hint="default" w:ascii="Times New Roman" w:hAnsi="Times New Roman" w:eastAsia="宋体" w:cs="Times New Roman"/>
          <w:b/>
          <w:bCs/>
          <w:color w:val="auto"/>
          <w:sz w:val="24"/>
          <w:szCs w:val="24"/>
          <w:highlight w:val="none"/>
        </w:rPr>
        <w:t>（如涉及须提供）</w:t>
      </w:r>
      <w:r>
        <w:rPr>
          <w:rFonts w:hint="default" w:ascii="Times New Roman" w:hAnsi="Times New Roman" w:eastAsia="Times New Roman" w:cs="Times New Roman"/>
          <w:color w:val="auto"/>
          <w:sz w:val="24"/>
          <w:szCs w:val="24"/>
          <w:highlight w:val="none"/>
        </w:rPr>
        <w:t>。</w:t>
      </w:r>
    </w:p>
    <w:p w14:paraId="2A6FB9F4">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Times New Roman" w:cs="Times New Roman"/>
          <w:color w:val="auto"/>
          <w:sz w:val="24"/>
          <w:szCs w:val="24"/>
          <w:highlight w:val="none"/>
        </w:rPr>
        <w:t>、政府采购绿色包装和绿色运输要求：</w:t>
      </w:r>
    </w:p>
    <w:p w14:paraId="01BBFAE0">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本项目中涉及到商品包装和快递包装的，其包装材料和运输环节的要求和履约验收要求严格执行《商品包装政府采购需求标准（试行）》，快递包装符合《快递包装政府采购需求标准（试行）》标准及相关要求，投标人在提交投标文件中需提供“商品包装和快递包装承诺”（</w:t>
      </w:r>
      <w:r>
        <w:rPr>
          <w:rFonts w:hint="eastAsia" w:ascii="Times New Roman" w:hAnsi="Times New Roman" w:eastAsia="宋体" w:cs="Times New Roman"/>
          <w:color w:val="auto"/>
          <w:sz w:val="24"/>
          <w:szCs w:val="24"/>
          <w:highlight w:val="none"/>
          <w:lang w:eastAsia="zh-CN"/>
        </w:rPr>
        <w:t>格式见第七部分</w:t>
      </w:r>
      <w:r>
        <w:rPr>
          <w:rFonts w:hint="default" w:ascii="Times New Roman" w:hAnsi="Times New Roman" w:eastAsia="Times New Roman" w:cs="Times New Roman"/>
          <w:color w:val="auto"/>
          <w:sz w:val="24"/>
          <w:szCs w:val="24"/>
          <w:highlight w:val="none"/>
        </w:rPr>
        <w:t xml:space="preserve">）。鼓励中标供应商在运输过程中推广使用新能源车辆进行配送，优化运输路线以减少空驶和碳排放，确保运输过程的环保性。 </w:t>
      </w:r>
    </w:p>
    <w:p w14:paraId="19390290">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Times New Roman" w:cs="Times New Roman"/>
          <w:color w:val="auto"/>
          <w:sz w:val="24"/>
          <w:szCs w:val="24"/>
          <w:highlight w:val="none"/>
        </w:rPr>
        <w:t>其他强制性要求或标准：无</w:t>
      </w:r>
    </w:p>
    <w:p w14:paraId="3A4AC31B">
      <w:pPr>
        <w:snapToGrid w:val="0"/>
        <w:spacing w:before="60" w:after="60"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三、技术要求</w:t>
      </w:r>
    </w:p>
    <w:p w14:paraId="612BB933">
      <w:pPr>
        <w:snapToGrid w:val="0"/>
        <w:spacing w:before="60" w:after="6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详见本部分技术需求书。</w:t>
      </w:r>
    </w:p>
    <w:p w14:paraId="656CC3EC">
      <w:pPr>
        <w:snapToGrid w:val="0"/>
        <w:spacing w:before="60" w:after="60"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四、其他实质性要求：</w:t>
      </w:r>
      <w:r>
        <w:rPr>
          <w:rFonts w:hint="default" w:ascii="Times New Roman" w:hAnsi="Times New Roman" w:eastAsia="宋体" w:cs="Times New Roman"/>
          <w:b/>
          <w:bCs/>
          <w:color w:val="auto"/>
          <w:sz w:val="24"/>
          <w:szCs w:val="24"/>
          <w:highlight w:val="none"/>
          <w:lang w:val="en-US" w:eastAsia="zh-CN"/>
        </w:rPr>
        <w:t>未发现其他属于无效投标的情形</w:t>
      </w:r>
    </w:p>
    <w:p w14:paraId="18A5323E">
      <w:pPr>
        <w:snapToGrid w:val="0"/>
        <w:spacing w:before="60" w:after="60"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五、验收标准</w:t>
      </w:r>
    </w:p>
    <w:p w14:paraId="14853185">
      <w:pPr>
        <w:snapToGrid w:val="0"/>
        <w:spacing w:before="60" w:after="6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采购人按照《</w:t>
      </w:r>
      <w:r>
        <w:rPr>
          <w:rFonts w:hint="default" w:ascii="Times New Roman" w:hAnsi="Times New Roman" w:cs="Times New Roman"/>
          <w:color w:val="auto"/>
          <w:sz w:val="24"/>
          <w:szCs w:val="24"/>
          <w:highlight w:val="none"/>
          <w:lang w:val="en-US" w:eastAsia="zh-CN"/>
        </w:rPr>
        <w:t>中华人民共和国</w:t>
      </w:r>
      <w:r>
        <w:rPr>
          <w:rFonts w:hint="default" w:ascii="Times New Roman" w:hAnsi="Times New Roman" w:eastAsia="宋体" w:cs="Times New Roman"/>
          <w:color w:val="auto"/>
          <w:sz w:val="24"/>
          <w:szCs w:val="24"/>
          <w:highlight w:val="none"/>
        </w:rPr>
        <w:t>政府采购法》</w:t>
      </w:r>
      <w:r>
        <w:rPr>
          <w:rFonts w:hint="default" w:ascii="Times New Roman" w:hAnsi="Times New Roman" w:eastAsia="Calibri" w:cs="Times New Roman"/>
          <w:color w:val="auto"/>
          <w:sz w:val="24"/>
          <w:szCs w:val="24"/>
          <w:highlight w:val="none"/>
        </w:rPr>
        <w:t>41</w:t>
      </w:r>
      <w:r>
        <w:rPr>
          <w:rFonts w:hint="default" w:ascii="Times New Roman" w:hAnsi="Times New Roman" w:eastAsia="宋体" w:cs="Times New Roman"/>
          <w:color w:val="auto"/>
          <w:sz w:val="24"/>
          <w:szCs w:val="24"/>
          <w:highlight w:val="none"/>
        </w:rPr>
        <w:t>条、《</w:t>
      </w:r>
      <w:r>
        <w:rPr>
          <w:rFonts w:hint="default" w:ascii="Times New Roman" w:hAnsi="Times New Roman" w:cs="Times New Roman"/>
          <w:color w:val="auto"/>
          <w:sz w:val="24"/>
          <w:szCs w:val="24"/>
          <w:highlight w:val="none"/>
          <w:lang w:val="en-US" w:eastAsia="zh-CN"/>
        </w:rPr>
        <w:t>中华人民共和国</w:t>
      </w:r>
      <w:r>
        <w:rPr>
          <w:rFonts w:hint="default" w:ascii="Times New Roman" w:hAnsi="Times New Roman" w:eastAsia="宋体" w:cs="Times New Roman"/>
          <w:color w:val="auto"/>
          <w:sz w:val="24"/>
          <w:szCs w:val="24"/>
          <w:highlight w:val="none"/>
        </w:rPr>
        <w:t>政府采购法实施条例》</w:t>
      </w:r>
      <w:r>
        <w:rPr>
          <w:rFonts w:hint="default" w:ascii="Times New Roman" w:hAnsi="Times New Roman" w:eastAsia="Calibri" w:cs="Times New Roman"/>
          <w:color w:val="auto"/>
          <w:sz w:val="24"/>
          <w:szCs w:val="24"/>
          <w:highlight w:val="none"/>
        </w:rPr>
        <w:t>45</w:t>
      </w:r>
      <w:r>
        <w:rPr>
          <w:rFonts w:hint="default" w:ascii="Times New Roman" w:hAnsi="Times New Roman" w:eastAsia="宋体" w:cs="Times New Roman"/>
          <w:color w:val="auto"/>
          <w:sz w:val="24"/>
          <w:szCs w:val="24"/>
          <w:highlight w:val="none"/>
        </w:rPr>
        <w:t>条、财库（</w:t>
      </w:r>
      <w:r>
        <w:rPr>
          <w:rFonts w:hint="default" w:ascii="Times New Roman" w:hAnsi="Times New Roman" w:eastAsia="Calibri" w:cs="Times New Roman"/>
          <w:color w:val="auto"/>
          <w:sz w:val="24"/>
          <w:szCs w:val="24"/>
          <w:highlight w:val="none"/>
        </w:rPr>
        <w:t>2016</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205</w:t>
      </w:r>
      <w:r>
        <w:rPr>
          <w:rFonts w:hint="default" w:ascii="Times New Roman" w:hAnsi="Times New Roman" w:eastAsia="宋体" w:cs="Times New Roman"/>
          <w:color w:val="auto"/>
          <w:sz w:val="24"/>
          <w:szCs w:val="24"/>
          <w:highlight w:val="none"/>
        </w:rPr>
        <w:t>号文件、</w:t>
      </w:r>
      <w:r>
        <w:rPr>
          <w:rFonts w:hint="default" w:ascii="Times New Roman" w:hAnsi="Times New Roman" w:eastAsia="Calibri" w:cs="Times New Roman"/>
          <w:color w:val="auto"/>
          <w:sz w:val="24"/>
          <w:szCs w:val="24"/>
          <w:highlight w:val="none"/>
        </w:rPr>
        <w:t>87</w:t>
      </w:r>
      <w:r>
        <w:rPr>
          <w:rFonts w:hint="default" w:ascii="Times New Roman" w:hAnsi="Times New Roman" w:eastAsia="宋体" w:cs="Times New Roman"/>
          <w:color w:val="auto"/>
          <w:sz w:val="24"/>
          <w:szCs w:val="24"/>
          <w:highlight w:val="none"/>
        </w:rPr>
        <w:t>号令</w:t>
      </w:r>
      <w:r>
        <w:rPr>
          <w:rFonts w:hint="default" w:ascii="Times New Roman" w:hAnsi="Times New Roman" w:eastAsia="Calibri" w:cs="Times New Roman"/>
          <w:color w:val="auto"/>
          <w:sz w:val="24"/>
          <w:szCs w:val="24"/>
          <w:highlight w:val="none"/>
        </w:rPr>
        <w:t>74</w:t>
      </w:r>
      <w:r>
        <w:rPr>
          <w:rFonts w:hint="default" w:ascii="Times New Roman" w:hAnsi="Times New Roman" w:eastAsia="宋体" w:cs="Times New Roman"/>
          <w:color w:val="auto"/>
          <w:sz w:val="24"/>
          <w:szCs w:val="24"/>
          <w:highlight w:val="none"/>
        </w:rPr>
        <w:t>条（适用于公开招标和邀请招标）等规定编制项目履约验收标准；根据招标文件、中标供应商的投标文件等进行验收。</w:t>
      </w:r>
    </w:p>
    <w:p w14:paraId="54C9693F">
      <w:pPr>
        <w:snapToGrid w:val="0"/>
        <w:spacing w:before="60" w:after="120"/>
        <w:rPr>
          <w:rFonts w:hint="default" w:ascii="Times New Roman" w:hAnsi="Times New Roman" w:eastAsia="宋体" w:cs="Times New Roman"/>
          <w:color w:val="auto"/>
          <w:sz w:val="24"/>
          <w:szCs w:val="24"/>
          <w:highlight w:val="none"/>
        </w:rPr>
      </w:pPr>
    </w:p>
    <w:p w14:paraId="4DD77CFD">
      <w:pPr>
        <w:snapToGrid w:val="0"/>
        <w:spacing w:before="60" w:after="120"/>
        <w:rPr>
          <w:rFonts w:hint="default" w:ascii="Times New Roman" w:hAnsi="Times New Roman" w:eastAsia="宋体" w:cs="Times New Roman"/>
          <w:color w:val="auto"/>
          <w:sz w:val="24"/>
          <w:szCs w:val="24"/>
          <w:highlight w:val="none"/>
        </w:rPr>
      </w:pPr>
    </w:p>
    <w:p w14:paraId="5EE2CD5A">
      <w:pPr>
        <w:snapToGrid w:val="0"/>
        <w:spacing w:before="60" w:after="120"/>
        <w:rPr>
          <w:rFonts w:hint="default" w:ascii="Times New Roman" w:hAnsi="Times New Roman" w:eastAsia="宋体" w:cs="Times New Roman"/>
          <w:color w:val="auto"/>
          <w:sz w:val="24"/>
          <w:szCs w:val="24"/>
          <w:highlight w:val="none"/>
        </w:rPr>
      </w:pPr>
    </w:p>
    <w:p w14:paraId="3DECCE90">
      <w:pPr>
        <w:snapToGrid w:val="0"/>
        <w:spacing w:before="60" w:after="120"/>
        <w:rPr>
          <w:rFonts w:hint="default" w:ascii="Times New Roman" w:hAnsi="Times New Roman" w:eastAsia="宋体" w:cs="Times New Roman"/>
          <w:color w:val="auto"/>
          <w:sz w:val="24"/>
          <w:szCs w:val="24"/>
          <w:highlight w:val="none"/>
        </w:rPr>
      </w:pPr>
    </w:p>
    <w:p w14:paraId="40BD2E1F">
      <w:pPr>
        <w:snapToGrid w:val="0"/>
        <w:spacing w:before="60" w:after="1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w:t>
      </w:r>
    </w:p>
    <w:p w14:paraId="349F43DD">
      <w:pPr>
        <w:snapToGrid w:val="0"/>
        <w:spacing w:before="60" w:after="60" w:line="312" w:lineRule="auto"/>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技术需求书</w:t>
      </w:r>
    </w:p>
    <w:p w14:paraId="48193BA0">
      <w:pPr>
        <w:snapToGrid w:val="0"/>
        <w:spacing w:before="60" w:after="60" w:line="360" w:lineRule="auto"/>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品目一：血液透析机</w:t>
      </w:r>
    </w:p>
    <w:p w14:paraId="43DF40B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1、≥15英寸彩色液晶触摸显示屏，具备报警灯。</w:t>
      </w:r>
    </w:p>
    <w:p w14:paraId="125E370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2、可作碳酸氢盐、醋酸盐常规透析。血路管、透析液全开放。</w:t>
      </w:r>
    </w:p>
    <w:p w14:paraId="5F6EF46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3、显示主要参数，包括：动脉压、静脉压、总电导度、电导度、温度、透析液流量、血流量、超滤量等</w:t>
      </w:r>
    </w:p>
    <w:p w14:paraId="1AE9D8E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4、机器设计使用期限≥10年</w:t>
      </w:r>
    </w:p>
    <w:p w14:paraId="34AF109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5、透析液流量范围: 300～750ml/min, 连续可调 </w:t>
      </w:r>
    </w:p>
    <w:p w14:paraId="41ED1A2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6、透析液温度控制范围: 34.5℃～39℃</w:t>
      </w:r>
    </w:p>
    <w:p w14:paraId="7199C8F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7、透析液导电率监测范围: 13～15ms/cm</w:t>
      </w:r>
    </w:p>
    <w:p w14:paraId="189818C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8、反馈式电导度监测及配比机制，可分别监测B液电导度与总电导度</w:t>
      </w:r>
    </w:p>
    <w:p w14:paraId="666775F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9、动脉压范围:  -300～＋400 mmHg</w:t>
      </w:r>
    </w:p>
    <w:p w14:paraId="1374520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10、静脉压范围: -50～＋380 mmHg</w:t>
      </w:r>
      <w:r>
        <w:rPr>
          <w:rFonts w:hint="default" w:ascii="Times New Roman" w:hAnsi="Times New Roman" w:eastAsia="宋体" w:cs="Times New Roman"/>
          <w:color w:val="auto"/>
          <w:sz w:val="24"/>
          <w:szCs w:val="24"/>
          <w:highlight w:val="none"/>
          <w:lang w:val="en-US" w:eastAsia="zh-CN"/>
        </w:rPr>
        <w:tab/>
      </w:r>
    </w:p>
    <w:p w14:paraId="21CD461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11、跨膜压范围: -100 ～ +650mmHg</w:t>
      </w:r>
      <w:r>
        <w:rPr>
          <w:rFonts w:hint="default" w:ascii="Times New Roman" w:hAnsi="Times New Roman" w:eastAsia="宋体" w:cs="Times New Roman"/>
          <w:color w:val="auto"/>
          <w:sz w:val="24"/>
          <w:szCs w:val="24"/>
          <w:highlight w:val="none"/>
          <w:lang w:val="en-US" w:eastAsia="zh-CN"/>
        </w:rPr>
        <w:tab/>
      </w:r>
    </w:p>
    <w:p w14:paraId="2F67E79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12、血泵流量： 0，50～600ml/min可调, 血泵流量调节梯度（步长）10ml/min</w:t>
      </w:r>
    </w:p>
    <w:p w14:paraId="29A8A41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13、肝素注射: 0.1～10ml/h可编写停止时间，读数累积肝素容量，肝素泵有自动注入和追加功能</w:t>
      </w:r>
    </w:p>
    <w:p w14:paraId="1DCB93C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14、配备在线无创血压监测模块</w:t>
      </w:r>
    </w:p>
    <w:p w14:paraId="59BA462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15、显示Kt/v值</w:t>
      </w:r>
    </w:p>
    <w:p w14:paraId="33EE531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16、漏血检测与报警: 光学原理检测</w:t>
      </w:r>
    </w:p>
    <w:p w14:paraId="7C75436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17、超滤方式: 容量式平衡腔控制</w:t>
      </w:r>
    </w:p>
    <w:p w14:paraId="35CB12C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18、超滤率: 0, 100～4000ml/h</w:t>
      </w:r>
    </w:p>
    <w:p w14:paraId="0A72912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19、超滤泵误差 ≤1%</w:t>
      </w:r>
    </w:p>
    <w:p w14:paraId="41BBD94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20、超滤曲线:可存储设定曲线，≥10种固定曲线，≥20种自定义曲线。</w:t>
      </w:r>
    </w:p>
    <w:p w14:paraId="1B9EFB2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21、具有透析过程中补液功能，能够自动累计计算总补液量。</w:t>
      </w:r>
    </w:p>
    <w:p w14:paraId="1E33C78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22、配有透析液过滤器支架和透析液过滤器，可过滤透析液。每支透析液过滤器可使用≥150人次或≥900小时</w:t>
      </w:r>
    </w:p>
    <w:p w14:paraId="0CC38DC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23、具有定时器提醒功能,可以输入提醒信息</w:t>
      </w:r>
    </w:p>
    <w:p w14:paraId="09EE9C2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24、具有自检功能，自身具有维修菜单，故障自我诊断</w:t>
      </w:r>
    </w:p>
    <w:p w14:paraId="477C8CA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25、具有图标释义功能</w:t>
      </w:r>
    </w:p>
    <w:p w14:paraId="76A03EA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26、具有一键最低超滤功能, 患者紧急情况下,可一键操作降低超滤</w:t>
      </w:r>
    </w:p>
    <w:p w14:paraId="697C356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27、具有待机模式。</w:t>
      </w:r>
    </w:p>
    <w:p w14:paraId="5A81CF3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28、可保存治疗方案与治疗结果，自动保存至少20次病人治疗记录</w:t>
      </w:r>
    </w:p>
    <w:p w14:paraId="003D01D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29、具有化学消毒, 热消毒, 中央化学消毒或热消毒模式     </w:t>
      </w:r>
    </w:p>
    <w:p w14:paraId="1023EDA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30、后备电池: 内置电池, 使用≥20分钟。</w:t>
      </w:r>
    </w:p>
    <w:p w14:paraId="3B2E60DA">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33C215B8">
      <w:pPr>
        <w:pStyle w:val="3"/>
        <w:spacing w:before="0" w:after="120" w:line="240" w:lineRule="auto"/>
        <w:jc w:val="center"/>
        <w:rPr>
          <w:rFonts w:hint="eastAsia" w:ascii="宋体" w:hAnsi="宋体" w:eastAsia="宋体" w:cs="宋体"/>
          <w:color w:val="auto"/>
          <w:sz w:val="28"/>
          <w:szCs w:val="28"/>
          <w:highlight w:val="none"/>
          <w:lang w:val="de-DE"/>
        </w:rPr>
      </w:pPr>
      <w:r>
        <w:rPr>
          <w:rFonts w:hint="eastAsia" w:ascii="Times New Roman" w:hAnsi="Times New Roman" w:eastAsia="宋体" w:cs="Times New Roman"/>
          <w:b/>
          <w:bCs/>
          <w:color w:val="auto"/>
          <w:kern w:val="2"/>
          <w:sz w:val="24"/>
          <w:szCs w:val="24"/>
          <w:highlight w:val="none"/>
          <w:lang w:val="en-US" w:eastAsia="zh-CN" w:bidi="ar-SA"/>
        </w:rPr>
        <w:t>品目二：血液透析滤过机</w:t>
      </w:r>
    </w:p>
    <w:p w14:paraId="5BA1255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1、≥15英寸彩色液晶触摸显示屏，具备报警灯。</w:t>
      </w:r>
    </w:p>
    <w:p w14:paraId="6D02584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2、可作碳酸氢盐、醋酸盐常规透析。血路管、透析液全开放.</w:t>
      </w:r>
    </w:p>
    <w:p w14:paraId="62971E0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3、数字显示主要参数，包括：动脉压、静脉压、总电导度、电导度、温度、透析液流量、血流量、超滤量</w:t>
      </w:r>
    </w:p>
    <w:p w14:paraId="316655E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4、机器设计使用期限≥10年</w:t>
      </w:r>
    </w:p>
    <w:p w14:paraId="0CB1BC2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5、透析液流量范围: 300～750ml/min, 连续可调 </w:t>
      </w:r>
    </w:p>
    <w:p w14:paraId="1CB4A90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6、透析液温度控制范围: 34.5℃～39℃</w:t>
      </w:r>
    </w:p>
    <w:p w14:paraId="0721C1A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7、透析液导电率监测范围: 13～15ms/cm</w:t>
      </w:r>
    </w:p>
    <w:p w14:paraId="5CF0800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8、反馈式电导度监测及配比机制，可分别监测B液电导度与总电导度</w:t>
      </w:r>
    </w:p>
    <w:p w14:paraId="3579F9D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9、动脉压范围:  -300～＋400 mmHg</w:t>
      </w:r>
    </w:p>
    <w:p w14:paraId="2003B95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10、静脉压范围: -50～＋380 mmHg</w:t>
      </w:r>
      <w:r>
        <w:rPr>
          <w:rFonts w:hint="eastAsia" w:ascii="Times New Roman" w:hAnsi="Times New Roman" w:eastAsia="宋体" w:cs="Times New Roman"/>
          <w:color w:val="auto"/>
          <w:sz w:val="24"/>
          <w:szCs w:val="24"/>
          <w:highlight w:val="none"/>
          <w:lang w:val="en-US" w:eastAsia="zh-CN"/>
        </w:rPr>
        <w:tab/>
      </w:r>
    </w:p>
    <w:p w14:paraId="6F2C778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11、跨膜压范围: -100 ～ +650mmHg</w:t>
      </w:r>
      <w:r>
        <w:rPr>
          <w:rFonts w:hint="eastAsia" w:ascii="Times New Roman" w:hAnsi="Times New Roman" w:eastAsia="宋体" w:cs="Times New Roman"/>
          <w:color w:val="auto"/>
          <w:sz w:val="24"/>
          <w:szCs w:val="24"/>
          <w:highlight w:val="none"/>
          <w:lang w:val="en-US" w:eastAsia="zh-CN"/>
        </w:rPr>
        <w:tab/>
      </w:r>
    </w:p>
    <w:p w14:paraId="6A06169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12、血泵流量： 0，50～600ml/min可调, 血泵流量调节梯度（步长）10ml/min</w:t>
      </w:r>
    </w:p>
    <w:p w14:paraId="7A7D1C5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13、置换液流量范围：20-400ml/min</w:t>
      </w:r>
    </w:p>
    <w:p w14:paraId="4A101A6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14、肝素注射: 0.1～10ml/h可编写停止时间，读数累积肝素容量，肝素泵有自动注入和追加功能</w:t>
      </w:r>
    </w:p>
    <w:p w14:paraId="14EA78C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15、配备在线无创血压监测模块</w:t>
      </w:r>
    </w:p>
    <w:p w14:paraId="7B31DCF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16、显示Kt/v值</w:t>
      </w:r>
    </w:p>
    <w:p w14:paraId="11DA9CA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17、漏血检测与报警: 光学原理检测</w:t>
      </w:r>
    </w:p>
    <w:p w14:paraId="0AF17C0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18、超滤方式: 容量控制</w:t>
      </w:r>
    </w:p>
    <w:p w14:paraId="133D3A0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19、超滤率: 0, 100～4000ml/h</w:t>
      </w:r>
    </w:p>
    <w:p w14:paraId="0A1EA27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20、超滤泵误差 ≤1%</w:t>
      </w:r>
    </w:p>
    <w:p w14:paraId="25FD3AF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21、超滤曲线:可存储设定曲线，≥10种固定曲线，≥20种自定义曲线，满足个性化透析。</w:t>
      </w:r>
    </w:p>
    <w:p w14:paraId="2B0D119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22、具有透析过程中补液功能，能够自动累计计算总补液量。</w:t>
      </w:r>
    </w:p>
    <w:p w14:paraId="64C90D9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23、配有透析液过滤器支架和透析液过滤器，可过滤透析液。每支透析液过滤器可使用≥150人次或≥900小时</w:t>
      </w:r>
    </w:p>
    <w:p w14:paraId="4A7A94D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24、具有定时器提醒功能,可以输入提醒信息</w:t>
      </w:r>
    </w:p>
    <w:p w14:paraId="07FDC9E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25、具有自检功能，自身具有维修菜单，故障自我诊断</w:t>
      </w:r>
    </w:p>
    <w:p w14:paraId="324E8AF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26、具有图标释义功能</w:t>
      </w:r>
    </w:p>
    <w:p w14:paraId="5B1AEF5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27、具有一键最低超滤功能, 患者紧急情况下,可一键操作降低超滤</w:t>
      </w:r>
    </w:p>
    <w:p w14:paraId="61CE741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28、具有待机模式</w:t>
      </w:r>
    </w:p>
    <w:p w14:paraId="706F5D9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29、可保存治疗方案与治疗结果，自动保存至少20次病人治疗记录</w:t>
      </w:r>
    </w:p>
    <w:p w14:paraId="4CEC924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30、具有化学消毒, 热消毒, 中央化学消毒或热消毒模式</w:t>
      </w:r>
    </w:p>
    <w:p w14:paraId="1FB3B35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31、后备电池: 内置电池, 使用≥20分钟</w:t>
      </w:r>
    </w:p>
    <w:p w14:paraId="10C0D03E">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1BD03641">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品目三：血液透析用制水设备</w:t>
      </w:r>
    </w:p>
    <w:p w14:paraId="47C60D6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一、工作环境及参数：</w:t>
      </w:r>
    </w:p>
    <w:p w14:paraId="4878A21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1、原水要求：原水进水为市政自来水</w:t>
      </w:r>
    </w:p>
    <w:p w14:paraId="3B0D578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2、电源：380V、50HZ、三相连续工作。</w:t>
      </w:r>
    </w:p>
    <w:p w14:paraId="3111938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3、功率≥30KW</w:t>
      </w:r>
    </w:p>
    <w:p w14:paraId="2136438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二、产水要求及参数：</w:t>
      </w:r>
    </w:p>
    <w:p w14:paraId="4297222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1、产水水质：符合YY0572-2015《血液透析和相关治疗用水》要求，菌落数≤100CFU/ml,内毒素≤0.03EU/ml；</w:t>
      </w:r>
    </w:p>
    <w:p w14:paraId="7601980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2、内毒素、细菌清除率≥99.9%,溶解盐清除率≥99%,自来水回收率≥70%；</w:t>
      </w:r>
    </w:p>
    <w:p w14:paraId="3C285A3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3、二级纯水产水量≥1200L/H(25℃)；满足30床透析机同时使用。</w:t>
      </w:r>
    </w:p>
    <w:p w14:paraId="24382DE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4、纯水供水恒定压力范围：0.15～0.3Mpa；</w:t>
      </w:r>
    </w:p>
    <w:p w14:paraId="0996E7A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三、设备性能及参数</w:t>
      </w:r>
    </w:p>
    <w:p w14:paraId="675F866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1、采用二级反渗透+热消毒。</w:t>
      </w:r>
    </w:p>
    <w:p w14:paraId="3B41926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2、具备应急供水功能：一级与二级反渗系统同时运行也可互为独立工作， 故障时，一、二级一键切换应急制水，独立供水，水质满足透析用水标准的要求。实现设备的在线维护。</w:t>
      </w:r>
    </w:p>
    <w:p w14:paraId="017CF46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3、原水增压泵采用独立变频，采用压力变送器控制，全自动加压泵组件，带有低压保护装置，可防止加压泵无水空转。系统不设置气囊。</w:t>
      </w:r>
    </w:p>
    <w:p w14:paraId="199BFCE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4、预处理系统分别设置有砂滤器、碳滤器、软化器，预处理罐，压力等级≥1.0Mpa。可根据需要设定时间，定时冲洗及软化再生等保护功能。</w:t>
      </w:r>
    </w:p>
    <w:p w14:paraId="178403D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5、精密过滤器≥ 20 英寸 5 芯 304 不锈钢过滤器，压力等级≥1.0Mpa。</w:t>
      </w:r>
    </w:p>
    <w:p w14:paraId="621311C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6、平衡器采用 304 不锈钢亚光方型平衡器，采用模拟量液位及智能流量调节阀控制系统水量平衡。精确控制到CM。</w:t>
      </w:r>
    </w:p>
    <w:p w14:paraId="13FB9BB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7、高压泵采用风冷式多级立式离心泵。</w:t>
      </w:r>
    </w:p>
    <w:p w14:paraId="29B8C74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8、反渗主机压力容器采用卫生级 304 不锈钢材质，无死腔，压力等级≥3.5Mpa。内装反渗透膜，单支膜面积≥440 平方英尺。管路采用 316 卫生级管道。管道压力等级≥2.5Mpa。</w:t>
      </w:r>
    </w:p>
    <w:p w14:paraId="56C71FA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9、反渗主机机架表面经过拉丝处理，方管壁厚≥2mm，304 不锈钢方管焊接成型， 底盘采用医用万向轮及金属底脚。</w:t>
      </w:r>
    </w:p>
    <w:p w14:paraId="454BF76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10、透析用水方式采用恒压直供循环供水。</w:t>
      </w:r>
    </w:p>
    <w:p w14:paraId="434A66C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11、反渗透装置电器控制部分除热消毒装置、高压泵、水泵、变频器外均采用24V直流电压。</w:t>
      </w:r>
    </w:p>
    <w:p w14:paraId="5EB464A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具备定时开关机功能，每天可根据用户需求设置不同的运行时间。具备热消毒和化学消毒两种模式，实时监测并在线显示消毒运行工作状态和时间，可对消毒运行是否完整进行验证，并有声光警示。热消毒时管路末端设有温度传感器时刻保持85C°以上。</w:t>
      </w:r>
    </w:p>
    <w:p w14:paraId="2CD8F83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13、设备开停机，自动冲洗反渗膜，自动定时冲洗管路、具有夜间模式，对反渗透膜及循环管路 2 小时自动运行十分钟，而且待机时间和冲洗时间可根据实际情况自定义。</w:t>
      </w:r>
    </w:p>
    <w:p w14:paraId="01D86FA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14、拥有血液透析用制水系统控制及检测软件。</w:t>
      </w:r>
    </w:p>
    <w:p w14:paraId="0809DF2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15、具备水源无水检测功能、具备低电压、过电压、电机过流、过热、过载等保护功能，设备故障时声光报警，并自动指示故障点；主机控制部分加装缺相及相序保护装置，电气控制系统严格按照 CE 标准设计，电气柜 IP 防护等级达到 IP4 级。</w:t>
      </w:r>
    </w:p>
    <w:p w14:paraId="2391E18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16、控制系统：采用 PLC+触摸屏组合，中文菜单显示，密码保护功能，操作系统中有手动、自动、消毒、系统参数 、报警信息、报警处理等界面，其中自动界面中有双级、单一级、单二级操作界面，工作界面中能显示所有泵体、阀件、流速、液位实时状态，可扩展 IT 连接和远程监控。</w:t>
      </w:r>
    </w:p>
    <w:p w14:paraId="5071DE9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17、整机纯水管路采用大循环管路为PEX管路，全程无接头，能够在线对透析供水主管道与透析机连接软管消毒；管网末端设置有恒压装置。</w:t>
      </w:r>
    </w:p>
    <w:p w14:paraId="4ED4C28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18、热消毒系统，和反渗主机联动，按需设定消毒时间，一键启动，自动完成循环管路的热消毒过程。</w:t>
      </w:r>
    </w:p>
    <w:p w14:paraId="31F4BDC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19、热消毒系统采用 PLC+触摸屏组合。采用过流式加热工艺，实现系统热消毒快速完成。</w:t>
      </w:r>
    </w:p>
    <w:p w14:paraId="155E24C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20、可随时扩展 IT 连接和远程监控，可通过远程监测使用状态，系统可连接电脑或业主信息管理平台，远程监测、控制运行状态。</w:t>
      </w:r>
    </w:p>
    <w:p w14:paraId="5D33F03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21、拥有远程接入平台软件、嵌入式通讯终端软件。</w:t>
      </w:r>
    </w:p>
    <w:p w14:paraId="23C11E55">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2E82B40A">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品目四：全自动软式内镜清洗消毒器</w:t>
      </w:r>
    </w:p>
    <w:p w14:paraId="43BF1C5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1、消毒剂桶容量：≥5L</w:t>
      </w:r>
    </w:p>
    <w:p w14:paraId="343EE1E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2、清洗液储存箱容量：≥2.5L</w:t>
      </w:r>
    </w:p>
    <w:p w14:paraId="7F83457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3、酒精储存箱容量：≥1L</w:t>
      </w:r>
    </w:p>
    <w:p w14:paraId="553CC15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4、排水装置：采用强制排水的方式</w:t>
      </w:r>
    </w:p>
    <w:p w14:paraId="7A3A575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5、清洗液、酒精加注装置：采用蠕动泵或非蠕动泵。</w:t>
      </w:r>
    </w:p>
    <w:p w14:paraId="496B1BE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6、每次处理镜子数量：1-2条软式内镜</w:t>
      </w:r>
    </w:p>
    <w:p w14:paraId="4A0587F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7、洗消槽结构：双缸</w:t>
      </w:r>
    </w:p>
    <w:p w14:paraId="7A2EC3E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8、测漏功能：具有内镜全过程泄漏监测的装置，若内镜存在小泄漏，设备持续提供正压，程序结束后提示；若内镜存在大泄漏，在接触液体前强制退出并报警</w:t>
      </w:r>
    </w:p>
    <w:p w14:paraId="7B3C4D1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9、自身消毒功能：具备彻底的自身消毒功能，可对设备管道、槽体等进行消毒。</w:t>
      </w:r>
    </w:p>
    <w:p w14:paraId="6D14745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10、双级旋转喷淋清洗：设有底部和顶部两级旋转喷淋装置，消除槽内清洗死角</w:t>
      </w:r>
    </w:p>
    <w:p w14:paraId="1CED86A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11、玻璃门：采用钢化玻璃门，可以清晰观察镜子的清洗消毒情况</w:t>
      </w:r>
    </w:p>
    <w:p w14:paraId="5A3CB5B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12、开门方式：手动或自动门可脚踏开门</w:t>
      </w:r>
    </w:p>
    <w:p w14:paraId="0F6EB6E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13、消耗水量：每次清洗消毒循环水耗量25-45L</w:t>
      </w:r>
    </w:p>
    <w:p w14:paraId="3D77641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14、中文触摸屏显示：采用≥5英寸彩色触摸屏。</w:t>
      </w:r>
    </w:p>
    <w:p w14:paraId="702E4E2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15、消毒液取样：设有消毒剂取样装置，便于用户监测消毒剂的有效性，确保消毒剂具有杀灭微生物性能。</w:t>
      </w:r>
    </w:p>
    <w:p w14:paraId="439F5C4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配置要求：</w:t>
      </w:r>
    </w:p>
    <w:p w14:paraId="2E5B750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1、主机 1台</w:t>
      </w:r>
    </w:p>
    <w:p w14:paraId="75861B7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2、内镜接头 2套（根据用户软镜型号提供）</w:t>
      </w:r>
    </w:p>
    <w:p w14:paraId="6FB50F3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3、外置双级滤壳</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1个</w:t>
      </w:r>
    </w:p>
    <w:p w14:paraId="48E2C50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4、1.0μm过滤器滤芯</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2个</w:t>
      </w:r>
    </w:p>
    <w:p w14:paraId="6104A93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5、0.45μm过滤器滤芯</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2个</w:t>
      </w:r>
    </w:p>
    <w:p w14:paraId="4CAD700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6、0.2μm过滤器滤芯</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1个</w:t>
      </w:r>
    </w:p>
    <w:p w14:paraId="0B49BE4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7、内镜专用清洗液</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1桶（2.5L/桶）</w:t>
      </w:r>
    </w:p>
    <w:p w14:paraId="03C87E3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8、水源连接金属软管</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2条（2.5米、450mm各一条）</w:t>
      </w:r>
    </w:p>
    <w:p w14:paraId="51148CC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9、排水用增强型包塑钢塑管</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1条（3米）</w:t>
      </w:r>
    </w:p>
    <w:p w14:paraId="355CA58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10、溢流用增强型包塑钢塑管</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1条（3米）</w:t>
      </w:r>
    </w:p>
    <w:p w14:paraId="43C6797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11、1/2’不锈钢球阀</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1个</w:t>
      </w:r>
    </w:p>
    <w:p w14:paraId="0622E7A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12、手工测漏器</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1套（根据用户内镜品牌提供，压力范围1-30KPa）</w:t>
      </w:r>
    </w:p>
    <w:p w14:paraId="3F05B167">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2F813984">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品目五：脉动真空灭菌器</w:t>
      </w:r>
    </w:p>
    <w:p w14:paraId="41A55C8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1、容积：≥25L</w:t>
      </w:r>
    </w:p>
    <w:p w14:paraId="0DB808E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2、设计压力：-0.1~0.3MPa</w:t>
      </w:r>
    </w:p>
    <w:p w14:paraId="05CB5A6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3、设计温度：≥135℃</w:t>
      </w:r>
    </w:p>
    <w:p w14:paraId="03C89A2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4、设计使用寿命：≥8年/16000次循环</w:t>
      </w:r>
    </w:p>
    <w:p w14:paraId="1F3D9A5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5、主体保温：粘胶纤维或陶瓷纤维保温层</w:t>
      </w:r>
    </w:p>
    <w:p w14:paraId="20C0F8D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6、腔壁加热：覆膜式加热膜或加热带</w:t>
      </w:r>
    </w:p>
    <w:p w14:paraId="6CA8B63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7、门板：拉伸门板，材料厚度≥2mm</w:t>
      </w:r>
    </w:p>
    <w:p w14:paraId="4A921F7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8、开关门方式:电机驱动，一键式侧开门</w:t>
      </w:r>
    </w:p>
    <w:p w14:paraId="25A4AEE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9、安全联锁：压力安全联锁。</w:t>
      </w:r>
    </w:p>
    <w:p w14:paraId="32D9632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10、门密封方式：自胀式门胶圈，采用透明医用硅橡胶模压而成</w:t>
      </w:r>
    </w:p>
    <w:p w14:paraId="18AABF3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11、压力传感器：独立安装压力传感器</w:t>
      </w:r>
    </w:p>
    <w:p w14:paraId="797D1D0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12、蒸汽产生方式：内置即时蒸发器。</w:t>
      </w:r>
    </w:p>
    <w:p w14:paraId="7728B70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13、储水装置：内置单水箱，不外排蒸汽可实现汽水内循环，同时一次加水可运行多次程序，水箱容积≥4L</w:t>
      </w:r>
    </w:p>
    <w:p w14:paraId="7E466C4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14、安全阀：内置后藏式安全阀</w:t>
      </w:r>
    </w:p>
    <w:p w14:paraId="2A4A4F9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15、操作方式：感应式操作</w:t>
      </w:r>
    </w:p>
    <w:p w14:paraId="78AAD2E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16、控制方式：采用PLC控制或单片机；</w:t>
      </w:r>
    </w:p>
    <w:p w14:paraId="0DEC2EA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17、界面显示：≥3.0英寸液晶屏显示，显示温度、压力、报警信息、支持多语言切换</w:t>
      </w:r>
    </w:p>
    <w:p w14:paraId="677D418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18、记录方式：标配内置微型热敏打印机，可自动将数据打印出来</w:t>
      </w:r>
    </w:p>
    <w:p w14:paraId="04918F8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19、记录内容：程序信息、程序运行阶段、程序运行转折点，各阶段温度、压力、时间、F0值等</w:t>
      </w:r>
    </w:p>
    <w:p w14:paraId="65AA178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安全保护：超温自动保护装置：超过设定温度，系统自动切断加热电源；超压双重保护：超过设定压力自动报警功能；超过安全阀开启压力，安全阀开启泄压；过流保护装置：设备电流过载时，过流保护动作，系统自动切断电源</w:t>
      </w:r>
    </w:p>
    <w:p w14:paraId="7F4A333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配置要求：</w:t>
      </w:r>
    </w:p>
    <w:p w14:paraId="1D9FB3C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1、波纹管1个；</w:t>
      </w:r>
    </w:p>
    <w:p w14:paraId="24F9006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2、三层托盘；</w:t>
      </w:r>
    </w:p>
    <w:p w14:paraId="7CCCE0C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3、取盘器一个；</w:t>
      </w:r>
    </w:p>
    <w:p w14:paraId="7E83BAE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4、排水管一根；</w:t>
      </w:r>
    </w:p>
    <w:p w14:paraId="55D306C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5、保险管4个；</w:t>
      </w:r>
    </w:p>
    <w:p w14:paraId="0574617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宋体" w:hAnsi="宋体" w:eastAsia="宋体" w:cs="宋体"/>
          <w:color w:val="auto"/>
          <w:sz w:val="28"/>
          <w:szCs w:val="28"/>
          <w:highlight w:val="none"/>
          <w:lang w:val="en-US" w:eastAsia="zh-CN"/>
        </w:rPr>
      </w:pPr>
      <w:r>
        <w:rPr>
          <w:rFonts w:hint="eastAsia" w:ascii="Times New Roman" w:hAnsi="Times New Roman" w:eastAsia="宋体" w:cs="Times New Roman"/>
          <w:color w:val="auto"/>
          <w:sz w:val="24"/>
          <w:szCs w:val="24"/>
          <w:highlight w:val="none"/>
          <w:lang w:val="en-US" w:eastAsia="zh-CN"/>
        </w:rPr>
        <w:t>6、内置热敏打印机</w:t>
      </w:r>
    </w:p>
    <w:p w14:paraId="3BE7D405">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32D70F66">
      <w:pPr>
        <w:snapToGrid w:val="0"/>
        <w:spacing w:before="60" w:after="60" w:line="360" w:lineRule="auto"/>
        <w:jc w:val="center"/>
        <w:rPr>
          <w:rFonts w:hint="eastAsia" w:ascii="宋体" w:hAnsi="宋体" w:eastAsia="宋体" w:cs="宋体"/>
          <w:color w:val="auto"/>
          <w:sz w:val="28"/>
          <w:szCs w:val="28"/>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品目六：过氧化氢低温等离子体灭菌器</w:t>
      </w:r>
    </w:p>
    <w:p w14:paraId="3F4DC6C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1、容积:≥120L</w:t>
      </w:r>
    </w:p>
    <w:p w14:paraId="1870E9F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2、腔体结构及材质：腔体结构为矩形，提高空间利用率，腔体材质采用优质航空铝材，厚度≥8mm，具有优越的导热性能</w:t>
      </w:r>
    </w:p>
    <w:p w14:paraId="545F2C5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3、电极网材质：电极网材质钣金成型，厚度≥2mm</w:t>
      </w:r>
    </w:p>
    <w:p w14:paraId="0CCFEF9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4、腔体温度控制探头数量：≥1个，高精度温度探头，分辨率为≥0.1℃</w:t>
      </w:r>
    </w:p>
    <w:p w14:paraId="06E9394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5、主体保温：保温棉采用橡塑海绵或阻燃纤维材质</w:t>
      </w:r>
    </w:p>
    <w:p w14:paraId="0823359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6、密封门材质：采用优质铝合金，厚度≥16mm</w:t>
      </w:r>
    </w:p>
    <w:p w14:paraId="431FECD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7、门板加热功能:加热膜数量≥2个，门板温度维持在50±2℃，防止过氧化氢气体冷凝，影响灭菌效果</w:t>
      </w:r>
    </w:p>
    <w:p w14:paraId="17BE2BD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8、门板温度控制探头数量:≥1个，高精度温度探头，分辨率为0.1℃</w:t>
      </w:r>
    </w:p>
    <w:p w14:paraId="1B308DE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9、真空泵：采用真空度极高且耐过氧化氢腐蚀的真空泵</w:t>
      </w:r>
    </w:p>
    <w:p w14:paraId="1CD3CB6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10、抽空控制阀：采用高真空电动球阀控制抽空管路，避免由于阀密封不严导致过氧化氢蒸气被抽走，确保设备正常灭菌</w:t>
      </w:r>
    </w:p>
    <w:p w14:paraId="115D6F7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11、压力传感器数量≥2个</w:t>
      </w:r>
    </w:p>
    <w:p w14:paraId="566905C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12、油雾过滤器：具有排气油雾过滤系统</w:t>
      </w:r>
    </w:p>
    <w:p w14:paraId="27DD523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13、过氧化氢过滤器：具有排气过氧化氢气体过滤系统，周围空气中过氧化氢浓度均为未检出（＜0.8mg/m³）</w:t>
      </w:r>
    </w:p>
    <w:p w14:paraId="7005C54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14、空气过滤器：过滤精度≤0.22μm</w:t>
      </w:r>
    </w:p>
    <w:p w14:paraId="5A170F7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15、显示屏：≥7英寸彩色触摸屏，触摸屏分辨率不低于800*480</w:t>
      </w:r>
    </w:p>
    <w:p w14:paraId="6335185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16、程序设置：根据灭菌物品特点，设置多个灭菌程序，具有对医疗器械的表面灭菌、管腔类器械灭菌和软式内镜的灭菌程序</w:t>
      </w:r>
    </w:p>
    <w:p w14:paraId="2E698E6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标准配置：</w:t>
      </w:r>
    </w:p>
    <w:p w14:paraId="7AA9D29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1、主机</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1台</w:t>
      </w:r>
    </w:p>
    <w:p w14:paraId="46D96FA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2、不锈钢篮筐</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2个</w:t>
      </w:r>
    </w:p>
    <w:p w14:paraId="188E105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3、过氧化氢过滤器</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1个</w:t>
      </w:r>
    </w:p>
    <w:p w14:paraId="7EFA2AE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4、真空泵油</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2升</w:t>
      </w:r>
    </w:p>
    <w:p w14:paraId="673D069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5、漏斗</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1个</w:t>
      </w:r>
    </w:p>
    <w:p w14:paraId="12617CB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6、打印纸 </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1卷</w:t>
      </w:r>
    </w:p>
    <w:p w14:paraId="20F24F0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7、纸塑包装袋/100mm</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1卷：25米</w:t>
      </w:r>
    </w:p>
    <w:p w14:paraId="649A1DF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8、无纺布/800x800mm</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1包：20张</w:t>
      </w:r>
    </w:p>
    <w:p w14:paraId="0137C17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9、无纺布/1200x1200mm</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1包：20张</w:t>
      </w:r>
    </w:p>
    <w:p w14:paraId="4625722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10、生物指示剂</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15支</w:t>
      </w:r>
    </w:p>
    <w:p w14:paraId="5B52365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11、化学指示卡</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100条</w:t>
      </w:r>
    </w:p>
    <w:p w14:paraId="3C5CAD2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12、过氧化氢卡匣</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5个</w:t>
      </w:r>
    </w:p>
    <w:p w14:paraId="0129B2A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宋体" w:hAnsi="宋体" w:eastAsia="宋体" w:cs="宋体"/>
          <w:color w:val="auto"/>
          <w:sz w:val="28"/>
          <w:szCs w:val="28"/>
          <w:highlight w:val="none"/>
          <w:lang w:val="en-US" w:eastAsia="zh-CN"/>
        </w:rPr>
      </w:pPr>
      <w:r>
        <w:rPr>
          <w:rFonts w:hint="eastAsia" w:ascii="Times New Roman" w:hAnsi="Times New Roman" w:eastAsia="宋体" w:cs="Times New Roman"/>
          <w:color w:val="auto"/>
          <w:sz w:val="24"/>
          <w:szCs w:val="24"/>
          <w:highlight w:val="none"/>
          <w:lang w:val="en-US" w:eastAsia="zh-CN"/>
        </w:rPr>
        <w:t>13、包装标签</w:t>
      </w:r>
      <w:r>
        <w:rPr>
          <w:rFonts w:hint="eastAsia" w:ascii="Times New Roman" w:hAnsi="Times New Roman" w:eastAsia="宋体" w:cs="Times New Roman"/>
          <w:color w:val="auto"/>
          <w:sz w:val="24"/>
          <w:szCs w:val="24"/>
          <w:highlight w:val="none"/>
          <w:lang w:val="en-US" w:eastAsia="zh-CN"/>
        </w:rPr>
        <w:tab/>
      </w:r>
      <w:r>
        <w:rPr>
          <w:rFonts w:hint="eastAsia" w:ascii="Times New Roman" w:hAnsi="Times New Roman" w:eastAsia="宋体" w:cs="Times New Roman"/>
          <w:color w:val="auto"/>
          <w:sz w:val="24"/>
          <w:szCs w:val="24"/>
          <w:highlight w:val="none"/>
          <w:lang w:val="en-US" w:eastAsia="zh-CN"/>
        </w:rPr>
        <w:t>300片</w:t>
      </w:r>
    </w:p>
    <w:p w14:paraId="70020D49">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3216CEA1">
      <w:pPr>
        <w:snapToGrid w:val="0"/>
        <w:spacing w:before="60" w:after="60" w:line="360" w:lineRule="auto"/>
        <w:jc w:val="center"/>
        <w:rPr>
          <w:rFonts w:hint="eastAsia" w:ascii="宋体" w:hAnsi="宋体" w:eastAsia="宋体" w:cs="宋体"/>
          <w:b/>
          <w:color w:val="auto"/>
          <w:sz w:val="28"/>
          <w:szCs w:val="28"/>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品目七：腔镜绝缘性能检测仪器</w:t>
      </w:r>
    </w:p>
    <w:p w14:paraId="6554D15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1、功能：对带电源手术器械进行绝缘层破损检测</w:t>
      </w:r>
    </w:p>
    <w:p w14:paraId="368F12E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2、电压调节：无档式电压调节,0～5000 V可调输出,满足带电器械峰值电压条件下检测</w:t>
      </w:r>
    </w:p>
    <w:p w14:paraId="5A11883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3、电压精度：输出电压精度：±1%</w:t>
      </w:r>
    </w:p>
    <w:p w14:paraId="093F079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4、检测方式：手持或座台式检测，检测不同规格器械</w:t>
      </w:r>
    </w:p>
    <w:p w14:paraId="5B828D1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5、LCD屏幕：≥3.5寸LCD触摸显示屏，方便操作者观看</w:t>
      </w:r>
    </w:p>
    <w:p w14:paraId="081387F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6、报警方式：声、光、影三种报警方式，漏电检测提示闪烁，检测完成后自动语音播报检测结果</w:t>
      </w:r>
    </w:p>
    <w:p w14:paraId="6D944E6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7、电池：≥3200mAh大容量电池，待机时间：≥90天</w:t>
      </w:r>
    </w:p>
    <w:p w14:paraId="52BF032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8、输出电流：放电电流：≤0.1mA</w:t>
      </w:r>
    </w:p>
    <w:p w14:paraId="3BD6C3E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9、放电保护：高压放电连续2秒钟，自动停止高压输出</w:t>
      </w:r>
    </w:p>
    <w:p w14:paraId="0495670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10、具备导通性检测功能</w:t>
      </w:r>
    </w:p>
    <w:p w14:paraId="53626BF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11、续航时间：≥48小时</w:t>
      </w:r>
    </w:p>
    <w:p w14:paraId="73F83B0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12、连接端：多规格，可连接不同直径的器械接电端口</w:t>
      </w:r>
    </w:p>
    <w:p w14:paraId="1AEC355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13、操作设置：预先设置多个常用测量电压模式，满足常规器械检测需要</w:t>
      </w:r>
    </w:p>
    <w:p w14:paraId="4A2C9D4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14、多功能接口：配备针式探头和方便特殊器械的检测的多种规格探头</w:t>
      </w:r>
    </w:p>
    <w:p w14:paraId="5CDFE466">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1673402C">
      <w:pPr>
        <w:snapToGrid w:val="0"/>
        <w:spacing w:before="60" w:after="60" w:line="360" w:lineRule="auto"/>
        <w:jc w:val="center"/>
        <w:rPr>
          <w:rFonts w:hint="eastAsia" w:ascii="宋体" w:hAnsi="宋体" w:eastAsia="宋体" w:cs="宋体"/>
          <w:color w:val="auto"/>
          <w:sz w:val="28"/>
          <w:szCs w:val="28"/>
          <w:highlight w:val="none"/>
        </w:rPr>
      </w:pPr>
      <w:r>
        <w:rPr>
          <w:rFonts w:hint="eastAsia" w:ascii="Times New Roman" w:hAnsi="Times New Roman" w:eastAsia="宋体" w:cs="Times New Roman"/>
          <w:b/>
          <w:bCs/>
          <w:color w:val="auto"/>
          <w:kern w:val="2"/>
          <w:sz w:val="24"/>
          <w:szCs w:val="24"/>
          <w:highlight w:val="none"/>
          <w:lang w:val="en-US" w:eastAsia="zh-CN" w:bidi="ar-SA"/>
        </w:rPr>
        <w:t>品目八：十二道心电图机</w:t>
      </w:r>
    </w:p>
    <w:p w14:paraId="73D84BF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1、导联：12导联同步采集、显示、打印</w:t>
      </w:r>
    </w:p>
    <w:p w14:paraId="477F565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2、噪声电平：≤15uVp-p</w:t>
      </w:r>
    </w:p>
    <w:p w14:paraId="3A9EB5F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3、频率特性：0.05Hz-150Hz（-3db）</w:t>
      </w:r>
    </w:p>
    <w:p w14:paraId="1B743EB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4、时间常数：≥5S</w:t>
      </w:r>
    </w:p>
    <w:p w14:paraId="5CF4FCC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5、耐极化电压：±650mV</w:t>
      </w:r>
    </w:p>
    <w:p w14:paraId="4B43623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6、共模拟制比：≥105dB</w:t>
      </w:r>
    </w:p>
    <w:p w14:paraId="7FC771C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7、增益：2.5 mm/mv 、5 mm/mv、10 mm/mv、20mm/mv、10/5 mm/mv、20/10 mm/mv、AGC</w:t>
      </w:r>
    </w:p>
    <w:p w14:paraId="162C011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8、记录速度：5mm/s、10mm/s、12.5mm/s、25mm/s、50mm/s</w:t>
      </w:r>
    </w:p>
    <w:p w14:paraId="07E53DA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9、≥5.6英寸TFT液晶屏，支持中文、英文输入</w:t>
      </w:r>
    </w:p>
    <w:p w14:paraId="56246A1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10、交直流两用,内置锂电电池,连续工作≥2小时</w:t>
      </w:r>
    </w:p>
    <w:p w14:paraId="2175D3F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11、可存储回放≥10000例病人数据，数据可通过SD卡、USB口导入导出，并可通过U盘,扩展内存容量</w:t>
      </w:r>
    </w:p>
    <w:p w14:paraId="2EF89FF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12、具有导联连接示意图,能准确判定接触不良的电极，提示各个导联脱落的信息</w:t>
      </w:r>
    </w:p>
    <w:p w14:paraId="50F52C16">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28963E01">
      <w:pPr>
        <w:snapToGrid w:val="0"/>
        <w:spacing w:before="60" w:after="60" w:line="360" w:lineRule="auto"/>
        <w:jc w:val="center"/>
        <w:rPr>
          <w:rFonts w:hint="eastAsia" w:ascii="宋体" w:hAnsi="宋体" w:eastAsia="宋体" w:cs="宋体"/>
          <w:b w:val="0"/>
          <w:bCs w:val="0"/>
          <w:color w:val="auto"/>
          <w:sz w:val="28"/>
          <w:szCs w:val="28"/>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品目九：麻醉疼痛专用可视化超声系统</w:t>
      </w:r>
    </w:p>
    <w:p w14:paraId="739F7E5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1、显示器：≥15英寸电容式触摸屏，支持单点、滑动操作</w:t>
      </w:r>
    </w:p>
    <w:p w14:paraId="7B0B6C7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2、电池的续航时间：≥300分钟</w:t>
      </w:r>
    </w:p>
    <w:p w14:paraId="56B9CA6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3、一体化的台车，带储物盒功能，储物盒支持前置和后置</w:t>
      </w:r>
    </w:p>
    <w:p w14:paraId="743EABF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4、台车可独立显示电池电量</w:t>
      </w:r>
    </w:p>
    <w:p w14:paraId="169FD35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5、台车支持一键电动升降，行程≥22cm。</w:t>
      </w:r>
    </w:p>
    <w:p w14:paraId="191C428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6、台车上自带消毒用杯套。</w:t>
      </w:r>
    </w:p>
    <w:p w14:paraId="2153942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7、全数字化超宽频带波束形成器：数字通道≥23528</w:t>
      </w:r>
    </w:p>
    <w:p w14:paraId="65B2807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8、数字化高分辨率二维灰阶成像</w:t>
      </w:r>
    </w:p>
    <w:p w14:paraId="2F09D4A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9、谐波成像技术</w:t>
      </w:r>
    </w:p>
    <w:p w14:paraId="701282D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10、彩色多普勒</w:t>
      </w:r>
    </w:p>
    <w:p w14:paraId="6186797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11、能量多普勒（CDE/PDI)，方向能量图</w:t>
      </w:r>
    </w:p>
    <w:p w14:paraId="67FC82B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12、实时血流三同步</w:t>
      </w:r>
    </w:p>
    <w:p w14:paraId="2C23A91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13、血流的自动频谱包络分析测量</w:t>
      </w:r>
    </w:p>
    <w:p w14:paraId="6F31DB4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14、实时空间复合成像技术。</w:t>
      </w:r>
    </w:p>
    <w:p w14:paraId="5F3FD46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15、全域聚焦技术，无需调节焦点，即可拥有清晰的图像。</w:t>
      </w:r>
    </w:p>
    <w:p w14:paraId="791C245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16、自适应图像增强技术，清除斑点噪声，提高组织边界对比分辨率。</w:t>
      </w:r>
    </w:p>
    <w:p w14:paraId="7C28E4D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17、频率复合技术，根据深度自适应调整发射频率，并进行复合。</w:t>
      </w:r>
    </w:p>
    <w:p w14:paraId="7927C4C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18、智能穿刺增强技术，凸阵探头引导穿刺下穿刺针有两种或以上类型显示，线阵探头下穿刺针增强显影自适应调整。</w:t>
      </w:r>
    </w:p>
    <w:p w14:paraId="4CC4253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19、智能一键图像优化技术：能优化B模式、彩色模式、频谱模式的图像。</w:t>
      </w:r>
    </w:p>
    <w:p w14:paraId="186BA7B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20、极简模式: 主机上可全屏显示图像，也可点击仅把常用几个按键调出（彩色、冻结、M型等）。</w:t>
      </w:r>
    </w:p>
    <w:p w14:paraId="7A6D780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21、专科麻醉和疼痛应用软件包：包含常用检查部位的预设模式。</w:t>
      </w:r>
    </w:p>
    <w:p w14:paraId="708BC50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22、专业的PICC模式，可实现血管定位.</w:t>
      </w:r>
    </w:p>
    <w:p w14:paraId="081431A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23、内置专业教学软件，包括麻醉、疼痛等应用的教学内容。内含解剖图谱、超声图像及操作手法</w:t>
      </w:r>
    </w:p>
    <w:p w14:paraId="50F5553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24、测量和分析（B模式，M模式，多普勒模式，彩色模式）</w:t>
      </w:r>
    </w:p>
    <w:p w14:paraId="342082A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24.1、一般测量（距离、面积、周长、体积、角度、时间、斜率、心率、流</w:t>
      </w:r>
    </w:p>
    <w:p w14:paraId="2AA6F89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速、压力、流速比等）</w:t>
      </w:r>
    </w:p>
    <w:p w14:paraId="5A14941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24.2、多普勒血流测量与分析多普勒血流测量与分析</w:t>
      </w:r>
    </w:p>
    <w:p w14:paraId="6904471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24.3、全自动血流多普勒包络分析</w:t>
      </w:r>
    </w:p>
    <w:p w14:paraId="17087FE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25、一体化图像存储（电影）回放重现及病案管理部件：</w:t>
      </w:r>
    </w:p>
    <w:p w14:paraId="08A6F5D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25.1、超声图像静态、动态存储、原始数据回放重现</w:t>
      </w:r>
    </w:p>
    <w:p w14:paraId="3EBEE48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25.2、病案管理部件包括：病人资料、报告、图像等的存储、修改、检索和打印等</w:t>
      </w:r>
    </w:p>
    <w:p w14:paraId="10018D7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26、输入/输出信号及参考信号：</w:t>
      </w:r>
    </w:p>
    <w:p w14:paraId="1D18111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26.1、输入：网络；输出：HDMI， USB</w:t>
      </w:r>
    </w:p>
    <w:p w14:paraId="10ABB9E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27、图像管理与记录装置：</w:t>
      </w:r>
    </w:p>
    <w:p w14:paraId="696B9F2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27.1、硬盘≥240G</w:t>
      </w:r>
    </w:p>
    <w:p w14:paraId="1DB3D02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27.2、图像可存储为PC兼容格式</w:t>
      </w:r>
    </w:p>
    <w:p w14:paraId="73547AA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27.3、USB接口支持打印和数据输出</w:t>
      </w:r>
    </w:p>
    <w:p w14:paraId="39929C1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28、云端互联功能</w:t>
      </w:r>
    </w:p>
    <w:p w14:paraId="63A292F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28.1、手机扫描二维码调阅观察原始图像信息，支持云端存储和导出功能。</w:t>
      </w:r>
    </w:p>
    <w:p w14:paraId="4457DDD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28.2、支持无线网卡及超声工作站，便于超声影像的快速获取和快速分享，可实现临床超声远程诊断及远程教学</w:t>
      </w:r>
    </w:p>
    <w:p w14:paraId="29C9AFA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29、探头规格：</w:t>
      </w:r>
    </w:p>
    <w:p w14:paraId="114E8E9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29.1、频率：可选探头频率范围1.0-15.0MHz</w:t>
      </w:r>
    </w:p>
    <w:p w14:paraId="002FDE5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29.2、可选探头最高频率≥15MHz</w:t>
      </w:r>
    </w:p>
    <w:p w14:paraId="7CB83D3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29.3、支持探头类型：凸阵，线阵</w:t>
      </w:r>
    </w:p>
    <w:p w14:paraId="795BE68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29.4、线阵探头有效阵元≥192</w:t>
      </w:r>
    </w:p>
    <w:p w14:paraId="4B12B2C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30、二维图像主要参数：</w:t>
      </w:r>
    </w:p>
    <w:p w14:paraId="219FF92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30.1、腹部凸阵探头频率1.0-5.0MHz</w:t>
      </w:r>
    </w:p>
    <w:p w14:paraId="601B6F2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线阵探头频率4.0-13.0MHz</w:t>
      </w:r>
    </w:p>
    <w:p w14:paraId="121861F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30.2、扫描速率</w:t>
      </w:r>
    </w:p>
    <w:p w14:paraId="47105BD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相控阵探头，18cm 深度时，全视野扫描帧率≥40帧/秒</w:t>
      </w:r>
    </w:p>
    <w:p w14:paraId="42BC34C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凸阵探头，18cm深时，全视野扫描帧率≥40帧/秒</w:t>
      </w:r>
    </w:p>
    <w:p w14:paraId="683B133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30.3、接收方式：可视可调动态范围≥180</w:t>
      </w:r>
    </w:p>
    <w:p w14:paraId="0D72B89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30.4、二维灰阶≥256</w:t>
      </w:r>
    </w:p>
    <w:p w14:paraId="00CF6DE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30.5、数字式声束形成器：数字式全程动态聚焦，数字式可变孔径及动态变速，A/D≥14 BIT</w:t>
      </w:r>
    </w:p>
    <w:p w14:paraId="03C5789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30.6、电影回放：灰阶图像回放≥16000幅</w:t>
      </w:r>
    </w:p>
    <w:p w14:paraId="390A3A7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30.7、预设条件：针对不同的检查脏器，预置最佳化图像的检查条件。</w:t>
      </w:r>
    </w:p>
    <w:p w14:paraId="2A0E90D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30.8、根据专业手术室应用场景，TGC分段≥3段。</w:t>
      </w:r>
    </w:p>
    <w:p w14:paraId="32892FC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30.9、谐波：所选探头均支持脉冲反相谐波</w:t>
      </w:r>
    </w:p>
    <w:p w14:paraId="593EF90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30.10、扫描深度≥29cm</w:t>
      </w:r>
    </w:p>
    <w:p w14:paraId="6CC3C9A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31、频谱多普勒成像技术参数：</w:t>
      </w:r>
    </w:p>
    <w:p w14:paraId="2C3A1A0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31.1、支持方式：PWD、HPRF</w:t>
      </w:r>
    </w:p>
    <w:p w14:paraId="60718A3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31.2、最大测量速度：PWD：血流速度最大8.5 m/s</w:t>
      </w:r>
    </w:p>
    <w:p w14:paraId="7BFB939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31.3、最低测量速度：≤3 mm/s（非噪声信号）</w:t>
      </w:r>
    </w:p>
    <w:p w14:paraId="18A8EF1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31.4、显示方式：B、 B/PWD、B/HPRF,、B/M、B/B、B/CFI/D</w:t>
      </w:r>
    </w:p>
    <w:p w14:paraId="418E47B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31.5、电影回放：≥400秒，Doppler及M型电影回放时可以测量和计算</w:t>
      </w:r>
    </w:p>
    <w:p w14:paraId="68BDB47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31.6、零位移动：≥8级</w:t>
      </w:r>
    </w:p>
    <w:p w14:paraId="69CDB1B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31.7、取样宽度及位置范围：宽度 1–30mm；</w:t>
      </w:r>
    </w:p>
    <w:p w14:paraId="37FAE11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32、彩色多普勒</w:t>
      </w:r>
    </w:p>
    <w:p w14:paraId="79456E8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32.1、显示方式：能量显示、速度显示、方向能量多普勒显示</w:t>
      </w:r>
    </w:p>
    <w:p w14:paraId="2CF0881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32.2、支持二维、彩色、频谱三同步显示</w:t>
      </w:r>
    </w:p>
    <w:p w14:paraId="776A282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32.3、彩色显示帧频：凸阵探头：18cm深时,全视野彩色显示帧频≥7帧/秒。</w:t>
      </w:r>
    </w:p>
    <w:p w14:paraId="6E5DA9B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32.4、偏转角：线阵扫描感兴趣的图像范围：-30°~+30°</w:t>
      </w:r>
    </w:p>
    <w:p w14:paraId="05C3AB0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32.5、支持彩色取样框一键快速偏转，偏转角度-20°~+20°</w:t>
      </w:r>
    </w:p>
    <w:p w14:paraId="1BAD279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32.6、支持PW偏转角度快速偏转，偏转角度：-60°~+60°</w:t>
      </w:r>
    </w:p>
    <w:p w14:paraId="7BC34C4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32.7、显示控制：零位移动≥8级可调，黑白与彩色比较双实时彩色对比</w:t>
      </w:r>
    </w:p>
    <w:p w14:paraId="1B33548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32.8、彩色增强功能：彩色多普勒能量图（CDE）及方向性能量图</w:t>
      </w:r>
    </w:p>
    <w:p w14:paraId="4B9BE0B0">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0E6A0D43">
      <w:pPr>
        <w:snapToGrid w:val="0"/>
        <w:spacing w:before="60" w:after="60" w:line="360" w:lineRule="auto"/>
        <w:jc w:val="center"/>
        <w:rPr>
          <w:rFonts w:hint="eastAsia" w:ascii="宋体" w:hAnsi="宋体" w:eastAsia="宋体" w:cs="宋体"/>
          <w:b w:val="0"/>
          <w:bCs/>
          <w:color w:val="auto"/>
          <w:sz w:val="28"/>
          <w:szCs w:val="28"/>
          <w:highlight w:val="none"/>
        </w:rPr>
      </w:pPr>
      <w:r>
        <w:rPr>
          <w:rFonts w:hint="eastAsia" w:ascii="Times New Roman" w:hAnsi="Times New Roman" w:eastAsia="宋体" w:cs="Times New Roman"/>
          <w:b/>
          <w:bCs/>
          <w:color w:val="auto"/>
          <w:kern w:val="2"/>
          <w:sz w:val="24"/>
          <w:szCs w:val="24"/>
          <w:highlight w:val="none"/>
          <w:lang w:val="en-US" w:eastAsia="zh-CN" w:bidi="ar-SA"/>
        </w:rPr>
        <w:t>品目十：射频控温热凝仪</w:t>
      </w:r>
    </w:p>
    <w:p w14:paraId="3E1B716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1、热凝器额定输出功率：≥50W</w:t>
      </w:r>
    </w:p>
    <w:p w14:paraId="06358BC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2、射频输出频率：460kHz±10%</w:t>
      </w:r>
    </w:p>
    <w:p w14:paraId="200C572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3、射频热凝输出方式：</w:t>
      </w:r>
    </w:p>
    <w:p w14:paraId="61915A0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3.1、智能连续输出，自动提供合适功率输出，提供一键式治疗模式；</w:t>
      </w:r>
    </w:p>
    <w:p w14:paraId="15C1D45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3.2、智能脉冲输出，内设多种治疗模式。</w:t>
      </w:r>
    </w:p>
    <w:p w14:paraId="2AD7290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3.3、具有自动切换单极治疗模式。</w:t>
      </w:r>
    </w:p>
    <w:p w14:paraId="2835EDF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4、热凝器恒温热凝时间范围和精度：热凝时间范围为0s-600s</w:t>
      </w:r>
    </w:p>
    <w:p w14:paraId="3418C57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5、倒计时功能：具有消融时间的倒计时功能。</w:t>
      </w:r>
    </w:p>
    <w:p w14:paraId="11979B7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6、热凝器温度测温范围：20℃-99℃； </w:t>
      </w:r>
    </w:p>
    <w:p w14:paraId="09FE53B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7、热凝器的恒温热凝温度：设定范围为35℃-95℃。</w:t>
      </w:r>
    </w:p>
    <w:p w14:paraId="6DD5C45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8、热凝器的负载阻抗范围：50Ω-2000Ω。</w:t>
      </w:r>
    </w:p>
    <w:p w14:paraId="79771BD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9、电刺激定位：具有电压刺激定位和电流刺激定位</w:t>
      </w:r>
    </w:p>
    <w:p w14:paraId="7A90242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10、电生理阻抗定位的测量范围：30Ω-2999Ω；</w:t>
      </w:r>
    </w:p>
    <w:p w14:paraId="10D97B6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11、系统自测试程序:自动检测主机、电极和导线的工作状态；</w:t>
      </w:r>
    </w:p>
    <w:p w14:paraId="60A4B37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12、手控开关：可由手控开关控制热凝、电刺激的启动或停止；</w:t>
      </w:r>
    </w:p>
    <w:p w14:paraId="38B8563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13、自动报警功能：电极前端温度传感器故障、超预置温度等状态自动报警；</w:t>
      </w:r>
    </w:p>
    <w:p w14:paraId="04638D9A">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000F7C78">
      <w:pPr>
        <w:snapToGrid w:val="0"/>
        <w:spacing w:before="60" w:after="60" w:line="360" w:lineRule="auto"/>
        <w:jc w:val="center"/>
        <w:rPr>
          <w:rFonts w:hint="eastAsia" w:ascii="宋体" w:hAnsi="宋体" w:eastAsia="宋体" w:cs="宋体"/>
          <w:color w:val="auto"/>
          <w:sz w:val="28"/>
          <w:szCs w:val="28"/>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品目十一：光谱热疗仪</w:t>
      </w:r>
    </w:p>
    <w:p w14:paraId="2897954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适用范围：利用红外线照射产生的热效应进行理疗，促进伤口愈合</w:t>
      </w:r>
    </w:p>
    <w:p w14:paraId="224E0F6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1、治疗光源：卤素光源</w:t>
      </w:r>
    </w:p>
    <w:p w14:paraId="1714E2D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2、功率：≥750W</w:t>
      </w:r>
    </w:p>
    <w:p w14:paraId="2849E5A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3、输出方式：连续输出</w:t>
      </w:r>
    </w:p>
    <w:p w14:paraId="50E2393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4、光源光谱波长范围：590~1400nm（可见光+红外光）</w:t>
      </w:r>
    </w:p>
    <w:p w14:paraId="3F56223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5、照射深度≥20cm</w:t>
      </w:r>
    </w:p>
    <w:p w14:paraId="65604F9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6、距离出光口32cm处的有效照射直径≥70cm</w:t>
      </w:r>
    </w:p>
    <w:p w14:paraId="4F7B732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7、持续运行时间≥10小时</w:t>
      </w:r>
    </w:p>
    <w:p w14:paraId="77E5B24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8、连续开机，距离出光口32cm处光功率密度≥220mw/cm2以上</w:t>
      </w:r>
    </w:p>
    <w:p w14:paraId="24A9D02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9、安全高能：可进行头面部治疗，无炸裂风险，无偶氮苯等有毒致癌物质</w:t>
      </w:r>
    </w:p>
    <w:p w14:paraId="09981C3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10、治疗主机外壳温度：设备开机持续工作4小时后≤48℃</w:t>
      </w:r>
    </w:p>
    <w:p w14:paraId="2379C32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11、照射有机物表面温度≤41℃</w:t>
      </w:r>
    </w:p>
    <w:p w14:paraId="5F384DC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12、治疗装置应配置定距杆，且长度在32-35cm之间</w:t>
      </w:r>
    </w:p>
    <w:p w14:paraId="12095C9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13、具备倾倒防护装置</w:t>
      </w:r>
    </w:p>
    <w:p w14:paraId="6C9D36F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14、外壳应固定在U型金属支架上转动，且角度≥90度</w:t>
      </w:r>
    </w:p>
    <w:p w14:paraId="6AB180B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15、光源底座具备锁紧保护装置</w:t>
      </w:r>
    </w:p>
    <w:p w14:paraId="38DC7F9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16、过滤器口径在90mm-100mm之间</w:t>
      </w:r>
    </w:p>
    <w:p w14:paraId="6A1BA94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17、应配备安全切断装置，当正常治疗中发生过热时，切断工作电源，停止照射。而当冷却后，自动复位</w:t>
      </w:r>
    </w:p>
    <w:p w14:paraId="167F047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18、治疗装置的光源配备防护外壳</w:t>
      </w:r>
    </w:p>
    <w:p w14:paraId="0E84F40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19、采用液体夹层过滤器</w:t>
      </w:r>
    </w:p>
    <w:p w14:paraId="40B55B3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20、底盘车配有万向轮，可移动，可锁止。</w:t>
      </w:r>
    </w:p>
    <w:p w14:paraId="22873C3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21、脚踏式液压升降开关，可锁止</w:t>
      </w:r>
    </w:p>
    <w:p w14:paraId="4109697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22、手扶式升降高度调节</w:t>
      </w:r>
    </w:p>
    <w:p w14:paraId="07E01F1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23、带有挂线器</w:t>
      </w:r>
    </w:p>
    <w:p w14:paraId="6F83DAC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24、设计使用年限≥10年</w:t>
      </w:r>
    </w:p>
    <w:p w14:paraId="0C23D930">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5C624F5A">
      <w:pPr>
        <w:snapToGrid w:val="0"/>
        <w:spacing w:before="60" w:after="60" w:line="360" w:lineRule="auto"/>
        <w:jc w:val="center"/>
        <w:rPr>
          <w:rFonts w:hint="eastAsia" w:ascii="宋体" w:hAnsi="宋体" w:eastAsia="宋体" w:cs="宋体"/>
          <w:color w:val="auto"/>
          <w:sz w:val="24"/>
          <w:szCs w:val="32"/>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品目十二：高频电刀</w:t>
      </w:r>
    </w:p>
    <w:p w14:paraId="0645195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1、输出功率:350W</w:t>
      </w:r>
    </w:p>
    <w:p w14:paraId="7C26479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2、六种输出模式:①切割、②混切 1、③混切 2、④电凝 1、⑤电凝 2、⑥双极电凝</w:t>
      </w:r>
    </w:p>
    <w:p w14:paraId="67376BE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3、具有记忆功能，重新启动开机时出现上次使用功率设定值。</w:t>
      </w:r>
    </w:p>
    <w:p w14:paraId="6A17C06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4、具有中性电极接触质量监测电路，可以检测极板和病人接触面积，系统检测评估极板与皮肤的有效接触面积，一旦发现接触面积下降到危险水平，系统自动切断输出，并报警提示。</w:t>
      </w:r>
    </w:p>
    <w:p w14:paraId="457194A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5、可以检测使用单极、双极负极板。</w:t>
      </w:r>
    </w:p>
    <w:p w14:paraId="5ECAC7E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6、具有自动补偿功能。</w:t>
      </w:r>
    </w:p>
    <w:p w14:paraId="6AAAD1C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7、双极负载±200Ω，单极负载±500Ω，可做水下切割，包括富脂区的组织切割。</w:t>
      </w:r>
    </w:p>
    <w:p w14:paraId="0F3E0B7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8、工作频率:360~460kHz，可以配合氩气系统、内镜、宫腔镜等使用</w:t>
      </w:r>
    </w:p>
    <w:p w14:paraId="3B40AD3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9、数码显示</w:t>
      </w:r>
    </w:p>
    <w:p w14:paraId="2922B88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10、主机具有自动监测并错误提示功能</w:t>
      </w:r>
    </w:p>
    <w:p w14:paraId="2382591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11、设备所属类型:CF型</w:t>
      </w:r>
    </w:p>
    <w:p w14:paraId="0E4A0A0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12、额定输出功率:</w:t>
      </w:r>
    </w:p>
    <w:p w14:paraId="4AB3180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12.1、切割:1W~350W(负载500Ω)</w:t>
      </w:r>
    </w:p>
    <w:p w14:paraId="1D9B085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12.2、混切1:1W~200W(负载500Ω)</w:t>
      </w:r>
      <w:r>
        <w:rPr>
          <w:rFonts w:hint="eastAsia" w:ascii="Times New Roman" w:hAnsi="Times New Roman" w:eastAsia="宋体" w:cs="Times New Roman"/>
          <w:color w:val="auto"/>
          <w:sz w:val="24"/>
          <w:szCs w:val="24"/>
          <w:highlight w:val="none"/>
          <w:lang w:val="en-US" w:eastAsia="zh-CN"/>
        </w:rPr>
        <w:tab/>
      </w:r>
    </w:p>
    <w:p w14:paraId="1530AD1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12.3、混切2:1W~150W(负载500Ω)</w:t>
      </w:r>
      <w:r>
        <w:rPr>
          <w:rFonts w:hint="eastAsia" w:ascii="Times New Roman" w:hAnsi="Times New Roman" w:eastAsia="宋体" w:cs="Times New Roman"/>
          <w:color w:val="auto"/>
          <w:sz w:val="24"/>
          <w:szCs w:val="24"/>
          <w:highlight w:val="none"/>
          <w:lang w:val="en-US" w:eastAsia="zh-CN"/>
        </w:rPr>
        <w:tab/>
      </w:r>
    </w:p>
    <w:p w14:paraId="1F6922A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12.4、电凝1:1W~120W(负载500Ω)</w:t>
      </w:r>
      <w:r>
        <w:rPr>
          <w:rFonts w:hint="eastAsia" w:ascii="Times New Roman" w:hAnsi="Times New Roman" w:eastAsia="宋体" w:cs="Times New Roman"/>
          <w:color w:val="auto"/>
          <w:sz w:val="24"/>
          <w:szCs w:val="24"/>
          <w:highlight w:val="none"/>
          <w:lang w:val="en-US" w:eastAsia="zh-CN"/>
        </w:rPr>
        <w:tab/>
      </w:r>
    </w:p>
    <w:p w14:paraId="2D44416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12.5、电凝2:1W~100W(负载500Ω)</w:t>
      </w:r>
      <w:r>
        <w:rPr>
          <w:rFonts w:hint="eastAsia" w:ascii="Times New Roman" w:hAnsi="Times New Roman" w:eastAsia="宋体" w:cs="Times New Roman"/>
          <w:color w:val="auto"/>
          <w:sz w:val="24"/>
          <w:szCs w:val="24"/>
          <w:highlight w:val="none"/>
          <w:lang w:val="en-US" w:eastAsia="zh-CN"/>
        </w:rPr>
        <w:tab/>
      </w:r>
    </w:p>
    <w:p w14:paraId="139608A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12.6、双极电凝:1W~70W(负载200Ω)</w:t>
      </w:r>
      <w:r>
        <w:rPr>
          <w:rFonts w:hint="eastAsia" w:ascii="Times New Roman" w:hAnsi="Times New Roman" w:eastAsia="宋体" w:cs="Times New Roman"/>
          <w:color w:val="auto"/>
          <w:sz w:val="24"/>
          <w:szCs w:val="24"/>
          <w:highlight w:val="none"/>
          <w:lang w:val="en-US" w:eastAsia="zh-CN"/>
        </w:rPr>
        <w:tab/>
      </w:r>
    </w:p>
    <w:p w14:paraId="737A539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13、整机功耗:≤1000VA。(切割功能350W)</w:t>
      </w:r>
    </w:p>
    <w:p w14:paraId="52FA2175">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76043EC2">
      <w:pPr>
        <w:snapToGrid w:val="0"/>
        <w:spacing w:before="60" w:after="60" w:line="360" w:lineRule="auto"/>
        <w:jc w:val="center"/>
        <w:rPr>
          <w:rFonts w:hint="eastAsia" w:ascii="宋体" w:hAnsi="宋体" w:eastAsia="宋体" w:cs="宋体"/>
          <w:b w:val="0"/>
          <w:bCs w:val="0"/>
          <w:color w:val="auto"/>
          <w:sz w:val="28"/>
          <w:szCs w:val="28"/>
          <w:highlight w:val="none"/>
        </w:rPr>
      </w:pPr>
      <w:r>
        <w:rPr>
          <w:rFonts w:hint="eastAsia" w:ascii="Times New Roman" w:hAnsi="Times New Roman" w:eastAsia="宋体" w:cs="Times New Roman"/>
          <w:b/>
          <w:bCs/>
          <w:color w:val="auto"/>
          <w:kern w:val="2"/>
          <w:sz w:val="24"/>
          <w:szCs w:val="24"/>
          <w:highlight w:val="none"/>
          <w:lang w:val="en-US" w:eastAsia="zh-CN" w:bidi="ar-SA"/>
        </w:rPr>
        <w:t>品目十三：全自动化学发光免疫分析仪</w:t>
      </w:r>
    </w:p>
    <w:p w14:paraId="48B82CA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功能：</w:t>
      </w:r>
    </w:p>
    <w:p w14:paraId="0E03C0D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1、可以通过人机对话指令，使仪器能自动完成不同样品、测试项目的分析任务</w:t>
      </w:r>
    </w:p>
    <w:p w14:paraId="76ED450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2、自动提示试剂等消耗品、废弃物的状态</w:t>
      </w:r>
    </w:p>
    <w:p w14:paraId="4C09D53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3、仪器具备自检功能</w:t>
      </w:r>
    </w:p>
    <w:p w14:paraId="6CDF4EE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4、故障提示；仪器对操作错误、机械及电路故障具有相应提示</w:t>
      </w:r>
    </w:p>
    <w:p w14:paraId="3FE7AA2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5、反应区容量：≥6 通道</w:t>
      </w:r>
    </w:p>
    <w:p w14:paraId="5D5175E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6、热敏打印机快速打印</w:t>
      </w:r>
    </w:p>
    <w:p w14:paraId="5BC901A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具体参数：</w:t>
      </w:r>
    </w:p>
    <w:p w14:paraId="489DA55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1、工作原理；化学发光免疫分析技术：</w:t>
      </w:r>
    </w:p>
    <w:p w14:paraId="776F748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3、检测模块光谱测定范围：500nm～600nm</w:t>
      </w:r>
    </w:p>
    <w:p w14:paraId="48A34A8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4、试剂位：≥6 个，单人份</w:t>
      </w:r>
    </w:p>
    <w:p w14:paraId="1E5DA2F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5、样品位 ：≥6 个，批处理模式</w:t>
      </w:r>
    </w:p>
    <w:p w14:paraId="7C8D034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6、检测通量：≥20T/h</w:t>
      </w:r>
    </w:p>
    <w:p w14:paraId="555FFCE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7、样本类型；人类血清、血浆、全血、尿液</w:t>
      </w:r>
    </w:p>
    <w:p w14:paraId="2406FB1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8、仪器噪声：≤ 100RLU或≤350CPS</w:t>
      </w:r>
    </w:p>
    <w:p w14:paraId="15F949E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9、发光值的线性：在不小于 3 个发光值数量级范围内，线性相关系数(r)≥0.99。</w:t>
      </w:r>
    </w:p>
    <w:p w14:paraId="5A331B6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10、发光值的重复性：采用发光剂法，变异系数（CV）≤5%</w:t>
      </w:r>
    </w:p>
    <w:p w14:paraId="059E031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11、发光值的稳定性：采用发光剂法，发光值的变化≤±10%</w:t>
      </w:r>
    </w:p>
    <w:p w14:paraId="3838DEF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12、临床项目的批内精密度：CV≤8%</w:t>
      </w:r>
    </w:p>
    <w:p w14:paraId="225A030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13、加样正确度与重复性：50μL 加样量，加样正确度不超过±10%，变异系数≤3%，100μL加样量，加样正确度≤±5%，变异系数≤2%。</w:t>
      </w:r>
    </w:p>
    <w:p w14:paraId="0D7EA98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14、反应区温度控制的正确度和波动度：反应区温度的偏倚应在设定值（37℃）的±0.5℃内，波动度不超过 0.5℃。</w:t>
      </w:r>
    </w:p>
    <w:p w14:paraId="1D68060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15、工作站：嵌入式 CPU： ≥四核 主频1.8GHz、≥4GB内存、，UPS 1个</w:t>
      </w:r>
    </w:p>
    <w:p w14:paraId="3AD89B3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16、设备设计使用年限：≥8年</w:t>
      </w:r>
    </w:p>
    <w:p w14:paraId="0F0BFEED">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7146DB4D">
      <w:pPr>
        <w:snapToGrid w:val="0"/>
        <w:spacing w:before="60" w:after="60" w:line="360" w:lineRule="auto"/>
        <w:jc w:val="center"/>
        <w:rPr>
          <w:rFonts w:hint="eastAsia" w:ascii="宋体" w:hAnsi="宋体" w:eastAsia="宋体" w:cs="宋体"/>
          <w:b/>
          <w:bCs/>
          <w:color w:val="auto"/>
          <w:sz w:val="24"/>
          <w:szCs w:val="24"/>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品目十四：手术室空调制冷设备</w:t>
      </w:r>
    </w:p>
    <w:p w14:paraId="364A6DD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1、制冷机组制冷量应不小于130KW</w:t>
      </w:r>
    </w:p>
    <w:p w14:paraId="1CA14AF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2、机组运行范围：空调制热环境温度范围-15℃~25℃，空调制冷运行环境温度范围5℃~45℃</w:t>
      </w:r>
    </w:p>
    <w:p w14:paraId="503A4FD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3、制冷机组总功率应≤48KW</w:t>
      </w:r>
    </w:p>
    <w:p w14:paraId="25D735B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4、机组具有智能除霜和手动除霜模式</w:t>
      </w:r>
    </w:p>
    <w:p w14:paraId="6B2EE90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5、名义工况的性能系数COP应不低于机组明示值的92%</w:t>
      </w:r>
    </w:p>
    <w:p w14:paraId="38029C2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6、冷冻水/冷却水的流量在65%~120%不报警</w:t>
      </w:r>
    </w:p>
    <w:p w14:paraId="6FAE02D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7、制冷机组实际水温与测试水温偏差：≤±0.3℃</w:t>
      </w:r>
    </w:p>
    <w:p w14:paraId="1BDB0D9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8、具有故障自动保护（包括：高低压保护、压缩机过热保护、压缩机，风机过载保护、断水保护、电源欠逆相保护、进出水温差保护、防冻保护、排气温度过高保护、传感器故障保护）</w:t>
      </w:r>
    </w:p>
    <w:p w14:paraId="33AC5A6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9、具有完整的报警和自动诊断功能，并能自动记录、存储并显示故障与报警信息。</w:t>
      </w:r>
    </w:p>
    <w:p w14:paraId="51DAC4C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p>
    <w:p w14:paraId="6E746672">
      <w:pPr>
        <w:snapToGrid w:val="0"/>
        <w:spacing w:before="60" w:after="60" w:line="360" w:lineRule="auto"/>
        <w:jc w:val="center"/>
        <w:rPr>
          <w:rFonts w:hint="eastAsia" w:ascii="宋体" w:hAnsi="宋体" w:eastAsia="宋体" w:cs="宋体"/>
          <w:b/>
          <w:bCs/>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品目十五：全自动血凝分析仪</w:t>
      </w:r>
    </w:p>
    <w:p w14:paraId="115F4EF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1、检测方法：可提供多种方法学的血栓/止血分析系统，包括但不限于凝固法、发色底物法、免疫比浊法</w:t>
      </w:r>
    </w:p>
    <w:p w14:paraId="6D46813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2、检测通道：≥20个通道</w:t>
      </w:r>
    </w:p>
    <w:p w14:paraId="47C85C9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3、检测参数：可开展PT/APTT/TT/Fbg, 凝血因子，AT，D-二聚体，FDP、vWF、蛋白C，蛋白S，纤溶酶原，α2-纤溶酶抑制因子等项目满足实验室现有检测及未来发展</w:t>
      </w:r>
    </w:p>
    <w:p w14:paraId="261CF02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4、检测速度：PT≥410测试/小时 ，D-二聚体检测速度≥200测试/小时</w:t>
      </w:r>
    </w:p>
    <w:p w14:paraId="5C999B3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5、检测波长：≥2个，并且可根据HIL智能监测结果自动调整检测波长，避免样本性状带来的干扰</w:t>
      </w:r>
    </w:p>
    <w:p w14:paraId="1677174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6、试剂位：≥40个，其中试剂冷藏位≥35个，冷藏温度低于16℃，有急诊位</w:t>
      </w:r>
    </w:p>
    <w:p w14:paraId="57C05D4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7、进样方式：采用全自动进样架方式进样，标配闭盖穿刺进样功能</w:t>
      </w:r>
    </w:p>
    <w:p w14:paraId="4E05860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8、反应杯：单个独立，无需磁珠及参比品。一次放置≥1000个，可自动连续排列</w:t>
      </w:r>
    </w:p>
    <w:p w14:paraId="130FB2D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9、纤维蛋白原测定方法：仪器拥有PT演算纤维蛋白原与Clauss法实测纤维蛋白原两种方法</w:t>
      </w:r>
    </w:p>
    <w:p w14:paraId="628F3BE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10、样本监测功能：能自动监测并提示样本是否为溶血、黄疸或脂血标本</w:t>
      </w:r>
    </w:p>
    <w:p w14:paraId="5DF06A4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11、具备干粉试剂</w:t>
      </w:r>
    </w:p>
    <w:p w14:paraId="05F6257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12、自动分析功能：自动稀释、自动连锁筛选、自动再检功能、自动多点定标功能</w:t>
      </w:r>
    </w:p>
    <w:p w14:paraId="5F17C5E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13、质量控制：≥750个文件的X－bar/L-J管理，可通过westguard rules 进行监测，可以实现实时在线质控管理功能</w:t>
      </w:r>
    </w:p>
    <w:p w14:paraId="78DF983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14、混合交叉实验：可实现混合交叉分析功能，提供即时型和延迟型检测结果</w:t>
      </w:r>
    </w:p>
    <w:p w14:paraId="623C25D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15、样本储存≥10,000个样本</w:t>
      </w:r>
    </w:p>
    <w:p w14:paraId="30858361">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7330ACC2">
      <w:pPr>
        <w:snapToGrid w:val="0"/>
        <w:spacing w:before="60" w:after="60" w:line="360" w:lineRule="auto"/>
        <w:jc w:val="center"/>
        <w:rPr>
          <w:rFonts w:hint="eastAsia" w:ascii="宋体" w:hAnsi="宋体" w:eastAsia="宋体" w:cs="宋体"/>
          <w:color w:val="auto"/>
          <w:sz w:val="28"/>
          <w:szCs w:val="36"/>
          <w:highlight w:val="none"/>
        </w:rPr>
      </w:pPr>
      <w:r>
        <w:rPr>
          <w:rFonts w:hint="eastAsia" w:ascii="Times New Roman" w:hAnsi="Times New Roman" w:eastAsia="宋体" w:cs="Times New Roman"/>
          <w:b/>
          <w:bCs/>
          <w:color w:val="auto"/>
          <w:kern w:val="2"/>
          <w:sz w:val="24"/>
          <w:szCs w:val="24"/>
          <w:highlight w:val="none"/>
          <w:lang w:val="en-US" w:eastAsia="zh-CN" w:bidi="ar-SA"/>
        </w:rPr>
        <w:t>品目十六：轮椅</w:t>
      </w:r>
    </w:p>
    <w:p w14:paraId="1A2728C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1、钢管材质，坐垫和靠采用皮革材质或织布，折叠后≤28cm，车长≤110cm            </w:t>
      </w:r>
    </w:p>
    <w:p w14:paraId="1005209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2、净重≤20KG;承重≥100KG</w:t>
      </w:r>
    </w:p>
    <w:p w14:paraId="5837C9F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p>
    <w:p w14:paraId="2E0E2172">
      <w:pPr>
        <w:snapToGrid w:val="0"/>
        <w:spacing w:before="60" w:after="60" w:line="360" w:lineRule="auto"/>
        <w:jc w:val="center"/>
        <w:rPr>
          <w:rFonts w:hint="eastAsia" w:ascii="宋体" w:hAnsi="宋体" w:eastAsia="宋体" w:cs="宋体"/>
          <w:color w:val="auto"/>
          <w:sz w:val="28"/>
          <w:szCs w:val="36"/>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品目十七：体重秤</w:t>
      </w:r>
    </w:p>
    <w:p w14:paraId="4369D50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1、最大称量：≥200kg，最小称量≤2kg，分度值：200g</w:t>
      </w:r>
    </w:p>
    <w:p w14:paraId="07B7767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2、身高测量范围≥80-190cm，分度值：0.5cm</w:t>
      </w:r>
    </w:p>
    <w:p w14:paraId="23A0F13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3、台面尺寸≧400*280mm</w:t>
      </w:r>
    </w:p>
    <w:p w14:paraId="19B22B9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4、显示：LCD（带背光）</w:t>
      </w:r>
    </w:p>
    <w:p w14:paraId="755DE487">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77F3EAAF">
      <w:pPr>
        <w:snapToGrid w:val="0"/>
        <w:spacing w:before="60" w:after="60" w:line="360" w:lineRule="auto"/>
        <w:jc w:val="center"/>
        <w:rPr>
          <w:rFonts w:hint="eastAsia" w:ascii="宋体" w:hAnsi="宋体" w:eastAsia="宋体" w:cs="宋体"/>
          <w:color w:val="auto"/>
          <w:sz w:val="28"/>
          <w:szCs w:val="36"/>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品目十八：防压疮床垫</w:t>
      </w:r>
    </w:p>
    <w:p w14:paraId="0115A05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1、外形尺寸 2000mm*900mm(误差士100mm)，气室数量≥20个; 充气泵可分别对单双排气室进行循环充放气，气泵每次充气6min，放气 4min,10 min为一周期，循环往复，充放气时间误差不大于士10%。充气泵出口充气压力可调，最大压力应≥12kpa;气床垫在最大工作载荷下，其最大压力≥4kpa。</w:t>
      </w:r>
    </w:p>
    <w:p w14:paraId="600DD18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2、喷气压力</w:t>
      </w:r>
    </w:p>
    <w:p w14:paraId="15E57F6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3、工作载荷：气床垫工作载荷≥100kg。</w:t>
      </w:r>
    </w:p>
    <w:p w14:paraId="05B174F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4、气密性：气床垫承重≥100kg重物，对气床垫充气，锁闭管路，放置24h后，气床垫最大压力的压力降≤5%。</w:t>
      </w:r>
    </w:p>
    <w:p w14:paraId="5269C1E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5、气床垫折益次数：气床垫折益30 次后，不得产生明显的折痕。</w:t>
      </w:r>
    </w:p>
    <w:p w14:paraId="638245B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6、气床垫正常工作时的噪声≤50dB。</w:t>
      </w:r>
    </w:p>
    <w:p w14:paraId="19A3BDE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7、稳定性:气床垫上的充气泵可正常连续工作≥24h。</w:t>
      </w:r>
    </w:p>
    <w:p w14:paraId="3E7D2118">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062E3D94">
      <w:pPr>
        <w:snapToGrid w:val="0"/>
        <w:spacing w:before="60" w:after="60" w:line="360" w:lineRule="auto"/>
        <w:jc w:val="center"/>
        <w:rPr>
          <w:rFonts w:hint="eastAsia" w:ascii="宋体" w:hAnsi="宋体" w:eastAsia="宋体" w:cs="宋体"/>
          <w:color w:val="auto"/>
          <w:sz w:val="36"/>
          <w:szCs w:val="36"/>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品目十九：病人推车</w:t>
      </w:r>
    </w:p>
    <w:p w14:paraId="1B470C6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1、材质：框架高强度不锈钢焊接加工而成。 </w:t>
      </w:r>
    </w:p>
    <w:p w14:paraId="34BCCF6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2、尺寸：1950*600*720mm±50mm</w:t>
      </w:r>
    </w:p>
    <w:p w14:paraId="1AB2A8A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3、配有输液架、人造皮格和鞋架各1套；配万向静音脚轮和&gt;16寸铝合金充气轮。</w:t>
      </w:r>
    </w:p>
    <w:p w14:paraId="566B52E7">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0749DBB5">
      <w:pPr>
        <w:snapToGrid w:val="0"/>
        <w:spacing w:before="60" w:after="60" w:line="360" w:lineRule="auto"/>
        <w:jc w:val="center"/>
        <w:rPr>
          <w:rFonts w:hint="eastAsia" w:ascii="宋体" w:hAnsi="宋体" w:eastAsia="宋体" w:cs="宋体"/>
          <w:color w:val="auto"/>
          <w:sz w:val="28"/>
          <w:szCs w:val="36"/>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品目二十：坐便椅</w:t>
      </w:r>
    </w:p>
    <w:p w14:paraId="02482B2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1、材质：铝合金材质；高度可调节</w:t>
      </w:r>
    </w:p>
    <w:p w14:paraId="722B119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2、坐垫：皮革面料</w:t>
      </w:r>
    </w:p>
    <w:p w14:paraId="77CD42F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3、带坐便盆。</w:t>
      </w:r>
    </w:p>
    <w:p w14:paraId="1094FA73">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50F0AF77">
      <w:pPr>
        <w:snapToGrid w:val="0"/>
        <w:spacing w:before="60" w:after="60" w:line="360" w:lineRule="auto"/>
        <w:jc w:val="center"/>
        <w:rPr>
          <w:rFonts w:hint="eastAsia" w:ascii="宋体" w:hAnsi="宋体" w:eastAsia="宋体" w:cs="宋体"/>
          <w:b w:val="0"/>
          <w:bCs w:val="0"/>
          <w:color w:val="auto"/>
          <w:sz w:val="28"/>
          <w:szCs w:val="36"/>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品目二十一：注射泵</w:t>
      </w:r>
    </w:p>
    <w:p w14:paraId="682AA65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1、双通道一体机：A.B通道操作屏幕及按键上下相互独立；</w:t>
      </w:r>
    </w:p>
    <w:p w14:paraId="7324CC0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2、液晶触摸屏和按键两种操作模式；</w:t>
      </w:r>
    </w:p>
    <w:p w14:paraId="0577775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3、自动识别2~50/60ml多规格注射器；</w:t>
      </w:r>
    </w:p>
    <w:p w14:paraId="5911991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4、同屏可显示：当前时间、注射器规格、注射器品牌、注射流速、注射预置量、注射累积量、剩余时间、剩余注射量、并显示实时动态压力检测；</w:t>
      </w:r>
    </w:p>
    <w:p w14:paraId="34824BE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5、阻塞消除：注射管路出现阻塞后，采用步进电机反转的方法来释放阻塞后管路中压力；</w:t>
      </w:r>
    </w:p>
    <w:p w14:paraId="4E90835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6、锂电池；</w:t>
      </w:r>
    </w:p>
    <w:p w14:paraId="65D0205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7、具有日/夜间设定模式；</w:t>
      </w:r>
    </w:p>
    <w:p w14:paraId="026691E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8、声，光，色三重报警，报警等级直观区分；</w:t>
      </w:r>
    </w:p>
    <w:p w14:paraId="34C41AB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9、智能化，信息化，可连入中央输注监控系统，护理系统，智慧重症临床信息系统。</w:t>
      </w:r>
    </w:p>
    <w:p w14:paraId="787FE15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p>
    <w:p w14:paraId="1284FBF7">
      <w:pPr>
        <w:snapToGrid w:val="0"/>
        <w:spacing w:before="60" w:after="60" w:line="360" w:lineRule="auto"/>
        <w:jc w:val="center"/>
        <w:rPr>
          <w:rFonts w:hint="eastAsia" w:ascii="宋体" w:hAnsi="宋体" w:eastAsia="宋体" w:cs="宋体"/>
          <w:b/>
          <w:bCs/>
          <w:color w:val="auto"/>
          <w:sz w:val="28"/>
          <w:szCs w:val="36"/>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品目二十二：观片灯</w:t>
      </w:r>
    </w:p>
    <w:p w14:paraId="50EEA74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1、尺寸≥850*510*25mm</w:t>
      </w:r>
    </w:p>
    <w:p w14:paraId="6797B9C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2、采用铝合金边框，超薄设计，背板留有孔位可悬挂墙上，配有支架可站立桌上或壁挂式，电源线配有旋钮调光。</w:t>
      </w:r>
    </w:p>
    <w:p w14:paraId="300A944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3、LED色温≤10000K</w:t>
      </w:r>
    </w:p>
    <w:p w14:paraId="0324F14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4、亮度：≥4500cd/m2</w:t>
      </w:r>
    </w:p>
    <w:p w14:paraId="5E4E44BB">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品目二十三：骨科模型</w:t>
      </w:r>
    </w:p>
    <w:p w14:paraId="46B3D6F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1、人体骨骼模型</w:t>
      </w:r>
    </w:p>
    <w:p w14:paraId="0FA529E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1.1、半身大小的骨架，包含成人的200块骨头，头骨具有可移动的下颚和颅骨，四肢可自然弯曲。</w:t>
      </w:r>
    </w:p>
    <w:p w14:paraId="0B59200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1.2、尺寸：≥85CM</w:t>
      </w:r>
    </w:p>
    <w:p w14:paraId="03FC3BF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2、头颅</w:t>
      </w:r>
    </w:p>
    <w:p w14:paraId="4CBF2A6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2.1、自然大成人头骨模型：活动下巴、切开的头盖骨和骨缝线，头骨的表现极其逼真。分成三部分。</w:t>
      </w:r>
    </w:p>
    <w:p w14:paraId="4542A89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2.2、用PVC制成。</w:t>
      </w:r>
    </w:p>
    <w:p w14:paraId="4C54796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3、颈椎</w:t>
      </w:r>
    </w:p>
    <w:p w14:paraId="74FB004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3.1、颈椎模型（枕骨颈椎和椎动脉脊神经模型）显示由7节颈椎带枕骨、椎动脉和脊神经串制而成的一个整体，示枕骨颈椎和椎动脉脊神经的关系。</w:t>
      </w:r>
    </w:p>
    <w:p w14:paraId="61F9B75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3.2、尺寸：自然大，11×11×15cm（±3cm）</w:t>
      </w:r>
    </w:p>
    <w:p w14:paraId="377CFC4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3.3、材质：PVC材料</w:t>
      </w:r>
    </w:p>
    <w:p w14:paraId="72FD848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4、胸椎</w:t>
      </w:r>
    </w:p>
    <w:p w14:paraId="76AAE87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4.1、胸椎模型显示由全部12节胸椎和脊神经串制而成的一个整体，示胸椎和脊神经的相互关系 。</w:t>
      </w:r>
    </w:p>
    <w:p w14:paraId="25D0FFB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4.2、尺寸：自然大，11×11×34cm（±3cm）</w:t>
      </w:r>
    </w:p>
    <w:p w14:paraId="1E5E8AB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4.3、材质：PVC材料</w:t>
      </w:r>
    </w:p>
    <w:p w14:paraId="0256277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5、腰椎</w:t>
      </w:r>
    </w:p>
    <w:p w14:paraId="1776066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5.1、自然大脊椎模型，包括脊椎、神经根、脊椎动脉、分椎间盘、脊柱横突和脊椎切面。</w:t>
      </w:r>
    </w:p>
    <w:p w14:paraId="2DDA4AB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5.2、主要包括：29英寸（±3cm）高的硬脊椎、骨盆、骶骨、枕骨、脊椎动脉、神经动脉和腰椎间盘等。附34英寸高铁质座。规格： 88x32x39CM（±3cm）</w:t>
      </w:r>
    </w:p>
    <w:p w14:paraId="2D9DF81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6、骨盆</w:t>
      </w:r>
    </w:p>
    <w:p w14:paraId="7FD32D3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6.1、自然大骨盆模型用PVC 制成：</w:t>
      </w:r>
    </w:p>
    <w:p w14:paraId="15E87C3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6.2、骨盆全形：低而宽阔</w:t>
      </w:r>
    </w:p>
    <w:p w14:paraId="4914F744">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6.3、骨盆腔形状：呈圆桶状</w:t>
      </w:r>
    </w:p>
    <w:p w14:paraId="6634375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6.4、骨盆上口：近似桶形</w:t>
      </w:r>
    </w:p>
    <w:p w14:paraId="5BCA0C5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6.5、骶骨：较宽短，曲度较小</w:t>
      </w:r>
    </w:p>
    <w:p w14:paraId="3797792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6.6、耻骨弓的角度：90-100度</w:t>
      </w:r>
    </w:p>
    <w:p w14:paraId="4020C6D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6.7、耻骨联合：宽而短</w:t>
      </w:r>
    </w:p>
    <w:p w14:paraId="616D42B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7、膝关节</w:t>
      </w:r>
    </w:p>
    <w:p w14:paraId="723E381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7.1、展示膝关节弯曲、伸展和向内/向外旋转。自然大，有底座。尺寸：12x12x33CM（±3cm）</w:t>
      </w:r>
    </w:p>
    <w:p w14:paraId="2164A57D">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45C4A646">
      <w:pPr>
        <w:snapToGrid w:val="0"/>
        <w:spacing w:before="60" w:after="60" w:line="360" w:lineRule="auto"/>
        <w:jc w:val="center"/>
        <w:rPr>
          <w:rFonts w:hint="eastAsia" w:ascii="宋体" w:hAnsi="宋体" w:eastAsia="宋体" w:cs="宋体"/>
          <w:color w:val="auto"/>
          <w:sz w:val="28"/>
          <w:szCs w:val="36"/>
          <w:highlight w:val="none"/>
        </w:rPr>
      </w:pPr>
      <w:r>
        <w:rPr>
          <w:rFonts w:hint="eastAsia" w:ascii="Times New Roman" w:hAnsi="Times New Roman" w:eastAsia="宋体" w:cs="Times New Roman"/>
          <w:b/>
          <w:bCs/>
          <w:color w:val="auto"/>
          <w:kern w:val="2"/>
          <w:sz w:val="24"/>
          <w:szCs w:val="24"/>
          <w:highlight w:val="none"/>
          <w:lang w:val="en-US" w:eastAsia="zh-CN" w:bidi="ar-SA"/>
        </w:rPr>
        <w:t>品目二十四：电动吸引器</w:t>
      </w:r>
    </w:p>
    <w:p w14:paraId="4AC95B9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1、间歇吸引</w:t>
      </w:r>
    </w:p>
    <w:p w14:paraId="6D4ADB3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2、吸引泵:活塞泵</w:t>
      </w:r>
    </w:p>
    <w:p w14:paraId="5ABF32E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3、极限负压值:≥-0.06MPa</w:t>
      </w:r>
    </w:p>
    <w:p w14:paraId="668E648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4、负压调节范围:-0.02MPa至极限负压值</w:t>
      </w:r>
    </w:p>
    <w:p w14:paraId="1F412ED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5、抽气速率:≥20L/min</w:t>
      </w:r>
    </w:p>
    <w:p w14:paraId="3540338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6、贮液瓶容量:2500mL/只，2只一组</w:t>
      </w:r>
    </w:p>
    <w:p w14:paraId="7A9CDB7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7、噪声:≤65dB(A)</w:t>
      </w:r>
    </w:p>
    <w:p w14:paraId="683498B6">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297C7D76">
      <w:pPr>
        <w:snapToGrid w:val="0"/>
        <w:spacing w:before="60" w:after="60" w:line="360" w:lineRule="auto"/>
        <w:jc w:val="center"/>
        <w:rPr>
          <w:rFonts w:hint="eastAsia" w:ascii="宋体" w:hAnsi="宋体" w:eastAsia="宋体" w:cs="宋体"/>
          <w:b/>
          <w:bCs/>
          <w:color w:val="auto"/>
          <w:sz w:val="28"/>
          <w:szCs w:val="28"/>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品目二十五：智能关节康复器（下肢关节康复器）</w:t>
      </w:r>
    </w:p>
    <w:p w14:paraId="2584F80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1、支架长度调节范围：大腿0～260mm，小腿0～260mm，滑动连杆0～340mm，允差±10%。</w:t>
      </w:r>
    </w:p>
    <w:p w14:paraId="19EE6AF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2、伸展角度调节范围：0～120°，级差3°。</w:t>
      </w:r>
    </w:p>
    <w:p w14:paraId="56DB89F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3、屈曲角度调节范围：0～125°，级差3°。</w:t>
      </w:r>
    </w:p>
    <w:p w14:paraId="0A557F3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4、角度运行速度：至少8档可调，1.5～3.6°/s，允差±20%。</w:t>
      </w:r>
    </w:p>
    <w:p w14:paraId="4D6043C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5、训练过程中可实时显示训练当前角度位置。</w:t>
      </w:r>
    </w:p>
    <w:p w14:paraId="22D5A32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6、训练时间：5～230min可调，级差1min，允差±10%，训练结束有提示音。</w:t>
      </w:r>
    </w:p>
    <w:p w14:paraId="243E1FB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7、脚踏板左右活动范围：移动至最左位置和最右位置中心线夹角为60°，允差为±10°。</w:t>
      </w:r>
    </w:p>
    <w:p w14:paraId="57AC030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8、具有线控开关。</w:t>
      </w:r>
    </w:p>
    <w:p w14:paraId="1478C1D6">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9、具有手动急停开关。</w:t>
      </w:r>
    </w:p>
    <w:p w14:paraId="590FDBF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10、启动后，设备开机自检，并自动复位。</w:t>
      </w:r>
    </w:p>
    <w:p w14:paraId="0546E16E">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6745E217">
      <w:pPr>
        <w:snapToGrid w:val="0"/>
        <w:spacing w:before="60" w:after="60" w:line="360" w:lineRule="auto"/>
        <w:jc w:val="center"/>
        <w:rPr>
          <w:rFonts w:hint="eastAsia" w:ascii="宋体" w:hAnsi="宋体" w:eastAsia="宋体" w:cs="宋体"/>
          <w:color w:val="auto"/>
          <w:sz w:val="28"/>
          <w:szCs w:val="28"/>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品目二十六：颈腰椎治疗多功能牵引床</w:t>
      </w:r>
    </w:p>
    <w:p w14:paraId="393129D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1、腰椎牵引行程：0～300mm。</w:t>
      </w:r>
    </w:p>
    <w:p w14:paraId="6E138321">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2、腰椎牵引力：0～990N可调，级差10N。</w:t>
      </w:r>
    </w:p>
    <w:p w14:paraId="5656DEC5">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3、牵引总时间：0～99min可调，级差1min。</w:t>
      </w:r>
    </w:p>
    <w:p w14:paraId="1CABBEC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4、牵引时间：0～9min可调，级差1min。</w:t>
      </w:r>
    </w:p>
    <w:p w14:paraId="3DA36AE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5、间歇时间：0～9min可调，级差1min。</w:t>
      </w:r>
    </w:p>
    <w:p w14:paraId="2AEEDB4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6、颈椎牵引力：0～300N可调，级差10N。</w:t>
      </w:r>
    </w:p>
    <w:p w14:paraId="3643F16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7、颈椎牵引行程：0～300mm。</w:t>
      </w:r>
    </w:p>
    <w:p w14:paraId="04394AA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8、成角动作范围：-10°～+30°可调。</w:t>
      </w:r>
    </w:p>
    <w:p w14:paraId="7BF4084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9、平摆动作范围：±20°，允差±2°。</w:t>
      </w:r>
    </w:p>
    <w:p w14:paraId="79A2A13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10、旋转动作范围：±25°，允差±2°。</w:t>
      </w:r>
    </w:p>
    <w:p w14:paraId="14C1BD7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11、腰部热疗加热温度≥37℃，允差±3℃，超过45℃超温保护装置启动。</w:t>
      </w:r>
    </w:p>
    <w:p w14:paraId="368C55B7">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12、腰椎牵引：≥5种牵引模式。</w:t>
      </w:r>
    </w:p>
    <w:p w14:paraId="1BA5D4CD">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13、具有牵引力自动补偿功能。</w:t>
      </w:r>
    </w:p>
    <w:p w14:paraId="2267F3EE">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14、治疗处方：≥10种。</w:t>
      </w:r>
    </w:p>
    <w:p w14:paraId="012161A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15、四维立体方位牵引，可在成角旋转平摆状态下进行对抗式牵引。</w:t>
      </w:r>
    </w:p>
    <w:p w14:paraId="15552C9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eastAsia" w:ascii="宋体" w:hAnsi="宋体" w:eastAsia="宋体" w:cs="宋体"/>
          <w:color w:val="auto"/>
          <w:sz w:val="28"/>
          <w:szCs w:val="28"/>
          <w:highlight w:val="none"/>
          <w:lang w:val="en-US" w:eastAsia="zh-CN"/>
        </w:rPr>
      </w:pPr>
      <w:r>
        <w:rPr>
          <w:rFonts w:hint="eastAsia" w:ascii="Times New Roman" w:hAnsi="Times New Roman" w:eastAsia="宋体" w:cs="Times New Roman"/>
          <w:color w:val="auto"/>
          <w:sz w:val="24"/>
          <w:szCs w:val="24"/>
          <w:highlight w:val="none"/>
          <w:lang w:val="en-US" w:eastAsia="zh-CN"/>
        </w:rPr>
        <w:t>16、安全设计：包含最大牵引力控制、患者应急线控手柄、医务人员操作急退键等方式。</w:t>
      </w:r>
    </w:p>
    <w:p w14:paraId="66058332">
      <w:pPr>
        <w:snapToGrid w:val="0"/>
        <w:spacing w:before="60" w:after="60" w:line="360" w:lineRule="auto"/>
        <w:jc w:val="center"/>
        <w:rPr>
          <w:rFonts w:hint="eastAsia" w:ascii="Times New Roman" w:hAnsi="Times New Roman" w:eastAsia="宋体" w:cs="Times New Roman"/>
          <w:b/>
          <w:bCs/>
          <w:color w:val="auto"/>
          <w:kern w:val="2"/>
          <w:sz w:val="24"/>
          <w:szCs w:val="24"/>
          <w:highlight w:val="none"/>
          <w:lang w:val="en-US" w:eastAsia="zh-CN" w:bidi="ar-SA"/>
        </w:rPr>
      </w:pPr>
    </w:p>
    <w:p w14:paraId="0D0CB83A">
      <w:pPr>
        <w:snapToGrid w:val="0"/>
        <w:spacing w:before="60" w:after="60" w:line="360" w:lineRule="auto"/>
        <w:jc w:val="center"/>
        <w:rPr>
          <w:rFonts w:hint="eastAsia" w:ascii="宋体" w:hAnsi="宋体" w:eastAsia="宋体" w:cs="宋体"/>
          <w:b/>
          <w:bCs/>
          <w:color w:val="auto"/>
          <w:sz w:val="28"/>
          <w:szCs w:val="28"/>
          <w:highlight w:val="none"/>
        </w:rPr>
      </w:pPr>
      <w:r>
        <w:rPr>
          <w:rFonts w:hint="eastAsia" w:ascii="Times New Roman" w:hAnsi="Times New Roman" w:eastAsia="宋体" w:cs="Times New Roman"/>
          <w:b/>
          <w:bCs/>
          <w:color w:val="auto"/>
          <w:kern w:val="2"/>
          <w:sz w:val="24"/>
          <w:szCs w:val="24"/>
          <w:highlight w:val="none"/>
          <w:lang w:val="en-US" w:eastAsia="zh-CN" w:bidi="ar-SA"/>
        </w:rPr>
        <w:t>品目二十七：全自动血液细胞分析仪</w:t>
      </w:r>
    </w:p>
    <w:p w14:paraId="1DE9BEA9">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 xml:space="preserve">检测原理：具备半导体激光散射、鞘流阻抗法、核酸荧光染色法；CRP/SAA：胶乳增强免疫散射比浊法，一台仪器可实现血常规与CRP、SAA项目联检                                                                          </w:t>
      </w:r>
    </w:p>
    <w:p w14:paraId="145CC643">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检测参数：血细胞分析报告参数≥37项（不含散点图和直方图）</w:t>
      </w:r>
    </w:p>
    <w:p w14:paraId="1D46B58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血小板检测：具备鞘流阻抗法、荧光染色法检测</w:t>
      </w:r>
    </w:p>
    <w:p w14:paraId="2E26503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具有全自动体液（含胸水、腹水、脑脊液和滑膜液等）细胞计数和对体液中的白细胞进行分类的功能。</w:t>
      </w:r>
    </w:p>
    <w:p w14:paraId="2C7D4CBB">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低值模式：具有专用低值检测模式，通过自动增加计数粒子数量来保证检测结果的准确性，同一模式可同时实现低值白细胞与低值血小板检测。</w:t>
      </w:r>
    </w:p>
    <w:p w14:paraId="30639F7C">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检测模式：至少具有CBC+DIFF、RET、CBC+DIFF+RET、CBC+DIFF+PLT-F 、CBC+DIFF+CRP、等检测模式。</w:t>
      </w:r>
    </w:p>
    <w:p w14:paraId="2FD8F12A">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样本用量：末梢全血检测CBC+DIFF+CRP用血量≤37μL。</w:t>
      </w:r>
    </w:p>
    <w:p w14:paraId="469FBBC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检测速度：静脉全血CBC+DIFF≥100个样本/小时，CBC+DIFF+CRP≥100个样本/小时、CBC+DIFF+RET≥</w:t>
      </w:r>
      <w:r>
        <w:rPr>
          <w:rFonts w:hint="eastAsia" w:ascii="Times New Roman" w:hAnsi="Times New Roman" w:eastAsia="宋体" w:cs="Times New Roman"/>
          <w:color w:val="auto"/>
          <w:sz w:val="24"/>
          <w:szCs w:val="24"/>
          <w:highlight w:val="none"/>
          <w:lang w:val="en-US" w:eastAsia="zh-CN"/>
        </w:rPr>
        <w:t>80</w:t>
      </w:r>
      <w:r>
        <w:rPr>
          <w:rFonts w:hint="default" w:ascii="Times New Roman" w:hAnsi="Times New Roman" w:eastAsia="宋体" w:cs="Times New Roman"/>
          <w:color w:val="auto"/>
          <w:sz w:val="24"/>
          <w:szCs w:val="24"/>
          <w:highlight w:val="none"/>
          <w:lang w:val="en-US" w:eastAsia="zh-CN"/>
        </w:rPr>
        <w:t>样本/小时</w:t>
      </w:r>
    </w:p>
    <w:p w14:paraId="052556F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进样方式：自动进样、单管封闭进样方式，具备急诊插入功能。</w:t>
      </w:r>
    </w:p>
    <w:p w14:paraId="5B9CE1D8">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具备末梢血全自动检测，支持静脉全血和末梢血样本同时批量上机检测，均支持样本自动混匀。</w:t>
      </w:r>
    </w:p>
    <w:p w14:paraId="5AF8ADD0">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回退复检功能：支持自动进样过程中异常样本自动回退复检功能，无需人工干预。</w:t>
      </w:r>
    </w:p>
    <w:p w14:paraId="0C919FE2">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显示屏：主机自带≥10.4寸高清彩色液晶触摸屏，配备数据处理系统。</w:t>
      </w:r>
    </w:p>
    <w:p w14:paraId="651B8EBF">
      <w:pPr>
        <w:keepNext w:val="0"/>
        <w:keepLines w:val="0"/>
        <w:pageBreakBefore w:val="0"/>
        <w:widowControl w:val="0"/>
        <w:kinsoku/>
        <w:wordWrap/>
        <w:overflowPunct/>
        <w:topLinePunct w:val="0"/>
        <w:autoSpaceDE/>
        <w:autoSpaceDN/>
        <w:bidi w:val="0"/>
        <w:adjustRightInd/>
        <w:snapToGrid w:val="0"/>
        <w:spacing w:before="60" w:after="60" w:line="360" w:lineRule="auto"/>
        <w:ind w:firstLine="0" w:firstLineChars="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4"/>
          <w:szCs w:val="24"/>
          <w:highlight w:val="none"/>
          <w:lang w:val="en-US" w:eastAsia="zh-CN"/>
        </w:rPr>
        <w:t>13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具有原厂配套的质控品和校准品，包括体液质控品和可校准低值血小板的校准品。</w:t>
      </w:r>
    </w:p>
    <w:p w14:paraId="681CB2A4">
      <w:pPr>
        <w:snapToGrid w:val="0"/>
        <w:spacing w:before="60" w:after="120"/>
        <w:ind w:left="420" w:leftChars="200" w:firstLine="400" w:firstLineChars="200"/>
        <w:rPr>
          <w:rFonts w:hint="default" w:ascii="Times New Roman" w:hAnsi="Times New Roman" w:eastAsia="宋体" w:cs="Times New Roman"/>
          <w:color w:val="auto"/>
          <w:sz w:val="20"/>
          <w:szCs w:val="20"/>
          <w:highlight w:val="none"/>
        </w:rPr>
      </w:pPr>
    </w:p>
    <w:p w14:paraId="2FFE3637">
      <w:pPr>
        <w:snapToGrid w:val="0"/>
        <w:spacing w:before="60" w:after="120"/>
        <w:ind w:left="420" w:leftChars="200" w:firstLine="400" w:firstLineChars="200"/>
        <w:rPr>
          <w:rFonts w:hint="default" w:ascii="Times New Roman" w:hAnsi="Times New Roman" w:eastAsia="宋体" w:cs="Times New Roman"/>
          <w:color w:val="auto"/>
          <w:sz w:val="20"/>
          <w:szCs w:val="20"/>
          <w:highlight w:val="none"/>
        </w:rPr>
      </w:pPr>
    </w:p>
    <w:p w14:paraId="4672A064">
      <w:pPr>
        <w:snapToGrid w:val="0"/>
        <w:spacing w:before="60" w:after="60" w:line="460" w:lineRule="exact"/>
        <w:ind w:left="155" w:leftChars="74"/>
        <w:rPr>
          <w:rFonts w:hint="default" w:ascii="Times New Roman" w:hAnsi="Times New Roman" w:eastAsia="宋体" w:cs="Times New Roman"/>
          <w:color w:val="auto"/>
          <w:sz w:val="24"/>
          <w:szCs w:val="24"/>
          <w:highlight w:val="none"/>
        </w:rPr>
      </w:pPr>
    </w:p>
    <w:p w14:paraId="367FEFF3">
      <w:pPr>
        <w:snapToGrid w:val="0"/>
        <w:spacing w:before="60" w:after="60" w:line="460" w:lineRule="exac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注：</w:t>
      </w:r>
    </w:p>
    <w:p w14:paraId="65250C06">
      <w:pPr>
        <w:snapToGrid w:val="0"/>
        <w:spacing w:before="60" w:after="60" w:line="460" w:lineRule="exact"/>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Times New Roman" w:cs="Times New Roman"/>
          <w:b w:val="0"/>
          <w:bCs w:val="0"/>
          <w:color w:val="auto"/>
          <w:sz w:val="24"/>
          <w:szCs w:val="24"/>
          <w:highlight w:val="none"/>
        </w:rPr>
        <w:t>1、</w:t>
      </w:r>
      <w:r>
        <w:rPr>
          <w:rFonts w:hint="default" w:ascii="Times New Roman" w:hAnsi="Times New Roman" w:eastAsia="宋体" w:cs="Times New Roman"/>
          <w:b w:val="0"/>
          <w:bCs w:val="0"/>
          <w:color w:val="auto"/>
          <w:sz w:val="24"/>
          <w:szCs w:val="24"/>
          <w:highlight w:val="none"/>
        </w:rPr>
        <w:t>投标人必须确保投标应答信息的真实准确</w:t>
      </w:r>
      <w:r>
        <w:rPr>
          <w:rFonts w:hint="default" w:ascii="Times New Roman" w:hAnsi="Times New Roman" w:eastAsia="Calibri"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rPr>
        <w:t>任何提供虚假资料、信息者，</w:t>
      </w:r>
      <w:r>
        <w:rPr>
          <w:rFonts w:hint="default" w:ascii="Times New Roman" w:hAnsi="Times New Roman" w:eastAsia="Calibri" w:cs="Times New Roman"/>
          <w:b w:val="0"/>
          <w:bCs w:val="0"/>
          <w:color w:val="auto"/>
          <w:sz w:val="24"/>
          <w:szCs w:val="24"/>
          <w:highlight w:val="none"/>
        </w:rPr>
        <w:t xml:space="preserve"> </w:t>
      </w:r>
      <w:r>
        <w:rPr>
          <w:rFonts w:hint="default" w:ascii="Times New Roman" w:hAnsi="Times New Roman" w:eastAsia="宋体" w:cs="Times New Roman"/>
          <w:b w:val="0"/>
          <w:bCs w:val="0"/>
          <w:color w:val="auto"/>
          <w:sz w:val="24"/>
          <w:szCs w:val="24"/>
          <w:highlight w:val="none"/>
        </w:rPr>
        <w:t>将导致废标或处罚。</w:t>
      </w:r>
    </w:p>
    <w:p w14:paraId="594B3EB6">
      <w:pPr>
        <w:snapToGrid w:val="0"/>
        <w:spacing w:before="60" w:after="60" w:line="460" w:lineRule="exact"/>
        <w:ind w:firstLine="480" w:firstLineChars="200"/>
        <w:rPr>
          <w:rFonts w:hint="default" w:ascii="Times New Roman" w:hAnsi="Times New Roman" w:eastAsia="Times New Roman" w:cs="Times New Roman"/>
          <w:b w:val="0"/>
          <w:bCs w:val="0"/>
          <w:color w:val="auto"/>
          <w:sz w:val="24"/>
          <w:szCs w:val="24"/>
          <w:highlight w:val="none"/>
        </w:rPr>
      </w:pPr>
      <w:r>
        <w:rPr>
          <w:rFonts w:hint="default" w:ascii="Times New Roman" w:hAnsi="Times New Roman" w:eastAsia="Times New Roman" w:cs="Times New Roman"/>
          <w:b w:val="0"/>
          <w:bCs w:val="0"/>
          <w:color w:val="auto"/>
          <w:sz w:val="24"/>
          <w:szCs w:val="24"/>
          <w:highlight w:val="none"/>
        </w:rPr>
        <w:t>2、带*号的参数为关键技术指标必须满足，否则将导致废标。其余参数为非关键技术指标不满足即为技术指标负偏离，评委评分时应做扣分处理。</w:t>
      </w:r>
    </w:p>
    <w:p w14:paraId="4EA0ADDE">
      <w:pPr>
        <w:snapToGrid w:val="0"/>
        <w:spacing w:before="60" w:after="60" w:line="460" w:lineRule="exact"/>
        <w:ind w:firstLine="480" w:firstLineChars="200"/>
        <w:rPr>
          <w:rFonts w:hint="default" w:ascii="Times New Roman" w:hAnsi="Times New Roman" w:eastAsia="Times New Roman" w:cs="Times New Roman"/>
          <w:b w:val="0"/>
          <w:bCs w:val="0"/>
          <w:color w:val="auto"/>
          <w:sz w:val="24"/>
          <w:szCs w:val="24"/>
          <w:highlight w:val="none"/>
        </w:rPr>
      </w:pPr>
      <w:r>
        <w:rPr>
          <w:rFonts w:hint="default" w:ascii="Times New Roman" w:hAnsi="Times New Roman" w:eastAsia="Times New Roman" w:cs="Times New Roman"/>
          <w:b w:val="0"/>
          <w:bCs w:val="0"/>
          <w:color w:val="auto"/>
          <w:sz w:val="24"/>
          <w:szCs w:val="24"/>
          <w:highlight w:val="none"/>
          <w:lang w:val="en-US" w:eastAsia="zh-CN"/>
        </w:rPr>
        <w:t>3、</w:t>
      </w:r>
      <w:r>
        <w:rPr>
          <w:rFonts w:hint="default" w:ascii="Times New Roman" w:hAnsi="Times New Roman" w:eastAsia="Times New Roman" w:cs="Times New Roman"/>
          <w:b w:val="0"/>
          <w:bCs w:val="0"/>
          <w:color w:val="auto"/>
          <w:sz w:val="24"/>
          <w:szCs w:val="24"/>
          <w:highlight w:val="none"/>
        </w:rPr>
        <w:t>技术要求响应内容的要求：</w:t>
      </w:r>
    </w:p>
    <w:p w14:paraId="2042EFBB">
      <w:pPr>
        <w:snapToGrid w:val="0"/>
        <w:spacing w:before="60" w:after="60" w:line="460" w:lineRule="exact"/>
        <w:ind w:firstLine="480" w:firstLineChars="200"/>
        <w:rPr>
          <w:rFonts w:hint="default" w:ascii="Times New Roman" w:hAnsi="Times New Roman" w:eastAsia="Times New Roman"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Times New Roman" w:cs="Times New Roman"/>
          <w:b w:val="0"/>
          <w:bCs w:val="0"/>
          <w:color w:val="auto"/>
          <w:sz w:val="24"/>
          <w:szCs w:val="24"/>
          <w:highlight w:val="none"/>
        </w:rPr>
        <w:t>能够证明投标标的物满足招标文件技术要求的证明材料，证明材料包括但不限于投报标的物技术指标的官网链接/功能截图/产品彩页/详细的技术说明文件/运行性能的详细描述文件等；</w:t>
      </w:r>
    </w:p>
    <w:p w14:paraId="21C21FE8">
      <w:pPr>
        <w:snapToGrid w:val="0"/>
        <w:spacing w:before="60" w:after="60" w:line="460" w:lineRule="exact"/>
        <w:ind w:firstLine="480" w:firstLineChars="200"/>
        <w:rPr>
          <w:rFonts w:hint="default" w:ascii="Times New Roman" w:hAnsi="Times New Roman" w:eastAsia="Times New Roman"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Times New Roman" w:cs="Times New Roman"/>
          <w:b w:val="0"/>
          <w:bCs w:val="0"/>
          <w:color w:val="auto"/>
          <w:sz w:val="24"/>
          <w:szCs w:val="24"/>
          <w:highlight w:val="none"/>
        </w:rPr>
        <w:t>项目实施过程中所需的主要辅材（若有的话，投标人按品牌、型号、产地、单价、数量自行列表响应）；</w:t>
      </w:r>
    </w:p>
    <w:p w14:paraId="6D6FA2CE">
      <w:pPr>
        <w:pStyle w:val="7"/>
        <w:rPr>
          <w:rFonts w:hint="default" w:ascii="Times New Roman" w:hAnsi="Times New Roman" w:eastAsia="宋体" w:cs="Times New Roman"/>
          <w:color w:val="auto"/>
          <w:highlight w:val="none"/>
          <w:lang w:val="en-US" w:eastAsia="zh-CN"/>
        </w:rPr>
      </w:pPr>
    </w:p>
    <w:p w14:paraId="71D19350">
      <w:pPr>
        <w:rPr>
          <w:rFonts w:hint="default" w:ascii="Times New Roman" w:hAnsi="Times New Roman" w:eastAsia="宋体" w:cs="Times New Roman"/>
          <w:color w:val="auto"/>
          <w:sz w:val="32"/>
          <w:szCs w:val="32"/>
          <w:highlight w:val="none"/>
        </w:rPr>
      </w:pPr>
      <w:bookmarkStart w:id="11" w:name="_Toc21279"/>
      <w:r>
        <w:rPr>
          <w:rFonts w:hint="default" w:ascii="Times New Roman" w:hAnsi="Times New Roman" w:eastAsia="宋体" w:cs="Times New Roman"/>
          <w:color w:val="auto"/>
          <w:sz w:val="32"/>
          <w:szCs w:val="32"/>
          <w:highlight w:val="none"/>
        </w:rPr>
        <w:br w:type="page"/>
      </w:r>
    </w:p>
    <w:p w14:paraId="247CCF35">
      <w:pPr>
        <w:pStyle w:val="2"/>
        <w:snapToGrid w:val="0"/>
        <w:spacing w:before="260" w:after="260" w:line="415" w:lineRule="auto"/>
        <w:jc w:val="center"/>
        <w:rPr>
          <w:rFonts w:hint="default" w:ascii="Times New Roman" w:hAnsi="Times New Roman" w:eastAsia="宋体" w:cs="Times New Roman"/>
          <w:color w:val="auto"/>
          <w:sz w:val="32"/>
          <w:highlight w:val="none"/>
        </w:rPr>
      </w:pPr>
    </w:p>
    <w:p w14:paraId="100D5C40">
      <w:pPr>
        <w:pStyle w:val="2"/>
        <w:snapToGrid w:val="0"/>
        <w:spacing w:before="260" w:after="260" w:line="415" w:lineRule="auto"/>
        <w:jc w:val="center"/>
        <w:rPr>
          <w:rFonts w:hint="default" w:ascii="Times New Roman" w:hAnsi="Times New Roman" w:eastAsia="宋体" w:cs="Times New Roman"/>
          <w:color w:val="auto"/>
          <w:sz w:val="32"/>
          <w:highlight w:val="none"/>
        </w:rPr>
      </w:pPr>
      <w:r>
        <w:rPr>
          <w:rFonts w:hint="default" w:ascii="Times New Roman" w:hAnsi="Times New Roman" w:eastAsia="宋体" w:cs="Times New Roman"/>
          <w:color w:val="auto"/>
          <w:sz w:val="32"/>
          <w:highlight w:val="none"/>
        </w:rPr>
        <w:t>第六部分</w:t>
      </w:r>
      <w:r>
        <w:rPr>
          <w:rFonts w:hint="default" w:ascii="Times New Roman" w:hAnsi="Times New Roman" w:eastAsia="Calibri" w:cs="Times New Roman"/>
          <w:color w:val="auto"/>
          <w:sz w:val="32"/>
          <w:highlight w:val="none"/>
        </w:rPr>
        <w:t xml:space="preserve">  </w:t>
      </w:r>
      <w:r>
        <w:rPr>
          <w:rFonts w:hint="default" w:ascii="Times New Roman" w:hAnsi="Times New Roman" w:eastAsia="宋体" w:cs="Times New Roman"/>
          <w:color w:val="auto"/>
          <w:sz w:val="32"/>
          <w:highlight w:val="none"/>
        </w:rPr>
        <w:t>合同格式（参考）</w:t>
      </w:r>
      <w:bookmarkEnd w:id="11"/>
    </w:p>
    <w:p w14:paraId="5EAC37F6">
      <w:pPr>
        <w:snapToGrid w:val="0"/>
        <w:spacing w:before="60" w:after="60" w:line="460" w:lineRule="exact"/>
        <w:jc w:val="both"/>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需</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方：</w:t>
      </w:r>
    </w:p>
    <w:p w14:paraId="0FEBCB63">
      <w:pPr>
        <w:snapToGrid w:val="0"/>
        <w:spacing w:before="60" w:after="60" w:line="46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供</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方：</w:t>
      </w:r>
    </w:p>
    <w:p w14:paraId="63E64178">
      <w:pPr>
        <w:snapToGrid w:val="0"/>
        <w:spacing w:before="60" w:after="60" w:line="460" w:lineRule="exact"/>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w:t>
      </w:r>
    </w:p>
    <w:p w14:paraId="136A94C1">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供方在</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组织的</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货物公开招标采购项目中中标，经双方协商一致，签订本合同。</w:t>
      </w:r>
    </w:p>
    <w:p w14:paraId="7AD962C3">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一、设备条款</w:t>
      </w:r>
    </w:p>
    <w:p w14:paraId="00AECAF4">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供方负责向需方提供下表中所列产品及负责安装调试</w:t>
      </w:r>
    </w:p>
    <w:tbl>
      <w:tblPr>
        <w:tblStyle w:val="18"/>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10"/>
        <w:gridCol w:w="1560"/>
        <w:gridCol w:w="1275"/>
        <w:gridCol w:w="1275"/>
        <w:gridCol w:w="990"/>
        <w:gridCol w:w="840"/>
        <w:gridCol w:w="1166"/>
        <w:gridCol w:w="1266"/>
      </w:tblGrid>
      <w:tr w14:paraId="2E9F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tcPr>
          <w:p w14:paraId="4CACACB6">
            <w:pPr>
              <w:snapToGrid w:val="0"/>
              <w:spacing w:before="60" w:after="60"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序号</w:t>
            </w:r>
          </w:p>
        </w:tc>
        <w:tc>
          <w:tcPr>
            <w:tcW w:w="1560" w:type="dxa"/>
            <w:tcBorders>
              <w:top w:val="single" w:color="000000" w:sz="8" w:space="0"/>
              <w:left w:val="single" w:color="000000" w:sz="8" w:space="0"/>
              <w:bottom w:val="single" w:color="000000" w:sz="8" w:space="0"/>
              <w:right w:val="single" w:color="000000" w:sz="8" w:space="0"/>
            </w:tcBorders>
          </w:tcPr>
          <w:p w14:paraId="176A9332">
            <w:pPr>
              <w:snapToGrid w:val="0"/>
              <w:spacing w:before="60" w:after="60"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货物名称</w:t>
            </w:r>
          </w:p>
        </w:tc>
        <w:tc>
          <w:tcPr>
            <w:tcW w:w="1275" w:type="dxa"/>
            <w:tcBorders>
              <w:top w:val="single" w:color="000000" w:sz="8" w:space="0"/>
              <w:left w:val="single" w:color="000000" w:sz="8" w:space="0"/>
              <w:bottom w:val="single" w:color="000000" w:sz="8" w:space="0"/>
              <w:right w:val="single" w:color="000000" w:sz="8" w:space="0"/>
            </w:tcBorders>
          </w:tcPr>
          <w:p w14:paraId="6E9D9245">
            <w:pPr>
              <w:snapToGrid w:val="0"/>
              <w:spacing w:before="60" w:after="60"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规格型号</w:t>
            </w:r>
          </w:p>
        </w:tc>
        <w:tc>
          <w:tcPr>
            <w:tcW w:w="1275" w:type="dxa"/>
            <w:tcBorders>
              <w:top w:val="single" w:color="000000" w:sz="8" w:space="0"/>
              <w:left w:val="single" w:color="000000" w:sz="8" w:space="0"/>
              <w:bottom w:val="single" w:color="000000" w:sz="8" w:space="0"/>
              <w:right w:val="single" w:color="000000" w:sz="8" w:space="0"/>
            </w:tcBorders>
          </w:tcPr>
          <w:p w14:paraId="2E01483E">
            <w:pPr>
              <w:snapToGrid w:val="0"/>
              <w:spacing w:before="60" w:after="60"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产地厂家</w:t>
            </w:r>
          </w:p>
        </w:tc>
        <w:tc>
          <w:tcPr>
            <w:tcW w:w="990" w:type="dxa"/>
            <w:tcBorders>
              <w:top w:val="single" w:color="000000" w:sz="8" w:space="0"/>
              <w:left w:val="single" w:color="000000" w:sz="8" w:space="0"/>
              <w:bottom w:val="single" w:color="000000" w:sz="8" w:space="0"/>
              <w:right w:val="single" w:color="000000" w:sz="8" w:space="0"/>
            </w:tcBorders>
          </w:tcPr>
          <w:p w14:paraId="023D5103">
            <w:pPr>
              <w:snapToGrid w:val="0"/>
              <w:spacing w:before="60" w:after="60"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单位</w:t>
            </w:r>
          </w:p>
        </w:tc>
        <w:tc>
          <w:tcPr>
            <w:tcW w:w="840" w:type="dxa"/>
            <w:tcBorders>
              <w:top w:val="single" w:color="000000" w:sz="8" w:space="0"/>
              <w:left w:val="single" w:color="000000" w:sz="8" w:space="0"/>
              <w:bottom w:val="single" w:color="000000" w:sz="8" w:space="0"/>
              <w:right w:val="single" w:color="000000" w:sz="8" w:space="0"/>
            </w:tcBorders>
          </w:tcPr>
          <w:p w14:paraId="05599571">
            <w:pPr>
              <w:snapToGrid w:val="0"/>
              <w:spacing w:before="60" w:after="60"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数量</w:t>
            </w:r>
          </w:p>
        </w:tc>
        <w:tc>
          <w:tcPr>
            <w:tcW w:w="1166" w:type="dxa"/>
            <w:tcBorders>
              <w:top w:val="single" w:color="000000" w:sz="8" w:space="0"/>
              <w:left w:val="single" w:color="000000" w:sz="8" w:space="0"/>
              <w:bottom w:val="single" w:color="000000" w:sz="8" w:space="0"/>
              <w:right w:val="single" w:color="000000" w:sz="8" w:space="0"/>
            </w:tcBorders>
          </w:tcPr>
          <w:p w14:paraId="58C6D01E">
            <w:pPr>
              <w:snapToGrid w:val="0"/>
              <w:spacing w:before="60" w:after="60"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单价（元）</w:t>
            </w:r>
          </w:p>
        </w:tc>
        <w:tc>
          <w:tcPr>
            <w:tcW w:w="1266" w:type="dxa"/>
            <w:tcBorders>
              <w:top w:val="single" w:color="000000" w:sz="8" w:space="0"/>
              <w:left w:val="single" w:color="000000" w:sz="8" w:space="0"/>
              <w:bottom w:val="single" w:color="000000" w:sz="8" w:space="0"/>
              <w:right w:val="single" w:color="000000" w:sz="8" w:space="0"/>
            </w:tcBorders>
          </w:tcPr>
          <w:p w14:paraId="5E2AE4FB">
            <w:pPr>
              <w:snapToGrid w:val="0"/>
              <w:spacing w:before="60" w:after="60" w:line="4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总价（元）</w:t>
            </w:r>
          </w:p>
        </w:tc>
      </w:tr>
      <w:tr w14:paraId="348C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tcPr>
          <w:p w14:paraId="31D1428C">
            <w:pPr>
              <w:snapToGrid w:val="0"/>
              <w:spacing w:before="60" w:after="60" w:line="460" w:lineRule="exact"/>
              <w:jc w:val="left"/>
              <w:rPr>
                <w:rFonts w:hint="default" w:ascii="Times New Roman" w:hAnsi="Times New Roman" w:eastAsia="宋体" w:cs="Times New Roman"/>
                <w:color w:val="auto"/>
                <w:sz w:val="24"/>
                <w:szCs w:val="24"/>
                <w:highlight w:val="none"/>
              </w:rPr>
            </w:pPr>
          </w:p>
        </w:tc>
        <w:tc>
          <w:tcPr>
            <w:tcW w:w="1560" w:type="dxa"/>
            <w:tcBorders>
              <w:top w:val="single" w:color="000000" w:sz="8" w:space="0"/>
              <w:left w:val="single" w:color="000000" w:sz="8" w:space="0"/>
              <w:bottom w:val="single" w:color="000000" w:sz="8" w:space="0"/>
              <w:right w:val="single" w:color="000000" w:sz="8" w:space="0"/>
            </w:tcBorders>
            <w:vAlign w:val="center"/>
          </w:tcPr>
          <w:p w14:paraId="43F2D36B">
            <w:pPr>
              <w:snapToGrid w:val="0"/>
              <w:spacing w:before="60" w:after="60" w:line="460" w:lineRule="exact"/>
              <w:jc w:val="left"/>
              <w:rPr>
                <w:rFonts w:hint="default" w:ascii="Times New Roman" w:hAnsi="Times New Roman" w:eastAsia="宋体" w:cs="Times New Roman"/>
                <w:color w:val="auto"/>
                <w:sz w:val="24"/>
                <w:szCs w:val="24"/>
                <w:highlight w:val="none"/>
              </w:rPr>
            </w:pPr>
          </w:p>
        </w:tc>
        <w:tc>
          <w:tcPr>
            <w:tcW w:w="1275" w:type="dxa"/>
            <w:tcBorders>
              <w:top w:val="single" w:color="000000" w:sz="8" w:space="0"/>
              <w:left w:val="single" w:color="000000" w:sz="8" w:space="0"/>
              <w:bottom w:val="single" w:color="000000" w:sz="8" w:space="0"/>
              <w:right w:val="single" w:color="000000" w:sz="8" w:space="0"/>
            </w:tcBorders>
            <w:vAlign w:val="center"/>
          </w:tcPr>
          <w:p w14:paraId="55A5928D">
            <w:pPr>
              <w:snapToGrid w:val="0"/>
              <w:spacing w:before="60" w:after="60" w:line="460" w:lineRule="exact"/>
              <w:jc w:val="left"/>
              <w:rPr>
                <w:rFonts w:hint="default" w:ascii="Times New Roman" w:hAnsi="Times New Roman" w:eastAsia="宋体" w:cs="Times New Roman"/>
                <w:color w:val="auto"/>
                <w:sz w:val="24"/>
                <w:szCs w:val="24"/>
                <w:highlight w:val="none"/>
              </w:rPr>
            </w:pPr>
          </w:p>
        </w:tc>
        <w:tc>
          <w:tcPr>
            <w:tcW w:w="1275" w:type="dxa"/>
            <w:tcBorders>
              <w:top w:val="single" w:color="000000" w:sz="8" w:space="0"/>
              <w:left w:val="single" w:color="000000" w:sz="8" w:space="0"/>
              <w:bottom w:val="single" w:color="000000" w:sz="8" w:space="0"/>
              <w:right w:val="single" w:color="000000" w:sz="8" w:space="0"/>
            </w:tcBorders>
          </w:tcPr>
          <w:p w14:paraId="4BF40D87">
            <w:pPr>
              <w:snapToGrid w:val="0"/>
              <w:spacing w:before="60" w:after="60" w:line="460" w:lineRule="exact"/>
              <w:jc w:val="left"/>
              <w:rPr>
                <w:rFonts w:hint="default" w:ascii="Times New Roman" w:hAnsi="Times New Roman" w:eastAsia="宋体" w:cs="Times New Roman"/>
                <w:color w:val="auto"/>
                <w:sz w:val="24"/>
                <w:szCs w:val="24"/>
                <w:highlight w:val="none"/>
              </w:rPr>
            </w:pPr>
          </w:p>
        </w:tc>
        <w:tc>
          <w:tcPr>
            <w:tcW w:w="990" w:type="dxa"/>
            <w:tcBorders>
              <w:top w:val="single" w:color="000000" w:sz="8" w:space="0"/>
              <w:left w:val="single" w:color="000000" w:sz="8" w:space="0"/>
              <w:bottom w:val="single" w:color="000000" w:sz="8" w:space="0"/>
              <w:right w:val="single" w:color="000000" w:sz="8" w:space="0"/>
            </w:tcBorders>
            <w:vAlign w:val="center"/>
          </w:tcPr>
          <w:p w14:paraId="6CB7D9DE">
            <w:pPr>
              <w:snapToGrid w:val="0"/>
              <w:spacing w:before="60" w:after="60" w:line="460" w:lineRule="exact"/>
              <w:jc w:val="left"/>
              <w:rPr>
                <w:rFonts w:hint="default" w:ascii="Times New Roman" w:hAnsi="Times New Roman" w:eastAsia="宋体" w:cs="Times New Roman"/>
                <w:color w:val="auto"/>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642E1414">
            <w:pPr>
              <w:snapToGrid w:val="0"/>
              <w:spacing w:before="60" w:after="60" w:line="460" w:lineRule="exact"/>
              <w:jc w:val="left"/>
              <w:rPr>
                <w:rFonts w:hint="default" w:ascii="Times New Roman" w:hAnsi="Times New Roman" w:eastAsia="宋体" w:cs="Times New Roman"/>
                <w:color w:val="auto"/>
                <w:sz w:val="24"/>
                <w:szCs w:val="24"/>
                <w:highlight w:val="none"/>
              </w:rPr>
            </w:pPr>
          </w:p>
        </w:tc>
        <w:tc>
          <w:tcPr>
            <w:tcW w:w="1166" w:type="dxa"/>
            <w:tcBorders>
              <w:top w:val="single" w:color="000000" w:sz="8" w:space="0"/>
              <w:left w:val="single" w:color="000000" w:sz="8" w:space="0"/>
              <w:bottom w:val="single" w:color="000000" w:sz="8" w:space="0"/>
              <w:right w:val="single" w:color="000000" w:sz="8" w:space="0"/>
            </w:tcBorders>
            <w:vAlign w:val="center"/>
          </w:tcPr>
          <w:p w14:paraId="56C53BF9">
            <w:pPr>
              <w:snapToGrid w:val="0"/>
              <w:spacing w:before="60" w:after="60" w:line="460" w:lineRule="exact"/>
              <w:jc w:val="left"/>
              <w:rPr>
                <w:rFonts w:hint="default" w:ascii="Times New Roman" w:hAnsi="Times New Roman" w:eastAsia="宋体" w:cs="Times New Roman"/>
                <w:color w:val="auto"/>
                <w:sz w:val="24"/>
                <w:szCs w:val="24"/>
                <w:highlight w:val="none"/>
              </w:rPr>
            </w:pPr>
          </w:p>
        </w:tc>
        <w:tc>
          <w:tcPr>
            <w:tcW w:w="1266" w:type="dxa"/>
            <w:tcBorders>
              <w:top w:val="single" w:color="000000" w:sz="8" w:space="0"/>
              <w:left w:val="single" w:color="000000" w:sz="8" w:space="0"/>
              <w:bottom w:val="single" w:color="000000" w:sz="8" w:space="0"/>
              <w:right w:val="single" w:color="000000" w:sz="8" w:space="0"/>
            </w:tcBorders>
            <w:vAlign w:val="center"/>
          </w:tcPr>
          <w:p w14:paraId="679AB132">
            <w:pPr>
              <w:snapToGrid w:val="0"/>
              <w:spacing w:before="60" w:after="60" w:line="460" w:lineRule="exact"/>
              <w:jc w:val="left"/>
              <w:rPr>
                <w:rFonts w:hint="default" w:ascii="Times New Roman" w:hAnsi="Times New Roman" w:eastAsia="宋体" w:cs="Times New Roman"/>
                <w:color w:val="auto"/>
                <w:sz w:val="24"/>
                <w:szCs w:val="24"/>
                <w:highlight w:val="none"/>
              </w:rPr>
            </w:pPr>
          </w:p>
        </w:tc>
      </w:tr>
    </w:tbl>
    <w:p w14:paraId="16D5F8AC">
      <w:pPr>
        <w:snapToGrid w:val="0"/>
        <w:spacing w:before="60" w:after="60" w:line="460" w:lineRule="exact"/>
        <w:jc w:val="left"/>
        <w:rPr>
          <w:rFonts w:hint="default" w:ascii="Times New Roman" w:hAnsi="Times New Roman" w:eastAsia="Calibri"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二、合同总金额</w:t>
      </w:r>
      <w:r>
        <w:rPr>
          <w:rFonts w:hint="default" w:ascii="Times New Roman" w:hAnsi="Times New Roman" w:eastAsia="Calibri" w:cs="Times New Roman"/>
          <w:b/>
          <w:bCs/>
          <w:color w:val="auto"/>
          <w:kern w:val="0"/>
          <w:sz w:val="24"/>
          <w:szCs w:val="24"/>
          <w:highlight w:val="none"/>
        </w:rPr>
        <w:t>:</w:t>
      </w:r>
    </w:p>
    <w:p w14:paraId="29B18AC5">
      <w:pPr>
        <w:snapToGrid w:val="0"/>
        <w:spacing w:before="60" w:after="60" w:line="460" w:lineRule="exact"/>
        <w:ind w:firstLine="723" w:firstLineChars="3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rPr>
        <w:t>人民币</w:t>
      </w:r>
      <w:r>
        <w:rPr>
          <w:rFonts w:hint="default" w:ascii="Times New Roman" w:hAnsi="Times New Roman" w:eastAsia="宋体" w:cs="Times New Roman"/>
          <w:color w:val="auto"/>
          <w:kern w:val="0"/>
          <w:sz w:val="24"/>
          <w:szCs w:val="24"/>
          <w:highlight w:val="none"/>
        </w:rPr>
        <w:t>（大写）：</w:t>
      </w:r>
      <w:r>
        <w:rPr>
          <w:rFonts w:hint="default" w:ascii="Times New Roman" w:hAnsi="Times New Roman" w:eastAsia="Calibri" w:cs="Times New Roman"/>
          <w:color w:val="auto"/>
          <w:kern w:val="0"/>
          <w:sz w:val="24"/>
          <w:szCs w:val="24"/>
          <w:highlight w:val="none"/>
        </w:rPr>
        <w:t xml:space="preserve"> </w:t>
      </w:r>
    </w:p>
    <w:p w14:paraId="1B256875">
      <w:pPr>
        <w:snapToGrid w:val="0"/>
        <w:spacing w:before="60" w:after="60" w:line="460" w:lineRule="exact"/>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（小写）：￥</w:t>
      </w:r>
    </w:p>
    <w:p w14:paraId="05250F8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此价格为合同执行不变价，包含设备包装、仓储、运输、安装及验收合格之前及保修期与备品备件发生的所有含税费用。本合同执行期间合同总金额不因国家政策变化而变化。</w:t>
      </w:r>
    </w:p>
    <w:p w14:paraId="79D131F0">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三、货款支付</w:t>
      </w:r>
    </w:p>
    <w:p w14:paraId="6975AF1C">
      <w:pPr>
        <w:snapToGrid w:val="0"/>
        <w:spacing w:before="60" w:after="60" w:line="460" w:lineRule="exact"/>
        <w:ind w:firstLine="555"/>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货到指定地点，验货合格后由需方负责办理货款支付手续。</w:t>
      </w:r>
    </w:p>
    <w:p w14:paraId="62CBA6CD">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四、售后服务及承诺</w:t>
      </w:r>
    </w:p>
    <w:p w14:paraId="39CAFA50">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五、交货</w:t>
      </w:r>
    </w:p>
    <w:p w14:paraId="3AF1A1DC">
      <w:pPr>
        <w:snapToGrid w:val="0"/>
        <w:spacing w:before="60" w:after="60" w:line="460" w:lineRule="exact"/>
        <w:ind w:firstLine="555"/>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1、交货日期： </w:t>
      </w:r>
    </w:p>
    <w:p w14:paraId="62DB43BF">
      <w:pPr>
        <w:snapToGrid w:val="0"/>
        <w:spacing w:before="60" w:after="60" w:line="460" w:lineRule="exact"/>
        <w:ind w:firstLine="555"/>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2、交货地点： </w:t>
      </w:r>
    </w:p>
    <w:p w14:paraId="10C2D387">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六、交验</w:t>
      </w:r>
    </w:p>
    <w:p w14:paraId="1D398D0E">
      <w:pPr>
        <w:snapToGrid w:val="0"/>
        <w:spacing w:before="60" w:after="60" w:line="460" w:lineRule="exact"/>
        <w:ind w:firstLine="424" w:firstLineChars="177"/>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1、验收由需方组织进行，必要时可邀请国家认可的质量检测机构参加验收工作，需方验收供方所交的货物后要填写验收报告。验收结果须供需双方共同确认。</w:t>
      </w:r>
    </w:p>
    <w:p w14:paraId="43E50F9A">
      <w:pPr>
        <w:snapToGrid w:val="0"/>
        <w:spacing w:before="60" w:after="60" w:line="460" w:lineRule="exact"/>
        <w:ind w:firstLine="424" w:firstLineChars="177"/>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459465A8">
      <w:pPr>
        <w:snapToGrid w:val="0"/>
        <w:spacing w:before="60" w:after="60" w:line="460" w:lineRule="exact"/>
        <w:ind w:firstLine="424" w:firstLineChars="177"/>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3、供方交付产品中的软件应无知识产权纠纷,若出现知识产权纠纷等法律问题，由供方自行承担。</w:t>
      </w:r>
    </w:p>
    <w:p w14:paraId="690CA848">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七、需方责任</w:t>
      </w:r>
    </w:p>
    <w:p w14:paraId="25A0D296">
      <w:pPr>
        <w:snapToGrid w:val="0"/>
        <w:spacing w:before="60" w:after="60" w:line="460" w:lineRule="exact"/>
        <w:ind w:firstLine="555"/>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1、及时办理付款手续</w:t>
      </w:r>
    </w:p>
    <w:p w14:paraId="25BB84B5">
      <w:pPr>
        <w:snapToGrid w:val="0"/>
        <w:spacing w:before="60" w:after="60" w:line="460" w:lineRule="exact"/>
        <w:ind w:firstLine="555"/>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2、负责提供工作场地，协助供方办理有关事宜。</w:t>
      </w:r>
    </w:p>
    <w:p w14:paraId="25DEE0C8">
      <w:pPr>
        <w:snapToGrid w:val="0"/>
        <w:spacing w:before="60" w:after="60" w:line="460" w:lineRule="exact"/>
        <w:ind w:firstLine="555"/>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3、对合同条款及价格负有保密义务。</w:t>
      </w:r>
    </w:p>
    <w:p w14:paraId="72622801">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八、供方责任</w:t>
      </w:r>
    </w:p>
    <w:p w14:paraId="3AA595E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1、所提供的货物均为标书承诺货物，符合相关质量检测标准，具有该产品的出厂标准或国家鉴定证书。</w:t>
      </w:r>
    </w:p>
    <w:p w14:paraId="7D750D0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2、保证货物的售后服务，严格依据</w:t>
      </w:r>
      <w:r>
        <w:rPr>
          <w:rFonts w:hint="default" w:ascii="Times New Roman" w:hAnsi="Times New Roman" w:eastAsia="宋体" w:cs="Times New Roman"/>
          <w:color w:val="auto"/>
          <w:kern w:val="0"/>
          <w:sz w:val="24"/>
          <w:szCs w:val="24"/>
          <w:highlight w:val="none"/>
        </w:rPr>
        <w:t>投标文件及相关承诺，对货物及系统进行保修、维护等服务。</w:t>
      </w:r>
    </w:p>
    <w:p w14:paraId="0E825370">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九、违约责任</w:t>
      </w:r>
    </w:p>
    <w:p w14:paraId="38C7ADA7">
      <w:pPr>
        <w:snapToGrid w:val="0"/>
        <w:spacing w:before="60" w:after="60" w:line="460" w:lineRule="exact"/>
        <w:ind w:firstLine="424" w:firstLineChars="177"/>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1、需方无正当理由拒付合同款的，需方向供方赔偿合同总额2%的违约金。</w:t>
      </w:r>
    </w:p>
    <w:p w14:paraId="5F5DC1D3">
      <w:pPr>
        <w:snapToGrid w:val="0"/>
        <w:spacing w:before="60" w:after="60" w:line="460" w:lineRule="exact"/>
        <w:ind w:firstLine="424" w:firstLineChars="177"/>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2、供方所交的货物品种、型号、规格、质量不符合合同规定标准，需方有权拒收。同时，供方向需方支付合同款总额2%的违约金。</w:t>
      </w:r>
    </w:p>
    <w:p w14:paraId="2AE1938B">
      <w:pPr>
        <w:snapToGrid w:val="0"/>
        <w:spacing w:before="60" w:after="60" w:line="460" w:lineRule="exact"/>
        <w:ind w:firstLine="424" w:firstLineChars="177"/>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3、供方不能交付货物时，供方向需方偿付合同款总额2%的违约金。</w:t>
      </w:r>
    </w:p>
    <w:p w14:paraId="2AE617CF">
      <w:pPr>
        <w:snapToGrid w:val="0"/>
        <w:spacing w:before="60" w:after="60" w:line="460" w:lineRule="exact"/>
        <w:ind w:firstLine="424" w:firstLineChars="177"/>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4、供方逾期交付货物时，每逾1日供方向需方偿付合同款总额3‰的滞纳金。逾期交货超过30天后，需方有权决定是否继续履行合同。</w:t>
      </w:r>
    </w:p>
    <w:p w14:paraId="582C31A5">
      <w:pPr>
        <w:snapToGrid w:val="0"/>
        <w:spacing w:before="60" w:after="60" w:line="460" w:lineRule="exact"/>
        <w:ind w:firstLine="424" w:firstLineChars="177"/>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5、因需方错告或变更到货地点而给供方造成的损失，由需方负担。</w:t>
      </w:r>
    </w:p>
    <w:p w14:paraId="327971CA">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十、不可抗力</w:t>
      </w:r>
    </w:p>
    <w:p w14:paraId="780F2CF8">
      <w:pPr>
        <w:snapToGrid w:val="0"/>
        <w:spacing w:before="60" w:after="60" w:line="460" w:lineRule="exact"/>
        <w:ind w:firstLine="57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793D1715">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十一、争议解决</w:t>
      </w:r>
    </w:p>
    <w:p w14:paraId="37AB7D89">
      <w:pPr>
        <w:snapToGrid w:val="0"/>
        <w:spacing w:before="60" w:after="60" w:line="460" w:lineRule="exact"/>
        <w:ind w:firstLine="57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供需双方在执行合同中发生争议，应通过协商解决。如协商不成，可以向合同签署所在地法院提出诉讼。</w:t>
      </w:r>
    </w:p>
    <w:p w14:paraId="48FBC2D1">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十二、合同生效及其他</w:t>
      </w:r>
    </w:p>
    <w:p w14:paraId="7D6DA1CA">
      <w:pPr>
        <w:snapToGrid w:val="0"/>
        <w:spacing w:before="60" w:after="60" w:line="460" w:lineRule="exact"/>
        <w:ind w:firstLine="555"/>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1、合同由供、需双方代表签章确认后，即行生效。</w:t>
      </w:r>
    </w:p>
    <w:p w14:paraId="71E4C8BA">
      <w:pPr>
        <w:snapToGrid w:val="0"/>
        <w:spacing w:before="60" w:after="60" w:line="460" w:lineRule="exact"/>
        <w:ind w:firstLine="555"/>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2、本合同一式</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份，供方</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份，需方</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份，采购代理机构存档</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份。</w:t>
      </w:r>
    </w:p>
    <w:p w14:paraId="70F57BA2">
      <w:pPr>
        <w:snapToGrid w:val="0"/>
        <w:spacing w:before="60" w:after="60" w:line="460" w:lineRule="exact"/>
        <w:ind w:firstLine="555"/>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3、合同执行过程中出现的未尽事宜，</w:t>
      </w:r>
      <w:r>
        <w:rPr>
          <w:rFonts w:hint="default" w:ascii="Times New Roman" w:hAnsi="Times New Roman" w:eastAsia="宋体" w:cs="Times New Roman"/>
          <w:color w:val="auto"/>
          <w:kern w:val="0"/>
          <w:sz w:val="24"/>
          <w:szCs w:val="24"/>
          <w:highlight w:val="none"/>
        </w:rPr>
        <w:t>双方在不违背合同和招标文件的前提下协商解决。协商结果以“纪要”形式作为合同附件，与合同具有同等效力。</w:t>
      </w:r>
    </w:p>
    <w:p w14:paraId="1494DDA1">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十三、下列文件为本合同不可分割部分</w:t>
      </w:r>
    </w:p>
    <w:p w14:paraId="2E0732FF">
      <w:pPr>
        <w:snapToGrid w:val="0"/>
        <w:spacing w:before="60" w:after="60" w:line="460" w:lineRule="exact"/>
        <w:ind w:left="1545" w:hanging="720"/>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1、招标文件</w:t>
      </w:r>
    </w:p>
    <w:p w14:paraId="653C1B61">
      <w:pPr>
        <w:snapToGrid w:val="0"/>
        <w:spacing w:before="60" w:after="60" w:line="460" w:lineRule="exact"/>
        <w:ind w:left="1545" w:hanging="720"/>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投标文件</w:t>
      </w:r>
    </w:p>
    <w:p w14:paraId="4DF341A9">
      <w:pPr>
        <w:snapToGrid w:val="0"/>
        <w:spacing w:before="60" w:after="60" w:line="460" w:lineRule="exact"/>
        <w:ind w:left="1545" w:hanging="720"/>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3、投标人所做的其他承诺</w:t>
      </w:r>
    </w:p>
    <w:p w14:paraId="082AE00B">
      <w:pPr>
        <w:snapToGrid w:val="0"/>
        <w:spacing w:before="60" w:after="60" w:line="460" w:lineRule="exact"/>
        <w:ind w:left="1545" w:hanging="720"/>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4、中标通知书</w:t>
      </w:r>
    </w:p>
    <w:p w14:paraId="6FE1ABD5">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 </w:t>
      </w:r>
    </w:p>
    <w:p w14:paraId="3F8A002B">
      <w:pPr>
        <w:snapToGrid w:val="0"/>
        <w:spacing w:before="60" w:after="60" w:line="460" w:lineRule="exact"/>
        <w:jc w:val="left"/>
        <w:rPr>
          <w:rFonts w:hint="default" w:ascii="Times New Roman" w:hAnsi="Times New Roman" w:eastAsia="Calibri"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需方（章）：</w:t>
      </w:r>
      <w:r>
        <w:rPr>
          <w:rFonts w:hint="default" w:ascii="Times New Roman" w:hAnsi="Times New Roman" w:eastAsia="Calibri" w:cs="Times New Roman"/>
          <w:b/>
          <w:bCs/>
          <w:color w:val="auto"/>
          <w:kern w:val="0"/>
          <w:sz w:val="24"/>
          <w:szCs w:val="24"/>
          <w:highlight w:val="none"/>
        </w:rPr>
        <w:t xml:space="preserve">                         </w:t>
      </w:r>
      <w:r>
        <w:rPr>
          <w:rFonts w:hint="default" w:ascii="Times New Roman" w:hAnsi="Times New Roman" w:eastAsia="宋体" w:cs="Times New Roman"/>
          <w:b/>
          <w:bCs/>
          <w:color w:val="auto"/>
          <w:kern w:val="0"/>
          <w:sz w:val="24"/>
          <w:szCs w:val="24"/>
          <w:highlight w:val="none"/>
        </w:rPr>
        <w:t>供方（章）：</w:t>
      </w:r>
      <w:r>
        <w:rPr>
          <w:rFonts w:hint="default" w:ascii="Times New Roman" w:hAnsi="Times New Roman" w:eastAsia="Calibri" w:cs="Times New Roman"/>
          <w:b/>
          <w:bCs/>
          <w:color w:val="auto"/>
          <w:kern w:val="0"/>
          <w:sz w:val="24"/>
          <w:szCs w:val="24"/>
          <w:highlight w:val="none"/>
        </w:rPr>
        <w:t xml:space="preserve">            </w:t>
      </w:r>
    </w:p>
    <w:p w14:paraId="2C3539C7">
      <w:pPr>
        <w:snapToGrid w:val="0"/>
        <w:spacing w:before="60" w:after="60" w:line="46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10F65E10">
      <w:pPr>
        <w:snapToGrid w:val="0"/>
        <w:spacing w:before="60" w:after="60" w:line="460" w:lineRule="exact"/>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法人代表：</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法人代表：</w:t>
      </w:r>
      <w:r>
        <w:rPr>
          <w:rFonts w:hint="default" w:ascii="Times New Roman" w:hAnsi="Times New Roman" w:eastAsia="Calibri" w:cs="Times New Roman"/>
          <w:color w:val="auto"/>
          <w:kern w:val="0"/>
          <w:sz w:val="24"/>
          <w:szCs w:val="24"/>
          <w:highlight w:val="none"/>
        </w:rPr>
        <w:t xml:space="preserve">                </w:t>
      </w:r>
    </w:p>
    <w:p w14:paraId="56834C53">
      <w:pPr>
        <w:snapToGrid w:val="0"/>
        <w:spacing w:before="60" w:after="60" w:line="460" w:lineRule="exact"/>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委托代理人：</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委托代理人：</w:t>
      </w:r>
      <w:r>
        <w:rPr>
          <w:rFonts w:hint="default" w:ascii="Times New Roman" w:hAnsi="Times New Roman" w:eastAsia="Calibri" w:cs="Times New Roman"/>
          <w:color w:val="auto"/>
          <w:kern w:val="0"/>
          <w:sz w:val="24"/>
          <w:szCs w:val="24"/>
          <w:highlight w:val="none"/>
        </w:rPr>
        <w:t xml:space="preserve">               </w:t>
      </w:r>
    </w:p>
    <w:p w14:paraId="0613F50E">
      <w:pPr>
        <w:snapToGrid w:val="0"/>
        <w:spacing w:before="60" w:after="60" w:line="460" w:lineRule="exact"/>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地</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址：</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地</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址：</w:t>
      </w:r>
      <w:r>
        <w:rPr>
          <w:rFonts w:hint="default" w:ascii="Times New Roman" w:hAnsi="Times New Roman" w:eastAsia="Calibri" w:cs="Times New Roman"/>
          <w:color w:val="auto"/>
          <w:kern w:val="0"/>
          <w:sz w:val="24"/>
          <w:szCs w:val="24"/>
          <w:highlight w:val="none"/>
        </w:rPr>
        <w:t xml:space="preserve">                   </w:t>
      </w:r>
    </w:p>
    <w:p w14:paraId="46ACD8F3">
      <w:pPr>
        <w:snapToGrid w:val="0"/>
        <w:spacing w:before="60" w:after="60" w:line="460" w:lineRule="exact"/>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话：</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电</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话：</w:t>
      </w:r>
      <w:r>
        <w:rPr>
          <w:rFonts w:hint="default" w:ascii="Times New Roman" w:hAnsi="Times New Roman" w:eastAsia="Calibri" w:cs="Times New Roman"/>
          <w:color w:val="auto"/>
          <w:kern w:val="0"/>
          <w:sz w:val="24"/>
          <w:szCs w:val="24"/>
          <w:highlight w:val="none"/>
        </w:rPr>
        <w:t xml:space="preserve">                    </w:t>
      </w:r>
    </w:p>
    <w:p w14:paraId="700BCB53">
      <w:pPr>
        <w:snapToGrid w:val="0"/>
        <w:spacing w:before="60" w:after="60" w:line="460" w:lineRule="exact"/>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开户银行：</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开户银行：</w:t>
      </w:r>
      <w:r>
        <w:rPr>
          <w:rFonts w:hint="default" w:ascii="Times New Roman" w:hAnsi="Times New Roman" w:eastAsia="Calibri" w:cs="Times New Roman"/>
          <w:color w:val="auto"/>
          <w:kern w:val="0"/>
          <w:sz w:val="24"/>
          <w:szCs w:val="24"/>
          <w:highlight w:val="none"/>
        </w:rPr>
        <w:t xml:space="preserve">                </w:t>
      </w:r>
    </w:p>
    <w:p w14:paraId="0F842252">
      <w:pPr>
        <w:snapToGrid w:val="0"/>
        <w:spacing w:before="60" w:after="60" w:line="460" w:lineRule="exact"/>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账</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号：</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账</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号</w:t>
      </w:r>
      <w:r>
        <w:rPr>
          <w:rFonts w:hint="default" w:ascii="Times New Roman" w:hAnsi="Times New Roman" w:eastAsia="Calibri" w:cs="Times New Roman"/>
          <w:color w:val="auto"/>
          <w:kern w:val="0"/>
          <w:sz w:val="24"/>
          <w:szCs w:val="24"/>
          <w:highlight w:val="none"/>
        </w:rPr>
        <w:t xml:space="preserve">                      </w:t>
      </w:r>
    </w:p>
    <w:p w14:paraId="5B255E4F">
      <w:pPr>
        <w:snapToGrid w:val="0"/>
        <w:spacing w:before="60" w:after="60" w:line="460" w:lineRule="exact"/>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期：</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日</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日</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期：</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日</w:t>
      </w:r>
      <w:r>
        <w:rPr>
          <w:rFonts w:hint="default" w:ascii="Times New Roman" w:hAnsi="Times New Roman" w:eastAsia="Calibri" w:cs="Times New Roman"/>
          <w:color w:val="auto"/>
          <w:kern w:val="0"/>
          <w:sz w:val="24"/>
          <w:szCs w:val="24"/>
          <w:highlight w:val="none"/>
        </w:rPr>
        <w:t xml:space="preserve">     </w:t>
      </w:r>
    </w:p>
    <w:p w14:paraId="439FD138">
      <w:pPr>
        <w:snapToGrid w:val="0"/>
        <w:spacing w:before="60" w:after="60" w:line="46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w:t>
      </w:r>
    </w:p>
    <w:p w14:paraId="652A26FC">
      <w:pPr>
        <w:rPr>
          <w:rFonts w:hint="default" w:ascii="Times New Roman" w:hAnsi="Times New Roman" w:cs="Times New Roman"/>
          <w:color w:val="auto"/>
          <w:highlight w:val="none"/>
        </w:rPr>
      </w:pPr>
      <w:r>
        <w:rPr>
          <w:rFonts w:hint="default" w:ascii="Times New Roman" w:hAnsi="Times New Roman" w:eastAsia="宋体" w:cs="Times New Roman"/>
          <w:color w:val="auto"/>
          <w:kern w:val="0"/>
          <w:szCs w:val="24"/>
          <w:highlight w:val="none"/>
        </w:rPr>
        <w:t> </w:t>
      </w:r>
    </w:p>
    <w:p w14:paraId="1D2682FE">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bookmarkStart w:id="12" w:name="_Toc11424"/>
    </w:p>
    <w:p w14:paraId="697BFDE6">
      <w:pPr>
        <w:rPr>
          <w:rFonts w:hint="default" w:ascii="Times New Roman" w:hAnsi="Times New Roman" w:cs="Times New Roman"/>
          <w:color w:val="auto"/>
          <w:highlight w:val="none"/>
        </w:rPr>
      </w:pPr>
    </w:p>
    <w:p w14:paraId="54C8402A">
      <w:pPr>
        <w:pStyle w:val="2"/>
        <w:snapToGrid w:val="0"/>
        <w:jc w:val="cente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第七部分  投标文件格式</w:t>
      </w:r>
      <w:bookmarkEnd w:id="12"/>
    </w:p>
    <w:p w14:paraId="21525C68">
      <w:pPr>
        <w:snapToGrid w:val="0"/>
        <w:spacing w:before="60" w:after="60" w:line="312" w:lineRule="auto"/>
        <w:rPr>
          <w:rFonts w:hint="default" w:ascii="Times New Roman" w:hAnsi="Times New Roman" w:eastAsia="宋体" w:cs="Times New Roman"/>
          <w:color w:val="auto"/>
          <w:sz w:val="20"/>
          <w:szCs w:val="20"/>
          <w:highlight w:val="none"/>
        </w:rPr>
      </w:pPr>
    </w:p>
    <w:p w14:paraId="6FAFD0C1">
      <w:pPr>
        <w:snapToGrid w:val="0"/>
        <w:spacing w:before="60" w:after="60" w:line="48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投标人提交投标文件须知</w:t>
      </w:r>
    </w:p>
    <w:p w14:paraId="46E86730">
      <w:pPr>
        <w:snapToGrid w:val="0"/>
        <w:spacing w:before="60" w:after="60" w:line="480" w:lineRule="exact"/>
        <w:ind w:firstLine="434"/>
        <w:rPr>
          <w:rFonts w:hint="default" w:ascii="Times New Roman" w:hAnsi="Times New Roman" w:eastAsia="宋体" w:cs="Times New Roman"/>
          <w:color w:val="auto"/>
          <w:sz w:val="20"/>
          <w:szCs w:val="20"/>
          <w:highlight w:val="none"/>
        </w:rPr>
      </w:pPr>
      <w:r>
        <w:rPr>
          <w:rFonts w:hint="default" w:ascii="Times New Roman" w:hAnsi="Times New Roman" w:eastAsia="Times New Roman" w:cs="Times New Roman"/>
          <w:color w:val="auto"/>
          <w:sz w:val="20"/>
          <w:szCs w:val="20"/>
          <w:highlight w:val="none"/>
        </w:rPr>
        <w:t>1、投标人按照本部分的顺序编排</w:t>
      </w:r>
      <w:r>
        <w:rPr>
          <w:rFonts w:hint="default" w:ascii="Times New Roman" w:hAnsi="Times New Roman" w:eastAsia="宋体" w:cs="Times New Roman"/>
          <w:color w:val="auto"/>
          <w:sz w:val="20"/>
          <w:szCs w:val="20"/>
          <w:highlight w:val="none"/>
        </w:rPr>
        <w:t>投标文件（资格证明部分、商务技术部分），编排中涉及格式资料的，应按照本部分提供的内容和格式（所有表格的格式可扩展）填写提交。</w:t>
      </w:r>
    </w:p>
    <w:p w14:paraId="5CCB65A4">
      <w:pPr>
        <w:snapToGrid w:val="0"/>
        <w:spacing w:before="60" w:after="60" w:line="480" w:lineRule="exact"/>
        <w:ind w:firstLine="434"/>
        <w:rPr>
          <w:rFonts w:hint="default" w:ascii="Times New Roman" w:hAnsi="Times New Roman" w:eastAsia="Times New Roman" w:cs="Times New Roman"/>
          <w:color w:val="auto"/>
          <w:sz w:val="20"/>
          <w:szCs w:val="20"/>
          <w:highlight w:val="none"/>
        </w:rPr>
      </w:pPr>
      <w:r>
        <w:rPr>
          <w:rFonts w:hint="default" w:ascii="Times New Roman" w:hAnsi="Times New Roman" w:eastAsia="Times New Roman" w:cs="Times New Roman"/>
          <w:color w:val="auto"/>
          <w:sz w:val="20"/>
          <w:szCs w:val="20"/>
          <w:highlight w:val="none"/>
        </w:rPr>
        <w:t>2、全部声明和问题的回答及所附材料必须是真实的、准确的和完整的。</w:t>
      </w:r>
    </w:p>
    <w:p w14:paraId="0207302E">
      <w:pPr>
        <w:snapToGrid w:val="0"/>
        <w:spacing w:before="60" w:after="60" w:line="480" w:lineRule="exact"/>
        <w:ind w:firstLine="400" w:firstLineChars="200"/>
        <w:rPr>
          <w:rFonts w:hint="default" w:ascii="Times New Roman" w:hAnsi="Times New Roman" w:eastAsia="Times New Roman" w:cs="Times New Roman"/>
          <w:color w:val="auto"/>
          <w:sz w:val="20"/>
          <w:szCs w:val="20"/>
          <w:highlight w:val="none"/>
        </w:rPr>
      </w:pPr>
      <w:r>
        <w:rPr>
          <w:rFonts w:hint="default" w:ascii="Times New Roman" w:hAnsi="Times New Roman" w:eastAsia="Times New Roman" w:cs="Times New Roman"/>
          <w:color w:val="auto"/>
          <w:sz w:val="20"/>
          <w:szCs w:val="20"/>
          <w:highlight w:val="none"/>
        </w:rPr>
        <w:t>3、按招标文件要求“格式”提供的材料，如有调整，内容及签署必须完整、有效，且没有本文件不可接受的条件。</w:t>
      </w:r>
    </w:p>
    <w:p w14:paraId="68D001E4">
      <w:pPr>
        <w:snapToGrid w:val="0"/>
        <w:spacing w:before="60" w:after="120"/>
        <w:rPr>
          <w:rFonts w:hint="default" w:ascii="Times New Roman" w:hAnsi="Times New Roman" w:eastAsia="宋体" w:cs="Times New Roman"/>
          <w:color w:val="auto"/>
          <w:sz w:val="20"/>
          <w:szCs w:val="20"/>
          <w:highlight w:val="none"/>
        </w:rPr>
      </w:pPr>
      <w:r>
        <w:rPr>
          <w:rFonts w:hint="default" w:ascii="Times New Roman" w:hAnsi="Times New Roman" w:eastAsia="微软雅黑" w:cs="Times New Roman"/>
          <w:color w:val="auto"/>
          <w:sz w:val="22"/>
          <w:highlight w:val="none"/>
        </w:rPr>
        <w:br w:type="page"/>
      </w:r>
    </w:p>
    <w:p w14:paraId="0EE575FA">
      <w:pPr>
        <w:snapToGrid w:val="0"/>
        <w:spacing w:before="60" w:after="60" w:line="460" w:lineRule="exact"/>
        <w:jc w:val="center"/>
        <w:rPr>
          <w:rFonts w:hint="default" w:ascii="Times New Roman" w:hAnsi="Times New Roman" w:eastAsia="宋体" w:cs="Times New Roman"/>
          <w:color w:val="auto"/>
          <w:sz w:val="32"/>
          <w:szCs w:val="32"/>
          <w:highlight w:val="none"/>
        </w:rPr>
      </w:pPr>
    </w:p>
    <w:p w14:paraId="17C1A957">
      <w:pPr>
        <w:snapToGrid w:val="0"/>
        <w:spacing w:before="60" w:after="60" w:line="460" w:lineRule="exact"/>
        <w:jc w:val="right"/>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（正</w:t>
      </w:r>
      <w:r>
        <w:rPr>
          <w:rFonts w:hint="default" w:ascii="Times New Roman" w:hAnsi="Times New Roman" w:eastAsia="Calibri" w:cs="Times New Roman"/>
          <w:b/>
          <w:bCs/>
          <w:color w:val="auto"/>
          <w:sz w:val="32"/>
          <w:szCs w:val="32"/>
          <w:highlight w:val="none"/>
        </w:rPr>
        <w:t>/</w:t>
      </w:r>
      <w:r>
        <w:rPr>
          <w:rFonts w:hint="default" w:ascii="Times New Roman" w:hAnsi="Times New Roman" w:eastAsia="宋体" w:cs="Times New Roman"/>
          <w:b/>
          <w:bCs/>
          <w:color w:val="auto"/>
          <w:sz w:val="32"/>
          <w:szCs w:val="32"/>
          <w:highlight w:val="none"/>
        </w:rPr>
        <w:t>副）本</w:t>
      </w:r>
    </w:p>
    <w:p w14:paraId="43FCD486">
      <w:pPr>
        <w:snapToGrid w:val="0"/>
        <w:spacing w:before="60" w:after="60" w:line="460" w:lineRule="exact"/>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（项目名称）项目</w:t>
      </w:r>
    </w:p>
    <w:p w14:paraId="5E78CB3D">
      <w:pPr>
        <w:snapToGrid w:val="0"/>
        <w:spacing w:before="60" w:after="60" w:line="460" w:lineRule="exact"/>
        <w:rPr>
          <w:rFonts w:hint="default" w:ascii="Times New Roman" w:hAnsi="Times New Roman" w:eastAsia="宋体" w:cs="Times New Roman"/>
          <w:color w:val="auto"/>
          <w:sz w:val="32"/>
          <w:szCs w:val="32"/>
          <w:highlight w:val="none"/>
        </w:rPr>
      </w:pPr>
    </w:p>
    <w:p w14:paraId="32A2CAF4">
      <w:pPr>
        <w:snapToGrid w:val="0"/>
        <w:spacing w:before="60" w:after="60" w:line="460" w:lineRule="exact"/>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项目编号：</w:t>
      </w:r>
    </w:p>
    <w:p w14:paraId="53CECE9F">
      <w:pPr>
        <w:snapToGrid w:val="0"/>
        <w:spacing w:before="60" w:after="60" w:line="460" w:lineRule="exact"/>
        <w:rPr>
          <w:rFonts w:hint="default" w:ascii="Times New Roman" w:hAnsi="Times New Roman" w:eastAsia="宋体" w:cs="Times New Roman"/>
          <w:color w:val="auto"/>
          <w:sz w:val="32"/>
          <w:szCs w:val="32"/>
          <w:highlight w:val="none"/>
        </w:rPr>
      </w:pPr>
    </w:p>
    <w:p w14:paraId="16980CDA">
      <w:pPr>
        <w:snapToGrid w:val="0"/>
        <w:spacing w:before="60" w:after="60" w:line="460" w:lineRule="exact"/>
        <w:rPr>
          <w:rFonts w:hint="default" w:ascii="Times New Roman" w:hAnsi="Times New Roman" w:eastAsia="宋体" w:cs="Times New Roman"/>
          <w:color w:val="auto"/>
          <w:sz w:val="48"/>
          <w:szCs w:val="48"/>
          <w:highlight w:val="none"/>
        </w:rPr>
      </w:pPr>
    </w:p>
    <w:p w14:paraId="53B2F98F">
      <w:pPr>
        <w:snapToGrid w:val="0"/>
        <w:spacing w:before="60" w:after="60" w:line="312" w:lineRule="auto"/>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sz w:val="72"/>
          <w:szCs w:val="72"/>
          <w:highlight w:val="none"/>
        </w:rPr>
        <w:t>投</w:t>
      </w:r>
    </w:p>
    <w:p w14:paraId="48A4F82A">
      <w:pPr>
        <w:snapToGrid w:val="0"/>
        <w:spacing w:before="60" w:after="60" w:line="312" w:lineRule="auto"/>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sz w:val="72"/>
          <w:szCs w:val="72"/>
          <w:highlight w:val="none"/>
        </w:rPr>
        <w:t>标</w:t>
      </w:r>
    </w:p>
    <w:p w14:paraId="5D58A97A">
      <w:pPr>
        <w:snapToGrid w:val="0"/>
        <w:spacing w:before="60" w:after="60" w:line="312" w:lineRule="auto"/>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sz w:val="72"/>
          <w:szCs w:val="72"/>
          <w:highlight w:val="none"/>
        </w:rPr>
        <w:t>文</w:t>
      </w:r>
    </w:p>
    <w:p w14:paraId="18785983">
      <w:pPr>
        <w:snapToGrid w:val="0"/>
        <w:spacing w:before="60" w:after="60" w:line="312" w:lineRule="auto"/>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sz w:val="72"/>
          <w:szCs w:val="72"/>
          <w:highlight w:val="none"/>
        </w:rPr>
        <w:t>件</w:t>
      </w:r>
    </w:p>
    <w:p w14:paraId="7EFBD04D">
      <w:pPr>
        <w:snapToGrid w:val="0"/>
        <w:spacing w:before="60" w:after="60" w:line="460" w:lineRule="exact"/>
        <w:jc w:val="center"/>
        <w:rPr>
          <w:rFonts w:hint="default" w:ascii="Times New Roman" w:hAnsi="Times New Roman" w:eastAsia="宋体" w:cs="Times New Roman"/>
          <w:color w:val="auto"/>
          <w:sz w:val="48"/>
          <w:szCs w:val="48"/>
          <w:highlight w:val="none"/>
        </w:rPr>
      </w:pPr>
    </w:p>
    <w:p w14:paraId="66C03063">
      <w:pPr>
        <w:snapToGrid w:val="0"/>
        <w:spacing w:before="60" w:after="60" w:line="460" w:lineRule="exact"/>
        <w:jc w:val="center"/>
        <w:rPr>
          <w:rFonts w:hint="default" w:ascii="Times New Roman" w:hAnsi="Times New Roman" w:eastAsia="宋体" w:cs="Times New Roman"/>
          <w:color w:val="auto"/>
          <w:sz w:val="30"/>
          <w:szCs w:val="30"/>
          <w:highlight w:val="none"/>
        </w:rPr>
      </w:pPr>
    </w:p>
    <w:p w14:paraId="58CCF3F0">
      <w:pPr>
        <w:snapToGrid w:val="0"/>
        <w:spacing w:before="60" w:after="60" w:line="460" w:lineRule="exact"/>
        <w:ind w:firstLine="1800" w:firstLineChars="600"/>
        <w:jc w:val="left"/>
        <w:rPr>
          <w:rFonts w:hint="default" w:ascii="Times New Roman" w:hAnsi="Times New Roman" w:eastAsia="宋体" w:cs="Times New Roman"/>
          <w:color w:val="auto"/>
          <w:sz w:val="30"/>
          <w:szCs w:val="30"/>
          <w:highlight w:val="none"/>
        </w:rPr>
      </w:pPr>
    </w:p>
    <w:p w14:paraId="783B1D98">
      <w:pPr>
        <w:snapToGrid w:val="0"/>
        <w:spacing w:before="60" w:after="60" w:line="460" w:lineRule="exact"/>
        <w:ind w:firstLine="1800" w:firstLineChars="600"/>
        <w:jc w:val="left"/>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t>投标人全称：</w:t>
      </w:r>
      <w:r>
        <w:rPr>
          <w:rFonts w:hint="default" w:ascii="Times New Roman" w:hAnsi="Times New Roman" w:eastAsia="Calibri" w:cs="Times New Roman"/>
          <w:color w:val="auto"/>
          <w:sz w:val="30"/>
          <w:szCs w:val="30"/>
          <w:highlight w:val="none"/>
        </w:rPr>
        <w:t xml:space="preserve">                        </w:t>
      </w:r>
      <w:r>
        <w:rPr>
          <w:rFonts w:hint="default" w:ascii="Times New Roman" w:hAnsi="Times New Roman" w:eastAsia="宋体" w:cs="Times New Roman"/>
          <w:color w:val="auto"/>
          <w:sz w:val="30"/>
          <w:szCs w:val="30"/>
          <w:highlight w:val="none"/>
        </w:rPr>
        <w:t>（公章）</w:t>
      </w:r>
    </w:p>
    <w:p w14:paraId="0AC02684">
      <w:pPr>
        <w:snapToGrid w:val="0"/>
        <w:spacing w:before="60" w:after="60" w:line="460" w:lineRule="exact"/>
        <w:ind w:firstLine="1800" w:firstLineChars="600"/>
        <w:jc w:val="left"/>
        <w:rPr>
          <w:rFonts w:hint="default" w:ascii="Times New Roman" w:hAnsi="Times New Roman" w:eastAsia="宋体" w:cs="Times New Roman"/>
          <w:color w:val="auto"/>
          <w:sz w:val="30"/>
          <w:szCs w:val="30"/>
          <w:highlight w:val="none"/>
        </w:rPr>
      </w:pPr>
    </w:p>
    <w:p w14:paraId="71A96AFA">
      <w:pPr>
        <w:snapToGrid w:val="0"/>
        <w:spacing w:before="60" w:after="60" w:line="460" w:lineRule="exact"/>
        <w:ind w:firstLine="1800" w:firstLineChars="600"/>
        <w:jc w:val="left"/>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t>投标人授权代表：（签字或盖章）</w:t>
      </w:r>
    </w:p>
    <w:p w14:paraId="5049F402">
      <w:pPr>
        <w:snapToGrid w:val="0"/>
        <w:spacing w:before="60" w:after="60" w:line="460" w:lineRule="exact"/>
        <w:rPr>
          <w:rFonts w:hint="default" w:ascii="Times New Roman" w:hAnsi="Times New Roman" w:eastAsia="宋体" w:cs="Times New Roman"/>
          <w:color w:val="auto"/>
          <w:sz w:val="30"/>
          <w:szCs w:val="30"/>
          <w:highlight w:val="none"/>
        </w:rPr>
      </w:pPr>
    </w:p>
    <w:p w14:paraId="74634F9B">
      <w:pPr>
        <w:snapToGrid w:val="0"/>
        <w:spacing w:before="60" w:after="60" w:line="460" w:lineRule="exact"/>
        <w:jc w:val="center"/>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t>年</w:t>
      </w:r>
      <w:r>
        <w:rPr>
          <w:rFonts w:hint="default" w:ascii="Times New Roman" w:hAnsi="Times New Roman" w:eastAsia="Calibri" w:cs="Times New Roman"/>
          <w:color w:val="auto"/>
          <w:sz w:val="30"/>
          <w:szCs w:val="30"/>
          <w:highlight w:val="none"/>
        </w:rPr>
        <w:t xml:space="preserve">    </w:t>
      </w:r>
      <w:r>
        <w:rPr>
          <w:rFonts w:hint="default" w:ascii="Times New Roman" w:hAnsi="Times New Roman" w:eastAsia="宋体" w:cs="Times New Roman"/>
          <w:color w:val="auto"/>
          <w:sz w:val="30"/>
          <w:szCs w:val="30"/>
          <w:highlight w:val="none"/>
        </w:rPr>
        <w:t>月</w:t>
      </w:r>
      <w:r>
        <w:rPr>
          <w:rFonts w:hint="default" w:ascii="Times New Roman" w:hAnsi="Times New Roman" w:eastAsia="Calibri" w:cs="Times New Roman"/>
          <w:color w:val="auto"/>
          <w:sz w:val="30"/>
          <w:szCs w:val="30"/>
          <w:highlight w:val="none"/>
        </w:rPr>
        <w:t xml:space="preserve">    </w:t>
      </w:r>
      <w:r>
        <w:rPr>
          <w:rFonts w:hint="default" w:ascii="Times New Roman" w:hAnsi="Times New Roman" w:eastAsia="宋体" w:cs="Times New Roman"/>
          <w:color w:val="auto"/>
          <w:sz w:val="30"/>
          <w:szCs w:val="30"/>
          <w:highlight w:val="none"/>
        </w:rPr>
        <w:t>日</w:t>
      </w:r>
    </w:p>
    <w:p w14:paraId="163CF91D">
      <w:pPr>
        <w:snapToGrid w:val="0"/>
        <w:spacing w:before="60" w:after="60" w:line="460" w:lineRule="exact"/>
        <w:rPr>
          <w:rFonts w:hint="default" w:ascii="Times New Roman" w:hAnsi="Times New Roman" w:eastAsia="宋体" w:cs="Times New Roman"/>
          <w:color w:val="auto"/>
          <w:sz w:val="24"/>
          <w:szCs w:val="24"/>
          <w:highlight w:val="none"/>
        </w:rPr>
      </w:pPr>
    </w:p>
    <w:p w14:paraId="3D4D4211">
      <w:pP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br w:type="page"/>
      </w:r>
    </w:p>
    <w:p w14:paraId="6C35ACE4">
      <w:pPr>
        <w:snapToGrid w:val="0"/>
        <w:spacing w:before="60" w:after="60" w:line="460" w:lineRule="exact"/>
        <w:jc w:val="center"/>
        <w:rPr>
          <w:rFonts w:hint="default" w:ascii="Times New Roman" w:hAnsi="Times New Roman" w:eastAsia="宋体" w:cs="Times New Roman"/>
          <w:b/>
          <w:bCs/>
          <w:color w:val="auto"/>
          <w:sz w:val="24"/>
          <w:szCs w:val="24"/>
          <w:highlight w:val="none"/>
        </w:rPr>
      </w:pPr>
    </w:p>
    <w:p w14:paraId="7DDAF619">
      <w:pPr>
        <w:snapToGrid w:val="0"/>
        <w:spacing w:before="60" w:after="60" w:line="460" w:lineRule="exact"/>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目录格式（参考）</w:t>
      </w:r>
    </w:p>
    <w:p w14:paraId="54DB7837">
      <w:pPr>
        <w:snapToGrid w:val="0"/>
        <w:spacing w:before="60" w:after="60" w:line="460" w:lineRule="exact"/>
        <w:jc w:val="center"/>
        <w:rPr>
          <w:rFonts w:hint="default" w:ascii="Times New Roman" w:hAnsi="Times New Roman" w:eastAsia="宋体" w:cs="Times New Roman"/>
          <w:color w:val="auto"/>
          <w:sz w:val="28"/>
          <w:szCs w:val="28"/>
          <w:highlight w:val="none"/>
        </w:rPr>
      </w:pPr>
    </w:p>
    <w:p w14:paraId="369D48AD">
      <w:pPr>
        <w:snapToGrid w:val="0"/>
        <w:spacing w:before="60" w:after="60" w:line="300" w:lineRule="exact"/>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资格证明部分</w:t>
      </w:r>
    </w:p>
    <w:p w14:paraId="7F1D184B">
      <w:pPr>
        <w:snapToGrid w:val="0"/>
        <w:spacing w:before="60" w:after="60" w:line="360" w:lineRule="exact"/>
        <w:jc w:val="left"/>
        <w:rPr>
          <w:rFonts w:hint="default" w:ascii="Times New Roman" w:hAnsi="Times New Roman" w:eastAsia="宋体" w:cs="Times New Roman"/>
          <w:color w:val="auto"/>
          <w:sz w:val="28"/>
          <w:szCs w:val="28"/>
          <w:highlight w:val="none"/>
        </w:rPr>
      </w:pPr>
    </w:p>
    <w:p w14:paraId="0CDB774B">
      <w:pPr>
        <w:snapToGrid w:val="0"/>
        <w:spacing w:before="60" w:after="60"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）《供应商信用承诺书》………………………………………</w:t>
      </w:r>
    </w:p>
    <w:p w14:paraId="05CEFAF0">
      <w:pPr>
        <w:snapToGrid w:val="0"/>
        <w:spacing w:before="60" w:after="60"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二</w:t>
      </w:r>
      <w:r>
        <w:rPr>
          <w:rFonts w:hint="default" w:ascii="Times New Roman" w:hAnsi="Times New Roman" w:eastAsia="宋体" w:cs="Times New Roman"/>
          <w:color w:val="auto"/>
          <w:sz w:val="24"/>
          <w:szCs w:val="24"/>
          <w:highlight w:val="none"/>
        </w:rPr>
        <w:t>）落实政府采购政策需满足的资格要求………………………………</w:t>
      </w:r>
    </w:p>
    <w:p w14:paraId="2E761212">
      <w:pPr>
        <w:snapToGrid w:val="0"/>
        <w:spacing w:before="60" w:after="60"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）本项目的特定资格要求………………………………………………</w:t>
      </w:r>
    </w:p>
    <w:p w14:paraId="59923973">
      <w:pPr>
        <w:snapToGrid w:val="0"/>
        <w:spacing w:before="60" w:after="60"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四</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pacing w:val="6"/>
          <w:sz w:val="24"/>
          <w:szCs w:val="24"/>
          <w:highlight w:val="none"/>
          <w:lang w:val="en-US" w:eastAsia="zh-CN"/>
        </w:rPr>
        <w:t>《供应商控股及关联企业信息表》</w:t>
      </w:r>
      <w:r>
        <w:rPr>
          <w:rFonts w:hint="default" w:ascii="Times New Roman" w:hAnsi="Times New Roman" w:eastAsia="宋体" w:cs="Times New Roman"/>
          <w:color w:val="auto"/>
          <w:sz w:val="24"/>
          <w:szCs w:val="24"/>
          <w:highlight w:val="none"/>
        </w:rPr>
        <w:t>………………………………</w:t>
      </w:r>
    </w:p>
    <w:p w14:paraId="6BD294B4">
      <w:pPr>
        <w:snapToGrid w:val="0"/>
        <w:spacing w:before="60" w:after="60" w:line="300" w:lineRule="exact"/>
        <w:jc w:val="center"/>
        <w:rPr>
          <w:rFonts w:hint="default" w:ascii="Times New Roman" w:hAnsi="Times New Roman" w:eastAsia="宋体" w:cs="Times New Roman"/>
          <w:b/>
          <w:bCs/>
          <w:color w:val="auto"/>
          <w:sz w:val="28"/>
          <w:szCs w:val="28"/>
          <w:highlight w:val="none"/>
        </w:rPr>
      </w:pPr>
    </w:p>
    <w:p w14:paraId="5312646B">
      <w:pPr>
        <w:snapToGrid w:val="0"/>
        <w:spacing w:before="60" w:after="60" w:line="300" w:lineRule="exact"/>
        <w:jc w:val="center"/>
        <w:rPr>
          <w:rFonts w:hint="default" w:ascii="Times New Roman" w:hAnsi="Times New Roman" w:eastAsia="宋体" w:cs="Times New Roman"/>
          <w:b/>
          <w:bCs/>
          <w:color w:val="auto"/>
          <w:sz w:val="28"/>
          <w:szCs w:val="28"/>
          <w:highlight w:val="none"/>
        </w:rPr>
      </w:pPr>
    </w:p>
    <w:p w14:paraId="5D82C410">
      <w:pPr>
        <w:snapToGrid w:val="0"/>
        <w:spacing w:before="60" w:after="60" w:line="300" w:lineRule="exact"/>
        <w:jc w:val="center"/>
        <w:rPr>
          <w:rFonts w:hint="default"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lang w:val="en-US" w:eastAsia="zh-CN"/>
        </w:rPr>
        <w:t>商务技术</w:t>
      </w:r>
      <w:r>
        <w:rPr>
          <w:rFonts w:hint="default" w:ascii="Times New Roman" w:hAnsi="Times New Roman" w:eastAsia="宋体" w:cs="Times New Roman"/>
          <w:b/>
          <w:bCs/>
          <w:color w:val="auto"/>
          <w:sz w:val="28"/>
          <w:szCs w:val="28"/>
          <w:highlight w:val="none"/>
        </w:rPr>
        <w:t>部分</w:t>
      </w:r>
    </w:p>
    <w:p w14:paraId="7F3C3607">
      <w:pPr>
        <w:keepNext w:val="0"/>
        <w:keepLines w:val="0"/>
        <w:pageBreakBefore w:val="0"/>
        <w:widowControl w:val="0"/>
        <w:numPr>
          <w:ilvl w:val="0"/>
          <w:numId w:val="5"/>
        </w:numPr>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报价的响应情况</w:t>
      </w:r>
    </w:p>
    <w:p w14:paraId="529FDE5C">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开标一览表……………………………………………………………………</w:t>
      </w:r>
    </w:p>
    <w:p w14:paraId="003057D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报价明细表………………………………………………………………</w:t>
      </w:r>
    </w:p>
    <w:p w14:paraId="5C71056C">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w:t>
      </w:r>
      <w:r>
        <w:rPr>
          <w:rFonts w:hint="default" w:ascii="Times New Roman" w:hAnsi="Times New Roman" w:eastAsia="宋体" w:cs="Times New Roman"/>
          <w:color w:val="auto"/>
          <w:sz w:val="24"/>
          <w:szCs w:val="24"/>
          <w:highlight w:val="none"/>
          <w:lang w:eastAsia="zh-CN"/>
        </w:rPr>
        <w:t>商务</w:t>
      </w:r>
      <w:r>
        <w:rPr>
          <w:rFonts w:hint="default" w:ascii="Times New Roman" w:hAnsi="Times New Roman" w:eastAsia="宋体" w:cs="Times New Roman"/>
          <w:color w:val="auto"/>
          <w:sz w:val="24"/>
          <w:szCs w:val="24"/>
          <w:highlight w:val="none"/>
        </w:rPr>
        <w:t>响应情况</w:t>
      </w:r>
    </w:p>
    <w:p w14:paraId="669B8B41">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1、投标函</w:t>
      </w:r>
      <w:r>
        <w:rPr>
          <w:rFonts w:hint="default" w:ascii="Times New Roman" w:hAnsi="Times New Roman" w:eastAsia="宋体" w:cs="Times New Roman"/>
          <w:color w:val="auto"/>
          <w:sz w:val="24"/>
          <w:szCs w:val="24"/>
          <w:highlight w:val="none"/>
        </w:rPr>
        <w:t>………………………………………………………………</w:t>
      </w:r>
    </w:p>
    <w:p w14:paraId="498081E7">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2、投标人代表证明</w:t>
      </w:r>
      <w:r>
        <w:rPr>
          <w:rFonts w:hint="default" w:ascii="Times New Roman" w:hAnsi="Times New Roman" w:eastAsia="宋体" w:cs="Times New Roman"/>
          <w:color w:val="auto"/>
          <w:sz w:val="24"/>
          <w:szCs w:val="24"/>
          <w:highlight w:val="none"/>
        </w:rPr>
        <w:t>………………………………………………………</w:t>
      </w:r>
    </w:p>
    <w:p w14:paraId="472AE480">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3、投标保证金</w:t>
      </w:r>
      <w:r>
        <w:rPr>
          <w:rFonts w:hint="default" w:ascii="Times New Roman" w:hAnsi="Times New Roman" w:eastAsia="宋体" w:cs="Times New Roman"/>
          <w:color w:val="auto"/>
          <w:sz w:val="24"/>
          <w:szCs w:val="24"/>
          <w:highlight w:val="none"/>
        </w:rPr>
        <w:t>………………………………………</w:t>
      </w:r>
    </w:p>
    <w:p w14:paraId="7681C3CD">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商务条款响应表………………………………………………………………</w:t>
      </w:r>
    </w:p>
    <w:p w14:paraId="6089CDA1">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供应商售后服务承诺书………………………………………………………</w:t>
      </w:r>
    </w:p>
    <w:p w14:paraId="5001F554">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政策性及强制性要求的</w:t>
      </w:r>
      <w:r>
        <w:rPr>
          <w:rFonts w:hint="default" w:ascii="Times New Roman" w:hAnsi="Times New Roman" w:eastAsia="宋体" w:cs="Times New Roman"/>
          <w:b w:val="0"/>
          <w:bCs w:val="0"/>
          <w:color w:val="auto"/>
          <w:sz w:val="24"/>
          <w:szCs w:val="24"/>
          <w:highlight w:val="none"/>
        </w:rPr>
        <w:t>响应情况</w:t>
      </w:r>
      <w:r>
        <w:rPr>
          <w:rFonts w:hint="default" w:ascii="Times New Roman" w:hAnsi="Times New Roman" w:eastAsia="宋体" w:cs="Times New Roman"/>
          <w:color w:val="auto"/>
          <w:sz w:val="24"/>
          <w:szCs w:val="24"/>
          <w:highlight w:val="none"/>
        </w:rPr>
        <w:t>………………………………………</w:t>
      </w:r>
    </w:p>
    <w:p w14:paraId="178E35B9">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(三)技术要求响应情况</w:t>
      </w:r>
    </w:p>
    <w:p w14:paraId="4729F50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投标产品技术应答书……………………………………………………………</w:t>
      </w:r>
    </w:p>
    <w:p w14:paraId="5F62B492">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投标产品技术参数、配置清单………………………………………………</w:t>
      </w:r>
    </w:p>
    <w:p w14:paraId="4A97EFB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技术响应文件……………………………………………………………………</w:t>
      </w:r>
    </w:p>
    <w:p w14:paraId="7C89EB5E">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华文中宋" w:cs="Times New Roman"/>
          <w:color w:val="auto"/>
          <w:sz w:val="24"/>
          <w:szCs w:val="24"/>
          <w:highlight w:val="none"/>
        </w:rPr>
      </w:pPr>
      <w:r>
        <w:rPr>
          <w:rFonts w:hint="default" w:ascii="Times New Roman" w:hAnsi="Times New Roman" w:eastAsia="宋体" w:cs="Times New Roman"/>
          <w:color w:val="auto"/>
          <w:sz w:val="24"/>
          <w:szCs w:val="24"/>
          <w:highlight w:val="none"/>
        </w:rPr>
        <w:t>（四）</w:t>
      </w:r>
      <w:r>
        <w:rPr>
          <w:rFonts w:hint="default" w:ascii="Times New Roman" w:hAnsi="Times New Roman" w:eastAsia="宋体" w:cs="Times New Roman"/>
          <w:color w:val="auto"/>
          <w:sz w:val="24"/>
          <w:szCs w:val="24"/>
          <w:highlight w:val="none"/>
          <w:lang w:eastAsia="zh-CN"/>
        </w:rPr>
        <w:t>政府采购政策价格扣除</w:t>
      </w:r>
      <w:r>
        <w:rPr>
          <w:rFonts w:hint="default" w:ascii="Times New Roman" w:hAnsi="Times New Roman" w:eastAsia="宋体" w:cs="Times New Roman"/>
          <w:color w:val="auto"/>
          <w:sz w:val="24"/>
          <w:szCs w:val="24"/>
          <w:highlight w:val="none"/>
        </w:rPr>
        <w:t>相关文件</w:t>
      </w:r>
      <w:r>
        <w:rPr>
          <w:rFonts w:hint="default" w:ascii="Times New Roman" w:hAnsi="Times New Roman" w:eastAsia="华文中宋" w:cs="Times New Roman"/>
          <w:color w:val="auto"/>
          <w:sz w:val="24"/>
          <w:szCs w:val="24"/>
          <w:highlight w:val="none"/>
        </w:rPr>
        <w:t>……………………………………………</w:t>
      </w:r>
    </w:p>
    <w:p w14:paraId="521C2B30">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华文中宋"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1、</w:t>
      </w:r>
      <w:r>
        <w:rPr>
          <w:rFonts w:hint="default" w:ascii="Times New Roman" w:hAnsi="Times New Roman" w:eastAsia="宋体" w:cs="Times New Roman"/>
          <w:color w:val="333333"/>
          <w:sz w:val="24"/>
          <w:szCs w:val="24"/>
          <w:highlight w:val="none"/>
        </w:rPr>
        <w:t>中小企业声明函（如涉及）</w:t>
      </w:r>
      <w:r>
        <w:rPr>
          <w:rFonts w:hint="default" w:ascii="Times New Roman" w:hAnsi="Times New Roman" w:eastAsia="华文中宋" w:cs="Times New Roman"/>
          <w:color w:val="333333"/>
          <w:sz w:val="24"/>
          <w:szCs w:val="24"/>
          <w:highlight w:val="none"/>
        </w:rPr>
        <w:t>………………………………………………………</w:t>
      </w:r>
    </w:p>
    <w:p w14:paraId="298297FE">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华文中宋"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监狱企业证明文件（如有）</w:t>
      </w:r>
      <w:r>
        <w:rPr>
          <w:rFonts w:hint="default" w:ascii="Times New Roman" w:hAnsi="Times New Roman" w:eastAsia="华文中宋" w:cs="Times New Roman"/>
          <w:color w:val="333333"/>
          <w:sz w:val="24"/>
          <w:szCs w:val="24"/>
          <w:highlight w:val="none"/>
        </w:rPr>
        <w:t>………………………………………………………</w:t>
      </w:r>
    </w:p>
    <w:p w14:paraId="19D2C34E">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华文中宋"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3、</w:t>
      </w:r>
      <w:r>
        <w:rPr>
          <w:rFonts w:hint="default" w:ascii="Times New Roman" w:hAnsi="Times New Roman" w:eastAsia="宋体" w:cs="Times New Roman"/>
          <w:color w:val="333333"/>
          <w:sz w:val="24"/>
          <w:szCs w:val="24"/>
          <w:highlight w:val="none"/>
        </w:rPr>
        <w:t>残疾人福利性单位声明函（如有）</w:t>
      </w:r>
      <w:r>
        <w:rPr>
          <w:rFonts w:hint="default" w:ascii="Times New Roman" w:hAnsi="Times New Roman" w:eastAsia="华文中宋" w:cs="Times New Roman"/>
          <w:color w:val="333333"/>
          <w:sz w:val="24"/>
          <w:szCs w:val="24"/>
          <w:highlight w:val="none"/>
        </w:rPr>
        <w:t>………………………………………………</w:t>
      </w:r>
    </w:p>
    <w:p w14:paraId="76493D6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4、</w:t>
      </w:r>
      <w:r>
        <w:rPr>
          <w:rFonts w:hint="eastAsia" w:ascii="Times New Roman" w:hAnsi="Times New Roman" w:eastAsia="宋体" w:cs="Times New Roman"/>
          <w:color w:val="333333"/>
          <w:sz w:val="24"/>
          <w:szCs w:val="24"/>
          <w:highlight w:val="none"/>
          <w:lang w:val="en-US" w:eastAsia="zh-CN"/>
        </w:rPr>
        <w:t>政府采购绿色采购产品明细表（如有）</w:t>
      </w:r>
      <w:r>
        <w:rPr>
          <w:rFonts w:hint="default" w:ascii="Times New Roman" w:hAnsi="Times New Roman" w:eastAsia="宋体" w:cs="Times New Roman"/>
          <w:color w:val="333333"/>
          <w:sz w:val="24"/>
          <w:szCs w:val="24"/>
          <w:highlight w:val="none"/>
          <w:lang w:val="en-US" w:eastAsia="zh-CN"/>
        </w:rPr>
        <w:t>…………………………………………</w:t>
      </w:r>
    </w:p>
    <w:p w14:paraId="1011ED50">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5、《关于符合本国产品标准的声明函》（如有）</w:t>
      </w:r>
      <w:r>
        <w:rPr>
          <w:rFonts w:hint="default" w:ascii="Times New Roman" w:hAnsi="Times New Roman" w:eastAsia="宋体" w:cs="Times New Roman"/>
          <w:color w:val="333333"/>
          <w:sz w:val="24"/>
          <w:szCs w:val="24"/>
          <w:highlight w:val="none"/>
          <w:lang w:val="en-US" w:eastAsia="zh-CN"/>
        </w:rPr>
        <w:t>……………………………………</w:t>
      </w:r>
    </w:p>
    <w:p w14:paraId="337BEF94">
      <w:pPr>
        <w:snapToGrid w:val="0"/>
        <w:spacing w:before="60" w:after="60"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lang w:val="en-US" w:eastAsia="zh-CN"/>
        </w:rPr>
        <w:t>五</w:t>
      </w:r>
      <w:r>
        <w:rPr>
          <w:rFonts w:hint="default" w:ascii="Times New Roman" w:hAnsi="Times New Roman" w:eastAsia="宋体" w:cs="Times New Roman"/>
          <w:color w:val="auto"/>
          <w:spacing w:val="6"/>
          <w:sz w:val="24"/>
          <w:szCs w:val="24"/>
          <w:highlight w:val="none"/>
        </w:rPr>
        <w:t>）招标文件要求或投标人认为需要提供的其他商务技术材料</w:t>
      </w:r>
      <w:r>
        <w:rPr>
          <w:rFonts w:hint="default" w:ascii="Times New Roman" w:hAnsi="Times New Roman" w:eastAsia="Calibri"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rPr>
        <w:t>文件</w:t>
      </w:r>
      <w:r>
        <w:rPr>
          <w:rFonts w:hint="default" w:ascii="Times New Roman" w:hAnsi="Times New Roman" w:eastAsia="华文中宋" w:cs="Times New Roman"/>
          <w:color w:val="auto"/>
          <w:sz w:val="24"/>
          <w:szCs w:val="24"/>
          <w:highlight w:val="none"/>
        </w:rPr>
        <w:t>………</w:t>
      </w:r>
    </w:p>
    <w:p w14:paraId="235DD281">
      <w:pPr>
        <w:snapToGrid w:val="0"/>
        <w:spacing w:before="60" w:after="60" w:line="360" w:lineRule="exact"/>
        <w:jc w:val="left"/>
        <w:rPr>
          <w:rFonts w:hint="default" w:ascii="Times New Roman" w:hAnsi="Times New Roman" w:eastAsia="微软雅黑" w:cs="Times New Roman"/>
          <w:color w:val="auto"/>
          <w:sz w:val="22"/>
          <w:highlight w:val="none"/>
        </w:rPr>
      </w:pPr>
    </w:p>
    <w:p w14:paraId="211A190C">
      <w:pPr>
        <w:rPr>
          <w:color w:val="auto"/>
          <w:highlight w:val="none"/>
        </w:rPr>
      </w:pPr>
    </w:p>
    <w:p w14:paraId="42AEA0C4">
      <w:pPr>
        <w:pStyle w:val="16"/>
        <w:ind w:left="480"/>
        <w:rPr>
          <w:color w:val="auto"/>
          <w:highlight w:val="none"/>
        </w:rPr>
      </w:pPr>
    </w:p>
    <w:p w14:paraId="01BA7DF7">
      <w:pPr>
        <w:pStyle w:val="16"/>
        <w:ind w:left="480"/>
        <w:rPr>
          <w:color w:val="auto"/>
          <w:highlight w:val="none"/>
        </w:rPr>
      </w:pPr>
    </w:p>
    <w:p w14:paraId="6B5134A2">
      <w:pPr>
        <w:pStyle w:val="16"/>
        <w:ind w:left="480"/>
        <w:rPr>
          <w:color w:val="auto"/>
          <w:highlight w:val="none"/>
        </w:rPr>
      </w:pPr>
    </w:p>
    <w:p w14:paraId="0747589E">
      <w:pPr>
        <w:pStyle w:val="16"/>
        <w:ind w:left="480"/>
        <w:rPr>
          <w:color w:val="auto"/>
          <w:highlight w:val="none"/>
        </w:rPr>
      </w:pPr>
    </w:p>
    <w:p w14:paraId="557BEFA4">
      <w:pPr>
        <w:pStyle w:val="16"/>
        <w:ind w:left="480"/>
        <w:rPr>
          <w:color w:val="auto"/>
          <w:highlight w:val="none"/>
        </w:rPr>
      </w:pPr>
    </w:p>
    <w:p w14:paraId="21E3EE61">
      <w:pPr>
        <w:pStyle w:val="16"/>
        <w:ind w:left="480"/>
        <w:rPr>
          <w:color w:val="auto"/>
          <w:highlight w:val="none"/>
        </w:rPr>
      </w:pPr>
    </w:p>
    <w:p w14:paraId="74357487">
      <w:pPr>
        <w:pStyle w:val="16"/>
        <w:ind w:left="480"/>
        <w:rPr>
          <w:color w:val="auto"/>
          <w:highlight w:val="none"/>
        </w:rPr>
      </w:pPr>
    </w:p>
    <w:p w14:paraId="73CC1514">
      <w:pPr>
        <w:rPr>
          <w:rFonts w:hint="eastAsia"/>
          <w:color w:val="auto"/>
          <w:highlight w:val="none"/>
        </w:rPr>
      </w:pPr>
    </w:p>
    <w:p w14:paraId="5AE281E8">
      <w:pPr>
        <w:rPr>
          <w:rFonts w:hint="eastAsia"/>
          <w:color w:val="auto"/>
          <w:highlight w:val="none"/>
        </w:rPr>
      </w:pPr>
    </w:p>
    <w:p w14:paraId="5E1DBCF9">
      <w:pPr>
        <w:pStyle w:val="16"/>
        <w:ind w:left="480"/>
        <w:rPr>
          <w:rFonts w:hint="eastAsia"/>
          <w:color w:val="auto"/>
          <w:highlight w:val="none"/>
        </w:rPr>
      </w:pPr>
    </w:p>
    <w:p w14:paraId="7AF3BC93">
      <w:pPr>
        <w:pStyle w:val="16"/>
        <w:ind w:left="480"/>
        <w:rPr>
          <w:rFonts w:hint="eastAsia"/>
          <w:color w:val="auto"/>
          <w:highlight w:val="none"/>
        </w:rPr>
      </w:pPr>
    </w:p>
    <w:p w14:paraId="0DDB59AB">
      <w:pPr>
        <w:pStyle w:val="16"/>
        <w:ind w:left="480"/>
        <w:rPr>
          <w:rFonts w:hint="eastAsia"/>
          <w:color w:val="auto"/>
          <w:highlight w:val="none"/>
        </w:rPr>
      </w:pPr>
    </w:p>
    <w:p w14:paraId="545D51A2">
      <w:pPr>
        <w:pStyle w:val="16"/>
        <w:ind w:left="480"/>
        <w:rPr>
          <w:rFonts w:hint="eastAsia"/>
          <w:color w:val="auto"/>
          <w:highlight w:val="none"/>
        </w:rPr>
      </w:pPr>
    </w:p>
    <w:p w14:paraId="56963327">
      <w:pPr>
        <w:rPr>
          <w:rFonts w:hint="eastAsia"/>
          <w:color w:val="auto"/>
          <w:highlight w:val="none"/>
        </w:rPr>
      </w:pPr>
    </w:p>
    <w:p w14:paraId="27DE3F10">
      <w:pPr>
        <w:rPr>
          <w:rFonts w:hint="eastAsia"/>
          <w:color w:val="auto"/>
          <w:highlight w:val="none"/>
        </w:rPr>
      </w:pPr>
    </w:p>
    <w:p w14:paraId="514C6184">
      <w:pPr>
        <w:spacing w:line="360" w:lineRule="auto"/>
        <w:jc w:val="center"/>
        <w:outlineLvl w:val="0"/>
        <w:rPr>
          <w:rFonts w:hint="eastAsia"/>
          <w:b/>
          <w:color w:val="auto"/>
          <w:sz w:val="44"/>
          <w:szCs w:val="44"/>
          <w:highlight w:val="none"/>
        </w:rPr>
      </w:pPr>
      <w:bookmarkStart w:id="13" w:name="_Toc20541"/>
      <w:r>
        <w:rPr>
          <w:rFonts w:hint="eastAsia"/>
          <w:b/>
          <w:color w:val="auto"/>
          <w:sz w:val="44"/>
          <w:szCs w:val="44"/>
          <w:highlight w:val="none"/>
        </w:rPr>
        <w:t>资格证明部分</w:t>
      </w:r>
      <w:bookmarkEnd w:id="13"/>
    </w:p>
    <w:p w14:paraId="4863456A">
      <w:pPr>
        <w:snapToGrid w:val="0"/>
        <w:spacing w:before="60" w:after="60" w:line="360" w:lineRule="exact"/>
        <w:jc w:val="left"/>
        <w:rPr>
          <w:rFonts w:hint="default" w:ascii="Times New Roman" w:hAnsi="Times New Roman" w:eastAsia="微软雅黑" w:cs="Times New Roman"/>
          <w:color w:val="auto"/>
          <w:sz w:val="22"/>
          <w:highlight w:val="none"/>
        </w:rPr>
      </w:pPr>
      <w:r>
        <w:rPr>
          <w:b/>
          <w:color w:val="auto"/>
          <w:sz w:val="44"/>
          <w:szCs w:val="44"/>
          <w:highlight w:val="none"/>
        </w:rPr>
        <w:br w:type="page"/>
      </w:r>
    </w:p>
    <w:p w14:paraId="12EC6F45">
      <w:pPr>
        <w:snapToGrid w:val="0"/>
        <w:spacing w:before="60" w:after="60" w:line="360" w:lineRule="exact"/>
        <w:jc w:val="left"/>
        <w:rPr>
          <w:rFonts w:hint="default" w:ascii="Times New Roman" w:hAnsi="Times New Roman" w:eastAsia="微软雅黑" w:cs="Times New Roman"/>
          <w:color w:val="auto"/>
          <w:sz w:val="22"/>
          <w:highlight w:val="none"/>
        </w:rPr>
      </w:pPr>
    </w:p>
    <w:p w14:paraId="717018E1">
      <w:pPr>
        <w:pStyle w:val="3"/>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一）具有独立承担民事责任的能力；具有良好的商业信誉和健全的财务会计制度；具有依法缴纳税收的良好记录；具有依法缴纳社会保障资金的良好记录；具有履行合同所必需的设备和专业技术能力；参加政府采购活动前三年内，在经营活动中没有重大违法记录；</w:t>
      </w:r>
    </w:p>
    <w:p w14:paraId="74775603">
      <w:pPr>
        <w:snapToGrid w:val="0"/>
        <w:spacing w:before="60" w:after="60" w:line="4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以上内容提供《供应商信用承诺书》</w:t>
      </w:r>
    </w:p>
    <w:p w14:paraId="212BAF0C">
      <w:pPr>
        <w:snapToGrid w:val="0"/>
        <w:spacing w:before="60" w:after="120"/>
        <w:rPr>
          <w:rFonts w:hint="default" w:ascii="Times New Roman" w:hAnsi="Times New Roman" w:eastAsia="宋体" w:cs="Times New Roman"/>
          <w:color w:val="auto"/>
          <w:sz w:val="24"/>
          <w:szCs w:val="24"/>
          <w:highlight w:val="none"/>
        </w:rPr>
      </w:pPr>
    </w:p>
    <w:p w14:paraId="23E71FE0">
      <w:pPr>
        <w:snapToGrid w:val="0"/>
        <w:spacing w:before="60" w:after="12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供应商信用承诺书格式</w:t>
      </w:r>
    </w:p>
    <w:p w14:paraId="74BE96E9">
      <w:pPr>
        <w:snapToGrid w:val="0"/>
        <w:spacing w:before="60" w:after="120"/>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供应商信用承诺书</w:t>
      </w:r>
    </w:p>
    <w:p w14:paraId="4EB04DDF">
      <w:pPr>
        <w:snapToGrid w:val="0"/>
        <w:spacing w:before="60" w:after="60"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采购人名称：</w:t>
      </w:r>
    </w:p>
    <w:p w14:paraId="5CA84D22">
      <w:pPr>
        <w:snapToGrid w:val="0"/>
        <w:spacing w:before="60" w:after="60"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p w14:paraId="3FA40B7C">
      <w:pPr>
        <w:snapToGrid w:val="0"/>
        <w:spacing w:before="60" w:after="60"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项目编号：</w:t>
      </w:r>
    </w:p>
    <w:p w14:paraId="1FA73685">
      <w:pPr>
        <w:widowControl/>
        <w:snapToGrid w:val="0"/>
        <w:spacing w:line="360" w:lineRule="auto"/>
        <w:ind w:firstLine="480" w:firstLineChars="200"/>
        <w:rPr>
          <w:rFonts w:hint="default" w:ascii="Times New Roman" w:hAnsi="Times New Roman" w:eastAsia="宋体" w:cs="Times New Roman"/>
          <w:color w:val="auto"/>
          <w:sz w:val="24"/>
          <w:highlight w:val="none"/>
        </w:rPr>
      </w:pPr>
    </w:p>
    <w:p w14:paraId="135970BC">
      <w:pPr>
        <w:snapToGrid w:val="0"/>
        <w:spacing w:line="480" w:lineRule="exact"/>
        <w:ind w:firstLine="480" w:firstLineChars="200"/>
        <w:rPr>
          <w:rFonts w:hint="default" w:ascii="Times New Roman" w:hAnsi="Times New Roman" w:eastAsia="Calibri" w:cs="Times New Roman"/>
          <w:color w:val="auto"/>
          <w:sz w:val="24"/>
          <w:szCs w:val="24"/>
          <w:highlight w:val="none"/>
        </w:rPr>
      </w:pPr>
      <w:r>
        <w:rPr>
          <w:rFonts w:hint="default" w:ascii="Times New Roman" w:hAnsi="Times New Roman" w:eastAsia="宋体" w:cs="Times New Roman"/>
          <w:color w:val="auto"/>
          <w:sz w:val="24"/>
          <w:szCs w:val="24"/>
          <w:highlight w:val="none"/>
        </w:rPr>
        <w:t>为维护政府采购市场秩序，遵循公开透明、公平竞争、公正原则和诚实信用原则</w:t>
      </w:r>
      <w:r>
        <w:rPr>
          <w:rFonts w:hint="default" w:ascii="Times New Roman" w:hAnsi="Times New Roman" w:eastAsia="Calibri" w:cs="Times New Roman"/>
          <w:color w:val="auto"/>
          <w:sz w:val="24"/>
          <w:szCs w:val="24"/>
          <w:highlight w:val="none"/>
        </w:rPr>
        <w:t>,</w:t>
      </w:r>
      <w:r>
        <w:rPr>
          <w:rFonts w:hint="default" w:ascii="Times New Roman" w:hAnsi="Times New Roman" w:eastAsia="宋体" w:cs="Times New Roman"/>
          <w:color w:val="auto"/>
          <w:sz w:val="24"/>
          <w:szCs w:val="24"/>
          <w:highlight w:val="none"/>
        </w:rPr>
        <w:t>本单位</w:t>
      </w:r>
      <w:r>
        <w:rPr>
          <w:rFonts w:hint="default" w:ascii="Times New Roman" w:hAnsi="Times New Roman" w:eastAsia="Calibri" w:cs="Times New Roman"/>
          <w:color w:val="auto"/>
          <w:sz w:val="24"/>
          <w:szCs w:val="24"/>
          <w:highlight w:val="none"/>
        </w:rPr>
        <w:t>/</w:t>
      </w:r>
      <w:r>
        <w:rPr>
          <w:rFonts w:hint="default" w:ascii="Times New Roman" w:hAnsi="Times New Roman" w:eastAsia="宋体" w:cs="Times New Roman"/>
          <w:color w:val="auto"/>
          <w:sz w:val="24"/>
          <w:szCs w:val="24"/>
          <w:highlight w:val="none"/>
        </w:rPr>
        <w:t>个人郑重承诺</w:t>
      </w:r>
      <w:r>
        <w:rPr>
          <w:rFonts w:hint="default" w:ascii="Times New Roman" w:hAnsi="Times New Roman" w:eastAsia="Times New Roman" w:cs="Times New Roman"/>
          <w:color w:val="auto"/>
          <w:sz w:val="24"/>
          <w:szCs w:val="24"/>
          <w:highlight w:val="none"/>
        </w:rPr>
        <w:t>满足《中华人民共和国政府采购法》第二十二条规定</w:t>
      </w:r>
      <w:r>
        <w:rPr>
          <w:rFonts w:hint="default" w:ascii="Times New Roman" w:hAnsi="Times New Roman" w:eastAsia="Calibri" w:cs="Times New Roman"/>
          <w:color w:val="auto"/>
          <w:sz w:val="24"/>
          <w:szCs w:val="24"/>
          <w:highlight w:val="none"/>
        </w:rPr>
        <w:t>:</w:t>
      </w:r>
    </w:p>
    <w:p w14:paraId="6946AA38">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承诺本单位/本人严格遵守国家法律、法规和规章，全面履行应尽的责任和义务，全面做到履约守信；</w:t>
      </w:r>
    </w:p>
    <w:p w14:paraId="4AB15EE8">
      <w:pPr>
        <w:widowControl/>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承诺本单位/本人具备独立承担民事责任的能力（具有有效的营业执照，或事业单位法人证书，或自然人身份证明，或其他非企业组织证明独立承担民事责任能力的文件）；</w:t>
      </w:r>
    </w:p>
    <w:p w14:paraId="1B2C967C">
      <w:pPr>
        <w:widowControl/>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本单位/本人基本信息如下：</w:t>
      </w:r>
    </w:p>
    <w:p w14:paraId="513D05BB">
      <w:pPr>
        <w:snapToGrid w:val="0"/>
        <w:spacing w:line="480" w:lineRule="exact"/>
        <w:ind w:firstLine="480" w:firstLineChars="2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名称为：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，统一社会信用代码为：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；法定代表人（负责人）为：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 xml:space="preserve"> ；营业期限为: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；基本开户银行为：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；账号为：</w:t>
      </w:r>
      <w:r>
        <w:rPr>
          <w:rFonts w:hint="default" w:ascii="Times New Roman" w:hAnsi="Times New Roman" w:eastAsia="宋体" w:cs="Times New Roman"/>
          <w:color w:val="auto"/>
          <w:sz w:val="24"/>
          <w:highlight w:val="none"/>
          <w:u w:val="single"/>
        </w:rPr>
        <w:t xml:space="preserve">               </w:t>
      </w:r>
    </w:p>
    <w:p w14:paraId="0651529B">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Times New Roman" w:cs="Times New Roman"/>
          <w:color w:val="auto"/>
          <w:sz w:val="24"/>
          <w:szCs w:val="24"/>
          <w:highlight w:val="none"/>
        </w:rPr>
        <w:t>. 承诺本单位/本人具有良好的商业信誉和健全的财务会计制度（具有</w:t>
      </w:r>
      <w:r>
        <w:rPr>
          <w:rFonts w:hint="default" w:ascii="Times New Roman" w:hAnsi="Times New Roman" w:eastAsia="宋体" w:cs="Times New Roman"/>
          <w:color w:val="auto"/>
          <w:sz w:val="24"/>
          <w:szCs w:val="24"/>
          <w:highlight w:val="none"/>
        </w:rPr>
        <w:t>投标截止日前</w:t>
      </w:r>
      <w:r>
        <w:rPr>
          <w:rFonts w:hint="default" w:ascii="Times New Roman" w:hAnsi="Times New Roman" w:eastAsia="Calibri" w:cs="Times New Roman"/>
          <w:color w:val="auto"/>
          <w:sz w:val="24"/>
          <w:szCs w:val="24"/>
          <w:highlight w:val="none"/>
        </w:rPr>
        <w:t>12</w:t>
      </w:r>
      <w:r>
        <w:rPr>
          <w:rFonts w:hint="default" w:ascii="Times New Roman" w:hAnsi="Times New Roman" w:eastAsia="宋体" w:cs="Times New Roman"/>
          <w:color w:val="auto"/>
          <w:sz w:val="24"/>
          <w:szCs w:val="24"/>
          <w:highlight w:val="none"/>
        </w:rPr>
        <w:t>个月内会计师事务所出具的审计报告，或基本开户银行出具的资信证明，或财政部门认可的政府采购专业担保机构出具的担保函）；</w:t>
      </w:r>
    </w:p>
    <w:p w14:paraId="78DAB948">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4</w:t>
      </w:r>
      <w:r>
        <w:rPr>
          <w:rFonts w:hint="default" w:ascii="Times New Roman" w:hAnsi="Times New Roman" w:eastAsia="Times New Roman" w:cs="Times New Roman"/>
          <w:color w:val="auto"/>
          <w:sz w:val="24"/>
          <w:szCs w:val="24"/>
          <w:highlight w:val="none"/>
        </w:rPr>
        <w:t>. 承诺本单位/本人具有履行合同所必需的设备和专业技术能力；</w:t>
      </w:r>
    </w:p>
    <w:p w14:paraId="7A02E91A">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Times New Roman" w:cs="Times New Roman"/>
          <w:color w:val="auto"/>
          <w:sz w:val="24"/>
          <w:szCs w:val="24"/>
          <w:highlight w:val="none"/>
        </w:rPr>
        <w:t>. 承诺本单位/本人有依法缴纳税收和社会保障资金的良好记录（近一年内缴纳任意一项税种的纳税记录和任意一项社会保险的社保缴纳凭据、专用收据或社会保险缴纳清单或银行代收的凭据，或能证明已缴纳税收和社会保险的其他材料）；</w:t>
      </w:r>
    </w:p>
    <w:p w14:paraId="5CB584A7">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r>
        <w:rPr>
          <w:rFonts w:hint="default" w:ascii="Times New Roman" w:hAnsi="Times New Roman" w:eastAsia="Times New Roman" w:cs="Times New Roman"/>
          <w:color w:val="auto"/>
          <w:sz w:val="24"/>
          <w:szCs w:val="24"/>
          <w:highlight w:val="none"/>
        </w:rPr>
        <w:t>. 承诺本单位/本人参加政府采购活动前三年内，在经营活动中没有因违法经营受到刑事处罚或者责令停产停业、吊销许可证或者执照、较大数额罚款等行政处罚；在</w:t>
      </w:r>
      <w:r>
        <w:rPr>
          <w:rFonts w:hint="default" w:ascii="Times New Roman" w:hAnsi="Times New Roman" w:eastAsia="宋体" w:cs="Times New Roman"/>
          <w:color w:val="auto"/>
          <w:sz w:val="24"/>
          <w:szCs w:val="24"/>
          <w:highlight w:val="none"/>
        </w:rPr>
        <w:t>投标前查询了在信用中国网中的信用信息，本公司</w:t>
      </w:r>
      <w:r>
        <w:rPr>
          <w:rFonts w:hint="default" w:ascii="Times New Roman" w:hAnsi="Times New Roman" w:eastAsia="Calibri" w:cs="Times New Roman"/>
          <w:color w:val="auto"/>
          <w:sz w:val="24"/>
          <w:szCs w:val="24"/>
          <w:highlight w:val="none"/>
        </w:rPr>
        <w:t>/</w:t>
      </w:r>
      <w:r>
        <w:rPr>
          <w:rFonts w:hint="default" w:ascii="Times New Roman" w:hAnsi="Times New Roman" w:eastAsia="宋体" w:cs="Times New Roman"/>
          <w:color w:val="auto"/>
          <w:sz w:val="24"/>
          <w:szCs w:val="24"/>
          <w:highlight w:val="none"/>
        </w:rPr>
        <w:t>本人未列入失信被执行人、</w:t>
      </w:r>
      <w:r>
        <w:rPr>
          <w:rFonts w:hint="eastAsia" w:ascii="Times New Roman" w:hAnsi="Times New Roman" w:eastAsia="宋体" w:cs="Times New Roman"/>
          <w:color w:val="auto"/>
          <w:sz w:val="24"/>
          <w:szCs w:val="24"/>
          <w:highlight w:val="none"/>
          <w:lang w:eastAsia="zh-CN"/>
        </w:rPr>
        <w:t>重大税收违法失信主体</w:t>
      </w:r>
      <w:r>
        <w:rPr>
          <w:rFonts w:hint="default" w:ascii="Times New Roman" w:hAnsi="Times New Roman" w:eastAsia="宋体" w:cs="Times New Roman"/>
          <w:color w:val="auto"/>
          <w:sz w:val="24"/>
          <w:szCs w:val="24"/>
          <w:highlight w:val="none"/>
        </w:rPr>
        <w:t>；查询了在中国政府采购网中的政府采购严重违法失信行为信息，本公司未列入政府采购严重违法失信行为记录名单；</w:t>
      </w:r>
    </w:p>
    <w:p w14:paraId="3AAEDE66">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7</w:t>
      </w:r>
      <w:r>
        <w:rPr>
          <w:rFonts w:hint="default" w:ascii="Times New Roman" w:hAnsi="Times New Roman" w:eastAsia="Times New Roman" w:cs="Times New Roman"/>
          <w:color w:val="auto"/>
          <w:sz w:val="24"/>
          <w:szCs w:val="24"/>
          <w:highlight w:val="none"/>
        </w:rPr>
        <w:t>. 承诺本单位/本人提供的所有响应资料均合法、真实、有效,无任何伪造、篡改、虚假成份,并对所提供资料的真实性负责；</w:t>
      </w:r>
    </w:p>
    <w:p w14:paraId="6196BFD3">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w:t>
      </w:r>
    </w:p>
    <w:p w14:paraId="6F49FA82">
      <w:pPr>
        <w:snapToGrid w:val="0"/>
        <w:spacing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rPr>
        <w:t>以上承诺如有虚假或隐瞒，我方愿意承担一切后果，并不再寻求任何旨在减轻或免除法律责任的辩解。</w:t>
      </w:r>
    </w:p>
    <w:p w14:paraId="041C4CE9">
      <w:pPr>
        <w:snapToGrid w:val="0"/>
        <w:spacing w:before="60" w:after="60" w:line="460" w:lineRule="exact"/>
        <w:ind w:firstLine="5040" w:firstLineChars="2100"/>
        <w:rPr>
          <w:rFonts w:hint="default" w:ascii="Times New Roman" w:hAnsi="Times New Roman" w:eastAsia="宋体" w:cs="Times New Roman"/>
          <w:color w:val="auto"/>
          <w:sz w:val="24"/>
          <w:szCs w:val="24"/>
          <w:highlight w:val="none"/>
        </w:rPr>
      </w:pPr>
    </w:p>
    <w:p w14:paraId="4CBF278A">
      <w:pPr>
        <w:snapToGrid w:val="0"/>
        <w:spacing w:before="60" w:after="60" w:line="460" w:lineRule="exact"/>
        <w:ind w:firstLine="5040" w:firstLineChars="2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（公章）</w:t>
      </w:r>
    </w:p>
    <w:p w14:paraId="5C5CA901">
      <w:pPr>
        <w:snapToGrid w:val="0"/>
        <w:spacing w:before="60" w:after="120"/>
        <w:ind w:firstLine="5040" w:firstLineChars="2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期：</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日</w:t>
      </w:r>
    </w:p>
    <w:p w14:paraId="69CC7D54">
      <w:pPr>
        <w:snapToGrid w:val="0"/>
        <w:spacing w:before="60" w:after="120"/>
        <w:jc w:val="left"/>
        <w:rPr>
          <w:rFonts w:hint="default" w:ascii="Times New Roman" w:hAnsi="Times New Roman" w:eastAsia="宋体" w:cs="Times New Roman"/>
          <w:color w:val="auto"/>
          <w:sz w:val="24"/>
          <w:szCs w:val="24"/>
          <w:highlight w:val="none"/>
        </w:rPr>
      </w:pPr>
    </w:p>
    <w:p w14:paraId="64F0E3EB">
      <w:pPr>
        <w:snapToGrid w:val="0"/>
        <w:spacing w:before="60" w:after="60" w:line="460" w:lineRule="exact"/>
        <w:rPr>
          <w:rFonts w:hint="default" w:ascii="Times New Roman" w:hAnsi="Times New Roman" w:eastAsia="宋体" w:cs="Times New Roman"/>
          <w:color w:val="auto"/>
          <w:sz w:val="24"/>
          <w:szCs w:val="24"/>
          <w:highlight w:val="none"/>
        </w:rPr>
      </w:pPr>
    </w:p>
    <w:p w14:paraId="677D1E45">
      <w:pPr>
        <w:snapToGrid w:val="0"/>
        <w:spacing w:before="60" w:after="120"/>
        <w:jc w:val="left"/>
        <w:rPr>
          <w:rFonts w:hint="default" w:ascii="Times New Roman" w:hAnsi="Times New Roman" w:eastAsia="宋体" w:cs="Times New Roman"/>
          <w:color w:val="auto"/>
          <w:sz w:val="24"/>
          <w:szCs w:val="24"/>
          <w:highlight w:val="none"/>
        </w:rPr>
      </w:pPr>
    </w:p>
    <w:p w14:paraId="5E8DC118">
      <w:pPr>
        <w:pStyle w:val="3"/>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二</w:t>
      </w:r>
      <w:r>
        <w:rPr>
          <w:rFonts w:hint="default" w:ascii="Times New Roman" w:hAnsi="Times New Roman" w:cs="Times New Roman"/>
          <w:color w:val="auto"/>
          <w:sz w:val="24"/>
          <w:szCs w:val="24"/>
          <w:highlight w:val="none"/>
        </w:rPr>
        <w:t>）落实政府采购政策需满足的资格要求</w:t>
      </w:r>
    </w:p>
    <w:p w14:paraId="4F8CB989">
      <w:pPr>
        <w:snapToGrid w:val="0"/>
        <w:spacing w:before="60" w:after="60" w:line="460" w:lineRule="exact"/>
        <w:ind w:firstLine="480" w:firstLineChars="200"/>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z w:val="24"/>
          <w:szCs w:val="24"/>
          <w:highlight w:val="none"/>
        </w:rPr>
        <w:t>按照“第二部分 投标人须知前附表”序号1</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“落实政府采购政策需满足的资格要求”规定提交相关证明文件；如不涉及，可不提供。</w:t>
      </w:r>
    </w:p>
    <w:p w14:paraId="7723991B">
      <w:pPr>
        <w:bidi w:val="0"/>
        <w:rPr>
          <w:rFonts w:hint="default" w:ascii="Times New Roman" w:hAnsi="Times New Roman" w:cs="Times New Roman"/>
          <w:color w:val="auto"/>
          <w:highlight w:val="none"/>
        </w:rPr>
      </w:pPr>
    </w:p>
    <w:p w14:paraId="583C9C0F">
      <w:pPr>
        <w:bidi w:val="0"/>
        <w:rPr>
          <w:rFonts w:hint="default" w:ascii="Times New Roman" w:hAnsi="Times New Roman" w:cs="Times New Roman"/>
          <w:color w:val="auto"/>
          <w:highlight w:val="none"/>
        </w:rPr>
      </w:pPr>
    </w:p>
    <w:p w14:paraId="338DD796">
      <w:pPr>
        <w:pStyle w:val="3"/>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三</w:t>
      </w:r>
      <w:r>
        <w:rPr>
          <w:rFonts w:hint="default" w:ascii="Times New Roman" w:hAnsi="Times New Roman" w:cs="Times New Roman"/>
          <w:color w:val="auto"/>
          <w:sz w:val="24"/>
          <w:szCs w:val="24"/>
          <w:highlight w:val="none"/>
        </w:rPr>
        <w:t>）本项目</w:t>
      </w:r>
      <w:r>
        <w:rPr>
          <w:rFonts w:hint="default" w:ascii="Times New Roman" w:hAnsi="Times New Roman" w:cs="Times New Roman"/>
          <w:color w:val="auto"/>
          <w:sz w:val="24"/>
          <w:szCs w:val="24"/>
          <w:highlight w:val="none"/>
          <w:lang w:eastAsia="zh-CN"/>
        </w:rPr>
        <w:t>特定资格要求</w:t>
      </w:r>
    </w:p>
    <w:p w14:paraId="52903876">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按照“第二部分 投标人须知前附表”序号1</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“特定资格要求”规定提交相关证明文件扫描件；如不涉及，可不提供。</w:t>
      </w:r>
    </w:p>
    <w:p w14:paraId="3F66B33C">
      <w:pPr>
        <w:pStyle w:val="7"/>
        <w:rPr>
          <w:rFonts w:hint="default" w:ascii="Times New Roman" w:hAnsi="Times New Roman" w:cs="Times New Roman"/>
          <w:color w:val="auto"/>
          <w:highlight w:val="none"/>
        </w:rPr>
      </w:pPr>
    </w:p>
    <w:p w14:paraId="7F4E7B0A">
      <w:pPr>
        <w:pStyle w:val="3"/>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四</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供应商控股及关联企业信息表</w:t>
      </w:r>
    </w:p>
    <w:p w14:paraId="42910767">
      <w:pPr>
        <w:pStyle w:val="7"/>
        <w:rPr>
          <w:rFonts w:hint="default" w:ascii="Times New Roman" w:hAnsi="Times New Roman" w:eastAsia="宋体" w:cs="Times New Roman"/>
          <w:color w:val="auto"/>
          <w:sz w:val="24"/>
          <w:szCs w:val="24"/>
          <w:highlight w:val="none"/>
        </w:rPr>
      </w:pPr>
    </w:p>
    <w:p w14:paraId="16F9EFA6">
      <w:pPr>
        <w:snapToGrid w:val="0"/>
        <w:spacing w:line="360" w:lineRule="auto"/>
        <w:ind w:left="586" w:hanging="586" w:hangingChars="200"/>
        <w:jc w:val="center"/>
        <w:rPr>
          <w:rFonts w:hint="default" w:ascii="Times New Roman" w:hAnsi="Times New Roman" w:cs="Times New Roman"/>
          <w:b/>
          <w:bCs/>
          <w:color w:val="auto"/>
          <w:spacing w:val="6"/>
          <w:sz w:val="28"/>
          <w:szCs w:val="28"/>
          <w:highlight w:val="none"/>
        </w:rPr>
      </w:pPr>
      <w:r>
        <w:rPr>
          <w:rFonts w:hint="default" w:ascii="Times New Roman" w:hAnsi="Times New Roman" w:cs="Times New Roman"/>
          <w:b/>
          <w:bCs/>
          <w:color w:val="auto"/>
          <w:spacing w:val="6"/>
          <w:sz w:val="28"/>
          <w:szCs w:val="28"/>
          <w:highlight w:val="none"/>
        </w:rPr>
        <w:t>供应商控股及关联企业信息表（格式）</w:t>
      </w:r>
    </w:p>
    <w:p w14:paraId="6B090FB4">
      <w:pPr>
        <w:rPr>
          <w:rFonts w:hint="default" w:ascii="Times New Roman" w:hAnsi="Times New Roman" w:cs="Times New Roman"/>
          <w:color w:val="auto"/>
          <w:sz w:val="24"/>
          <w:szCs w:val="24"/>
          <w:highlight w:val="none"/>
        </w:rPr>
      </w:pPr>
    </w:p>
    <w:tbl>
      <w:tblPr>
        <w:tblStyle w:val="17"/>
        <w:tblW w:w="9243"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3814"/>
        <w:gridCol w:w="5429"/>
      </w:tblGrid>
      <w:tr w14:paraId="06BF11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3814" w:type="dxa"/>
            <w:noWrap w:val="0"/>
            <w:vAlign w:val="center"/>
          </w:tcPr>
          <w:p w14:paraId="560D8AD1">
            <w:pPr>
              <w:jc w:val="center"/>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pacing w:val="6"/>
                <w:sz w:val="24"/>
                <w:szCs w:val="24"/>
                <w:highlight w:val="none"/>
              </w:rPr>
              <w:t>供应商名称</w:t>
            </w:r>
          </w:p>
        </w:tc>
        <w:tc>
          <w:tcPr>
            <w:tcW w:w="5429" w:type="dxa"/>
            <w:noWrap w:val="0"/>
            <w:vAlign w:val="center"/>
          </w:tcPr>
          <w:p w14:paraId="0FEA6348">
            <w:pPr>
              <w:spacing w:line="360" w:lineRule="auto"/>
              <w:ind w:firstLine="504" w:firstLineChars="200"/>
              <w:rPr>
                <w:rFonts w:hint="default" w:ascii="Times New Roman" w:hAnsi="Times New Roman" w:cs="Times New Roman"/>
                <w:color w:val="auto"/>
                <w:spacing w:val="6"/>
                <w:sz w:val="24"/>
                <w:szCs w:val="24"/>
                <w:highlight w:val="none"/>
              </w:rPr>
            </w:pPr>
          </w:p>
        </w:tc>
      </w:tr>
      <w:tr w14:paraId="3259EF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3814" w:type="dxa"/>
            <w:noWrap w:val="0"/>
            <w:vAlign w:val="center"/>
          </w:tcPr>
          <w:p w14:paraId="54BB2598">
            <w:pPr>
              <w:jc w:val="center"/>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pacing w:val="6"/>
                <w:sz w:val="24"/>
                <w:szCs w:val="24"/>
                <w:highlight w:val="none"/>
              </w:rPr>
              <w:t>股东名称及股东出资</w:t>
            </w:r>
            <w:r>
              <w:rPr>
                <w:rFonts w:hint="default" w:ascii="Times New Roman" w:hAnsi="Times New Roman" w:cs="Times New Roman"/>
                <w:color w:val="auto"/>
                <w:spacing w:val="6"/>
                <w:sz w:val="24"/>
                <w:szCs w:val="24"/>
                <w:highlight w:val="none"/>
                <w:lang w:val="en-US" w:eastAsia="zh-CN"/>
              </w:rPr>
              <w:t>比例</w:t>
            </w:r>
            <w:r>
              <w:rPr>
                <w:rFonts w:hint="default" w:ascii="Times New Roman" w:hAnsi="Times New Roman" w:cs="Times New Roman"/>
                <w:color w:val="auto"/>
                <w:spacing w:val="6"/>
                <w:sz w:val="24"/>
                <w:szCs w:val="24"/>
                <w:highlight w:val="none"/>
              </w:rPr>
              <w:t>信息</w:t>
            </w:r>
          </w:p>
        </w:tc>
        <w:tc>
          <w:tcPr>
            <w:tcW w:w="5429" w:type="dxa"/>
            <w:noWrap w:val="0"/>
            <w:vAlign w:val="center"/>
          </w:tcPr>
          <w:p w14:paraId="51B4EB79">
            <w:pPr>
              <w:spacing w:line="360" w:lineRule="auto"/>
              <w:ind w:firstLine="504" w:firstLineChars="200"/>
              <w:rPr>
                <w:rFonts w:hint="default" w:ascii="Times New Roman" w:hAnsi="Times New Roman" w:cs="Times New Roman"/>
                <w:color w:val="auto"/>
                <w:spacing w:val="6"/>
                <w:sz w:val="24"/>
                <w:szCs w:val="24"/>
                <w:highlight w:val="none"/>
              </w:rPr>
            </w:pPr>
          </w:p>
        </w:tc>
      </w:tr>
      <w:tr w14:paraId="3BA0FC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24" w:hRule="atLeast"/>
        </w:trPr>
        <w:tc>
          <w:tcPr>
            <w:tcW w:w="3814" w:type="dxa"/>
            <w:noWrap w:val="0"/>
            <w:vAlign w:val="center"/>
          </w:tcPr>
          <w:p w14:paraId="1B87E492">
            <w:pPr>
              <w:jc w:val="center"/>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pacing w:val="6"/>
                <w:sz w:val="24"/>
                <w:szCs w:val="24"/>
                <w:highlight w:val="none"/>
              </w:rPr>
              <w:t>供应商关联企业情况（包括但不限于与供应商法定代表人（负责人）为同一人或者存在</w:t>
            </w:r>
            <w:r>
              <w:rPr>
                <w:rFonts w:hint="default" w:ascii="Times New Roman" w:hAnsi="Times New Roman" w:cs="Times New Roman"/>
                <w:color w:val="auto"/>
                <w:spacing w:val="6"/>
                <w:sz w:val="24"/>
                <w:szCs w:val="24"/>
                <w:highlight w:val="none"/>
                <w:lang w:val="en-US" w:eastAsia="zh-CN"/>
              </w:rPr>
              <w:t>直接</w:t>
            </w:r>
            <w:r>
              <w:rPr>
                <w:rFonts w:hint="default" w:ascii="Times New Roman" w:hAnsi="Times New Roman" w:cs="Times New Roman"/>
                <w:color w:val="auto"/>
                <w:spacing w:val="6"/>
                <w:sz w:val="24"/>
                <w:szCs w:val="24"/>
                <w:highlight w:val="none"/>
              </w:rPr>
              <w:t>控股、</w:t>
            </w:r>
            <w:r>
              <w:rPr>
                <w:rFonts w:hint="default" w:ascii="Times New Roman" w:hAnsi="Times New Roman" w:cs="Times New Roman"/>
                <w:color w:val="auto"/>
                <w:spacing w:val="6"/>
                <w:sz w:val="24"/>
                <w:szCs w:val="24"/>
                <w:highlight w:val="none"/>
                <w:lang w:val="en-US" w:eastAsia="zh-CN"/>
              </w:rPr>
              <w:t>管理</w:t>
            </w:r>
            <w:r>
              <w:rPr>
                <w:rFonts w:hint="default" w:ascii="Times New Roman" w:hAnsi="Times New Roman" w:cs="Times New Roman"/>
                <w:color w:val="auto"/>
                <w:spacing w:val="6"/>
                <w:sz w:val="24"/>
                <w:szCs w:val="24"/>
                <w:highlight w:val="none"/>
              </w:rPr>
              <w:t>关系的不同单位）</w:t>
            </w:r>
          </w:p>
        </w:tc>
        <w:tc>
          <w:tcPr>
            <w:tcW w:w="5429" w:type="dxa"/>
            <w:noWrap w:val="0"/>
            <w:vAlign w:val="center"/>
          </w:tcPr>
          <w:p w14:paraId="3DC82A73">
            <w:pPr>
              <w:spacing w:line="360" w:lineRule="auto"/>
              <w:ind w:firstLine="504" w:firstLineChars="200"/>
              <w:rPr>
                <w:rFonts w:hint="default" w:ascii="Times New Roman" w:hAnsi="Times New Roman" w:cs="Times New Roman"/>
                <w:color w:val="auto"/>
                <w:spacing w:val="6"/>
                <w:sz w:val="24"/>
                <w:szCs w:val="24"/>
                <w:highlight w:val="none"/>
              </w:rPr>
            </w:pPr>
          </w:p>
        </w:tc>
      </w:tr>
      <w:tr w14:paraId="4139AE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3814" w:type="dxa"/>
            <w:noWrap w:val="0"/>
            <w:vAlign w:val="center"/>
          </w:tcPr>
          <w:p w14:paraId="44213134">
            <w:pPr>
              <w:jc w:val="center"/>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pacing w:val="6"/>
                <w:sz w:val="24"/>
                <w:szCs w:val="24"/>
                <w:highlight w:val="none"/>
              </w:rPr>
              <w:t>备注</w:t>
            </w:r>
          </w:p>
        </w:tc>
        <w:tc>
          <w:tcPr>
            <w:tcW w:w="5429" w:type="dxa"/>
            <w:noWrap w:val="0"/>
            <w:vAlign w:val="center"/>
          </w:tcPr>
          <w:p w14:paraId="5BE8C721">
            <w:pPr>
              <w:spacing w:line="360" w:lineRule="auto"/>
              <w:rPr>
                <w:rFonts w:hint="default" w:ascii="Times New Roman" w:hAnsi="Times New Roman" w:eastAsia="宋体" w:cs="Times New Roman"/>
                <w:color w:val="auto"/>
                <w:spacing w:val="6"/>
                <w:sz w:val="24"/>
                <w:szCs w:val="24"/>
                <w:highlight w:val="none"/>
                <w:lang w:val="en-US" w:eastAsia="zh-CN"/>
              </w:rPr>
            </w:pPr>
            <w:r>
              <w:rPr>
                <w:rFonts w:hint="default" w:ascii="Times New Roman" w:hAnsi="Times New Roman" w:cs="Times New Roman"/>
                <w:bCs/>
                <w:color w:val="auto"/>
                <w:sz w:val="24"/>
                <w:szCs w:val="24"/>
                <w:highlight w:val="none"/>
                <w:lang w:val="en-US" w:eastAsia="zh-CN"/>
              </w:rPr>
              <w:t>我公司承诺</w:t>
            </w:r>
            <w:r>
              <w:rPr>
                <w:rFonts w:hint="eastAsia" w:ascii="Times New Roman" w:hAnsi="Times New Roman"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lang w:val="en-US" w:eastAsia="zh-CN"/>
              </w:rPr>
              <w:t>不存在</w:t>
            </w:r>
            <w:r>
              <w:rPr>
                <w:rFonts w:hint="eastAsia" w:ascii="Times New Roman" w:hAnsi="Times New Roman"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rPr>
              <w:t>单位负责人为同一人或者存在直接控股、管理关系的不同投标人同时参加本项目</w:t>
            </w:r>
            <w:r>
              <w:rPr>
                <w:rFonts w:hint="default" w:ascii="Times New Roman" w:hAnsi="Times New Roman" w:cs="Times New Roman"/>
                <w:bCs/>
                <w:color w:val="auto"/>
                <w:sz w:val="24"/>
                <w:szCs w:val="24"/>
                <w:highlight w:val="none"/>
                <w:lang w:val="en-US" w:eastAsia="zh-CN"/>
              </w:rPr>
              <w:t>同一</w:t>
            </w:r>
            <w:r>
              <w:rPr>
                <w:rFonts w:hint="eastAsia" w:ascii="Times New Roman" w:hAnsi="Times New Roman" w:cs="Times New Roman"/>
                <w:bCs/>
                <w:color w:val="auto"/>
                <w:sz w:val="24"/>
                <w:szCs w:val="24"/>
                <w:highlight w:val="none"/>
                <w:lang w:val="en-US" w:eastAsia="zh-CN"/>
              </w:rPr>
              <w:t>合同项下政府</w:t>
            </w:r>
            <w:r>
              <w:rPr>
                <w:rFonts w:hint="default"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lang w:val="en-US" w:eastAsia="zh-CN"/>
              </w:rPr>
              <w:t>的情形。</w:t>
            </w:r>
            <w:r>
              <w:rPr>
                <w:rFonts w:hint="default" w:ascii="Times New Roman" w:hAnsi="Times New Roman" w:eastAsia="宋体" w:cs="Times New Roman"/>
                <w:color w:val="auto"/>
                <w:spacing w:val="6"/>
                <w:sz w:val="24"/>
                <w:szCs w:val="24"/>
                <w:highlight w:val="none"/>
                <w:lang w:val="en-US" w:eastAsia="zh-CN"/>
              </w:rPr>
              <w:t>我公司不属于</w:t>
            </w:r>
            <w:r>
              <w:rPr>
                <w:rFonts w:hint="default" w:ascii="Times New Roman" w:hAnsi="Times New Roman" w:eastAsia="宋体" w:cs="Times New Roman"/>
                <w:color w:val="auto"/>
                <w:spacing w:val="6"/>
                <w:sz w:val="24"/>
                <w:szCs w:val="24"/>
                <w:highlight w:val="none"/>
              </w:rPr>
              <w:t>为采购项目提供整体设计、规范编制或者项目管理、监理、检测等服务的供应商</w:t>
            </w:r>
            <w:r>
              <w:rPr>
                <w:rFonts w:hint="default" w:ascii="Times New Roman" w:hAnsi="Times New Roman" w:eastAsia="宋体" w:cs="Times New Roman"/>
                <w:color w:val="auto"/>
                <w:spacing w:val="6"/>
                <w:sz w:val="24"/>
                <w:szCs w:val="24"/>
                <w:highlight w:val="none"/>
                <w:lang w:eastAsia="zh-CN"/>
              </w:rPr>
              <w:t>。</w:t>
            </w:r>
          </w:p>
        </w:tc>
      </w:tr>
    </w:tbl>
    <w:p w14:paraId="0C4DF25E">
      <w:pPr>
        <w:snapToGrid w:val="0"/>
        <w:spacing w:before="160" w:beforeLines="50" w:after="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注：1.供应商对上述所列明信息的真实、有效性负责，如有虚假，将依法承担相应责任。</w:t>
      </w:r>
    </w:p>
    <w:p w14:paraId="731966E9">
      <w:pPr>
        <w:spacing w:line="360" w:lineRule="auto"/>
        <w:ind w:firstLine="444" w:firstLineChars="200"/>
        <w:rPr>
          <w:rFonts w:hint="default" w:ascii="Times New Roman" w:hAnsi="Times New Roman" w:cs="Times New Roman"/>
          <w:color w:val="auto"/>
          <w:spacing w:val="6"/>
          <w:szCs w:val="24"/>
          <w:highlight w:val="none"/>
        </w:rPr>
      </w:pPr>
    </w:p>
    <w:p w14:paraId="722EBA7C">
      <w:pPr>
        <w:pStyle w:val="16"/>
        <w:spacing w:after="0" w:line="460" w:lineRule="exact"/>
        <w:ind w:left="0" w:leftChars="0" w:firstLine="0" w:firstLineChars="0"/>
        <w:jc w:val="left"/>
        <w:rPr>
          <w:rFonts w:hint="default" w:ascii="Times New Roman" w:hAnsi="Times New Roman" w:cs="Times New Roman"/>
          <w:color w:val="auto"/>
          <w:sz w:val="24"/>
          <w:szCs w:val="24"/>
          <w:highlight w:val="none"/>
        </w:rPr>
      </w:pPr>
    </w:p>
    <w:p w14:paraId="5D8C2017">
      <w:pPr>
        <w:widowControl/>
        <w:spacing w:line="360" w:lineRule="exact"/>
        <w:ind w:firstLine="3388" w:firstLineChars="141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投标人全称：</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(公章)</w:t>
      </w:r>
    </w:p>
    <w:p w14:paraId="70445D7E">
      <w:pPr>
        <w:widowControl/>
        <w:spacing w:line="360" w:lineRule="exact"/>
        <w:ind w:firstLine="3388" w:firstLineChars="1412"/>
        <w:rPr>
          <w:rFonts w:hint="default" w:ascii="Times New Roman" w:hAnsi="Times New Roman" w:cs="Times New Roman"/>
          <w:color w:val="auto"/>
          <w:sz w:val="24"/>
          <w:szCs w:val="24"/>
          <w:highlight w:val="none"/>
        </w:rPr>
      </w:pPr>
    </w:p>
    <w:p w14:paraId="523E90AE">
      <w:pPr>
        <w:widowControl/>
        <w:tabs>
          <w:tab w:val="left" w:pos="4000"/>
        </w:tabs>
        <w:spacing w:line="360" w:lineRule="exact"/>
        <w:rPr>
          <w:rFonts w:hint="default" w:ascii="Times New Roman" w:hAnsi="Times New Roman" w:cs="Times New Roman"/>
          <w:color w:val="auto"/>
          <w:sz w:val="24"/>
          <w:szCs w:val="24"/>
          <w:highlight w:val="none"/>
        </w:rPr>
      </w:pPr>
    </w:p>
    <w:p w14:paraId="038268B8">
      <w:pPr>
        <w:widowControl/>
        <w:spacing w:line="36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日</w:t>
      </w:r>
    </w:p>
    <w:p w14:paraId="2FDE2A60">
      <w:pPr>
        <w:rPr>
          <w:rFonts w:hint="default" w:ascii="Times New Roman" w:hAnsi="Times New Roman" w:cs="Times New Roman"/>
          <w:color w:val="auto"/>
          <w:highlight w:val="none"/>
        </w:rPr>
      </w:pPr>
    </w:p>
    <w:p w14:paraId="008820BA">
      <w:pPr>
        <w:bidi w:val="0"/>
        <w:rPr>
          <w:rFonts w:hint="default" w:ascii="Times New Roman" w:hAnsi="Times New Roman" w:cs="Times New Roman"/>
          <w:color w:val="auto"/>
          <w:highlight w:val="none"/>
        </w:rPr>
      </w:pPr>
    </w:p>
    <w:p w14:paraId="6C448AB2">
      <w:pPr>
        <w:snapToGrid w:val="0"/>
        <w:spacing w:line="440" w:lineRule="exact"/>
        <w:rPr>
          <w:rFonts w:hint="default" w:ascii="Times New Roman" w:hAnsi="Times New Roman" w:eastAsia="宋体" w:cs="Times New Roman"/>
          <w:color w:val="auto"/>
          <w:sz w:val="24"/>
          <w:szCs w:val="24"/>
          <w:highlight w:val="none"/>
        </w:rPr>
      </w:pPr>
    </w:p>
    <w:p w14:paraId="6A7B5A6F">
      <w:pP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br w:type="page"/>
      </w:r>
    </w:p>
    <w:p w14:paraId="0440E15E">
      <w:pPr>
        <w:pStyle w:val="7"/>
        <w:rPr>
          <w:rFonts w:hint="default"/>
          <w:color w:val="auto"/>
          <w:highlight w:val="none"/>
          <w:lang w:val="en-US" w:eastAsia="zh-CN"/>
        </w:rPr>
      </w:pPr>
    </w:p>
    <w:p w14:paraId="3E62A4F5">
      <w:pPr>
        <w:snapToGrid w:val="0"/>
        <w:spacing w:before="60" w:after="60" w:line="460" w:lineRule="exact"/>
        <w:jc w:val="right"/>
        <w:rPr>
          <w:rFonts w:hint="default" w:ascii="Times New Roman" w:hAnsi="Times New Roman" w:eastAsia="宋体" w:cs="Times New Roman"/>
          <w:b/>
          <w:bCs/>
          <w:color w:val="auto"/>
          <w:sz w:val="32"/>
          <w:szCs w:val="32"/>
          <w:highlight w:val="none"/>
        </w:rPr>
      </w:pPr>
    </w:p>
    <w:p w14:paraId="62BD8676">
      <w:pPr>
        <w:rPr>
          <w:color w:val="auto"/>
          <w:highlight w:val="none"/>
        </w:rPr>
      </w:pPr>
    </w:p>
    <w:p w14:paraId="27DE8583">
      <w:pPr>
        <w:rPr>
          <w:color w:val="auto"/>
          <w:highlight w:val="none"/>
        </w:rPr>
      </w:pPr>
    </w:p>
    <w:p w14:paraId="1F990E45">
      <w:pPr>
        <w:pStyle w:val="16"/>
        <w:ind w:left="480"/>
        <w:rPr>
          <w:color w:val="auto"/>
          <w:highlight w:val="none"/>
        </w:rPr>
      </w:pPr>
    </w:p>
    <w:p w14:paraId="52522701">
      <w:pPr>
        <w:pStyle w:val="16"/>
        <w:ind w:left="480"/>
        <w:rPr>
          <w:color w:val="auto"/>
          <w:highlight w:val="none"/>
        </w:rPr>
      </w:pPr>
    </w:p>
    <w:p w14:paraId="54B1F34A">
      <w:pPr>
        <w:pStyle w:val="16"/>
        <w:ind w:left="480"/>
        <w:rPr>
          <w:color w:val="auto"/>
          <w:highlight w:val="none"/>
        </w:rPr>
      </w:pPr>
    </w:p>
    <w:p w14:paraId="77CD55BD">
      <w:pPr>
        <w:pStyle w:val="16"/>
        <w:ind w:left="480"/>
        <w:rPr>
          <w:color w:val="auto"/>
          <w:highlight w:val="none"/>
        </w:rPr>
      </w:pPr>
    </w:p>
    <w:p w14:paraId="5B554AD6">
      <w:pPr>
        <w:pStyle w:val="16"/>
        <w:ind w:left="480"/>
        <w:rPr>
          <w:color w:val="auto"/>
          <w:highlight w:val="none"/>
        </w:rPr>
      </w:pPr>
    </w:p>
    <w:p w14:paraId="79ADD520">
      <w:pPr>
        <w:pStyle w:val="16"/>
        <w:ind w:left="480"/>
        <w:rPr>
          <w:color w:val="auto"/>
          <w:highlight w:val="none"/>
        </w:rPr>
      </w:pPr>
    </w:p>
    <w:p w14:paraId="0F2C2796">
      <w:pPr>
        <w:pStyle w:val="16"/>
        <w:ind w:left="480"/>
        <w:rPr>
          <w:color w:val="auto"/>
          <w:highlight w:val="none"/>
        </w:rPr>
      </w:pPr>
    </w:p>
    <w:p w14:paraId="0EC45FE4">
      <w:pPr>
        <w:rPr>
          <w:rFonts w:hint="eastAsia"/>
          <w:color w:val="auto"/>
          <w:highlight w:val="none"/>
        </w:rPr>
      </w:pPr>
    </w:p>
    <w:p w14:paraId="6A8EA428">
      <w:pPr>
        <w:rPr>
          <w:rFonts w:hint="eastAsia"/>
          <w:color w:val="auto"/>
          <w:highlight w:val="none"/>
        </w:rPr>
      </w:pPr>
    </w:p>
    <w:p w14:paraId="2A6D3395">
      <w:pPr>
        <w:pStyle w:val="16"/>
        <w:ind w:left="480"/>
        <w:rPr>
          <w:rFonts w:hint="eastAsia"/>
          <w:color w:val="auto"/>
          <w:highlight w:val="none"/>
        </w:rPr>
      </w:pPr>
    </w:p>
    <w:p w14:paraId="5B6DAB51">
      <w:pPr>
        <w:pStyle w:val="16"/>
        <w:ind w:left="480"/>
        <w:rPr>
          <w:rFonts w:hint="eastAsia"/>
          <w:color w:val="auto"/>
          <w:highlight w:val="none"/>
        </w:rPr>
      </w:pPr>
    </w:p>
    <w:p w14:paraId="53560C0A">
      <w:pPr>
        <w:pStyle w:val="16"/>
        <w:ind w:left="480"/>
        <w:rPr>
          <w:rFonts w:hint="eastAsia"/>
          <w:color w:val="auto"/>
          <w:highlight w:val="none"/>
        </w:rPr>
      </w:pPr>
    </w:p>
    <w:p w14:paraId="754FB87F">
      <w:pPr>
        <w:pStyle w:val="16"/>
        <w:ind w:left="480"/>
        <w:rPr>
          <w:rFonts w:hint="eastAsia"/>
          <w:color w:val="auto"/>
          <w:highlight w:val="none"/>
        </w:rPr>
      </w:pPr>
    </w:p>
    <w:p w14:paraId="2CFD1B29">
      <w:pPr>
        <w:rPr>
          <w:rFonts w:hint="eastAsia"/>
          <w:color w:val="auto"/>
          <w:highlight w:val="none"/>
        </w:rPr>
      </w:pPr>
    </w:p>
    <w:p w14:paraId="67FA2576">
      <w:pPr>
        <w:rPr>
          <w:rFonts w:hint="eastAsia"/>
          <w:color w:val="auto"/>
          <w:highlight w:val="none"/>
        </w:rPr>
      </w:pPr>
    </w:p>
    <w:p w14:paraId="4EDD2EE2">
      <w:pPr>
        <w:spacing w:line="360" w:lineRule="auto"/>
        <w:jc w:val="center"/>
        <w:outlineLvl w:val="0"/>
        <w:rPr>
          <w:rFonts w:hint="eastAsia"/>
          <w:b/>
          <w:color w:val="auto"/>
          <w:sz w:val="44"/>
          <w:szCs w:val="44"/>
          <w:highlight w:val="none"/>
        </w:rPr>
      </w:pPr>
      <w:r>
        <w:rPr>
          <w:rFonts w:hint="eastAsia"/>
          <w:b/>
          <w:color w:val="auto"/>
          <w:sz w:val="44"/>
          <w:szCs w:val="44"/>
          <w:highlight w:val="none"/>
          <w:lang w:val="en-US" w:eastAsia="zh-CN"/>
        </w:rPr>
        <w:t>商务技术</w:t>
      </w:r>
      <w:r>
        <w:rPr>
          <w:rFonts w:hint="eastAsia"/>
          <w:b/>
          <w:color w:val="auto"/>
          <w:sz w:val="44"/>
          <w:szCs w:val="44"/>
          <w:highlight w:val="none"/>
        </w:rPr>
        <w:t>部分</w:t>
      </w:r>
    </w:p>
    <w:p w14:paraId="1743307B">
      <w:pPr>
        <w:snapToGrid w:val="0"/>
        <w:spacing w:before="60" w:after="60" w:line="360" w:lineRule="exact"/>
        <w:jc w:val="center"/>
        <w:rPr>
          <w:rFonts w:hint="default" w:ascii="Times New Roman" w:hAnsi="Times New Roman" w:eastAsia="宋体" w:cs="Times New Roman"/>
          <w:color w:val="auto"/>
          <w:sz w:val="24"/>
          <w:szCs w:val="24"/>
          <w:highlight w:val="none"/>
        </w:rPr>
      </w:pPr>
      <w:r>
        <w:rPr>
          <w:b/>
          <w:color w:val="auto"/>
          <w:sz w:val="44"/>
          <w:szCs w:val="44"/>
          <w:highlight w:val="none"/>
        </w:rPr>
        <w:br w:type="page"/>
      </w:r>
    </w:p>
    <w:p w14:paraId="0830589D">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（一）报价的响应情况</w:t>
      </w:r>
    </w:p>
    <w:p w14:paraId="41C4349C">
      <w:pPr>
        <w:snapToGrid w:val="0"/>
        <w:spacing w:before="60" w:after="60" w:line="460" w:lineRule="exact"/>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1、开标一览表：</w:t>
      </w:r>
    </w:p>
    <w:p w14:paraId="1F2319A5">
      <w:pPr>
        <w:snapToGrid w:val="0"/>
        <w:spacing w:before="60" w:after="120"/>
        <w:jc w:val="center"/>
        <w:rPr>
          <w:rFonts w:hint="default" w:ascii="Times New Roman" w:hAnsi="Times New Roman" w:eastAsia="宋体" w:cs="Times New Roman"/>
          <w:color w:val="auto"/>
          <w:sz w:val="10"/>
          <w:szCs w:val="10"/>
          <w:highlight w:val="none"/>
        </w:rPr>
      </w:pPr>
    </w:p>
    <w:p w14:paraId="209B81AC">
      <w:pPr>
        <w:snapToGrid w:val="0"/>
        <w:spacing w:before="60" w:after="120"/>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开标一览表</w:t>
      </w:r>
    </w:p>
    <w:p w14:paraId="08CA55D7">
      <w:pPr>
        <w:snapToGrid w:val="0"/>
        <w:spacing w:before="60" w:after="120"/>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项目编号：</w:t>
      </w:r>
      <w:r>
        <w:rPr>
          <w:rFonts w:hint="default" w:ascii="Times New Roman" w:hAnsi="Times New Roman" w:eastAsia="Times New Roman" w:cs="Times New Roman"/>
          <w:b/>
          <w:bCs/>
          <w:color w:val="auto"/>
          <w:sz w:val="24"/>
          <w:szCs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340"/>
        <w:gridCol w:w="1065"/>
        <w:gridCol w:w="1155"/>
        <w:gridCol w:w="1170"/>
        <w:gridCol w:w="1590"/>
        <w:gridCol w:w="1290"/>
      </w:tblGrid>
      <w:tr w14:paraId="46C5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2340" w:type="dxa"/>
            <w:tcBorders>
              <w:top w:val="single" w:color="000000" w:sz="8" w:space="0"/>
              <w:left w:val="single" w:color="000000" w:sz="8" w:space="0"/>
              <w:bottom w:val="single" w:color="000000" w:sz="8" w:space="0"/>
              <w:right w:val="single" w:color="000000" w:sz="8" w:space="0"/>
            </w:tcBorders>
            <w:vAlign w:val="center"/>
          </w:tcPr>
          <w:p w14:paraId="554BCEFA">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货物名称</w:t>
            </w:r>
          </w:p>
        </w:tc>
        <w:tc>
          <w:tcPr>
            <w:tcW w:w="1065" w:type="dxa"/>
            <w:tcBorders>
              <w:top w:val="single" w:color="000000" w:sz="8" w:space="0"/>
              <w:left w:val="single" w:color="000000" w:sz="8" w:space="0"/>
              <w:bottom w:val="single" w:color="000000" w:sz="8" w:space="0"/>
              <w:right w:val="single" w:color="000000" w:sz="8" w:space="0"/>
            </w:tcBorders>
            <w:vAlign w:val="center"/>
          </w:tcPr>
          <w:p w14:paraId="58503DA9">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总数量</w:t>
            </w:r>
          </w:p>
        </w:tc>
        <w:tc>
          <w:tcPr>
            <w:tcW w:w="1155" w:type="dxa"/>
            <w:tcBorders>
              <w:top w:val="single" w:color="000000" w:sz="8" w:space="0"/>
              <w:left w:val="single" w:color="000000" w:sz="8" w:space="0"/>
              <w:bottom w:val="single" w:color="000000" w:sz="8" w:space="0"/>
              <w:right w:val="single" w:color="000000" w:sz="8" w:space="0"/>
            </w:tcBorders>
            <w:vAlign w:val="center"/>
          </w:tcPr>
          <w:p w14:paraId="195A6B5E">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总报价</w:t>
            </w:r>
          </w:p>
          <w:p w14:paraId="3CD5A900">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（元）</w:t>
            </w:r>
          </w:p>
        </w:tc>
        <w:tc>
          <w:tcPr>
            <w:tcW w:w="1170" w:type="dxa"/>
            <w:tcBorders>
              <w:top w:val="single" w:color="000000" w:sz="8" w:space="0"/>
              <w:left w:val="single" w:color="000000" w:sz="8" w:space="0"/>
              <w:bottom w:val="single" w:color="000000" w:sz="8" w:space="0"/>
              <w:right w:val="single" w:color="000000" w:sz="8" w:space="0"/>
            </w:tcBorders>
            <w:vAlign w:val="center"/>
          </w:tcPr>
          <w:p w14:paraId="6BC13326">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质保期</w:t>
            </w:r>
          </w:p>
        </w:tc>
        <w:tc>
          <w:tcPr>
            <w:tcW w:w="1590" w:type="dxa"/>
            <w:tcBorders>
              <w:top w:val="single" w:color="000000" w:sz="8" w:space="0"/>
              <w:left w:val="single" w:color="000000" w:sz="8" w:space="0"/>
              <w:bottom w:val="single" w:color="000000" w:sz="8" w:space="0"/>
              <w:right w:val="single" w:color="000000" w:sz="8" w:space="0"/>
            </w:tcBorders>
            <w:vAlign w:val="center"/>
          </w:tcPr>
          <w:p w14:paraId="6DD423F3">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交货期</w:t>
            </w:r>
          </w:p>
        </w:tc>
        <w:tc>
          <w:tcPr>
            <w:tcW w:w="1290" w:type="dxa"/>
            <w:tcBorders>
              <w:top w:val="single" w:color="000000" w:sz="8" w:space="0"/>
              <w:left w:val="single" w:color="000000" w:sz="8" w:space="0"/>
              <w:bottom w:val="single" w:color="000000" w:sz="8" w:space="0"/>
              <w:right w:val="single" w:color="000000" w:sz="8" w:space="0"/>
            </w:tcBorders>
            <w:vAlign w:val="center"/>
          </w:tcPr>
          <w:p w14:paraId="7E7417E3">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备注</w:t>
            </w:r>
          </w:p>
        </w:tc>
      </w:tr>
      <w:tr w14:paraId="11C8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2340" w:type="dxa"/>
            <w:tcBorders>
              <w:top w:val="single" w:color="000000" w:sz="8" w:space="0"/>
              <w:left w:val="single" w:color="000000" w:sz="8" w:space="0"/>
              <w:bottom w:val="single" w:color="000000" w:sz="8" w:space="0"/>
              <w:right w:val="single" w:color="000000" w:sz="8" w:space="0"/>
            </w:tcBorders>
            <w:vAlign w:val="center"/>
          </w:tcPr>
          <w:p w14:paraId="1A4D9364">
            <w:pPr>
              <w:snapToGrid w:val="0"/>
              <w:ind w:firstLine="400" w:firstLineChars="20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……等设备</w:t>
            </w:r>
          </w:p>
        </w:tc>
        <w:tc>
          <w:tcPr>
            <w:tcW w:w="1065" w:type="dxa"/>
            <w:tcBorders>
              <w:top w:val="single" w:color="000000" w:sz="8" w:space="0"/>
              <w:left w:val="single" w:color="000000" w:sz="8" w:space="0"/>
              <w:bottom w:val="single" w:color="000000" w:sz="8" w:space="0"/>
              <w:right w:val="single" w:color="000000" w:sz="8" w:space="0"/>
            </w:tcBorders>
            <w:vAlign w:val="center"/>
          </w:tcPr>
          <w:p w14:paraId="2D1C2AD0">
            <w:pPr>
              <w:snapToGrid w:val="0"/>
              <w:ind w:left="420" w:leftChars="200" w:firstLine="400" w:firstLineChars="200"/>
              <w:rPr>
                <w:rFonts w:hint="default" w:ascii="Times New Roman" w:hAnsi="Times New Roman" w:eastAsia="宋体" w:cs="Times New Roman"/>
                <w:color w:val="auto"/>
                <w:sz w:val="20"/>
                <w:szCs w:val="20"/>
                <w:highlight w:val="none"/>
              </w:rPr>
            </w:pPr>
          </w:p>
        </w:tc>
        <w:tc>
          <w:tcPr>
            <w:tcW w:w="1155" w:type="dxa"/>
            <w:tcBorders>
              <w:top w:val="single" w:color="000000" w:sz="8" w:space="0"/>
              <w:left w:val="single" w:color="000000" w:sz="8" w:space="0"/>
              <w:bottom w:val="single" w:color="000000" w:sz="8" w:space="0"/>
              <w:right w:val="single" w:color="000000" w:sz="8" w:space="0"/>
            </w:tcBorders>
            <w:vAlign w:val="center"/>
          </w:tcPr>
          <w:p w14:paraId="2CA32BFB">
            <w:pPr>
              <w:snapToGrid w:val="0"/>
              <w:ind w:left="420" w:leftChars="200" w:firstLine="400" w:firstLineChars="200"/>
              <w:rPr>
                <w:rFonts w:hint="default" w:ascii="Times New Roman" w:hAnsi="Times New Roman" w:eastAsia="宋体" w:cs="Times New Roman"/>
                <w:color w:val="auto"/>
                <w:sz w:val="20"/>
                <w:szCs w:val="20"/>
                <w:highlight w:val="none"/>
              </w:rPr>
            </w:pPr>
          </w:p>
        </w:tc>
        <w:tc>
          <w:tcPr>
            <w:tcW w:w="1170" w:type="dxa"/>
            <w:tcBorders>
              <w:top w:val="single" w:color="000000" w:sz="8" w:space="0"/>
              <w:left w:val="single" w:color="000000" w:sz="8" w:space="0"/>
              <w:bottom w:val="single" w:color="000000" w:sz="8" w:space="0"/>
              <w:right w:val="single" w:color="000000" w:sz="8" w:space="0"/>
            </w:tcBorders>
            <w:vAlign w:val="center"/>
          </w:tcPr>
          <w:p w14:paraId="0ADAFB6D">
            <w:pPr>
              <w:snapToGrid w:val="0"/>
              <w:ind w:left="420" w:leftChars="200" w:firstLine="400" w:firstLineChars="200"/>
              <w:rPr>
                <w:rFonts w:hint="default" w:ascii="Times New Roman" w:hAnsi="Times New Roman" w:eastAsia="宋体" w:cs="Times New Roman"/>
                <w:color w:val="auto"/>
                <w:sz w:val="20"/>
                <w:szCs w:val="20"/>
                <w:highlight w:val="none"/>
              </w:rPr>
            </w:pPr>
          </w:p>
        </w:tc>
        <w:tc>
          <w:tcPr>
            <w:tcW w:w="1590" w:type="dxa"/>
            <w:tcBorders>
              <w:top w:val="single" w:color="000000" w:sz="8" w:space="0"/>
              <w:left w:val="single" w:color="000000" w:sz="8" w:space="0"/>
              <w:bottom w:val="single" w:color="000000" w:sz="8" w:space="0"/>
              <w:right w:val="single" w:color="000000" w:sz="8" w:space="0"/>
            </w:tcBorders>
            <w:vAlign w:val="center"/>
          </w:tcPr>
          <w:p w14:paraId="0DEC43C4">
            <w:pPr>
              <w:snapToGrid w:val="0"/>
              <w:ind w:left="420" w:leftChars="200" w:firstLine="400" w:firstLineChars="200"/>
              <w:rPr>
                <w:rFonts w:hint="default" w:ascii="Times New Roman" w:hAnsi="Times New Roman" w:eastAsia="宋体" w:cs="Times New Roman"/>
                <w:color w:val="auto"/>
                <w:sz w:val="20"/>
                <w:szCs w:val="20"/>
                <w:highlight w:val="none"/>
              </w:rPr>
            </w:pPr>
          </w:p>
        </w:tc>
        <w:tc>
          <w:tcPr>
            <w:tcW w:w="1290" w:type="dxa"/>
            <w:tcBorders>
              <w:top w:val="single" w:color="000000" w:sz="8" w:space="0"/>
              <w:left w:val="single" w:color="000000" w:sz="8" w:space="0"/>
              <w:bottom w:val="single" w:color="000000" w:sz="8" w:space="0"/>
              <w:right w:val="single" w:color="000000" w:sz="8" w:space="0"/>
            </w:tcBorders>
            <w:vAlign w:val="center"/>
          </w:tcPr>
          <w:p w14:paraId="3BF06E66">
            <w:pPr>
              <w:snapToGrid w:val="0"/>
              <w:ind w:left="420" w:leftChars="200" w:firstLine="400" w:firstLineChars="200"/>
              <w:rPr>
                <w:rFonts w:hint="default" w:ascii="Times New Roman" w:hAnsi="Times New Roman" w:eastAsia="宋体" w:cs="Times New Roman"/>
                <w:color w:val="auto"/>
                <w:sz w:val="20"/>
                <w:szCs w:val="20"/>
                <w:highlight w:val="none"/>
              </w:rPr>
            </w:pPr>
          </w:p>
        </w:tc>
      </w:tr>
    </w:tbl>
    <w:p w14:paraId="45C30B9A">
      <w:pPr>
        <w:snapToGrid w:val="0"/>
        <w:spacing w:before="60" w:after="60" w:line="460" w:lineRule="exact"/>
        <w:ind w:firstLine="3840" w:firstLineChars="1600"/>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66A0F8C5">
      <w:pPr>
        <w:snapToGrid w:val="0"/>
        <w:spacing w:before="60" w:after="60" w:line="460" w:lineRule="exact"/>
        <w:ind w:firstLine="3832" w:firstLineChars="1597"/>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授权代表：</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 xml:space="preserve">(签字或盖章) </w:t>
      </w:r>
    </w:p>
    <w:p w14:paraId="48749800">
      <w:pPr>
        <w:snapToGrid w:val="0"/>
        <w:spacing w:before="60" w:after="60" w:line="460" w:lineRule="exact"/>
        <w:ind w:firstLine="3832" w:firstLineChars="1597"/>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 xml:space="preserve"> 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3BF80A32">
      <w:pPr>
        <w:snapToGrid w:val="0"/>
        <w:spacing w:before="60" w:after="60" w:line="312" w:lineRule="auto"/>
        <w:rPr>
          <w:rFonts w:hint="default" w:ascii="Times New Roman" w:hAnsi="Times New Roman" w:eastAsia="宋体" w:cs="Times New Roman"/>
          <w:color w:val="auto"/>
          <w:sz w:val="24"/>
          <w:szCs w:val="24"/>
          <w:highlight w:val="none"/>
        </w:rPr>
      </w:pPr>
    </w:p>
    <w:p w14:paraId="35AC03F8">
      <w:pPr>
        <w:snapToGrid w:val="0"/>
        <w:spacing w:before="60" w:after="60" w:line="312"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总报价为投标人就招标文件的货物分包段唯一报价，投标报价包括货物、随配附件、备品、备件、工具、送达指定交货地点各种费用和安装调试、培训、技术服务、使用前的技术咨询、售后服务、税费等所有费用的总和。即：一次性安装调试即可全面投入使用。</w:t>
      </w:r>
    </w:p>
    <w:p w14:paraId="232118D6">
      <w:pPr>
        <w:snapToGrid w:val="0"/>
        <w:spacing w:before="60" w:after="120"/>
        <w:ind w:left="420" w:leftChars="200" w:firstLine="400" w:firstLineChars="200"/>
        <w:rPr>
          <w:rFonts w:hint="default" w:ascii="Times New Roman" w:hAnsi="Times New Roman" w:eastAsia="宋体" w:cs="Times New Roman"/>
          <w:color w:val="auto"/>
          <w:sz w:val="20"/>
          <w:szCs w:val="20"/>
          <w:highlight w:val="none"/>
        </w:rPr>
      </w:pPr>
    </w:p>
    <w:p w14:paraId="330740AC">
      <w:pPr>
        <w:rPr>
          <w:rFonts w:hint="default" w:ascii="Times New Roman" w:hAnsi="Times New Roman" w:eastAsia="宋体" w:cs="Times New Roman"/>
          <w:b/>
          <w:bCs/>
          <w:color w:val="auto"/>
          <w:sz w:val="24"/>
          <w:szCs w:val="24"/>
          <w:highlight w:val="none"/>
        </w:rPr>
      </w:pPr>
    </w:p>
    <w:p w14:paraId="47C2981E">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2、报价明细表</w:t>
      </w:r>
    </w:p>
    <w:p w14:paraId="0F529097">
      <w:pPr>
        <w:snapToGrid w:val="0"/>
        <w:spacing w:before="60" w:after="60" w:line="460" w:lineRule="exact"/>
        <w:ind w:left="3" w:leftChars="-400" w:hanging="843" w:hangingChars="35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报价明细表</w:t>
      </w:r>
    </w:p>
    <w:p w14:paraId="6D81B497">
      <w:pPr>
        <w:snapToGrid w:val="0"/>
        <w:spacing w:before="60" w:after="60" w:line="460" w:lineRule="exact"/>
        <w:ind w:left="140" w:leftChars="-400" w:hanging="980" w:hangingChars="350"/>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color w:val="auto"/>
          <w:sz w:val="28"/>
          <w:szCs w:val="28"/>
          <w:highlight w:val="none"/>
        </w:rPr>
        <w:t xml:space="preserve">     </w:t>
      </w:r>
      <w:r>
        <w:rPr>
          <w:rFonts w:hint="default" w:ascii="Times New Roman" w:hAnsi="Times New Roman" w:eastAsia="宋体" w:cs="Times New Roman"/>
          <w:b/>
          <w:bCs/>
          <w:color w:val="auto"/>
          <w:sz w:val="24"/>
          <w:szCs w:val="24"/>
          <w:highlight w:val="none"/>
        </w:rPr>
        <w:t>项目编号：</w:t>
      </w:r>
      <w:r>
        <w:rPr>
          <w:rFonts w:hint="default" w:ascii="Times New Roman" w:hAnsi="Times New Roman" w:eastAsia="Calibri" w:cs="Times New Roman"/>
          <w:b/>
          <w:bCs/>
          <w:color w:val="auto"/>
          <w:sz w:val="24"/>
          <w:szCs w:val="24"/>
          <w:highlight w:val="none"/>
        </w:rPr>
        <w:t xml:space="preserve"> ------  </w:t>
      </w:r>
      <w:r>
        <w:rPr>
          <w:rFonts w:hint="default" w:ascii="Times New Roman" w:hAnsi="Times New Roman" w:eastAsia="Times New Roman" w:cs="Times New Roman"/>
          <w:b/>
          <w:bCs/>
          <w:color w:val="auto"/>
          <w:sz w:val="24"/>
          <w:szCs w:val="24"/>
          <w:highlight w:val="none"/>
        </w:rPr>
        <w:t xml:space="preserve">                                     包号：                                                                                     </w:t>
      </w:r>
    </w:p>
    <w:tbl>
      <w:tblPr>
        <w:tblStyle w:val="18"/>
        <w:tblW w:w="10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30"/>
        <w:gridCol w:w="1270"/>
        <w:gridCol w:w="1095"/>
        <w:gridCol w:w="1095"/>
        <w:gridCol w:w="840"/>
        <w:gridCol w:w="1095"/>
        <w:gridCol w:w="1215"/>
        <w:gridCol w:w="1020"/>
        <w:gridCol w:w="1471"/>
        <w:gridCol w:w="1030"/>
      </w:tblGrid>
      <w:tr w14:paraId="508A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23F9E67D">
            <w:pPr>
              <w:snapToGrid w:val="0"/>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序号</w:t>
            </w:r>
          </w:p>
        </w:tc>
        <w:tc>
          <w:tcPr>
            <w:tcW w:w="1270" w:type="dxa"/>
            <w:tcBorders>
              <w:top w:val="single" w:color="000000" w:sz="8" w:space="0"/>
              <w:left w:val="single" w:color="000000" w:sz="8" w:space="0"/>
              <w:bottom w:val="single" w:color="000000" w:sz="8" w:space="0"/>
              <w:right w:val="single" w:color="000000" w:sz="8" w:space="0"/>
            </w:tcBorders>
            <w:vAlign w:val="center"/>
          </w:tcPr>
          <w:p w14:paraId="450C16F6">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货物名称</w:t>
            </w:r>
          </w:p>
        </w:tc>
        <w:tc>
          <w:tcPr>
            <w:tcW w:w="1095" w:type="dxa"/>
            <w:tcBorders>
              <w:top w:val="single" w:color="000000" w:sz="8" w:space="0"/>
              <w:left w:val="single" w:color="000000" w:sz="8" w:space="0"/>
              <w:bottom w:val="single" w:color="000000" w:sz="8" w:space="0"/>
              <w:right w:val="single" w:color="000000" w:sz="8" w:space="0"/>
            </w:tcBorders>
            <w:vAlign w:val="center"/>
          </w:tcPr>
          <w:p w14:paraId="70BFC77A">
            <w:pPr>
              <w:snapToGrid w:val="0"/>
              <w:jc w:val="cente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z w:val="20"/>
                <w:szCs w:val="20"/>
                <w:highlight w:val="none"/>
                <w:lang w:val="en-US" w:eastAsia="zh-CN"/>
              </w:rPr>
              <w:t>品牌</w:t>
            </w:r>
          </w:p>
        </w:tc>
        <w:tc>
          <w:tcPr>
            <w:tcW w:w="1095" w:type="dxa"/>
            <w:tcBorders>
              <w:top w:val="single" w:color="000000" w:sz="8" w:space="0"/>
              <w:left w:val="single" w:color="000000" w:sz="8" w:space="0"/>
              <w:bottom w:val="single" w:color="000000" w:sz="8" w:space="0"/>
              <w:right w:val="single" w:color="000000" w:sz="8" w:space="0"/>
            </w:tcBorders>
            <w:vAlign w:val="center"/>
          </w:tcPr>
          <w:p w14:paraId="7BD9B521">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规格型号</w:t>
            </w:r>
          </w:p>
        </w:tc>
        <w:tc>
          <w:tcPr>
            <w:tcW w:w="840" w:type="dxa"/>
            <w:tcBorders>
              <w:top w:val="single" w:color="000000" w:sz="8" w:space="0"/>
              <w:left w:val="single" w:color="000000" w:sz="8" w:space="0"/>
              <w:bottom w:val="single" w:color="000000" w:sz="8" w:space="0"/>
              <w:right w:val="single" w:color="000000" w:sz="8" w:space="0"/>
            </w:tcBorders>
            <w:vAlign w:val="center"/>
          </w:tcPr>
          <w:p w14:paraId="6A06A40E">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单位</w:t>
            </w:r>
          </w:p>
        </w:tc>
        <w:tc>
          <w:tcPr>
            <w:tcW w:w="1095" w:type="dxa"/>
            <w:tcBorders>
              <w:top w:val="single" w:color="000000" w:sz="8" w:space="0"/>
              <w:left w:val="single" w:color="000000" w:sz="8" w:space="0"/>
              <w:bottom w:val="single" w:color="000000" w:sz="8" w:space="0"/>
              <w:right w:val="single" w:color="000000" w:sz="8" w:space="0"/>
            </w:tcBorders>
            <w:vAlign w:val="center"/>
          </w:tcPr>
          <w:p w14:paraId="1BD08AAD">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投标数量</w:t>
            </w:r>
          </w:p>
        </w:tc>
        <w:tc>
          <w:tcPr>
            <w:tcW w:w="1215" w:type="dxa"/>
            <w:tcBorders>
              <w:top w:val="single" w:color="000000" w:sz="8" w:space="0"/>
              <w:left w:val="single" w:color="000000" w:sz="8" w:space="0"/>
              <w:bottom w:val="single" w:color="000000" w:sz="8" w:space="0"/>
              <w:right w:val="single" w:color="000000" w:sz="8" w:space="0"/>
            </w:tcBorders>
            <w:vAlign w:val="center"/>
          </w:tcPr>
          <w:p w14:paraId="2A64BD4E">
            <w:pPr>
              <w:snapToGrid w:val="0"/>
              <w:jc w:val="center"/>
              <w:rPr>
                <w:rFonts w:hint="default" w:ascii="Times New Roman" w:hAnsi="Times New Roman" w:eastAsia="Calibri"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单价</w:t>
            </w:r>
            <w:r>
              <w:rPr>
                <w:rFonts w:hint="default" w:ascii="Times New Roman" w:hAnsi="Times New Roman" w:eastAsia="Calibri" w:cs="Times New Roman"/>
                <w:b/>
                <w:bCs/>
                <w:color w:val="auto"/>
                <w:sz w:val="20"/>
                <w:szCs w:val="20"/>
                <w:highlight w:val="none"/>
              </w:rPr>
              <w:t>(</w:t>
            </w:r>
            <w:r>
              <w:rPr>
                <w:rFonts w:hint="default" w:ascii="Times New Roman" w:hAnsi="Times New Roman" w:eastAsia="宋体" w:cs="Times New Roman"/>
                <w:b/>
                <w:bCs/>
                <w:color w:val="auto"/>
                <w:sz w:val="20"/>
                <w:szCs w:val="20"/>
                <w:highlight w:val="none"/>
              </w:rPr>
              <w:t>元</w:t>
            </w:r>
            <w:r>
              <w:rPr>
                <w:rFonts w:hint="default" w:ascii="Times New Roman" w:hAnsi="Times New Roman" w:eastAsia="Calibri" w:cs="Times New Roman"/>
                <w:b/>
                <w:bCs/>
                <w:color w:val="auto"/>
                <w:sz w:val="20"/>
                <w:szCs w:val="20"/>
                <w:highlight w:val="none"/>
              </w:rPr>
              <w:t>)</w:t>
            </w:r>
          </w:p>
        </w:tc>
        <w:tc>
          <w:tcPr>
            <w:tcW w:w="1020" w:type="dxa"/>
            <w:tcBorders>
              <w:top w:val="single" w:color="000000" w:sz="8" w:space="0"/>
              <w:left w:val="single" w:color="000000" w:sz="8" w:space="0"/>
              <w:bottom w:val="single" w:color="000000" w:sz="8" w:space="0"/>
              <w:right w:val="single" w:color="000000" w:sz="8" w:space="0"/>
            </w:tcBorders>
            <w:vAlign w:val="center"/>
          </w:tcPr>
          <w:p w14:paraId="75BF247C">
            <w:pPr>
              <w:snapToGrid w:val="0"/>
              <w:jc w:val="center"/>
              <w:rPr>
                <w:rFonts w:hint="default" w:ascii="Times New Roman" w:hAnsi="Times New Roman" w:eastAsia="Calibri"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总价</w:t>
            </w:r>
            <w:r>
              <w:rPr>
                <w:rFonts w:hint="default" w:ascii="Times New Roman" w:hAnsi="Times New Roman" w:eastAsia="Calibri" w:cs="Times New Roman"/>
                <w:b/>
                <w:bCs/>
                <w:color w:val="auto"/>
                <w:sz w:val="20"/>
                <w:szCs w:val="20"/>
                <w:highlight w:val="none"/>
              </w:rPr>
              <w:t>(</w:t>
            </w:r>
            <w:r>
              <w:rPr>
                <w:rFonts w:hint="default" w:ascii="Times New Roman" w:hAnsi="Times New Roman" w:eastAsia="宋体" w:cs="Times New Roman"/>
                <w:b/>
                <w:bCs/>
                <w:color w:val="auto"/>
                <w:sz w:val="20"/>
                <w:szCs w:val="20"/>
                <w:highlight w:val="none"/>
              </w:rPr>
              <w:t>元</w:t>
            </w:r>
            <w:r>
              <w:rPr>
                <w:rFonts w:hint="default" w:ascii="Times New Roman" w:hAnsi="Times New Roman" w:eastAsia="Calibri" w:cs="Times New Roman"/>
                <w:b/>
                <w:bCs/>
                <w:color w:val="auto"/>
                <w:sz w:val="20"/>
                <w:szCs w:val="20"/>
                <w:highlight w:val="none"/>
              </w:rPr>
              <w:t>)</w:t>
            </w:r>
          </w:p>
        </w:tc>
        <w:tc>
          <w:tcPr>
            <w:tcW w:w="1471" w:type="dxa"/>
            <w:tcBorders>
              <w:top w:val="single" w:color="000000" w:sz="8" w:space="0"/>
              <w:left w:val="single" w:color="000000" w:sz="8" w:space="0"/>
              <w:bottom w:val="single" w:color="000000" w:sz="8" w:space="0"/>
              <w:right w:val="single" w:color="000000" w:sz="8" w:space="0"/>
            </w:tcBorders>
            <w:vAlign w:val="center"/>
          </w:tcPr>
          <w:p w14:paraId="40E7B05E">
            <w:pPr>
              <w:snapToGrid w:val="0"/>
              <w:ind w:right="90" w:rightChars="43"/>
              <w:jc w:val="center"/>
              <w:rPr>
                <w:rFonts w:hint="default" w:ascii="Times New Roman" w:hAnsi="Times New Roman" w:eastAsia="宋体" w:cs="Times New Roman"/>
                <w:b/>
                <w:bCs/>
                <w:color w:val="auto"/>
                <w:sz w:val="20"/>
                <w:szCs w:val="20"/>
                <w:highlight w:val="none"/>
                <w:lang w:val="en-US" w:eastAsia="zh-CN"/>
              </w:rPr>
            </w:pPr>
            <w:r>
              <w:rPr>
                <w:rFonts w:hint="eastAsia" w:ascii="Times New Roman" w:hAnsi="Times New Roman" w:eastAsia="宋体" w:cs="Times New Roman"/>
                <w:b/>
                <w:bCs/>
                <w:color w:val="auto"/>
                <w:sz w:val="20"/>
                <w:szCs w:val="20"/>
                <w:highlight w:val="none"/>
                <w:lang w:val="en-US" w:eastAsia="zh-CN"/>
              </w:rPr>
              <w:t>生产厂家</w:t>
            </w:r>
          </w:p>
        </w:tc>
        <w:tc>
          <w:tcPr>
            <w:tcW w:w="1030" w:type="dxa"/>
            <w:tcBorders>
              <w:top w:val="single" w:color="000000" w:sz="8" w:space="0"/>
              <w:left w:val="single" w:color="000000" w:sz="8" w:space="0"/>
              <w:bottom w:val="single" w:color="000000" w:sz="8" w:space="0"/>
              <w:right w:val="single" w:color="000000" w:sz="8" w:space="0"/>
            </w:tcBorders>
            <w:vAlign w:val="center"/>
          </w:tcPr>
          <w:p w14:paraId="2C5AB602">
            <w:pPr>
              <w:snapToGrid w:val="0"/>
              <w:jc w:val="cente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z w:val="20"/>
                <w:szCs w:val="20"/>
                <w:highlight w:val="none"/>
                <w:lang w:val="en-US" w:eastAsia="zh-CN"/>
              </w:rPr>
              <w:t>是否小微企业生产</w:t>
            </w:r>
          </w:p>
        </w:tc>
      </w:tr>
      <w:tr w14:paraId="5270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4693BB7A">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1270" w:type="dxa"/>
            <w:tcBorders>
              <w:top w:val="single" w:color="000000" w:sz="8" w:space="0"/>
              <w:left w:val="single" w:color="000000" w:sz="8" w:space="0"/>
              <w:bottom w:val="single" w:color="000000" w:sz="8" w:space="0"/>
              <w:right w:val="single" w:color="000000" w:sz="8" w:space="0"/>
            </w:tcBorders>
            <w:vAlign w:val="center"/>
          </w:tcPr>
          <w:p w14:paraId="2C8C20E5">
            <w:pPr>
              <w:snapToGrid w:val="0"/>
              <w:jc w:val="center"/>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16D6C869">
            <w:pPr>
              <w:snapToGrid w:val="0"/>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57F1BF5E">
            <w:pPr>
              <w:snapToGrid w:val="0"/>
              <w:rPr>
                <w:rFonts w:hint="default" w:ascii="Times New Roman" w:hAnsi="Times New Roman" w:eastAsia="宋体" w:cs="Times New Roman"/>
                <w:color w:val="auto"/>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48D3281B">
            <w:pPr>
              <w:snapToGrid w:val="0"/>
              <w:jc w:val="center"/>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67B663FB">
            <w:pPr>
              <w:snapToGrid w:val="0"/>
              <w:jc w:val="center"/>
              <w:rPr>
                <w:rFonts w:hint="default" w:ascii="Times New Roman" w:hAnsi="Times New Roman" w:eastAsia="宋体" w:cs="Times New Roman"/>
                <w:color w:val="auto"/>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5B267BA9">
            <w:pPr>
              <w:snapToGrid w:val="0"/>
              <w:jc w:val="right"/>
              <w:rPr>
                <w:rFonts w:hint="default" w:ascii="Times New Roman" w:hAnsi="Times New Roman" w:eastAsia="宋体" w:cs="Times New Roman"/>
                <w:color w:val="auto"/>
                <w:sz w:val="24"/>
                <w:szCs w:val="24"/>
                <w:highlight w:val="none"/>
              </w:rPr>
            </w:pPr>
          </w:p>
        </w:tc>
        <w:tc>
          <w:tcPr>
            <w:tcW w:w="1020" w:type="dxa"/>
            <w:tcBorders>
              <w:top w:val="single" w:color="000000" w:sz="8" w:space="0"/>
              <w:left w:val="single" w:color="000000" w:sz="8" w:space="0"/>
              <w:bottom w:val="single" w:color="000000" w:sz="8" w:space="0"/>
              <w:right w:val="single" w:color="000000" w:sz="8" w:space="0"/>
            </w:tcBorders>
            <w:vAlign w:val="center"/>
          </w:tcPr>
          <w:p w14:paraId="6E62D650">
            <w:pPr>
              <w:snapToGrid w:val="0"/>
              <w:jc w:val="right"/>
              <w:rPr>
                <w:rFonts w:hint="default" w:ascii="Times New Roman" w:hAnsi="Times New Roman" w:eastAsia="宋体" w:cs="Times New Roman"/>
                <w:color w:val="auto"/>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60C4A5AF">
            <w:pPr>
              <w:snapToGrid w:val="0"/>
              <w:jc w:val="right"/>
              <w:rPr>
                <w:rFonts w:hint="default" w:ascii="Times New Roman" w:hAnsi="Times New Roman" w:eastAsia="宋体" w:cs="Times New Roman"/>
                <w:color w:val="auto"/>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41AD7D75">
            <w:pPr>
              <w:snapToGrid w:val="0"/>
              <w:jc w:val="right"/>
              <w:rPr>
                <w:rFonts w:hint="default" w:ascii="Times New Roman" w:hAnsi="Times New Roman" w:eastAsia="宋体" w:cs="Times New Roman"/>
                <w:color w:val="auto"/>
                <w:sz w:val="24"/>
                <w:szCs w:val="24"/>
                <w:highlight w:val="none"/>
              </w:rPr>
            </w:pPr>
          </w:p>
        </w:tc>
      </w:tr>
      <w:tr w14:paraId="0E66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0B1488A1">
            <w:pPr>
              <w:snapToGrid w:val="0"/>
              <w:jc w:val="center"/>
              <w:rPr>
                <w:rFonts w:hint="default" w:ascii="Times New Roman" w:hAnsi="Times New Roman" w:eastAsia="宋体" w:cs="Times New Roman"/>
                <w:color w:val="auto"/>
                <w:sz w:val="24"/>
                <w:szCs w:val="24"/>
                <w:highlight w:val="none"/>
              </w:rPr>
            </w:pPr>
          </w:p>
        </w:tc>
        <w:tc>
          <w:tcPr>
            <w:tcW w:w="1270" w:type="dxa"/>
            <w:tcBorders>
              <w:top w:val="single" w:color="000000" w:sz="8" w:space="0"/>
              <w:left w:val="single" w:color="000000" w:sz="8" w:space="0"/>
              <w:bottom w:val="single" w:color="000000" w:sz="8" w:space="0"/>
              <w:right w:val="single" w:color="000000" w:sz="8" w:space="0"/>
            </w:tcBorders>
            <w:vAlign w:val="center"/>
          </w:tcPr>
          <w:p w14:paraId="2DCA3393">
            <w:pPr>
              <w:snapToGrid w:val="0"/>
              <w:jc w:val="center"/>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412952E3">
            <w:pPr>
              <w:snapToGrid w:val="0"/>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6C3B8A75">
            <w:pPr>
              <w:snapToGrid w:val="0"/>
              <w:rPr>
                <w:rFonts w:hint="default" w:ascii="Times New Roman" w:hAnsi="Times New Roman" w:eastAsia="宋体" w:cs="Times New Roman"/>
                <w:color w:val="auto"/>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695DA90D">
            <w:pPr>
              <w:snapToGrid w:val="0"/>
              <w:jc w:val="center"/>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492B48B7">
            <w:pPr>
              <w:snapToGrid w:val="0"/>
              <w:jc w:val="center"/>
              <w:rPr>
                <w:rFonts w:hint="default" w:ascii="Times New Roman" w:hAnsi="Times New Roman" w:eastAsia="宋体" w:cs="Times New Roman"/>
                <w:color w:val="auto"/>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1C916B06">
            <w:pPr>
              <w:snapToGrid w:val="0"/>
              <w:jc w:val="right"/>
              <w:rPr>
                <w:rFonts w:hint="default" w:ascii="Times New Roman" w:hAnsi="Times New Roman" w:eastAsia="宋体" w:cs="Times New Roman"/>
                <w:color w:val="auto"/>
                <w:sz w:val="24"/>
                <w:szCs w:val="24"/>
                <w:highlight w:val="none"/>
              </w:rPr>
            </w:pPr>
          </w:p>
        </w:tc>
        <w:tc>
          <w:tcPr>
            <w:tcW w:w="1020" w:type="dxa"/>
            <w:tcBorders>
              <w:top w:val="single" w:color="000000" w:sz="8" w:space="0"/>
              <w:left w:val="single" w:color="000000" w:sz="8" w:space="0"/>
              <w:bottom w:val="single" w:color="000000" w:sz="8" w:space="0"/>
              <w:right w:val="single" w:color="000000" w:sz="8" w:space="0"/>
            </w:tcBorders>
            <w:vAlign w:val="center"/>
          </w:tcPr>
          <w:p w14:paraId="11C39728">
            <w:pPr>
              <w:snapToGrid w:val="0"/>
              <w:jc w:val="right"/>
              <w:rPr>
                <w:rFonts w:hint="default" w:ascii="Times New Roman" w:hAnsi="Times New Roman" w:eastAsia="宋体" w:cs="Times New Roman"/>
                <w:color w:val="auto"/>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178A8212">
            <w:pPr>
              <w:snapToGrid w:val="0"/>
              <w:jc w:val="right"/>
              <w:rPr>
                <w:rFonts w:hint="default" w:ascii="Times New Roman" w:hAnsi="Times New Roman" w:eastAsia="宋体" w:cs="Times New Roman"/>
                <w:color w:val="auto"/>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31CA1326">
            <w:pPr>
              <w:snapToGrid w:val="0"/>
              <w:jc w:val="right"/>
              <w:rPr>
                <w:rFonts w:hint="default" w:ascii="Times New Roman" w:hAnsi="Times New Roman" w:eastAsia="宋体" w:cs="Times New Roman"/>
                <w:color w:val="auto"/>
                <w:sz w:val="24"/>
                <w:szCs w:val="24"/>
                <w:highlight w:val="none"/>
              </w:rPr>
            </w:pPr>
          </w:p>
        </w:tc>
      </w:tr>
      <w:tr w14:paraId="3912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760D5968">
            <w:pPr>
              <w:snapToGrid w:val="0"/>
              <w:jc w:val="center"/>
              <w:rPr>
                <w:rFonts w:hint="default" w:ascii="Times New Roman" w:hAnsi="Times New Roman" w:eastAsia="宋体" w:cs="Times New Roman"/>
                <w:color w:val="auto"/>
                <w:sz w:val="24"/>
                <w:szCs w:val="24"/>
                <w:highlight w:val="none"/>
              </w:rPr>
            </w:pPr>
          </w:p>
        </w:tc>
        <w:tc>
          <w:tcPr>
            <w:tcW w:w="1270" w:type="dxa"/>
            <w:tcBorders>
              <w:top w:val="single" w:color="000000" w:sz="8" w:space="0"/>
              <w:left w:val="single" w:color="000000" w:sz="8" w:space="0"/>
              <w:bottom w:val="single" w:color="000000" w:sz="8" w:space="0"/>
              <w:right w:val="single" w:color="000000" w:sz="8" w:space="0"/>
            </w:tcBorders>
            <w:vAlign w:val="center"/>
          </w:tcPr>
          <w:p w14:paraId="792BCF08">
            <w:pPr>
              <w:snapToGrid w:val="0"/>
              <w:jc w:val="center"/>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20B2679C">
            <w:pPr>
              <w:snapToGrid w:val="0"/>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43795890">
            <w:pPr>
              <w:snapToGrid w:val="0"/>
              <w:rPr>
                <w:rFonts w:hint="default" w:ascii="Times New Roman" w:hAnsi="Times New Roman" w:eastAsia="宋体" w:cs="Times New Roman"/>
                <w:color w:val="auto"/>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773D8F54">
            <w:pPr>
              <w:snapToGrid w:val="0"/>
              <w:jc w:val="center"/>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0FB08A8C">
            <w:pPr>
              <w:snapToGrid w:val="0"/>
              <w:jc w:val="center"/>
              <w:rPr>
                <w:rFonts w:hint="default" w:ascii="Times New Roman" w:hAnsi="Times New Roman" w:eastAsia="宋体" w:cs="Times New Roman"/>
                <w:color w:val="auto"/>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02BFC83F">
            <w:pPr>
              <w:snapToGrid w:val="0"/>
              <w:jc w:val="right"/>
              <w:rPr>
                <w:rFonts w:hint="default" w:ascii="Times New Roman" w:hAnsi="Times New Roman" w:eastAsia="宋体" w:cs="Times New Roman"/>
                <w:color w:val="auto"/>
                <w:sz w:val="24"/>
                <w:szCs w:val="24"/>
                <w:highlight w:val="none"/>
              </w:rPr>
            </w:pPr>
          </w:p>
        </w:tc>
        <w:tc>
          <w:tcPr>
            <w:tcW w:w="1020" w:type="dxa"/>
            <w:tcBorders>
              <w:top w:val="single" w:color="000000" w:sz="8" w:space="0"/>
              <w:left w:val="single" w:color="000000" w:sz="8" w:space="0"/>
              <w:bottom w:val="single" w:color="000000" w:sz="8" w:space="0"/>
              <w:right w:val="single" w:color="000000" w:sz="8" w:space="0"/>
            </w:tcBorders>
            <w:vAlign w:val="center"/>
          </w:tcPr>
          <w:p w14:paraId="1271D2E2">
            <w:pPr>
              <w:snapToGrid w:val="0"/>
              <w:jc w:val="right"/>
              <w:rPr>
                <w:rFonts w:hint="default" w:ascii="Times New Roman" w:hAnsi="Times New Roman" w:eastAsia="宋体" w:cs="Times New Roman"/>
                <w:color w:val="auto"/>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33B3F236">
            <w:pPr>
              <w:snapToGrid w:val="0"/>
              <w:jc w:val="right"/>
              <w:rPr>
                <w:rFonts w:hint="default" w:ascii="Times New Roman" w:hAnsi="Times New Roman" w:eastAsia="宋体" w:cs="Times New Roman"/>
                <w:color w:val="auto"/>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54D9634D">
            <w:pPr>
              <w:snapToGrid w:val="0"/>
              <w:jc w:val="right"/>
              <w:rPr>
                <w:rFonts w:hint="default" w:ascii="Times New Roman" w:hAnsi="Times New Roman" w:eastAsia="宋体" w:cs="Times New Roman"/>
                <w:color w:val="auto"/>
                <w:sz w:val="24"/>
                <w:szCs w:val="24"/>
                <w:highlight w:val="none"/>
              </w:rPr>
            </w:pPr>
          </w:p>
        </w:tc>
      </w:tr>
      <w:tr w14:paraId="3CC7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09179B5C">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270" w:type="dxa"/>
            <w:tcBorders>
              <w:top w:val="single" w:color="000000" w:sz="8" w:space="0"/>
              <w:left w:val="single" w:color="000000" w:sz="8" w:space="0"/>
              <w:bottom w:val="single" w:color="000000" w:sz="8" w:space="0"/>
              <w:right w:val="single" w:color="000000" w:sz="8" w:space="0"/>
            </w:tcBorders>
            <w:vAlign w:val="center"/>
          </w:tcPr>
          <w:p w14:paraId="69AFBF28">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095" w:type="dxa"/>
            <w:tcBorders>
              <w:top w:val="single" w:color="000000" w:sz="8" w:space="0"/>
              <w:left w:val="single" w:color="000000" w:sz="8" w:space="0"/>
              <w:bottom w:val="single" w:color="000000" w:sz="8" w:space="0"/>
              <w:right w:val="single" w:color="000000" w:sz="8" w:space="0"/>
            </w:tcBorders>
            <w:vAlign w:val="center"/>
          </w:tcPr>
          <w:p w14:paraId="16455E37">
            <w:pPr>
              <w:snapToGrid w:val="0"/>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12C266CD">
            <w:pPr>
              <w:snapToGrid w:val="0"/>
              <w:rPr>
                <w:rFonts w:hint="default" w:ascii="Times New Roman" w:hAnsi="Times New Roman" w:eastAsia="宋体" w:cs="Times New Roman"/>
                <w:color w:val="auto"/>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7E3C210B">
            <w:pPr>
              <w:snapToGrid w:val="0"/>
              <w:jc w:val="center"/>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63CCA49F">
            <w:pPr>
              <w:snapToGrid w:val="0"/>
              <w:jc w:val="center"/>
              <w:rPr>
                <w:rFonts w:hint="default" w:ascii="Times New Roman" w:hAnsi="Times New Roman" w:eastAsia="宋体" w:cs="Times New Roman"/>
                <w:color w:val="auto"/>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3CD44AE4">
            <w:pPr>
              <w:snapToGrid w:val="0"/>
              <w:jc w:val="right"/>
              <w:rPr>
                <w:rFonts w:hint="default" w:ascii="Times New Roman" w:hAnsi="Times New Roman" w:eastAsia="宋体" w:cs="Times New Roman"/>
                <w:color w:val="auto"/>
                <w:sz w:val="24"/>
                <w:szCs w:val="24"/>
                <w:highlight w:val="none"/>
              </w:rPr>
            </w:pPr>
          </w:p>
        </w:tc>
        <w:tc>
          <w:tcPr>
            <w:tcW w:w="1020" w:type="dxa"/>
            <w:tcBorders>
              <w:top w:val="single" w:color="000000" w:sz="8" w:space="0"/>
              <w:left w:val="single" w:color="000000" w:sz="8" w:space="0"/>
              <w:bottom w:val="single" w:color="000000" w:sz="8" w:space="0"/>
              <w:right w:val="single" w:color="000000" w:sz="8" w:space="0"/>
            </w:tcBorders>
            <w:vAlign w:val="center"/>
          </w:tcPr>
          <w:p w14:paraId="3749F295">
            <w:pPr>
              <w:snapToGrid w:val="0"/>
              <w:jc w:val="right"/>
              <w:rPr>
                <w:rFonts w:hint="default" w:ascii="Times New Roman" w:hAnsi="Times New Roman" w:eastAsia="宋体" w:cs="Times New Roman"/>
                <w:color w:val="auto"/>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2AEC0B3B">
            <w:pPr>
              <w:snapToGrid w:val="0"/>
              <w:jc w:val="right"/>
              <w:rPr>
                <w:rFonts w:hint="default" w:ascii="Times New Roman" w:hAnsi="Times New Roman" w:eastAsia="宋体" w:cs="Times New Roman"/>
                <w:color w:val="auto"/>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03E51330">
            <w:pPr>
              <w:snapToGrid w:val="0"/>
              <w:jc w:val="right"/>
              <w:rPr>
                <w:rFonts w:hint="default" w:ascii="Times New Roman" w:hAnsi="Times New Roman" w:eastAsia="宋体" w:cs="Times New Roman"/>
                <w:color w:val="auto"/>
                <w:sz w:val="24"/>
                <w:szCs w:val="24"/>
                <w:highlight w:val="none"/>
              </w:rPr>
            </w:pPr>
          </w:p>
        </w:tc>
      </w:tr>
      <w:tr w14:paraId="79FD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930" w:type="dxa"/>
            <w:gridSpan w:val="5"/>
            <w:tcBorders>
              <w:top w:val="single" w:color="000000" w:sz="8" w:space="0"/>
              <w:left w:val="single" w:color="000000" w:sz="8" w:space="0"/>
              <w:bottom w:val="single" w:color="000000" w:sz="8" w:space="0"/>
              <w:right w:val="single" w:color="000000" w:sz="8" w:space="0"/>
            </w:tcBorders>
            <w:vAlign w:val="center"/>
          </w:tcPr>
          <w:p w14:paraId="503E30F9">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合</w:t>
            </w:r>
            <w:r>
              <w:rPr>
                <w:rFonts w:hint="default" w:ascii="Times New Roman" w:hAnsi="Times New Roman" w:eastAsia="Calibri"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rPr>
              <w:t>计</w:t>
            </w:r>
          </w:p>
        </w:tc>
        <w:tc>
          <w:tcPr>
            <w:tcW w:w="1095" w:type="dxa"/>
            <w:tcBorders>
              <w:top w:val="single" w:color="000000" w:sz="8" w:space="0"/>
              <w:left w:val="single" w:color="000000" w:sz="8" w:space="0"/>
              <w:bottom w:val="single" w:color="000000" w:sz="8" w:space="0"/>
              <w:right w:val="single" w:color="000000" w:sz="8" w:space="0"/>
            </w:tcBorders>
            <w:vAlign w:val="center"/>
          </w:tcPr>
          <w:p w14:paraId="7CE9A36F">
            <w:pPr>
              <w:snapToGrid w:val="0"/>
              <w:jc w:val="center"/>
              <w:rPr>
                <w:rFonts w:hint="default" w:ascii="Times New Roman" w:hAnsi="Times New Roman" w:eastAsia="宋体" w:cs="Times New Roman"/>
                <w:color w:val="auto"/>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2A2FD781">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w:t>
            </w:r>
          </w:p>
        </w:tc>
        <w:tc>
          <w:tcPr>
            <w:tcW w:w="1020" w:type="dxa"/>
            <w:tcBorders>
              <w:top w:val="single" w:color="000000" w:sz="8" w:space="0"/>
              <w:left w:val="single" w:color="000000" w:sz="8" w:space="0"/>
              <w:bottom w:val="single" w:color="000000" w:sz="8" w:space="0"/>
              <w:right w:val="single" w:color="000000" w:sz="8" w:space="0"/>
            </w:tcBorders>
            <w:vAlign w:val="center"/>
          </w:tcPr>
          <w:p w14:paraId="086B4536">
            <w:pPr>
              <w:snapToGrid w:val="0"/>
              <w:jc w:val="right"/>
              <w:rPr>
                <w:rFonts w:hint="default" w:ascii="Times New Roman" w:hAnsi="Times New Roman" w:eastAsia="宋体" w:cs="Times New Roman"/>
                <w:color w:val="auto"/>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164AD7D3">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w:t>
            </w:r>
          </w:p>
        </w:tc>
        <w:tc>
          <w:tcPr>
            <w:tcW w:w="1030" w:type="dxa"/>
            <w:tcBorders>
              <w:top w:val="single" w:color="000000" w:sz="8" w:space="0"/>
              <w:left w:val="single" w:color="000000" w:sz="8" w:space="0"/>
              <w:bottom w:val="single" w:color="000000" w:sz="8" w:space="0"/>
              <w:right w:val="single" w:color="000000" w:sz="8" w:space="0"/>
            </w:tcBorders>
            <w:vAlign w:val="center"/>
          </w:tcPr>
          <w:p w14:paraId="4ED5F21A">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w:t>
            </w:r>
          </w:p>
        </w:tc>
      </w:tr>
    </w:tbl>
    <w:p w14:paraId="3B537FF3">
      <w:pPr>
        <w:snapToGrid w:val="0"/>
        <w:spacing w:before="60" w:after="60" w:line="460" w:lineRule="exact"/>
        <w:ind w:firstLine="3832" w:firstLineChars="1597"/>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0D606C84">
      <w:pPr>
        <w:snapToGrid w:val="0"/>
        <w:spacing w:before="60" w:after="60" w:line="460" w:lineRule="exact"/>
        <w:ind w:firstLine="3832" w:firstLineChars="1597"/>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授权代表：</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 xml:space="preserve">(签字或盖章) </w:t>
      </w:r>
    </w:p>
    <w:p w14:paraId="472FB242">
      <w:pPr>
        <w:snapToGrid w:val="0"/>
        <w:spacing w:before="60" w:after="60" w:line="460" w:lineRule="exact"/>
        <w:ind w:firstLine="3832" w:firstLineChars="1597"/>
        <w:rPr>
          <w:rFonts w:hint="default" w:ascii="Times New Roman" w:hAnsi="Times New Roman" w:eastAsia="Calibri"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 xml:space="preserve"> 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r>
        <w:rPr>
          <w:rFonts w:hint="default" w:ascii="Times New Roman" w:hAnsi="Times New Roman" w:eastAsia="Calibri" w:cs="Times New Roman"/>
          <w:color w:val="auto"/>
          <w:sz w:val="24"/>
          <w:szCs w:val="24"/>
          <w:highlight w:val="none"/>
        </w:rPr>
        <w:t xml:space="preserve"> </w:t>
      </w:r>
    </w:p>
    <w:p w14:paraId="0BD6718F">
      <w:pPr>
        <w:snapToGrid w:val="0"/>
        <w:spacing w:before="60" w:after="120"/>
        <w:rPr>
          <w:rFonts w:hint="default" w:ascii="Times New Roman" w:hAnsi="Times New Roman" w:eastAsia="宋体" w:cs="Times New Roman"/>
          <w:color w:val="auto"/>
          <w:sz w:val="24"/>
          <w:szCs w:val="24"/>
          <w:highlight w:val="none"/>
        </w:rPr>
      </w:pPr>
    </w:p>
    <w:p w14:paraId="1128CEE5">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w:t>
      </w:r>
      <w:r>
        <w:rPr>
          <w:rFonts w:hint="default" w:ascii="Times New Roman" w:hAnsi="Times New Roman" w:cs="Times New Roman"/>
          <w:color w:val="auto"/>
          <w:sz w:val="28"/>
          <w:szCs w:val="28"/>
          <w:highlight w:val="none"/>
          <w:lang w:eastAsia="zh-CN"/>
        </w:rPr>
        <w:t>商务</w:t>
      </w:r>
      <w:r>
        <w:rPr>
          <w:rFonts w:hint="default" w:ascii="Times New Roman" w:hAnsi="Times New Roman" w:cs="Times New Roman"/>
          <w:color w:val="auto"/>
          <w:sz w:val="28"/>
          <w:szCs w:val="28"/>
          <w:highlight w:val="none"/>
        </w:rPr>
        <w:t>响应情况</w:t>
      </w:r>
    </w:p>
    <w:p w14:paraId="07128C56">
      <w:pPr>
        <w:pStyle w:val="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投标函</w:t>
      </w:r>
    </w:p>
    <w:p w14:paraId="7D63B8A0">
      <w:pPr>
        <w:snapToGrid w:val="0"/>
        <w:spacing w:before="374" w:after="60" w:line="460" w:lineRule="exact"/>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投标函</w:t>
      </w:r>
    </w:p>
    <w:p w14:paraId="152A8C5D">
      <w:pPr>
        <w:snapToGrid w:val="0"/>
        <w:spacing w:before="374" w:after="60" w:line="46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山西宏润招标代理有限公司：</w:t>
      </w:r>
    </w:p>
    <w:p w14:paraId="6847EDD7">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我们收到你们</w:t>
      </w:r>
      <w:r>
        <w:rPr>
          <w:rFonts w:hint="default" w:ascii="Times New Roman" w:hAnsi="Times New Roman" w:eastAsia="宋体" w:cs="Times New Roman"/>
          <w:b/>
          <w:bCs/>
          <w:color w:val="auto"/>
          <w:sz w:val="24"/>
          <w:szCs w:val="24"/>
          <w:highlight w:val="none"/>
          <w:u w:val="single"/>
        </w:rPr>
        <w:t>（编号）</w:t>
      </w:r>
      <w:r>
        <w:rPr>
          <w:rFonts w:hint="default" w:ascii="Times New Roman" w:hAnsi="Times New Roman" w:eastAsia="宋体" w:cs="Times New Roman"/>
          <w:color w:val="auto"/>
          <w:sz w:val="24"/>
          <w:szCs w:val="24"/>
          <w:highlight w:val="none"/>
        </w:rPr>
        <w:t>招标文件，经详细研究，已全部理解了该招标文件的所有规定，决定参加投标。</w:t>
      </w:r>
    </w:p>
    <w:p w14:paraId="13D4DBF0">
      <w:pPr>
        <w:snapToGrid w:val="0"/>
        <w:spacing w:before="60" w:after="60" w:line="460" w:lineRule="exact"/>
        <w:ind w:firstLine="468" w:firstLineChars="19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1、愿意按照招标文件中的一切要求，提供： </w:t>
      </w:r>
    </w:p>
    <w:p w14:paraId="4614986C">
      <w:pPr>
        <w:snapToGrid w:val="0"/>
        <w:spacing w:before="60" w:after="60" w:line="460" w:lineRule="exact"/>
        <w:ind w:firstLine="736" w:firstLineChars="307"/>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rPr>
        <w:t>（</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名称</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w:t>
      </w:r>
      <w:r>
        <w:rPr>
          <w:rFonts w:hint="default" w:ascii="Times New Roman" w:hAnsi="Times New Roman" w:eastAsia="宋体" w:cs="Times New Roman"/>
          <w:color w:val="auto"/>
          <w:sz w:val="24"/>
          <w:szCs w:val="24"/>
          <w:highlight w:val="none"/>
        </w:rPr>
        <w:t>品牌的</w:t>
      </w:r>
      <w:r>
        <w:rPr>
          <w:rFonts w:hint="default" w:ascii="Times New Roman" w:hAnsi="Times New Roman" w:eastAsia="Times New Roman" w:cs="Times New Roman"/>
          <w:color w:val="auto"/>
          <w:sz w:val="24"/>
          <w:szCs w:val="24"/>
          <w:highlight w:val="none"/>
          <w:u w:val="single"/>
        </w:rPr>
        <w:t xml:space="preserve">   （货物名称及型号）   </w:t>
      </w:r>
      <w:r>
        <w:rPr>
          <w:rFonts w:hint="default" w:ascii="Times New Roman" w:hAnsi="Times New Roman" w:eastAsia="宋体" w:cs="Times New Roman"/>
          <w:color w:val="auto"/>
          <w:sz w:val="24"/>
          <w:szCs w:val="24"/>
          <w:highlight w:val="none"/>
        </w:rPr>
        <w:t>共</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台</w:t>
      </w:r>
      <w:r>
        <w:rPr>
          <w:rFonts w:hint="default" w:ascii="Times New Roman" w:hAnsi="Times New Roman" w:eastAsia="Calibri" w:cs="Times New Roman"/>
          <w:color w:val="auto"/>
          <w:sz w:val="24"/>
          <w:szCs w:val="24"/>
          <w:highlight w:val="none"/>
        </w:rPr>
        <w:t>/</w:t>
      </w:r>
      <w:r>
        <w:rPr>
          <w:rFonts w:hint="default" w:ascii="Times New Roman" w:hAnsi="Times New Roman" w:eastAsia="宋体" w:cs="Times New Roman"/>
          <w:color w:val="auto"/>
          <w:sz w:val="24"/>
          <w:szCs w:val="24"/>
          <w:highlight w:val="none"/>
        </w:rPr>
        <w:t>套及有关的服务，货物及服务投标总价格为人民币</w:t>
      </w:r>
      <w:r>
        <w:rPr>
          <w:rFonts w:hint="default" w:ascii="Times New Roman" w:hAnsi="Times New Roman" w:eastAsia="Times New Roman" w:cs="Times New Roman"/>
          <w:color w:val="auto"/>
          <w:sz w:val="24"/>
          <w:szCs w:val="24"/>
          <w:highlight w:val="none"/>
          <w:u w:val="single"/>
        </w:rPr>
        <w:t xml:space="preserve">   （ 大写 ）     </w:t>
      </w:r>
      <w:r>
        <w:rPr>
          <w:rFonts w:hint="default" w:ascii="Times New Roman" w:hAnsi="Times New Roman" w:eastAsia="宋体" w:cs="Times New Roman"/>
          <w:color w:val="auto"/>
          <w:sz w:val="24"/>
          <w:szCs w:val="24"/>
          <w:highlight w:val="none"/>
        </w:rPr>
        <w:t>元，</w:t>
      </w:r>
      <w:r>
        <w:rPr>
          <w:rFonts w:hint="default" w:ascii="Times New Roman" w:hAnsi="Times New Roman" w:eastAsia="宋体" w:cs="Times New Roman"/>
          <w:color w:val="auto"/>
          <w:sz w:val="24"/>
          <w:szCs w:val="24"/>
          <w:highlight w:val="none"/>
          <w:u w:val="single"/>
        </w:rPr>
        <w:t>￥</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（小写）</w:t>
      </w:r>
      <w:r>
        <w:rPr>
          <w:rFonts w:hint="default" w:ascii="Times New Roman" w:hAnsi="Times New Roman" w:eastAsia="宋体" w:cs="Times New Roman"/>
          <w:color w:val="auto"/>
          <w:sz w:val="24"/>
          <w:szCs w:val="24"/>
          <w:highlight w:val="none"/>
        </w:rPr>
        <w:t>，交货期：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。具体报价明细见开标一览表。</w:t>
      </w:r>
    </w:p>
    <w:p w14:paraId="5AF547E8">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2、如果我们的投标书被接受，我们将履行招标文件中的要求及</w:t>
      </w:r>
      <w:r>
        <w:rPr>
          <w:rFonts w:hint="default" w:ascii="Times New Roman" w:hAnsi="Times New Roman" w:eastAsia="宋体" w:cs="Times New Roman"/>
          <w:color w:val="auto"/>
          <w:sz w:val="24"/>
          <w:szCs w:val="24"/>
          <w:highlight w:val="none"/>
        </w:rPr>
        <w:t>投标文件中的每一项承诺，履行合同责任和义务。</w:t>
      </w:r>
    </w:p>
    <w:p w14:paraId="75142803">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3、我们同意招标文件的规定，本投标书有效期为开标后九十个日历天。如果中标，有效期延至合同终止日止。</w:t>
      </w:r>
    </w:p>
    <w:p w14:paraId="6F77EC4A">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4、我们愿意提供招标文件中所要求提供的所有资料。</w:t>
      </w:r>
    </w:p>
    <w:p w14:paraId="2A890E1F">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5、我们理解你们没有义务必须接受你们所收到的报价最低的投标书。</w:t>
      </w:r>
    </w:p>
    <w:p w14:paraId="64F2DD22">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6、我们愿意忠实地执行招标文件合同中的逐项条款，履行自己的全部责任和义务。</w:t>
      </w:r>
    </w:p>
    <w:p w14:paraId="19135C70">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7、我们愿意遵守国家规定和招标文件中规定的收费标准。</w:t>
      </w:r>
    </w:p>
    <w:p w14:paraId="74838580">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8、我们愿意按照国家有关招标的规定，交纳投标保证金。</w:t>
      </w:r>
    </w:p>
    <w:p w14:paraId="4CBC99DB">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9、我们同意如果在开标后规定的投标有效期内撤回投标，我们的投标保证金可被贵方没收。</w:t>
      </w:r>
    </w:p>
    <w:p w14:paraId="2E522A37">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10、我方承诺：完全理解投标报价超过开标时公布的预算金额时，投标将被拒绝。</w:t>
      </w:r>
    </w:p>
    <w:p w14:paraId="3F6049BA">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11、保证忠实地执行</w:t>
      </w:r>
      <w:r>
        <w:rPr>
          <w:rFonts w:hint="default" w:ascii="Times New Roman" w:hAnsi="Times New Roman" w:eastAsia="宋体" w:cs="Times New Roman"/>
          <w:color w:val="auto"/>
          <w:sz w:val="24"/>
          <w:szCs w:val="24"/>
          <w:highlight w:val="none"/>
          <w:lang w:val="en-US" w:eastAsia="zh-CN"/>
        </w:rPr>
        <w:t>与采购人</w:t>
      </w:r>
      <w:r>
        <w:rPr>
          <w:rFonts w:hint="default" w:ascii="Times New Roman" w:hAnsi="Times New Roman" w:eastAsia="Times New Roman" w:cs="Times New Roman"/>
          <w:color w:val="auto"/>
          <w:sz w:val="24"/>
          <w:szCs w:val="24"/>
          <w:highlight w:val="none"/>
        </w:rPr>
        <w:t>所签订的合同，并承担合同规定的责任和义务。</w:t>
      </w:r>
    </w:p>
    <w:p w14:paraId="4BA6E37C">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12、承诺完全满足和响应招标文件中的各项商务和技术要求，若有偏差，已在</w:t>
      </w:r>
      <w:r>
        <w:rPr>
          <w:rFonts w:hint="default" w:ascii="Times New Roman" w:hAnsi="Times New Roman" w:eastAsia="宋体" w:cs="Times New Roman"/>
          <w:color w:val="auto"/>
          <w:sz w:val="24"/>
          <w:szCs w:val="24"/>
          <w:highlight w:val="none"/>
        </w:rPr>
        <w:t>投标文件商务条款偏离中予以明确特别说明。</w:t>
      </w:r>
    </w:p>
    <w:p w14:paraId="6D199BE7">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13、保证遵守招标文件的所有规定。</w:t>
      </w:r>
    </w:p>
    <w:p w14:paraId="62EB68C2">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14、我方愿意向贵方提供任何与本项投标有关的数据、情况和技术资料。若贵方需要，我方愿意提供我方做出的一切承诺的证明材料。</w:t>
      </w:r>
    </w:p>
    <w:p w14:paraId="247A031C">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15、我方已详细审核全部</w:t>
      </w:r>
      <w:r>
        <w:rPr>
          <w:rFonts w:hint="default" w:ascii="Times New Roman" w:hAnsi="Times New Roman" w:eastAsia="宋体" w:cs="Times New Roman"/>
          <w:color w:val="auto"/>
          <w:sz w:val="24"/>
          <w:szCs w:val="24"/>
          <w:highlight w:val="none"/>
        </w:rPr>
        <w:t>投标文件，包括投标文件修改书（如有的话）、参考资料及有关附件，确认无误。</w:t>
      </w:r>
    </w:p>
    <w:p w14:paraId="2BE8ADC5">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16、我方承诺：采购人若需追加采购本项目招标文件所列货物及相关服务的，在不改变合同其他实质性条款的前提下，按相同或更优惠的折扣率保证供货。</w:t>
      </w:r>
    </w:p>
    <w:p w14:paraId="4535F02B">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17、我方在本项目中严格遵守《中华人民共和国政府采购法》《中华人民共和国政府采购法实施条例》及相关法律法规的规定，否则将依法承担法律责任。</w:t>
      </w:r>
    </w:p>
    <w:p w14:paraId="62A41089">
      <w:pPr>
        <w:numPr>
          <w:ilvl w:val="0"/>
          <w:numId w:val="0"/>
        </w:numPr>
        <w:snapToGrid w:val="0"/>
        <w:spacing w:before="60" w:after="60" w:line="460" w:lineRule="exact"/>
        <w:ind w:left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所有有关本标书的函电，请按下列地址联系：</w:t>
      </w:r>
    </w:p>
    <w:p w14:paraId="455A49B1">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址：</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邮政编码：</w:t>
      </w:r>
    </w:p>
    <w:p w14:paraId="3B4CC009">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话：</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传</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真：</w:t>
      </w:r>
    </w:p>
    <w:p w14:paraId="41BCCBA6">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r>
        <w:rPr>
          <w:rFonts w:hint="default" w:ascii="Times New Roman" w:hAnsi="Times New Roman" w:eastAsia="Calibri" w:cs="Times New Roman"/>
          <w:color w:val="auto"/>
          <w:sz w:val="24"/>
          <w:szCs w:val="24"/>
          <w:highlight w:val="none"/>
        </w:rPr>
        <w:t xml:space="preserve">                        E</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mail</w:t>
      </w:r>
      <w:r>
        <w:rPr>
          <w:rFonts w:hint="default" w:ascii="Times New Roman" w:hAnsi="Times New Roman" w:eastAsia="宋体" w:cs="Times New Roman"/>
          <w:color w:val="auto"/>
          <w:sz w:val="24"/>
          <w:szCs w:val="24"/>
          <w:highlight w:val="none"/>
        </w:rPr>
        <w:t>：</w:t>
      </w:r>
    </w:p>
    <w:p w14:paraId="33CA43FF">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p>
    <w:p w14:paraId="05541A9C">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p>
    <w:p w14:paraId="06BC9A4A">
      <w:pPr>
        <w:snapToGrid w:val="0"/>
        <w:spacing w:before="60" w:after="60" w:line="360" w:lineRule="auto"/>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7C483E61">
      <w:pPr>
        <w:snapToGrid w:val="0"/>
        <w:spacing w:before="60" w:after="60" w:line="360" w:lineRule="auto"/>
        <w:ind w:firstLine="3660" w:firstLineChars="152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65BC4674">
      <w:pPr>
        <w:snapToGrid w:val="0"/>
        <w:spacing w:before="60" w:after="120"/>
        <w:jc w:val="left"/>
        <w:rPr>
          <w:rFonts w:hint="default" w:ascii="Times New Roman" w:hAnsi="Times New Roman" w:eastAsia="宋体" w:cs="Times New Roman"/>
          <w:color w:val="auto"/>
          <w:sz w:val="24"/>
          <w:szCs w:val="24"/>
          <w:highlight w:val="none"/>
        </w:rPr>
      </w:pPr>
    </w:p>
    <w:p w14:paraId="37514715">
      <w:pP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br w:type="page"/>
      </w:r>
    </w:p>
    <w:p w14:paraId="4C270E95">
      <w:pPr>
        <w:pStyle w:val="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投标人代表证明</w:t>
      </w:r>
    </w:p>
    <w:p w14:paraId="32B4C012">
      <w:pPr>
        <w:snapToGrid w:val="0"/>
        <w:spacing w:before="374" w:after="60" w:line="460" w:lineRule="exact"/>
        <w:ind w:firstLine="2891" w:firstLineChars="1200"/>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法定代表人（负责人）身份证明书</w:t>
      </w:r>
    </w:p>
    <w:p w14:paraId="48AEB4F9">
      <w:pPr>
        <w:snapToGrid w:val="0"/>
        <w:spacing w:before="374" w:after="60" w:line="46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致：山西宏润招标代理有限公司：</w:t>
      </w:r>
    </w:p>
    <w:p w14:paraId="7220253E">
      <w:pPr>
        <w:snapToGrid w:val="0"/>
        <w:spacing w:before="60" w:after="60" w:line="460" w:lineRule="exact"/>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单位名称：</w:t>
      </w:r>
      <w:r>
        <w:rPr>
          <w:rFonts w:hint="default" w:ascii="Times New Roman" w:hAnsi="Times New Roman" w:eastAsia="Times New Roman" w:cs="Times New Roman"/>
          <w:color w:val="auto"/>
          <w:sz w:val="24"/>
          <w:szCs w:val="24"/>
          <w:highlight w:val="none"/>
          <w:u w:val="single"/>
        </w:rPr>
        <w:t xml:space="preserve">                                      </w:t>
      </w:r>
    </w:p>
    <w:p w14:paraId="15EC1664">
      <w:pPr>
        <w:snapToGrid w:val="0"/>
        <w:spacing w:before="60" w:after="60" w:line="460" w:lineRule="exact"/>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单位性质：</w:t>
      </w:r>
      <w:r>
        <w:rPr>
          <w:rFonts w:hint="default" w:ascii="Times New Roman" w:hAnsi="Times New Roman" w:eastAsia="Times New Roman" w:cs="Times New Roman"/>
          <w:color w:val="auto"/>
          <w:sz w:val="24"/>
          <w:szCs w:val="24"/>
          <w:highlight w:val="none"/>
          <w:u w:val="single"/>
        </w:rPr>
        <w:t xml:space="preserve">                                      </w:t>
      </w:r>
    </w:p>
    <w:p w14:paraId="19B71343">
      <w:pPr>
        <w:snapToGrid w:val="0"/>
        <w:spacing w:before="60" w:after="60" w:line="460" w:lineRule="exact"/>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地</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址：</w:t>
      </w:r>
      <w:r>
        <w:rPr>
          <w:rFonts w:hint="default" w:ascii="Times New Roman" w:hAnsi="Times New Roman" w:eastAsia="Times New Roman" w:cs="Times New Roman"/>
          <w:color w:val="auto"/>
          <w:sz w:val="24"/>
          <w:szCs w:val="24"/>
          <w:highlight w:val="none"/>
          <w:u w:val="single"/>
        </w:rPr>
        <w:t xml:space="preserve">                                      </w:t>
      </w:r>
    </w:p>
    <w:p w14:paraId="160D01E8">
      <w:pPr>
        <w:snapToGrid w:val="0"/>
        <w:spacing w:before="60" w:after="60" w:line="460" w:lineRule="exact"/>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成立时间：</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年</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月</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日</w:t>
      </w:r>
    </w:p>
    <w:p w14:paraId="15BB21FD">
      <w:pPr>
        <w:snapToGrid w:val="0"/>
        <w:spacing w:before="60" w:after="60" w:line="460" w:lineRule="exact"/>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经营期限：</w:t>
      </w:r>
      <w:r>
        <w:rPr>
          <w:rFonts w:hint="default" w:ascii="Times New Roman" w:hAnsi="Times New Roman" w:eastAsia="宋体" w:cs="Times New Roman"/>
          <w:color w:val="auto"/>
          <w:sz w:val="24"/>
          <w:szCs w:val="24"/>
          <w:highlight w:val="none"/>
          <w:u w:val="single"/>
          <w:lang w:val="en-US" w:eastAsia="zh-CN"/>
        </w:rPr>
        <w:t xml:space="preserve">                              </w:t>
      </w:r>
    </w:p>
    <w:p w14:paraId="2211B074">
      <w:pPr>
        <w:snapToGrid w:val="0"/>
        <w:spacing w:before="60" w:after="60" w:line="4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名：</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性</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别：</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Calibri" w:cs="Times New Roman"/>
          <w:color w:val="auto"/>
          <w:sz w:val="24"/>
          <w:szCs w:val="24"/>
          <w:highlight w:val="none"/>
        </w:rPr>
        <w:t xml:space="preserve"> </w:t>
      </w:r>
    </w:p>
    <w:p w14:paraId="1E37E66A">
      <w:pPr>
        <w:snapToGrid w:val="0"/>
        <w:spacing w:before="60" w:after="60" w:line="4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身份证号：</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职</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务：</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Calibri" w:cs="Times New Roman"/>
          <w:color w:val="auto"/>
          <w:sz w:val="24"/>
          <w:szCs w:val="24"/>
          <w:highlight w:val="none"/>
        </w:rPr>
        <w:t xml:space="preserve"> </w:t>
      </w:r>
    </w:p>
    <w:p w14:paraId="6F75D7EB">
      <w:pPr>
        <w:snapToGrid w:val="0"/>
        <w:spacing w:before="60" w:after="60" w:line="4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系</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（投标人名称）</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的法定代表人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负责人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14:paraId="237BD64D">
      <w:pPr>
        <w:snapToGrid w:val="0"/>
        <w:spacing w:before="60" w:after="60" w:line="460" w:lineRule="exact"/>
        <w:jc w:val="left"/>
        <w:rPr>
          <w:rFonts w:hint="default" w:ascii="Times New Roman" w:hAnsi="Times New Roman" w:eastAsia="Calibri" w:cs="Times New Roman"/>
          <w:color w:val="auto"/>
          <w:sz w:val="24"/>
          <w:szCs w:val="24"/>
          <w:highlight w:val="none"/>
        </w:rPr>
      </w:pPr>
      <w:r>
        <w:rPr>
          <w:rFonts w:hint="default" w:ascii="Times New Roman" w:hAnsi="Times New Roman" w:eastAsia="宋体" w:cs="Times New Roman"/>
          <w:color w:val="auto"/>
          <w:sz w:val="24"/>
          <w:szCs w:val="24"/>
          <w:highlight w:val="none"/>
        </w:rPr>
        <w:t>特此证明。</w:t>
      </w:r>
      <w:r>
        <w:rPr>
          <w:rFonts w:hint="default" w:ascii="Times New Roman" w:hAnsi="Times New Roman" w:eastAsia="Calibri" w:cs="Times New Roman"/>
          <w:color w:val="auto"/>
          <w:sz w:val="24"/>
          <w:szCs w:val="24"/>
          <w:highlight w:val="none"/>
        </w:rPr>
        <w:t xml:space="preserve"> </w:t>
      </w:r>
    </w:p>
    <w:p w14:paraId="37831E09">
      <w:pPr>
        <w:snapToGrid w:val="0"/>
        <w:spacing w:before="60" w:after="60" w:line="460" w:lineRule="exact"/>
        <w:jc w:val="left"/>
        <w:rPr>
          <w:rFonts w:hint="default" w:ascii="Times New Roman" w:hAnsi="Times New Roman" w:eastAsia="宋体" w:cs="Times New Roman"/>
          <w:color w:val="auto"/>
          <w:sz w:val="24"/>
          <w:szCs w:val="24"/>
          <w:highlight w:val="none"/>
        </w:rPr>
      </w:pPr>
    </w:p>
    <w:p w14:paraId="4C254E45">
      <w:pPr>
        <w:snapToGrid w:val="0"/>
        <w:spacing w:before="60" w:after="60" w:line="360" w:lineRule="exact"/>
        <w:ind w:firstLine="3388" w:firstLineChars="1412"/>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6798985B">
      <w:pPr>
        <w:snapToGrid w:val="0"/>
        <w:spacing w:before="60" w:after="60" w:line="360" w:lineRule="exact"/>
        <w:ind w:firstLine="3388" w:firstLineChars="1412"/>
        <w:rPr>
          <w:rFonts w:hint="default" w:ascii="Times New Roman" w:hAnsi="Times New Roman" w:eastAsia="宋体" w:cs="Times New Roman"/>
          <w:color w:val="auto"/>
          <w:sz w:val="24"/>
          <w:szCs w:val="24"/>
          <w:highlight w:val="none"/>
        </w:rPr>
      </w:pPr>
    </w:p>
    <w:p w14:paraId="6D317D42">
      <w:pPr>
        <w:snapToGrid w:val="0"/>
        <w:spacing w:before="60" w:after="60" w:line="360" w:lineRule="exact"/>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0"/>
          <w:kern w:val="0"/>
          <w:sz w:val="24"/>
          <w:szCs w:val="24"/>
          <w:highlight w:val="none"/>
        </w:rPr>
        <w:t>法定代表人</w:t>
      </w:r>
      <w:r>
        <w:rPr>
          <w:rFonts w:hint="default" w:ascii="Times New Roman" w:hAnsi="Times New Roman" w:eastAsia="宋体" w:cs="Times New Roman"/>
          <w:color w:val="auto"/>
          <w:spacing w:val="20"/>
          <w:kern w:val="0"/>
          <w:sz w:val="24"/>
          <w:szCs w:val="24"/>
          <w:highlight w:val="none"/>
          <w:lang w:eastAsia="zh-CN"/>
        </w:rPr>
        <w:t>（</w:t>
      </w:r>
      <w:r>
        <w:rPr>
          <w:rFonts w:hint="default" w:ascii="Times New Roman" w:hAnsi="Times New Roman" w:eastAsia="宋体" w:cs="Times New Roman"/>
          <w:color w:val="auto"/>
          <w:spacing w:val="20"/>
          <w:kern w:val="0"/>
          <w:sz w:val="24"/>
          <w:szCs w:val="24"/>
          <w:highlight w:val="none"/>
          <w:lang w:val="en-US" w:eastAsia="zh-CN"/>
        </w:rPr>
        <w:t>负责人</w:t>
      </w:r>
      <w:r>
        <w:rPr>
          <w:rFonts w:hint="default" w:ascii="Times New Roman" w:hAnsi="Times New Roman" w:eastAsia="宋体" w:cs="Times New Roman"/>
          <w:color w:val="auto"/>
          <w:spacing w:val="20"/>
          <w:kern w:val="0"/>
          <w:sz w:val="24"/>
          <w:szCs w:val="24"/>
          <w:highlight w:val="none"/>
          <w:lang w:eastAsia="zh-CN"/>
        </w:rPr>
        <w:t>）</w:t>
      </w:r>
      <w:r>
        <w:rPr>
          <w:rFonts w:hint="default" w:ascii="Times New Roman" w:hAnsi="Times New Roman" w:eastAsia="宋体" w:cs="Times New Roman"/>
          <w:color w:val="auto"/>
          <w:spacing w:val="20"/>
          <w:kern w:val="0"/>
          <w:sz w:val="24"/>
          <w:szCs w:val="24"/>
          <w:highlight w:val="none"/>
        </w:rPr>
        <w:t>：</w:t>
      </w:r>
      <w:r>
        <w:rPr>
          <w:rFonts w:hint="default" w:ascii="Times New Roman" w:hAnsi="Times New Roman" w:eastAsia="Times New Roman" w:cs="Times New Roman"/>
          <w:color w:val="auto"/>
          <w:spacing w:val="20"/>
          <w:kern w:val="0"/>
          <w:sz w:val="24"/>
          <w:szCs w:val="24"/>
          <w:highlight w:val="none"/>
          <w:u w:val="single"/>
        </w:rPr>
        <w:t xml:space="preserve">   （</w:t>
      </w:r>
      <w:r>
        <w:rPr>
          <w:rFonts w:hint="default" w:ascii="Times New Roman" w:hAnsi="Times New Roman" w:eastAsia="宋体" w:cs="Times New Roman"/>
          <w:color w:val="auto"/>
          <w:sz w:val="24"/>
          <w:szCs w:val="24"/>
          <w:highlight w:val="none"/>
        </w:rPr>
        <w:t>签字或盖章）</w:t>
      </w:r>
    </w:p>
    <w:p w14:paraId="194497BF">
      <w:pPr>
        <w:snapToGrid w:val="0"/>
        <w:spacing w:before="60" w:after="60" w:line="360" w:lineRule="exact"/>
        <w:jc w:val="righ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pacing w:val="20"/>
          <w:kern w:val="0"/>
          <w:sz w:val="24"/>
          <w:szCs w:val="24"/>
          <w:highlight w:val="none"/>
        </w:rPr>
        <w:t xml:space="preserve"> </w:t>
      </w:r>
    </w:p>
    <w:p w14:paraId="531A86EF">
      <w:pPr>
        <w:snapToGrid w:val="0"/>
        <w:spacing w:before="60" w:after="60" w:line="360" w:lineRule="exac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 xml:space="preserve">                            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2D8BC4BD">
      <w:pPr>
        <w:snapToGrid w:val="0"/>
        <w:spacing w:before="60" w:after="60" w:line="460" w:lineRule="exact"/>
        <w:jc w:val="center"/>
        <w:rPr>
          <w:rFonts w:hint="default" w:ascii="Times New Roman" w:hAnsi="Times New Roman" w:eastAsia="宋体" w:cs="Times New Roman"/>
          <w:color w:val="auto"/>
          <w:sz w:val="24"/>
          <w:szCs w:val="24"/>
          <w:highlight w:val="none"/>
        </w:rPr>
      </w:pPr>
    </w:p>
    <w:p w14:paraId="3F52719E">
      <w:pPr>
        <w:snapToGrid w:val="0"/>
        <w:spacing w:before="60" w:after="60" w:line="460" w:lineRule="exact"/>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附法定代表人有效的身份证正反两面复印件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350"/>
        <w:gridCol w:w="4350"/>
      </w:tblGrid>
      <w:tr w14:paraId="556D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4350" w:type="dxa"/>
            <w:tcBorders>
              <w:top w:val="single" w:color="000000" w:sz="8" w:space="0"/>
              <w:left w:val="single" w:color="000000" w:sz="8" w:space="0"/>
              <w:bottom w:val="single" w:color="000000" w:sz="8" w:space="0"/>
              <w:right w:val="single" w:color="000000" w:sz="8" w:space="0"/>
            </w:tcBorders>
          </w:tcPr>
          <w:p w14:paraId="167ADA0B">
            <w:pPr>
              <w:snapToGrid w:val="0"/>
              <w:spacing w:before="60" w:after="60" w:line="460" w:lineRule="exact"/>
              <w:jc w:val="left"/>
              <w:rPr>
                <w:rFonts w:hint="default" w:ascii="Times New Roman" w:hAnsi="Times New Roman" w:eastAsia="宋体" w:cs="Times New Roman"/>
                <w:color w:val="auto"/>
                <w:sz w:val="24"/>
                <w:szCs w:val="24"/>
                <w:highlight w:val="none"/>
              </w:rPr>
            </w:pPr>
          </w:p>
          <w:p w14:paraId="14650998">
            <w:pPr>
              <w:pStyle w:val="7"/>
              <w:rPr>
                <w:rFonts w:hint="default" w:ascii="Times New Roman" w:hAnsi="Times New Roman" w:eastAsia="宋体" w:cs="Times New Roman"/>
                <w:color w:val="auto"/>
                <w:sz w:val="24"/>
                <w:szCs w:val="24"/>
                <w:highlight w:val="none"/>
              </w:rPr>
            </w:pPr>
          </w:p>
          <w:p w14:paraId="767EBD74">
            <w:pPr>
              <w:rPr>
                <w:rFonts w:hint="default" w:ascii="Times New Roman" w:hAnsi="Times New Roman" w:eastAsia="宋体" w:cs="Times New Roman"/>
                <w:color w:val="auto"/>
                <w:sz w:val="24"/>
                <w:szCs w:val="24"/>
                <w:highlight w:val="none"/>
              </w:rPr>
            </w:pPr>
          </w:p>
          <w:p w14:paraId="4276740C">
            <w:pPr>
              <w:pStyle w:val="7"/>
              <w:rPr>
                <w:rFonts w:hint="default" w:ascii="Times New Roman" w:hAnsi="Times New Roman" w:eastAsia="宋体" w:cs="Times New Roman"/>
                <w:color w:val="auto"/>
                <w:sz w:val="24"/>
                <w:szCs w:val="24"/>
                <w:highlight w:val="none"/>
              </w:rPr>
            </w:pPr>
          </w:p>
          <w:p w14:paraId="582042E8">
            <w:pPr>
              <w:rPr>
                <w:rFonts w:hint="default" w:ascii="Times New Roman" w:hAnsi="Times New Roman" w:eastAsia="宋体" w:cs="Times New Roman"/>
                <w:color w:val="auto"/>
                <w:sz w:val="24"/>
                <w:szCs w:val="24"/>
                <w:highlight w:val="none"/>
              </w:rPr>
            </w:pPr>
          </w:p>
          <w:p w14:paraId="361D608B">
            <w:pPr>
              <w:pStyle w:val="7"/>
              <w:rPr>
                <w:rFonts w:hint="default" w:ascii="Times New Roman" w:hAnsi="Times New Roman" w:cs="Times New Roman"/>
                <w:color w:val="auto"/>
                <w:highlight w:val="none"/>
              </w:rPr>
            </w:pPr>
          </w:p>
        </w:tc>
        <w:tc>
          <w:tcPr>
            <w:tcW w:w="4350" w:type="dxa"/>
            <w:tcBorders>
              <w:top w:val="single" w:color="000000" w:sz="8" w:space="0"/>
              <w:left w:val="single" w:color="000000" w:sz="8" w:space="0"/>
              <w:bottom w:val="single" w:color="000000" w:sz="8" w:space="0"/>
              <w:right w:val="single" w:color="000000" w:sz="8" w:space="0"/>
            </w:tcBorders>
          </w:tcPr>
          <w:p w14:paraId="2E823EDB">
            <w:pPr>
              <w:snapToGrid w:val="0"/>
              <w:spacing w:before="60" w:after="60" w:line="460" w:lineRule="exact"/>
              <w:jc w:val="left"/>
              <w:rPr>
                <w:rFonts w:hint="default" w:ascii="Times New Roman" w:hAnsi="Times New Roman" w:eastAsia="宋体" w:cs="Times New Roman"/>
                <w:color w:val="auto"/>
                <w:sz w:val="24"/>
                <w:szCs w:val="24"/>
                <w:highlight w:val="none"/>
              </w:rPr>
            </w:pPr>
          </w:p>
        </w:tc>
      </w:tr>
    </w:tbl>
    <w:p w14:paraId="40026F04">
      <w:pP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br w:type="page"/>
      </w:r>
    </w:p>
    <w:p w14:paraId="0023A7BA">
      <w:pPr>
        <w:snapToGrid w:val="0"/>
        <w:spacing w:before="60" w:after="748" w:line="460" w:lineRule="exact"/>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法定代表人（负责人）授权委托书</w:t>
      </w:r>
    </w:p>
    <w:p w14:paraId="370ED3D8">
      <w:pPr>
        <w:snapToGrid w:val="0"/>
        <w:spacing w:before="374" w:after="60" w:line="46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致：山西宏润招标代理有限公司：</w:t>
      </w:r>
    </w:p>
    <w:p w14:paraId="53919957">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本授权书声明：注册于</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（投标人住所）的</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（投标人名称）法定代表人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负责人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（法定代表人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负责人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姓名、职务）代表本公司授权</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rPr>
        <w:t>投标人</w:t>
      </w:r>
      <w:r>
        <w:rPr>
          <w:rFonts w:hint="default" w:ascii="Times New Roman" w:hAnsi="Times New Roman" w:eastAsia="宋体" w:cs="Times New Roman"/>
          <w:color w:val="auto"/>
          <w:sz w:val="24"/>
          <w:szCs w:val="24"/>
          <w:highlight w:val="none"/>
        </w:rPr>
        <w:t>代表姓名、职务）为本公司的合法代理人，就贵方组织的</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Times New Roman" w:cs="Times New Roman"/>
          <w:color w:val="auto"/>
          <w:sz w:val="24"/>
          <w:szCs w:val="24"/>
          <w:highlight w:val="none"/>
        </w:rPr>
        <w:t xml:space="preserve"> (项目名称、项目编号、包号)以本公司名义处理一切与之有关的事务。</w:t>
      </w:r>
    </w:p>
    <w:p w14:paraId="27CEB26B">
      <w:pPr>
        <w:snapToGrid w:val="0"/>
        <w:spacing w:before="60" w:after="60"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特此声明。</w:t>
      </w:r>
    </w:p>
    <w:p w14:paraId="4C1211CC">
      <w:pPr>
        <w:snapToGrid w:val="0"/>
        <w:spacing w:before="60" w:after="748"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附：授权代表身份证复印件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350"/>
        <w:gridCol w:w="4350"/>
      </w:tblGrid>
      <w:tr w14:paraId="7A0A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88" w:hRule="atLeast"/>
        </w:trPr>
        <w:tc>
          <w:tcPr>
            <w:tcW w:w="4350" w:type="dxa"/>
            <w:tcBorders>
              <w:top w:val="single" w:color="000000" w:sz="8" w:space="0"/>
              <w:left w:val="single" w:color="000000" w:sz="8" w:space="0"/>
              <w:bottom w:val="single" w:color="000000" w:sz="8" w:space="0"/>
              <w:right w:val="single" w:color="000000" w:sz="8" w:space="0"/>
            </w:tcBorders>
          </w:tcPr>
          <w:p w14:paraId="78B760AA">
            <w:pPr>
              <w:snapToGrid w:val="0"/>
              <w:spacing w:before="60" w:after="60" w:line="460" w:lineRule="exact"/>
              <w:jc w:val="left"/>
              <w:rPr>
                <w:rFonts w:hint="default" w:ascii="Times New Roman" w:hAnsi="Times New Roman" w:eastAsia="宋体" w:cs="Times New Roman"/>
                <w:color w:val="auto"/>
                <w:sz w:val="24"/>
                <w:szCs w:val="24"/>
                <w:highlight w:val="none"/>
              </w:rPr>
            </w:pPr>
          </w:p>
        </w:tc>
        <w:tc>
          <w:tcPr>
            <w:tcW w:w="4350" w:type="dxa"/>
            <w:tcBorders>
              <w:top w:val="single" w:color="000000" w:sz="8" w:space="0"/>
              <w:left w:val="single" w:color="000000" w:sz="8" w:space="0"/>
              <w:bottom w:val="single" w:color="000000" w:sz="8" w:space="0"/>
              <w:right w:val="single" w:color="000000" w:sz="8" w:space="0"/>
            </w:tcBorders>
          </w:tcPr>
          <w:p w14:paraId="7292CD87">
            <w:pPr>
              <w:snapToGrid w:val="0"/>
              <w:spacing w:before="60" w:after="60" w:line="460" w:lineRule="exact"/>
              <w:jc w:val="left"/>
              <w:rPr>
                <w:rFonts w:hint="default" w:ascii="Times New Roman" w:hAnsi="Times New Roman" w:eastAsia="宋体" w:cs="Times New Roman"/>
                <w:color w:val="auto"/>
                <w:sz w:val="24"/>
                <w:szCs w:val="24"/>
                <w:highlight w:val="none"/>
              </w:rPr>
            </w:pPr>
          </w:p>
        </w:tc>
      </w:tr>
    </w:tbl>
    <w:p w14:paraId="3F1F39A5">
      <w:pPr>
        <w:snapToGrid w:val="0"/>
        <w:spacing w:before="60" w:after="60" w:line="460" w:lineRule="exact"/>
        <w:ind w:left="280" w:firstLine="3360" w:firstLineChars="1200"/>
        <w:jc w:val="left"/>
        <w:rPr>
          <w:rFonts w:hint="default" w:ascii="Times New Roman" w:hAnsi="Times New Roman" w:eastAsia="Times New Roman" w:cs="Times New Roman"/>
          <w:color w:val="auto"/>
          <w:spacing w:val="20"/>
          <w:kern w:val="0"/>
          <w:sz w:val="24"/>
          <w:szCs w:val="24"/>
          <w:highlight w:val="none"/>
        </w:rPr>
      </w:pPr>
      <w:r>
        <w:rPr>
          <w:rFonts w:hint="default" w:ascii="Times New Roman" w:hAnsi="Times New Roman" w:eastAsia="宋体" w:cs="Times New Roman"/>
          <w:color w:val="auto"/>
          <w:spacing w:val="20"/>
          <w:kern w:val="0"/>
          <w:sz w:val="24"/>
          <w:szCs w:val="24"/>
          <w:highlight w:val="none"/>
        </w:rPr>
        <w:t>法定代表人</w:t>
      </w:r>
      <w:r>
        <w:rPr>
          <w:rFonts w:hint="default" w:ascii="Times New Roman" w:hAnsi="Times New Roman" w:eastAsia="宋体" w:cs="Times New Roman"/>
          <w:color w:val="auto"/>
          <w:spacing w:val="20"/>
          <w:kern w:val="0"/>
          <w:sz w:val="24"/>
          <w:szCs w:val="24"/>
          <w:highlight w:val="none"/>
          <w:lang w:eastAsia="zh-CN"/>
        </w:rPr>
        <w:t>（</w:t>
      </w:r>
      <w:r>
        <w:rPr>
          <w:rFonts w:hint="default" w:ascii="Times New Roman" w:hAnsi="Times New Roman" w:eastAsia="宋体" w:cs="Times New Roman"/>
          <w:color w:val="auto"/>
          <w:spacing w:val="20"/>
          <w:kern w:val="0"/>
          <w:sz w:val="24"/>
          <w:szCs w:val="24"/>
          <w:highlight w:val="none"/>
          <w:lang w:val="en-US" w:eastAsia="zh-CN"/>
        </w:rPr>
        <w:t>负责人</w:t>
      </w:r>
      <w:r>
        <w:rPr>
          <w:rFonts w:hint="default" w:ascii="Times New Roman" w:hAnsi="Times New Roman" w:eastAsia="宋体" w:cs="Times New Roman"/>
          <w:color w:val="auto"/>
          <w:spacing w:val="20"/>
          <w:kern w:val="0"/>
          <w:sz w:val="24"/>
          <w:szCs w:val="24"/>
          <w:highlight w:val="none"/>
          <w:lang w:eastAsia="zh-CN"/>
        </w:rPr>
        <w:t>）</w:t>
      </w:r>
      <w:r>
        <w:rPr>
          <w:rFonts w:hint="default" w:ascii="Times New Roman" w:hAnsi="Times New Roman" w:eastAsia="宋体" w:cs="Times New Roman"/>
          <w:color w:val="auto"/>
          <w:spacing w:val="20"/>
          <w:kern w:val="0"/>
          <w:sz w:val="24"/>
          <w:szCs w:val="24"/>
          <w:highlight w:val="none"/>
        </w:rPr>
        <w:t>：</w:t>
      </w:r>
      <w:r>
        <w:rPr>
          <w:rFonts w:hint="default" w:ascii="Times New Roman" w:hAnsi="Times New Roman" w:eastAsia="Times New Roman" w:cs="Times New Roman"/>
          <w:color w:val="auto"/>
          <w:spacing w:val="20"/>
          <w:kern w:val="0"/>
          <w:sz w:val="24"/>
          <w:szCs w:val="24"/>
          <w:highlight w:val="none"/>
          <w:u w:val="single"/>
        </w:rPr>
        <w:t xml:space="preserve">     （</w:t>
      </w:r>
      <w:r>
        <w:rPr>
          <w:rFonts w:hint="default" w:ascii="Times New Roman" w:hAnsi="Times New Roman" w:eastAsia="宋体" w:cs="Times New Roman"/>
          <w:color w:val="auto"/>
          <w:sz w:val="24"/>
          <w:szCs w:val="24"/>
          <w:highlight w:val="none"/>
        </w:rPr>
        <w:t>签字或盖章）</w:t>
      </w:r>
      <w:r>
        <w:rPr>
          <w:rFonts w:hint="default" w:ascii="Times New Roman" w:hAnsi="Times New Roman" w:eastAsia="Times New Roman" w:cs="Times New Roman"/>
          <w:color w:val="auto"/>
          <w:spacing w:val="20"/>
          <w:kern w:val="0"/>
          <w:sz w:val="24"/>
          <w:szCs w:val="24"/>
          <w:highlight w:val="none"/>
        </w:rPr>
        <w:t xml:space="preserve">    </w:t>
      </w:r>
    </w:p>
    <w:p w14:paraId="664DADC2">
      <w:pPr>
        <w:snapToGrid w:val="0"/>
        <w:spacing w:before="60" w:after="60" w:line="460" w:lineRule="exact"/>
        <w:ind w:firstLine="3640" w:firstLineChars="13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0"/>
          <w:kern w:val="0"/>
          <w:sz w:val="24"/>
          <w:szCs w:val="24"/>
          <w:highlight w:val="none"/>
        </w:rPr>
        <w:t>授权代表签字：</w:t>
      </w:r>
      <w:r>
        <w:rPr>
          <w:rFonts w:hint="default" w:ascii="Times New Roman" w:hAnsi="Times New Roman" w:eastAsia="Times New Roman" w:cs="Times New Roman"/>
          <w:color w:val="auto"/>
          <w:spacing w:val="20"/>
          <w:kern w:val="0"/>
          <w:sz w:val="24"/>
          <w:szCs w:val="24"/>
          <w:highlight w:val="none"/>
          <w:u w:val="single"/>
        </w:rPr>
        <w:t xml:space="preserve">        （</w:t>
      </w:r>
      <w:r>
        <w:rPr>
          <w:rFonts w:hint="default" w:ascii="Times New Roman" w:hAnsi="Times New Roman" w:eastAsia="宋体" w:cs="Times New Roman"/>
          <w:color w:val="auto"/>
          <w:sz w:val="24"/>
          <w:szCs w:val="24"/>
          <w:highlight w:val="none"/>
        </w:rPr>
        <w:t>签字或盖章）</w:t>
      </w:r>
    </w:p>
    <w:p w14:paraId="542EC2CC">
      <w:pPr>
        <w:snapToGrid w:val="0"/>
        <w:spacing w:before="60" w:after="60" w:line="460" w:lineRule="exact"/>
        <w:ind w:firstLine="3600" w:firstLineChars="1500"/>
        <w:jc w:val="left"/>
        <w:rPr>
          <w:rFonts w:hint="default" w:ascii="Times New Roman" w:hAnsi="Times New Roman" w:eastAsia="Times New Roman" w:cs="Times New Roman"/>
          <w:color w:val="auto"/>
          <w:spacing w:val="20"/>
          <w:kern w:val="0"/>
          <w:sz w:val="24"/>
          <w:szCs w:val="24"/>
          <w:highlight w:val="none"/>
        </w:rPr>
      </w:pPr>
      <w:r>
        <w:rPr>
          <w:rFonts w:hint="default" w:ascii="Times New Roman" w:hAnsi="Times New Roman" w:eastAsia="宋体" w:cs="Times New Roman"/>
          <w:color w:val="auto"/>
          <w:sz w:val="24"/>
          <w:szCs w:val="24"/>
          <w:highlight w:val="none"/>
        </w:rPr>
        <w:t>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r>
        <w:rPr>
          <w:rFonts w:hint="default" w:ascii="Times New Roman" w:hAnsi="Times New Roman" w:eastAsia="Times New Roman" w:cs="Times New Roman"/>
          <w:color w:val="auto"/>
          <w:spacing w:val="20"/>
          <w:kern w:val="0"/>
          <w:sz w:val="24"/>
          <w:szCs w:val="24"/>
          <w:highlight w:val="none"/>
        </w:rPr>
        <w:t xml:space="preserve"> </w:t>
      </w:r>
    </w:p>
    <w:p w14:paraId="5C684BDA">
      <w:pPr>
        <w:snapToGrid w:val="0"/>
        <w:spacing w:before="60" w:after="60" w:line="460" w:lineRule="exact"/>
        <w:ind w:firstLine="3600" w:firstLineChars="15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期：</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日</w:t>
      </w:r>
    </w:p>
    <w:p w14:paraId="1560C1AC">
      <w:pPr>
        <w:snapToGrid w:val="0"/>
        <w:spacing w:before="60" w:line="312" w:lineRule="auto"/>
        <w:jc w:val="left"/>
        <w:rPr>
          <w:rFonts w:hint="default" w:ascii="Times New Roman" w:hAnsi="Times New Roman" w:eastAsia="宋体" w:cs="Times New Roman"/>
          <w:b/>
          <w:bCs/>
          <w:color w:val="auto"/>
          <w:sz w:val="24"/>
          <w:szCs w:val="24"/>
          <w:highlight w:val="none"/>
        </w:rPr>
      </w:pPr>
    </w:p>
    <w:p w14:paraId="4CA3DB74">
      <w:pPr>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br w:type="page"/>
      </w:r>
    </w:p>
    <w:p w14:paraId="5FD51B19">
      <w:pPr>
        <w:snapToGrid w:val="0"/>
        <w:spacing w:before="60" w:after="60" w:line="460" w:lineRule="exact"/>
        <w:jc w:val="right"/>
        <w:rPr>
          <w:rFonts w:hint="default" w:ascii="Times New Roman" w:hAnsi="Times New Roman" w:eastAsia="宋体" w:cs="Times New Roman"/>
          <w:b/>
          <w:bCs/>
          <w:color w:val="auto"/>
          <w:sz w:val="32"/>
          <w:szCs w:val="32"/>
          <w:highlight w:val="none"/>
        </w:rPr>
      </w:pPr>
    </w:p>
    <w:p w14:paraId="6802A865">
      <w:pPr>
        <w:pStyle w:val="4"/>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投标保证金</w:t>
      </w:r>
      <w:r>
        <w:rPr>
          <w:rFonts w:hint="default" w:ascii="Times New Roman" w:hAnsi="Times New Roman" w:cs="Times New Roman"/>
          <w:color w:val="auto"/>
          <w:sz w:val="24"/>
          <w:szCs w:val="24"/>
          <w:highlight w:val="none"/>
          <w:lang w:val="en-US" w:eastAsia="zh-CN"/>
        </w:rPr>
        <w:t>交纳凭证</w:t>
      </w:r>
    </w:p>
    <w:p w14:paraId="636BFD13">
      <w:pPr>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可自主选择以银行转账、支票、汇票、本票或者金融机构、担保机构出具的保函等非现金形式提交</w:t>
      </w:r>
      <w:r>
        <w:rPr>
          <w:rFonts w:hint="eastAsia"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保证金。提供</w:t>
      </w:r>
      <w:r>
        <w:rPr>
          <w:rFonts w:hint="eastAsia"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保证金交纳证明扫描件。</w:t>
      </w:r>
    </w:p>
    <w:p w14:paraId="5F361738">
      <w:pPr>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证明文件扫描件清晰</w:t>
      </w:r>
      <w:r>
        <w:rPr>
          <w:rFonts w:hint="default" w:ascii="Times New Roman" w:hAnsi="Times New Roman" w:eastAsia="宋体" w:cs="Times New Roman"/>
          <w:color w:val="auto"/>
          <w:sz w:val="24"/>
          <w:szCs w:val="24"/>
          <w:highlight w:val="none"/>
          <w:lang w:val="en-US" w:eastAsia="zh-CN"/>
        </w:rPr>
        <w:t>有效</w:t>
      </w:r>
      <w:r>
        <w:rPr>
          <w:rFonts w:hint="default" w:ascii="Times New Roman" w:hAnsi="Times New Roman" w:eastAsia="宋体" w:cs="Times New Roman"/>
          <w:color w:val="auto"/>
          <w:sz w:val="24"/>
          <w:szCs w:val="24"/>
          <w:highlight w:val="none"/>
        </w:rPr>
        <w:t>。</w:t>
      </w:r>
    </w:p>
    <w:p w14:paraId="078EC07D">
      <w:pPr>
        <w:pStyle w:val="7"/>
        <w:rPr>
          <w:rFonts w:hint="default" w:ascii="Times New Roman" w:hAnsi="Times New Roman" w:cs="Times New Roman"/>
          <w:color w:val="auto"/>
          <w:highlight w:val="none"/>
          <w:lang w:eastAsia="zh-CN"/>
        </w:rPr>
      </w:pPr>
    </w:p>
    <w:p w14:paraId="1313A948">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4、商务条款应答书</w:t>
      </w:r>
    </w:p>
    <w:p w14:paraId="3E2FD6B8">
      <w:pPr>
        <w:snapToGrid w:val="0"/>
        <w:spacing w:before="374" w:after="60" w:line="46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商务条款应答书</w:t>
      </w:r>
    </w:p>
    <w:p w14:paraId="4C9E0D24">
      <w:pPr>
        <w:snapToGrid w:val="0"/>
        <w:spacing w:line="460" w:lineRule="atLeas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r>
        <w:rPr>
          <w:rFonts w:hint="default" w:ascii="Times New Roman" w:hAnsi="Times New Roman" w:eastAsia="Times New Roman" w:cs="Times New Roman"/>
          <w:color w:val="auto"/>
          <w:sz w:val="24"/>
          <w:szCs w:val="24"/>
          <w:highlight w:val="none"/>
          <w:u w:val="single"/>
        </w:rPr>
        <w:t xml:space="preserve">                                       </w:t>
      </w:r>
    </w:p>
    <w:p w14:paraId="1B09D1E1">
      <w:pPr>
        <w:snapToGrid w:val="0"/>
        <w:spacing w:line="460" w:lineRule="atLeas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项目编号：</w:t>
      </w:r>
      <w:r>
        <w:rPr>
          <w:rFonts w:hint="default" w:ascii="Times New Roman" w:hAnsi="Times New Roman" w:eastAsia="Times New Roman" w:cs="Times New Roman"/>
          <w:color w:val="auto"/>
          <w:sz w:val="24"/>
          <w:szCs w:val="24"/>
          <w:highlight w:val="none"/>
          <w:u w:val="single"/>
        </w:rPr>
        <w:t xml:space="preserve">                                       </w:t>
      </w:r>
    </w:p>
    <w:p w14:paraId="2558F49B">
      <w:pPr>
        <w:pStyle w:val="5"/>
        <w:rPr>
          <w:rFonts w:hint="default" w:ascii="Times New Roman" w:hAnsi="Times New Roman" w:cs="Times New Roman"/>
          <w:color w:val="auto"/>
          <w:highlight w:val="none"/>
        </w:rPr>
      </w:pPr>
    </w:p>
    <w:p w14:paraId="487B462A">
      <w:pPr>
        <w:rPr>
          <w:rFonts w:hint="default"/>
        </w:rPr>
      </w:pPr>
    </w:p>
    <w:tbl>
      <w:tblPr>
        <w:tblStyle w:val="18"/>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75"/>
        <w:gridCol w:w="4260"/>
        <w:gridCol w:w="3975"/>
      </w:tblGrid>
      <w:tr w14:paraId="3D0F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6AC943C4">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4260" w:type="dxa"/>
            <w:tcBorders>
              <w:top w:val="single" w:color="000000" w:sz="8" w:space="0"/>
              <w:left w:val="single" w:color="000000" w:sz="8" w:space="0"/>
              <w:bottom w:val="single" w:color="000000" w:sz="8" w:space="0"/>
              <w:right w:val="single" w:color="000000" w:sz="8" w:space="0"/>
            </w:tcBorders>
            <w:vAlign w:val="center"/>
          </w:tcPr>
          <w:p w14:paraId="2A60D110">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招标文件商务要求</w:t>
            </w:r>
          </w:p>
        </w:tc>
        <w:tc>
          <w:tcPr>
            <w:tcW w:w="3975" w:type="dxa"/>
            <w:tcBorders>
              <w:top w:val="single" w:color="000000" w:sz="8" w:space="0"/>
              <w:left w:val="single" w:color="000000" w:sz="8" w:space="0"/>
              <w:bottom w:val="single" w:color="000000" w:sz="8" w:space="0"/>
              <w:right w:val="single" w:color="000000" w:sz="8" w:space="0"/>
            </w:tcBorders>
            <w:vAlign w:val="center"/>
          </w:tcPr>
          <w:p w14:paraId="501B83A6">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投标文件的应答内容</w:t>
            </w:r>
          </w:p>
        </w:tc>
      </w:tr>
      <w:tr w14:paraId="14A4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53B9A5D6">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4260" w:type="dxa"/>
            <w:tcBorders>
              <w:top w:val="single" w:color="000000" w:sz="8" w:space="0"/>
              <w:left w:val="single" w:color="000000" w:sz="8" w:space="0"/>
              <w:bottom w:val="single" w:color="000000" w:sz="8" w:space="0"/>
              <w:right w:val="single" w:color="000000" w:sz="8" w:space="0"/>
            </w:tcBorders>
            <w:vAlign w:val="center"/>
          </w:tcPr>
          <w:p w14:paraId="3A7FE017">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投标文件有效期</w:t>
            </w:r>
          </w:p>
        </w:tc>
        <w:tc>
          <w:tcPr>
            <w:tcW w:w="3975" w:type="dxa"/>
            <w:tcBorders>
              <w:top w:val="single" w:color="000000" w:sz="8" w:space="0"/>
              <w:left w:val="single" w:color="000000" w:sz="8" w:space="0"/>
              <w:bottom w:val="single" w:color="000000" w:sz="8" w:space="0"/>
              <w:right w:val="single" w:color="000000" w:sz="8" w:space="0"/>
            </w:tcBorders>
            <w:vAlign w:val="center"/>
          </w:tcPr>
          <w:p w14:paraId="6DAB398A">
            <w:pPr>
              <w:snapToGrid w:val="0"/>
              <w:spacing w:line="320" w:lineRule="exact"/>
              <w:jc w:val="center"/>
              <w:rPr>
                <w:rFonts w:hint="default" w:ascii="Times New Roman" w:hAnsi="Times New Roman" w:eastAsia="宋体" w:cs="Times New Roman"/>
                <w:color w:val="auto"/>
                <w:sz w:val="24"/>
                <w:szCs w:val="24"/>
                <w:highlight w:val="none"/>
              </w:rPr>
            </w:pPr>
          </w:p>
        </w:tc>
      </w:tr>
      <w:tr w14:paraId="0F0B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1B0F960F">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p>
        </w:tc>
        <w:tc>
          <w:tcPr>
            <w:tcW w:w="4260" w:type="dxa"/>
            <w:tcBorders>
              <w:top w:val="single" w:color="000000" w:sz="8" w:space="0"/>
              <w:left w:val="single" w:color="000000" w:sz="8" w:space="0"/>
              <w:bottom w:val="single" w:color="000000" w:sz="8" w:space="0"/>
              <w:right w:val="single" w:color="000000" w:sz="8" w:space="0"/>
            </w:tcBorders>
            <w:vAlign w:val="center"/>
          </w:tcPr>
          <w:p w14:paraId="366A4C2F">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免费质保期</w:t>
            </w:r>
          </w:p>
        </w:tc>
        <w:tc>
          <w:tcPr>
            <w:tcW w:w="3975" w:type="dxa"/>
            <w:tcBorders>
              <w:top w:val="single" w:color="000000" w:sz="8" w:space="0"/>
              <w:left w:val="single" w:color="000000" w:sz="8" w:space="0"/>
              <w:bottom w:val="single" w:color="000000" w:sz="8" w:space="0"/>
              <w:right w:val="single" w:color="000000" w:sz="8" w:space="0"/>
            </w:tcBorders>
            <w:vAlign w:val="center"/>
          </w:tcPr>
          <w:p w14:paraId="61C16BE3">
            <w:pPr>
              <w:snapToGrid w:val="0"/>
              <w:spacing w:line="320" w:lineRule="exact"/>
              <w:jc w:val="center"/>
              <w:rPr>
                <w:rFonts w:hint="default" w:ascii="Times New Roman" w:hAnsi="Times New Roman" w:eastAsia="宋体" w:cs="Times New Roman"/>
                <w:color w:val="auto"/>
                <w:sz w:val="24"/>
                <w:szCs w:val="24"/>
                <w:highlight w:val="none"/>
              </w:rPr>
            </w:pPr>
          </w:p>
        </w:tc>
      </w:tr>
      <w:tr w14:paraId="1AA0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48763059">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w:t>
            </w:r>
          </w:p>
        </w:tc>
        <w:tc>
          <w:tcPr>
            <w:tcW w:w="4260" w:type="dxa"/>
            <w:tcBorders>
              <w:top w:val="single" w:color="000000" w:sz="8" w:space="0"/>
              <w:left w:val="single" w:color="000000" w:sz="8" w:space="0"/>
              <w:bottom w:val="single" w:color="000000" w:sz="8" w:space="0"/>
              <w:right w:val="single" w:color="000000" w:sz="8" w:space="0"/>
            </w:tcBorders>
            <w:vAlign w:val="center"/>
          </w:tcPr>
          <w:p w14:paraId="05018935">
            <w:pPr>
              <w:snapToGrid w:val="0"/>
              <w:spacing w:line="320" w:lineRule="exact"/>
              <w:jc w:val="center"/>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eastAsia="宋体" w:cs="Times New Roman"/>
                <w:color w:val="auto"/>
                <w:sz w:val="24"/>
                <w:szCs w:val="24"/>
                <w:highlight w:val="none"/>
              </w:rPr>
              <w:t>交货</w:t>
            </w:r>
            <w:r>
              <w:rPr>
                <w:rFonts w:hint="eastAsia" w:ascii="Times New Roman" w:hAnsi="Times New Roman" w:eastAsia="宋体" w:cs="Times New Roman"/>
                <w:color w:val="auto"/>
                <w:sz w:val="24"/>
                <w:szCs w:val="24"/>
                <w:highlight w:val="none"/>
                <w:lang w:val="en-US" w:eastAsia="zh-CN"/>
              </w:rPr>
              <w:t>时间</w:t>
            </w:r>
          </w:p>
        </w:tc>
        <w:tc>
          <w:tcPr>
            <w:tcW w:w="3975" w:type="dxa"/>
            <w:tcBorders>
              <w:top w:val="single" w:color="000000" w:sz="8" w:space="0"/>
              <w:left w:val="single" w:color="000000" w:sz="8" w:space="0"/>
              <w:bottom w:val="single" w:color="000000" w:sz="8" w:space="0"/>
              <w:right w:val="single" w:color="000000" w:sz="8" w:space="0"/>
            </w:tcBorders>
            <w:vAlign w:val="center"/>
          </w:tcPr>
          <w:p w14:paraId="421B82F7">
            <w:pPr>
              <w:snapToGrid w:val="0"/>
              <w:spacing w:line="320" w:lineRule="exact"/>
              <w:jc w:val="center"/>
              <w:rPr>
                <w:rFonts w:hint="default" w:ascii="Times New Roman" w:hAnsi="Times New Roman" w:eastAsia="宋体" w:cs="Times New Roman"/>
                <w:color w:val="auto"/>
                <w:sz w:val="24"/>
                <w:szCs w:val="24"/>
                <w:highlight w:val="none"/>
              </w:rPr>
            </w:pPr>
          </w:p>
        </w:tc>
      </w:tr>
      <w:tr w14:paraId="0A7F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55B7BC06">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4</w:t>
            </w:r>
          </w:p>
        </w:tc>
        <w:tc>
          <w:tcPr>
            <w:tcW w:w="4260" w:type="dxa"/>
            <w:tcBorders>
              <w:top w:val="single" w:color="000000" w:sz="8" w:space="0"/>
              <w:left w:val="single" w:color="000000" w:sz="8" w:space="0"/>
              <w:bottom w:val="single" w:color="000000" w:sz="8" w:space="0"/>
              <w:right w:val="single" w:color="000000" w:sz="8" w:space="0"/>
            </w:tcBorders>
            <w:vAlign w:val="center"/>
          </w:tcPr>
          <w:p w14:paraId="19EE60BB">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交货地点</w:t>
            </w:r>
          </w:p>
        </w:tc>
        <w:tc>
          <w:tcPr>
            <w:tcW w:w="3975" w:type="dxa"/>
            <w:tcBorders>
              <w:top w:val="single" w:color="000000" w:sz="8" w:space="0"/>
              <w:left w:val="single" w:color="000000" w:sz="8" w:space="0"/>
              <w:bottom w:val="single" w:color="000000" w:sz="8" w:space="0"/>
              <w:right w:val="single" w:color="000000" w:sz="8" w:space="0"/>
            </w:tcBorders>
            <w:vAlign w:val="center"/>
          </w:tcPr>
          <w:p w14:paraId="5C9B6C56">
            <w:pPr>
              <w:snapToGrid w:val="0"/>
              <w:spacing w:line="320" w:lineRule="exact"/>
              <w:jc w:val="center"/>
              <w:rPr>
                <w:rFonts w:hint="default" w:ascii="Times New Roman" w:hAnsi="Times New Roman" w:eastAsia="宋体" w:cs="Times New Roman"/>
                <w:color w:val="auto"/>
                <w:sz w:val="24"/>
                <w:szCs w:val="24"/>
                <w:highlight w:val="none"/>
              </w:rPr>
            </w:pPr>
          </w:p>
        </w:tc>
      </w:tr>
      <w:tr w14:paraId="53F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5EEC124F">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w:t>
            </w:r>
          </w:p>
        </w:tc>
        <w:tc>
          <w:tcPr>
            <w:tcW w:w="4260" w:type="dxa"/>
            <w:tcBorders>
              <w:top w:val="single" w:color="000000" w:sz="8" w:space="0"/>
              <w:left w:val="single" w:color="000000" w:sz="8" w:space="0"/>
              <w:bottom w:val="single" w:color="000000" w:sz="8" w:space="0"/>
              <w:right w:val="single" w:color="000000" w:sz="8" w:space="0"/>
            </w:tcBorders>
            <w:vAlign w:val="center"/>
          </w:tcPr>
          <w:p w14:paraId="75DAA8D6">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交货方式</w:t>
            </w:r>
          </w:p>
        </w:tc>
        <w:tc>
          <w:tcPr>
            <w:tcW w:w="3975" w:type="dxa"/>
            <w:tcBorders>
              <w:top w:val="single" w:color="000000" w:sz="8" w:space="0"/>
              <w:left w:val="single" w:color="000000" w:sz="8" w:space="0"/>
              <w:bottom w:val="single" w:color="000000" w:sz="8" w:space="0"/>
              <w:right w:val="single" w:color="000000" w:sz="8" w:space="0"/>
            </w:tcBorders>
            <w:vAlign w:val="center"/>
          </w:tcPr>
          <w:p w14:paraId="14C4B949">
            <w:pPr>
              <w:snapToGrid w:val="0"/>
              <w:spacing w:line="320" w:lineRule="exact"/>
              <w:ind w:left="1350" w:leftChars="300" w:hanging="720" w:hangingChars="300"/>
              <w:rPr>
                <w:rFonts w:hint="default" w:ascii="Times New Roman" w:hAnsi="Times New Roman" w:eastAsia="宋体" w:cs="Times New Roman"/>
                <w:color w:val="auto"/>
                <w:sz w:val="24"/>
                <w:szCs w:val="24"/>
                <w:highlight w:val="none"/>
              </w:rPr>
            </w:pPr>
          </w:p>
        </w:tc>
      </w:tr>
      <w:tr w14:paraId="03AC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6E32B393">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6</w:t>
            </w:r>
          </w:p>
        </w:tc>
        <w:tc>
          <w:tcPr>
            <w:tcW w:w="4260" w:type="dxa"/>
            <w:tcBorders>
              <w:top w:val="single" w:color="000000" w:sz="8" w:space="0"/>
              <w:left w:val="single" w:color="000000" w:sz="8" w:space="0"/>
              <w:bottom w:val="single" w:color="000000" w:sz="8" w:space="0"/>
              <w:right w:val="single" w:color="000000" w:sz="8" w:space="0"/>
            </w:tcBorders>
            <w:vAlign w:val="center"/>
          </w:tcPr>
          <w:p w14:paraId="2F5EEBBD">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付款方式</w:t>
            </w:r>
          </w:p>
        </w:tc>
        <w:tc>
          <w:tcPr>
            <w:tcW w:w="3975" w:type="dxa"/>
            <w:tcBorders>
              <w:top w:val="single" w:color="000000" w:sz="8" w:space="0"/>
              <w:left w:val="single" w:color="000000" w:sz="8" w:space="0"/>
              <w:bottom w:val="single" w:color="000000" w:sz="8" w:space="0"/>
              <w:right w:val="single" w:color="000000" w:sz="8" w:space="0"/>
            </w:tcBorders>
            <w:vAlign w:val="center"/>
          </w:tcPr>
          <w:p w14:paraId="4BE82E82">
            <w:pPr>
              <w:snapToGrid w:val="0"/>
              <w:spacing w:line="320" w:lineRule="exact"/>
              <w:jc w:val="center"/>
              <w:rPr>
                <w:rFonts w:hint="default" w:ascii="Times New Roman" w:hAnsi="Times New Roman" w:eastAsia="宋体" w:cs="Times New Roman"/>
                <w:color w:val="auto"/>
                <w:sz w:val="24"/>
                <w:szCs w:val="24"/>
                <w:highlight w:val="none"/>
              </w:rPr>
            </w:pPr>
          </w:p>
        </w:tc>
      </w:tr>
      <w:tr w14:paraId="78E5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6BD6D21D">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7</w:t>
            </w:r>
          </w:p>
        </w:tc>
        <w:tc>
          <w:tcPr>
            <w:tcW w:w="4260" w:type="dxa"/>
            <w:tcBorders>
              <w:top w:val="single" w:color="000000" w:sz="8" w:space="0"/>
              <w:left w:val="single" w:color="000000" w:sz="8" w:space="0"/>
              <w:bottom w:val="single" w:color="000000" w:sz="8" w:space="0"/>
              <w:right w:val="single" w:color="000000" w:sz="8" w:space="0"/>
            </w:tcBorders>
            <w:vAlign w:val="center"/>
          </w:tcPr>
          <w:p w14:paraId="73CC4E17">
            <w:pPr>
              <w:pStyle w:val="8"/>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培训要求</w:t>
            </w:r>
          </w:p>
        </w:tc>
        <w:tc>
          <w:tcPr>
            <w:tcW w:w="3975" w:type="dxa"/>
            <w:tcBorders>
              <w:top w:val="single" w:color="000000" w:sz="8" w:space="0"/>
              <w:left w:val="single" w:color="000000" w:sz="8" w:space="0"/>
              <w:bottom w:val="single" w:color="000000" w:sz="8" w:space="0"/>
              <w:right w:val="single" w:color="000000" w:sz="8" w:space="0"/>
            </w:tcBorders>
            <w:vAlign w:val="center"/>
          </w:tcPr>
          <w:p w14:paraId="2C662057">
            <w:pPr>
              <w:snapToGrid w:val="0"/>
              <w:spacing w:line="320" w:lineRule="exact"/>
              <w:jc w:val="center"/>
              <w:rPr>
                <w:rFonts w:hint="default" w:ascii="Times New Roman" w:hAnsi="Times New Roman" w:eastAsia="宋体" w:cs="Times New Roman"/>
                <w:color w:val="auto"/>
                <w:sz w:val="24"/>
                <w:szCs w:val="24"/>
                <w:highlight w:val="none"/>
              </w:rPr>
            </w:pPr>
          </w:p>
        </w:tc>
      </w:tr>
    </w:tbl>
    <w:p w14:paraId="3819F2B7">
      <w:pPr>
        <w:snapToGrid w:val="0"/>
        <w:spacing w:before="60" w:after="60" w:line="320" w:lineRule="exact"/>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w:t>
      </w:r>
    </w:p>
    <w:p w14:paraId="5A2FB3CB">
      <w:pPr>
        <w:snapToGrid w:val="0"/>
        <w:spacing w:before="60" w:after="60" w:line="320" w:lineRule="exact"/>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 xml:space="preserve">(公章)  </w:t>
      </w:r>
    </w:p>
    <w:p w14:paraId="1FD8E589">
      <w:pPr>
        <w:snapToGrid w:val="0"/>
        <w:spacing w:before="60" w:after="60" w:line="320" w:lineRule="exact"/>
        <w:ind w:firstLine="2940" w:firstLineChars="1225"/>
        <w:rPr>
          <w:rFonts w:hint="default" w:ascii="Times New Roman" w:hAnsi="Times New Roman" w:eastAsia="宋体" w:cs="Times New Roman"/>
          <w:color w:val="auto"/>
          <w:sz w:val="24"/>
          <w:szCs w:val="24"/>
          <w:highlight w:val="none"/>
        </w:rPr>
      </w:pPr>
    </w:p>
    <w:p w14:paraId="185560AF">
      <w:pPr>
        <w:snapToGrid w:val="0"/>
        <w:spacing w:before="60" w:after="60" w:line="320" w:lineRule="exact"/>
        <w:ind w:firstLine="3660" w:firstLineChars="152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0AE6AE4B">
      <w:pPr>
        <w:snapToGrid w:val="0"/>
        <w:spacing w:before="60" w:after="60" w:line="460" w:lineRule="exact"/>
        <w:jc w:val="left"/>
        <w:rPr>
          <w:rFonts w:hint="default" w:ascii="Times New Roman" w:hAnsi="Times New Roman" w:eastAsia="宋体" w:cs="Times New Roman"/>
          <w:color w:val="auto"/>
          <w:sz w:val="24"/>
          <w:szCs w:val="24"/>
          <w:highlight w:val="none"/>
        </w:rPr>
      </w:pPr>
    </w:p>
    <w:p w14:paraId="7CC1050D">
      <w:pPr>
        <w:pStyle w:val="4"/>
        <w:numPr>
          <w:ilvl w:val="0"/>
          <w:numId w:val="0"/>
        </w:numPr>
        <w:ind w:left="0" w:leftChars="0" w:firstLine="0" w:firstLineChars="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bCs/>
          <w:color w:val="auto"/>
          <w:kern w:val="2"/>
          <w:sz w:val="24"/>
          <w:szCs w:val="24"/>
          <w:highlight w:val="none"/>
          <w:lang w:val="en-US" w:eastAsia="zh-CN" w:bidi="ar-SA"/>
        </w:rPr>
        <w:t>5</w:t>
      </w:r>
      <w:r>
        <w:rPr>
          <w:rFonts w:hint="default" w:ascii="Times New Roman" w:hAnsi="Times New Roman" w:cs="Times New Roman" w:eastAsiaTheme="minorEastAsia"/>
          <w:b/>
          <w:bCs/>
          <w:color w:val="auto"/>
          <w:kern w:val="2"/>
          <w:sz w:val="24"/>
          <w:szCs w:val="24"/>
          <w:highlight w:val="none"/>
          <w:lang w:val="en-US" w:eastAsia="zh-CN" w:bidi="ar-SA"/>
        </w:rPr>
        <w:t>、</w:t>
      </w:r>
      <w:r>
        <w:rPr>
          <w:rFonts w:hint="default" w:ascii="Times New Roman" w:hAnsi="Times New Roman" w:cs="Times New Roman"/>
          <w:color w:val="auto"/>
          <w:sz w:val="24"/>
          <w:szCs w:val="24"/>
          <w:highlight w:val="none"/>
          <w:lang w:val="en-US" w:eastAsia="zh-CN"/>
        </w:rPr>
        <w:t>供应商售后服务承诺函</w:t>
      </w:r>
    </w:p>
    <w:p w14:paraId="383F0010">
      <w:pPr>
        <w:numPr>
          <w:ilvl w:val="0"/>
          <w:numId w:val="0"/>
        </w:numPr>
        <w:ind w:leftChars="0"/>
        <w:rPr>
          <w:rFonts w:hint="default" w:ascii="Times New Roman" w:hAnsi="Times New Roman" w:cs="Times New Roman"/>
          <w:color w:val="auto"/>
          <w:highlight w:val="none"/>
          <w:lang w:val="en-US" w:eastAsia="zh-CN"/>
        </w:rPr>
      </w:pPr>
    </w:p>
    <w:p w14:paraId="2CE00B81">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6、政策性及强制性要求的响应情况（如涉及须提供）</w:t>
      </w:r>
    </w:p>
    <w:p w14:paraId="312402A2">
      <w:pPr>
        <w:pStyle w:val="7"/>
        <w:rPr>
          <w:rFonts w:hint="default" w:ascii="Times New Roman" w:hAnsi="Times New Roman" w:cs="Times New Roman"/>
          <w:color w:val="auto"/>
          <w:highlight w:val="none"/>
        </w:rPr>
      </w:pPr>
    </w:p>
    <w:p w14:paraId="102AFCB6">
      <w:pPr>
        <w:snapToGrid w:val="0"/>
        <w:spacing w:before="60" w:after="60" w:line="360" w:lineRule="auto"/>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1</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Times New Roman" w:cs="Times New Roman"/>
          <w:b/>
          <w:bCs/>
          <w:color w:val="auto"/>
          <w:sz w:val="24"/>
          <w:szCs w:val="24"/>
          <w:highlight w:val="none"/>
        </w:rPr>
        <w:t>政府强制采购产品明细表格式</w:t>
      </w:r>
    </w:p>
    <w:p w14:paraId="17E0E56B">
      <w:pPr>
        <w:snapToGrid w:val="0"/>
        <w:spacing w:before="60" w:after="60"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政府强制采购产品明细表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15"/>
        <w:gridCol w:w="1110"/>
        <w:gridCol w:w="945"/>
        <w:gridCol w:w="1755"/>
        <w:gridCol w:w="1695"/>
        <w:gridCol w:w="2010"/>
      </w:tblGrid>
      <w:tr w14:paraId="6FE3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vAlign w:val="center"/>
          </w:tcPr>
          <w:p w14:paraId="55E5AC09">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包号</w:t>
            </w:r>
            <w:r>
              <w:rPr>
                <w:rFonts w:hint="default" w:ascii="Times New Roman" w:hAnsi="Times New Roman" w:eastAsia="Calibri" w:cs="Times New Roman"/>
                <w:b/>
                <w:bCs/>
                <w:color w:val="auto"/>
                <w:sz w:val="24"/>
                <w:szCs w:val="24"/>
                <w:highlight w:val="none"/>
              </w:rPr>
              <w:t>/</w:t>
            </w:r>
            <w:r>
              <w:rPr>
                <w:rFonts w:hint="default" w:ascii="Times New Roman" w:hAnsi="Times New Roman" w:eastAsia="宋体" w:cs="Times New Roman"/>
                <w:b/>
                <w:bCs/>
                <w:color w:val="auto"/>
                <w:sz w:val="24"/>
                <w:szCs w:val="24"/>
                <w:highlight w:val="none"/>
              </w:rPr>
              <w:t>序号</w:t>
            </w:r>
          </w:p>
        </w:tc>
        <w:tc>
          <w:tcPr>
            <w:tcW w:w="1110" w:type="dxa"/>
            <w:tcBorders>
              <w:top w:val="single" w:color="000000" w:sz="8" w:space="0"/>
              <w:left w:val="single" w:color="000000" w:sz="8" w:space="0"/>
              <w:bottom w:val="single" w:color="000000" w:sz="8" w:space="0"/>
              <w:right w:val="single" w:color="000000" w:sz="8" w:space="0"/>
            </w:tcBorders>
            <w:vAlign w:val="center"/>
          </w:tcPr>
          <w:p w14:paraId="37BFA4ED">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产品名称</w:t>
            </w:r>
          </w:p>
        </w:tc>
        <w:tc>
          <w:tcPr>
            <w:tcW w:w="945" w:type="dxa"/>
            <w:tcBorders>
              <w:top w:val="single" w:color="000000" w:sz="8" w:space="0"/>
              <w:left w:val="single" w:color="000000" w:sz="8" w:space="0"/>
              <w:bottom w:val="single" w:color="000000" w:sz="8" w:space="0"/>
              <w:right w:val="single" w:color="000000" w:sz="8" w:space="0"/>
            </w:tcBorders>
            <w:vAlign w:val="center"/>
          </w:tcPr>
          <w:p w14:paraId="4E71F6E3">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制造商</w:t>
            </w:r>
          </w:p>
        </w:tc>
        <w:tc>
          <w:tcPr>
            <w:tcW w:w="1755" w:type="dxa"/>
            <w:tcBorders>
              <w:top w:val="single" w:color="000000" w:sz="8" w:space="0"/>
              <w:left w:val="single" w:color="000000" w:sz="8" w:space="0"/>
              <w:bottom w:val="single" w:color="000000" w:sz="8" w:space="0"/>
              <w:right w:val="single" w:color="000000" w:sz="8" w:space="0"/>
            </w:tcBorders>
            <w:vAlign w:val="center"/>
          </w:tcPr>
          <w:p w14:paraId="69E433EC">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产品型号</w:t>
            </w:r>
          </w:p>
        </w:tc>
        <w:tc>
          <w:tcPr>
            <w:tcW w:w="1695" w:type="dxa"/>
            <w:tcBorders>
              <w:top w:val="single" w:color="000000" w:sz="8" w:space="0"/>
              <w:left w:val="single" w:color="000000" w:sz="8" w:space="0"/>
              <w:bottom w:val="single" w:color="000000" w:sz="8" w:space="0"/>
              <w:right w:val="single" w:color="000000" w:sz="8" w:space="0"/>
            </w:tcBorders>
            <w:vAlign w:val="center"/>
          </w:tcPr>
          <w:p w14:paraId="04E415DE">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认证证书编号</w:t>
            </w:r>
          </w:p>
        </w:tc>
        <w:tc>
          <w:tcPr>
            <w:tcW w:w="2010" w:type="dxa"/>
            <w:tcBorders>
              <w:top w:val="single" w:color="000000" w:sz="8" w:space="0"/>
              <w:left w:val="single" w:color="000000" w:sz="8" w:space="0"/>
              <w:bottom w:val="single" w:color="000000" w:sz="8" w:space="0"/>
              <w:right w:val="single" w:color="000000" w:sz="8" w:space="0"/>
            </w:tcBorders>
            <w:vAlign w:val="center"/>
          </w:tcPr>
          <w:p w14:paraId="3845F985">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认证证书有</w:t>
            </w:r>
          </w:p>
          <w:p w14:paraId="10F64B8F">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效截止日期</w:t>
            </w:r>
          </w:p>
        </w:tc>
      </w:tr>
      <w:tr w14:paraId="2542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6F69E850">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4B5DB924">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3285C1A6">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107BC0B7">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411C4AF4">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460547AE">
            <w:pPr>
              <w:snapToGrid w:val="0"/>
              <w:jc w:val="center"/>
              <w:rPr>
                <w:rFonts w:hint="default" w:ascii="Times New Roman" w:hAnsi="Times New Roman" w:eastAsia="宋体" w:cs="Times New Roman"/>
                <w:color w:val="auto"/>
                <w:sz w:val="24"/>
                <w:szCs w:val="24"/>
                <w:highlight w:val="none"/>
              </w:rPr>
            </w:pPr>
          </w:p>
        </w:tc>
      </w:tr>
      <w:tr w14:paraId="40BF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4AFCF5E5">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27BD970D">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336CC194">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41F1473A">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67E7957D">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56C72B98">
            <w:pPr>
              <w:snapToGrid w:val="0"/>
              <w:jc w:val="center"/>
              <w:rPr>
                <w:rFonts w:hint="default" w:ascii="Times New Roman" w:hAnsi="Times New Roman" w:eastAsia="宋体" w:cs="Times New Roman"/>
                <w:color w:val="auto"/>
                <w:sz w:val="24"/>
                <w:szCs w:val="24"/>
                <w:highlight w:val="none"/>
              </w:rPr>
            </w:pPr>
          </w:p>
        </w:tc>
      </w:tr>
      <w:tr w14:paraId="2228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3BC501BD">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2771D8DE">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5BA93323">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7F2284D7">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1DE85599">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290A58D5">
            <w:pPr>
              <w:snapToGrid w:val="0"/>
              <w:jc w:val="center"/>
              <w:rPr>
                <w:rFonts w:hint="default" w:ascii="Times New Roman" w:hAnsi="Times New Roman" w:eastAsia="宋体" w:cs="Times New Roman"/>
                <w:color w:val="auto"/>
                <w:sz w:val="24"/>
                <w:szCs w:val="24"/>
                <w:highlight w:val="none"/>
              </w:rPr>
            </w:pPr>
          </w:p>
        </w:tc>
      </w:tr>
      <w:tr w14:paraId="4171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0FC93EF3">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12818697">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79BDE36A">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15492583">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5AC2FA97">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7C40E806">
            <w:pPr>
              <w:snapToGrid w:val="0"/>
              <w:jc w:val="center"/>
              <w:rPr>
                <w:rFonts w:hint="default" w:ascii="Times New Roman" w:hAnsi="Times New Roman" w:eastAsia="宋体" w:cs="Times New Roman"/>
                <w:color w:val="auto"/>
                <w:sz w:val="24"/>
                <w:szCs w:val="24"/>
                <w:highlight w:val="none"/>
              </w:rPr>
            </w:pPr>
          </w:p>
        </w:tc>
      </w:tr>
    </w:tbl>
    <w:p w14:paraId="46C1B2EA">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1）本文件未列出政府强制采购产品的，投标人可投报“节能产品政府采购品目清单、环境标志产品政府采购品目清单”中非政府强制采购产品或其范围以外的产品。</w:t>
      </w:r>
    </w:p>
    <w:p w14:paraId="6D769E54">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2）认证证书附后（有效期之内的节能产品认证证书扫描件）。</w:t>
      </w:r>
    </w:p>
    <w:p w14:paraId="048BFB2D">
      <w:pPr>
        <w:snapToGrid w:val="0"/>
        <w:spacing w:before="60" w:after="60" w:line="312" w:lineRule="auto"/>
        <w:rPr>
          <w:rFonts w:hint="default" w:ascii="Times New Roman" w:hAnsi="Times New Roman" w:eastAsia="宋体" w:cs="Times New Roman"/>
          <w:color w:val="auto"/>
          <w:sz w:val="20"/>
          <w:szCs w:val="20"/>
          <w:highlight w:val="none"/>
        </w:rPr>
      </w:pPr>
    </w:p>
    <w:p w14:paraId="75C2BC02">
      <w:pPr>
        <w:snapToGrid w:val="0"/>
        <w:spacing w:before="60" w:after="60" w:line="320" w:lineRule="exact"/>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2B42974F">
      <w:pPr>
        <w:snapToGrid w:val="0"/>
        <w:spacing w:before="60" w:after="60" w:line="320" w:lineRule="exact"/>
        <w:ind w:firstLine="2940" w:firstLineChars="1225"/>
        <w:rPr>
          <w:rFonts w:hint="default" w:ascii="Times New Roman" w:hAnsi="Times New Roman" w:eastAsia="宋体" w:cs="Times New Roman"/>
          <w:color w:val="auto"/>
          <w:sz w:val="24"/>
          <w:szCs w:val="24"/>
          <w:highlight w:val="none"/>
        </w:rPr>
      </w:pPr>
    </w:p>
    <w:p w14:paraId="1E62AC8E">
      <w:pPr>
        <w:snapToGrid w:val="0"/>
        <w:spacing w:before="60" w:after="60" w:line="320" w:lineRule="exact"/>
        <w:ind w:firstLine="3660" w:firstLineChars="1525"/>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454AFB62">
      <w:pPr>
        <w:snapToGrid w:val="0"/>
        <w:spacing w:before="60" w:after="60" w:line="360" w:lineRule="auto"/>
        <w:rPr>
          <w:rFonts w:hint="default" w:ascii="Times New Roman" w:hAnsi="Times New Roman" w:eastAsia="Times New Roman" w:cs="Times New Roman"/>
          <w:b/>
          <w:bCs/>
          <w:color w:val="auto"/>
          <w:sz w:val="24"/>
          <w:szCs w:val="24"/>
          <w:highlight w:val="none"/>
        </w:rPr>
      </w:pPr>
    </w:p>
    <w:p w14:paraId="352B0061">
      <w:pPr>
        <w:keepNext w:val="0"/>
        <w:keepLines w:val="0"/>
        <w:pageBreakBefore w:val="0"/>
        <w:widowControl w:val="0"/>
        <w:kinsoku/>
        <w:wordWrap/>
        <w:overflowPunct/>
        <w:topLinePunct w:val="0"/>
        <w:autoSpaceDE/>
        <w:autoSpaceDN/>
        <w:bidi w:val="0"/>
        <w:spacing w:line="360" w:lineRule="auto"/>
        <w:ind w:left="0"/>
        <w:jc w:val="left"/>
        <w:textAlignment w:val="auto"/>
        <w:rPr>
          <w:rFonts w:hint="eastAsia" w:ascii="华文中宋" w:hAnsi="华文中宋" w:eastAsia="华文中宋" w:cs="华文中宋"/>
          <w:b/>
          <w:color w:val="auto"/>
          <w:sz w:val="24"/>
          <w:highlight w:val="none"/>
          <w:lang w:val="en-US" w:eastAsia="zh-CN"/>
        </w:rPr>
      </w:pPr>
    </w:p>
    <w:p w14:paraId="383B5E4C">
      <w:pPr>
        <w:keepNext w:val="0"/>
        <w:keepLines w:val="0"/>
        <w:pageBreakBefore w:val="0"/>
        <w:widowControl w:val="0"/>
        <w:kinsoku/>
        <w:wordWrap/>
        <w:overflowPunct/>
        <w:topLinePunct w:val="0"/>
        <w:autoSpaceDE/>
        <w:autoSpaceDN/>
        <w:bidi w:val="0"/>
        <w:spacing w:line="360" w:lineRule="auto"/>
        <w:ind w:left="0"/>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2）符合绿色数据中心建设要求承诺书</w:t>
      </w:r>
      <w:r>
        <w:rPr>
          <w:rFonts w:hint="eastAsia" w:ascii="华文中宋" w:hAnsi="华文中宋" w:eastAsia="华文中宋" w:cs="华文中宋"/>
          <w:b/>
          <w:color w:val="auto"/>
          <w:sz w:val="24"/>
          <w:highlight w:val="none"/>
        </w:rPr>
        <w:t>格式</w:t>
      </w:r>
    </w:p>
    <w:p w14:paraId="47A779BE">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符合绿色数据中心建设要求承诺书</w:t>
      </w:r>
    </w:p>
    <w:p w14:paraId="335365F6">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w:t>
      </w:r>
      <w:r>
        <w:rPr>
          <w:rFonts w:hint="eastAsia" w:ascii="华文中宋" w:hAnsi="华文中宋" w:eastAsia="华文中宋" w:cs="华文中宋"/>
          <w:color w:val="auto"/>
          <w:kern w:val="0"/>
          <w:szCs w:val="21"/>
          <w:highlight w:val="none"/>
          <w:lang w:val="en-US" w:eastAsia="zh-CN"/>
        </w:rPr>
        <w:t>提供并完成数据中心建设内容及标准</w:t>
      </w:r>
      <w:r>
        <w:rPr>
          <w:rFonts w:hint="eastAsia" w:ascii="华文中宋" w:hAnsi="华文中宋" w:eastAsia="华文中宋" w:cs="华文中宋"/>
          <w:color w:val="auto"/>
          <w:kern w:val="0"/>
          <w:szCs w:val="21"/>
          <w:highlight w:val="none"/>
        </w:rPr>
        <w:t>符合</w:t>
      </w:r>
      <w:r>
        <w:rPr>
          <w:rFonts w:hint="eastAsia" w:ascii="华文中宋" w:hAnsi="华文中宋" w:eastAsia="华文中宋" w:cs="华文中宋"/>
          <w:color w:val="auto"/>
          <w:kern w:val="0"/>
          <w:szCs w:val="21"/>
          <w:highlight w:val="none"/>
          <w:lang w:val="en-US" w:eastAsia="zh-CN"/>
        </w:rPr>
        <w:t>绿色数据中心建设有关要求，完全满足或优于项目采购需求</w:t>
      </w:r>
      <w:r>
        <w:rPr>
          <w:rFonts w:hint="eastAsia" w:ascii="华文中宋" w:hAnsi="华文中宋" w:eastAsia="华文中宋" w:cs="华文中宋"/>
          <w:color w:val="auto"/>
          <w:kern w:val="0"/>
          <w:szCs w:val="21"/>
          <w:highlight w:val="none"/>
        </w:rPr>
        <w:t>。</w:t>
      </w:r>
    </w:p>
    <w:p w14:paraId="2CF40E51">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037D9A5">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2B1D32F3">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780C5DE9">
      <w:pPr>
        <w:keepNext w:val="0"/>
        <w:keepLines w:val="0"/>
        <w:pageBreakBefore w:val="0"/>
        <w:widowControl w:val="0"/>
        <w:kinsoku/>
        <w:wordWrap/>
        <w:overflowPunct/>
        <w:topLinePunct w:val="0"/>
        <w:autoSpaceDE/>
        <w:autoSpaceDN/>
        <w:bidi w:val="0"/>
        <w:spacing w:line="360" w:lineRule="auto"/>
        <w:ind w:left="0" w:leftChars="0"/>
        <w:jc w:val="right"/>
        <w:textAlignment w:val="auto"/>
        <w:rPr>
          <w:rFonts w:hint="eastAsia" w:ascii="华文中宋" w:hAnsi="华文中宋" w:eastAsia="华文中宋" w:cs="华文中宋"/>
          <w:b/>
          <w:color w:val="auto"/>
          <w:sz w:val="24"/>
          <w:highlight w:val="none"/>
          <w:lang w:val="en-US" w:eastAsia="zh-CN"/>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6F4EE416">
      <w:pPr>
        <w:keepNext w:val="0"/>
        <w:keepLines w:val="0"/>
        <w:pageBreakBefore w:val="0"/>
        <w:widowControl w:val="0"/>
        <w:kinsoku/>
        <w:wordWrap/>
        <w:overflowPunct/>
        <w:topLinePunct w:val="0"/>
        <w:autoSpaceDE/>
        <w:autoSpaceDN/>
        <w:bidi w:val="0"/>
        <w:spacing w:line="360" w:lineRule="auto"/>
        <w:ind w:left="0" w:leftChars="0"/>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3）符合绿色建筑和绿色建材政府采购需求承诺书</w:t>
      </w:r>
      <w:r>
        <w:rPr>
          <w:rFonts w:hint="eastAsia" w:ascii="华文中宋" w:hAnsi="华文中宋" w:eastAsia="华文中宋" w:cs="华文中宋"/>
          <w:b/>
          <w:color w:val="auto"/>
          <w:sz w:val="24"/>
          <w:highlight w:val="none"/>
        </w:rPr>
        <w:t>格式</w:t>
      </w:r>
    </w:p>
    <w:p w14:paraId="3B28836D">
      <w:pPr>
        <w:keepNext w:val="0"/>
        <w:keepLines w:val="0"/>
        <w:pageBreakBefore w:val="0"/>
        <w:widowControl w:val="0"/>
        <w:kinsoku/>
        <w:wordWrap/>
        <w:overflowPunct/>
        <w:topLinePunct w:val="0"/>
        <w:autoSpaceDE/>
        <w:autoSpaceDN/>
        <w:bidi w:val="0"/>
        <w:spacing w:line="360" w:lineRule="auto"/>
        <w:ind w:left="0" w:leftChars="0"/>
        <w:jc w:val="center"/>
        <w:textAlignment w:val="auto"/>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符合绿色建筑和绿色建材政府采购需求承诺书</w:t>
      </w:r>
    </w:p>
    <w:p w14:paraId="43259C10">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w:t>
      </w:r>
      <w:r>
        <w:rPr>
          <w:rFonts w:hint="eastAsia" w:ascii="华文中宋" w:hAnsi="华文中宋" w:eastAsia="华文中宋"/>
          <w:color w:val="auto"/>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华文中宋" w:hAnsi="华文中宋" w:eastAsia="华文中宋" w:cs="华文中宋"/>
          <w:color w:val="auto"/>
          <w:kern w:val="0"/>
          <w:szCs w:val="21"/>
          <w:highlight w:val="none"/>
        </w:rPr>
        <w:t>。</w:t>
      </w:r>
    </w:p>
    <w:p w14:paraId="33C0F4E5">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DDA05C1">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1DC03702">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13AADDBE">
      <w:pPr>
        <w:keepNext w:val="0"/>
        <w:keepLines w:val="0"/>
        <w:pageBreakBefore w:val="0"/>
        <w:widowControl w:val="0"/>
        <w:kinsoku/>
        <w:wordWrap/>
        <w:overflowPunct/>
        <w:topLinePunct w:val="0"/>
        <w:autoSpaceDE/>
        <w:autoSpaceDN/>
        <w:bidi w:val="0"/>
        <w:spacing w:line="360" w:lineRule="auto"/>
        <w:ind w:left="0" w:leftChars="0"/>
        <w:jc w:val="right"/>
        <w:textAlignment w:val="auto"/>
        <w:rPr>
          <w:rFonts w:hint="eastAsia" w:ascii="华文中宋" w:hAnsi="华文中宋" w:eastAsia="华文中宋" w:cs="华文中宋"/>
          <w:b/>
          <w:color w:val="auto"/>
          <w:sz w:val="24"/>
          <w:highlight w:val="none"/>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39F28FB9">
      <w:pPr>
        <w:keepNext w:val="0"/>
        <w:keepLines w:val="0"/>
        <w:pageBreakBefore w:val="0"/>
        <w:widowControl w:val="0"/>
        <w:kinsoku/>
        <w:wordWrap/>
        <w:overflowPunct/>
        <w:topLinePunct w:val="0"/>
        <w:autoSpaceDE/>
        <w:autoSpaceDN/>
        <w:bidi w:val="0"/>
        <w:spacing w:line="360" w:lineRule="auto"/>
        <w:ind w:left="0" w:leftChars="0"/>
        <w:jc w:val="left"/>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4）</w:t>
      </w:r>
      <w:r>
        <w:rPr>
          <w:rFonts w:hint="eastAsia" w:ascii="华文中宋" w:hAnsi="华文中宋" w:eastAsia="华文中宋" w:cs="华文中宋"/>
          <w:b/>
          <w:color w:val="auto"/>
          <w:sz w:val="24"/>
          <w:highlight w:val="none"/>
        </w:rPr>
        <w:t>商品包装和快递包装承诺格式</w:t>
      </w:r>
    </w:p>
    <w:p w14:paraId="7842BEFC">
      <w:pPr>
        <w:keepNext w:val="0"/>
        <w:keepLines w:val="0"/>
        <w:pageBreakBefore w:val="0"/>
        <w:widowControl w:val="0"/>
        <w:kinsoku/>
        <w:wordWrap/>
        <w:overflowPunct/>
        <w:topLinePunct w:val="0"/>
        <w:autoSpaceDE/>
        <w:autoSpaceDN/>
        <w:bidi w:val="0"/>
        <w:spacing w:line="360" w:lineRule="auto"/>
        <w:ind w:left="0" w:leftChars="0"/>
        <w:jc w:val="center"/>
        <w:textAlignment w:val="auto"/>
        <w:rPr>
          <w:rFonts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4"/>
          <w:highlight w:val="none"/>
        </w:rPr>
        <w:t>商品包装和快递包装承诺</w:t>
      </w:r>
    </w:p>
    <w:p w14:paraId="1877834C">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的采购活动，本公司承诺所供商品包装符合《商品包装政府采购需求标准（试行）》，快递包装符合《快递包装政府采购需求标准（试行）》。</w:t>
      </w:r>
    </w:p>
    <w:p w14:paraId="48ECD3AD">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41403824">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7EEE8527">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540E5065">
      <w:pPr>
        <w:keepNext w:val="0"/>
        <w:keepLines w:val="0"/>
        <w:pageBreakBefore w:val="0"/>
        <w:widowControl w:val="0"/>
        <w:kinsoku/>
        <w:wordWrap/>
        <w:overflowPunct/>
        <w:topLinePunct w:val="0"/>
        <w:autoSpaceDE/>
        <w:autoSpaceDN/>
        <w:bidi w:val="0"/>
        <w:spacing w:line="360" w:lineRule="auto"/>
        <w:ind w:left="0" w:leftChars="0"/>
        <w:jc w:val="right"/>
        <w:textAlignment w:val="auto"/>
        <w:rPr>
          <w:rFonts w:hint="eastAsia" w:ascii="华文中宋" w:hAnsi="华文中宋" w:eastAsia="华文中宋" w:cs="华文中宋"/>
          <w:b/>
          <w:color w:val="auto"/>
          <w:sz w:val="24"/>
          <w:highlight w:val="none"/>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7D89F0FE">
      <w:pPr>
        <w:keepNext w:val="0"/>
        <w:keepLines w:val="0"/>
        <w:pageBreakBefore w:val="0"/>
        <w:widowControl w:val="0"/>
        <w:kinsoku/>
        <w:wordWrap/>
        <w:overflowPunct/>
        <w:topLinePunct w:val="0"/>
        <w:autoSpaceDE/>
        <w:autoSpaceDN/>
        <w:bidi w:val="0"/>
        <w:spacing w:line="360" w:lineRule="auto"/>
        <w:ind w:left="0" w:leftChars="0"/>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5）</w:t>
      </w:r>
      <w:r>
        <w:rPr>
          <w:rFonts w:hint="eastAsia" w:ascii="华文中宋" w:hAnsi="华文中宋" w:eastAsia="华文中宋" w:cs="华文中宋"/>
          <w:b/>
          <w:color w:val="auto"/>
          <w:sz w:val="24"/>
          <w:highlight w:val="none"/>
        </w:rPr>
        <w:t>网络安全专用产品说明</w:t>
      </w:r>
    </w:p>
    <w:p w14:paraId="42620C26">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按照国家财政部、工信部、公安部以及其他部委联合下发《关于调整网络安全专用产品安全管理有关事项的公告》有关要求：</w:t>
      </w:r>
    </w:p>
    <w:p w14:paraId="0EA7EC4A">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5566CBAE">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具备资格的机构是指列入《承担网络关键设备和网络安全专用产品安全认证和安全检测任务机构名录》的机构。</w:t>
      </w:r>
    </w:p>
    <w:p w14:paraId="53028AC9">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4423F75B">
      <w:pPr>
        <w:keepNext w:val="0"/>
        <w:keepLines w:val="0"/>
        <w:pageBreakBefore w:val="0"/>
        <w:widowControl w:val="0"/>
        <w:kinsoku/>
        <w:wordWrap/>
        <w:overflowPunct/>
        <w:topLinePunct w:val="0"/>
        <w:autoSpaceDE/>
        <w:autoSpaceDN/>
        <w:bidi w:val="0"/>
        <w:spacing w:line="360" w:lineRule="auto"/>
        <w:ind w:left="0" w:leftChars="0"/>
        <w:jc w:val="left"/>
        <w:textAlignment w:val="auto"/>
        <w:rPr>
          <w:rFonts w:hint="eastAsia" w:ascii="华文中宋" w:hAnsi="华文中宋" w:eastAsia="华文中宋" w:cs="华文中宋"/>
          <w:b/>
          <w:color w:val="auto"/>
          <w:sz w:val="24"/>
          <w:highlight w:val="none"/>
        </w:rPr>
      </w:pPr>
    </w:p>
    <w:p w14:paraId="4A85496C">
      <w:pPr>
        <w:keepNext w:val="0"/>
        <w:keepLines w:val="0"/>
        <w:pageBreakBefore w:val="0"/>
        <w:widowControl w:val="0"/>
        <w:kinsoku/>
        <w:wordWrap/>
        <w:overflowPunct/>
        <w:topLinePunct w:val="0"/>
        <w:autoSpaceDE/>
        <w:autoSpaceDN/>
        <w:bidi w:val="0"/>
        <w:spacing w:line="360" w:lineRule="auto"/>
        <w:ind w:left="0" w:leftChars="0"/>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6）</w:t>
      </w:r>
      <w:r>
        <w:rPr>
          <w:rFonts w:hint="eastAsia" w:ascii="华文中宋" w:hAnsi="华文中宋" w:eastAsia="华文中宋" w:cs="华文中宋"/>
          <w:b/>
          <w:color w:val="auto"/>
          <w:sz w:val="24"/>
          <w:highlight w:val="none"/>
        </w:rPr>
        <w:t>正版软件承诺格式</w:t>
      </w:r>
    </w:p>
    <w:p w14:paraId="267FC134">
      <w:pPr>
        <w:keepNext w:val="0"/>
        <w:keepLines w:val="0"/>
        <w:pageBreakBefore w:val="0"/>
        <w:widowControl w:val="0"/>
        <w:kinsoku/>
        <w:wordWrap/>
        <w:overflowPunct/>
        <w:topLinePunct w:val="0"/>
        <w:autoSpaceDE/>
        <w:autoSpaceDN/>
        <w:bidi w:val="0"/>
        <w:spacing w:line="360" w:lineRule="auto"/>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正版软件承诺</w:t>
      </w:r>
    </w:p>
    <w:p w14:paraId="4DDFA707">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本投标人现参与</w:t>
      </w:r>
      <w:r>
        <w:rPr>
          <w:rFonts w:hint="eastAsia" w:ascii="华文中宋" w:hAnsi="华文中宋" w:eastAsia="华文中宋" w:cs="华文中宋"/>
          <w:color w:val="auto"/>
          <w:spacing w:val="6"/>
          <w:sz w:val="21"/>
          <w:szCs w:val="21"/>
          <w:highlight w:val="none"/>
          <w:u w:val="single"/>
        </w:rPr>
        <w:t>（项目名称、项目编号、包号）</w:t>
      </w:r>
      <w:r>
        <w:rPr>
          <w:rFonts w:hint="eastAsia" w:ascii="华文中宋" w:hAnsi="华文中宋" w:eastAsia="华文中宋" w:cs="华文中宋"/>
          <w:color w:val="auto"/>
          <w:sz w:val="21"/>
          <w:szCs w:val="21"/>
          <w:highlight w:val="none"/>
        </w:rPr>
        <w:t>的采购活动，本公司承诺投报的计算机产品预装正版操作系统，投报的硬件产品内的预装软件为正版软件。</w:t>
      </w:r>
    </w:p>
    <w:p w14:paraId="607437D4">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4D4AF5EB">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473052CF">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64726D36">
      <w:pPr>
        <w:pStyle w:val="3"/>
        <w:jc w:val="right"/>
        <w:rPr>
          <w:rFonts w:hint="eastAsia" w:ascii="华文中宋" w:hAnsi="华文中宋" w:eastAsia="华文中宋" w:cs="华文中宋"/>
          <w:color w:val="auto"/>
          <w:sz w:val="21"/>
          <w:szCs w:val="21"/>
          <w:highlight w:val="none"/>
          <w:lang w:val="en-US" w:eastAsia="zh-CN"/>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11B8AA18">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（三）技术要求的响应情况</w:t>
      </w:r>
    </w:p>
    <w:p w14:paraId="74620460">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1、投标产品技术应答书</w:t>
      </w:r>
    </w:p>
    <w:p w14:paraId="6F4ED6C6">
      <w:pPr>
        <w:snapToGrid w:val="0"/>
        <w:spacing w:before="60" w:after="60" w:line="460" w:lineRule="exact"/>
        <w:jc w:val="left"/>
        <w:rPr>
          <w:rFonts w:hint="default" w:ascii="Times New Roman" w:hAnsi="Times New Roman" w:eastAsia="宋体" w:cs="Times New Roman"/>
          <w:color w:val="auto"/>
          <w:sz w:val="24"/>
          <w:szCs w:val="24"/>
          <w:highlight w:val="none"/>
        </w:rPr>
      </w:pPr>
    </w:p>
    <w:p w14:paraId="3E926C88">
      <w:pPr>
        <w:snapToGrid w:val="0"/>
        <w:spacing w:before="60" w:after="60" w:line="4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投标产品技术应答书</w:t>
      </w:r>
    </w:p>
    <w:p w14:paraId="125A67F7">
      <w:pPr>
        <w:snapToGrid w:val="0"/>
        <w:spacing w:before="60" w:after="60" w:line="460" w:lineRule="atLeas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r>
        <w:rPr>
          <w:rFonts w:hint="default" w:ascii="Times New Roman" w:hAnsi="Times New Roman" w:eastAsia="Times New Roman" w:cs="Times New Roman"/>
          <w:color w:val="auto"/>
          <w:sz w:val="24"/>
          <w:szCs w:val="24"/>
          <w:highlight w:val="none"/>
          <w:u w:val="single"/>
        </w:rPr>
        <w:t xml:space="preserve">                                       </w:t>
      </w:r>
    </w:p>
    <w:p w14:paraId="315317F1">
      <w:pPr>
        <w:snapToGrid w:val="0"/>
        <w:spacing w:before="60" w:after="60" w:line="460" w:lineRule="atLeast"/>
        <w:rPr>
          <w:rFonts w:hint="default" w:ascii="Times New Roman" w:hAnsi="Times New Roman" w:eastAsia="Times New Roman" w:cs="Times New Roman"/>
          <w:color w:val="auto"/>
          <w:sz w:val="24"/>
          <w:szCs w:val="24"/>
          <w:highlight w:val="none"/>
          <w:u w:val="single"/>
        </w:rPr>
      </w:pPr>
      <w:r>
        <w:rPr>
          <w:rFonts w:hint="default" w:ascii="Times New Roman" w:hAnsi="Times New Roman" w:eastAsia="宋体" w:cs="Times New Roman"/>
          <w:color w:val="auto"/>
          <w:sz w:val="24"/>
          <w:szCs w:val="24"/>
          <w:highlight w:val="none"/>
        </w:rPr>
        <w:t>项目编号：</w:t>
      </w:r>
      <w:r>
        <w:rPr>
          <w:rFonts w:hint="default" w:ascii="Times New Roman" w:hAnsi="Times New Roman" w:eastAsia="Times New Roman" w:cs="Times New Roman"/>
          <w:color w:val="auto"/>
          <w:sz w:val="24"/>
          <w:szCs w:val="24"/>
          <w:highlight w:val="none"/>
          <w:u w:val="single"/>
        </w:rPr>
        <w:t xml:space="preserve">                                       </w:t>
      </w:r>
    </w:p>
    <w:p w14:paraId="4003415F">
      <w:pPr>
        <w:snapToGrid w:val="0"/>
        <w:spacing w:before="60" w:after="60" w:line="460" w:lineRule="atLeast"/>
        <w:rPr>
          <w:rFonts w:hint="eastAsia" w:ascii="Times New Roman" w:hAnsi="Times New Roman" w:eastAsia="宋体" w:cs="Times New Roman"/>
          <w:color w:val="auto"/>
          <w:sz w:val="24"/>
          <w:szCs w:val="24"/>
          <w:highlight w:val="none"/>
          <w:u w:val="single"/>
          <w:lang w:eastAsia="zh-CN"/>
        </w:rPr>
      </w:pPr>
    </w:p>
    <w:tbl>
      <w:tblPr>
        <w:tblStyle w:val="1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40"/>
        <w:gridCol w:w="2700"/>
        <w:gridCol w:w="2700"/>
        <w:gridCol w:w="870"/>
        <w:gridCol w:w="825"/>
        <w:gridCol w:w="942"/>
        <w:gridCol w:w="783"/>
      </w:tblGrid>
      <w:tr w14:paraId="24D2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vMerge w:val="restart"/>
            <w:tcBorders>
              <w:top w:val="single" w:color="000000" w:sz="8" w:space="0"/>
              <w:left w:val="single" w:color="000000" w:sz="8" w:space="0"/>
              <w:bottom w:val="single" w:color="000000" w:sz="8" w:space="0"/>
              <w:right w:val="single" w:color="000000" w:sz="8" w:space="0"/>
            </w:tcBorders>
            <w:vAlign w:val="center"/>
          </w:tcPr>
          <w:p w14:paraId="341429BA">
            <w:pPr>
              <w:snapToGrid w:val="0"/>
              <w:jc w:val="center"/>
              <w:rPr>
                <w:rFonts w:hint="default" w:ascii="Times New Roman" w:hAnsi="Times New Roman" w:eastAsia="宋体" w:cs="Times New Roman"/>
                <w:color w:val="auto"/>
                <w:sz w:val="24"/>
                <w:szCs w:val="24"/>
                <w:highlight w:val="none"/>
              </w:rPr>
            </w:pPr>
          </w:p>
          <w:p w14:paraId="295E62DC">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w:t>
            </w:r>
          </w:p>
          <w:p w14:paraId="25034D7E">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号</w:t>
            </w:r>
          </w:p>
        </w:tc>
        <w:tc>
          <w:tcPr>
            <w:tcW w:w="2700" w:type="dxa"/>
            <w:vMerge w:val="restart"/>
            <w:tcBorders>
              <w:top w:val="single" w:color="000000" w:sz="8" w:space="0"/>
              <w:left w:val="single" w:color="000000" w:sz="8" w:space="0"/>
              <w:bottom w:val="single" w:color="000000" w:sz="8" w:space="0"/>
              <w:right w:val="single" w:color="000000" w:sz="8" w:space="0"/>
            </w:tcBorders>
            <w:vAlign w:val="center"/>
          </w:tcPr>
          <w:p w14:paraId="0AC09DC3">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招标文件技术参数要求</w:t>
            </w:r>
          </w:p>
        </w:tc>
        <w:tc>
          <w:tcPr>
            <w:tcW w:w="2700" w:type="dxa"/>
            <w:vMerge w:val="restart"/>
            <w:tcBorders>
              <w:top w:val="single" w:color="000000" w:sz="8" w:space="0"/>
              <w:left w:val="single" w:color="000000" w:sz="8" w:space="0"/>
              <w:bottom w:val="single" w:color="000000" w:sz="8" w:space="0"/>
              <w:right w:val="single" w:color="000000" w:sz="8" w:space="0"/>
            </w:tcBorders>
            <w:vAlign w:val="center"/>
          </w:tcPr>
          <w:p w14:paraId="1A710427">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投标文件技术参数应答</w:t>
            </w:r>
          </w:p>
        </w:tc>
        <w:tc>
          <w:tcPr>
            <w:tcW w:w="2637" w:type="dxa"/>
            <w:gridSpan w:val="3"/>
            <w:tcBorders>
              <w:top w:val="single" w:color="000000" w:sz="8" w:space="0"/>
              <w:left w:val="single" w:color="000000" w:sz="8" w:space="0"/>
              <w:bottom w:val="single" w:color="000000" w:sz="8" w:space="0"/>
              <w:right w:val="single" w:color="000000" w:sz="8" w:space="0"/>
            </w:tcBorders>
            <w:vAlign w:val="center"/>
          </w:tcPr>
          <w:p w14:paraId="7CB91C7D">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偏离情况</w:t>
            </w:r>
          </w:p>
        </w:tc>
        <w:tc>
          <w:tcPr>
            <w:tcW w:w="783" w:type="dxa"/>
            <w:vMerge w:val="restart"/>
            <w:tcBorders>
              <w:top w:val="single" w:color="000000" w:sz="8" w:space="0"/>
              <w:left w:val="single" w:color="000000" w:sz="8" w:space="0"/>
              <w:right w:val="single" w:color="000000" w:sz="8" w:space="0"/>
            </w:tcBorders>
            <w:vAlign w:val="center"/>
          </w:tcPr>
          <w:p w14:paraId="6486DCD2">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偏离原因</w:t>
            </w:r>
          </w:p>
        </w:tc>
      </w:tr>
      <w:tr w14:paraId="68BB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vMerge w:val="continue"/>
            <w:tcBorders>
              <w:top w:val="single" w:color="000000" w:sz="8" w:space="0"/>
              <w:left w:val="single" w:color="000000" w:sz="8" w:space="0"/>
              <w:bottom w:val="single" w:color="000000" w:sz="8" w:space="0"/>
              <w:right w:val="single" w:color="000000" w:sz="8" w:space="0"/>
            </w:tcBorders>
            <w:vAlign w:val="center"/>
          </w:tcPr>
          <w:p w14:paraId="34499FC2">
            <w:pPr>
              <w:snapToGrid w:val="0"/>
              <w:jc w:val="center"/>
              <w:rPr>
                <w:rFonts w:hint="default" w:ascii="Times New Roman" w:hAnsi="Times New Roman" w:eastAsia="宋体" w:cs="Times New Roman"/>
                <w:color w:val="auto"/>
                <w:sz w:val="24"/>
                <w:szCs w:val="24"/>
                <w:highlight w:val="none"/>
              </w:rPr>
            </w:pPr>
          </w:p>
        </w:tc>
        <w:tc>
          <w:tcPr>
            <w:tcW w:w="2700" w:type="dxa"/>
            <w:vMerge w:val="continue"/>
            <w:tcBorders>
              <w:top w:val="single" w:color="000000" w:sz="8" w:space="0"/>
              <w:left w:val="single" w:color="000000" w:sz="8" w:space="0"/>
              <w:bottom w:val="single" w:color="000000" w:sz="8" w:space="0"/>
              <w:right w:val="single" w:color="000000" w:sz="8" w:space="0"/>
            </w:tcBorders>
            <w:vAlign w:val="center"/>
          </w:tcPr>
          <w:p w14:paraId="0782B65D">
            <w:pPr>
              <w:snapToGrid w:val="0"/>
              <w:jc w:val="center"/>
              <w:rPr>
                <w:rFonts w:hint="default" w:ascii="Times New Roman" w:hAnsi="Times New Roman" w:eastAsia="宋体" w:cs="Times New Roman"/>
                <w:color w:val="auto"/>
                <w:sz w:val="24"/>
                <w:szCs w:val="24"/>
                <w:highlight w:val="none"/>
              </w:rPr>
            </w:pPr>
          </w:p>
        </w:tc>
        <w:tc>
          <w:tcPr>
            <w:tcW w:w="2700" w:type="dxa"/>
            <w:vMerge w:val="continue"/>
            <w:tcBorders>
              <w:top w:val="single" w:color="000000" w:sz="8" w:space="0"/>
              <w:left w:val="single" w:color="000000" w:sz="8" w:space="0"/>
              <w:bottom w:val="single" w:color="000000" w:sz="8" w:space="0"/>
              <w:right w:val="single" w:color="000000" w:sz="8" w:space="0"/>
            </w:tcBorders>
            <w:vAlign w:val="center"/>
          </w:tcPr>
          <w:p w14:paraId="3C9ABBF1">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1728E232">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正偏离</w:t>
            </w:r>
          </w:p>
        </w:tc>
        <w:tc>
          <w:tcPr>
            <w:tcW w:w="825" w:type="dxa"/>
            <w:tcBorders>
              <w:top w:val="single" w:color="000000" w:sz="8" w:space="0"/>
              <w:left w:val="single" w:color="000000" w:sz="8" w:space="0"/>
              <w:bottom w:val="single" w:color="000000" w:sz="8" w:space="0"/>
              <w:right w:val="single" w:color="000000" w:sz="8" w:space="0"/>
            </w:tcBorders>
            <w:vAlign w:val="center"/>
          </w:tcPr>
          <w:p w14:paraId="167A633F">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符合</w:t>
            </w:r>
          </w:p>
        </w:tc>
        <w:tc>
          <w:tcPr>
            <w:tcW w:w="942" w:type="dxa"/>
            <w:tcBorders>
              <w:top w:val="single" w:color="000000" w:sz="8" w:space="0"/>
              <w:left w:val="single" w:color="000000" w:sz="8" w:space="0"/>
              <w:bottom w:val="single" w:color="000000" w:sz="8" w:space="0"/>
              <w:right w:val="single" w:color="000000" w:sz="8" w:space="0"/>
            </w:tcBorders>
            <w:vAlign w:val="center"/>
          </w:tcPr>
          <w:p w14:paraId="703E1B82">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负偏离</w:t>
            </w:r>
          </w:p>
        </w:tc>
        <w:tc>
          <w:tcPr>
            <w:tcW w:w="783" w:type="dxa"/>
            <w:vMerge w:val="continue"/>
            <w:tcBorders>
              <w:left w:val="single" w:color="000000" w:sz="8" w:space="0"/>
              <w:bottom w:val="single" w:color="000000" w:sz="8" w:space="0"/>
              <w:right w:val="single" w:color="000000" w:sz="8" w:space="0"/>
            </w:tcBorders>
            <w:vAlign w:val="center"/>
          </w:tcPr>
          <w:p w14:paraId="19B25033">
            <w:pPr>
              <w:snapToGrid w:val="0"/>
              <w:jc w:val="center"/>
              <w:rPr>
                <w:rFonts w:hint="default" w:ascii="Times New Roman" w:hAnsi="Times New Roman" w:eastAsia="宋体" w:cs="Times New Roman"/>
                <w:color w:val="auto"/>
                <w:sz w:val="24"/>
                <w:szCs w:val="24"/>
                <w:highlight w:val="none"/>
              </w:rPr>
            </w:pPr>
          </w:p>
        </w:tc>
      </w:tr>
      <w:tr w14:paraId="2B1A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7D040CD2">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1F6CBF5D">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29F61BFE">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619CA481">
            <w:pPr>
              <w:snapToGrid w:val="0"/>
              <w:jc w:val="center"/>
              <w:rPr>
                <w:rFonts w:hint="default" w:ascii="Times New Roman" w:hAnsi="Times New Roman" w:eastAsia="宋体" w:cs="Times New Roman"/>
                <w:color w:val="auto"/>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515FE2C5">
            <w:pPr>
              <w:snapToGrid w:val="0"/>
              <w:jc w:val="center"/>
              <w:rPr>
                <w:rFonts w:hint="default" w:ascii="Times New Roman" w:hAnsi="Times New Roman" w:eastAsia="宋体" w:cs="Times New Roman"/>
                <w:color w:val="auto"/>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668B8DB5">
            <w:pPr>
              <w:snapToGrid w:val="0"/>
              <w:jc w:val="center"/>
              <w:rPr>
                <w:rFonts w:hint="default" w:ascii="Times New Roman" w:hAnsi="Times New Roman" w:eastAsia="宋体" w:cs="Times New Roman"/>
                <w:color w:val="auto"/>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12C85969">
            <w:pPr>
              <w:snapToGrid w:val="0"/>
              <w:jc w:val="center"/>
              <w:rPr>
                <w:rFonts w:hint="default" w:ascii="Times New Roman" w:hAnsi="Times New Roman" w:eastAsia="宋体" w:cs="Times New Roman"/>
                <w:color w:val="auto"/>
                <w:sz w:val="24"/>
                <w:szCs w:val="24"/>
                <w:highlight w:val="none"/>
              </w:rPr>
            </w:pPr>
          </w:p>
        </w:tc>
      </w:tr>
      <w:tr w14:paraId="3D31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3C40C195">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1B4F419B">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4A948DEE">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4015CD43">
            <w:pPr>
              <w:snapToGrid w:val="0"/>
              <w:jc w:val="center"/>
              <w:rPr>
                <w:rFonts w:hint="default" w:ascii="Times New Roman" w:hAnsi="Times New Roman" w:eastAsia="宋体" w:cs="Times New Roman"/>
                <w:color w:val="auto"/>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1F70491A">
            <w:pPr>
              <w:snapToGrid w:val="0"/>
              <w:jc w:val="center"/>
              <w:rPr>
                <w:rFonts w:hint="default" w:ascii="Times New Roman" w:hAnsi="Times New Roman" w:eastAsia="宋体" w:cs="Times New Roman"/>
                <w:color w:val="auto"/>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31B1220B">
            <w:pPr>
              <w:snapToGrid w:val="0"/>
              <w:jc w:val="center"/>
              <w:rPr>
                <w:rFonts w:hint="default" w:ascii="Times New Roman" w:hAnsi="Times New Roman" w:eastAsia="宋体" w:cs="Times New Roman"/>
                <w:color w:val="auto"/>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7373D14A">
            <w:pPr>
              <w:snapToGrid w:val="0"/>
              <w:jc w:val="center"/>
              <w:rPr>
                <w:rFonts w:hint="default" w:ascii="Times New Roman" w:hAnsi="Times New Roman" w:eastAsia="宋体" w:cs="Times New Roman"/>
                <w:color w:val="auto"/>
                <w:sz w:val="24"/>
                <w:szCs w:val="24"/>
                <w:highlight w:val="none"/>
              </w:rPr>
            </w:pPr>
          </w:p>
        </w:tc>
      </w:tr>
      <w:tr w14:paraId="3020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1CEC6C5D">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3505F5AA">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40AE5858">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7B7FFCC9">
            <w:pPr>
              <w:snapToGrid w:val="0"/>
              <w:jc w:val="center"/>
              <w:rPr>
                <w:rFonts w:hint="default" w:ascii="Times New Roman" w:hAnsi="Times New Roman" w:eastAsia="宋体" w:cs="Times New Roman"/>
                <w:color w:val="auto"/>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78119C88">
            <w:pPr>
              <w:snapToGrid w:val="0"/>
              <w:jc w:val="center"/>
              <w:rPr>
                <w:rFonts w:hint="default" w:ascii="Times New Roman" w:hAnsi="Times New Roman" w:eastAsia="宋体" w:cs="Times New Roman"/>
                <w:color w:val="auto"/>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56AF14CD">
            <w:pPr>
              <w:snapToGrid w:val="0"/>
              <w:jc w:val="center"/>
              <w:rPr>
                <w:rFonts w:hint="default" w:ascii="Times New Roman" w:hAnsi="Times New Roman" w:eastAsia="宋体" w:cs="Times New Roman"/>
                <w:color w:val="auto"/>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15BDDF02">
            <w:pPr>
              <w:snapToGrid w:val="0"/>
              <w:jc w:val="center"/>
              <w:rPr>
                <w:rFonts w:hint="default" w:ascii="Times New Roman" w:hAnsi="Times New Roman" w:eastAsia="宋体" w:cs="Times New Roman"/>
                <w:color w:val="auto"/>
                <w:sz w:val="24"/>
                <w:szCs w:val="24"/>
                <w:highlight w:val="none"/>
              </w:rPr>
            </w:pPr>
          </w:p>
        </w:tc>
      </w:tr>
      <w:tr w14:paraId="0AB8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7CB2DD00">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74D542AE">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346C0CD1">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30346E4A">
            <w:pPr>
              <w:snapToGrid w:val="0"/>
              <w:jc w:val="center"/>
              <w:rPr>
                <w:rFonts w:hint="default" w:ascii="Times New Roman" w:hAnsi="Times New Roman" w:eastAsia="宋体" w:cs="Times New Roman"/>
                <w:color w:val="auto"/>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6677E7D8">
            <w:pPr>
              <w:snapToGrid w:val="0"/>
              <w:jc w:val="center"/>
              <w:rPr>
                <w:rFonts w:hint="default" w:ascii="Times New Roman" w:hAnsi="Times New Roman" w:eastAsia="宋体" w:cs="Times New Roman"/>
                <w:color w:val="auto"/>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210636F1">
            <w:pPr>
              <w:snapToGrid w:val="0"/>
              <w:jc w:val="center"/>
              <w:rPr>
                <w:rFonts w:hint="default" w:ascii="Times New Roman" w:hAnsi="Times New Roman" w:eastAsia="宋体" w:cs="Times New Roman"/>
                <w:color w:val="auto"/>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06767D7E">
            <w:pPr>
              <w:snapToGrid w:val="0"/>
              <w:jc w:val="center"/>
              <w:rPr>
                <w:rFonts w:hint="default" w:ascii="Times New Roman" w:hAnsi="Times New Roman" w:eastAsia="宋体" w:cs="Times New Roman"/>
                <w:color w:val="auto"/>
                <w:sz w:val="24"/>
                <w:szCs w:val="24"/>
                <w:highlight w:val="none"/>
              </w:rPr>
            </w:pPr>
          </w:p>
        </w:tc>
      </w:tr>
      <w:tr w14:paraId="1287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7518B944">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508855DF">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195322B5">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2567334D">
            <w:pPr>
              <w:snapToGrid w:val="0"/>
              <w:jc w:val="center"/>
              <w:rPr>
                <w:rFonts w:hint="default" w:ascii="Times New Roman" w:hAnsi="Times New Roman" w:eastAsia="宋体" w:cs="Times New Roman"/>
                <w:color w:val="auto"/>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0327D7A2">
            <w:pPr>
              <w:snapToGrid w:val="0"/>
              <w:jc w:val="center"/>
              <w:rPr>
                <w:rFonts w:hint="default" w:ascii="Times New Roman" w:hAnsi="Times New Roman" w:eastAsia="宋体" w:cs="Times New Roman"/>
                <w:color w:val="auto"/>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2A882058">
            <w:pPr>
              <w:snapToGrid w:val="0"/>
              <w:jc w:val="center"/>
              <w:rPr>
                <w:rFonts w:hint="default" w:ascii="Times New Roman" w:hAnsi="Times New Roman" w:eastAsia="宋体" w:cs="Times New Roman"/>
                <w:color w:val="auto"/>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434D962E">
            <w:pPr>
              <w:snapToGrid w:val="0"/>
              <w:jc w:val="center"/>
              <w:rPr>
                <w:rFonts w:hint="default" w:ascii="Times New Roman" w:hAnsi="Times New Roman" w:eastAsia="宋体" w:cs="Times New Roman"/>
                <w:color w:val="auto"/>
                <w:sz w:val="24"/>
                <w:szCs w:val="24"/>
                <w:highlight w:val="none"/>
              </w:rPr>
            </w:pPr>
          </w:p>
        </w:tc>
      </w:tr>
      <w:tr w14:paraId="6A76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67FFCC58">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5B4F2BF3">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0755FD45">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08E1FA70">
            <w:pPr>
              <w:snapToGrid w:val="0"/>
              <w:jc w:val="center"/>
              <w:rPr>
                <w:rFonts w:hint="default" w:ascii="Times New Roman" w:hAnsi="Times New Roman" w:eastAsia="宋体" w:cs="Times New Roman"/>
                <w:color w:val="auto"/>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60516145">
            <w:pPr>
              <w:snapToGrid w:val="0"/>
              <w:jc w:val="center"/>
              <w:rPr>
                <w:rFonts w:hint="default" w:ascii="Times New Roman" w:hAnsi="Times New Roman" w:eastAsia="宋体" w:cs="Times New Roman"/>
                <w:color w:val="auto"/>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2D0D71F4">
            <w:pPr>
              <w:snapToGrid w:val="0"/>
              <w:jc w:val="center"/>
              <w:rPr>
                <w:rFonts w:hint="default" w:ascii="Times New Roman" w:hAnsi="Times New Roman" w:eastAsia="宋体" w:cs="Times New Roman"/>
                <w:color w:val="auto"/>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77D967F7">
            <w:pPr>
              <w:snapToGrid w:val="0"/>
              <w:jc w:val="center"/>
              <w:rPr>
                <w:rFonts w:hint="default" w:ascii="Times New Roman" w:hAnsi="Times New Roman" w:eastAsia="宋体" w:cs="Times New Roman"/>
                <w:color w:val="auto"/>
                <w:sz w:val="24"/>
                <w:szCs w:val="24"/>
                <w:highlight w:val="none"/>
              </w:rPr>
            </w:pPr>
          </w:p>
        </w:tc>
      </w:tr>
    </w:tbl>
    <w:p w14:paraId="5D9E8C27">
      <w:pPr>
        <w:snapToGrid w:val="0"/>
        <w:spacing w:before="60" w:after="60"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注：“招标文件技术参数要求”</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按照本文件第五部分的“采购需求”中“技术需求书”的内容逐条排版，在“投标文件技术参数应答”中逐条响应，并在“偏离情况”一栏中相应位置逐一标注。</w:t>
      </w:r>
    </w:p>
    <w:p w14:paraId="2673AEE7">
      <w:pPr>
        <w:snapToGrid w:val="0"/>
        <w:spacing w:before="60" w:after="60" w:line="312" w:lineRule="auto"/>
        <w:rPr>
          <w:rFonts w:hint="default" w:ascii="Times New Roman" w:hAnsi="Times New Roman" w:eastAsia="宋体" w:cs="Times New Roman"/>
          <w:color w:val="auto"/>
          <w:sz w:val="20"/>
          <w:szCs w:val="20"/>
          <w:highlight w:val="none"/>
        </w:rPr>
      </w:pPr>
    </w:p>
    <w:p w14:paraId="672CBC04">
      <w:pPr>
        <w:snapToGrid w:val="0"/>
        <w:spacing w:before="60" w:after="60" w:line="320" w:lineRule="exact"/>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w:t>
      </w:r>
    </w:p>
    <w:p w14:paraId="3F099BA0">
      <w:pPr>
        <w:snapToGrid w:val="0"/>
        <w:spacing w:before="60" w:after="60" w:line="320" w:lineRule="exact"/>
        <w:ind w:firstLine="3660" w:firstLineChars="15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28E41AA8">
      <w:pPr>
        <w:snapToGrid w:val="0"/>
        <w:spacing w:before="60" w:after="60" w:line="320" w:lineRule="exact"/>
        <w:ind w:firstLine="3900" w:firstLineChars="162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51DF5F65">
      <w:pPr>
        <w:snapToGrid w:val="0"/>
        <w:spacing w:before="60" w:after="60" w:line="460" w:lineRule="exact"/>
        <w:rPr>
          <w:rFonts w:hint="default" w:ascii="Times New Roman" w:hAnsi="Times New Roman" w:eastAsia="宋体" w:cs="Times New Roman"/>
          <w:color w:val="auto"/>
          <w:sz w:val="24"/>
          <w:szCs w:val="24"/>
          <w:highlight w:val="none"/>
        </w:rPr>
      </w:pPr>
    </w:p>
    <w:p w14:paraId="2E637424">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2、投标产品技术参数、配置清单</w:t>
      </w:r>
    </w:p>
    <w:p w14:paraId="386B4B04">
      <w:pPr>
        <w:snapToGrid w:val="0"/>
        <w:spacing w:before="60" w:after="60" w:line="360" w:lineRule="auto"/>
        <w:jc w:val="left"/>
        <w:rPr>
          <w:rFonts w:hint="default" w:ascii="Times New Roman" w:hAnsi="Times New Roman" w:eastAsia="宋体" w:cs="Times New Roman"/>
          <w:color w:val="auto"/>
          <w:sz w:val="24"/>
          <w:szCs w:val="24"/>
          <w:highlight w:val="none"/>
        </w:rPr>
      </w:pPr>
    </w:p>
    <w:p w14:paraId="0729B7CE">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3、技术响应文件</w:t>
      </w:r>
    </w:p>
    <w:p w14:paraId="667CFF73">
      <w:pPr>
        <w:snapToGrid w:val="0"/>
        <w:spacing w:before="60" w:after="60" w:line="360" w:lineRule="auto"/>
        <w:jc w:val="left"/>
        <w:rPr>
          <w:rFonts w:hint="default" w:ascii="Times New Roman" w:hAnsi="Times New Roman" w:eastAsia="宋体" w:cs="Times New Roman"/>
          <w:color w:val="auto"/>
          <w:sz w:val="24"/>
          <w:szCs w:val="24"/>
          <w:highlight w:val="none"/>
        </w:rPr>
      </w:pPr>
    </w:p>
    <w:p w14:paraId="316E47BD">
      <w:pPr>
        <w:pStyle w:val="7"/>
        <w:rPr>
          <w:rFonts w:hint="default" w:ascii="Times New Roman" w:hAnsi="Times New Roman" w:cs="Times New Roman"/>
          <w:color w:val="auto"/>
          <w:highlight w:val="none"/>
        </w:rPr>
      </w:pPr>
    </w:p>
    <w:p w14:paraId="51BC519D">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四</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eastAsia="zh-CN"/>
        </w:rPr>
        <w:t>政府采购政策价格扣除</w:t>
      </w:r>
      <w:r>
        <w:rPr>
          <w:rFonts w:hint="default" w:ascii="Times New Roman" w:hAnsi="Times New Roman" w:cs="Times New Roman"/>
          <w:color w:val="auto"/>
          <w:sz w:val="28"/>
          <w:szCs w:val="28"/>
          <w:highlight w:val="none"/>
        </w:rPr>
        <w:t>相关文件</w:t>
      </w:r>
    </w:p>
    <w:p w14:paraId="670EC7B1">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中小企业声明函（如有）</w:t>
      </w:r>
    </w:p>
    <w:p w14:paraId="2D9B51E3">
      <w:pPr>
        <w:snapToGrid w:val="0"/>
        <w:spacing w:line="460" w:lineRule="exact"/>
        <w:ind w:firstLine="480" w:firstLineChars="200"/>
        <w:rPr>
          <w:rFonts w:hint="default" w:ascii="Times New Roman" w:hAnsi="Times New Roman" w:eastAsia="宋体" w:cs="Times New Roman"/>
          <w:color w:val="auto"/>
          <w:sz w:val="24"/>
          <w:szCs w:val="24"/>
          <w:highlight w:val="none"/>
        </w:rPr>
      </w:pPr>
    </w:p>
    <w:p w14:paraId="78393759">
      <w:pPr>
        <w:snapToGrid w:val="0"/>
        <w:spacing w:before="60" w:after="60" w:line="460" w:lineRule="exact"/>
        <w:jc w:val="center"/>
        <w:rPr>
          <w:rFonts w:hint="default" w:ascii="Times New Roman" w:hAnsi="Times New Roman" w:eastAsia="宋体" w:cs="Times New Roman"/>
          <w:b/>
          <w:bCs/>
          <w:color w:val="auto"/>
          <w:spacing w:val="20"/>
          <w:sz w:val="24"/>
          <w:szCs w:val="24"/>
          <w:highlight w:val="none"/>
        </w:rPr>
      </w:pPr>
      <w:r>
        <w:rPr>
          <w:rFonts w:hint="default" w:ascii="Times New Roman" w:hAnsi="Times New Roman" w:eastAsia="宋体" w:cs="Times New Roman"/>
          <w:b/>
          <w:bCs/>
          <w:color w:val="auto"/>
          <w:spacing w:val="20"/>
          <w:sz w:val="24"/>
          <w:szCs w:val="24"/>
          <w:highlight w:val="none"/>
        </w:rPr>
        <w:t>中小企业声明函（货物）</w:t>
      </w:r>
    </w:p>
    <w:p w14:paraId="32E26DBC">
      <w:pPr>
        <w:snapToGrid w:val="0"/>
        <w:spacing w:before="60" w:after="60"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本公司（联合体）郑重声明，根据《政府采购促进中小企业发展管理办法》（财库﹝</w:t>
      </w:r>
      <w:r>
        <w:rPr>
          <w:rFonts w:hint="default" w:ascii="Times New Roman" w:hAnsi="Times New Roman" w:eastAsia="Calibri" w:cs="Times New Roman"/>
          <w:color w:val="auto"/>
          <w:sz w:val="24"/>
          <w:szCs w:val="24"/>
          <w:highlight w:val="none"/>
        </w:rPr>
        <w:t>2020</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46</w:t>
      </w:r>
      <w:r>
        <w:rPr>
          <w:rFonts w:hint="default" w:ascii="Times New Roman" w:hAnsi="Times New Roman" w:eastAsia="宋体" w:cs="Times New Roman"/>
          <w:color w:val="auto"/>
          <w:sz w:val="24"/>
          <w:szCs w:val="24"/>
          <w:highlight w:val="none"/>
        </w:rPr>
        <w:t>号）的规定，本公司（联合体）参加</w:t>
      </w:r>
      <w:r>
        <w:rPr>
          <w:rFonts w:hint="default" w:ascii="Times New Roman" w:hAnsi="Times New Roman" w:eastAsia="宋体" w:cs="Times New Roman"/>
          <w:color w:val="auto"/>
          <w:sz w:val="24"/>
          <w:szCs w:val="24"/>
          <w:highlight w:val="none"/>
          <w:u w:val="single"/>
        </w:rPr>
        <w:t>（单位名称）</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u w:val="single"/>
        </w:rPr>
        <w:t>（项目名称）</w:t>
      </w:r>
      <w:r>
        <w:rPr>
          <w:rFonts w:hint="default" w:ascii="Times New Roman" w:hAnsi="Times New Roman" w:eastAsia="宋体" w:cs="Times New Roman"/>
          <w:color w:val="auto"/>
          <w:sz w:val="24"/>
          <w:szCs w:val="24"/>
          <w:highlight w:val="none"/>
        </w:rPr>
        <w:t>采购活动，提供的货物全部由符合政策要求的中小企业制造。相关企业（含联合体中的中小企业、签订分包意向协议的中小企业）的具体情况如下：</w:t>
      </w:r>
    </w:p>
    <w:p w14:paraId="50991762">
      <w:pPr>
        <w:numPr>
          <w:ilvl w:val="0"/>
          <w:numId w:val="6"/>
        </w:numPr>
        <w:snapToGrid w:val="0"/>
        <w:spacing w:before="60" w:after="60"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rPr>
        <w:t>（标的名称）</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u w:val="single"/>
        </w:rPr>
        <w:t>（采购文件中明确的所属行业）行业</w:t>
      </w:r>
      <w:r>
        <w:rPr>
          <w:rFonts w:hint="default" w:ascii="Times New Roman" w:hAnsi="Times New Roman" w:eastAsia="宋体" w:cs="Times New Roman"/>
          <w:color w:val="auto"/>
          <w:sz w:val="24"/>
          <w:szCs w:val="24"/>
          <w:highlight w:val="none"/>
        </w:rPr>
        <w:t>；制造商为</w:t>
      </w:r>
      <w:r>
        <w:rPr>
          <w:rFonts w:hint="default" w:ascii="Times New Roman" w:hAnsi="Times New Roman" w:eastAsia="宋体" w:cs="Times New Roman"/>
          <w:color w:val="auto"/>
          <w:sz w:val="24"/>
          <w:szCs w:val="24"/>
          <w:highlight w:val="none"/>
          <w:u w:val="single"/>
        </w:rPr>
        <w:t>（企业名称）</w:t>
      </w:r>
      <w:r>
        <w:rPr>
          <w:rFonts w:hint="default" w:ascii="Times New Roman" w:hAnsi="Times New Roman" w:eastAsia="宋体" w:cs="Times New Roman"/>
          <w:color w:val="auto"/>
          <w:sz w:val="24"/>
          <w:szCs w:val="24"/>
          <w:highlight w:val="none"/>
        </w:rPr>
        <w:t>，从业人员</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人，营业收入为</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万元，资产总额为</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万元</w:t>
      </w:r>
      <w:r>
        <w:rPr>
          <w:rFonts w:hint="default" w:ascii="Times New Roman" w:hAnsi="Times New Roman" w:eastAsia="Times New Roman" w:cs="Times New Roman"/>
          <w:b/>
          <w:bCs/>
          <w:color w:val="auto"/>
          <w:sz w:val="23"/>
          <w:szCs w:val="23"/>
          <w:highlight w:val="none"/>
          <w:vertAlign w:val="superscript"/>
        </w:rPr>
        <w:t>1</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u w:val="single"/>
        </w:rPr>
        <w:t>（中型企业、小</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型企业、微型企业）</w:t>
      </w:r>
      <w:r>
        <w:rPr>
          <w:rFonts w:hint="default" w:ascii="Times New Roman" w:hAnsi="Times New Roman" w:eastAsia="宋体" w:cs="Times New Roman"/>
          <w:color w:val="auto"/>
          <w:sz w:val="24"/>
          <w:szCs w:val="24"/>
          <w:highlight w:val="none"/>
        </w:rPr>
        <w:t>；</w:t>
      </w:r>
    </w:p>
    <w:p w14:paraId="2806420A">
      <w:pPr>
        <w:numPr>
          <w:ilvl w:val="0"/>
          <w:numId w:val="6"/>
        </w:numPr>
        <w:snapToGrid w:val="0"/>
        <w:spacing w:before="60" w:after="60" w:line="440" w:lineRule="exact"/>
        <w:ind w:firstLine="480" w:firstLineChars="200"/>
        <w:rPr>
          <w:rFonts w:hint="default" w:ascii="Times New Roman" w:hAnsi="Times New Roman" w:eastAsia="Calibri" w:cs="Times New Roman"/>
          <w:color w:val="auto"/>
          <w:sz w:val="24"/>
          <w:szCs w:val="24"/>
          <w:highlight w:val="none"/>
        </w:rPr>
      </w:pPr>
      <w:r>
        <w:rPr>
          <w:rFonts w:hint="default" w:ascii="Times New Roman" w:hAnsi="Times New Roman" w:eastAsia="宋体" w:cs="Times New Roman"/>
          <w:color w:val="auto"/>
          <w:sz w:val="24"/>
          <w:szCs w:val="24"/>
          <w:highlight w:val="none"/>
          <w:u w:val="single"/>
        </w:rPr>
        <w:t>（标的名称）</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u w:val="single"/>
        </w:rPr>
        <w:t>（采购文件中明确的所属行业）行业</w:t>
      </w:r>
      <w:r>
        <w:rPr>
          <w:rFonts w:hint="default" w:ascii="Times New Roman" w:hAnsi="Times New Roman" w:eastAsia="宋体" w:cs="Times New Roman"/>
          <w:color w:val="auto"/>
          <w:sz w:val="24"/>
          <w:szCs w:val="24"/>
          <w:highlight w:val="none"/>
        </w:rPr>
        <w:t>；制造商为</w:t>
      </w:r>
      <w:r>
        <w:rPr>
          <w:rFonts w:hint="default" w:ascii="Times New Roman" w:hAnsi="Times New Roman" w:eastAsia="宋体" w:cs="Times New Roman"/>
          <w:color w:val="auto"/>
          <w:sz w:val="24"/>
          <w:szCs w:val="24"/>
          <w:highlight w:val="none"/>
          <w:u w:val="single"/>
        </w:rPr>
        <w:t>（企业名称）</w:t>
      </w:r>
      <w:r>
        <w:rPr>
          <w:rFonts w:hint="default" w:ascii="Times New Roman" w:hAnsi="Times New Roman" w:eastAsia="宋体" w:cs="Times New Roman"/>
          <w:color w:val="auto"/>
          <w:sz w:val="24"/>
          <w:szCs w:val="24"/>
          <w:highlight w:val="none"/>
        </w:rPr>
        <w:t>，从业人员</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人，营业收入为</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万元，资产总额为</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万元，属于</w:t>
      </w:r>
      <w:r>
        <w:rPr>
          <w:rFonts w:hint="default" w:ascii="Times New Roman" w:hAnsi="Times New Roman" w:eastAsia="宋体" w:cs="Times New Roman"/>
          <w:color w:val="auto"/>
          <w:sz w:val="24"/>
          <w:szCs w:val="24"/>
          <w:highlight w:val="none"/>
          <w:u w:val="single"/>
        </w:rPr>
        <w:t>（中型企业、小型企业、微型企业）</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 xml:space="preserve"> </w:t>
      </w:r>
    </w:p>
    <w:p w14:paraId="71B6BC67">
      <w:pPr>
        <w:snapToGrid w:val="0"/>
        <w:spacing w:before="60" w:after="60"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p w14:paraId="4CE716AD">
      <w:pPr>
        <w:snapToGrid w:val="0"/>
        <w:spacing w:before="60" w:after="60"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以上企业，不属于大企业的分支机构，不存在控股股东为大企业的情形，也不存在与大企业的负责人为同一人的情形。</w:t>
      </w:r>
    </w:p>
    <w:p w14:paraId="001E168F">
      <w:pPr>
        <w:snapToGrid w:val="0"/>
        <w:spacing w:before="60" w:after="60" w:line="440" w:lineRule="exact"/>
        <w:ind w:firstLine="480" w:firstLineChars="200"/>
        <w:rPr>
          <w:rFonts w:hint="default" w:ascii="Times New Roman" w:hAnsi="Times New Roman" w:eastAsia="Calibri" w:cs="Times New Roman"/>
          <w:color w:val="auto"/>
          <w:sz w:val="24"/>
          <w:szCs w:val="24"/>
          <w:highlight w:val="none"/>
        </w:rPr>
      </w:pPr>
      <w:r>
        <w:rPr>
          <w:rFonts w:hint="default" w:ascii="Times New Roman" w:hAnsi="Times New Roman" w:eastAsia="宋体" w:cs="Times New Roman"/>
          <w:color w:val="auto"/>
          <w:sz w:val="24"/>
          <w:szCs w:val="24"/>
          <w:highlight w:val="none"/>
        </w:rPr>
        <w:t>本企业对上述声明内容的真实性负责。如有虚假，将依法承担相应责任。</w:t>
      </w:r>
      <w:r>
        <w:rPr>
          <w:rFonts w:hint="default" w:ascii="Times New Roman" w:hAnsi="Times New Roman" w:eastAsia="Calibri" w:cs="Times New Roman"/>
          <w:color w:val="auto"/>
          <w:sz w:val="24"/>
          <w:szCs w:val="24"/>
          <w:highlight w:val="none"/>
        </w:rPr>
        <w:t xml:space="preserve"> </w:t>
      </w:r>
    </w:p>
    <w:p w14:paraId="61AEC505">
      <w:pPr>
        <w:snapToGrid w:val="0"/>
        <w:spacing w:before="60" w:after="60" w:line="440" w:lineRule="exact"/>
        <w:ind w:firstLine="560" w:firstLineChars="200"/>
        <w:rPr>
          <w:rFonts w:hint="default" w:ascii="Times New Roman" w:hAnsi="Times New Roman" w:eastAsia="宋体" w:cs="Times New Roman"/>
          <w:color w:val="auto"/>
          <w:spacing w:val="20"/>
          <w:sz w:val="24"/>
          <w:szCs w:val="24"/>
          <w:highlight w:val="none"/>
        </w:rPr>
      </w:pPr>
    </w:p>
    <w:p w14:paraId="11C3CD8F">
      <w:pPr>
        <w:snapToGrid w:val="0"/>
        <w:spacing w:before="60" w:after="60" w:line="440" w:lineRule="exact"/>
        <w:ind w:firstLine="560" w:firstLineChars="200"/>
        <w:jc w:val="center"/>
        <w:rPr>
          <w:rFonts w:hint="default" w:ascii="Times New Roman" w:hAnsi="Times New Roman" w:eastAsia="Times New Roman" w:cs="Times New Roman"/>
          <w:color w:val="auto"/>
          <w:spacing w:val="20"/>
          <w:sz w:val="24"/>
          <w:szCs w:val="24"/>
          <w:highlight w:val="none"/>
        </w:rPr>
      </w:pPr>
      <w:r>
        <w:rPr>
          <w:rFonts w:hint="default" w:ascii="Times New Roman" w:hAnsi="Times New Roman" w:eastAsia="Times New Roman" w:cs="Times New Roman"/>
          <w:color w:val="auto"/>
          <w:spacing w:val="20"/>
          <w:sz w:val="24"/>
          <w:szCs w:val="24"/>
          <w:highlight w:val="none"/>
        </w:rPr>
        <w:t xml:space="preserve">      企业名称（盖章）：</w:t>
      </w:r>
    </w:p>
    <w:p w14:paraId="40345B65">
      <w:pPr>
        <w:snapToGrid w:val="0"/>
        <w:spacing w:before="60" w:after="60" w:line="440" w:lineRule="exact"/>
        <w:ind w:firstLine="4200" w:firstLineChars="1500"/>
        <w:rPr>
          <w:rFonts w:hint="default" w:ascii="Times New Roman" w:hAnsi="Times New Roman" w:eastAsia="Calibri" w:cs="Times New Roman"/>
          <w:color w:val="auto"/>
          <w:spacing w:val="20"/>
          <w:sz w:val="24"/>
          <w:szCs w:val="24"/>
          <w:highlight w:val="none"/>
        </w:rPr>
      </w:pPr>
      <w:r>
        <w:rPr>
          <w:rFonts w:hint="default" w:ascii="Times New Roman" w:hAnsi="Times New Roman" w:eastAsia="宋体" w:cs="Times New Roman"/>
          <w:color w:val="auto"/>
          <w:spacing w:val="20"/>
          <w:sz w:val="24"/>
          <w:szCs w:val="24"/>
          <w:highlight w:val="none"/>
        </w:rPr>
        <w:t>日</w:t>
      </w:r>
      <w:r>
        <w:rPr>
          <w:rFonts w:hint="default" w:ascii="Times New Roman" w:hAnsi="Times New Roman" w:eastAsia="Calibri" w:cs="Times New Roman"/>
          <w:color w:val="auto"/>
          <w:spacing w:val="20"/>
          <w:sz w:val="24"/>
          <w:szCs w:val="24"/>
          <w:highlight w:val="none"/>
        </w:rPr>
        <w:t xml:space="preserve"> </w:t>
      </w:r>
      <w:r>
        <w:rPr>
          <w:rFonts w:hint="default" w:ascii="Times New Roman" w:hAnsi="Times New Roman" w:eastAsia="宋体" w:cs="Times New Roman"/>
          <w:color w:val="auto"/>
          <w:spacing w:val="20"/>
          <w:sz w:val="24"/>
          <w:szCs w:val="24"/>
          <w:highlight w:val="none"/>
        </w:rPr>
        <w:t>期：</w:t>
      </w:r>
      <w:r>
        <w:rPr>
          <w:rFonts w:hint="default" w:ascii="Times New Roman" w:hAnsi="Times New Roman" w:eastAsia="Calibri" w:cs="Times New Roman"/>
          <w:color w:val="auto"/>
          <w:spacing w:val="20"/>
          <w:sz w:val="24"/>
          <w:szCs w:val="24"/>
          <w:highlight w:val="none"/>
        </w:rPr>
        <w:t xml:space="preserve"> </w:t>
      </w:r>
    </w:p>
    <w:p w14:paraId="0F941E01">
      <w:pPr>
        <w:snapToGrid w:val="0"/>
        <w:spacing w:before="60" w:after="60" w:line="440" w:lineRule="exact"/>
        <w:rPr>
          <w:rFonts w:hint="default" w:ascii="Times New Roman" w:hAnsi="Times New Roman" w:eastAsia="宋体" w:cs="Times New Roman"/>
          <w:color w:val="auto"/>
          <w:spacing w:val="20"/>
          <w:sz w:val="24"/>
          <w:szCs w:val="24"/>
          <w:highlight w:val="none"/>
        </w:rPr>
      </w:pPr>
    </w:p>
    <w:p w14:paraId="36799707">
      <w:pPr>
        <w:snapToGrid w:val="0"/>
        <w:spacing w:before="60" w:after="60"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b/>
          <w:bCs/>
          <w:color w:val="auto"/>
          <w:spacing w:val="20"/>
          <w:sz w:val="23"/>
          <w:szCs w:val="23"/>
          <w:highlight w:val="none"/>
          <w:vertAlign w:val="superscript"/>
        </w:rPr>
        <w:t>1</w:t>
      </w:r>
      <w:r>
        <w:rPr>
          <w:rFonts w:hint="default" w:ascii="Times New Roman" w:hAnsi="Times New Roman" w:eastAsia="宋体" w:cs="Times New Roman"/>
          <w:color w:val="auto"/>
          <w:sz w:val="24"/>
          <w:szCs w:val="24"/>
          <w:highlight w:val="none"/>
        </w:rPr>
        <w:t>从业人员、营业收入、资产总额填报上一年度数据，无上一年度数据的新成立企业可不填报。</w:t>
      </w:r>
    </w:p>
    <w:p w14:paraId="487A8911">
      <w:pPr>
        <w:pStyle w:val="7"/>
        <w:rPr>
          <w:rFonts w:hint="default" w:ascii="Times New Roman" w:hAnsi="Times New Roman" w:cs="Times New Roman"/>
          <w:color w:val="auto"/>
          <w:highlight w:val="none"/>
        </w:rPr>
      </w:pPr>
    </w:p>
    <w:p w14:paraId="3DC3AC32">
      <w:pPr>
        <w:pStyle w:val="4"/>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监狱企业证明文件（如有）</w:t>
      </w:r>
    </w:p>
    <w:p w14:paraId="43A7837C">
      <w:pPr>
        <w:spacing w:line="460" w:lineRule="exact"/>
        <w:jc w:val="both"/>
        <w:rPr>
          <w:rFonts w:hint="default" w:ascii="Times New Roman" w:hAnsi="Times New Roman" w:eastAsia="宋体" w:cs="Times New Roman"/>
          <w:b/>
          <w:bCs/>
          <w:color w:val="auto"/>
          <w:sz w:val="24"/>
          <w:szCs w:val="24"/>
          <w:highlight w:val="none"/>
        </w:rPr>
      </w:pPr>
      <w:r>
        <w:rPr>
          <w:rFonts w:hint="default" w:ascii="Times New Roman" w:hAnsi="Times New Roman" w:cs="Times New Roman"/>
          <w:color w:val="auto"/>
          <w:spacing w:val="6"/>
          <w:sz w:val="24"/>
          <w:szCs w:val="24"/>
          <w:highlight w:val="none"/>
        </w:rPr>
        <w:t>需提供由省级以上监狱管理局或戒毒管理局出具的属于监狱企业的证明文件。</w:t>
      </w:r>
    </w:p>
    <w:p w14:paraId="5358C404">
      <w:pPr>
        <w:spacing w:line="460" w:lineRule="exact"/>
        <w:rPr>
          <w:rFonts w:hint="default" w:ascii="Times New Roman" w:hAnsi="Times New Roman" w:cs="Times New Roman"/>
          <w:b/>
          <w:color w:val="auto"/>
          <w:spacing w:val="6"/>
          <w:sz w:val="24"/>
          <w:szCs w:val="24"/>
          <w:highlight w:val="none"/>
          <w:lang w:bidi="ar"/>
        </w:rPr>
      </w:pPr>
    </w:p>
    <w:p w14:paraId="1BA8945F">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残疾人福利性单位声明函格式（如有）</w:t>
      </w:r>
    </w:p>
    <w:p w14:paraId="3217BAC6">
      <w:pPr>
        <w:spacing w:line="460" w:lineRule="exact"/>
        <w:jc w:val="center"/>
        <w:rPr>
          <w:rFonts w:hint="default" w:ascii="Times New Roman" w:hAnsi="Times New Roman" w:cs="Times New Roman"/>
          <w:b/>
          <w:color w:val="auto"/>
          <w:spacing w:val="6"/>
          <w:sz w:val="24"/>
          <w:szCs w:val="24"/>
          <w:highlight w:val="none"/>
          <w:lang w:bidi="ar"/>
        </w:rPr>
      </w:pPr>
    </w:p>
    <w:p w14:paraId="6918A0DA">
      <w:pPr>
        <w:spacing w:line="460" w:lineRule="exact"/>
        <w:jc w:val="center"/>
        <w:rPr>
          <w:rFonts w:hint="default" w:ascii="Times New Roman" w:hAnsi="Times New Roman" w:cs="Times New Roman"/>
          <w:b/>
          <w:color w:val="auto"/>
          <w:spacing w:val="6"/>
          <w:sz w:val="30"/>
          <w:szCs w:val="30"/>
          <w:highlight w:val="none"/>
          <w:lang w:bidi="ar"/>
        </w:rPr>
      </w:pPr>
      <w:r>
        <w:rPr>
          <w:rFonts w:hint="default" w:ascii="Times New Roman" w:hAnsi="Times New Roman" w:cs="Times New Roman"/>
          <w:b/>
          <w:color w:val="auto"/>
          <w:spacing w:val="6"/>
          <w:sz w:val="30"/>
          <w:szCs w:val="30"/>
          <w:highlight w:val="none"/>
          <w:lang w:bidi="ar"/>
        </w:rPr>
        <w:t>残疾人福利性单位声明函</w:t>
      </w:r>
    </w:p>
    <w:p w14:paraId="237856D6">
      <w:pPr>
        <w:spacing w:line="460" w:lineRule="exact"/>
        <w:ind w:firstLine="504" w:firstLineChars="200"/>
        <w:rPr>
          <w:rFonts w:hint="default" w:ascii="Times New Roman" w:hAnsi="Times New Roman" w:cs="Times New Roman"/>
          <w:color w:val="auto"/>
          <w:spacing w:val="6"/>
          <w:sz w:val="24"/>
          <w:szCs w:val="24"/>
          <w:highlight w:val="none"/>
          <w:lang w:bidi="ar"/>
        </w:rPr>
      </w:pPr>
      <w:r>
        <w:rPr>
          <w:rFonts w:hint="default" w:ascii="Times New Roman" w:hAnsi="Times New Roman" w:cs="Times New Roman"/>
          <w:color w:val="auto"/>
          <w:spacing w:val="6"/>
          <w:sz w:val="24"/>
          <w:szCs w:val="24"/>
          <w:highlight w:val="none"/>
          <w:lang w:bidi="ar"/>
        </w:rPr>
        <w:t>本单位郑重声明，根据《财政部 民政部 中国残疾人联合会关于促进残疾人就业政府采购政策的通知》（财库</w:t>
      </w:r>
      <w:r>
        <w:rPr>
          <w:rFonts w:hint="default" w:ascii="Times New Roman" w:hAnsi="Times New Roman" w:cs="Times New Roman"/>
          <w:color w:val="auto"/>
          <w:sz w:val="24"/>
          <w:szCs w:val="24"/>
          <w:highlight w:val="none"/>
          <w:lang w:bidi="ar"/>
        </w:rPr>
        <w:t>〔2017〕 141</w:t>
      </w:r>
      <w:r>
        <w:rPr>
          <w:rFonts w:hint="default" w:ascii="Times New Roman" w:hAnsi="Times New Roman" w:cs="Times New Roman"/>
          <w:color w:val="auto"/>
          <w:spacing w:val="6"/>
          <w:sz w:val="24"/>
          <w:szCs w:val="24"/>
          <w:highlight w:val="none"/>
          <w:lang w:bidi="ar"/>
        </w:rPr>
        <w:t>号）的规定，本单位为符合条件的残疾人福利性单位，且本单位参加______单位的______项目（项目编号：__________________，包号______ ）采购活动提供本单位制造的货物（由本单位承担工程/提供服务），或者提供其他残疾人福利性单位制造的货物（不包括使用非残疾人福利性单位注册商标的货物）。</w:t>
      </w:r>
    </w:p>
    <w:p w14:paraId="7DAF8288">
      <w:pPr>
        <w:spacing w:line="460" w:lineRule="exact"/>
        <w:ind w:firstLine="504" w:firstLineChars="200"/>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pacing w:val="6"/>
          <w:sz w:val="24"/>
          <w:szCs w:val="24"/>
          <w:highlight w:val="none"/>
          <w:lang w:bidi="ar"/>
        </w:rPr>
        <w:t>本单位对上述声明的真实性负责。如有虚假，将依法承担相应责任。</w:t>
      </w:r>
    </w:p>
    <w:p w14:paraId="1A2C6D30">
      <w:pPr>
        <w:pStyle w:val="13"/>
        <w:adjustRightInd w:val="0"/>
        <w:snapToGrid w:val="0"/>
        <w:spacing w:beforeAutospacing="0" w:afterAutospacing="0" w:line="460" w:lineRule="exact"/>
        <w:ind w:left="6529" w:leftChars="2400" w:hanging="1489" w:hangingChars="591"/>
        <w:jc w:val="both"/>
        <w:rPr>
          <w:rFonts w:hint="default" w:ascii="Times New Roman" w:hAnsi="Times New Roman" w:cs="Times New Roman"/>
          <w:color w:val="auto"/>
          <w:spacing w:val="6"/>
          <w:sz w:val="24"/>
          <w:szCs w:val="24"/>
          <w:highlight w:val="none"/>
          <w:lang w:bidi="ar"/>
        </w:rPr>
      </w:pPr>
      <w:r>
        <w:rPr>
          <w:rFonts w:hint="default" w:ascii="Times New Roman" w:hAnsi="Times New Roman" w:cs="Times New Roman"/>
          <w:color w:val="auto"/>
          <w:spacing w:val="6"/>
          <w:sz w:val="24"/>
          <w:szCs w:val="24"/>
          <w:highlight w:val="none"/>
          <w:lang w:bidi="ar"/>
        </w:rPr>
        <w:t xml:space="preserve">               </w:t>
      </w:r>
    </w:p>
    <w:p w14:paraId="3FD2DD80">
      <w:pPr>
        <w:snapToGrid w:val="0"/>
        <w:spacing w:line="440" w:lineRule="exact"/>
        <w:ind w:firstLine="560" w:firstLineChars="200"/>
        <w:jc w:val="center"/>
        <w:rPr>
          <w:rFonts w:hint="eastAsia" w:ascii="Times New Roman" w:hAnsi="Times New Roman" w:cs="Times New Roman" w:eastAsiaTheme="minorEastAsia"/>
          <w:color w:val="auto"/>
          <w:spacing w:val="20"/>
          <w:sz w:val="24"/>
          <w:szCs w:val="24"/>
          <w:highlight w:val="none"/>
          <w:lang w:val="en-US" w:eastAsia="zh-CN"/>
        </w:rPr>
      </w:pPr>
      <w:r>
        <w:rPr>
          <w:rFonts w:hint="default" w:ascii="Times New Roman" w:hAnsi="Times New Roman" w:cs="Times New Roman"/>
          <w:color w:val="auto"/>
          <w:spacing w:val="20"/>
          <w:sz w:val="24"/>
          <w:szCs w:val="24"/>
          <w:highlight w:val="none"/>
        </w:rPr>
        <w:t xml:space="preserve">     企业名称（盖章）：</w:t>
      </w:r>
      <w:r>
        <w:rPr>
          <w:rFonts w:hint="eastAsia" w:ascii="Times New Roman" w:hAnsi="Times New Roman" w:cs="Times New Roman"/>
          <w:color w:val="auto"/>
          <w:spacing w:val="20"/>
          <w:sz w:val="24"/>
          <w:szCs w:val="24"/>
          <w:highlight w:val="none"/>
          <w:lang w:val="en-US" w:eastAsia="zh-CN"/>
        </w:rPr>
        <w:t xml:space="preserve"> </w:t>
      </w:r>
    </w:p>
    <w:p w14:paraId="46F9088D">
      <w:pPr>
        <w:snapToGrid w:val="0"/>
        <w:spacing w:line="440" w:lineRule="exact"/>
        <w:ind w:firstLine="4480" w:firstLineChars="1600"/>
        <w:rPr>
          <w:rFonts w:hint="default" w:ascii="Times New Roman" w:hAnsi="Times New Roman" w:cs="Times New Roman"/>
          <w:color w:val="auto"/>
          <w:spacing w:val="20"/>
          <w:sz w:val="24"/>
          <w:szCs w:val="24"/>
          <w:highlight w:val="none"/>
        </w:rPr>
      </w:pPr>
      <w:r>
        <w:rPr>
          <w:rFonts w:hint="default" w:ascii="Times New Roman" w:hAnsi="Times New Roman" w:cs="Times New Roman"/>
          <w:color w:val="auto"/>
          <w:spacing w:val="20"/>
          <w:sz w:val="24"/>
          <w:szCs w:val="24"/>
          <w:highlight w:val="none"/>
        </w:rPr>
        <w:t xml:space="preserve">日 期： </w:t>
      </w:r>
    </w:p>
    <w:p w14:paraId="3C9A7A0D">
      <w:pPr>
        <w:snapToGrid w:val="0"/>
        <w:rPr>
          <w:rFonts w:hint="default" w:ascii="Times New Roman" w:hAnsi="Times New Roman" w:cs="Times New Roman"/>
          <w:b/>
          <w:color w:val="auto"/>
          <w:szCs w:val="24"/>
          <w:highlight w:val="none"/>
        </w:rPr>
      </w:pPr>
    </w:p>
    <w:p w14:paraId="46118F00">
      <w:pPr>
        <w:pStyle w:val="4"/>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4</w:t>
      </w:r>
      <w:r>
        <w:rPr>
          <w:rFonts w:hint="eastAsia" w:ascii="Times New Roman" w:hAnsi="Times New Roman" w:cs="Times New Roman"/>
          <w:sz w:val="24"/>
          <w:szCs w:val="24"/>
          <w:highlight w:val="none"/>
          <w:lang w:val="en-US" w:eastAsia="zh-CN"/>
        </w:rPr>
        <w:t>）政府采购绿色产品明细表</w:t>
      </w:r>
      <w:r>
        <w:rPr>
          <w:rFonts w:hint="default" w:ascii="Times New Roman" w:hAnsi="Times New Roman" w:cs="Times New Roman"/>
          <w:sz w:val="24"/>
          <w:szCs w:val="24"/>
          <w:highlight w:val="none"/>
          <w:lang w:val="en-US" w:eastAsia="zh-CN"/>
        </w:rPr>
        <w:t>（如有</w:t>
      </w:r>
      <w:r>
        <w:rPr>
          <w:rFonts w:hint="eastAsia" w:ascii="Times New Roman" w:hAnsi="Times New Roman" w:cs="Times New Roman"/>
          <w:sz w:val="24"/>
          <w:szCs w:val="24"/>
          <w:highlight w:val="none"/>
          <w:lang w:val="en-US" w:eastAsia="zh-CN"/>
        </w:rPr>
        <w:t>，分包填写</w:t>
      </w:r>
      <w:r>
        <w:rPr>
          <w:rFonts w:hint="default" w:ascii="Times New Roman" w:hAnsi="Times New Roman" w:cs="Times New Roman"/>
          <w:sz w:val="24"/>
          <w:szCs w:val="24"/>
          <w:highlight w:val="none"/>
          <w:lang w:val="en-US" w:eastAsia="zh-CN"/>
        </w:rPr>
        <w:t>）</w:t>
      </w:r>
    </w:p>
    <w:p w14:paraId="33950B50">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990"/>
        <w:gridCol w:w="794"/>
        <w:gridCol w:w="990"/>
        <w:gridCol w:w="990"/>
        <w:gridCol w:w="596"/>
        <w:gridCol w:w="1582"/>
        <w:gridCol w:w="2173"/>
      </w:tblGrid>
      <w:tr w14:paraId="5FE3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1" w:type="pct"/>
            <w:vAlign w:val="center"/>
          </w:tcPr>
          <w:p w14:paraId="17E0B891">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536" w:type="pct"/>
            <w:vAlign w:val="center"/>
          </w:tcPr>
          <w:p w14:paraId="4D461765">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430" w:type="pct"/>
            <w:vAlign w:val="center"/>
          </w:tcPr>
          <w:p w14:paraId="6E54B84B">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536" w:type="pct"/>
            <w:vAlign w:val="center"/>
          </w:tcPr>
          <w:p w14:paraId="3F460C93">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536" w:type="pct"/>
            <w:vAlign w:val="center"/>
          </w:tcPr>
          <w:p w14:paraId="1A55A8BD">
            <w:pPr>
              <w:keepNext w:val="0"/>
              <w:keepLines w:val="0"/>
              <w:pageBreakBefore w:val="0"/>
              <w:widowControl w:val="0"/>
              <w:kinsoku/>
              <w:wordWrap/>
              <w:overflowPunct/>
              <w:topLinePunct w:val="0"/>
              <w:autoSpaceDE/>
              <w:autoSpaceDN/>
              <w:bidi w:val="0"/>
              <w:spacing w:line="360" w:lineRule="auto"/>
              <w:ind w:left="0"/>
              <w:jc w:val="center"/>
              <w:textAlignment w:val="auto"/>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产品单价</w:t>
            </w:r>
          </w:p>
        </w:tc>
        <w:tc>
          <w:tcPr>
            <w:tcW w:w="323" w:type="pct"/>
            <w:vAlign w:val="center"/>
          </w:tcPr>
          <w:p w14:paraId="775661BA">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数量</w:t>
            </w:r>
          </w:p>
        </w:tc>
        <w:tc>
          <w:tcPr>
            <w:tcW w:w="857" w:type="pct"/>
            <w:vAlign w:val="center"/>
          </w:tcPr>
          <w:p w14:paraId="1A353040">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1177" w:type="pct"/>
            <w:vAlign w:val="center"/>
          </w:tcPr>
          <w:p w14:paraId="3D76261A">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5A80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1" w:type="pct"/>
          </w:tcPr>
          <w:p w14:paraId="63743401">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14FC49C3">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430" w:type="pct"/>
          </w:tcPr>
          <w:p w14:paraId="700EB2B2">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08B1210D">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461BA634">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323" w:type="pct"/>
          </w:tcPr>
          <w:p w14:paraId="6F08C637">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857" w:type="pct"/>
          </w:tcPr>
          <w:p w14:paraId="6CCFE087">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1177" w:type="pct"/>
          </w:tcPr>
          <w:p w14:paraId="7F16C4BC">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r>
      <w:tr w14:paraId="29F8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1" w:type="pct"/>
          </w:tcPr>
          <w:p w14:paraId="46025AED">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1AE7001F">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430" w:type="pct"/>
          </w:tcPr>
          <w:p w14:paraId="3A747BF3">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42DAC148">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4B030FAF">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323" w:type="pct"/>
          </w:tcPr>
          <w:p w14:paraId="51556C79">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857" w:type="pct"/>
          </w:tcPr>
          <w:p w14:paraId="70415779">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1177" w:type="pct"/>
          </w:tcPr>
          <w:p w14:paraId="56D694DF">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r>
    </w:tbl>
    <w:p w14:paraId="5849ED0A">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1. </w:t>
      </w:r>
      <w:r>
        <w:rPr>
          <w:rFonts w:hint="eastAsia" w:ascii="Times New Roman" w:hAnsi="Times New Roman" w:cs="Times New Roman"/>
          <w:color w:val="auto"/>
          <w:szCs w:val="21"/>
          <w:highlight w:val="none"/>
        </w:rPr>
        <w:t>投报“节能产品政府采购品目清单”</w:t>
      </w:r>
      <w:r>
        <w:rPr>
          <w:rFonts w:hint="eastAsia"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rPr>
        <w:t>环境标志产品政府采购品目清单”中产品的将给予</w:t>
      </w:r>
      <w:r>
        <w:rPr>
          <w:rFonts w:hint="eastAsia" w:ascii="Times New Roman" w:hAnsi="Times New Roman" w:cs="Times New Roman"/>
          <w:color w:val="auto"/>
          <w:szCs w:val="21"/>
          <w:highlight w:val="none"/>
          <w:lang w:val="en-US" w:eastAsia="zh-CN"/>
        </w:rPr>
        <w:t>一定比例的价格扣除（具体扣除比例详见投标人须知前附表）</w:t>
      </w:r>
      <w:r>
        <w:rPr>
          <w:rFonts w:hint="eastAsia" w:ascii="Times New Roman" w:hAnsi="Times New Roman" w:cs="Times New Roman"/>
          <w:color w:val="auto"/>
          <w:szCs w:val="21"/>
          <w:highlight w:val="none"/>
        </w:rPr>
        <w:t>。</w:t>
      </w:r>
    </w:p>
    <w:p w14:paraId="03FF59C5">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2. </w:t>
      </w:r>
      <w:r>
        <w:rPr>
          <w:rFonts w:hint="eastAsia" w:ascii="Times New Roman" w:hAnsi="Times New Roman" w:cs="Times New Roman"/>
          <w:color w:val="auto"/>
          <w:szCs w:val="21"/>
          <w:highlight w:val="none"/>
        </w:rPr>
        <w:t>认证证书附后（有效期之内的节能产品、环境标志产品证书）。</w:t>
      </w:r>
    </w:p>
    <w:p w14:paraId="32132A75">
      <w:pPr>
        <w:snapToGrid w:val="0"/>
        <w:spacing w:before="60" w:after="60" w:line="320" w:lineRule="exact"/>
        <w:ind w:firstLine="2940" w:firstLineChars="1225"/>
        <w:rPr>
          <w:rFonts w:hint="default" w:ascii="Times New Roman" w:hAnsi="Times New Roman" w:eastAsia="宋体" w:cs="Times New Roman"/>
          <w:color w:val="auto"/>
          <w:sz w:val="24"/>
          <w:szCs w:val="24"/>
          <w:highlight w:val="none"/>
        </w:rPr>
      </w:pPr>
    </w:p>
    <w:p w14:paraId="174DB29F">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78AA3094">
      <w:pPr>
        <w:pStyle w:val="13"/>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jc w:val="right"/>
        <w:textAlignment w:val="auto"/>
        <w:rPr>
          <w:rFonts w:hint="eastAsia" w:ascii="华文中宋" w:hAnsi="华文中宋" w:eastAsia="华文中宋" w:cs="华文中宋"/>
          <w:color w:val="auto"/>
          <w:sz w:val="21"/>
          <w:szCs w:val="21"/>
          <w:highlight w:val="none"/>
          <w:lang w:val="en-US" w:eastAsia="zh-CN"/>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2D0E9E92">
      <w:pPr>
        <w:pStyle w:val="4"/>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5）《关于符合本国产品标准的声明函》（如有，分包填写）</w:t>
      </w:r>
    </w:p>
    <w:p w14:paraId="20B4B6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60" w:lineRule="atLeast"/>
        <w:ind w:left="0" w:right="0" w:firstLine="0"/>
        <w:jc w:val="center"/>
        <w:textAlignment w:val="baseline"/>
        <w:rPr>
          <w:rFonts w:hint="eastAsia" w:ascii="宋体" w:hAnsi="宋体" w:eastAsia="宋体" w:cs="宋体"/>
          <w:i w:val="0"/>
          <w:iCs w:val="0"/>
          <w:caps w:val="0"/>
          <w:color w:val="000000"/>
          <w:spacing w:val="0"/>
          <w:sz w:val="24"/>
          <w:szCs w:val="24"/>
        </w:rPr>
      </w:pPr>
      <w:r>
        <w:rPr>
          <w:rStyle w:val="20"/>
          <w:rFonts w:hint="eastAsia" w:ascii="宋体" w:hAnsi="宋体" w:eastAsia="宋体" w:cs="宋体"/>
          <w:i w:val="0"/>
          <w:iCs w:val="0"/>
          <w:caps w:val="0"/>
          <w:color w:val="000000"/>
          <w:spacing w:val="0"/>
          <w:sz w:val="24"/>
          <w:szCs w:val="24"/>
          <w:shd w:val="clear" w:color="auto" w:fill="FFFFFF"/>
          <w:vertAlign w:val="baseline"/>
        </w:rPr>
        <w:t>关于符合本国产品标准的声明函</w:t>
      </w:r>
    </w:p>
    <w:p w14:paraId="445632A8">
      <w:pPr>
        <w:spacing w:line="360" w:lineRule="auto"/>
        <w:ind w:firstLine="480" w:firstLineChars="200"/>
        <w:rPr>
          <w:rFonts w:hint="eastAsia" w:ascii="Times New Roman" w:hAnsi="Times New Roman" w:cs="Times New Roman"/>
          <w:szCs w:val="21"/>
          <w:highlight w:val="none"/>
        </w:rPr>
      </w:pPr>
      <w:r>
        <w:rPr>
          <w:rFonts w:hint="eastAsia" w:ascii="宋体" w:hAnsi="宋体" w:eastAsia="宋体" w:cs="宋体"/>
          <w:i w:val="0"/>
          <w:iCs w:val="0"/>
          <w:caps w:val="0"/>
          <w:color w:val="000000"/>
          <w:spacing w:val="0"/>
          <w:sz w:val="24"/>
          <w:szCs w:val="24"/>
          <w:shd w:val="clear" w:color="auto" w:fill="FFFFFF"/>
          <w:vertAlign w:val="baseline"/>
        </w:rPr>
        <w:t> </w:t>
      </w:r>
      <w:r>
        <w:rPr>
          <w:rFonts w:hint="eastAsia" w:ascii="Times New Roman" w:hAnsi="Times New Roman" w:cs="Times New Roman"/>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52E2382">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1.（产品名称1）</w:t>
      </w:r>
      <w:r>
        <w:rPr>
          <w:rFonts w:hint="eastAsia" w:ascii="Times New Roman" w:hAnsi="Times New Roman" w:cs="Times New Roman"/>
          <w:szCs w:val="21"/>
          <w:highlight w:val="none"/>
          <w:vertAlign w:val="superscript"/>
          <w:lang w:val="en-US" w:eastAsia="zh-CN"/>
        </w:rPr>
        <w:t>1</w:t>
      </w:r>
      <w:r>
        <w:rPr>
          <w:rFonts w:hint="eastAsia" w:ascii="Times New Roman" w:hAnsi="Times New Roman" w:cs="Times New Roman"/>
          <w:szCs w:val="21"/>
          <w:highlight w:val="none"/>
        </w:rPr>
        <w:t>，生产厂为（厂名）</w:t>
      </w:r>
      <w:r>
        <w:rPr>
          <w:rFonts w:hint="eastAsia" w:ascii="Times New Roman" w:hAnsi="Times New Roman" w:cs="Times New Roman"/>
          <w:szCs w:val="21"/>
          <w:highlight w:val="none"/>
          <w:vertAlign w:val="superscript"/>
        </w:rPr>
        <w:t>2</w:t>
      </w:r>
      <w:r>
        <w:rPr>
          <w:rFonts w:hint="eastAsia" w:ascii="Times New Roman" w:hAnsi="Times New Roman" w:cs="Times New Roman"/>
          <w:szCs w:val="21"/>
          <w:highlight w:val="none"/>
        </w:rPr>
        <w:t>，厂址为（生产厂址）。（产品名称</w:t>
      </w:r>
      <w:r>
        <w:rPr>
          <w:rFonts w:hint="eastAsia" w:ascii="Times New Roman" w:hAnsi="Times New Roman" w:cs="Times New Roman"/>
          <w:szCs w:val="21"/>
          <w:highlight w:val="none"/>
          <w:vertAlign w:val="baseline"/>
        </w:rPr>
        <w:t>1</w:t>
      </w:r>
      <w:r>
        <w:rPr>
          <w:rFonts w:hint="eastAsia" w:ascii="Times New Roman" w:hAnsi="Times New Roman" w:cs="Times New Roman"/>
          <w:szCs w:val="21"/>
          <w:highlight w:val="none"/>
        </w:rPr>
        <w:t>）的中国境内生产的组件成本占比≥（规定比例）</w:t>
      </w:r>
      <w:r>
        <w:rPr>
          <w:rFonts w:hint="eastAsia" w:ascii="Times New Roman" w:hAnsi="Times New Roman" w:cs="Times New Roman"/>
          <w:szCs w:val="21"/>
          <w:highlight w:val="none"/>
          <w:vertAlign w:val="superscript"/>
        </w:rPr>
        <w:t>3</w:t>
      </w:r>
      <w:r>
        <w:rPr>
          <w:rFonts w:hint="eastAsia" w:ascii="Times New Roman" w:hAnsi="Times New Roman" w:cs="Times New Roman"/>
          <w:szCs w:val="21"/>
          <w:highlight w:val="none"/>
        </w:rPr>
        <w:t>。（产品名称1）的（关键组件）</w:t>
      </w:r>
      <w:r>
        <w:rPr>
          <w:rFonts w:hint="eastAsia" w:ascii="Times New Roman" w:hAnsi="Times New Roman" w:cs="Times New Roman"/>
          <w:szCs w:val="21"/>
          <w:highlight w:val="none"/>
          <w:vertAlign w:val="superscript"/>
        </w:rPr>
        <w:t>4</w:t>
      </w:r>
      <w:r>
        <w:rPr>
          <w:rFonts w:hint="eastAsia" w:ascii="Times New Roman" w:hAnsi="Times New Roman" w:cs="Times New Roman"/>
          <w:szCs w:val="21"/>
          <w:highlight w:val="none"/>
        </w:rPr>
        <w:t>在中国境内生产。（产品名称1）的（关键工序）</w:t>
      </w:r>
      <w:r>
        <w:rPr>
          <w:rFonts w:hint="eastAsia" w:ascii="Times New Roman" w:hAnsi="Times New Roman" w:cs="Times New Roman"/>
          <w:szCs w:val="21"/>
          <w:highlight w:val="none"/>
          <w:vertAlign w:val="superscript"/>
        </w:rPr>
        <w:t>5</w:t>
      </w:r>
      <w:r>
        <w:rPr>
          <w:rFonts w:hint="eastAsia" w:ascii="Times New Roman" w:hAnsi="Times New Roman" w:cs="Times New Roman"/>
          <w:szCs w:val="21"/>
          <w:highlight w:val="none"/>
        </w:rPr>
        <w:t>在中国境内完成。</w:t>
      </w:r>
    </w:p>
    <w:p w14:paraId="624DAC00">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46F330F5">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w:t>
      </w:r>
    </w:p>
    <w:p w14:paraId="6B419C4B">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本公司（单位）对上述声明内容的真实性负责。如有虚假，愿承担相应法律责任。</w:t>
      </w:r>
    </w:p>
    <w:p w14:paraId="73361989">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 </w:t>
      </w:r>
    </w:p>
    <w:p w14:paraId="6CFF6C76">
      <w:pPr>
        <w:spacing w:line="360" w:lineRule="auto"/>
        <w:ind w:firstLine="3570" w:firstLineChars="1700"/>
        <w:rPr>
          <w:rFonts w:hint="eastAsia" w:ascii="Times New Roman" w:hAnsi="Times New Roman" w:cs="Times New Roman"/>
          <w:szCs w:val="21"/>
          <w:highlight w:val="none"/>
        </w:rPr>
      </w:pPr>
      <w:r>
        <w:rPr>
          <w:rFonts w:hint="eastAsia" w:ascii="Times New Roman" w:hAnsi="Times New Roman" w:cs="Times New Roman"/>
          <w:szCs w:val="21"/>
          <w:highlight w:val="none"/>
        </w:rPr>
        <w:t>公司（单位）名称（盖章）：　        </w:t>
      </w:r>
    </w:p>
    <w:p w14:paraId="02A746DD">
      <w:pPr>
        <w:spacing w:line="360" w:lineRule="auto"/>
        <w:ind w:firstLine="3570" w:firstLineChars="1700"/>
        <w:rPr>
          <w:rFonts w:hint="eastAsia" w:ascii="Times New Roman" w:hAnsi="Times New Roman" w:cs="Times New Roman"/>
          <w:szCs w:val="21"/>
          <w:highlight w:val="none"/>
        </w:rPr>
      </w:pPr>
      <w:r>
        <w:rPr>
          <w:rFonts w:hint="eastAsia" w:ascii="Times New Roman" w:hAnsi="Times New Roman" w:cs="Times New Roman"/>
          <w:szCs w:val="21"/>
          <w:highlight w:val="none"/>
        </w:rPr>
        <w:t>日期：　     年　  月　  日  </w:t>
      </w:r>
    </w:p>
    <w:p w14:paraId="02DF1342">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说明：</w:t>
      </w:r>
    </w:p>
    <w:p w14:paraId="46DC6B5D">
      <w:pPr>
        <w:keepNext w:val="0"/>
        <w:keepLines w:val="0"/>
        <w:pageBreakBefore w:val="0"/>
        <w:widowControl w:val="0"/>
        <w:kinsoku/>
        <w:topLinePunct w:val="0"/>
        <w:bidi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1.产品如有型号，请在“产品名称”栏一并填写。</w:t>
      </w:r>
    </w:p>
    <w:p w14:paraId="5D2BF777">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2.生产厂名与厂址应与生产厂营业执照载明的相关信息保持一致。</w:t>
      </w:r>
    </w:p>
    <w:p w14:paraId="38E8EF47">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3.该产品的中国境内生产的组件成本占比相关要求实施前，“规定比例”栏可不填，下同。</w:t>
      </w:r>
    </w:p>
    <w:p w14:paraId="03B3DEEA">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4.该产品的关键组件要求实施前，“关键组件”栏可不填，下同。</w:t>
      </w:r>
    </w:p>
    <w:p w14:paraId="09ABAD75">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5.该产品的关键工序要求实施前，“关键工序”栏可不填，下同。</w:t>
      </w:r>
    </w:p>
    <w:p w14:paraId="7101FBCF">
      <w:pPr>
        <w:snapToGrid w:val="0"/>
        <w:spacing w:before="60" w:after="60" w:line="360" w:lineRule="exact"/>
        <w:jc w:val="left"/>
        <w:rPr>
          <w:rFonts w:hint="default" w:ascii="Times New Roman" w:hAnsi="Times New Roman" w:eastAsia="宋体" w:cs="Times New Roman"/>
          <w:b/>
          <w:bCs/>
          <w:color w:val="auto"/>
          <w:sz w:val="24"/>
          <w:szCs w:val="24"/>
          <w:highlight w:val="none"/>
        </w:rPr>
      </w:pPr>
    </w:p>
    <w:p w14:paraId="2FD674B0">
      <w:pPr>
        <w:pStyle w:val="3"/>
        <w:spacing w:line="288" w:lineRule="auto"/>
        <w:rPr>
          <w:rFonts w:hint="default" w:ascii="Times New Roman" w:hAnsi="Times New Roman" w:cs="Times New Roman"/>
          <w:color w:val="auto"/>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五</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pacing w:val="6"/>
          <w:sz w:val="24"/>
          <w:szCs w:val="24"/>
          <w:highlight w:val="none"/>
        </w:rPr>
        <w:t>招标文件要求或投标人认为需要提供的其他商务技术材料</w:t>
      </w:r>
      <w:r>
        <w:rPr>
          <w:rFonts w:hint="default" w:ascii="Times New Roman" w:hAnsi="Times New Roman" w:eastAsia="Calibri"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rPr>
        <w:t>文件</w:t>
      </w:r>
    </w:p>
    <w:p w14:paraId="7E71C5E9">
      <w:pPr>
        <w:spacing w:line="360" w:lineRule="exact"/>
        <w:ind w:firstLine="241" w:firstLineChars="100"/>
        <w:rPr>
          <w:rFonts w:hint="default" w:ascii="Times New Roman" w:hAnsi="Times New Roman" w:cs="Times New Roman"/>
          <w:b/>
          <w:bCs/>
          <w:color w:val="auto"/>
          <w:sz w:val="24"/>
          <w:szCs w:val="24"/>
          <w:highlight w:val="none"/>
          <w:lang w:val="en-US" w:eastAsia="zh-CN"/>
        </w:rPr>
      </w:pPr>
    </w:p>
    <w:p w14:paraId="2BF26491">
      <w:pPr>
        <w:pStyle w:val="3"/>
        <w:spacing w:line="288"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）商务资信评分</w:t>
      </w:r>
    </w:p>
    <w:p w14:paraId="405BA474">
      <w:pPr>
        <w:adjustRightInd w:val="0"/>
        <w:spacing w:before="156" w:beforeLines="50" w:line="400" w:lineRule="exact"/>
        <w:jc w:val="left"/>
        <w:textAlignment w:val="baseline"/>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（按照评分标准中的评审因素顺序排列）</w:t>
      </w:r>
    </w:p>
    <w:p w14:paraId="341110F9">
      <w:pPr>
        <w:spacing w:before="156" w:beforeLines="50" w:line="400" w:lineRule="exact"/>
        <w:ind w:left="239" w:leftChars="11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w:t>
      </w:r>
    </w:p>
    <w:p w14:paraId="036165C9">
      <w:pPr>
        <w:spacing w:before="156" w:beforeLines="50" w:line="400" w:lineRule="exact"/>
        <w:ind w:left="239" w:leftChars="11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w:t>
      </w:r>
    </w:p>
    <w:p w14:paraId="73BD27CA">
      <w:pPr>
        <w:spacing w:before="156" w:beforeLines="50" w:line="400" w:lineRule="exact"/>
        <w:ind w:firstLine="240" w:firstLine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14:paraId="39BA9A86">
      <w:pPr>
        <w:pStyle w:val="3"/>
        <w:spacing w:line="288" w:lineRule="auto"/>
        <w:rPr>
          <w:rFonts w:hint="default" w:ascii="Times New Roman" w:hAnsi="Times New Roman" w:cs="Times New Roman"/>
          <w:color w:val="auto"/>
          <w:sz w:val="24"/>
          <w:szCs w:val="24"/>
          <w:highlight w:val="none"/>
        </w:rPr>
      </w:pPr>
      <w:bookmarkStart w:id="14" w:name="_Toc20569"/>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）技术部分评分</w:t>
      </w:r>
      <w:bookmarkEnd w:id="14"/>
    </w:p>
    <w:p w14:paraId="0DFAB379">
      <w:pPr>
        <w:spacing w:before="156" w:beforeLines="50" w:line="400" w:lineRule="exact"/>
        <w:ind w:firstLine="240" w:firstLine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w:t>
      </w:r>
    </w:p>
    <w:p w14:paraId="4BCA9A5A">
      <w:pPr>
        <w:spacing w:before="156" w:beforeLines="50" w:line="400" w:lineRule="exact"/>
        <w:ind w:firstLine="240" w:firstLine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w:t>
      </w:r>
    </w:p>
    <w:p w14:paraId="490D3C27">
      <w:pPr>
        <w:spacing w:line="360" w:lineRule="exact"/>
        <w:ind w:left="24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14:paraId="6022E75E">
      <w:pPr>
        <w:spacing w:line="360" w:lineRule="exact"/>
        <w:ind w:firstLine="241" w:firstLineChars="100"/>
        <w:rPr>
          <w:rFonts w:hint="default" w:ascii="Times New Roman" w:hAnsi="Times New Roman" w:cs="Times New Roman"/>
          <w:b/>
          <w:bCs/>
          <w:color w:val="auto"/>
          <w:sz w:val="24"/>
          <w:szCs w:val="24"/>
          <w:highlight w:val="none"/>
          <w:lang w:val="en-US" w:eastAsia="zh-CN"/>
        </w:rPr>
      </w:pPr>
    </w:p>
    <w:p w14:paraId="032AD52C">
      <w:pPr>
        <w:spacing w:line="360" w:lineRule="exact"/>
        <w:ind w:left="24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商务技术评分部分，</w:t>
      </w:r>
      <w:r>
        <w:rPr>
          <w:rFonts w:hint="eastAsia" w:ascii="Times New Roman" w:hAnsi="Times New Roman" w:cs="Times New Roman"/>
          <w:b/>
          <w:bCs/>
          <w:color w:val="auto"/>
          <w:sz w:val="24"/>
          <w:szCs w:val="24"/>
          <w:highlight w:val="none"/>
          <w:lang w:val="en-US" w:eastAsia="zh-CN"/>
        </w:rPr>
        <w:t>部分</w:t>
      </w:r>
      <w:r>
        <w:rPr>
          <w:rFonts w:hint="default" w:ascii="Times New Roman" w:hAnsi="Times New Roman" w:cs="Times New Roman"/>
          <w:b/>
          <w:bCs/>
          <w:color w:val="auto"/>
          <w:sz w:val="24"/>
          <w:szCs w:val="24"/>
          <w:highlight w:val="none"/>
        </w:rPr>
        <w:t>表格格式如下：</w:t>
      </w:r>
    </w:p>
    <w:p w14:paraId="604668DE">
      <w:pPr>
        <w:snapToGrid w:val="0"/>
        <w:spacing w:before="60" w:after="60" w:line="360" w:lineRule="exact"/>
        <w:ind w:firstLine="241" w:firstLineChars="100"/>
        <w:jc w:val="left"/>
        <w:rPr>
          <w:rFonts w:hint="default" w:ascii="Times New Roman" w:hAnsi="Times New Roman" w:eastAsia="宋体" w:cs="Times New Roman"/>
          <w:b/>
          <w:bCs/>
          <w:color w:val="auto"/>
          <w:sz w:val="24"/>
          <w:szCs w:val="24"/>
          <w:highlight w:val="none"/>
        </w:rPr>
      </w:pPr>
    </w:p>
    <w:p w14:paraId="31A90643">
      <w:pPr>
        <w:snapToGrid w:val="0"/>
        <w:spacing w:before="60" w:after="60" w:line="360" w:lineRule="exact"/>
        <w:ind w:firstLine="241" w:firstLineChars="1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1、同类项目合同案例</w:t>
      </w:r>
    </w:p>
    <w:p w14:paraId="3C620824">
      <w:pPr>
        <w:jc w:val="center"/>
        <w:rPr>
          <w:rFonts w:hint="default" w:ascii="Times New Roman" w:hAnsi="Times New Roman" w:cs="Times New Roman"/>
          <w:b/>
          <w:bCs/>
          <w:color w:val="auto"/>
          <w:sz w:val="30"/>
          <w:szCs w:val="30"/>
          <w:highlight w:val="none"/>
        </w:rPr>
      </w:pPr>
      <w:r>
        <w:rPr>
          <w:rFonts w:hint="default" w:ascii="Times New Roman" w:hAnsi="Times New Roman" w:cs="Times New Roman"/>
          <w:b/>
          <w:bCs/>
          <w:color w:val="auto"/>
          <w:sz w:val="30"/>
          <w:szCs w:val="30"/>
          <w:highlight w:val="none"/>
        </w:rPr>
        <w:t>近三年同类项目合同书汇总表</w:t>
      </w:r>
    </w:p>
    <w:tbl>
      <w:tblPr>
        <w:tblStyle w:val="18"/>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60"/>
        <w:gridCol w:w="1845"/>
        <w:gridCol w:w="1740"/>
        <w:gridCol w:w="1460"/>
        <w:gridCol w:w="1243"/>
        <w:gridCol w:w="1521"/>
        <w:gridCol w:w="879"/>
      </w:tblGrid>
      <w:tr w14:paraId="5D62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17DF11B7">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1845" w:type="dxa"/>
            <w:tcBorders>
              <w:top w:val="single" w:color="000000" w:sz="8" w:space="0"/>
              <w:left w:val="single" w:color="000000" w:sz="8" w:space="0"/>
              <w:bottom w:val="single" w:color="000000" w:sz="8" w:space="0"/>
              <w:right w:val="single" w:color="000000" w:sz="8" w:space="0"/>
            </w:tcBorders>
            <w:vAlign w:val="center"/>
          </w:tcPr>
          <w:p w14:paraId="63B75BA4">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1740" w:type="dxa"/>
            <w:tcBorders>
              <w:top w:val="single" w:color="000000" w:sz="8" w:space="0"/>
              <w:left w:val="single" w:color="000000" w:sz="8" w:space="0"/>
              <w:bottom w:val="single" w:color="000000" w:sz="8" w:space="0"/>
              <w:right w:val="single" w:color="000000" w:sz="8" w:space="0"/>
            </w:tcBorders>
            <w:vAlign w:val="center"/>
          </w:tcPr>
          <w:p w14:paraId="0C438B55">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项目业主</w:t>
            </w:r>
          </w:p>
        </w:tc>
        <w:tc>
          <w:tcPr>
            <w:tcW w:w="1460" w:type="dxa"/>
            <w:tcBorders>
              <w:top w:val="single" w:color="000000" w:sz="8" w:space="0"/>
              <w:left w:val="single" w:color="000000" w:sz="8" w:space="0"/>
              <w:bottom w:val="single" w:color="000000" w:sz="8" w:space="0"/>
              <w:right w:val="single" w:color="000000" w:sz="8" w:space="0"/>
            </w:tcBorders>
            <w:vAlign w:val="center"/>
          </w:tcPr>
          <w:p w14:paraId="1644ECCF">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合同价格</w:t>
            </w:r>
          </w:p>
        </w:tc>
        <w:tc>
          <w:tcPr>
            <w:tcW w:w="1243" w:type="dxa"/>
            <w:tcBorders>
              <w:top w:val="single" w:color="000000" w:sz="8" w:space="0"/>
              <w:left w:val="single" w:color="000000" w:sz="8" w:space="0"/>
              <w:bottom w:val="single" w:color="000000" w:sz="8" w:space="0"/>
              <w:right w:val="single" w:color="000000" w:sz="8" w:space="0"/>
            </w:tcBorders>
            <w:vAlign w:val="center"/>
          </w:tcPr>
          <w:p w14:paraId="6D3D8C20">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完成时间</w:t>
            </w:r>
          </w:p>
        </w:tc>
        <w:tc>
          <w:tcPr>
            <w:tcW w:w="1521" w:type="dxa"/>
            <w:tcBorders>
              <w:top w:val="single" w:color="000000" w:sz="8" w:space="0"/>
              <w:left w:val="single" w:color="000000" w:sz="8" w:space="0"/>
              <w:bottom w:val="single" w:color="000000" w:sz="8" w:space="0"/>
              <w:right w:val="single" w:color="000000" w:sz="8" w:space="0"/>
            </w:tcBorders>
            <w:vAlign w:val="center"/>
          </w:tcPr>
          <w:p w14:paraId="6D359A0A">
            <w:pPr>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业主联系人及电话</w:t>
            </w:r>
          </w:p>
        </w:tc>
        <w:tc>
          <w:tcPr>
            <w:tcW w:w="879" w:type="dxa"/>
            <w:tcBorders>
              <w:top w:val="single" w:color="000000" w:sz="8" w:space="0"/>
              <w:left w:val="single" w:color="000000" w:sz="8" w:space="0"/>
              <w:bottom w:val="single" w:color="000000" w:sz="8" w:space="0"/>
              <w:right w:val="single" w:color="000000" w:sz="8" w:space="0"/>
            </w:tcBorders>
            <w:vAlign w:val="center"/>
          </w:tcPr>
          <w:p w14:paraId="4D17B209">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r>
      <w:tr w14:paraId="637B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4A6F9A64">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1845" w:type="dxa"/>
            <w:tcBorders>
              <w:top w:val="single" w:color="000000" w:sz="8" w:space="0"/>
              <w:left w:val="single" w:color="000000" w:sz="8" w:space="0"/>
              <w:bottom w:val="single" w:color="000000" w:sz="8" w:space="0"/>
              <w:right w:val="single" w:color="000000" w:sz="8" w:space="0"/>
            </w:tcBorders>
            <w:vAlign w:val="center"/>
          </w:tcPr>
          <w:p w14:paraId="3682C732">
            <w:pPr>
              <w:snapToGrid w:val="0"/>
              <w:jc w:val="center"/>
              <w:rPr>
                <w:rFonts w:hint="default" w:ascii="Times New Roman" w:hAnsi="Times New Roman" w:eastAsia="宋体" w:cs="Times New Roman"/>
                <w:color w:val="auto"/>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52208CF9">
            <w:pPr>
              <w:snapToGrid w:val="0"/>
              <w:jc w:val="center"/>
              <w:rPr>
                <w:rFonts w:hint="default" w:ascii="Times New Roman" w:hAnsi="Times New Roman" w:eastAsia="宋体" w:cs="Times New Roman"/>
                <w:color w:val="auto"/>
                <w:sz w:val="24"/>
                <w:szCs w:val="24"/>
                <w:highlight w:val="none"/>
              </w:rPr>
            </w:pPr>
          </w:p>
        </w:tc>
        <w:tc>
          <w:tcPr>
            <w:tcW w:w="1460" w:type="dxa"/>
            <w:tcBorders>
              <w:top w:val="single" w:color="000000" w:sz="8" w:space="0"/>
              <w:left w:val="single" w:color="000000" w:sz="8" w:space="0"/>
              <w:bottom w:val="single" w:color="000000" w:sz="8" w:space="0"/>
              <w:right w:val="single" w:color="000000" w:sz="8" w:space="0"/>
            </w:tcBorders>
            <w:vAlign w:val="center"/>
          </w:tcPr>
          <w:p w14:paraId="45CD150F">
            <w:pPr>
              <w:snapToGrid w:val="0"/>
              <w:jc w:val="center"/>
              <w:rPr>
                <w:rFonts w:hint="default" w:ascii="Times New Roman" w:hAnsi="Times New Roman" w:eastAsia="宋体" w:cs="Times New Roman"/>
                <w:color w:val="auto"/>
                <w:sz w:val="24"/>
                <w:szCs w:val="24"/>
                <w:highlight w:val="none"/>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67ADA9CD">
            <w:pPr>
              <w:snapToGrid w:val="0"/>
              <w:jc w:val="center"/>
              <w:rPr>
                <w:rFonts w:hint="default" w:ascii="Times New Roman" w:hAnsi="Times New Roman" w:eastAsia="宋体" w:cs="Times New Roman"/>
                <w:color w:val="auto"/>
                <w:sz w:val="24"/>
                <w:szCs w:val="24"/>
                <w:highlight w:val="none"/>
              </w:rPr>
            </w:pPr>
          </w:p>
        </w:tc>
        <w:tc>
          <w:tcPr>
            <w:tcW w:w="1521" w:type="dxa"/>
            <w:tcBorders>
              <w:top w:val="single" w:color="000000" w:sz="8" w:space="0"/>
              <w:left w:val="single" w:color="000000" w:sz="8" w:space="0"/>
              <w:bottom w:val="single" w:color="000000" w:sz="8" w:space="0"/>
              <w:right w:val="single" w:color="000000" w:sz="8" w:space="0"/>
            </w:tcBorders>
            <w:vAlign w:val="center"/>
          </w:tcPr>
          <w:p w14:paraId="0C581703">
            <w:pPr>
              <w:snapToGrid w:val="0"/>
              <w:jc w:val="center"/>
              <w:rPr>
                <w:rFonts w:hint="default" w:ascii="Times New Roman" w:hAnsi="Times New Roman" w:eastAsia="宋体" w:cs="Times New Roman"/>
                <w:color w:val="auto"/>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25D455E0">
            <w:pPr>
              <w:snapToGrid w:val="0"/>
              <w:jc w:val="center"/>
              <w:rPr>
                <w:rFonts w:hint="default" w:ascii="Times New Roman" w:hAnsi="Times New Roman" w:eastAsia="宋体" w:cs="Times New Roman"/>
                <w:color w:val="auto"/>
                <w:sz w:val="24"/>
                <w:szCs w:val="24"/>
                <w:highlight w:val="none"/>
              </w:rPr>
            </w:pPr>
          </w:p>
        </w:tc>
      </w:tr>
      <w:tr w14:paraId="16B8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4384C270">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p>
        </w:tc>
        <w:tc>
          <w:tcPr>
            <w:tcW w:w="1845" w:type="dxa"/>
            <w:tcBorders>
              <w:top w:val="single" w:color="000000" w:sz="8" w:space="0"/>
              <w:left w:val="single" w:color="000000" w:sz="8" w:space="0"/>
              <w:bottom w:val="single" w:color="000000" w:sz="8" w:space="0"/>
              <w:right w:val="single" w:color="000000" w:sz="8" w:space="0"/>
            </w:tcBorders>
            <w:vAlign w:val="center"/>
          </w:tcPr>
          <w:p w14:paraId="572415EF">
            <w:pPr>
              <w:snapToGrid w:val="0"/>
              <w:jc w:val="center"/>
              <w:rPr>
                <w:rFonts w:hint="default" w:ascii="Times New Roman" w:hAnsi="Times New Roman" w:eastAsia="宋体" w:cs="Times New Roman"/>
                <w:color w:val="auto"/>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1E6A4419">
            <w:pPr>
              <w:snapToGrid w:val="0"/>
              <w:jc w:val="center"/>
              <w:rPr>
                <w:rFonts w:hint="default" w:ascii="Times New Roman" w:hAnsi="Times New Roman" w:eastAsia="宋体" w:cs="Times New Roman"/>
                <w:color w:val="auto"/>
                <w:sz w:val="24"/>
                <w:szCs w:val="24"/>
                <w:highlight w:val="none"/>
              </w:rPr>
            </w:pPr>
          </w:p>
        </w:tc>
        <w:tc>
          <w:tcPr>
            <w:tcW w:w="1460" w:type="dxa"/>
            <w:tcBorders>
              <w:top w:val="single" w:color="000000" w:sz="8" w:space="0"/>
              <w:left w:val="single" w:color="000000" w:sz="8" w:space="0"/>
              <w:bottom w:val="single" w:color="000000" w:sz="8" w:space="0"/>
              <w:right w:val="single" w:color="000000" w:sz="8" w:space="0"/>
            </w:tcBorders>
            <w:vAlign w:val="center"/>
          </w:tcPr>
          <w:p w14:paraId="6DC3377D">
            <w:pPr>
              <w:snapToGrid w:val="0"/>
              <w:jc w:val="center"/>
              <w:rPr>
                <w:rFonts w:hint="default" w:ascii="Times New Roman" w:hAnsi="Times New Roman" w:eastAsia="宋体" w:cs="Times New Roman"/>
                <w:color w:val="auto"/>
                <w:sz w:val="24"/>
                <w:szCs w:val="24"/>
                <w:highlight w:val="none"/>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7534B064">
            <w:pPr>
              <w:snapToGrid w:val="0"/>
              <w:jc w:val="center"/>
              <w:rPr>
                <w:rFonts w:hint="default" w:ascii="Times New Roman" w:hAnsi="Times New Roman" w:eastAsia="宋体" w:cs="Times New Roman"/>
                <w:color w:val="auto"/>
                <w:sz w:val="24"/>
                <w:szCs w:val="24"/>
                <w:highlight w:val="none"/>
              </w:rPr>
            </w:pPr>
          </w:p>
        </w:tc>
        <w:tc>
          <w:tcPr>
            <w:tcW w:w="1521" w:type="dxa"/>
            <w:tcBorders>
              <w:top w:val="single" w:color="000000" w:sz="8" w:space="0"/>
              <w:left w:val="single" w:color="000000" w:sz="8" w:space="0"/>
              <w:bottom w:val="single" w:color="000000" w:sz="8" w:space="0"/>
              <w:right w:val="single" w:color="000000" w:sz="8" w:space="0"/>
            </w:tcBorders>
            <w:vAlign w:val="center"/>
          </w:tcPr>
          <w:p w14:paraId="015FE172">
            <w:pPr>
              <w:snapToGrid w:val="0"/>
              <w:jc w:val="center"/>
              <w:rPr>
                <w:rFonts w:hint="default" w:ascii="Times New Roman" w:hAnsi="Times New Roman" w:eastAsia="宋体" w:cs="Times New Roman"/>
                <w:color w:val="auto"/>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2B505CE5">
            <w:pPr>
              <w:snapToGrid w:val="0"/>
              <w:jc w:val="center"/>
              <w:rPr>
                <w:rFonts w:hint="default" w:ascii="Times New Roman" w:hAnsi="Times New Roman" w:eastAsia="宋体" w:cs="Times New Roman"/>
                <w:color w:val="auto"/>
                <w:sz w:val="24"/>
                <w:szCs w:val="24"/>
                <w:highlight w:val="none"/>
              </w:rPr>
            </w:pPr>
          </w:p>
        </w:tc>
      </w:tr>
      <w:tr w14:paraId="7709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1C8B53B6">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w:t>
            </w:r>
          </w:p>
        </w:tc>
        <w:tc>
          <w:tcPr>
            <w:tcW w:w="1845" w:type="dxa"/>
            <w:tcBorders>
              <w:top w:val="single" w:color="000000" w:sz="8" w:space="0"/>
              <w:left w:val="single" w:color="000000" w:sz="8" w:space="0"/>
              <w:bottom w:val="single" w:color="000000" w:sz="8" w:space="0"/>
              <w:right w:val="single" w:color="000000" w:sz="8" w:space="0"/>
            </w:tcBorders>
            <w:vAlign w:val="center"/>
          </w:tcPr>
          <w:p w14:paraId="2817319A">
            <w:pPr>
              <w:snapToGrid w:val="0"/>
              <w:jc w:val="center"/>
              <w:rPr>
                <w:rFonts w:hint="default" w:ascii="Times New Roman" w:hAnsi="Times New Roman" w:eastAsia="宋体" w:cs="Times New Roman"/>
                <w:color w:val="auto"/>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1CD6BB89">
            <w:pPr>
              <w:snapToGrid w:val="0"/>
              <w:jc w:val="center"/>
              <w:rPr>
                <w:rFonts w:hint="default" w:ascii="Times New Roman" w:hAnsi="Times New Roman" w:eastAsia="宋体" w:cs="Times New Roman"/>
                <w:color w:val="auto"/>
                <w:sz w:val="24"/>
                <w:szCs w:val="24"/>
                <w:highlight w:val="none"/>
              </w:rPr>
            </w:pPr>
          </w:p>
        </w:tc>
        <w:tc>
          <w:tcPr>
            <w:tcW w:w="1460" w:type="dxa"/>
            <w:tcBorders>
              <w:top w:val="single" w:color="000000" w:sz="8" w:space="0"/>
              <w:left w:val="single" w:color="000000" w:sz="8" w:space="0"/>
              <w:bottom w:val="single" w:color="000000" w:sz="8" w:space="0"/>
              <w:right w:val="single" w:color="000000" w:sz="8" w:space="0"/>
            </w:tcBorders>
            <w:vAlign w:val="center"/>
          </w:tcPr>
          <w:p w14:paraId="74E54165">
            <w:pPr>
              <w:snapToGrid w:val="0"/>
              <w:jc w:val="center"/>
              <w:rPr>
                <w:rFonts w:hint="default" w:ascii="Times New Roman" w:hAnsi="Times New Roman" w:eastAsia="宋体" w:cs="Times New Roman"/>
                <w:color w:val="auto"/>
                <w:sz w:val="24"/>
                <w:szCs w:val="24"/>
                <w:highlight w:val="none"/>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1A0ABC99">
            <w:pPr>
              <w:snapToGrid w:val="0"/>
              <w:jc w:val="center"/>
              <w:rPr>
                <w:rFonts w:hint="default" w:ascii="Times New Roman" w:hAnsi="Times New Roman" w:eastAsia="宋体" w:cs="Times New Roman"/>
                <w:color w:val="auto"/>
                <w:sz w:val="24"/>
                <w:szCs w:val="24"/>
                <w:highlight w:val="none"/>
              </w:rPr>
            </w:pPr>
          </w:p>
        </w:tc>
        <w:tc>
          <w:tcPr>
            <w:tcW w:w="1521" w:type="dxa"/>
            <w:tcBorders>
              <w:top w:val="single" w:color="000000" w:sz="8" w:space="0"/>
              <w:left w:val="single" w:color="000000" w:sz="8" w:space="0"/>
              <w:bottom w:val="single" w:color="000000" w:sz="8" w:space="0"/>
              <w:right w:val="single" w:color="000000" w:sz="8" w:space="0"/>
            </w:tcBorders>
            <w:vAlign w:val="center"/>
          </w:tcPr>
          <w:p w14:paraId="28F20BA1">
            <w:pPr>
              <w:snapToGrid w:val="0"/>
              <w:jc w:val="center"/>
              <w:rPr>
                <w:rFonts w:hint="default" w:ascii="Times New Roman" w:hAnsi="Times New Roman" w:eastAsia="宋体" w:cs="Times New Roman"/>
                <w:color w:val="auto"/>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19D4D316">
            <w:pPr>
              <w:snapToGrid w:val="0"/>
              <w:jc w:val="center"/>
              <w:rPr>
                <w:rFonts w:hint="default" w:ascii="Times New Roman" w:hAnsi="Times New Roman" w:eastAsia="宋体" w:cs="Times New Roman"/>
                <w:color w:val="auto"/>
                <w:sz w:val="24"/>
                <w:szCs w:val="24"/>
                <w:highlight w:val="none"/>
              </w:rPr>
            </w:pPr>
          </w:p>
        </w:tc>
      </w:tr>
      <w:tr w14:paraId="3DB0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0135840C">
            <w:pPr>
              <w:snapToGrid w:val="0"/>
              <w:jc w:val="center"/>
              <w:rPr>
                <w:rFonts w:hint="default" w:ascii="Times New Roman" w:hAnsi="Times New Roman" w:eastAsia="宋体" w:cs="Times New Roman"/>
                <w:color w:val="auto"/>
                <w:sz w:val="24"/>
                <w:szCs w:val="24"/>
                <w:highlight w:val="none"/>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7D17679E">
            <w:pPr>
              <w:snapToGrid w:val="0"/>
              <w:jc w:val="center"/>
              <w:rPr>
                <w:rFonts w:hint="default" w:ascii="Times New Roman" w:hAnsi="Times New Roman" w:eastAsia="宋体" w:cs="Times New Roman"/>
                <w:color w:val="auto"/>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05EF1F80">
            <w:pPr>
              <w:snapToGrid w:val="0"/>
              <w:jc w:val="center"/>
              <w:rPr>
                <w:rFonts w:hint="default" w:ascii="Times New Roman" w:hAnsi="Times New Roman" w:eastAsia="宋体" w:cs="Times New Roman"/>
                <w:color w:val="auto"/>
                <w:sz w:val="24"/>
                <w:szCs w:val="24"/>
                <w:highlight w:val="none"/>
              </w:rPr>
            </w:pPr>
          </w:p>
        </w:tc>
        <w:tc>
          <w:tcPr>
            <w:tcW w:w="1460" w:type="dxa"/>
            <w:tcBorders>
              <w:top w:val="single" w:color="000000" w:sz="8" w:space="0"/>
              <w:left w:val="single" w:color="000000" w:sz="8" w:space="0"/>
              <w:bottom w:val="single" w:color="000000" w:sz="8" w:space="0"/>
              <w:right w:val="single" w:color="000000" w:sz="8" w:space="0"/>
            </w:tcBorders>
            <w:vAlign w:val="center"/>
          </w:tcPr>
          <w:p w14:paraId="41981D55">
            <w:pPr>
              <w:snapToGrid w:val="0"/>
              <w:jc w:val="center"/>
              <w:rPr>
                <w:rFonts w:hint="default" w:ascii="Times New Roman" w:hAnsi="Times New Roman" w:eastAsia="宋体" w:cs="Times New Roman"/>
                <w:color w:val="auto"/>
                <w:sz w:val="24"/>
                <w:szCs w:val="24"/>
                <w:highlight w:val="none"/>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03AA29B0">
            <w:pPr>
              <w:snapToGrid w:val="0"/>
              <w:jc w:val="center"/>
              <w:rPr>
                <w:rFonts w:hint="default" w:ascii="Times New Roman" w:hAnsi="Times New Roman" w:eastAsia="宋体" w:cs="Times New Roman"/>
                <w:color w:val="auto"/>
                <w:sz w:val="24"/>
                <w:szCs w:val="24"/>
                <w:highlight w:val="none"/>
              </w:rPr>
            </w:pPr>
          </w:p>
        </w:tc>
        <w:tc>
          <w:tcPr>
            <w:tcW w:w="1521" w:type="dxa"/>
            <w:tcBorders>
              <w:top w:val="single" w:color="000000" w:sz="8" w:space="0"/>
              <w:left w:val="single" w:color="000000" w:sz="8" w:space="0"/>
              <w:bottom w:val="single" w:color="000000" w:sz="8" w:space="0"/>
              <w:right w:val="single" w:color="000000" w:sz="8" w:space="0"/>
            </w:tcBorders>
            <w:vAlign w:val="center"/>
          </w:tcPr>
          <w:p w14:paraId="320DF651">
            <w:pPr>
              <w:snapToGrid w:val="0"/>
              <w:jc w:val="center"/>
              <w:rPr>
                <w:rFonts w:hint="default" w:ascii="Times New Roman" w:hAnsi="Times New Roman" w:eastAsia="宋体" w:cs="Times New Roman"/>
                <w:color w:val="auto"/>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5B3CD49E">
            <w:pPr>
              <w:snapToGrid w:val="0"/>
              <w:jc w:val="center"/>
              <w:rPr>
                <w:rFonts w:hint="default" w:ascii="Times New Roman" w:hAnsi="Times New Roman" w:eastAsia="宋体" w:cs="Times New Roman"/>
                <w:color w:val="auto"/>
                <w:sz w:val="24"/>
                <w:szCs w:val="24"/>
                <w:highlight w:val="none"/>
              </w:rPr>
            </w:pPr>
          </w:p>
        </w:tc>
      </w:tr>
      <w:tr w14:paraId="21E2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4C954529">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w:t>
            </w:r>
          </w:p>
        </w:tc>
        <w:tc>
          <w:tcPr>
            <w:tcW w:w="1845" w:type="dxa"/>
            <w:tcBorders>
              <w:top w:val="single" w:color="000000" w:sz="8" w:space="0"/>
              <w:left w:val="single" w:color="000000" w:sz="8" w:space="0"/>
              <w:bottom w:val="single" w:color="000000" w:sz="8" w:space="0"/>
              <w:right w:val="single" w:color="000000" w:sz="8" w:space="0"/>
            </w:tcBorders>
            <w:vAlign w:val="center"/>
          </w:tcPr>
          <w:p w14:paraId="158B1FFF">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w:t>
            </w:r>
          </w:p>
        </w:tc>
        <w:tc>
          <w:tcPr>
            <w:tcW w:w="1740" w:type="dxa"/>
            <w:tcBorders>
              <w:top w:val="single" w:color="000000" w:sz="8" w:space="0"/>
              <w:left w:val="single" w:color="000000" w:sz="8" w:space="0"/>
              <w:bottom w:val="single" w:color="000000" w:sz="8" w:space="0"/>
              <w:right w:val="single" w:color="000000" w:sz="8" w:space="0"/>
            </w:tcBorders>
            <w:vAlign w:val="center"/>
          </w:tcPr>
          <w:p w14:paraId="155734E8">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w:t>
            </w:r>
          </w:p>
        </w:tc>
        <w:tc>
          <w:tcPr>
            <w:tcW w:w="1460" w:type="dxa"/>
            <w:tcBorders>
              <w:top w:val="single" w:color="000000" w:sz="8" w:space="0"/>
              <w:left w:val="single" w:color="000000" w:sz="8" w:space="0"/>
              <w:bottom w:val="single" w:color="000000" w:sz="8" w:space="0"/>
              <w:right w:val="single" w:color="000000" w:sz="8" w:space="0"/>
            </w:tcBorders>
            <w:vAlign w:val="center"/>
          </w:tcPr>
          <w:p w14:paraId="4D9575C2">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w:t>
            </w:r>
          </w:p>
        </w:tc>
        <w:tc>
          <w:tcPr>
            <w:tcW w:w="1243" w:type="dxa"/>
            <w:tcBorders>
              <w:top w:val="single" w:color="000000" w:sz="8" w:space="0"/>
              <w:left w:val="single" w:color="000000" w:sz="8" w:space="0"/>
              <w:bottom w:val="single" w:color="000000" w:sz="8" w:space="0"/>
              <w:right w:val="single" w:color="000000" w:sz="8" w:space="0"/>
            </w:tcBorders>
            <w:vAlign w:val="center"/>
          </w:tcPr>
          <w:p w14:paraId="79D36645">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w:t>
            </w:r>
          </w:p>
        </w:tc>
        <w:tc>
          <w:tcPr>
            <w:tcW w:w="1521" w:type="dxa"/>
            <w:tcBorders>
              <w:top w:val="single" w:color="000000" w:sz="8" w:space="0"/>
              <w:left w:val="single" w:color="000000" w:sz="8" w:space="0"/>
              <w:bottom w:val="single" w:color="000000" w:sz="8" w:space="0"/>
              <w:right w:val="single" w:color="000000" w:sz="8" w:space="0"/>
            </w:tcBorders>
            <w:vAlign w:val="center"/>
          </w:tcPr>
          <w:p w14:paraId="3E075A41">
            <w:pPr>
              <w:snapToGrid w:val="0"/>
              <w:jc w:val="center"/>
              <w:rPr>
                <w:rFonts w:hint="default" w:ascii="Times New Roman" w:hAnsi="Times New Roman" w:eastAsia="宋体" w:cs="Times New Roman"/>
                <w:color w:val="auto"/>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01FB6ED4">
            <w:pPr>
              <w:snapToGrid w:val="0"/>
              <w:jc w:val="center"/>
              <w:rPr>
                <w:rFonts w:hint="default" w:ascii="Times New Roman" w:hAnsi="Times New Roman" w:eastAsia="宋体" w:cs="Times New Roman"/>
                <w:color w:val="auto"/>
                <w:sz w:val="24"/>
                <w:szCs w:val="24"/>
                <w:highlight w:val="none"/>
              </w:rPr>
            </w:pPr>
          </w:p>
        </w:tc>
      </w:tr>
    </w:tbl>
    <w:p w14:paraId="14733320">
      <w:pPr>
        <w:snapToGrid w:val="0"/>
        <w:spacing w:before="60" w:after="60" w:line="312" w:lineRule="auto"/>
        <w:ind w:firstLine="480" w:firstLineChars="200"/>
        <w:rPr>
          <w:rFonts w:hint="default" w:ascii="Times New Roman" w:hAnsi="Times New Roman" w:eastAsia="宋体" w:cs="Times New Roman"/>
          <w:color w:val="auto"/>
          <w:sz w:val="24"/>
          <w:szCs w:val="24"/>
          <w:highlight w:val="none"/>
        </w:rPr>
      </w:pPr>
    </w:p>
    <w:p w14:paraId="227D1025">
      <w:pPr>
        <w:snapToGrid w:val="0"/>
        <w:spacing w:before="60" w:after="60" w:line="440" w:lineRule="exact"/>
        <w:ind w:firstLine="3388" w:firstLineChars="1412"/>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32E113CA">
      <w:pPr>
        <w:snapToGrid w:val="0"/>
        <w:spacing w:before="60" w:after="60" w:line="440" w:lineRule="exact"/>
        <w:jc w:val="righ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ab/>
      </w: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20F5785F">
      <w:pPr>
        <w:pStyle w:val="5"/>
        <w:rPr>
          <w:rFonts w:hint="default" w:ascii="Times New Roman" w:hAnsi="Times New Roman" w:cs="Times New Roman"/>
          <w:color w:val="auto"/>
          <w:highlight w:val="none"/>
        </w:rPr>
      </w:pPr>
    </w:p>
    <w:p w14:paraId="0417897D">
      <w:pPr>
        <w:snapToGrid w:val="0"/>
        <w:spacing w:before="60" w:after="60" w:line="360" w:lineRule="exact"/>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、拟派往本项目的技术团队人员配备情况</w:t>
      </w:r>
    </w:p>
    <w:p w14:paraId="16024400">
      <w:pPr>
        <w:snapToGrid w:val="0"/>
        <w:spacing w:before="374" w:after="60" w:line="4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拟派往本项目的技术团队人员配备情况表</w:t>
      </w:r>
    </w:p>
    <w:tbl>
      <w:tblPr>
        <w:tblStyle w:val="18"/>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55"/>
        <w:gridCol w:w="930"/>
        <w:gridCol w:w="930"/>
        <w:gridCol w:w="975"/>
        <w:gridCol w:w="750"/>
        <w:gridCol w:w="930"/>
        <w:gridCol w:w="930"/>
        <w:gridCol w:w="975"/>
        <w:gridCol w:w="1200"/>
        <w:gridCol w:w="975"/>
      </w:tblGrid>
      <w:tr w14:paraId="07E3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6FF76154">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930" w:type="dxa"/>
            <w:tcBorders>
              <w:top w:val="single" w:color="000000" w:sz="8" w:space="0"/>
              <w:left w:val="single" w:color="000000" w:sz="8" w:space="0"/>
              <w:bottom w:val="single" w:color="000000" w:sz="8" w:space="0"/>
              <w:right w:val="single" w:color="000000" w:sz="8" w:space="0"/>
            </w:tcBorders>
            <w:vAlign w:val="center"/>
          </w:tcPr>
          <w:p w14:paraId="005DCF9A">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名</w:t>
            </w:r>
          </w:p>
        </w:tc>
        <w:tc>
          <w:tcPr>
            <w:tcW w:w="930" w:type="dxa"/>
            <w:tcBorders>
              <w:top w:val="single" w:color="000000" w:sz="8" w:space="0"/>
              <w:left w:val="single" w:color="000000" w:sz="8" w:space="0"/>
              <w:bottom w:val="single" w:color="000000" w:sz="8" w:space="0"/>
              <w:right w:val="single" w:color="000000" w:sz="8" w:space="0"/>
            </w:tcBorders>
            <w:vAlign w:val="center"/>
          </w:tcPr>
          <w:p w14:paraId="29F1F2A1">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性别</w:t>
            </w:r>
          </w:p>
        </w:tc>
        <w:tc>
          <w:tcPr>
            <w:tcW w:w="975" w:type="dxa"/>
            <w:tcBorders>
              <w:top w:val="single" w:color="000000" w:sz="8" w:space="0"/>
              <w:left w:val="single" w:color="000000" w:sz="8" w:space="0"/>
              <w:bottom w:val="single" w:color="000000" w:sz="8" w:space="0"/>
              <w:right w:val="single" w:color="000000" w:sz="8" w:space="0"/>
            </w:tcBorders>
            <w:vAlign w:val="center"/>
          </w:tcPr>
          <w:p w14:paraId="41F5E05C">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身份证号</w:t>
            </w:r>
          </w:p>
        </w:tc>
        <w:tc>
          <w:tcPr>
            <w:tcW w:w="750" w:type="dxa"/>
            <w:tcBorders>
              <w:top w:val="single" w:color="000000" w:sz="8" w:space="0"/>
              <w:left w:val="single" w:color="000000" w:sz="8" w:space="0"/>
              <w:bottom w:val="single" w:color="000000" w:sz="8" w:space="0"/>
              <w:right w:val="single" w:color="000000" w:sz="8" w:space="0"/>
            </w:tcBorders>
            <w:vAlign w:val="center"/>
          </w:tcPr>
          <w:p w14:paraId="10ACF16E">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职务</w:t>
            </w:r>
          </w:p>
        </w:tc>
        <w:tc>
          <w:tcPr>
            <w:tcW w:w="930" w:type="dxa"/>
            <w:tcBorders>
              <w:top w:val="single" w:color="000000" w:sz="8" w:space="0"/>
              <w:left w:val="single" w:color="000000" w:sz="8" w:space="0"/>
              <w:bottom w:val="single" w:color="000000" w:sz="8" w:space="0"/>
              <w:right w:val="single" w:color="000000" w:sz="8" w:space="0"/>
            </w:tcBorders>
            <w:vAlign w:val="center"/>
          </w:tcPr>
          <w:p w14:paraId="55B6D1CA">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职</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称</w:t>
            </w:r>
          </w:p>
        </w:tc>
        <w:tc>
          <w:tcPr>
            <w:tcW w:w="930" w:type="dxa"/>
            <w:tcBorders>
              <w:top w:val="single" w:color="000000" w:sz="8" w:space="0"/>
              <w:left w:val="single" w:color="000000" w:sz="8" w:space="0"/>
              <w:bottom w:val="single" w:color="000000" w:sz="8" w:space="0"/>
              <w:right w:val="single" w:color="000000" w:sz="8" w:space="0"/>
            </w:tcBorders>
            <w:vAlign w:val="center"/>
          </w:tcPr>
          <w:p w14:paraId="619B2180">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从事专业</w:t>
            </w:r>
          </w:p>
        </w:tc>
        <w:tc>
          <w:tcPr>
            <w:tcW w:w="975" w:type="dxa"/>
            <w:tcBorders>
              <w:top w:val="single" w:color="000000" w:sz="8" w:space="0"/>
              <w:left w:val="single" w:color="000000" w:sz="8" w:space="0"/>
              <w:bottom w:val="single" w:color="000000" w:sz="8" w:space="0"/>
              <w:right w:val="single" w:color="000000" w:sz="8" w:space="0"/>
            </w:tcBorders>
            <w:vAlign w:val="center"/>
          </w:tcPr>
          <w:p w14:paraId="176113A7">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工作时间</w:t>
            </w:r>
          </w:p>
        </w:tc>
        <w:tc>
          <w:tcPr>
            <w:tcW w:w="1200" w:type="dxa"/>
            <w:tcBorders>
              <w:top w:val="single" w:color="000000" w:sz="8" w:space="0"/>
              <w:left w:val="single" w:color="000000" w:sz="8" w:space="0"/>
              <w:bottom w:val="single" w:color="000000" w:sz="8" w:space="0"/>
              <w:right w:val="single" w:color="000000" w:sz="8" w:space="0"/>
            </w:tcBorders>
            <w:vAlign w:val="center"/>
          </w:tcPr>
          <w:p w14:paraId="023BB395">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本项目职务</w:t>
            </w:r>
          </w:p>
        </w:tc>
        <w:tc>
          <w:tcPr>
            <w:tcW w:w="975" w:type="dxa"/>
            <w:tcBorders>
              <w:top w:val="single" w:color="000000" w:sz="8" w:space="0"/>
              <w:left w:val="single" w:color="000000" w:sz="8" w:space="0"/>
              <w:bottom w:val="single" w:color="000000" w:sz="8" w:space="0"/>
              <w:right w:val="single" w:color="000000" w:sz="8" w:space="0"/>
            </w:tcBorders>
            <w:vAlign w:val="center"/>
          </w:tcPr>
          <w:p w14:paraId="4764FA4D">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r>
      <w:tr w14:paraId="5009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30107235">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930" w:type="dxa"/>
            <w:tcBorders>
              <w:top w:val="single" w:color="000000" w:sz="8" w:space="0"/>
              <w:left w:val="single" w:color="000000" w:sz="8" w:space="0"/>
              <w:bottom w:val="single" w:color="000000" w:sz="8" w:space="0"/>
              <w:right w:val="single" w:color="000000" w:sz="8" w:space="0"/>
            </w:tcBorders>
            <w:vAlign w:val="center"/>
          </w:tcPr>
          <w:p w14:paraId="01FA2DFB">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5C297AC">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4541A91B">
            <w:pPr>
              <w:snapToGrid w:val="0"/>
              <w:ind w:firstLine="480"/>
              <w:jc w:val="center"/>
              <w:rPr>
                <w:rFonts w:hint="default" w:ascii="Times New Roman" w:hAnsi="Times New Roman" w:eastAsia="宋体" w:cs="Times New Roman"/>
                <w:color w:val="auto"/>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030158E3">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5BBBB67">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E114E70">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28FAFE5F">
            <w:pPr>
              <w:snapToGrid w:val="0"/>
              <w:ind w:firstLine="480"/>
              <w:jc w:val="center"/>
              <w:rPr>
                <w:rFonts w:hint="default" w:ascii="Times New Roman" w:hAnsi="Times New Roman" w:eastAsia="宋体" w:cs="Times New Roman"/>
                <w:color w:val="auto"/>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3FFD5AB4">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w:t>
            </w:r>
          </w:p>
        </w:tc>
        <w:tc>
          <w:tcPr>
            <w:tcW w:w="975" w:type="dxa"/>
            <w:tcBorders>
              <w:top w:val="single" w:color="000000" w:sz="8" w:space="0"/>
              <w:left w:val="single" w:color="000000" w:sz="8" w:space="0"/>
              <w:bottom w:val="single" w:color="000000" w:sz="8" w:space="0"/>
              <w:right w:val="single" w:color="000000" w:sz="8" w:space="0"/>
            </w:tcBorders>
            <w:vAlign w:val="center"/>
          </w:tcPr>
          <w:p w14:paraId="758D7D36">
            <w:pPr>
              <w:snapToGrid w:val="0"/>
              <w:jc w:val="center"/>
              <w:rPr>
                <w:rFonts w:hint="default" w:ascii="Times New Roman" w:hAnsi="Times New Roman" w:eastAsia="宋体" w:cs="Times New Roman"/>
                <w:color w:val="auto"/>
                <w:sz w:val="24"/>
                <w:szCs w:val="24"/>
                <w:highlight w:val="none"/>
              </w:rPr>
            </w:pPr>
          </w:p>
        </w:tc>
      </w:tr>
      <w:tr w14:paraId="307D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13E574FA">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p>
        </w:tc>
        <w:tc>
          <w:tcPr>
            <w:tcW w:w="930" w:type="dxa"/>
            <w:tcBorders>
              <w:top w:val="single" w:color="000000" w:sz="8" w:space="0"/>
              <w:left w:val="single" w:color="000000" w:sz="8" w:space="0"/>
              <w:bottom w:val="single" w:color="000000" w:sz="8" w:space="0"/>
              <w:right w:val="single" w:color="000000" w:sz="8" w:space="0"/>
            </w:tcBorders>
            <w:vAlign w:val="center"/>
          </w:tcPr>
          <w:p w14:paraId="64C547ED">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F653645">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68DFF9D6">
            <w:pPr>
              <w:snapToGrid w:val="0"/>
              <w:ind w:firstLine="480"/>
              <w:jc w:val="center"/>
              <w:rPr>
                <w:rFonts w:hint="default" w:ascii="Times New Roman" w:hAnsi="Times New Roman" w:eastAsia="宋体" w:cs="Times New Roman"/>
                <w:color w:val="auto"/>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738081D9">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24024C62">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07390A78">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32536048">
            <w:pPr>
              <w:snapToGrid w:val="0"/>
              <w:ind w:firstLine="480"/>
              <w:jc w:val="center"/>
              <w:rPr>
                <w:rFonts w:hint="default" w:ascii="Times New Roman" w:hAnsi="Times New Roman" w:eastAsia="宋体" w:cs="Times New Roman"/>
                <w:color w:val="auto"/>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43A176F5">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w:t>
            </w:r>
          </w:p>
        </w:tc>
        <w:tc>
          <w:tcPr>
            <w:tcW w:w="975" w:type="dxa"/>
            <w:tcBorders>
              <w:top w:val="single" w:color="000000" w:sz="8" w:space="0"/>
              <w:left w:val="single" w:color="000000" w:sz="8" w:space="0"/>
              <w:bottom w:val="single" w:color="000000" w:sz="8" w:space="0"/>
              <w:right w:val="single" w:color="000000" w:sz="8" w:space="0"/>
            </w:tcBorders>
            <w:vAlign w:val="center"/>
          </w:tcPr>
          <w:p w14:paraId="245D75D0">
            <w:pPr>
              <w:snapToGrid w:val="0"/>
              <w:jc w:val="center"/>
              <w:rPr>
                <w:rFonts w:hint="default" w:ascii="Times New Roman" w:hAnsi="Times New Roman" w:eastAsia="宋体" w:cs="Times New Roman"/>
                <w:color w:val="auto"/>
                <w:sz w:val="24"/>
                <w:szCs w:val="24"/>
                <w:highlight w:val="none"/>
              </w:rPr>
            </w:pPr>
          </w:p>
        </w:tc>
      </w:tr>
      <w:tr w14:paraId="79E5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58C2844C">
            <w:pPr>
              <w:snapToGrid w:val="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395A48AD">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57A2F25B">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21388146">
            <w:pPr>
              <w:snapToGrid w:val="0"/>
              <w:ind w:firstLine="480"/>
              <w:jc w:val="center"/>
              <w:rPr>
                <w:rFonts w:hint="default" w:ascii="Times New Roman" w:hAnsi="Times New Roman" w:eastAsia="宋体" w:cs="Times New Roman"/>
                <w:color w:val="auto"/>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0FC429B5">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380BEF8">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2D2B3578">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6DAEFC5B">
            <w:pPr>
              <w:snapToGrid w:val="0"/>
              <w:ind w:firstLine="480"/>
              <w:jc w:val="center"/>
              <w:rPr>
                <w:rFonts w:hint="default" w:ascii="Times New Roman" w:hAnsi="Times New Roman" w:eastAsia="宋体" w:cs="Times New Roman"/>
                <w:color w:val="auto"/>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6D141F00">
            <w:pPr>
              <w:snapToGrid w:val="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37F62B3A">
            <w:pPr>
              <w:snapToGrid w:val="0"/>
              <w:jc w:val="center"/>
              <w:rPr>
                <w:rFonts w:hint="default" w:ascii="Times New Roman" w:hAnsi="Times New Roman" w:eastAsia="宋体" w:cs="Times New Roman"/>
                <w:color w:val="auto"/>
                <w:sz w:val="24"/>
                <w:szCs w:val="24"/>
                <w:highlight w:val="none"/>
              </w:rPr>
            </w:pPr>
          </w:p>
        </w:tc>
      </w:tr>
      <w:tr w14:paraId="1037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6597378F">
            <w:pPr>
              <w:snapToGrid w:val="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53B54C5">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002FF205">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4A646562">
            <w:pPr>
              <w:snapToGrid w:val="0"/>
              <w:ind w:firstLine="480"/>
              <w:jc w:val="center"/>
              <w:rPr>
                <w:rFonts w:hint="default" w:ascii="Times New Roman" w:hAnsi="Times New Roman" w:eastAsia="宋体" w:cs="Times New Roman"/>
                <w:color w:val="auto"/>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089249F5">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F2BE656">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02306323">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1557ECCA">
            <w:pPr>
              <w:snapToGrid w:val="0"/>
              <w:ind w:firstLine="480"/>
              <w:jc w:val="center"/>
              <w:rPr>
                <w:rFonts w:hint="default" w:ascii="Times New Roman" w:hAnsi="Times New Roman" w:eastAsia="宋体" w:cs="Times New Roman"/>
                <w:color w:val="auto"/>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6923C844">
            <w:pPr>
              <w:snapToGrid w:val="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1CC6C31B">
            <w:pPr>
              <w:snapToGrid w:val="0"/>
              <w:jc w:val="center"/>
              <w:rPr>
                <w:rFonts w:hint="default" w:ascii="Times New Roman" w:hAnsi="Times New Roman" w:eastAsia="宋体" w:cs="Times New Roman"/>
                <w:color w:val="auto"/>
                <w:sz w:val="24"/>
                <w:szCs w:val="24"/>
                <w:highlight w:val="none"/>
              </w:rPr>
            </w:pPr>
          </w:p>
        </w:tc>
      </w:tr>
      <w:tr w14:paraId="03DF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3F25C4D9">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930" w:type="dxa"/>
            <w:tcBorders>
              <w:top w:val="single" w:color="000000" w:sz="8" w:space="0"/>
              <w:left w:val="single" w:color="000000" w:sz="8" w:space="0"/>
              <w:bottom w:val="single" w:color="000000" w:sz="8" w:space="0"/>
              <w:right w:val="single" w:color="000000" w:sz="8" w:space="0"/>
            </w:tcBorders>
            <w:vAlign w:val="center"/>
          </w:tcPr>
          <w:p w14:paraId="26FD8D21">
            <w:pPr>
              <w:snapToGrid w:val="0"/>
              <w:ind w:firstLine="4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930" w:type="dxa"/>
            <w:tcBorders>
              <w:top w:val="single" w:color="000000" w:sz="8" w:space="0"/>
              <w:left w:val="single" w:color="000000" w:sz="8" w:space="0"/>
              <w:bottom w:val="single" w:color="000000" w:sz="8" w:space="0"/>
              <w:right w:val="single" w:color="000000" w:sz="8" w:space="0"/>
            </w:tcBorders>
            <w:vAlign w:val="center"/>
          </w:tcPr>
          <w:p w14:paraId="681BEBB9">
            <w:pPr>
              <w:snapToGrid w:val="0"/>
              <w:ind w:firstLine="4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975" w:type="dxa"/>
            <w:tcBorders>
              <w:top w:val="single" w:color="000000" w:sz="8" w:space="0"/>
              <w:left w:val="single" w:color="000000" w:sz="8" w:space="0"/>
              <w:bottom w:val="single" w:color="000000" w:sz="8" w:space="0"/>
              <w:right w:val="single" w:color="000000" w:sz="8" w:space="0"/>
            </w:tcBorders>
            <w:vAlign w:val="center"/>
          </w:tcPr>
          <w:p w14:paraId="122F1604">
            <w:pPr>
              <w:snapToGrid w:val="0"/>
              <w:ind w:firstLine="480"/>
              <w:jc w:val="center"/>
              <w:rPr>
                <w:rFonts w:hint="default" w:ascii="Times New Roman" w:hAnsi="Times New Roman" w:eastAsia="宋体" w:cs="Times New Roman"/>
                <w:color w:val="auto"/>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336C49F5">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5C5DFFD0">
            <w:pPr>
              <w:snapToGrid w:val="0"/>
              <w:ind w:firstLine="4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930" w:type="dxa"/>
            <w:tcBorders>
              <w:top w:val="single" w:color="000000" w:sz="8" w:space="0"/>
              <w:left w:val="single" w:color="000000" w:sz="8" w:space="0"/>
              <w:bottom w:val="single" w:color="000000" w:sz="8" w:space="0"/>
              <w:right w:val="single" w:color="000000" w:sz="8" w:space="0"/>
            </w:tcBorders>
            <w:vAlign w:val="center"/>
          </w:tcPr>
          <w:p w14:paraId="1D2BB72A">
            <w:pPr>
              <w:snapToGrid w:val="0"/>
              <w:ind w:firstLine="4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975" w:type="dxa"/>
            <w:tcBorders>
              <w:top w:val="single" w:color="000000" w:sz="8" w:space="0"/>
              <w:left w:val="single" w:color="000000" w:sz="8" w:space="0"/>
              <w:bottom w:val="single" w:color="000000" w:sz="8" w:space="0"/>
              <w:right w:val="single" w:color="000000" w:sz="8" w:space="0"/>
            </w:tcBorders>
            <w:vAlign w:val="center"/>
          </w:tcPr>
          <w:p w14:paraId="311E8F9D">
            <w:pPr>
              <w:snapToGrid w:val="0"/>
              <w:ind w:firstLine="4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200" w:type="dxa"/>
            <w:tcBorders>
              <w:top w:val="single" w:color="000000" w:sz="8" w:space="0"/>
              <w:left w:val="single" w:color="000000" w:sz="8" w:space="0"/>
              <w:bottom w:val="single" w:color="000000" w:sz="8" w:space="0"/>
              <w:right w:val="single" w:color="000000" w:sz="8" w:space="0"/>
            </w:tcBorders>
            <w:vAlign w:val="center"/>
          </w:tcPr>
          <w:p w14:paraId="7C784D34">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2E36B58F">
            <w:pPr>
              <w:snapToGrid w:val="0"/>
              <w:ind w:firstLine="480"/>
              <w:jc w:val="center"/>
              <w:rPr>
                <w:rFonts w:hint="default" w:ascii="Times New Roman" w:hAnsi="Times New Roman" w:eastAsia="宋体" w:cs="Times New Roman"/>
                <w:color w:val="auto"/>
                <w:sz w:val="24"/>
                <w:szCs w:val="24"/>
                <w:highlight w:val="none"/>
              </w:rPr>
            </w:pPr>
          </w:p>
        </w:tc>
      </w:tr>
    </w:tbl>
    <w:p w14:paraId="4228DCCD">
      <w:pPr>
        <w:snapToGrid w:val="0"/>
        <w:spacing w:before="60" w:after="60" w:line="300" w:lineRule="auto"/>
        <w:ind w:firstLine="4920" w:firstLineChars="2050"/>
        <w:rPr>
          <w:rFonts w:hint="default" w:ascii="Times New Roman" w:hAnsi="Times New Roman" w:eastAsia="宋体" w:cs="Times New Roman"/>
          <w:color w:val="auto"/>
          <w:sz w:val="24"/>
          <w:szCs w:val="24"/>
          <w:highlight w:val="none"/>
        </w:rPr>
      </w:pPr>
    </w:p>
    <w:p w14:paraId="34AB72A0">
      <w:pPr>
        <w:snapToGrid w:val="0"/>
        <w:spacing w:before="60" w:after="60" w:line="312"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0"/>
          <w:szCs w:val="20"/>
          <w:highlight w:val="none"/>
        </w:rPr>
        <w:t xml:space="preserve">                                        </w:t>
      </w: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(公章)</w:t>
      </w:r>
      <w:r>
        <w:rPr>
          <w:rFonts w:hint="default" w:ascii="Times New Roman" w:hAnsi="Times New Roman" w:eastAsia="Times New Roman" w:cs="Times New Roman"/>
          <w:color w:val="auto"/>
          <w:sz w:val="24"/>
          <w:szCs w:val="24"/>
          <w:highlight w:val="none"/>
        </w:rPr>
        <w:t xml:space="preserve">  </w:t>
      </w:r>
    </w:p>
    <w:p w14:paraId="305928E9">
      <w:pPr>
        <w:snapToGrid w:val="0"/>
        <w:spacing w:before="60" w:after="60" w:line="320" w:lineRule="exact"/>
        <w:rPr>
          <w:rFonts w:hint="default" w:ascii="Times New Roman" w:hAnsi="Times New Roman" w:eastAsia="宋体" w:cs="Times New Roman"/>
          <w:color w:val="auto"/>
          <w:sz w:val="24"/>
          <w:szCs w:val="24"/>
          <w:highlight w:val="none"/>
        </w:rPr>
      </w:pPr>
    </w:p>
    <w:p w14:paraId="678342BE">
      <w:pPr>
        <w:snapToGrid w:val="0"/>
        <w:spacing w:before="60" w:after="60" w:line="320" w:lineRule="exact"/>
        <w:ind w:firstLine="4320" w:firstLineChars="18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2E8698A7">
      <w:pPr>
        <w:pStyle w:val="7"/>
        <w:rPr>
          <w:rFonts w:hint="default"/>
          <w:color w:val="auto"/>
          <w:highlight w:val="none"/>
        </w:rPr>
      </w:pPr>
    </w:p>
    <w:p w14:paraId="0004B2E4">
      <w:pPr>
        <w:pStyle w:val="3"/>
        <w:spacing w:line="288" w:lineRule="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投标人认为需要提供的其他商务技术材料/文件</w:t>
      </w:r>
    </w:p>
    <w:sectPr>
      <w:footerReference r:id="rId8" w:type="first"/>
      <w:footerReference r:id="rId7" w:type="default"/>
      <w:pgSz w:w="11906" w:h="16838"/>
      <w:pgMar w:top="1134" w:right="1361" w:bottom="1020"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22FA">
    <w:pPr>
      <w:pBdr>
        <w:top w:val="single" w:color="00000A" w:sz="8" w:space="1"/>
      </w:pBdr>
      <w:rPr>
        <w:b/>
        <w:bCs/>
        <w:i/>
        <w:iCs/>
        <w:sz w:val="18"/>
        <w:szCs w:val="18"/>
      </w:rPr>
    </w:pPr>
    <w:r>
      <w:rPr>
        <w:b/>
        <w:bCs/>
        <w:i/>
        <w:iCs/>
        <w:sz w:val="18"/>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627C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73627CE">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b/>
        <w:bCs/>
        <w:i/>
        <w:iCs/>
        <w:sz w:val="18"/>
        <w:szCs w:val="18"/>
      </w:rPr>
      <w:t xml:space="preserve">山西宏润招标代理有限公司编制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AA63">
    <w:pPr>
      <w:pStyle w:val="11"/>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AE99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D8AE99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606D">
    <w:pPr>
      <w:pBdr>
        <w:top w:val="single" w:color="00000A" w:sz="8" w:space="1"/>
      </w:pBdr>
      <w:rPr>
        <w:b/>
        <w:bCs/>
        <w:i/>
        <w:iCs/>
        <w:sz w:val="18"/>
        <w:szCs w:val="18"/>
      </w:rPr>
    </w:pPr>
    <w:r>
      <w:rPr>
        <w:b/>
        <w:bCs/>
        <w:i/>
        <w:iCs/>
        <w:sz w:val="18"/>
        <w:szCs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4B7A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SECTIONPAGES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54B7A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SECTIONPAGES \* MERGEFORMAT </w:instrText>
                    </w:r>
                    <w:r>
                      <w:fldChar w:fldCharType="separate"/>
                    </w:r>
                    <w:r>
                      <w:t>72</w:t>
                    </w:r>
                    <w:r>
                      <w:fldChar w:fldCharType="end"/>
                    </w:r>
                    <w:r>
                      <w:t xml:space="preserve"> 页</w:t>
                    </w:r>
                  </w:p>
                </w:txbxContent>
              </v:textbox>
            </v:shape>
          </w:pict>
        </mc:Fallback>
      </mc:AlternateContent>
    </w:r>
    <w:r>
      <w:rPr>
        <w:rFonts w:hint="eastAsia"/>
        <w:b/>
        <w:bCs/>
        <w:i/>
        <w:iCs/>
        <w:sz w:val="18"/>
        <w:szCs w:val="18"/>
      </w:rPr>
      <w:t xml:space="preserve">山西宏润招标代理有限公司编制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06D8E">
    <w:pPr>
      <w:pStyle w:val="11"/>
      <w:rPr>
        <w:b/>
        <w:bCs/>
        <w:i/>
        <w:iCs/>
      </w:rPr>
    </w:pPr>
    <w:r>
      <w:rPr>
        <w:b/>
        <w:bCs/>
        <w:i/>
        <w:iCs/>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D7A6D">
                          <w:pPr>
                            <w:pStyle w:val="11"/>
                          </w:pPr>
                          <w:r>
                            <w:t xml:space="preserve">第 </w:t>
                          </w:r>
                          <w:r>
                            <w:fldChar w:fldCharType="begin"/>
                          </w:r>
                          <w:r>
                            <w:instrText xml:space="preserve"> PAGE  \* MERGEFORMAT </w:instrText>
                          </w:r>
                          <w:r>
                            <w:fldChar w:fldCharType="separate"/>
                          </w:r>
                          <w:r>
                            <w:t>1</w:t>
                          </w:r>
                          <w:r>
                            <w:fldChar w:fldCharType="end"/>
                          </w:r>
                          <w:r>
                            <w:t xml:space="preserve"> 页 共</w:t>
                          </w:r>
                          <w:r>
                            <w:fldChar w:fldCharType="begin"/>
                          </w:r>
                          <w:r>
                            <w:instrText xml:space="preserve"> SECTIONPAGES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40D7A6D">
                    <w:pPr>
                      <w:pStyle w:val="11"/>
                    </w:pPr>
                    <w:r>
                      <w:t xml:space="preserve">第 </w:t>
                    </w:r>
                    <w:r>
                      <w:fldChar w:fldCharType="begin"/>
                    </w:r>
                    <w:r>
                      <w:instrText xml:space="preserve"> PAGE  \* MERGEFORMAT </w:instrText>
                    </w:r>
                    <w:r>
                      <w:fldChar w:fldCharType="separate"/>
                    </w:r>
                    <w:r>
                      <w:t>1</w:t>
                    </w:r>
                    <w:r>
                      <w:fldChar w:fldCharType="end"/>
                    </w:r>
                    <w:r>
                      <w:t xml:space="preserve"> 页 共</w:t>
                    </w:r>
                    <w:r>
                      <w:fldChar w:fldCharType="begin"/>
                    </w:r>
                    <w:r>
                      <w:instrText xml:space="preserve"> SECTIONPAGES \* MERGEFORMAT </w:instrText>
                    </w:r>
                    <w:r>
                      <w:fldChar w:fldCharType="separate"/>
                    </w:r>
                    <w:r>
                      <w:t>72</w:t>
                    </w:r>
                    <w:r>
                      <w:fldChar w:fldCharType="end"/>
                    </w:r>
                    <w:r>
                      <w:t xml:space="preserve"> 页</w:t>
                    </w:r>
                  </w:p>
                </w:txbxContent>
              </v:textbox>
            </v:shape>
          </w:pict>
        </mc:Fallback>
      </mc:AlternateContent>
    </w:r>
    <w:r>
      <w:rPr>
        <w:rFonts w:hint="eastAsia"/>
        <w:b/>
        <w:bCs/>
        <w:i/>
        <w:iCs/>
      </w:rPr>
      <w:t>山西宏润招标代理有限公司编制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485C">
    <w:pPr>
      <w:pStyle w:val="12"/>
      <w:rPr>
        <w:b/>
        <w:bCs/>
      </w:rPr>
    </w:pPr>
    <w:r>
      <w:rPr>
        <w:rFonts w:hint="eastAsia"/>
        <w:b/>
        <w:bCs/>
      </w:rPr>
      <w:t>交口县医疗集团人民医院医疗设备采购项目公开招标文件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1321">
    <w:pPr>
      <w:pStyle w:val="12"/>
      <w:pBdr>
        <w:bottom w:val="single" w:color="auto" w:sz="4" w:space="1"/>
      </w:pBdr>
      <w:rPr>
        <w:b/>
        <w:bCs/>
      </w:rPr>
    </w:pPr>
    <w:r>
      <w:rPr>
        <w:rFonts w:hint="eastAsia"/>
        <w:b/>
        <w:bCs/>
      </w:rPr>
      <w:t>交口县医疗集团人民医院医疗设备采购项目公开招标文件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
      <w:lvlText w:val="%1、"/>
      <w:lvlJc w:val="left"/>
      <w:pPr>
        <w:ind w:left="420" w:hanging="420"/>
      </w:pPr>
      <w:rPr>
        <w:rFonts w:hint="default" w:ascii="宋体" w:hAnsi="宋体" w:eastAsia="宋体"/>
        <w:bCs/>
      </w:rPr>
    </w:lvl>
  </w:abstractNum>
  <w:abstractNum w:abstractNumId="1">
    <w:nsid w:val="FC24E2FD"/>
    <w:multiLevelType w:val="singleLevel"/>
    <w:tmpl w:val="FC24E2FD"/>
    <w:lvl w:ilvl="0" w:tentative="0">
      <w:start w:val="1"/>
      <w:numFmt w:val="chineseCounting"/>
      <w:suff w:val="nothing"/>
      <w:lvlText w:val="（%1）"/>
      <w:lvlJc w:val="left"/>
      <w:rPr>
        <w:rFonts w:hint="eastAsia"/>
      </w:rPr>
    </w:lvl>
  </w:abstractNum>
  <w:abstractNum w:abstractNumId="2">
    <w:nsid w:val="0E96BFF5"/>
    <w:multiLevelType w:val="singleLevel"/>
    <w:tmpl w:val="0E96BFF5"/>
    <w:lvl w:ilvl="0" w:tentative="0">
      <w:start w:val="2"/>
      <w:numFmt w:val="decimal"/>
      <w:suff w:val="space"/>
      <w:lvlText w:val="%1."/>
      <w:lvlJc w:val="left"/>
    </w:lvl>
  </w:abstractNum>
  <w:abstractNum w:abstractNumId="3">
    <w:nsid w:val="2470EC97"/>
    <w:multiLevelType w:val="singleLevel"/>
    <w:tmpl w:val="2470EC97"/>
    <w:lvl w:ilvl="0" w:tentative="0">
      <w:start w:val="1"/>
      <w:numFmt w:val="decimal"/>
      <w:lvlText w:val="%1."/>
      <w:lvlJc w:val="left"/>
      <w:pPr>
        <w:ind w:left="420" w:hanging="420"/>
      </w:pPr>
      <w:rPr>
        <w:rFonts w:hint="default" w:ascii="宋体" w:hAnsi="宋体" w:eastAsia="宋体"/>
        <w:bCs/>
      </w:rPr>
    </w:lvl>
  </w:abstractNum>
  <w:abstractNum w:abstractNumId="4">
    <w:nsid w:val="25B654F3"/>
    <w:multiLevelType w:val="singleLevel"/>
    <w:tmpl w:val="25B654F3"/>
    <w:lvl w:ilvl="0" w:tentative="0">
      <w:start w:val="1"/>
      <w:numFmt w:val="decimal"/>
      <w:lvlText w:val="%1、"/>
      <w:lvlJc w:val="left"/>
      <w:pPr>
        <w:ind w:left="420" w:hanging="420"/>
      </w:pPr>
      <w:rPr>
        <w:rFonts w:hint="default" w:ascii="宋体" w:hAnsi="宋体" w:eastAsia="宋体"/>
        <w:bCs/>
      </w:rPr>
    </w:lvl>
  </w:abstractNum>
  <w:abstractNum w:abstractNumId="5">
    <w:nsid w:val="7DE96AA6"/>
    <w:multiLevelType w:val="singleLevel"/>
    <w:tmpl w:val="7DE96AA6"/>
    <w:lvl w:ilvl="0" w:tentative="0">
      <w:start w:val="5"/>
      <w:numFmt w:val="decimal"/>
      <w:suff w:val="space"/>
      <w:lvlText w:val="%1."/>
      <w:lvlJc w:val="left"/>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YTg3MjdlNWQ4MGJjNTE3NmM5ZGY3MTRkZDRiMTEifQ=="/>
  </w:docVars>
  <w:rsids>
    <w:rsidRoot w:val="00BA0C1A"/>
    <w:rsid w:val="000C51B7"/>
    <w:rsid w:val="001060AA"/>
    <w:rsid w:val="0016465C"/>
    <w:rsid w:val="001B0129"/>
    <w:rsid w:val="00216EB9"/>
    <w:rsid w:val="0059531B"/>
    <w:rsid w:val="00616505"/>
    <w:rsid w:val="00617AB8"/>
    <w:rsid w:val="0062213C"/>
    <w:rsid w:val="00633F40"/>
    <w:rsid w:val="00653AD6"/>
    <w:rsid w:val="006549AD"/>
    <w:rsid w:val="00684D9C"/>
    <w:rsid w:val="00945666"/>
    <w:rsid w:val="00A60633"/>
    <w:rsid w:val="00AD47C3"/>
    <w:rsid w:val="00BA0C1A"/>
    <w:rsid w:val="00C061CB"/>
    <w:rsid w:val="00C604EC"/>
    <w:rsid w:val="00E26251"/>
    <w:rsid w:val="00E470A7"/>
    <w:rsid w:val="00EA1EE8"/>
    <w:rsid w:val="00EF2D90"/>
    <w:rsid w:val="00F53662"/>
    <w:rsid w:val="02FA28BC"/>
    <w:rsid w:val="036D2DAF"/>
    <w:rsid w:val="05200502"/>
    <w:rsid w:val="05701DE5"/>
    <w:rsid w:val="069B4FD7"/>
    <w:rsid w:val="06A109A1"/>
    <w:rsid w:val="0732710C"/>
    <w:rsid w:val="083D07F0"/>
    <w:rsid w:val="088017D6"/>
    <w:rsid w:val="0955056D"/>
    <w:rsid w:val="09574037"/>
    <w:rsid w:val="0B720EBE"/>
    <w:rsid w:val="0CE41E67"/>
    <w:rsid w:val="0D26294C"/>
    <w:rsid w:val="0D6C71F3"/>
    <w:rsid w:val="0DD203DE"/>
    <w:rsid w:val="0E2D7D0A"/>
    <w:rsid w:val="0EAA3CD1"/>
    <w:rsid w:val="0EAA4EB7"/>
    <w:rsid w:val="0EEB509F"/>
    <w:rsid w:val="0F20161D"/>
    <w:rsid w:val="0F4F38C1"/>
    <w:rsid w:val="0F670FFA"/>
    <w:rsid w:val="0FED2689"/>
    <w:rsid w:val="105E3B74"/>
    <w:rsid w:val="107D7CF1"/>
    <w:rsid w:val="109A08B3"/>
    <w:rsid w:val="12371157"/>
    <w:rsid w:val="138B02A4"/>
    <w:rsid w:val="13AD4A7F"/>
    <w:rsid w:val="13FF7A53"/>
    <w:rsid w:val="140D032F"/>
    <w:rsid w:val="14221993"/>
    <w:rsid w:val="14A93475"/>
    <w:rsid w:val="14C447F8"/>
    <w:rsid w:val="153F2E0F"/>
    <w:rsid w:val="16590862"/>
    <w:rsid w:val="168A2BE0"/>
    <w:rsid w:val="168B1A72"/>
    <w:rsid w:val="17351302"/>
    <w:rsid w:val="17AE57A0"/>
    <w:rsid w:val="19B412DF"/>
    <w:rsid w:val="19D24236"/>
    <w:rsid w:val="19D674A8"/>
    <w:rsid w:val="1AA90718"/>
    <w:rsid w:val="1AA933C8"/>
    <w:rsid w:val="1AB01AA7"/>
    <w:rsid w:val="1C2C4424"/>
    <w:rsid w:val="1C995671"/>
    <w:rsid w:val="1CD54CE6"/>
    <w:rsid w:val="1DEC38DC"/>
    <w:rsid w:val="1E4A3CA4"/>
    <w:rsid w:val="1E9B1BB6"/>
    <w:rsid w:val="1EE00481"/>
    <w:rsid w:val="20C52024"/>
    <w:rsid w:val="21333AE8"/>
    <w:rsid w:val="21894285"/>
    <w:rsid w:val="22262024"/>
    <w:rsid w:val="22662A4D"/>
    <w:rsid w:val="22BE0A2E"/>
    <w:rsid w:val="231F3C6E"/>
    <w:rsid w:val="23940BDC"/>
    <w:rsid w:val="252512E3"/>
    <w:rsid w:val="253B5EC9"/>
    <w:rsid w:val="25675458"/>
    <w:rsid w:val="25A8619C"/>
    <w:rsid w:val="26112B82"/>
    <w:rsid w:val="267628A6"/>
    <w:rsid w:val="26B430F2"/>
    <w:rsid w:val="27A72484"/>
    <w:rsid w:val="27ED433A"/>
    <w:rsid w:val="284827A1"/>
    <w:rsid w:val="295767FF"/>
    <w:rsid w:val="29866D4A"/>
    <w:rsid w:val="298A3E0B"/>
    <w:rsid w:val="29DA08EE"/>
    <w:rsid w:val="29DB24F0"/>
    <w:rsid w:val="2A8455CF"/>
    <w:rsid w:val="2B1B28E1"/>
    <w:rsid w:val="2B8C565D"/>
    <w:rsid w:val="2C332538"/>
    <w:rsid w:val="2CC47E1A"/>
    <w:rsid w:val="2D315042"/>
    <w:rsid w:val="2F2443BA"/>
    <w:rsid w:val="2FBE65BC"/>
    <w:rsid w:val="30456175"/>
    <w:rsid w:val="307C7ED3"/>
    <w:rsid w:val="3084391F"/>
    <w:rsid w:val="30F54260"/>
    <w:rsid w:val="334E602E"/>
    <w:rsid w:val="340771EC"/>
    <w:rsid w:val="34466802"/>
    <w:rsid w:val="34812795"/>
    <w:rsid w:val="36545584"/>
    <w:rsid w:val="36772279"/>
    <w:rsid w:val="370C2303"/>
    <w:rsid w:val="3781186F"/>
    <w:rsid w:val="38997BC6"/>
    <w:rsid w:val="3942200C"/>
    <w:rsid w:val="396401D4"/>
    <w:rsid w:val="39D63BC2"/>
    <w:rsid w:val="3B660234"/>
    <w:rsid w:val="3C5957EE"/>
    <w:rsid w:val="3C7C4008"/>
    <w:rsid w:val="3CA42EE6"/>
    <w:rsid w:val="3D053A7C"/>
    <w:rsid w:val="3D136199"/>
    <w:rsid w:val="3EC05EAD"/>
    <w:rsid w:val="40445315"/>
    <w:rsid w:val="41CA0DF1"/>
    <w:rsid w:val="427038EE"/>
    <w:rsid w:val="42823479"/>
    <w:rsid w:val="43065E58"/>
    <w:rsid w:val="430976F7"/>
    <w:rsid w:val="434067C1"/>
    <w:rsid w:val="43AF616D"/>
    <w:rsid w:val="43E96504"/>
    <w:rsid w:val="440C3942"/>
    <w:rsid w:val="47A80497"/>
    <w:rsid w:val="47E0426F"/>
    <w:rsid w:val="48877A3B"/>
    <w:rsid w:val="488F0B4E"/>
    <w:rsid w:val="498F397D"/>
    <w:rsid w:val="4AA76173"/>
    <w:rsid w:val="4C7E4CB1"/>
    <w:rsid w:val="4CB61240"/>
    <w:rsid w:val="4CB6528F"/>
    <w:rsid w:val="4DB31898"/>
    <w:rsid w:val="4E606D65"/>
    <w:rsid w:val="4E704FD0"/>
    <w:rsid w:val="4EC015B1"/>
    <w:rsid w:val="4EEC05F8"/>
    <w:rsid w:val="4EFE20DA"/>
    <w:rsid w:val="4F17553F"/>
    <w:rsid w:val="4FE37C4D"/>
    <w:rsid w:val="504F52E3"/>
    <w:rsid w:val="51FA302C"/>
    <w:rsid w:val="52D7511B"/>
    <w:rsid w:val="5311062D"/>
    <w:rsid w:val="53525593"/>
    <w:rsid w:val="546D3810"/>
    <w:rsid w:val="56145014"/>
    <w:rsid w:val="5627460C"/>
    <w:rsid w:val="568D20C3"/>
    <w:rsid w:val="56AA2DC8"/>
    <w:rsid w:val="57E97DCB"/>
    <w:rsid w:val="58B64DAD"/>
    <w:rsid w:val="58BF2A88"/>
    <w:rsid w:val="59820C7B"/>
    <w:rsid w:val="5A0C1B4F"/>
    <w:rsid w:val="5AC661A1"/>
    <w:rsid w:val="5AFE7A24"/>
    <w:rsid w:val="5B2B06FA"/>
    <w:rsid w:val="5BF71D4A"/>
    <w:rsid w:val="5C26360F"/>
    <w:rsid w:val="5C2D68AB"/>
    <w:rsid w:val="5C434734"/>
    <w:rsid w:val="5C98591B"/>
    <w:rsid w:val="5CE96177"/>
    <w:rsid w:val="5D710D9B"/>
    <w:rsid w:val="5E3E6996"/>
    <w:rsid w:val="5E455367"/>
    <w:rsid w:val="5FA647F3"/>
    <w:rsid w:val="61131A15"/>
    <w:rsid w:val="61507E15"/>
    <w:rsid w:val="61F90C07"/>
    <w:rsid w:val="6236008A"/>
    <w:rsid w:val="629E5C56"/>
    <w:rsid w:val="633C39DB"/>
    <w:rsid w:val="63D446D5"/>
    <w:rsid w:val="63EB4A47"/>
    <w:rsid w:val="6435218B"/>
    <w:rsid w:val="646F78AA"/>
    <w:rsid w:val="648D1A9F"/>
    <w:rsid w:val="648D1FBF"/>
    <w:rsid w:val="66911D59"/>
    <w:rsid w:val="66952ECC"/>
    <w:rsid w:val="67BF7384"/>
    <w:rsid w:val="692D1AE1"/>
    <w:rsid w:val="696F5C56"/>
    <w:rsid w:val="6ABA09B8"/>
    <w:rsid w:val="6B030D4C"/>
    <w:rsid w:val="6B0A20DA"/>
    <w:rsid w:val="6C1B0ED2"/>
    <w:rsid w:val="6D21161F"/>
    <w:rsid w:val="6D4D3C1F"/>
    <w:rsid w:val="6D800432"/>
    <w:rsid w:val="6E1374F8"/>
    <w:rsid w:val="6E3556C0"/>
    <w:rsid w:val="6EAF13B0"/>
    <w:rsid w:val="6EF417D7"/>
    <w:rsid w:val="6F7A5B8F"/>
    <w:rsid w:val="6FB95E7D"/>
    <w:rsid w:val="6FD34539"/>
    <w:rsid w:val="6FDB4045"/>
    <w:rsid w:val="70886D57"/>
    <w:rsid w:val="71061E72"/>
    <w:rsid w:val="71D14F5F"/>
    <w:rsid w:val="73056E95"/>
    <w:rsid w:val="7386251A"/>
    <w:rsid w:val="74835962"/>
    <w:rsid w:val="74B67F1F"/>
    <w:rsid w:val="74D6127F"/>
    <w:rsid w:val="74F82FA3"/>
    <w:rsid w:val="75297C98"/>
    <w:rsid w:val="75A82DD7"/>
    <w:rsid w:val="75DB3675"/>
    <w:rsid w:val="75EB48B6"/>
    <w:rsid w:val="760C31AA"/>
    <w:rsid w:val="762B1157"/>
    <w:rsid w:val="766B55DE"/>
    <w:rsid w:val="76894F0E"/>
    <w:rsid w:val="77244524"/>
    <w:rsid w:val="7740227C"/>
    <w:rsid w:val="7830535C"/>
    <w:rsid w:val="78322C70"/>
    <w:rsid w:val="787C6A0F"/>
    <w:rsid w:val="78852DA0"/>
    <w:rsid w:val="78CA10FB"/>
    <w:rsid w:val="79587C6F"/>
    <w:rsid w:val="79E32474"/>
    <w:rsid w:val="79F53899"/>
    <w:rsid w:val="7A3B2499"/>
    <w:rsid w:val="7A925C48"/>
    <w:rsid w:val="7ABB200E"/>
    <w:rsid w:val="7B1D3764"/>
    <w:rsid w:val="7B1E128A"/>
    <w:rsid w:val="7B2A766B"/>
    <w:rsid w:val="7B34197A"/>
    <w:rsid w:val="7BCB1412"/>
    <w:rsid w:val="7C217284"/>
    <w:rsid w:val="7D0C1CE2"/>
    <w:rsid w:val="7EDF0482"/>
    <w:rsid w:val="7F211349"/>
    <w:rsid w:val="7FDB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408" w:lineRule="auto"/>
      <w:jc w:val="left"/>
      <w:outlineLvl w:val="0"/>
    </w:pPr>
    <w:rPr>
      <w:b/>
      <w:bCs/>
      <w:color w:val="1A1A1A"/>
      <w:kern w:val="44"/>
      <w:sz w:val="36"/>
      <w:szCs w:val="36"/>
    </w:rPr>
  </w:style>
  <w:style w:type="paragraph" w:styleId="3">
    <w:name w:val="heading 2"/>
    <w:basedOn w:val="1"/>
    <w:next w:val="1"/>
    <w:link w:val="26"/>
    <w:unhideWhenUsed/>
    <w:qFormat/>
    <w:uiPriority w:val="9"/>
    <w:pPr>
      <w:keepNext/>
      <w:keepLines/>
      <w:spacing w:line="408" w:lineRule="auto"/>
      <w:jc w:val="left"/>
      <w:outlineLvl w:val="1"/>
    </w:pPr>
    <w:rPr>
      <w:rFonts w:asciiTheme="majorHAnsi" w:hAnsiTheme="majorHAnsi" w:eastAsiaTheme="majorEastAsia" w:cstheme="majorBidi"/>
      <w:b/>
      <w:bCs/>
      <w:color w:val="1A1A1A"/>
      <w:sz w:val="32"/>
      <w:szCs w:val="32"/>
    </w:rPr>
  </w:style>
  <w:style w:type="paragraph" w:styleId="4">
    <w:name w:val="heading 3"/>
    <w:basedOn w:val="1"/>
    <w:next w:val="1"/>
    <w:unhideWhenUsed/>
    <w:qFormat/>
    <w:uiPriority w:val="9"/>
    <w:pPr>
      <w:keepNext/>
      <w:keepLines/>
      <w:spacing w:line="408" w:lineRule="auto"/>
      <w:jc w:val="left"/>
      <w:outlineLvl w:val="2"/>
    </w:pPr>
    <w:rPr>
      <w:b/>
      <w:bCs/>
      <w:color w:val="1A1A1A"/>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210" w:hanging="210"/>
    </w:pPr>
    <w:rPr>
      <w:sz w:val="20"/>
      <w:szCs w:val="20"/>
    </w:rPr>
  </w:style>
  <w:style w:type="paragraph" w:styleId="6">
    <w:name w:val="Normal Indent"/>
    <w:basedOn w:val="1"/>
    <w:next w:val="7"/>
    <w:unhideWhenUsed/>
    <w:qFormat/>
    <w:uiPriority w:val="99"/>
    <w:pPr>
      <w:ind w:firstLine="420" w:firstLineChars="200"/>
    </w:pPr>
    <w:rPr>
      <w:rFonts w:ascii="Times New Roman" w:hAnsi="Times New Roman" w:eastAsia="宋体" w:cs="Times New Roman"/>
      <w:kern w:val="0"/>
      <w:sz w:val="20"/>
      <w:szCs w:val="24"/>
    </w:rPr>
  </w:style>
  <w:style w:type="paragraph" w:styleId="7">
    <w:name w:val="Body Text"/>
    <w:basedOn w:val="1"/>
    <w:unhideWhenUsed/>
    <w:qFormat/>
    <w:uiPriority w:val="99"/>
    <w:pPr>
      <w:spacing w:after="120"/>
    </w:pPr>
    <w:rPr>
      <w:kern w:val="0"/>
      <w:sz w:val="20"/>
    </w:rPr>
  </w:style>
  <w:style w:type="paragraph" w:styleId="8">
    <w:name w:val="annotation text"/>
    <w:basedOn w:val="1"/>
    <w:link w:val="27"/>
    <w:semiHidden/>
    <w:unhideWhenUsed/>
    <w:qFormat/>
    <w:uiPriority w:val="99"/>
    <w:pPr>
      <w:jc w:val="left"/>
    </w:pPr>
  </w:style>
  <w:style w:type="paragraph" w:styleId="9">
    <w:name w:val="Body Text Indent"/>
    <w:basedOn w:val="1"/>
    <w:qFormat/>
    <w:uiPriority w:val="0"/>
    <w:pPr>
      <w:spacing w:after="120" w:afterLines="0"/>
      <w:ind w:left="420" w:leftChars="200"/>
    </w:pPr>
    <w:rPr>
      <w:rFonts w:ascii="Times New Roman" w:hAnsi="Times New Roman" w:eastAsia="宋体" w:cs="Times New Roman"/>
    </w:rPr>
  </w:style>
  <w:style w:type="paragraph" w:styleId="10">
    <w:name w:val="Body Text Indent 2"/>
    <w:basedOn w:val="1"/>
    <w:qFormat/>
    <w:uiPriority w:val="0"/>
    <w:pPr>
      <w:spacing w:after="120" w:line="480" w:lineRule="auto"/>
      <w:ind w:left="420" w:leftChars="200"/>
    </w:p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spacing w:beforeAutospacing="1" w:afterAutospacing="1"/>
      <w:jc w:val="left"/>
    </w:pPr>
    <w:rPr>
      <w:rFonts w:cs="Times New Roman"/>
      <w:kern w:val="0"/>
      <w:sz w:val="24"/>
    </w:rPr>
  </w:style>
  <w:style w:type="paragraph" w:styleId="14">
    <w:name w:val="Title"/>
    <w:basedOn w:val="1"/>
    <w:next w:val="1"/>
    <w:qFormat/>
    <w:uiPriority w:val="10"/>
    <w:pPr>
      <w:spacing w:before="240" w:after="60"/>
      <w:jc w:val="center"/>
      <w:outlineLvl w:val="0"/>
    </w:pPr>
    <w:rPr>
      <w:rFonts w:ascii="Cambria" w:hAnsi="Cambria" w:cs="Times New Roman"/>
      <w:b/>
      <w:bCs/>
      <w:kern w:val="0"/>
      <w:sz w:val="32"/>
      <w:szCs w:val="32"/>
    </w:rPr>
  </w:style>
  <w:style w:type="paragraph" w:styleId="15">
    <w:name w:val="annotation subject"/>
    <w:basedOn w:val="8"/>
    <w:next w:val="8"/>
    <w:link w:val="28"/>
    <w:semiHidden/>
    <w:unhideWhenUsed/>
    <w:qFormat/>
    <w:uiPriority w:val="99"/>
    <w:rPr>
      <w:b/>
      <w:bCs/>
    </w:rPr>
  </w:style>
  <w:style w:type="paragraph" w:styleId="16">
    <w:name w:val="Body Text First Indent 2"/>
    <w:basedOn w:val="9"/>
    <w:unhideWhenUsed/>
    <w:qFormat/>
    <w:uiPriority w:val="0"/>
    <w:pPr>
      <w:spacing w:after="120" w:line="240" w:lineRule="auto"/>
      <w:ind w:left="420" w:leftChars="200" w:firstLine="420" w:firstLineChars="200"/>
      <w:jc w:val="both"/>
    </w:pPr>
    <w:rPr>
      <w:rFonts w:ascii="Arial" w:hAnsi="Arial"/>
      <w:sz w:val="21"/>
      <w:szCs w:val="22"/>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2"/>
    <w:semiHidden/>
    <w:qFormat/>
    <w:uiPriority w:val="99"/>
    <w:rPr>
      <w:sz w:val="18"/>
      <w:szCs w:val="18"/>
    </w:rPr>
  </w:style>
  <w:style w:type="character" w:customStyle="1" w:styleId="23">
    <w:name w:val="页脚 字符"/>
    <w:basedOn w:val="19"/>
    <w:link w:val="11"/>
    <w:semiHidden/>
    <w:qFormat/>
    <w:uiPriority w:val="99"/>
    <w:rPr>
      <w:sz w:val="18"/>
      <w:szCs w:val="18"/>
    </w:rPr>
  </w:style>
  <w:style w:type="paragraph" w:styleId="24">
    <w:name w:val="List Paragraph"/>
    <w:basedOn w:val="1"/>
    <w:qFormat/>
    <w:uiPriority w:val="34"/>
    <w:pPr>
      <w:ind w:firstLine="420" w:firstLineChars="200"/>
    </w:pPr>
  </w:style>
  <w:style w:type="paragraph" w:customStyle="1" w:styleId="25">
    <w:name w:val="WPSOffice手动目录 1"/>
    <w:qFormat/>
    <w:uiPriority w:val="0"/>
    <w:rPr>
      <w:rFonts w:asciiTheme="minorHAnsi" w:hAnsiTheme="minorHAnsi" w:eastAsiaTheme="minorEastAsia" w:cstheme="minorBidi"/>
      <w:lang w:val="en-US" w:eastAsia="zh-CN" w:bidi="ar-SA"/>
    </w:rPr>
  </w:style>
  <w:style w:type="character" w:customStyle="1" w:styleId="26">
    <w:name w:val="标题 2 字符"/>
    <w:link w:val="3"/>
    <w:qFormat/>
    <w:uiPriority w:val="9"/>
    <w:rPr>
      <w:rFonts w:asciiTheme="majorHAnsi" w:hAnsiTheme="majorHAnsi" w:eastAsiaTheme="majorEastAsia" w:cstheme="majorBidi"/>
      <w:b/>
      <w:bCs/>
      <w:color w:val="1A1A1A"/>
      <w:sz w:val="32"/>
      <w:szCs w:val="32"/>
    </w:rPr>
  </w:style>
  <w:style w:type="character" w:customStyle="1" w:styleId="27">
    <w:name w:val="批注文字 字符"/>
    <w:basedOn w:val="19"/>
    <w:link w:val="8"/>
    <w:semiHidden/>
    <w:qFormat/>
    <w:uiPriority w:val="99"/>
    <w:rPr>
      <w:rFonts w:asciiTheme="minorHAnsi" w:hAnsiTheme="minorHAnsi" w:eastAsiaTheme="minorEastAsia" w:cstheme="minorBidi"/>
      <w:kern w:val="2"/>
      <w:sz w:val="21"/>
      <w:szCs w:val="22"/>
    </w:rPr>
  </w:style>
  <w:style w:type="character" w:customStyle="1" w:styleId="28">
    <w:name w:val="批注主题 字符"/>
    <w:basedOn w:val="27"/>
    <w:link w:val="15"/>
    <w:semiHidden/>
    <w:qFormat/>
    <w:uiPriority w:val="99"/>
    <w:rPr>
      <w:rFonts w:asciiTheme="minorHAnsi" w:hAnsiTheme="minorHAnsi" w:eastAsiaTheme="minorEastAsia" w:cstheme="minorBidi"/>
      <w:b/>
      <w:bCs/>
      <w:kern w:val="2"/>
      <w:sz w:val="21"/>
      <w:szCs w:val="22"/>
    </w:rPr>
  </w:style>
  <w:style w:type="paragraph" w:customStyle="1" w:styleId="29">
    <w:name w:val="样式1"/>
    <w:basedOn w:val="1"/>
    <w:qFormat/>
    <w:uiPriority w:val="0"/>
    <w:pPr>
      <w:adjustRightInd w:val="0"/>
      <w:textAlignment w:val="baseline"/>
    </w:pPr>
    <w:rPr>
      <w:rFonts w:ascii="宋体" w:hAnsi="宋体"/>
      <w:kern w:val="0"/>
      <w:szCs w:val="21"/>
    </w:rPr>
  </w:style>
  <w:style w:type="character" w:customStyle="1" w:styleId="30">
    <w:name w:val="font31"/>
    <w:basedOn w:val="19"/>
    <w:qFormat/>
    <w:uiPriority w:val="0"/>
    <w:rPr>
      <w:rFonts w:hint="default" w:ascii="Times New Roman" w:hAnsi="Times New Roman" w:eastAsia="宋体" w:cs="Times New Roman"/>
      <w:color w:val="000000"/>
      <w:sz w:val="24"/>
      <w:szCs w:val="24"/>
      <w:u w:val="none"/>
    </w:rPr>
  </w:style>
  <w:style w:type="character" w:customStyle="1" w:styleId="31">
    <w:name w:val="font5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4077</Words>
  <Characters>4569</Characters>
  <Lines>296</Lines>
  <Paragraphs>83</Paragraphs>
  <TotalTime>75</TotalTime>
  <ScaleCrop>false</ScaleCrop>
  <LinksUpToDate>false</LinksUpToDate>
  <CharactersWithSpaces>4673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terms:modified xsi:type="dcterms:W3CDTF">2026-06-10T08:34:06Z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41EC72AA6D5B4531B3F23DD7E17A4C67_13</vt:lpwstr>
  </property>
  <property fmtid="{D5CDD505-2E9C-101B-9397-08002B2CF9AE}" pid="4" name="KSOTemplateDocerSaveRecord">
    <vt:lpwstr>eyJoZGlkIjoiNDUzMDFkNjI4MzE5ODQ0MzE3NDI3NjQzYTFlZDI5MTAiLCJ1c2VySWQiOiIxNjQyMjY5NzUxIn0=</vt:lpwstr>
  </property>
</Properties>
</file>