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11D7">
      <w:pPr>
        <w:spacing w:before="153" w:line="374" w:lineRule="auto"/>
        <w:ind w:left="220" w:leftChars="0" w:right="216" w:firstLine="0" w:firstLineChars="0"/>
        <w:jc w:val="center"/>
        <w:rPr>
          <w:rFonts w:ascii="仿宋" w:hAnsi="仿宋" w:eastAsia="仿宋" w:cs="仿宋"/>
          <w:sz w:val="47"/>
          <w:szCs w:val="47"/>
          <w:highlight w:val="none"/>
        </w:rPr>
      </w:pPr>
      <w:r>
        <w:rPr>
          <w:rFonts w:hint="eastAsia" w:ascii="仿宋" w:hAnsi="仿宋" w:eastAsia="仿宋" w:cs="仿宋"/>
          <w:spacing w:val="6"/>
          <w:sz w:val="47"/>
          <w:szCs w:val="47"/>
          <w:highlight w:val="none"/>
          <w:lang w:val="en-US" w:eastAsia="zh-CN"/>
        </w:rPr>
        <w:t>2026年怀柔实验室新疆研究院办公设备（分散）采购项目</w:t>
      </w:r>
    </w:p>
    <w:p w14:paraId="1B24BA42">
      <w:pPr>
        <w:spacing w:line="311" w:lineRule="auto"/>
        <w:rPr>
          <w:rFonts w:ascii="Arial"/>
          <w:sz w:val="21"/>
          <w:highlight w:val="none"/>
        </w:rPr>
      </w:pPr>
    </w:p>
    <w:p w14:paraId="320F7338">
      <w:pPr>
        <w:spacing w:line="311" w:lineRule="auto"/>
        <w:rPr>
          <w:rFonts w:ascii="Arial"/>
          <w:sz w:val="21"/>
          <w:highlight w:val="none"/>
        </w:rPr>
      </w:pPr>
    </w:p>
    <w:p w14:paraId="23D460A4">
      <w:pPr>
        <w:spacing w:line="311" w:lineRule="auto"/>
        <w:rPr>
          <w:rFonts w:ascii="Arial"/>
          <w:sz w:val="21"/>
          <w:highlight w:val="none"/>
        </w:rPr>
      </w:pPr>
    </w:p>
    <w:p w14:paraId="670EFAAC">
      <w:pPr>
        <w:pStyle w:val="6"/>
        <w:spacing w:before="270" w:line="225" w:lineRule="auto"/>
        <w:ind w:firstLine="2248" w:firstLineChars="300"/>
        <w:jc w:val="both"/>
        <w:rPr>
          <w:sz w:val="83"/>
          <w:szCs w:val="83"/>
          <w:highlight w:val="none"/>
        </w:rPr>
      </w:pPr>
      <w:r>
        <w:rPr>
          <w:b/>
          <w:bCs/>
          <w:spacing w:val="-42"/>
          <w:sz w:val="83"/>
          <w:szCs w:val="83"/>
          <w:highlight w:val="none"/>
        </w:rPr>
        <w:t>招</w:t>
      </w:r>
      <w:r>
        <w:rPr>
          <w:spacing w:val="63"/>
          <w:sz w:val="83"/>
          <w:szCs w:val="83"/>
          <w:highlight w:val="none"/>
        </w:rPr>
        <w:t xml:space="preserve"> </w:t>
      </w:r>
      <w:r>
        <w:rPr>
          <w:b/>
          <w:bCs/>
          <w:spacing w:val="-42"/>
          <w:sz w:val="83"/>
          <w:szCs w:val="83"/>
          <w:highlight w:val="none"/>
        </w:rPr>
        <w:t>标</w:t>
      </w:r>
      <w:r>
        <w:rPr>
          <w:spacing w:val="65"/>
          <w:sz w:val="83"/>
          <w:szCs w:val="83"/>
          <w:highlight w:val="none"/>
        </w:rPr>
        <w:t xml:space="preserve"> </w:t>
      </w:r>
      <w:r>
        <w:rPr>
          <w:b/>
          <w:bCs/>
          <w:spacing w:val="-42"/>
          <w:sz w:val="83"/>
          <w:szCs w:val="83"/>
          <w:highlight w:val="none"/>
        </w:rPr>
        <w:t>文</w:t>
      </w:r>
      <w:r>
        <w:rPr>
          <w:spacing w:val="66"/>
          <w:sz w:val="83"/>
          <w:szCs w:val="83"/>
          <w:highlight w:val="none"/>
        </w:rPr>
        <w:t xml:space="preserve"> </w:t>
      </w:r>
      <w:r>
        <w:rPr>
          <w:b/>
          <w:bCs/>
          <w:spacing w:val="-42"/>
          <w:sz w:val="83"/>
          <w:szCs w:val="83"/>
          <w:highlight w:val="none"/>
        </w:rPr>
        <w:t>件</w:t>
      </w:r>
    </w:p>
    <w:p w14:paraId="0FBC22EA">
      <w:pPr>
        <w:spacing w:line="253" w:lineRule="auto"/>
        <w:rPr>
          <w:rFonts w:ascii="Arial"/>
          <w:sz w:val="21"/>
          <w:highlight w:val="none"/>
        </w:rPr>
      </w:pPr>
    </w:p>
    <w:p w14:paraId="2C2AC515">
      <w:pPr>
        <w:spacing w:line="253" w:lineRule="auto"/>
        <w:rPr>
          <w:rFonts w:ascii="Arial"/>
          <w:sz w:val="21"/>
          <w:highlight w:val="none"/>
        </w:rPr>
      </w:pPr>
    </w:p>
    <w:p w14:paraId="5DAA5434">
      <w:pPr>
        <w:spacing w:line="254" w:lineRule="auto"/>
        <w:rPr>
          <w:rFonts w:ascii="Arial"/>
          <w:sz w:val="21"/>
          <w:highlight w:val="none"/>
        </w:rPr>
      </w:pPr>
    </w:p>
    <w:p w14:paraId="77D14823">
      <w:pPr>
        <w:spacing w:line="254" w:lineRule="auto"/>
        <w:rPr>
          <w:rFonts w:ascii="Arial"/>
          <w:sz w:val="21"/>
          <w:highlight w:val="none"/>
        </w:rPr>
      </w:pPr>
    </w:p>
    <w:p w14:paraId="5D1289A7">
      <w:pPr>
        <w:spacing w:line="254" w:lineRule="auto"/>
        <w:rPr>
          <w:rFonts w:ascii="Arial"/>
          <w:sz w:val="21"/>
          <w:highlight w:val="none"/>
        </w:rPr>
      </w:pPr>
    </w:p>
    <w:p w14:paraId="2125F9D7">
      <w:pPr>
        <w:spacing w:line="254" w:lineRule="auto"/>
        <w:rPr>
          <w:rFonts w:ascii="Arial"/>
          <w:sz w:val="21"/>
          <w:highlight w:val="none"/>
        </w:rPr>
      </w:pPr>
    </w:p>
    <w:p w14:paraId="77CE757C">
      <w:pPr>
        <w:autoSpaceDE w:val="0"/>
        <w:autoSpaceDN w:val="0"/>
        <w:adjustRightInd w:val="0"/>
        <w:spacing w:line="400" w:lineRule="exact"/>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采购</w:t>
      </w:r>
      <w:r>
        <w:rPr>
          <w:rFonts w:hint="eastAsia" w:ascii="仿宋" w:hAnsi="仿宋" w:eastAsia="仿宋" w:cs="仿宋"/>
          <w:b w:val="0"/>
          <w:bCs w:val="0"/>
          <w:color w:val="000000"/>
          <w:sz w:val="28"/>
          <w:szCs w:val="28"/>
          <w:highlight w:val="none"/>
        </w:rPr>
        <w:t>人（章）：怀柔实验室新疆研究院</w:t>
      </w:r>
    </w:p>
    <w:p w14:paraId="25C4728F">
      <w:pPr>
        <w:autoSpaceDE w:val="0"/>
        <w:autoSpaceDN w:val="0"/>
        <w:adjustRightInd w:val="0"/>
        <w:spacing w:line="400" w:lineRule="exact"/>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rPr>
        <w:t>联系人：</w:t>
      </w:r>
      <w:r>
        <w:rPr>
          <w:rFonts w:hint="eastAsia" w:ascii="仿宋" w:hAnsi="仿宋" w:eastAsia="仿宋" w:cs="仿宋"/>
          <w:b w:val="0"/>
          <w:bCs w:val="0"/>
          <w:color w:val="000000"/>
          <w:sz w:val="28"/>
          <w:szCs w:val="28"/>
          <w:highlight w:val="none"/>
          <w:lang w:val="en-US" w:eastAsia="zh-CN"/>
        </w:rPr>
        <w:t>钟凯</w:t>
      </w:r>
    </w:p>
    <w:p w14:paraId="22590341">
      <w:pPr>
        <w:autoSpaceDE w:val="0"/>
        <w:autoSpaceDN w:val="0"/>
        <w:adjustRightInd w:val="0"/>
        <w:spacing w:line="400" w:lineRule="exact"/>
        <w:rPr>
          <w:rFonts w:hint="eastAsia" w:ascii="仿宋" w:hAnsi="仿宋" w:eastAsia="仿宋" w:cs="仿宋"/>
          <w:b w:val="0"/>
          <w:bCs w:val="0"/>
          <w:color w:val="000000"/>
          <w:sz w:val="28"/>
          <w:szCs w:val="28"/>
          <w:highlight w:val="none"/>
        </w:rPr>
      </w:pPr>
    </w:p>
    <w:p w14:paraId="33DBC2F5">
      <w:pPr>
        <w:autoSpaceDE w:val="0"/>
        <w:autoSpaceDN w:val="0"/>
        <w:adjustRightInd w:val="0"/>
        <w:spacing w:line="400" w:lineRule="exact"/>
        <w:rPr>
          <w:rFonts w:hint="eastAsia" w:ascii="仿宋" w:hAnsi="仿宋" w:eastAsia="仿宋" w:cs="仿宋"/>
          <w:b w:val="0"/>
          <w:bCs w:val="0"/>
          <w:sz w:val="28"/>
          <w:szCs w:val="28"/>
          <w:highlight w:val="none"/>
        </w:rPr>
      </w:pPr>
      <w:r>
        <w:rPr>
          <w:rFonts w:hint="eastAsia" w:ascii="仿宋" w:hAnsi="仿宋" w:eastAsia="仿宋" w:cs="仿宋"/>
          <w:b w:val="0"/>
          <w:bCs w:val="0"/>
          <w:color w:val="000000"/>
          <w:sz w:val="28"/>
          <w:szCs w:val="28"/>
          <w:highlight w:val="none"/>
        </w:rPr>
        <w:t>电话：15902896562　</w:t>
      </w:r>
    </w:p>
    <w:p w14:paraId="17D563C3">
      <w:pPr>
        <w:autoSpaceDE w:val="0"/>
        <w:autoSpaceDN w:val="0"/>
        <w:adjustRightInd w:val="0"/>
        <w:spacing w:line="400" w:lineRule="exact"/>
        <w:rPr>
          <w:rFonts w:hint="eastAsia" w:ascii="仿宋" w:hAnsi="仿宋" w:eastAsia="仿宋" w:cs="仿宋"/>
          <w:b w:val="0"/>
          <w:bCs w:val="0"/>
          <w:color w:val="000000"/>
          <w:sz w:val="28"/>
          <w:szCs w:val="28"/>
          <w:highlight w:val="none"/>
        </w:rPr>
      </w:pPr>
    </w:p>
    <w:p w14:paraId="59422918">
      <w:pPr>
        <w:autoSpaceDE w:val="0"/>
        <w:autoSpaceDN w:val="0"/>
        <w:adjustRightInd w:val="0"/>
        <w:spacing w:line="400" w:lineRule="exact"/>
        <w:ind w:firstLine="548" w:firstLineChars="196"/>
        <w:rPr>
          <w:rFonts w:hint="eastAsia" w:ascii="仿宋" w:hAnsi="仿宋" w:eastAsia="仿宋" w:cs="仿宋"/>
          <w:b w:val="0"/>
          <w:bCs w:val="0"/>
          <w:color w:val="000000"/>
          <w:sz w:val="28"/>
          <w:szCs w:val="28"/>
          <w:highlight w:val="none"/>
        </w:rPr>
      </w:pPr>
    </w:p>
    <w:p w14:paraId="6DD3F5F0">
      <w:pPr>
        <w:autoSpaceDE w:val="0"/>
        <w:autoSpaceDN w:val="0"/>
        <w:adjustRightInd w:val="0"/>
        <w:spacing w:line="400" w:lineRule="exact"/>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rPr>
        <w:t>招标代理机构： 鼎正众创建设集团有限公司</w:t>
      </w:r>
    </w:p>
    <w:p w14:paraId="0DC573D5">
      <w:pPr>
        <w:autoSpaceDE w:val="0"/>
        <w:autoSpaceDN w:val="0"/>
        <w:adjustRightInd w:val="0"/>
        <w:spacing w:line="400" w:lineRule="exact"/>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 xml:space="preserve">法定代表人（章）： </w:t>
      </w:r>
    </w:p>
    <w:p w14:paraId="513D1DED">
      <w:pPr>
        <w:autoSpaceDE w:val="0"/>
        <w:autoSpaceDN w:val="0"/>
        <w:adjustRightInd w:val="0"/>
        <w:spacing w:line="400" w:lineRule="exact"/>
        <w:ind w:firstLine="548" w:firstLineChars="196"/>
        <w:rPr>
          <w:rFonts w:hint="eastAsia" w:ascii="仿宋" w:hAnsi="仿宋" w:eastAsia="仿宋" w:cs="仿宋"/>
          <w:b w:val="0"/>
          <w:bCs w:val="0"/>
          <w:color w:val="000000"/>
          <w:sz w:val="28"/>
          <w:szCs w:val="28"/>
          <w:highlight w:val="none"/>
        </w:rPr>
      </w:pPr>
    </w:p>
    <w:p w14:paraId="28517ECC">
      <w:pPr>
        <w:autoSpaceDE w:val="0"/>
        <w:autoSpaceDN w:val="0"/>
        <w:adjustRightInd w:val="0"/>
        <w:spacing w:line="400" w:lineRule="exact"/>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rPr>
        <w:t>联系人：</w:t>
      </w:r>
      <w:r>
        <w:rPr>
          <w:rFonts w:hint="eastAsia" w:ascii="仿宋" w:hAnsi="仿宋" w:eastAsia="仿宋" w:cs="仿宋"/>
          <w:b w:val="0"/>
          <w:bCs w:val="0"/>
          <w:color w:val="000000"/>
          <w:sz w:val="28"/>
          <w:szCs w:val="28"/>
          <w:highlight w:val="none"/>
          <w:lang w:val="en-US" w:eastAsia="zh-CN"/>
        </w:rPr>
        <w:t>杨欢欢</w:t>
      </w:r>
    </w:p>
    <w:p w14:paraId="2DAE4291">
      <w:pPr>
        <w:autoSpaceDE w:val="0"/>
        <w:autoSpaceDN w:val="0"/>
        <w:adjustRightInd w:val="0"/>
        <w:spacing w:line="400" w:lineRule="exact"/>
        <w:ind w:firstLine="548" w:firstLineChars="196"/>
        <w:rPr>
          <w:rFonts w:hint="eastAsia" w:ascii="仿宋" w:hAnsi="仿宋" w:eastAsia="仿宋" w:cs="仿宋"/>
          <w:b w:val="0"/>
          <w:bCs w:val="0"/>
          <w:color w:val="000000"/>
          <w:sz w:val="28"/>
          <w:szCs w:val="28"/>
          <w:highlight w:val="none"/>
        </w:rPr>
      </w:pPr>
    </w:p>
    <w:p w14:paraId="56C5E8B9">
      <w:pPr>
        <w:autoSpaceDE w:val="0"/>
        <w:autoSpaceDN w:val="0"/>
        <w:adjustRightInd w:val="0"/>
        <w:spacing w:line="400" w:lineRule="exact"/>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rPr>
        <w:t>电话：</w:t>
      </w:r>
      <w:r>
        <w:rPr>
          <w:rFonts w:hint="eastAsia" w:ascii="仿宋" w:hAnsi="仿宋" w:eastAsia="仿宋" w:cs="仿宋"/>
          <w:b w:val="0"/>
          <w:bCs w:val="0"/>
          <w:color w:val="000000"/>
          <w:sz w:val="28"/>
          <w:szCs w:val="28"/>
          <w:highlight w:val="none"/>
          <w:lang w:val="en-US" w:eastAsia="zh-CN"/>
        </w:rPr>
        <w:t>18690998997</w:t>
      </w:r>
    </w:p>
    <w:p w14:paraId="60DB68EF">
      <w:pPr>
        <w:autoSpaceDE w:val="0"/>
        <w:autoSpaceDN w:val="0"/>
        <w:adjustRightInd w:val="0"/>
        <w:spacing w:line="400" w:lineRule="exact"/>
        <w:rPr>
          <w:rFonts w:hint="eastAsia" w:ascii="仿宋" w:hAnsi="仿宋" w:eastAsia="仿宋" w:cs="仿宋"/>
          <w:b w:val="0"/>
          <w:bCs w:val="0"/>
          <w:color w:val="000000"/>
          <w:sz w:val="28"/>
          <w:szCs w:val="28"/>
          <w:highlight w:val="none"/>
        </w:rPr>
      </w:pPr>
    </w:p>
    <w:p w14:paraId="2512123F">
      <w:pPr>
        <w:rPr>
          <w:highlight w:val="none"/>
        </w:rPr>
      </w:pPr>
      <w:r>
        <w:rPr>
          <w:rFonts w:hint="eastAsia" w:ascii="仿宋" w:hAnsi="仿宋" w:eastAsia="仿宋" w:cs="仿宋"/>
          <w:b w:val="0"/>
          <w:bCs w:val="0"/>
          <w:color w:val="000000"/>
          <w:kern w:val="2"/>
          <w:sz w:val="28"/>
          <w:szCs w:val="28"/>
          <w:highlight w:val="none"/>
          <w:lang w:val="en-US" w:eastAsia="zh-CN" w:bidi="ar-SA"/>
        </w:rPr>
        <w:t>联系地址：乌市天山区东泉路1568号世界冠郡一期9号底商住宅楼107室</w:t>
      </w:r>
      <w:r>
        <w:rPr>
          <w:highlight w:val="none"/>
        </w:rPr>
        <w:br w:type="page"/>
      </w:r>
    </w:p>
    <w:sdt>
      <w:sdtPr>
        <w:rPr>
          <w:rFonts w:ascii="仿宋" w:hAnsi="仿宋" w:eastAsia="仿宋" w:cs="仿宋"/>
          <w:sz w:val="28"/>
          <w:szCs w:val="28"/>
          <w:highlight w:val="none"/>
        </w:rPr>
        <w:id w:val="147478701"/>
        <w:docPartObj>
          <w:docPartGallery w:val="Table of Contents"/>
          <w:docPartUnique/>
        </w:docPartObj>
      </w:sdtPr>
      <w:sdtEndPr>
        <w:rPr>
          <w:rFonts w:ascii="仿宋" w:hAnsi="仿宋" w:eastAsia="仿宋" w:cs="仿宋"/>
          <w:sz w:val="24"/>
          <w:szCs w:val="24"/>
          <w:highlight w:val="none"/>
        </w:rPr>
      </w:sdtEndPr>
      <w:sdtContent>
        <w:p w14:paraId="7044B650">
          <w:pPr>
            <w:pStyle w:val="6"/>
            <w:spacing w:before="91" w:line="224" w:lineRule="auto"/>
            <w:ind w:left="4254"/>
            <w:rPr>
              <w:sz w:val="28"/>
              <w:szCs w:val="28"/>
              <w:highlight w:val="none"/>
            </w:rPr>
          </w:pPr>
          <w:r>
            <w:rPr>
              <w:b/>
              <w:bCs/>
              <w:spacing w:val="-37"/>
              <w:sz w:val="28"/>
              <w:szCs w:val="28"/>
              <w:highlight w:val="none"/>
            </w:rPr>
            <w:t>目</w:t>
          </w:r>
          <w:r>
            <w:rPr>
              <w:spacing w:val="9"/>
              <w:sz w:val="28"/>
              <w:szCs w:val="28"/>
              <w:highlight w:val="none"/>
            </w:rPr>
            <w:t xml:space="preserve">   </w:t>
          </w:r>
          <w:r>
            <w:rPr>
              <w:b/>
              <w:bCs/>
              <w:spacing w:val="-37"/>
              <w:sz w:val="28"/>
              <w:szCs w:val="28"/>
              <w:highlight w:val="none"/>
            </w:rPr>
            <w:t>录</w:t>
          </w:r>
        </w:p>
        <w:p w14:paraId="6F3334F9">
          <w:pPr>
            <w:pStyle w:val="6"/>
            <w:tabs>
              <w:tab w:val="right" w:leader="dot" w:pos="9355"/>
            </w:tabs>
            <w:spacing w:before="149" w:line="190" w:lineRule="auto"/>
            <w:ind w:left="26"/>
            <w:rPr>
              <w:sz w:val="24"/>
              <w:szCs w:val="24"/>
              <w:highlight w:val="none"/>
            </w:rPr>
          </w:pPr>
          <w:r>
            <w:rPr>
              <w:highlight w:val="none"/>
            </w:rPr>
            <w:fldChar w:fldCharType="begin"/>
          </w:r>
          <w:r>
            <w:rPr>
              <w:highlight w:val="none"/>
            </w:rPr>
            <w:instrText xml:space="preserve"> HYPERLINK \l "bookmark1" </w:instrText>
          </w:r>
          <w:r>
            <w:rPr>
              <w:highlight w:val="none"/>
            </w:rPr>
            <w:fldChar w:fldCharType="separate"/>
          </w:r>
          <w:r>
            <w:rPr>
              <w:spacing w:val="-1"/>
              <w:sz w:val="24"/>
              <w:szCs w:val="24"/>
              <w:highlight w:val="none"/>
            </w:rPr>
            <w:t>第一章招标公告</w:t>
          </w:r>
          <w:r>
            <w:rPr>
              <w:spacing w:val="82"/>
              <w:sz w:val="24"/>
              <w:szCs w:val="24"/>
              <w:highlight w:val="none"/>
            </w:rPr>
            <w:t xml:space="preserve"> </w:t>
          </w:r>
          <w:r>
            <w:rPr>
              <w:sz w:val="24"/>
              <w:szCs w:val="24"/>
              <w:highlight w:val="none"/>
            </w:rPr>
            <w:tab/>
          </w:r>
          <w:r>
            <w:rPr>
              <w:spacing w:val="-83"/>
              <w:sz w:val="24"/>
              <w:szCs w:val="24"/>
              <w:highlight w:val="none"/>
            </w:rPr>
            <w:t xml:space="preserve"> </w:t>
          </w:r>
          <w:r>
            <w:rPr>
              <w:spacing w:val="-16"/>
              <w:sz w:val="24"/>
              <w:szCs w:val="24"/>
              <w:highlight w:val="none"/>
            </w:rPr>
            <w:t>-</w:t>
          </w:r>
          <w:r>
            <w:rPr>
              <w:spacing w:val="27"/>
              <w:sz w:val="24"/>
              <w:szCs w:val="24"/>
              <w:highlight w:val="none"/>
            </w:rPr>
            <w:t xml:space="preserve"> </w:t>
          </w:r>
          <w:r>
            <w:rPr>
              <w:spacing w:val="-16"/>
              <w:sz w:val="24"/>
              <w:szCs w:val="24"/>
              <w:highlight w:val="none"/>
            </w:rPr>
            <w:t>1</w:t>
          </w:r>
          <w:r>
            <w:rPr>
              <w:spacing w:val="6"/>
              <w:sz w:val="24"/>
              <w:szCs w:val="24"/>
              <w:highlight w:val="none"/>
            </w:rPr>
            <w:t xml:space="preserve"> </w:t>
          </w:r>
          <w:r>
            <w:rPr>
              <w:spacing w:val="-10"/>
              <w:sz w:val="24"/>
              <w:szCs w:val="24"/>
              <w:highlight w:val="none"/>
            </w:rPr>
            <w:t>-</w:t>
          </w:r>
          <w:r>
            <w:rPr>
              <w:spacing w:val="-10"/>
              <w:sz w:val="24"/>
              <w:szCs w:val="24"/>
              <w:highlight w:val="none"/>
            </w:rPr>
            <w:fldChar w:fldCharType="end"/>
          </w:r>
        </w:p>
        <w:p w14:paraId="20F30699">
          <w:pPr>
            <w:spacing w:line="297" w:lineRule="auto"/>
            <w:rPr>
              <w:rFonts w:ascii="Arial"/>
              <w:sz w:val="21"/>
              <w:highlight w:val="none"/>
            </w:rPr>
          </w:pPr>
        </w:p>
        <w:p w14:paraId="3309F678">
          <w:pPr>
            <w:pStyle w:val="6"/>
            <w:tabs>
              <w:tab w:val="right" w:leader="dot" w:pos="9355"/>
            </w:tabs>
            <w:spacing w:before="78" w:line="189" w:lineRule="auto"/>
            <w:ind w:left="26"/>
            <w:rPr>
              <w:sz w:val="24"/>
              <w:szCs w:val="24"/>
              <w:highlight w:val="none"/>
            </w:rPr>
          </w:pPr>
          <w:r>
            <w:rPr>
              <w:highlight w:val="none"/>
            </w:rPr>
            <w:fldChar w:fldCharType="begin"/>
          </w:r>
          <w:r>
            <w:rPr>
              <w:highlight w:val="none"/>
            </w:rPr>
            <w:instrText xml:space="preserve"> HYPERLINK \l "bookmark2" </w:instrText>
          </w:r>
          <w:r>
            <w:rPr>
              <w:highlight w:val="none"/>
            </w:rPr>
            <w:fldChar w:fldCharType="separate"/>
          </w:r>
          <w:r>
            <w:rPr>
              <w:sz w:val="24"/>
              <w:szCs w:val="24"/>
              <w:highlight w:val="none"/>
            </w:rPr>
            <w:t>第二章投标人须知</w:t>
          </w:r>
          <w:r>
            <w:rPr>
              <w:spacing w:val="79"/>
              <w:sz w:val="24"/>
              <w:szCs w:val="24"/>
              <w:highlight w:val="none"/>
            </w:rPr>
            <w:t xml:space="preserve"> </w:t>
          </w:r>
          <w:r>
            <w:rPr>
              <w:sz w:val="24"/>
              <w:szCs w:val="24"/>
              <w:highlight w:val="none"/>
            </w:rPr>
            <w:tab/>
          </w:r>
          <w:r>
            <w:rPr>
              <w:spacing w:val="-89"/>
              <w:sz w:val="24"/>
              <w:szCs w:val="24"/>
              <w:highlight w:val="none"/>
            </w:rPr>
            <w:t xml:space="preserve"> </w:t>
          </w:r>
          <w:r>
            <w:rPr>
              <w:spacing w:val="-9"/>
              <w:sz w:val="24"/>
              <w:szCs w:val="24"/>
              <w:highlight w:val="none"/>
            </w:rPr>
            <w:t>-</w:t>
          </w:r>
          <w:r>
            <w:rPr>
              <w:spacing w:val="13"/>
              <w:sz w:val="24"/>
              <w:szCs w:val="24"/>
              <w:highlight w:val="none"/>
            </w:rPr>
            <w:t xml:space="preserve"> </w:t>
          </w:r>
          <w:r>
            <w:rPr>
              <w:spacing w:val="-9"/>
              <w:sz w:val="24"/>
              <w:szCs w:val="24"/>
              <w:highlight w:val="none"/>
            </w:rPr>
            <w:t>3</w:t>
          </w:r>
          <w:r>
            <w:rPr>
              <w:spacing w:val="6"/>
              <w:sz w:val="24"/>
              <w:szCs w:val="24"/>
              <w:highlight w:val="none"/>
            </w:rPr>
            <w:t xml:space="preserve"> </w:t>
          </w:r>
          <w:r>
            <w:rPr>
              <w:spacing w:val="-9"/>
              <w:sz w:val="24"/>
              <w:szCs w:val="24"/>
              <w:highlight w:val="none"/>
            </w:rPr>
            <w:t>-</w:t>
          </w:r>
          <w:r>
            <w:rPr>
              <w:spacing w:val="-9"/>
              <w:sz w:val="24"/>
              <w:szCs w:val="24"/>
              <w:highlight w:val="none"/>
            </w:rPr>
            <w:fldChar w:fldCharType="end"/>
          </w:r>
        </w:p>
        <w:p w14:paraId="6223A528">
          <w:pPr>
            <w:spacing w:line="295" w:lineRule="auto"/>
            <w:rPr>
              <w:rFonts w:ascii="Arial"/>
              <w:sz w:val="21"/>
              <w:highlight w:val="none"/>
            </w:rPr>
          </w:pPr>
        </w:p>
        <w:p w14:paraId="4619AA45">
          <w:pPr>
            <w:pStyle w:val="6"/>
            <w:tabs>
              <w:tab w:val="right" w:leader="dot" w:pos="9355"/>
            </w:tabs>
            <w:spacing w:before="78" w:line="190" w:lineRule="auto"/>
            <w:ind w:left="440"/>
            <w:rPr>
              <w:sz w:val="24"/>
              <w:szCs w:val="24"/>
              <w:highlight w:val="none"/>
            </w:rPr>
          </w:pPr>
          <w:r>
            <w:rPr>
              <w:highlight w:val="none"/>
            </w:rPr>
            <w:fldChar w:fldCharType="begin"/>
          </w:r>
          <w:r>
            <w:rPr>
              <w:highlight w:val="none"/>
            </w:rPr>
            <w:instrText xml:space="preserve"> HYPERLINK \l "bookmark3" </w:instrText>
          </w:r>
          <w:r>
            <w:rPr>
              <w:highlight w:val="none"/>
            </w:rPr>
            <w:fldChar w:fldCharType="separate"/>
          </w:r>
          <w:r>
            <w:rPr>
              <w:spacing w:val="3"/>
              <w:sz w:val="24"/>
              <w:szCs w:val="24"/>
              <w:highlight w:val="none"/>
            </w:rPr>
            <w:t>一、投标人须知前附表</w:t>
          </w:r>
          <w:r>
            <w:rPr>
              <w:spacing w:val="85"/>
              <w:sz w:val="24"/>
              <w:szCs w:val="24"/>
              <w:highlight w:val="none"/>
            </w:rPr>
            <w:t xml:space="preserve"> </w:t>
          </w:r>
          <w:r>
            <w:rPr>
              <w:sz w:val="24"/>
              <w:szCs w:val="24"/>
              <w:highlight w:val="none"/>
            </w:rPr>
            <w:tab/>
          </w:r>
          <w:r>
            <w:rPr>
              <w:spacing w:val="-58"/>
              <w:sz w:val="24"/>
              <w:szCs w:val="24"/>
              <w:highlight w:val="none"/>
            </w:rPr>
            <w:t xml:space="preserve"> </w:t>
          </w:r>
          <w:r>
            <w:rPr>
              <w:spacing w:val="-7"/>
              <w:sz w:val="24"/>
              <w:szCs w:val="24"/>
              <w:highlight w:val="none"/>
            </w:rPr>
            <w:t>-</w:t>
          </w:r>
          <w:r>
            <w:rPr>
              <w:spacing w:val="7"/>
              <w:sz w:val="24"/>
              <w:szCs w:val="24"/>
              <w:highlight w:val="none"/>
            </w:rPr>
            <w:t xml:space="preserve"> </w:t>
          </w:r>
          <w:r>
            <w:rPr>
              <w:spacing w:val="-7"/>
              <w:sz w:val="24"/>
              <w:szCs w:val="24"/>
              <w:highlight w:val="none"/>
            </w:rPr>
            <w:t>4</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3F0B3A19">
          <w:pPr>
            <w:spacing w:line="295" w:lineRule="auto"/>
            <w:rPr>
              <w:rFonts w:ascii="Arial"/>
              <w:sz w:val="21"/>
              <w:highlight w:val="none"/>
            </w:rPr>
          </w:pPr>
        </w:p>
        <w:p w14:paraId="76D08ABE">
          <w:pPr>
            <w:pStyle w:val="6"/>
            <w:tabs>
              <w:tab w:val="right" w:leader="dot" w:pos="9355"/>
            </w:tabs>
            <w:spacing w:before="78" w:line="189" w:lineRule="auto"/>
            <w:ind w:left="443"/>
            <w:rPr>
              <w:sz w:val="24"/>
              <w:szCs w:val="24"/>
              <w:highlight w:val="none"/>
            </w:rPr>
          </w:pPr>
          <w:r>
            <w:rPr>
              <w:highlight w:val="none"/>
            </w:rPr>
            <w:fldChar w:fldCharType="begin"/>
          </w:r>
          <w:r>
            <w:rPr>
              <w:highlight w:val="none"/>
            </w:rPr>
            <w:instrText xml:space="preserve"> HYPERLINK \l "bookmark4" </w:instrText>
          </w:r>
          <w:r>
            <w:rPr>
              <w:highlight w:val="none"/>
            </w:rPr>
            <w:fldChar w:fldCharType="separate"/>
          </w:r>
          <w:r>
            <w:rPr>
              <w:sz w:val="24"/>
              <w:szCs w:val="24"/>
              <w:highlight w:val="none"/>
            </w:rPr>
            <w:t>二、投标人须知</w:t>
          </w:r>
          <w:r>
            <w:rPr>
              <w:spacing w:val="84"/>
              <w:sz w:val="24"/>
              <w:szCs w:val="24"/>
              <w:highlight w:val="none"/>
            </w:rPr>
            <w:t xml:space="preserve"> </w:t>
          </w:r>
          <w:r>
            <w:rPr>
              <w:sz w:val="24"/>
              <w:szCs w:val="24"/>
              <w:highlight w:val="none"/>
            </w:rPr>
            <w:tab/>
          </w:r>
          <w:r>
            <w:rPr>
              <w:spacing w:val="-31"/>
              <w:sz w:val="24"/>
              <w:szCs w:val="24"/>
              <w:highlight w:val="none"/>
            </w:rPr>
            <w:t xml:space="preserve"> </w:t>
          </w:r>
          <w:r>
            <w:rPr>
              <w:spacing w:val="-10"/>
              <w:sz w:val="24"/>
              <w:szCs w:val="24"/>
              <w:highlight w:val="none"/>
            </w:rPr>
            <w:t>-</w:t>
          </w:r>
          <w:r>
            <w:rPr>
              <w:spacing w:val="26"/>
              <w:sz w:val="24"/>
              <w:szCs w:val="24"/>
              <w:highlight w:val="none"/>
            </w:rPr>
            <w:t xml:space="preserve"> </w:t>
          </w:r>
          <w:r>
            <w:rPr>
              <w:spacing w:val="-10"/>
              <w:sz w:val="24"/>
              <w:szCs w:val="24"/>
              <w:highlight w:val="none"/>
            </w:rPr>
            <w:t>10</w:t>
          </w:r>
          <w:r>
            <w:rPr>
              <w:spacing w:val="6"/>
              <w:sz w:val="24"/>
              <w:szCs w:val="24"/>
              <w:highlight w:val="none"/>
            </w:rPr>
            <w:t xml:space="preserve"> </w:t>
          </w:r>
          <w:r>
            <w:rPr>
              <w:spacing w:val="-10"/>
              <w:sz w:val="24"/>
              <w:szCs w:val="24"/>
              <w:highlight w:val="none"/>
            </w:rPr>
            <w:t>-</w:t>
          </w:r>
          <w:r>
            <w:rPr>
              <w:spacing w:val="-10"/>
              <w:sz w:val="24"/>
              <w:szCs w:val="24"/>
              <w:highlight w:val="none"/>
            </w:rPr>
            <w:fldChar w:fldCharType="end"/>
          </w:r>
        </w:p>
        <w:p w14:paraId="4C340A61">
          <w:pPr>
            <w:spacing w:line="298" w:lineRule="auto"/>
            <w:rPr>
              <w:rFonts w:ascii="Arial"/>
              <w:sz w:val="21"/>
              <w:highlight w:val="none"/>
            </w:rPr>
          </w:pPr>
        </w:p>
        <w:p w14:paraId="110D0054">
          <w:pPr>
            <w:pStyle w:val="6"/>
            <w:tabs>
              <w:tab w:val="right" w:leader="dot" w:pos="9355"/>
            </w:tabs>
            <w:spacing w:before="78" w:line="190" w:lineRule="auto"/>
            <w:ind w:left="26"/>
            <w:rPr>
              <w:sz w:val="24"/>
              <w:szCs w:val="24"/>
              <w:highlight w:val="none"/>
            </w:rPr>
          </w:pPr>
          <w:r>
            <w:rPr>
              <w:highlight w:val="none"/>
            </w:rPr>
            <w:fldChar w:fldCharType="begin"/>
          </w:r>
          <w:r>
            <w:rPr>
              <w:highlight w:val="none"/>
            </w:rPr>
            <w:instrText xml:space="preserve"> HYPERLINK \l "bookmark5" </w:instrText>
          </w:r>
          <w:r>
            <w:rPr>
              <w:highlight w:val="none"/>
            </w:rPr>
            <w:fldChar w:fldCharType="separate"/>
          </w:r>
          <w:r>
            <w:rPr>
              <w:spacing w:val="-1"/>
              <w:sz w:val="24"/>
              <w:szCs w:val="24"/>
              <w:highlight w:val="none"/>
            </w:rPr>
            <w:t>第三章采购需求</w:t>
          </w:r>
          <w:r>
            <w:rPr>
              <w:spacing w:val="82"/>
              <w:sz w:val="24"/>
              <w:szCs w:val="24"/>
              <w:highlight w:val="none"/>
            </w:rPr>
            <w:t xml:space="preserve"> </w:t>
          </w:r>
          <w:r>
            <w:rPr>
              <w:sz w:val="24"/>
              <w:szCs w:val="24"/>
              <w:highlight w:val="none"/>
            </w:rPr>
            <w:tab/>
          </w:r>
          <w:r>
            <w:rPr>
              <w:spacing w:val="-84"/>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35</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40074DED">
          <w:pPr>
            <w:spacing w:line="295" w:lineRule="auto"/>
            <w:rPr>
              <w:rFonts w:ascii="Arial"/>
              <w:sz w:val="21"/>
              <w:highlight w:val="none"/>
            </w:rPr>
          </w:pPr>
        </w:p>
        <w:p w14:paraId="72800D2C">
          <w:pPr>
            <w:pStyle w:val="6"/>
            <w:tabs>
              <w:tab w:val="right" w:leader="dot" w:pos="9355"/>
            </w:tabs>
            <w:spacing w:before="78" w:line="189" w:lineRule="auto"/>
            <w:ind w:left="26"/>
            <w:rPr>
              <w:sz w:val="24"/>
              <w:szCs w:val="24"/>
              <w:highlight w:val="none"/>
            </w:rPr>
          </w:pPr>
          <w:r>
            <w:rPr>
              <w:highlight w:val="none"/>
            </w:rPr>
            <w:fldChar w:fldCharType="begin"/>
          </w:r>
          <w:r>
            <w:rPr>
              <w:highlight w:val="none"/>
            </w:rPr>
            <w:instrText xml:space="preserve"> HYPERLINK \l "bookmark6" </w:instrText>
          </w:r>
          <w:r>
            <w:rPr>
              <w:highlight w:val="none"/>
            </w:rPr>
            <w:fldChar w:fldCharType="separate"/>
          </w:r>
          <w:r>
            <w:rPr>
              <w:spacing w:val="-1"/>
              <w:sz w:val="24"/>
              <w:szCs w:val="24"/>
              <w:highlight w:val="none"/>
            </w:rPr>
            <w:t>第四章资格审查</w:t>
          </w:r>
          <w:r>
            <w:rPr>
              <w:spacing w:val="82"/>
              <w:sz w:val="24"/>
              <w:szCs w:val="24"/>
              <w:highlight w:val="none"/>
            </w:rPr>
            <w:t xml:space="preserve"> </w:t>
          </w:r>
          <w:r>
            <w:rPr>
              <w:sz w:val="24"/>
              <w:szCs w:val="24"/>
              <w:highlight w:val="none"/>
            </w:rPr>
            <w:tab/>
          </w:r>
          <w:r>
            <w:rPr>
              <w:spacing w:val="-84"/>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50</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2D634D5E">
          <w:pPr>
            <w:spacing w:line="295" w:lineRule="auto"/>
            <w:rPr>
              <w:rFonts w:ascii="Arial"/>
              <w:sz w:val="21"/>
              <w:highlight w:val="none"/>
            </w:rPr>
          </w:pPr>
        </w:p>
        <w:p w14:paraId="7F2CC23F">
          <w:pPr>
            <w:pStyle w:val="6"/>
            <w:tabs>
              <w:tab w:val="right" w:leader="dot" w:pos="9355"/>
            </w:tabs>
            <w:spacing w:before="78" w:line="190" w:lineRule="auto"/>
            <w:ind w:left="440"/>
            <w:rPr>
              <w:sz w:val="24"/>
              <w:szCs w:val="24"/>
              <w:highlight w:val="none"/>
            </w:rPr>
          </w:pPr>
          <w:r>
            <w:rPr>
              <w:highlight w:val="none"/>
            </w:rPr>
            <w:fldChar w:fldCharType="begin"/>
          </w:r>
          <w:r>
            <w:rPr>
              <w:highlight w:val="none"/>
            </w:rPr>
            <w:instrText xml:space="preserve"> HYPERLINK \l "bookmark7" </w:instrText>
          </w:r>
          <w:r>
            <w:rPr>
              <w:highlight w:val="none"/>
            </w:rPr>
            <w:fldChar w:fldCharType="separate"/>
          </w:r>
          <w:r>
            <w:rPr>
              <w:spacing w:val="2"/>
              <w:sz w:val="24"/>
              <w:szCs w:val="24"/>
              <w:highlight w:val="none"/>
            </w:rPr>
            <w:t>一、资格审查程序</w:t>
          </w:r>
          <w:r>
            <w:rPr>
              <w:spacing w:val="78"/>
              <w:sz w:val="24"/>
              <w:szCs w:val="24"/>
              <w:highlight w:val="none"/>
            </w:rPr>
            <w:t xml:space="preserve"> </w:t>
          </w:r>
          <w:r>
            <w:rPr>
              <w:sz w:val="24"/>
              <w:szCs w:val="24"/>
              <w:highlight w:val="none"/>
            </w:rPr>
            <w:tab/>
          </w:r>
          <w:r>
            <w:rPr>
              <w:spacing w:val="-36"/>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50</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5DEB6FF7">
          <w:pPr>
            <w:spacing w:line="297" w:lineRule="auto"/>
            <w:rPr>
              <w:rFonts w:ascii="Arial"/>
              <w:sz w:val="21"/>
              <w:highlight w:val="none"/>
            </w:rPr>
          </w:pPr>
        </w:p>
        <w:p w14:paraId="25064FF8">
          <w:pPr>
            <w:pStyle w:val="6"/>
            <w:tabs>
              <w:tab w:val="right" w:leader="dot" w:pos="9355"/>
            </w:tabs>
            <w:spacing w:before="79" w:line="189" w:lineRule="auto"/>
            <w:ind w:left="443"/>
            <w:rPr>
              <w:sz w:val="24"/>
              <w:szCs w:val="24"/>
              <w:highlight w:val="none"/>
            </w:rPr>
          </w:pPr>
          <w:r>
            <w:rPr>
              <w:highlight w:val="none"/>
            </w:rPr>
            <w:fldChar w:fldCharType="begin"/>
          </w:r>
          <w:r>
            <w:rPr>
              <w:highlight w:val="none"/>
            </w:rPr>
            <w:instrText xml:space="preserve"> HYPERLINK \l "bookmark8" </w:instrText>
          </w:r>
          <w:r>
            <w:rPr>
              <w:highlight w:val="none"/>
            </w:rPr>
            <w:fldChar w:fldCharType="separate"/>
          </w:r>
          <w:r>
            <w:rPr>
              <w:spacing w:val="1"/>
              <w:sz w:val="24"/>
              <w:szCs w:val="24"/>
              <w:highlight w:val="none"/>
            </w:rPr>
            <w:t>二、资格审查要求</w:t>
          </w:r>
          <w:r>
            <w:rPr>
              <w:spacing w:val="81"/>
              <w:sz w:val="24"/>
              <w:szCs w:val="24"/>
              <w:highlight w:val="none"/>
            </w:rPr>
            <w:t xml:space="preserve"> </w:t>
          </w:r>
          <w:r>
            <w:rPr>
              <w:sz w:val="24"/>
              <w:szCs w:val="24"/>
              <w:highlight w:val="none"/>
            </w:rPr>
            <w:tab/>
          </w:r>
          <w:r>
            <w:rPr>
              <w:spacing w:val="-36"/>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50</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0D6D9A4F">
          <w:pPr>
            <w:spacing w:line="295" w:lineRule="auto"/>
            <w:rPr>
              <w:rFonts w:ascii="Arial"/>
              <w:sz w:val="21"/>
              <w:highlight w:val="none"/>
            </w:rPr>
          </w:pPr>
        </w:p>
        <w:p w14:paraId="237BE751">
          <w:pPr>
            <w:pStyle w:val="6"/>
            <w:tabs>
              <w:tab w:val="right" w:leader="dot" w:pos="9355"/>
            </w:tabs>
            <w:spacing w:before="79" w:line="190" w:lineRule="auto"/>
            <w:ind w:left="26"/>
            <w:rPr>
              <w:sz w:val="24"/>
              <w:szCs w:val="24"/>
              <w:highlight w:val="none"/>
            </w:rPr>
          </w:pPr>
          <w:r>
            <w:rPr>
              <w:highlight w:val="none"/>
            </w:rPr>
            <w:fldChar w:fldCharType="begin"/>
          </w:r>
          <w:r>
            <w:rPr>
              <w:highlight w:val="none"/>
            </w:rPr>
            <w:instrText xml:space="preserve"> HYPERLINK \l "bookmark9" </w:instrText>
          </w:r>
          <w:r>
            <w:rPr>
              <w:highlight w:val="none"/>
            </w:rPr>
            <w:fldChar w:fldCharType="separate"/>
          </w:r>
          <w:r>
            <w:rPr>
              <w:spacing w:val="3"/>
              <w:sz w:val="24"/>
              <w:szCs w:val="24"/>
              <w:highlight w:val="none"/>
            </w:rPr>
            <w:t>第五章评标方法及标准(综合评分法)</w:t>
          </w:r>
          <w:r>
            <w:rPr>
              <w:spacing w:val="81"/>
              <w:sz w:val="24"/>
              <w:szCs w:val="24"/>
              <w:highlight w:val="none"/>
            </w:rPr>
            <w:t xml:space="preserve"> </w:t>
          </w:r>
          <w:r>
            <w:rPr>
              <w:sz w:val="24"/>
              <w:szCs w:val="24"/>
              <w:highlight w:val="none"/>
            </w:rPr>
            <w:tab/>
          </w:r>
          <w:r>
            <w:rPr>
              <w:spacing w:val="-22"/>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51</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3C076E90">
          <w:pPr>
            <w:spacing w:line="297" w:lineRule="auto"/>
            <w:rPr>
              <w:rFonts w:ascii="Arial"/>
              <w:sz w:val="21"/>
              <w:highlight w:val="none"/>
            </w:rPr>
          </w:pPr>
        </w:p>
        <w:p w14:paraId="6B1DEF70">
          <w:pPr>
            <w:pStyle w:val="6"/>
            <w:tabs>
              <w:tab w:val="right" w:leader="dot" w:pos="9355"/>
            </w:tabs>
            <w:spacing w:before="78" w:line="189" w:lineRule="auto"/>
            <w:ind w:left="440"/>
            <w:rPr>
              <w:sz w:val="24"/>
              <w:szCs w:val="24"/>
              <w:highlight w:val="none"/>
            </w:rPr>
          </w:pPr>
          <w:r>
            <w:rPr>
              <w:highlight w:val="none"/>
            </w:rPr>
            <w:fldChar w:fldCharType="begin"/>
          </w:r>
          <w:r>
            <w:rPr>
              <w:highlight w:val="none"/>
            </w:rPr>
            <w:instrText xml:space="preserve"> HYPERLINK \l "bookmark10" </w:instrText>
          </w:r>
          <w:r>
            <w:rPr>
              <w:highlight w:val="none"/>
            </w:rPr>
            <w:fldChar w:fldCharType="separate"/>
          </w:r>
          <w:r>
            <w:rPr>
              <w:spacing w:val="-1"/>
              <w:sz w:val="24"/>
              <w:szCs w:val="24"/>
              <w:highlight w:val="none"/>
            </w:rPr>
            <w:t>一、评标方法</w:t>
          </w:r>
          <w:r>
            <w:rPr>
              <w:spacing w:val="85"/>
              <w:sz w:val="24"/>
              <w:szCs w:val="24"/>
              <w:highlight w:val="none"/>
            </w:rPr>
            <w:t xml:space="preserve"> </w:t>
          </w:r>
          <w:r>
            <w:rPr>
              <w:sz w:val="24"/>
              <w:szCs w:val="24"/>
              <w:highlight w:val="none"/>
            </w:rPr>
            <w:tab/>
          </w:r>
          <w:r>
            <w:rPr>
              <w:spacing w:val="-22"/>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52</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36C0D346">
          <w:pPr>
            <w:spacing w:line="295" w:lineRule="auto"/>
            <w:rPr>
              <w:rFonts w:ascii="Arial"/>
              <w:sz w:val="21"/>
              <w:highlight w:val="none"/>
            </w:rPr>
          </w:pPr>
        </w:p>
        <w:p w14:paraId="30EA6671">
          <w:pPr>
            <w:pStyle w:val="6"/>
            <w:tabs>
              <w:tab w:val="right" w:leader="dot" w:pos="9355"/>
            </w:tabs>
            <w:spacing w:before="79" w:line="190" w:lineRule="auto"/>
            <w:ind w:left="443"/>
            <w:rPr>
              <w:sz w:val="24"/>
              <w:szCs w:val="24"/>
              <w:highlight w:val="none"/>
            </w:rPr>
          </w:pPr>
          <w:r>
            <w:rPr>
              <w:highlight w:val="none"/>
            </w:rPr>
            <w:fldChar w:fldCharType="begin"/>
          </w:r>
          <w:r>
            <w:rPr>
              <w:highlight w:val="none"/>
            </w:rPr>
            <w:instrText xml:space="preserve"> HYPERLINK \l "bookmark11" </w:instrText>
          </w:r>
          <w:r>
            <w:rPr>
              <w:highlight w:val="none"/>
            </w:rPr>
            <w:fldChar w:fldCharType="separate"/>
          </w:r>
          <w:r>
            <w:rPr>
              <w:spacing w:val="-1"/>
              <w:sz w:val="24"/>
              <w:szCs w:val="24"/>
              <w:highlight w:val="none"/>
            </w:rPr>
            <w:t>二、评标程序</w:t>
          </w:r>
          <w:r>
            <w:rPr>
              <w:spacing w:val="81"/>
              <w:sz w:val="24"/>
              <w:szCs w:val="24"/>
              <w:highlight w:val="none"/>
            </w:rPr>
            <w:t xml:space="preserve"> </w:t>
          </w:r>
          <w:r>
            <w:rPr>
              <w:sz w:val="24"/>
              <w:szCs w:val="24"/>
              <w:highlight w:val="none"/>
            </w:rPr>
            <w:tab/>
          </w:r>
          <w:r>
            <w:rPr>
              <w:spacing w:val="-22"/>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52</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3BE1C108">
          <w:pPr>
            <w:spacing w:line="295" w:lineRule="auto"/>
            <w:rPr>
              <w:rFonts w:ascii="Arial"/>
              <w:sz w:val="21"/>
              <w:highlight w:val="none"/>
            </w:rPr>
          </w:pPr>
        </w:p>
        <w:p w14:paraId="10D4576D">
          <w:pPr>
            <w:pStyle w:val="6"/>
            <w:tabs>
              <w:tab w:val="right" w:leader="dot" w:pos="9355"/>
            </w:tabs>
            <w:spacing w:before="78" w:line="189" w:lineRule="auto"/>
            <w:ind w:left="442"/>
            <w:rPr>
              <w:sz w:val="24"/>
              <w:szCs w:val="24"/>
              <w:highlight w:val="none"/>
            </w:rPr>
          </w:pPr>
          <w:r>
            <w:rPr>
              <w:highlight w:val="none"/>
            </w:rPr>
            <w:fldChar w:fldCharType="begin"/>
          </w:r>
          <w:r>
            <w:rPr>
              <w:highlight w:val="none"/>
            </w:rPr>
            <w:instrText xml:space="preserve"> HYPERLINK \l "bookmark12" </w:instrText>
          </w:r>
          <w:r>
            <w:rPr>
              <w:highlight w:val="none"/>
            </w:rPr>
            <w:fldChar w:fldCharType="separate"/>
          </w:r>
          <w:r>
            <w:rPr>
              <w:spacing w:val="2"/>
              <w:sz w:val="24"/>
              <w:szCs w:val="24"/>
              <w:highlight w:val="none"/>
            </w:rPr>
            <w:t>三、评标其他要求：</w:t>
          </w:r>
          <w:r>
            <w:rPr>
              <w:spacing w:val="87"/>
              <w:sz w:val="24"/>
              <w:szCs w:val="24"/>
              <w:highlight w:val="none"/>
            </w:rPr>
            <w:t xml:space="preserve"> </w:t>
          </w:r>
          <w:r>
            <w:rPr>
              <w:sz w:val="24"/>
              <w:szCs w:val="24"/>
              <w:highlight w:val="none"/>
            </w:rPr>
            <w:tab/>
          </w:r>
          <w:r>
            <w:rPr>
              <w:spacing w:val="-51"/>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58</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0A185672">
          <w:pPr>
            <w:spacing w:line="298" w:lineRule="auto"/>
            <w:rPr>
              <w:rFonts w:ascii="Arial"/>
              <w:sz w:val="21"/>
              <w:highlight w:val="none"/>
            </w:rPr>
          </w:pPr>
        </w:p>
        <w:p w14:paraId="78675790">
          <w:pPr>
            <w:pStyle w:val="6"/>
            <w:tabs>
              <w:tab w:val="right" w:leader="dot" w:pos="9355"/>
            </w:tabs>
            <w:spacing w:before="78" w:line="190" w:lineRule="auto"/>
            <w:ind w:left="464"/>
            <w:rPr>
              <w:sz w:val="24"/>
              <w:szCs w:val="24"/>
              <w:highlight w:val="none"/>
            </w:rPr>
          </w:pPr>
          <w:r>
            <w:rPr>
              <w:highlight w:val="none"/>
            </w:rPr>
            <w:fldChar w:fldCharType="begin"/>
          </w:r>
          <w:r>
            <w:rPr>
              <w:highlight w:val="none"/>
            </w:rPr>
            <w:instrText xml:space="preserve"> HYPERLINK \l "bookmark13" </w:instrText>
          </w:r>
          <w:r>
            <w:rPr>
              <w:highlight w:val="none"/>
            </w:rPr>
            <w:fldChar w:fldCharType="separate"/>
          </w:r>
          <w:r>
            <w:rPr>
              <w:spacing w:val="-8"/>
              <w:sz w:val="24"/>
              <w:szCs w:val="24"/>
              <w:highlight w:val="none"/>
            </w:rPr>
            <w:t>四、评标标准</w:t>
          </w:r>
          <w:r>
            <w:rPr>
              <w:spacing w:val="78"/>
              <w:sz w:val="24"/>
              <w:szCs w:val="24"/>
              <w:highlight w:val="none"/>
            </w:rPr>
            <w:t xml:space="preserve"> </w:t>
          </w:r>
          <w:r>
            <w:rPr>
              <w:sz w:val="24"/>
              <w:szCs w:val="24"/>
              <w:highlight w:val="none"/>
            </w:rPr>
            <w:tab/>
          </w:r>
          <w:r>
            <w:rPr>
              <w:spacing w:val="2"/>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59</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p w14:paraId="444663DB">
          <w:pPr>
            <w:spacing w:line="295" w:lineRule="auto"/>
            <w:rPr>
              <w:rFonts w:ascii="Arial"/>
              <w:sz w:val="21"/>
              <w:highlight w:val="none"/>
            </w:rPr>
          </w:pPr>
        </w:p>
        <w:p w14:paraId="5002AA5A">
          <w:pPr>
            <w:pStyle w:val="6"/>
            <w:tabs>
              <w:tab w:val="right" w:leader="dot" w:pos="9355"/>
            </w:tabs>
            <w:spacing w:before="78" w:line="189" w:lineRule="auto"/>
            <w:ind w:left="26"/>
            <w:rPr>
              <w:sz w:val="24"/>
              <w:szCs w:val="24"/>
              <w:highlight w:val="none"/>
            </w:rPr>
          </w:pPr>
          <w:r>
            <w:rPr>
              <w:highlight w:val="none"/>
            </w:rPr>
            <w:fldChar w:fldCharType="begin"/>
          </w:r>
          <w:r>
            <w:rPr>
              <w:highlight w:val="none"/>
            </w:rPr>
            <w:instrText xml:space="preserve"> HYPERLINK \l "bookmark14" </w:instrText>
          </w:r>
          <w:r>
            <w:rPr>
              <w:highlight w:val="none"/>
            </w:rPr>
            <w:fldChar w:fldCharType="separate"/>
          </w:r>
          <w:r>
            <w:rPr>
              <w:spacing w:val="-1"/>
              <w:sz w:val="24"/>
              <w:szCs w:val="24"/>
              <w:highlight w:val="none"/>
            </w:rPr>
            <w:t>第六章合同草案</w:t>
          </w:r>
          <w:r>
            <w:rPr>
              <w:spacing w:val="82"/>
              <w:sz w:val="24"/>
              <w:szCs w:val="24"/>
              <w:highlight w:val="none"/>
            </w:rPr>
            <w:t xml:space="preserve"> </w:t>
          </w:r>
          <w:r>
            <w:rPr>
              <w:sz w:val="24"/>
              <w:szCs w:val="24"/>
              <w:highlight w:val="none"/>
            </w:rPr>
            <w:tab/>
          </w:r>
          <w:r>
            <w:rPr>
              <w:spacing w:val="-84"/>
              <w:sz w:val="24"/>
              <w:szCs w:val="24"/>
              <w:highlight w:val="none"/>
            </w:rPr>
            <w:t xml:space="preserve"> </w:t>
          </w:r>
          <w:r>
            <w:rPr>
              <w:spacing w:val="-6"/>
              <w:sz w:val="24"/>
              <w:szCs w:val="24"/>
              <w:highlight w:val="none"/>
            </w:rPr>
            <w:t>-</w:t>
          </w:r>
          <w:r>
            <w:rPr>
              <w:spacing w:val="10"/>
              <w:sz w:val="24"/>
              <w:szCs w:val="24"/>
              <w:highlight w:val="none"/>
            </w:rPr>
            <w:t xml:space="preserve"> </w:t>
          </w:r>
          <w:r>
            <w:rPr>
              <w:spacing w:val="-6"/>
              <w:sz w:val="24"/>
              <w:szCs w:val="24"/>
              <w:highlight w:val="none"/>
            </w:rPr>
            <w:t>62</w:t>
          </w:r>
          <w:r>
            <w:rPr>
              <w:spacing w:val="6"/>
              <w:sz w:val="24"/>
              <w:szCs w:val="24"/>
              <w:highlight w:val="none"/>
            </w:rPr>
            <w:t xml:space="preserve"> </w:t>
          </w:r>
          <w:r>
            <w:rPr>
              <w:spacing w:val="-6"/>
              <w:sz w:val="24"/>
              <w:szCs w:val="24"/>
              <w:highlight w:val="none"/>
            </w:rPr>
            <w:t>-</w:t>
          </w:r>
          <w:r>
            <w:rPr>
              <w:spacing w:val="-6"/>
              <w:sz w:val="24"/>
              <w:szCs w:val="24"/>
              <w:highlight w:val="none"/>
            </w:rPr>
            <w:fldChar w:fldCharType="end"/>
          </w:r>
        </w:p>
        <w:p w14:paraId="09BAE6EA">
          <w:pPr>
            <w:spacing w:line="296" w:lineRule="auto"/>
            <w:rPr>
              <w:rFonts w:ascii="Arial"/>
              <w:sz w:val="21"/>
              <w:highlight w:val="none"/>
            </w:rPr>
          </w:pPr>
        </w:p>
        <w:p w14:paraId="79627BA5">
          <w:pPr>
            <w:pStyle w:val="6"/>
            <w:tabs>
              <w:tab w:val="right" w:leader="dot" w:pos="9355"/>
            </w:tabs>
            <w:spacing w:before="79" w:line="222" w:lineRule="auto"/>
            <w:ind w:left="26"/>
            <w:rPr>
              <w:sz w:val="24"/>
              <w:szCs w:val="24"/>
              <w:highlight w:val="none"/>
            </w:rPr>
          </w:pPr>
          <w:r>
            <w:rPr>
              <w:highlight w:val="none"/>
            </w:rPr>
            <w:fldChar w:fldCharType="begin"/>
          </w:r>
          <w:r>
            <w:rPr>
              <w:highlight w:val="none"/>
            </w:rPr>
            <w:instrText xml:space="preserve"> HYPERLINK \l "bookmark15" </w:instrText>
          </w:r>
          <w:r>
            <w:rPr>
              <w:highlight w:val="none"/>
            </w:rPr>
            <w:fldChar w:fldCharType="separate"/>
          </w:r>
          <w:r>
            <w:rPr>
              <w:sz w:val="24"/>
              <w:szCs w:val="24"/>
              <w:highlight w:val="none"/>
            </w:rPr>
            <w:t>第七章投标文件格式</w:t>
          </w:r>
          <w:r>
            <w:rPr>
              <w:spacing w:val="84"/>
              <w:sz w:val="24"/>
              <w:szCs w:val="24"/>
              <w:highlight w:val="none"/>
            </w:rPr>
            <w:t xml:space="preserve"> </w:t>
          </w:r>
          <w:r>
            <w:rPr>
              <w:sz w:val="24"/>
              <w:szCs w:val="24"/>
              <w:highlight w:val="none"/>
            </w:rPr>
            <w:tab/>
          </w:r>
          <w:r>
            <w:rPr>
              <w:spacing w:val="-94"/>
              <w:sz w:val="24"/>
              <w:szCs w:val="24"/>
              <w:highlight w:val="none"/>
            </w:rPr>
            <w:t xml:space="preserve"> </w:t>
          </w:r>
          <w:r>
            <w:rPr>
              <w:spacing w:val="-7"/>
              <w:sz w:val="24"/>
              <w:szCs w:val="24"/>
              <w:highlight w:val="none"/>
            </w:rPr>
            <w:t>-</w:t>
          </w:r>
          <w:r>
            <w:rPr>
              <w:spacing w:val="14"/>
              <w:sz w:val="24"/>
              <w:szCs w:val="24"/>
              <w:highlight w:val="none"/>
            </w:rPr>
            <w:t xml:space="preserve"> </w:t>
          </w:r>
          <w:r>
            <w:rPr>
              <w:spacing w:val="-7"/>
              <w:sz w:val="24"/>
              <w:szCs w:val="24"/>
              <w:highlight w:val="none"/>
            </w:rPr>
            <w:t>79</w:t>
          </w:r>
          <w:r>
            <w:rPr>
              <w:spacing w:val="6"/>
              <w:sz w:val="24"/>
              <w:szCs w:val="24"/>
              <w:highlight w:val="none"/>
            </w:rPr>
            <w:t xml:space="preserve"> </w:t>
          </w:r>
          <w:r>
            <w:rPr>
              <w:spacing w:val="-7"/>
              <w:sz w:val="24"/>
              <w:szCs w:val="24"/>
              <w:highlight w:val="none"/>
            </w:rPr>
            <w:t>-</w:t>
          </w:r>
          <w:r>
            <w:rPr>
              <w:spacing w:val="-7"/>
              <w:sz w:val="24"/>
              <w:szCs w:val="24"/>
              <w:highlight w:val="none"/>
            </w:rPr>
            <w:fldChar w:fldCharType="end"/>
          </w:r>
        </w:p>
      </w:sdtContent>
    </w:sdt>
    <w:p w14:paraId="4A43CCF5">
      <w:pPr>
        <w:pStyle w:val="6"/>
        <w:spacing w:before="37" w:line="222" w:lineRule="auto"/>
        <w:jc w:val="center"/>
        <w:outlineLvl w:val="0"/>
        <w:rPr>
          <w:highlight w:val="none"/>
        </w:rPr>
      </w:pPr>
      <w:bookmarkStart w:id="0" w:name="bookmark1"/>
      <w:bookmarkEnd w:id="0"/>
      <w:r>
        <w:rPr>
          <w:b/>
          <w:bCs/>
          <w:spacing w:val="-4"/>
          <w:highlight w:val="none"/>
        </w:rPr>
        <w:br w:type="page"/>
      </w:r>
      <w:r>
        <w:rPr>
          <w:b/>
          <w:bCs/>
          <w:spacing w:val="-4"/>
          <w:highlight w:val="none"/>
        </w:rPr>
        <w:t>第一章招标公告</w:t>
      </w:r>
    </w:p>
    <w:p w14:paraId="7F80E3D1">
      <w:pPr>
        <w:spacing w:line="218" w:lineRule="exact"/>
        <w:rPr>
          <w:highlight w:val="none"/>
        </w:rPr>
      </w:pPr>
    </w:p>
    <w:tbl>
      <w:tblPr>
        <w:tblStyle w:val="13"/>
        <w:tblW w:w="8742"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742"/>
      </w:tblGrid>
      <w:tr w14:paraId="4DC9D84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742" w:type="dxa"/>
            <w:vAlign w:val="top"/>
          </w:tcPr>
          <w:p w14:paraId="5775E2C5">
            <w:pPr>
              <w:snapToGrid w:val="0"/>
              <w:spacing w:before="151" w:line="222" w:lineRule="auto"/>
              <w:ind w:left="21"/>
              <w:rPr>
                <w:rFonts w:ascii="仿宋" w:hAnsi="仿宋" w:eastAsia="仿宋" w:cs="仿宋"/>
                <w:sz w:val="24"/>
                <w:szCs w:val="24"/>
                <w:highlight w:val="none"/>
              </w:rPr>
            </w:pPr>
            <w:r>
              <w:rPr>
                <w:rFonts w:ascii="仿宋" w:hAnsi="仿宋" w:eastAsia="仿宋" w:cs="仿宋"/>
                <w:b/>
                <w:bCs/>
                <w:spacing w:val="-7"/>
                <w:sz w:val="24"/>
                <w:szCs w:val="24"/>
                <w:highlight w:val="none"/>
              </w:rPr>
              <w:t>项目概况</w:t>
            </w:r>
          </w:p>
          <w:p w14:paraId="6B374012">
            <w:pPr>
              <w:snapToGrid w:val="0"/>
              <w:spacing w:line="312" w:lineRule="auto"/>
              <w:rPr>
                <w:rFonts w:ascii="Arial"/>
                <w:sz w:val="21"/>
                <w:highlight w:val="none"/>
              </w:rPr>
            </w:pPr>
          </w:p>
          <w:p w14:paraId="42EC7C81">
            <w:pPr>
              <w:snapToGrid w:val="0"/>
              <w:spacing w:before="78" w:line="299" w:lineRule="auto"/>
              <w:ind w:left="21" w:right="216" w:firstLine="479"/>
              <w:jc w:val="both"/>
              <w:rPr>
                <w:rFonts w:ascii="仿宋" w:hAnsi="仿宋" w:eastAsia="仿宋" w:cs="仿宋"/>
                <w:sz w:val="24"/>
                <w:szCs w:val="24"/>
                <w:highlight w:val="none"/>
              </w:rPr>
            </w:pPr>
            <w:r>
              <w:rPr>
                <w:rFonts w:hint="eastAsia" w:ascii="仿宋" w:hAnsi="仿宋" w:eastAsia="仿宋" w:cs="仿宋"/>
                <w:spacing w:val="-1"/>
                <w:sz w:val="24"/>
                <w:szCs w:val="24"/>
                <w:highlight w:val="none"/>
                <w:u w:val="single"/>
              </w:rPr>
              <w:t>2026年怀柔实验室新疆研究院办公设备（分散）采购项目</w:t>
            </w:r>
            <w:r>
              <w:rPr>
                <w:rFonts w:ascii="仿宋" w:hAnsi="仿宋" w:eastAsia="仿宋" w:cs="仿宋"/>
                <w:spacing w:val="-1"/>
                <w:sz w:val="24"/>
                <w:szCs w:val="24"/>
                <w:highlight w:val="none"/>
              </w:rPr>
              <w:t>的潜在投标人应在</w:t>
            </w:r>
            <w:r>
              <w:rPr>
                <w:rFonts w:ascii="仿宋" w:hAnsi="仿宋" w:eastAsia="仿宋" w:cs="仿宋"/>
                <w:spacing w:val="-1"/>
                <w:sz w:val="24"/>
                <w:szCs w:val="24"/>
                <w:highlight w:val="none"/>
                <w:u w:val="single" w:color="auto"/>
              </w:rPr>
              <w:t>政采云平台线上获取</w:t>
            </w:r>
            <w:r>
              <w:rPr>
                <w:rFonts w:ascii="仿宋" w:hAnsi="仿宋" w:eastAsia="仿宋" w:cs="仿宋"/>
                <w:spacing w:val="-1"/>
                <w:sz w:val="24"/>
                <w:szCs w:val="24"/>
                <w:highlight w:val="none"/>
              </w:rPr>
              <w:t>招标文件，并于</w:t>
            </w:r>
            <w:r>
              <w:rPr>
                <w:rFonts w:ascii="仿宋" w:hAnsi="仿宋" w:eastAsia="仿宋" w:cs="仿宋"/>
                <w:b/>
                <w:bCs/>
                <w:spacing w:val="-1"/>
                <w:sz w:val="24"/>
                <w:szCs w:val="24"/>
                <w:highlight w:val="none"/>
                <w:u w:val="single" w:color="auto"/>
              </w:rPr>
              <w:t>2026年0</w:t>
            </w:r>
            <w:r>
              <w:rPr>
                <w:rFonts w:hint="eastAsia" w:ascii="仿宋" w:hAnsi="仿宋" w:eastAsia="仿宋" w:cs="仿宋"/>
                <w:b/>
                <w:bCs/>
                <w:spacing w:val="-1"/>
                <w:sz w:val="24"/>
                <w:szCs w:val="24"/>
                <w:highlight w:val="none"/>
                <w:u w:val="single" w:color="auto"/>
                <w:lang w:val="en-US" w:eastAsia="zh-CN"/>
              </w:rPr>
              <w:t>6</w:t>
            </w:r>
            <w:r>
              <w:rPr>
                <w:rFonts w:ascii="仿宋" w:hAnsi="仿宋" w:eastAsia="仿宋" w:cs="仿宋"/>
                <w:b/>
                <w:bCs/>
                <w:spacing w:val="-1"/>
                <w:sz w:val="24"/>
                <w:szCs w:val="24"/>
                <w:highlight w:val="none"/>
                <w:u w:val="single" w:color="auto"/>
              </w:rPr>
              <w:t>月</w:t>
            </w:r>
            <w:r>
              <w:rPr>
                <w:rFonts w:hint="eastAsia" w:ascii="仿宋" w:hAnsi="仿宋" w:eastAsia="仿宋" w:cs="仿宋"/>
                <w:b/>
                <w:bCs/>
                <w:spacing w:val="-1"/>
                <w:sz w:val="24"/>
                <w:szCs w:val="24"/>
                <w:highlight w:val="none"/>
                <w:u w:val="single" w:color="auto"/>
                <w:lang w:val="en-US" w:eastAsia="zh-CN"/>
              </w:rPr>
              <w:t>01</w:t>
            </w:r>
            <w:r>
              <w:rPr>
                <w:rFonts w:ascii="仿宋" w:hAnsi="仿宋" w:eastAsia="仿宋" w:cs="仿宋"/>
                <w:b/>
                <w:bCs/>
                <w:spacing w:val="-1"/>
                <w:sz w:val="24"/>
                <w:szCs w:val="24"/>
                <w:highlight w:val="none"/>
                <w:u w:val="single" w:color="auto"/>
              </w:rPr>
              <w:t>日</w:t>
            </w:r>
            <w:r>
              <w:rPr>
                <w:rFonts w:ascii="仿宋" w:hAnsi="仿宋" w:eastAsia="仿宋" w:cs="仿宋"/>
                <w:spacing w:val="-1"/>
                <w:sz w:val="24"/>
                <w:szCs w:val="24"/>
                <w:highlight w:val="none"/>
                <w:u w:val="single" w:color="auto"/>
              </w:rPr>
              <w:t xml:space="preserve"> </w:t>
            </w:r>
            <w:r>
              <w:rPr>
                <w:rFonts w:ascii="仿宋" w:hAnsi="仿宋" w:eastAsia="仿宋" w:cs="仿宋"/>
                <w:b/>
                <w:bCs/>
                <w:spacing w:val="-1"/>
                <w:sz w:val="24"/>
                <w:szCs w:val="24"/>
                <w:highlight w:val="none"/>
                <w:u w:val="single" w:color="auto"/>
              </w:rPr>
              <w:t>11:00（北京时间</w:t>
            </w:r>
            <w:r>
              <w:rPr>
                <w:rFonts w:ascii="仿宋" w:hAnsi="仿宋" w:eastAsia="仿宋" w:cs="仿宋"/>
                <w:b/>
                <w:bCs/>
                <w:spacing w:val="-2"/>
                <w:sz w:val="24"/>
                <w:szCs w:val="24"/>
                <w:highlight w:val="none"/>
                <w:u w:val="single" w:color="auto"/>
              </w:rPr>
              <w:t>）</w:t>
            </w:r>
            <w:r>
              <w:rPr>
                <w:rFonts w:ascii="仿宋" w:hAnsi="仿宋" w:eastAsia="仿宋" w:cs="仿宋"/>
                <w:spacing w:val="-2"/>
                <w:sz w:val="24"/>
                <w:szCs w:val="24"/>
                <w:highlight w:val="none"/>
              </w:rPr>
              <w:t>前递交投标</w:t>
            </w:r>
            <w:r>
              <w:rPr>
                <w:rFonts w:ascii="仿宋" w:hAnsi="仿宋" w:eastAsia="仿宋" w:cs="仿宋"/>
                <w:spacing w:val="-6"/>
                <w:sz w:val="24"/>
                <w:szCs w:val="24"/>
                <w:highlight w:val="none"/>
              </w:rPr>
              <w:t>文件。</w:t>
            </w:r>
          </w:p>
        </w:tc>
      </w:tr>
    </w:tbl>
    <w:p w14:paraId="27D81FA4">
      <w:pPr>
        <w:pStyle w:val="6"/>
        <w:spacing w:before="148" w:line="222" w:lineRule="auto"/>
        <w:ind w:left="29"/>
        <w:rPr>
          <w:sz w:val="24"/>
          <w:szCs w:val="24"/>
          <w:highlight w:val="none"/>
        </w:rPr>
      </w:pPr>
      <w:r>
        <w:rPr>
          <w:b/>
          <w:bCs/>
          <w:spacing w:val="-5"/>
          <w:sz w:val="24"/>
          <w:szCs w:val="24"/>
          <w:highlight w:val="none"/>
        </w:rPr>
        <w:t>一、项目基本情况</w:t>
      </w:r>
    </w:p>
    <w:p w14:paraId="261A8BC3">
      <w:pPr>
        <w:pStyle w:val="6"/>
        <w:spacing w:before="149" w:line="224" w:lineRule="auto"/>
        <w:ind w:left="506"/>
        <w:rPr>
          <w:rFonts w:hint="default" w:eastAsia="仿宋"/>
          <w:sz w:val="24"/>
          <w:szCs w:val="24"/>
          <w:highlight w:val="none"/>
          <w:lang w:val="en-US" w:eastAsia="zh-CN"/>
        </w:rPr>
      </w:pPr>
      <w:r>
        <w:rPr>
          <w:spacing w:val="-1"/>
          <w:sz w:val="24"/>
          <w:szCs w:val="24"/>
          <w:highlight w:val="none"/>
        </w:rPr>
        <w:t>项目编号：</w:t>
      </w:r>
      <w:bookmarkStart w:id="1" w:name="OLE_LINK1"/>
      <w:r>
        <w:rPr>
          <w:rFonts w:hint="eastAsia"/>
          <w:spacing w:val="-1"/>
          <w:sz w:val="24"/>
          <w:szCs w:val="24"/>
          <w:highlight w:val="none"/>
        </w:rPr>
        <w:t>DZXJZB202</w:t>
      </w:r>
      <w:bookmarkEnd w:id="1"/>
      <w:r>
        <w:rPr>
          <w:rFonts w:hint="eastAsia"/>
          <w:spacing w:val="-1"/>
          <w:sz w:val="24"/>
          <w:szCs w:val="24"/>
          <w:highlight w:val="none"/>
          <w:lang w:val="en-US" w:eastAsia="zh-CN"/>
        </w:rPr>
        <w:t>6029</w:t>
      </w:r>
    </w:p>
    <w:p w14:paraId="57A12152">
      <w:pPr>
        <w:pStyle w:val="6"/>
        <w:spacing w:before="154" w:line="222" w:lineRule="auto"/>
        <w:ind w:left="507"/>
        <w:rPr>
          <w:rFonts w:hint="eastAsia"/>
          <w:spacing w:val="-1"/>
          <w:sz w:val="24"/>
          <w:szCs w:val="24"/>
          <w:highlight w:val="none"/>
        </w:rPr>
      </w:pPr>
      <w:r>
        <w:rPr>
          <w:spacing w:val="-1"/>
          <w:sz w:val="24"/>
          <w:szCs w:val="24"/>
          <w:highlight w:val="none"/>
        </w:rPr>
        <w:t>项目名称：</w:t>
      </w:r>
      <w:r>
        <w:rPr>
          <w:rFonts w:hint="eastAsia"/>
          <w:spacing w:val="-1"/>
          <w:sz w:val="24"/>
          <w:szCs w:val="24"/>
          <w:highlight w:val="none"/>
        </w:rPr>
        <w:t>2026年怀柔实验室新疆研究院办公设备（分散）采购项目</w:t>
      </w:r>
    </w:p>
    <w:p w14:paraId="4EC9328E">
      <w:pPr>
        <w:pStyle w:val="6"/>
        <w:spacing w:before="154" w:line="222" w:lineRule="auto"/>
        <w:ind w:left="507"/>
        <w:rPr>
          <w:sz w:val="24"/>
          <w:szCs w:val="24"/>
          <w:highlight w:val="none"/>
        </w:rPr>
      </w:pPr>
      <w:r>
        <w:rPr>
          <w:spacing w:val="-2"/>
          <w:sz w:val="24"/>
          <w:szCs w:val="24"/>
          <w:highlight w:val="none"/>
        </w:rPr>
        <w:t>采购方式：公开招标</w:t>
      </w:r>
    </w:p>
    <w:p w14:paraId="11627040">
      <w:pPr>
        <w:pStyle w:val="6"/>
        <w:spacing w:before="150" w:line="222" w:lineRule="auto"/>
        <w:ind w:left="507"/>
        <w:rPr>
          <w:rFonts w:hint="default" w:eastAsia="仿宋"/>
          <w:sz w:val="24"/>
          <w:szCs w:val="24"/>
          <w:highlight w:val="none"/>
          <w:lang w:val="en-US" w:eastAsia="zh-CN"/>
        </w:rPr>
      </w:pPr>
      <w:r>
        <w:rPr>
          <w:spacing w:val="-2"/>
          <w:sz w:val="24"/>
          <w:szCs w:val="24"/>
          <w:highlight w:val="none"/>
        </w:rPr>
        <w:t>预算金额（元</w:t>
      </w:r>
      <w:r>
        <w:rPr>
          <w:spacing w:val="5"/>
          <w:sz w:val="24"/>
          <w:szCs w:val="24"/>
          <w:highlight w:val="none"/>
        </w:rPr>
        <w:t>）：</w:t>
      </w:r>
      <w:r>
        <w:rPr>
          <w:rFonts w:hint="eastAsia"/>
          <w:spacing w:val="5"/>
          <w:sz w:val="24"/>
          <w:szCs w:val="24"/>
          <w:highlight w:val="none"/>
        </w:rPr>
        <w:t>6</w:t>
      </w:r>
      <w:r>
        <w:rPr>
          <w:rFonts w:hint="eastAsia"/>
          <w:spacing w:val="5"/>
          <w:sz w:val="24"/>
          <w:szCs w:val="24"/>
          <w:highlight w:val="none"/>
          <w:lang w:val="en-US" w:eastAsia="zh-CN"/>
        </w:rPr>
        <w:t>091</w:t>
      </w:r>
      <w:r>
        <w:rPr>
          <w:rFonts w:hint="eastAsia"/>
          <w:spacing w:val="5"/>
          <w:sz w:val="24"/>
          <w:szCs w:val="24"/>
          <w:highlight w:val="none"/>
        </w:rPr>
        <w:t>00</w:t>
      </w:r>
      <w:r>
        <w:rPr>
          <w:rFonts w:hint="eastAsia"/>
          <w:spacing w:val="-2"/>
          <w:sz w:val="24"/>
          <w:szCs w:val="24"/>
          <w:highlight w:val="none"/>
          <w:lang w:val="en-US" w:eastAsia="zh-CN"/>
        </w:rPr>
        <w:t>.00</w:t>
      </w:r>
    </w:p>
    <w:p w14:paraId="07A05615">
      <w:pPr>
        <w:pStyle w:val="6"/>
        <w:spacing w:before="152" w:line="222" w:lineRule="auto"/>
        <w:ind w:left="512"/>
        <w:rPr>
          <w:sz w:val="24"/>
          <w:szCs w:val="24"/>
          <w:highlight w:val="none"/>
        </w:rPr>
      </w:pPr>
      <w:r>
        <w:rPr>
          <w:spacing w:val="-4"/>
          <w:sz w:val="24"/>
          <w:szCs w:val="24"/>
          <w:highlight w:val="none"/>
        </w:rPr>
        <w:t>最高限价（元</w:t>
      </w:r>
      <w:r>
        <w:rPr>
          <w:spacing w:val="5"/>
          <w:sz w:val="24"/>
          <w:szCs w:val="24"/>
          <w:highlight w:val="none"/>
        </w:rPr>
        <w:t>）：</w:t>
      </w:r>
      <w:r>
        <w:rPr>
          <w:rFonts w:hint="eastAsia"/>
          <w:spacing w:val="5"/>
          <w:sz w:val="24"/>
          <w:szCs w:val="24"/>
          <w:highlight w:val="none"/>
        </w:rPr>
        <w:t>6</w:t>
      </w:r>
      <w:r>
        <w:rPr>
          <w:rFonts w:hint="eastAsia"/>
          <w:spacing w:val="5"/>
          <w:sz w:val="24"/>
          <w:szCs w:val="24"/>
          <w:highlight w:val="none"/>
          <w:lang w:val="en-US" w:eastAsia="zh-CN"/>
        </w:rPr>
        <w:t>091</w:t>
      </w:r>
      <w:r>
        <w:rPr>
          <w:rFonts w:hint="eastAsia"/>
          <w:spacing w:val="5"/>
          <w:sz w:val="24"/>
          <w:szCs w:val="24"/>
          <w:highlight w:val="none"/>
        </w:rPr>
        <w:t>00</w:t>
      </w:r>
      <w:r>
        <w:rPr>
          <w:rFonts w:hint="eastAsia"/>
          <w:spacing w:val="-2"/>
          <w:sz w:val="24"/>
          <w:szCs w:val="24"/>
          <w:highlight w:val="none"/>
          <w:lang w:val="en-US" w:eastAsia="zh-CN"/>
        </w:rPr>
        <w:t>.00</w:t>
      </w:r>
    </w:p>
    <w:p w14:paraId="6080282D">
      <w:pPr>
        <w:pStyle w:val="6"/>
        <w:spacing w:before="153" w:line="222" w:lineRule="auto"/>
        <w:ind w:left="507"/>
        <w:rPr>
          <w:sz w:val="24"/>
          <w:szCs w:val="24"/>
          <w:highlight w:val="none"/>
        </w:rPr>
      </w:pPr>
      <w:r>
        <w:rPr>
          <w:spacing w:val="-4"/>
          <w:sz w:val="24"/>
          <w:szCs w:val="24"/>
          <w:highlight w:val="none"/>
        </w:rPr>
        <w:t>采购需求：</w:t>
      </w:r>
    </w:p>
    <w:p w14:paraId="74164FD4">
      <w:pPr>
        <w:pStyle w:val="6"/>
        <w:spacing w:before="154" w:line="222" w:lineRule="auto"/>
        <w:ind w:left="507"/>
        <w:rPr>
          <w:sz w:val="24"/>
          <w:szCs w:val="24"/>
          <w:highlight w:val="none"/>
        </w:rPr>
      </w:pPr>
      <w:r>
        <w:rPr>
          <w:sz w:val="24"/>
          <w:szCs w:val="24"/>
          <w:highlight w:val="none"/>
        </w:rPr>
        <w:t>标项名称:</w:t>
      </w:r>
      <w:r>
        <w:rPr>
          <w:rFonts w:hint="eastAsia"/>
          <w:spacing w:val="-1"/>
          <w:sz w:val="24"/>
          <w:szCs w:val="24"/>
          <w:highlight w:val="none"/>
        </w:rPr>
        <w:t>2026年怀柔实验室新疆研究院办公设备（分散）采购项目</w:t>
      </w:r>
    </w:p>
    <w:p w14:paraId="6BF90FE0">
      <w:pPr>
        <w:pStyle w:val="6"/>
        <w:spacing w:before="152" w:line="223" w:lineRule="auto"/>
        <w:ind w:left="505"/>
        <w:rPr>
          <w:sz w:val="24"/>
          <w:szCs w:val="24"/>
          <w:highlight w:val="none"/>
        </w:rPr>
      </w:pPr>
      <w:r>
        <w:rPr>
          <w:spacing w:val="2"/>
          <w:sz w:val="24"/>
          <w:szCs w:val="24"/>
          <w:highlight w:val="none"/>
        </w:rPr>
        <w:t>数量：1</w:t>
      </w:r>
    </w:p>
    <w:p w14:paraId="1F34A3F8">
      <w:pPr>
        <w:pStyle w:val="6"/>
        <w:spacing w:before="151" w:line="222" w:lineRule="auto"/>
        <w:ind w:left="507"/>
        <w:rPr>
          <w:sz w:val="24"/>
          <w:szCs w:val="24"/>
          <w:highlight w:val="none"/>
        </w:rPr>
      </w:pPr>
      <w:r>
        <w:rPr>
          <w:spacing w:val="-1"/>
          <w:sz w:val="24"/>
          <w:szCs w:val="24"/>
          <w:highlight w:val="none"/>
        </w:rPr>
        <w:t xml:space="preserve">预算金额（元）: </w:t>
      </w:r>
      <w:r>
        <w:rPr>
          <w:rFonts w:hint="eastAsia"/>
          <w:spacing w:val="5"/>
          <w:sz w:val="24"/>
          <w:szCs w:val="24"/>
          <w:highlight w:val="none"/>
        </w:rPr>
        <w:t>6</w:t>
      </w:r>
      <w:r>
        <w:rPr>
          <w:rFonts w:hint="eastAsia"/>
          <w:spacing w:val="5"/>
          <w:sz w:val="24"/>
          <w:szCs w:val="24"/>
          <w:highlight w:val="none"/>
          <w:lang w:val="en-US" w:eastAsia="zh-CN"/>
        </w:rPr>
        <w:t>091</w:t>
      </w:r>
      <w:r>
        <w:rPr>
          <w:rFonts w:hint="eastAsia"/>
          <w:spacing w:val="5"/>
          <w:sz w:val="24"/>
          <w:szCs w:val="24"/>
          <w:highlight w:val="none"/>
        </w:rPr>
        <w:t>00</w:t>
      </w:r>
      <w:r>
        <w:rPr>
          <w:rFonts w:hint="eastAsia"/>
          <w:spacing w:val="-2"/>
          <w:sz w:val="24"/>
          <w:szCs w:val="24"/>
          <w:highlight w:val="none"/>
          <w:lang w:val="en-US" w:eastAsia="zh-CN"/>
        </w:rPr>
        <w:t>.00</w:t>
      </w:r>
    </w:p>
    <w:p w14:paraId="51B244E0">
      <w:pPr>
        <w:pStyle w:val="6"/>
        <w:spacing w:before="151" w:line="221" w:lineRule="auto"/>
        <w:ind w:left="510"/>
        <w:rPr>
          <w:sz w:val="24"/>
          <w:szCs w:val="24"/>
          <w:highlight w:val="none"/>
        </w:rPr>
      </w:pPr>
      <w:r>
        <w:rPr>
          <w:spacing w:val="-2"/>
          <w:sz w:val="24"/>
          <w:szCs w:val="24"/>
          <w:highlight w:val="none"/>
        </w:rPr>
        <w:t>单位：批</w:t>
      </w:r>
    </w:p>
    <w:p w14:paraId="2CB5B3EF">
      <w:pPr>
        <w:pStyle w:val="6"/>
        <w:spacing w:before="151" w:line="339" w:lineRule="auto"/>
        <w:ind w:left="25" w:right="243" w:firstLine="493"/>
        <w:rPr>
          <w:sz w:val="24"/>
          <w:szCs w:val="24"/>
          <w:highlight w:val="none"/>
        </w:rPr>
      </w:pPr>
      <w:r>
        <w:rPr>
          <w:spacing w:val="-1"/>
          <w:sz w:val="24"/>
          <w:szCs w:val="24"/>
          <w:highlight w:val="none"/>
        </w:rPr>
        <w:t>简要规格描述或项目基本概况介绍、用途：</w:t>
      </w:r>
      <w:r>
        <w:rPr>
          <w:rFonts w:hint="eastAsia" w:ascii="仿宋" w:hAnsi="仿宋" w:eastAsia="仿宋" w:cs="仿宋"/>
          <w:spacing w:val="9"/>
          <w:sz w:val="23"/>
          <w:szCs w:val="23"/>
          <w:highlight w:val="none"/>
          <w:lang w:val="en-US" w:eastAsia="zh-CN"/>
        </w:rPr>
        <w:t>本次采购的办公设备及其配件等，是研究院日常办公、文件处理、数据存储、科研辅助等基础工作的核心支撑物资，主要包括平板电脑、扩展坞、刻录机、固态硬盘等，是员工开展日常工作的必备工具</w:t>
      </w:r>
      <w:r>
        <w:rPr>
          <w:spacing w:val="-1"/>
          <w:sz w:val="24"/>
          <w:szCs w:val="24"/>
          <w:highlight w:val="none"/>
        </w:rPr>
        <w:t>，具体内容详见招</w:t>
      </w:r>
      <w:r>
        <w:rPr>
          <w:spacing w:val="-4"/>
          <w:sz w:val="24"/>
          <w:szCs w:val="24"/>
          <w:highlight w:val="none"/>
        </w:rPr>
        <w:t>标文件。</w:t>
      </w:r>
    </w:p>
    <w:p w14:paraId="346F3D15">
      <w:pPr>
        <w:pStyle w:val="6"/>
        <w:spacing w:before="153" w:line="222" w:lineRule="auto"/>
        <w:ind w:left="510"/>
        <w:rPr>
          <w:sz w:val="24"/>
          <w:szCs w:val="24"/>
          <w:highlight w:val="none"/>
        </w:rPr>
      </w:pPr>
      <w:r>
        <w:rPr>
          <w:spacing w:val="-5"/>
          <w:sz w:val="24"/>
          <w:szCs w:val="24"/>
          <w:highlight w:val="none"/>
        </w:rPr>
        <w:t>合同履约期限：</w:t>
      </w:r>
      <w:r>
        <w:rPr>
          <w:rFonts w:hint="eastAsia"/>
          <w:spacing w:val="-5"/>
          <w:sz w:val="24"/>
          <w:szCs w:val="24"/>
          <w:highlight w:val="none"/>
        </w:rPr>
        <w:t>合同签订之日起一年</w:t>
      </w:r>
      <w:r>
        <w:rPr>
          <w:spacing w:val="-5"/>
          <w:sz w:val="24"/>
          <w:szCs w:val="24"/>
          <w:highlight w:val="none"/>
        </w:rPr>
        <w:t>。</w:t>
      </w:r>
    </w:p>
    <w:p w14:paraId="73937C10">
      <w:pPr>
        <w:pStyle w:val="6"/>
        <w:spacing w:before="153" w:line="222" w:lineRule="auto"/>
        <w:ind w:left="504"/>
        <w:rPr>
          <w:sz w:val="24"/>
          <w:szCs w:val="24"/>
          <w:highlight w:val="none"/>
        </w:rPr>
      </w:pPr>
      <w:r>
        <w:rPr>
          <w:spacing w:val="-2"/>
          <w:sz w:val="24"/>
          <w:szCs w:val="24"/>
          <w:highlight w:val="none"/>
        </w:rPr>
        <w:t>本项目（否）接受联合体投标。</w:t>
      </w:r>
    </w:p>
    <w:p w14:paraId="17A2D5F1">
      <w:pPr>
        <w:pStyle w:val="6"/>
        <w:spacing w:before="150" w:line="220" w:lineRule="auto"/>
        <w:ind w:left="33"/>
        <w:rPr>
          <w:sz w:val="24"/>
          <w:szCs w:val="24"/>
          <w:highlight w:val="none"/>
        </w:rPr>
      </w:pPr>
      <w:r>
        <w:rPr>
          <w:b/>
          <w:bCs/>
          <w:spacing w:val="-9"/>
          <w:sz w:val="24"/>
          <w:szCs w:val="24"/>
          <w:highlight w:val="none"/>
        </w:rPr>
        <w:t>二、</w:t>
      </w:r>
      <w:r>
        <w:rPr>
          <w:spacing w:val="-64"/>
          <w:sz w:val="24"/>
          <w:szCs w:val="24"/>
          <w:highlight w:val="none"/>
        </w:rPr>
        <w:t xml:space="preserve"> </w:t>
      </w:r>
      <w:r>
        <w:rPr>
          <w:b/>
          <w:bCs/>
          <w:spacing w:val="-9"/>
          <w:sz w:val="24"/>
          <w:szCs w:val="24"/>
          <w:highlight w:val="none"/>
        </w:rPr>
        <w:t>申请人的资格要求：</w:t>
      </w:r>
    </w:p>
    <w:p w14:paraId="6FD093B1">
      <w:pPr>
        <w:pStyle w:val="6"/>
        <w:spacing w:before="153" w:line="222" w:lineRule="auto"/>
        <w:ind w:left="516"/>
        <w:rPr>
          <w:sz w:val="24"/>
          <w:szCs w:val="24"/>
          <w:highlight w:val="none"/>
        </w:rPr>
      </w:pPr>
      <w:r>
        <w:rPr>
          <w:spacing w:val="-1"/>
          <w:sz w:val="24"/>
          <w:szCs w:val="24"/>
          <w:highlight w:val="none"/>
        </w:rPr>
        <w:t>1.满足《中华人民共和国政府采购法》第二十二条规</w:t>
      </w:r>
      <w:r>
        <w:rPr>
          <w:spacing w:val="-2"/>
          <w:sz w:val="24"/>
          <w:szCs w:val="24"/>
          <w:highlight w:val="none"/>
        </w:rPr>
        <w:t>定；</w:t>
      </w:r>
    </w:p>
    <w:p w14:paraId="36E89446">
      <w:pPr>
        <w:pStyle w:val="6"/>
        <w:spacing w:before="153" w:line="338" w:lineRule="auto"/>
        <w:ind w:left="30" w:right="123" w:firstLine="470"/>
        <w:rPr>
          <w:sz w:val="24"/>
          <w:szCs w:val="24"/>
          <w:highlight w:val="none"/>
        </w:rPr>
      </w:pPr>
      <w:r>
        <w:rPr>
          <w:sz w:val="24"/>
          <w:szCs w:val="24"/>
          <w:highlight w:val="none"/>
        </w:rPr>
        <w:t>2.落实政府采购政策需满足的资格要求:本项目专门面</w:t>
      </w:r>
      <w:r>
        <w:rPr>
          <w:spacing w:val="-1"/>
          <w:sz w:val="24"/>
          <w:szCs w:val="24"/>
          <w:highlight w:val="none"/>
        </w:rPr>
        <w:t>向中小企业采购。投标人所投货物制造商须均为中小企业或残疾人福利性单位或监狱企业。</w:t>
      </w:r>
    </w:p>
    <w:p w14:paraId="095156B3">
      <w:pPr>
        <w:pStyle w:val="6"/>
        <w:spacing w:line="222" w:lineRule="auto"/>
        <w:ind w:left="503"/>
        <w:rPr>
          <w:sz w:val="24"/>
          <w:szCs w:val="24"/>
          <w:highlight w:val="none"/>
        </w:rPr>
      </w:pPr>
      <w:r>
        <w:rPr>
          <w:sz w:val="24"/>
          <w:szCs w:val="24"/>
          <w:highlight w:val="none"/>
        </w:rPr>
        <w:t>3.本项目的特定资格要求：无</w:t>
      </w:r>
    </w:p>
    <w:p w14:paraId="3F46B98A">
      <w:pPr>
        <w:pStyle w:val="6"/>
        <w:spacing w:before="153" w:line="222" w:lineRule="auto"/>
        <w:ind w:left="32"/>
        <w:rPr>
          <w:sz w:val="24"/>
          <w:szCs w:val="24"/>
          <w:highlight w:val="none"/>
        </w:rPr>
      </w:pPr>
      <w:r>
        <w:rPr>
          <w:b/>
          <w:bCs/>
          <w:spacing w:val="-5"/>
          <w:sz w:val="24"/>
          <w:szCs w:val="24"/>
          <w:highlight w:val="none"/>
        </w:rPr>
        <w:t>三、获取招标文件</w:t>
      </w:r>
    </w:p>
    <w:p w14:paraId="5D1E07DB">
      <w:pPr>
        <w:pStyle w:val="6"/>
        <w:spacing w:before="112" w:line="307" w:lineRule="auto"/>
        <w:ind w:left="16" w:right="115" w:firstLine="490"/>
        <w:rPr>
          <w:spacing w:val="-1"/>
          <w:sz w:val="24"/>
          <w:szCs w:val="24"/>
          <w:highlight w:val="none"/>
        </w:rPr>
      </w:pPr>
      <w:r>
        <w:rPr>
          <w:spacing w:val="-1"/>
          <w:sz w:val="24"/>
          <w:szCs w:val="24"/>
          <w:highlight w:val="none"/>
        </w:rPr>
        <w:t>时间：2026年0</w:t>
      </w:r>
      <w:r>
        <w:rPr>
          <w:rFonts w:hint="eastAsia"/>
          <w:spacing w:val="-1"/>
          <w:sz w:val="24"/>
          <w:szCs w:val="24"/>
          <w:highlight w:val="none"/>
          <w:lang w:val="en-US" w:eastAsia="zh-CN"/>
        </w:rPr>
        <w:t>5</w:t>
      </w:r>
      <w:r>
        <w:rPr>
          <w:spacing w:val="-1"/>
          <w:sz w:val="24"/>
          <w:szCs w:val="24"/>
          <w:highlight w:val="none"/>
        </w:rPr>
        <w:t>月</w:t>
      </w:r>
      <w:r>
        <w:rPr>
          <w:rFonts w:hint="eastAsia"/>
          <w:spacing w:val="-1"/>
          <w:sz w:val="24"/>
          <w:szCs w:val="24"/>
          <w:highlight w:val="none"/>
          <w:lang w:val="en-US" w:eastAsia="zh-CN"/>
        </w:rPr>
        <w:t>6</w:t>
      </w:r>
      <w:r>
        <w:rPr>
          <w:spacing w:val="-1"/>
          <w:sz w:val="24"/>
          <w:szCs w:val="24"/>
          <w:highlight w:val="none"/>
        </w:rPr>
        <w:t>日至2026年0</w:t>
      </w:r>
      <w:r>
        <w:rPr>
          <w:rFonts w:hint="eastAsia"/>
          <w:spacing w:val="-1"/>
          <w:sz w:val="24"/>
          <w:szCs w:val="24"/>
          <w:highlight w:val="none"/>
          <w:lang w:val="en-US" w:eastAsia="zh-CN"/>
        </w:rPr>
        <w:t>5</w:t>
      </w:r>
      <w:r>
        <w:rPr>
          <w:spacing w:val="-1"/>
          <w:sz w:val="24"/>
          <w:szCs w:val="24"/>
          <w:highlight w:val="none"/>
        </w:rPr>
        <w:t>月</w:t>
      </w:r>
      <w:r>
        <w:rPr>
          <w:rFonts w:hint="eastAsia"/>
          <w:spacing w:val="-1"/>
          <w:sz w:val="24"/>
          <w:szCs w:val="24"/>
          <w:highlight w:val="none"/>
          <w:lang w:val="en-US" w:eastAsia="zh-CN"/>
        </w:rPr>
        <w:t>12</w:t>
      </w:r>
      <w:r>
        <w:rPr>
          <w:spacing w:val="-1"/>
          <w:sz w:val="24"/>
          <w:szCs w:val="24"/>
          <w:highlight w:val="none"/>
        </w:rPr>
        <w:t>日，每天上午00:00至14:00，下午14:00至23:59（北京时间，法定节假日除外）</w:t>
      </w:r>
    </w:p>
    <w:p w14:paraId="3C8760BF">
      <w:pPr>
        <w:pStyle w:val="6"/>
        <w:spacing w:before="112" w:line="307" w:lineRule="auto"/>
        <w:ind w:left="16" w:right="115" w:firstLine="490"/>
        <w:rPr>
          <w:spacing w:val="-1"/>
          <w:sz w:val="24"/>
          <w:szCs w:val="24"/>
          <w:highlight w:val="none"/>
        </w:rPr>
      </w:pPr>
      <w:r>
        <w:rPr>
          <w:spacing w:val="-1"/>
          <w:sz w:val="24"/>
          <w:szCs w:val="24"/>
          <w:highlight w:val="none"/>
        </w:rPr>
        <w:t>地点：政采云平台</w:t>
      </w:r>
    </w:p>
    <w:p w14:paraId="5EE689AD">
      <w:pPr>
        <w:pStyle w:val="6"/>
        <w:spacing w:before="112" w:line="307" w:lineRule="auto"/>
        <w:ind w:left="16" w:right="115" w:firstLine="490"/>
        <w:rPr>
          <w:spacing w:val="-1"/>
          <w:sz w:val="24"/>
          <w:szCs w:val="24"/>
          <w:highlight w:val="none"/>
        </w:rPr>
      </w:pPr>
      <w:r>
        <w:rPr>
          <w:spacing w:val="-1"/>
          <w:sz w:val="24"/>
          <w:szCs w:val="24"/>
          <w:highlight w:val="none"/>
        </w:rPr>
        <w:t>线上方式：供应商登录政采云平台</w:t>
      </w:r>
      <w:r>
        <w:rPr>
          <w:spacing w:val="-1"/>
          <w:sz w:val="24"/>
          <w:szCs w:val="24"/>
          <w:highlight w:val="none"/>
        </w:rPr>
        <w:fldChar w:fldCharType="begin"/>
      </w:r>
      <w:r>
        <w:rPr>
          <w:spacing w:val="-1"/>
          <w:sz w:val="24"/>
          <w:szCs w:val="24"/>
          <w:highlight w:val="none"/>
        </w:rPr>
        <w:instrText xml:space="preserve"> HYPERLINK "https://www.zcygov.cn/" </w:instrText>
      </w:r>
      <w:r>
        <w:rPr>
          <w:spacing w:val="-1"/>
          <w:sz w:val="24"/>
          <w:szCs w:val="24"/>
          <w:highlight w:val="none"/>
        </w:rPr>
        <w:fldChar w:fldCharType="separate"/>
      </w:r>
      <w:r>
        <w:rPr>
          <w:spacing w:val="-1"/>
          <w:sz w:val="24"/>
          <w:szCs w:val="24"/>
          <w:highlight w:val="none"/>
        </w:rPr>
        <w:t>https://www.zcygov.cn/</w:t>
      </w:r>
      <w:r>
        <w:rPr>
          <w:spacing w:val="-1"/>
          <w:sz w:val="24"/>
          <w:szCs w:val="24"/>
          <w:highlight w:val="none"/>
        </w:rPr>
        <w:fldChar w:fldCharType="end"/>
      </w:r>
      <w:r>
        <w:rPr>
          <w:spacing w:val="-1"/>
          <w:sz w:val="24"/>
          <w:szCs w:val="24"/>
          <w:highlight w:val="none"/>
        </w:rPr>
        <w:t>在线申请获取采购文件（进入“项目采购 ”应用，在获取采购文件菜单中选择项目， 申请获取采购文件），或者点击采购公告底部潜在供应商“获取采购文件 ”，页面跳转后登陆，直接获取采购文件。</w:t>
      </w:r>
    </w:p>
    <w:p w14:paraId="11AD6171">
      <w:pPr>
        <w:pStyle w:val="6"/>
        <w:spacing w:before="4" w:line="221" w:lineRule="auto"/>
        <w:ind w:left="509"/>
        <w:rPr>
          <w:sz w:val="24"/>
          <w:szCs w:val="24"/>
          <w:highlight w:val="none"/>
        </w:rPr>
      </w:pPr>
      <w:r>
        <w:rPr>
          <w:spacing w:val="-6"/>
          <w:sz w:val="24"/>
          <w:szCs w:val="24"/>
          <w:highlight w:val="none"/>
        </w:rPr>
        <w:t>售价（元</w:t>
      </w:r>
      <w:r>
        <w:rPr>
          <w:spacing w:val="5"/>
          <w:sz w:val="24"/>
          <w:szCs w:val="24"/>
          <w:highlight w:val="none"/>
        </w:rPr>
        <w:t>）：</w:t>
      </w:r>
      <w:r>
        <w:rPr>
          <w:spacing w:val="-6"/>
          <w:sz w:val="24"/>
          <w:szCs w:val="24"/>
          <w:highlight w:val="none"/>
        </w:rPr>
        <w:t>0</w:t>
      </w:r>
    </w:p>
    <w:p w14:paraId="20CF9196">
      <w:pPr>
        <w:pStyle w:val="6"/>
        <w:spacing w:before="152" w:line="222" w:lineRule="auto"/>
        <w:ind w:left="44"/>
        <w:rPr>
          <w:sz w:val="24"/>
          <w:szCs w:val="24"/>
          <w:highlight w:val="none"/>
        </w:rPr>
      </w:pPr>
      <w:r>
        <w:rPr>
          <w:b/>
          <w:bCs/>
          <w:spacing w:val="-4"/>
          <w:sz w:val="24"/>
          <w:szCs w:val="24"/>
          <w:highlight w:val="none"/>
        </w:rPr>
        <w:t>四、提交投标文件截止时间、开标时间和地点</w:t>
      </w:r>
    </w:p>
    <w:p w14:paraId="3E4938E3">
      <w:pPr>
        <w:pStyle w:val="6"/>
        <w:spacing w:before="150" w:line="222" w:lineRule="auto"/>
        <w:ind w:left="498"/>
        <w:rPr>
          <w:sz w:val="24"/>
          <w:szCs w:val="24"/>
          <w:highlight w:val="none"/>
        </w:rPr>
      </w:pPr>
      <w:r>
        <w:rPr>
          <w:spacing w:val="-4"/>
          <w:sz w:val="24"/>
          <w:szCs w:val="24"/>
          <w:highlight w:val="none"/>
        </w:rPr>
        <w:t>提交投标文件截止时间：</w:t>
      </w:r>
      <w:r>
        <w:rPr>
          <w:b/>
          <w:bCs/>
          <w:spacing w:val="-4"/>
          <w:sz w:val="24"/>
          <w:szCs w:val="24"/>
          <w:highlight w:val="none"/>
        </w:rPr>
        <w:t>2026年0</w:t>
      </w:r>
      <w:r>
        <w:rPr>
          <w:rFonts w:hint="eastAsia"/>
          <w:b/>
          <w:bCs/>
          <w:spacing w:val="-4"/>
          <w:sz w:val="24"/>
          <w:szCs w:val="24"/>
          <w:highlight w:val="none"/>
          <w:lang w:val="en-US" w:eastAsia="zh-CN"/>
        </w:rPr>
        <w:t>6</w:t>
      </w:r>
      <w:r>
        <w:rPr>
          <w:b/>
          <w:bCs/>
          <w:spacing w:val="-4"/>
          <w:sz w:val="24"/>
          <w:szCs w:val="24"/>
          <w:highlight w:val="none"/>
        </w:rPr>
        <w:t>月</w:t>
      </w:r>
      <w:r>
        <w:rPr>
          <w:rFonts w:hint="eastAsia"/>
          <w:b/>
          <w:bCs/>
          <w:spacing w:val="-4"/>
          <w:sz w:val="24"/>
          <w:szCs w:val="24"/>
          <w:highlight w:val="none"/>
          <w:lang w:val="en-US" w:eastAsia="zh-CN"/>
        </w:rPr>
        <w:t>01</w:t>
      </w:r>
      <w:r>
        <w:rPr>
          <w:b/>
          <w:bCs/>
          <w:spacing w:val="-4"/>
          <w:sz w:val="24"/>
          <w:szCs w:val="24"/>
          <w:highlight w:val="none"/>
        </w:rPr>
        <w:t>日</w:t>
      </w:r>
      <w:r>
        <w:rPr>
          <w:spacing w:val="-4"/>
          <w:sz w:val="24"/>
          <w:szCs w:val="24"/>
          <w:highlight w:val="none"/>
        </w:rPr>
        <w:t xml:space="preserve"> </w:t>
      </w:r>
      <w:r>
        <w:rPr>
          <w:b/>
          <w:bCs/>
          <w:spacing w:val="-4"/>
          <w:sz w:val="24"/>
          <w:szCs w:val="24"/>
          <w:highlight w:val="none"/>
        </w:rPr>
        <w:t>11:00（北京时间）</w:t>
      </w:r>
    </w:p>
    <w:p w14:paraId="1654FB9C">
      <w:pPr>
        <w:pStyle w:val="6"/>
        <w:spacing w:before="152" w:line="220" w:lineRule="auto"/>
        <w:ind w:left="495"/>
        <w:rPr>
          <w:sz w:val="24"/>
          <w:szCs w:val="24"/>
          <w:highlight w:val="none"/>
        </w:rPr>
      </w:pPr>
      <w:r>
        <w:rPr>
          <w:spacing w:val="-1"/>
          <w:sz w:val="24"/>
          <w:szCs w:val="24"/>
          <w:highlight w:val="none"/>
        </w:rPr>
        <w:t>投标地点：请登录政采云投标客户端投标</w:t>
      </w:r>
    </w:p>
    <w:p w14:paraId="3C050E15">
      <w:pPr>
        <w:pStyle w:val="6"/>
        <w:spacing w:before="154" w:line="222" w:lineRule="auto"/>
        <w:ind w:left="496"/>
        <w:rPr>
          <w:sz w:val="24"/>
          <w:szCs w:val="24"/>
          <w:highlight w:val="none"/>
        </w:rPr>
      </w:pPr>
      <w:r>
        <w:rPr>
          <w:spacing w:val="-4"/>
          <w:sz w:val="24"/>
          <w:szCs w:val="24"/>
          <w:highlight w:val="none"/>
        </w:rPr>
        <w:t>开标时间：</w:t>
      </w:r>
      <w:r>
        <w:rPr>
          <w:b/>
          <w:bCs/>
          <w:spacing w:val="-4"/>
          <w:sz w:val="24"/>
          <w:szCs w:val="24"/>
          <w:highlight w:val="none"/>
        </w:rPr>
        <w:t>2026年0</w:t>
      </w:r>
      <w:r>
        <w:rPr>
          <w:rFonts w:hint="eastAsia"/>
          <w:b/>
          <w:bCs/>
          <w:spacing w:val="-4"/>
          <w:sz w:val="24"/>
          <w:szCs w:val="24"/>
          <w:highlight w:val="none"/>
          <w:lang w:val="en-US" w:eastAsia="zh-CN"/>
        </w:rPr>
        <w:t>6</w:t>
      </w:r>
      <w:r>
        <w:rPr>
          <w:b/>
          <w:bCs/>
          <w:spacing w:val="-4"/>
          <w:sz w:val="24"/>
          <w:szCs w:val="24"/>
          <w:highlight w:val="none"/>
        </w:rPr>
        <w:t>月</w:t>
      </w:r>
      <w:r>
        <w:rPr>
          <w:rFonts w:hint="eastAsia"/>
          <w:b/>
          <w:bCs/>
          <w:spacing w:val="-4"/>
          <w:sz w:val="24"/>
          <w:szCs w:val="24"/>
          <w:highlight w:val="none"/>
          <w:lang w:val="en-US" w:eastAsia="zh-CN"/>
        </w:rPr>
        <w:t>01</w:t>
      </w:r>
      <w:r>
        <w:rPr>
          <w:b/>
          <w:bCs/>
          <w:spacing w:val="-4"/>
          <w:sz w:val="24"/>
          <w:szCs w:val="24"/>
          <w:highlight w:val="none"/>
        </w:rPr>
        <w:t>日</w:t>
      </w:r>
      <w:r>
        <w:rPr>
          <w:spacing w:val="-4"/>
          <w:sz w:val="24"/>
          <w:szCs w:val="24"/>
          <w:highlight w:val="none"/>
        </w:rPr>
        <w:t xml:space="preserve"> </w:t>
      </w:r>
      <w:r>
        <w:rPr>
          <w:b/>
          <w:bCs/>
          <w:spacing w:val="-4"/>
          <w:sz w:val="24"/>
          <w:szCs w:val="24"/>
          <w:highlight w:val="none"/>
        </w:rPr>
        <w:t>11:00</w:t>
      </w:r>
      <w:r>
        <w:rPr>
          <w:b/>
          <w:bCs/>
          <w:spacing w:val="-5"/>
          <w:sz w:val="24"/>
          <w:szCs w:val="24"/>
          <w:highlight w:val="none"/>
        </w:rPr>
        <w:t>（北京时间）</w:t>
      </w:r>
    </w:p>
    <w:p w14:paraId="5884D8C7">
      <w:pPr>
        <w:pStyle w:val="6"/>
        <w:spacing w:before="149" w:line="339" w:lineRule="auto"/>
        <w:ind w:left="17" w:right="115" w:firstLine="479"/>
        <w:rPr>
          <w:sz w:val="24"/>
          <w:szCs w:val="24"/>
          <w:highlight w:val="none"/>
        </w:rPr>
      </w:pPr>
      <w:r>
        <w:rPr>
          <w:sz w:val="24"/>
          <w:szCs w:val="24"/>
          <w:highlight w:val="none"/>
        </w:rPr>
        <w:t>开标地点：投标人登录政采云平台</w:t>
      </w:r>
      <w:r>
        <w:rPr>
          <w:highlight w:val="none"/>
        </w:rPr>
        <w:fldChar w:fldCharType="begin"/>
      </w:r>
      <w:r>
        <w:rPr>
          <w:highlight w:val="none"/>
        </w:rPr>
        <w:instrText xml:space="preserve"> HYPERLINK "https://www.zcygov.cn/" </w:instrText>
      </w:r>
      <w:r>
        <w:rPr>
          <w:highlight w:val="none"/>
        </w:rPr>
        <w:fldChar w:fldCharType="separate"/>
      </w:r>
      <w:r>
        <w:rPr>
          <w:sz w:val="24"/>
          <w:szCs w:val="24"/>
          <w:highlight w:val="none"/>
        </w:rPr>
        <w:t>https://www.zcyg</w:t>
      </w:r>
      <w:r>
        <w:rPr>
          <w:spacing w:val="-1"/>
          <w:sz w:val="24"/>
          <w:szCs w:val="24"/>
          <w:highlight w:val="none"/>
        </w:rPr>
        <w:t>ov.cn/</w:t>
      </w:r>
      <w:r>
        <w:rPr>
          <w:spacing w:val="-1"/>
          <w:sz w:val="24"/>
          <w:szCs w:val="24"/>
          <w:highlight w:val="none"/>
        </w:rPr>
        <w:fldChar w:fldCharType="end"/>
      </w:r>
      <w:r>
        <w:rPr>
          <w:spacing w:val="-1"/>
          <w:sz w:val="24"/>
          <w:szCs w:val="24"/>
          <w:highlight w:val="none"/>
        </w:rPr>
        <w:t>，进入“项目采购-开标</w:t>
      </w:r>
      <w:r>
        <w:rPr>
          <w:spacing w:val="-2"/>
          <w:sz w:val="24"/>
          <w:szCs w:val="24"/>
          <w:highlight w:val="none"/>
        </w:rPr>
        <w:t>评标-右边选择对应项目点击“进入项目</w:t>
      </w:r>
      <w:r>
        <w:rPr>
          <w:spacing w:val="-86"/>
          <w:sz w:val="24"/>
          <w:szCs w:val="24"/>
          <w:highlight w:val="none"/>
        </w:rPr>
        <w:t xml:space="preserve"> </w:t>
      </w:r>
      <w:r>
        <w:rPr>
          <w:spacing w:val="-2"/>
          <w:sz w:val="24"/>
          <w:szCs w:val="24"/>
          <w:highlight w:val="none"/>
        </w:rPr>
        <w:t>”进入开标大厅。</w:t>
      </w:r>
    </w:p>
    <w:p w14:paraId="61267025">
      <w:pPr>
        <w:pStyle w:val="6"/>
        <w:spacing w:before="1" w:line="222" w:lineRule="auto"/>
        <w:ind w:left="20"/>
        <w:rPr>
          <w:sz w:val="24"/>
          <w:szCs w:val="24"/>
          <w:highlight w:val="none"/>
        </w:rPr>
      </w:pPr>
      <w:r>
        <w:rPr>
          <w:b/>
          <w:bCs/>
          <w:spacing w:val="-6"/>
          <w:sz w:val="24"/>
          <w:szCs w:val="24"/>
          <w:highlight w:val="none"/>
        </w:rPr>
        <w:t>五、公告期限</w:t>
      </w:r>
    </w:p>
    <w:p w14:paraId="034EC02B">
      <w:pPr>
        <w:pStyle w:val="6"/>
        <w:spacing w:before="150" w:line="220" w:lineRule="auto"/>
        <w:ind w:left="541"/>
        <w:rPr>
          <w:sz w:val="24"/>
          <w:szCs w:val="24"/>
          <w:highlight w:val="none"/>
        </w:rPr>
      </w:pPr>
      <w:r>
        <w:rPr>
          <w:spacing w:val="-5"/>
          <w:sz w:val="24"/>
          <w:szCs w:val="24"/>
          <w:highlight w:val="none"/>
        </w:rPr>
        <w:t>自本公告发布之日起5个工作日。</w:t>
      </w:r>
    </w:p>
    <w:p w14:paraId="769468F1">
      <w:pPr>
        <w:pStyle w:val="6"/>
        <w:spacing w:before="155" w:line="222" w:lineRule="auto"/>
        <w:ind w:left="18"/>
        <w:rPr>
          <w:sz w:val="24"/>
          <w:szCs w:val="24"/>
          <w:highlight w:val="none"/>
        </w:rPr>
      </w:pPr>
      <w:r>
        <w:rPr>
          <w:b/>
          <w:bCs/>
          <w:spacing w:val="-4"/>
          <w:sz w:val="24"/>
          <w:szCs w:val="24"/>
          <w:highlight w:val="none"/>
        </w:rPr>
        <w:t>六、其他补充事宜</w:t>
      </w:r>
    </w:p>
    <w:p w14:paraId="5C1EDD97">
      <w:pPr>
        <w:pStyle w:val="6"/>
        <w:spacing w:before="151" w:line="221" w:lineRule="auto"/>
        <w:ind w:left="504"/>
        <w:rPr>
          <w:sz w:val="24"/>
          <w:szCs w:val="24"/>
          <w:highlight w:val="none"/>
        </w:rPr>
      </w:pPr>
      <w:r>
        <w:rPr>
          <w:spacing w:val="-2"/>
          <w:sz w:val="24"/>
          <w:szCs w:val="24"/>
          <w:highlight w:val="none"/>
        </w:rPr>
        <w:t>1、本项目实行网上投标，采用电子投标文件。</w:t>
      </w:r>
    </w:p>
    <w:p w14:paraId="025A5659">
      <w:pPr>
        <w:pStyle w:val="6"/>
        <w:spacing w:before="151" w:line="339" w:lineRule="auto"/>
        <w:ind w:left="495" w:right="2" w:hanging="6"/>
        <w:rPr>
          <w:sz w:val="24"/>
          <w:szCs w:val="24"/>
          <w:highlight w:val="none"/>
        </w:rPr>
      </w:pPr>
      <w:r>
        <w:rPr>
          <w:spacing w:val="6"/>
          <w:sz w:val="24"/>
          <w:szCs w:val="24"/>
          <w:highlight w:val="none"/>
        </w:rPr>
        <w:t>2、各供应商应在开标前确保成为正式注册入库供应商，并完成</w:t>
      </w:r>
      <w:r>
        <w:rPr>
          <w:sz w:val="24"/>
          <w:szCs w:val="24"/>
          <w:highlight w:val="none"/>
        </w:rPr>
        <w:t>CA</w:t>
      </w:r>
      <w:r>
        <w:rPr>
          <w:spacing w:val="6"/>
          <w:sz w:val="24"/>
          <w:szCs w:val="24"/>
          <w:highlight w:val="none"/>
        </w:rPr>
        <w:t>数字证书(符合国</w:t>
      </w:r>
      <w:r>
        <w:rPr>
          <w:spacing w:val="3"/>
          <w:sz w:val="24"/>
          <w:szCs w:val="24"/>
          <w:highlight w:val="none"/>
        </w:rPr>
        <w:t>密标准)申领。因未注册入库、未办理</w:t>
      </w:r>
      <w:r>
        <w:rPr>
          <w:sz w:val="24"/>
          <w:szCs w:val="24"/>
          <w:highlight w:val="none"/>
        </w:rPr>
        <w:t>CA</w:t>
      </w:r>
      <w:r>
        <w:rPr>
          <w:spacing w:val="3"/>
          <w:sz w:val="24"/>
          <w:szCs w:val="24"/>
          <w:highlight w:val="none"/>
        </w:rPr>
        <w:t>数字证书等原因</w:t>
      </w:r>
      <w:r>
        <w:rPr>
          <w:spacing w:val="2"/>
          <w:sz w:val="24"/>
          <w:szCs w:val="24"/>
          <w:highlight w:val="none"/>
        </w:rPr>
        <w:t>造成无法投标或投标失败等</w:t>
      </w:r>
      <w:r>
        <w:rPr>
          <w:spacing w:val="6"/>
          <w:sz w:val="24"/>
          <w:szCs w:val="24"/>
          <w:highlight w:val="none"/>
        </w:rPr>
        <w:t>后果由供应商自行承担。如需咨询，请联系新疆</w:t>
      </w:r>
      <w:r>
        <w:rPr>
          <w:sz w:val="24"/>
          <w:szCs w:val="24"/>
          <w:highlight w:val="none"/>
        </w:rPr>
        <w:t>CA</w:t>
      </w:r>
      <w:r>
        <w:rPr>
          <w:spacing w:val="5"/>
          <w:sz w:val="24"/>
          <w:szCs w:val="24"/>
          <w:highlight w:val="none"/>
        </w:rPr>
        <w:t>服务热线4000921999；翔晟</w:t>
      </w:r>
      <w:r>
        <w:rPr>
          <w:sz w:val="24"/>
          <w:szCs w:val="24"/>
          <w:highlight w:val="none"/>
        </w:rPr>
        <w:t>CA</w:t>
      </w:r>
      <w:r>
        <w:rPr>
          <w:spacing w:val="5"/>
          <w:sz w:val="24"/>
          <w:szCs w:val="24"/>
          <w:highlight w:val="none"/>
        </w:rPr>
        <w:t>服</w:t>
      </w:r>
      <w:r>
        <w:rPr>
          <w:spacing w:val="-2"/>
          <w:sz w:val="24"/>
          <w:szCs w:val="24"/>
          <w:highlight w:val="none"/>
        </w:rPr>
        <w:t>务热线025-66085508。</w:t>
      </w:r>
    </w:p>
    <w:p w14:paraId="204C67E2">
      <w:pPr>
        <w:pStyle w:val="6"/>
        <w:spacing w:before="3" w:line="329" w:lineRule="auto"/>
        <w:ind w:left="493" w:hanging="2"/>
        <w:rPr>
          <w:sz w:val="24"/>
          <w:szCs w:val="24"/>
          <w:highlight w:val="none"/>
        </w:rPr>
      </w:pPr>
      <w:r>
        <w:rPr>
          <w:spacing w:val="3"/>
          <w:sz w:val="24"/>
          <w:szCs w:val="24"/>
          <w:highlight w:val="none"/>
        </w:rPr>
        <w:t>3、供应商将政采云电子交易客户端下载、安装完成后，可通过账号密</w:t>
      </w:r>
      <w:r>
        <w:rPr>
          <w:spacing w:val="2"/>
          <w:sz w:val="24"/>
          <w:szCs w:val="24"/>
          <w:highlight w:val="none"/>
        </w:rPr>
        <w:t>码或</w:t>
      </w:r>
      <w:r>
        <w:rPr>
          <w:sz w:val="24"/>
          <w:szCs w:val="24"/>
          <w:highlight w:val="none"/>
        </w:rPr>
        <w:t>CA</w:t>
      </w:r>
      <w:r>
        <w:rPr>
          <w:spacing w:val="2"/>
          <w:sz w:val="24"/>
          <w:szCs w:val="24"/>
          <w:highlight w:val="none"/>
        </w:rPr>
        <w:t>登录客</w:t>
      </w:r>
      <w:r>
        <w:rPr>
          <w:spacing w:val="6"/>
          <w:sz w:val="24"/>
          <w:szCs w:val="24"/>
          <w:highlight w:val="none"/>
        </w:rPr>
        <w:t>户端进行投标文件的制作。在使用政采云投标客户端时，建议使用</w:t>
      </w:r>
      <w:r>
        <w:rPr>
          <w:sz w:val="24"/>
          <w:szCs w:val="24"/>
          <w:highlight w:val="none"/>
        </w:rPr>
        <w:t>WIN</w:t>
      </w:r>
      <w:r>
        <w:rPr>
          <w:spacing w:val="6"/>
          <w:sz w:val="24"/>
          <w:szCs w:val="24"/>
          <w:highlight w:val="none"/>
        </w:rPr>
        <w:t>7及以上操作</w:t>
      </w:r>
      <w:r>
        <w:rPr>
          <w:spacing w:val="-6"/>
          <w:sz w:val="24"/>
          <w:szCs w:val="24"/>
          <w:highlight w:val="none"/>
        </w:rPr>
        <w:t>系统。</w:t>
      </w:r>
    </w:p>
    <w:p w14:paraId="659EF24E">
      <w:pPr>
        <w:pStyle w:val="6"/>
        <w:spacing w:line="223" w:lineRule="auto"/>
        <w:ind w:left="15"/>
        <w:rPr>
          <w:sz w:val="24"/>
          <w:szCs w:val="24"/>
          <w:highlight w:val="none"/>
        </w:rPr>
      </w:pPr>
      <w:r>
        <w:rPr>
          <w:b/>
          <w:bCs/>
          <w:spacing w:val="-6"/>
          <w:sz w:val="24"/>
          <w:szCs w:val="24"/>
          <w:highlight w:val="none"/>
        </w:rPr>
        <w:t>特别提示：</w:t>
      </w:r>
    </w:p>
    <w:p w14:paraId="3B413B3B">
      <w:pPr>
        <w:pStyle w:val="6"/>
        <w:spacing w:before="112" w:line="307" w:lineRule="auto"/>
        <w:ind w:left="16" w:right="115" w:firstLine="490"/>
        <w:rPr>
          <w:sz w:val="24"/>
          <w:szCs w:val="24"/>
          <w:highlight w:val="none"/>
        </w:rPr>
      </w:pPr>
      <w:r>
        <w:rPr>
          <w:spacing w:val="-1"/>
          <w:sz w:val="24"/>
          <w:szCs w:val="24"/>
          <w:highlight w:val="none"/>
        </w:rPr>
        <w:t>1、采购限额标准以上，200万元以下的货物和服务采购项目、400万元以下的工程采购项目，适宜由中小企业提供的，采购人应当专门面向中小企业采购。</w:t>
      </w:r>
    </w:p>
    <w:p w14:paraId="42AC541A">
      <w:pPr>
        <w:pStyle w:val="6"/>
        <w:spacing w:before="1" w:line="308" w:lineRule="auto"/>
        <w:ind w:left="39" w:right="115" w:firstLine="451"/>
        <w:rPr>
          <w:sz w:val="24"/>
          <w:szCs w:val="24"/>
          <w:highlight w:val="none"/>
        </w:rPr>
      </w:pPr>
      <w:r>
        <w:rPr>
          <w:sz w:val="24"/>
          <w:szCs w:val="24"/>
          <w:highlight w:val="none"/>
        </w:rPr>
        <w:t>2、超过200万元的货物和服务采购项目，预留该部分采购</w:t>
      </w:r>
      <w:r>
        <w:rPr>
          <w:spacing w:val="-1"/>
          <w:sz w:val="24"/>
          <w:szCs w:val="24"/>
          <w:highlight w:val="none"/>
        </w:rPr>
        <w:t>项目预算总额的30%以上专</w:t>
      </w:r>
      <w:r>
        <w:rPr>
          <w:spacing w:val="-2"/>
          <w:sz w:val="24"/>
          <w:szCs w:val="24"/>
          <w:highlight w:val="none"/>
        </w:rPr>
        <w:t>门面向中小企业采购，其中预留给小微企业的比例不低于60%。</w:t>
      </w:r>
    </w:p>
    <w:p w14:paraId="718CC2CC">
      <w:pPr>
        <w:pStyle w:val="6"/>
        <w:spacing w:line="307" w:lineRule="auto"/>
        <w:ind w:left="16" w:right="235" w:firstLine="477"/>
        <w:rPr>
          <w:sz w:val="24"/>
          <w:szCs w:val="24"/>
          <w:highlight w:val="none"/>
        </w:rPr>
      </w:pPr>
      <w:r>
        <w:rPr>
          <w:sz w:val="24"/>
          <w:szCs w:val="24"/>
          <w:highlight w:val="none"/>
        </w:rPr>
        <w:t>3、超过400万元的工程采购项目中适宜由中小企</w:t>
      </w:r>
      <w:r>
        <w:rPr>
          <w:spacing w:val="-1"/>
          <w:sz w:val="24"/>
          <w:szCs w:val="24"/>
          <w:highlight w:val="none"/>
        </w:rPr>
        <w:t>业提供的，预留该部分采购项目预</w:t>
      </w:r>
      <w:r>
        <w:rPr>
          <w:sz w:val="24"/>
          <w:szCs w:val="24"/>
          <w:highlight w:val="none"/>
        </w:rPr>
        <w:t>算总额的40%以上专门面向中小企业采购，其中</w:t>
      </w:r>
      <w:r>
        <w:rPr>
          <w:spacing w:val="-1"/>
          <w:sz w:val="24"/>
          <w:szCs w:val="24"/>
          <w:highlight w:val="none"/>
        </w:rPr>
        <w:t>预留给小微企业的比例不低于60%。</w:t>
      </w:r>
    </w:p>
    <w:p w14:paraId="190B89D7">
      <w:pPr>
        <w:pStyle w:val="6"/>
        <w:spacing w:before="6" w:line="307" w:lineRule="auto"/>
        <w:ind w:left="15" w:right="115" w:firstLine="472"/>
        <w:rPr>
          <w:sz w:val="24"/>
          <w:szCs w:val="24"/>
          <w:highlight w:val="none"/>
        </w:rPr>
      </w:pPr>
      <w:r>
        <w:rPr>
          <w:sz w:val="24"/>
          <w:szCs w:val="24"/>
          <w:highlight w:val="none"/>
        </w:rPr>
        <w:t>4、对于未预留份额专门面向中小企业的采购项目，以及预留份</w:t>
      </w:r>
      <w:r>
        <w:rPr>
          <w:spacing w:val="-1"/>
          <w:sz w:val="24"/>
          <w:szCs w:val="24"/>
          <w:highlight w:val="none"/>
        </w:rPr>
        <w:t>额项目中的非预留部</w:t>
      </w:r>
      <w:r>
        <w:rPr>
          <w:sz w:val="24"/>
          <w:szCs w:val="24"/>
          <w:highlight w:val="none"/>
        </w:rPr>
        <w:t>分采购包，采购人、采购代理机构应当对符合规定的小</w:t>
      </w:r>
      <w:r>
        <w:rPr>
          <w:spacing w:val="-1"/>
          <w:sz w:val="24"/>
          <w:szCs w:val="24"/>
          <w:highlight w:val="none"/>
        </w:rPr>
        <w:t>微企业报价给予10%～20%（工程</w:t>
      </w:r>
      <w:r>
        <w:rPr>
          <w:sz w:val="24"/>
          <w:szCs w:val="24"/>
          <w:highlight w:val="none"/>
        </w:rPr>
        <w:t>项目为3%～5%）的扣除，用扣除后的价格参加评</w:t>
      </w:r>
      <w:r>
        <w:rPr>
          <w:spacing w:val="-1"/>
          <w:sz w:val="24"/>
          <w:szCs w:val="24"/>
          <w:highlight w:val="none"/>
        </w:rPr>
        <w:t>审。适用招标投标法的政府采购工程建</w:t>
      </w:r>
      <w:r>
        <w:rPr>
          <w:sz w:val="24"/>
          <w:szCs w:val="24"/>
          <w:highlight w:val="none"/>
        </w:rPr>
        <w:t>设项目，采用综合评估法但未采用低价优先法计</w:t>
      </w:r>
      <w:r>
        <w:rPr>
          <w:spacing w:val="-1"/>
          <w:sz w:val="24"/>
          <w:szCs w:val="24"/>
          <w:highlight w:val="none"/>
        </w:rPr>
        <w:t>算价格分的，评标时应当在采用原报价进行评分的基础上增加其价格得分的3%～5%作为其价格分。</w:t>
      </w:r>
    </w:p>
    <w:p w14:paraId="460D900D">
      <w:pPr>
        <w:pStyle w:val="6"/>
        <w:spacing w:before="123" w:line="308" w:lineRule="auto"/>
        <w:ind w:left="17" w:right="114" w:firstLine="476"/>
        <w:jc w:val="both"/>
        <w:rPr>
          <w:sz w:val="24"/>
          <w:szCs w:val="24"/>
          <w:highlight w:val="none"/>
        </w:rPr>
      </w:pPr>
      <w:r>
        <w:rPr>
          <w:sz w:val="24"/>
          <w:szCs w:val="24"/>
          <w:highlight w:val="none"/>
        </w:rPr>
        <w:t>5、接受大中型企业与小微企业组成联合体或者允</w:t>
      </w:r>
      <w:r>
        <w:rPr>
          <w:spacing w:val="-1"/>
          <w:sz w:val="24"/>
          <w:szCs w:val="24"/>
          <w:highlight w:val="none"/>
        </w:rPr>
        <w:t>许大中型企业向一家或者多家小微</w:t>
      </w:r>
      <w:r>
        <w:rPr>
          <w:sz w:val="24"/>
          <w:szCs w:val="24"/>
          <w:highlight w:val="none"/>
        </w:rPr>
        <w:t>企业分包的采购项目，对于联合协议或者分包</w:t>
      </w:r>
      <w:r>
        <w:rPr>
          <w:spacing w:val="-1"/>
          <w:sz w:val="24"/>
          <w:szCs w:val="24"/>
          <w:highlight w:val="none"/>
        </w:rPr>
        <w:t>意向协议约定小微企业的合同份额占到合</w:t>
      </w:r>
      <w:r>
        <w:rPr>
          <w:sz w:val="24"/>
          <w:szCs w:val="24"/>
          <w:highlight w:val="none"/>
        </w:rPr>
        <w:t>同总金额30%以上的，采购人、采购代理机构应当</w:t>
      </w:r>
      <w:r>
        <w:rPr>
          <w:spacing w:val="-1"/>
          <w:sz w:val="24"/>
          <w:szCs w:val="24"/>
          <w:highlight w:val="none"/>
        </w:rPr>
        <w:t>对联合体或者大中型企业的报价给予4%</w:t>
      </w:r>
      <w:r>
        <w:rPr>
          <w:sz w:val="24"/>
          <w:szCs w:val="24"/>
          <w:highlight w:val="none"/>
        </w:rPr>
        <w:t xml:space="preserve"> </w:t>
      </w:r>
      <w:r>
        <w:rPr>
          <w:spacing w:val="3"/>
          <w:sz w:val="24"/>
          <w:szCs w:val="24"/>
          <w:highlight w:val="none"/>
        </w:rPr>
        <w:t>~6%（工程项目为1%～2%）的扣除，用</w:t>
      </w:r>
      <w:r>
        <w:rPr>
          <w:spacing w:val="2"/>
          <w:sz w:val="24"/>
          <w:szCs w:val="24"/>
          <w:highlight w:val="none"/>
        </w:rPr>
        <w:t>扣除后的价格参加评审。适用招标投标法的政府</w:t>
      </w:r>
      <w:r>
        <w:rPr>
          <w:sz w:val="24"/>
          <w:szCs w:val="24"/>
          <w:highlight w:val="none"/>
        </w:rPr>
        <w:t>采购工程建设项目，采用综合评估法但未采用</w:t>
      </w:r>
      <w:r>
        <w:rPr>
          <w:spacing w:val="-1"/>
          <w:sz w:val="24"/>
          <w:szCs w:val="24"/>
          <w:highlight w:val="none"/>
        </w:rPr>
        <w:t>低价优先法计算价格分的，评标时应当在采用原报价进行评分的基础上增加其价格得分的1%～2%作为其价格分。</w:t>
      </w:r>
    </w:p>
    <w:p w14:paraId="280EF6F4">
      <w:pPr>
        <w:pStyle w:val="6"/>
        <w:spacing w:before="15" w:line="220" w:lineRule="auto"/>
        <w:ind w:left="21"/>
        <w:rPr>
          <w:sz w:val="24"/>
          <w:szCs w:val="24"/>
          <w:highlight w:val="none"/>
        </w:rPr>
      </w:pPr>
      <w:bookmarkStart w:id="2" w:name="bookmark2"/>
      <w:bookmarkEnd w:id="2"/>
      <w:r>
        <w:rPr>
          <w:b/>
          <w:bCs/>
          <w:spacing w:val="-3"/>
          <w:sz w:val="24"/>
          <w:szCs w:val="24"/>
          <w:highlight w:val="none"/>
        </w:rPr>
        <w:t>七、对本次采购提出询问，请按以下方式联系</w:t>
      </w:r>
    </w:p>
    <w:p w14:paraId="685E2AB1">
      <w:pPr>
        <w:pStyle w:val="6"/>
        <w:spacing w:before="133" w:line="222" w:lineRule="auto"/>
        <w:ind w:left="506"/>
        <w:rPr>
          <w:sz w:val="24"/>
          <w:szCs w:val="24"/>
          <w:highlight w:val="none"/>
        </w:rPr>
      </w:pPr>
      <w:r>
        <w:rPr>
          <w:spacing w:val="-4"/>
          <w:sz w:val="24"/>
          <w:szCs w:val="24"/>
          <w:highlight w:val="none"/>
        </w:rPr>
        <w:t>1.采购人信息</w:t>
      </w:r>
    </w:p>
    <w:p w14:paraId="5DF7A238">
      <w:pPr>
        <w:pStyle w:val="6"/>
        <w:spacing w:before="131" w:line="221" w:lineRule="auto"/>
        <w:ind w:left="497"/>
        <w:rPr>
          <w:sz w:val="24"/>
          <w:szCs w:val="24"/>
          <w:highlight w:val="none"/>
        </w:rPr>
      </w:pPr>
      <w:r>
        <w:rPr>
          <w:spacing w:val="-1"/>
          <w:sz w:val="24"/>
          <w:szCs w:val="24"/>
          <w:highlight w:val="none"/>
        </w:rPr>
        <w:t>名 称：</w:t>
      </w:r>
      <w:r>
        <w:rPr>
          <w:rFonts w:hint="eastAsia"/>
          <w:spacing w:val="-1"/>
          <w:sz w:val="24"/>
          <w:szCs w:val="24"/>
          <w:highlight w:val="none"/>
        </w:rPr>
        <w:t>怀柔实验室新疆研究院</w:t>
      </w:r>
    </w:p>
    <w:p w14:paraId="0D2D535C">
      <w:pPr>
        <w:pStyle w:val="6"/>
        <w:spacing w:before="132" w:line="223" w:lineRule="auto"/>
        <w:ind w:left="493"/>
        <w:rPr>
          <w:rFonts w:hint="default" w:eastAsia="仿宋"/>
          <w:spacing w:val="-1"/>
          <w:sz w:val="24"/>
          <w:szCs w:val="24"/>
          <w:highlight w:val="none"/>
          <w:lang w:val="en-US" w:eastAsia="zh-CN"/>
        </w:rPr>
      </w:pPr>
      <w:r>
        <w:rPr>
          <w:rFonts w:hint="eastAsia"/>
          <w:spacing w:val="-1"/>
          <w:sz w:val="24"/>
          <w:szCs w:val="24"/>
          <w:highlight w:val="none"/>
          <w:lang w:val="en-US" w:eastAsia="zh-CN"/>
        </w:rPr>
        <w:t>联系人：钟凯</w:t>
      </w:r>
    </w:p>
    <w:p w14:paraId="57AA2339">
      <w:pPr>
        <w:pStyle w:val="6"/>
        <w:spacing w:before="130" w:line="222" w:lineRule="auto"/>
        <w:ind w:left="491"/>
        <w:rPr>
          <w:rFonts w:hint="eastAsia"/>
          <w:spacing w:val="-1"/>
          <w:sz w:val="24"/>
          <w:szCs w:val="24"/>
          <w:highlight w:val="none"/>
        </w:rPr>
      </w:pPr>
      <w:r>
        <w:rPr>
          <w:spacing w:val="-1"/>
          <w:sz w:val="24"/>
          <w:szCs w:val="24"/>
          <w:highlight w:val="none"/>
        </w:rPr>
        <w:t>联系方式：</w:t>
      </w:r>
      <w:r>
        <w:rPr>
          <w:rFonts w:hint="eastAsia"/>
          <w:spacing w:val="-1"/>
          <w:sz w:val="24"/>
          <w:szCs w:val="24"/>
          <w:highlight w:val="none"/>
        </w:rPr>
        <w:t>15902896562</w:t>
      </w:r>
    </w:p>
    <w:p w14:paraId="09C2D7A2">
      <w:pPr>
        <w:pStyle w:val="6"/>
        <w:spacing w:before="130" w:line="222" w:lineRule="auto"/>
        <w:ind w:left="491"/>
        <w:rPr>
          <w:sz w:val="24"/>
          <w:szCs w:val="24"/>
          <w:highlight w:val="none"/>
        </w:rPr>
      </w:pPr>
      <w:r>
        <w:rPr>
          <w:spacing w:val="-2"/>
          <w:sz w:val="24"/>
          <w:szCs w:val="24"/>
          <w:highlight w:val="none"/>
        </w:rPr>
        <w:t>2.采购代理机构信息</w:t>
      </w:r>
    </w:p>
    <w:p w14:paraId="21B4DD40">
      <w:pPr>
        <w:pStyle w:val="6"/>
        <w:spacing w:before="133" w:line="223" w:lineRule="auto"/>
        <w:ind w:left="522"/>
        <w:rPr>
          <w:rFonts w:hint="eastAsia"/>
          <w:sz w:val="24"/>
          <w:szCs w:val="24"/>
          <w:highlight w:val="none"/>
        </w:rPr>
      </w:pPr>
      <w:r>
        <w:rPr>
          <w:rFonts w:hint="eastAsia"/>
          <w:sz w:val="24"/>
          <w:szCs w:val="24"/>
          <w:highlight w:val="none"/>
        </w:rPr>
        <w:t>名 称：鼎正众创建设集团有限公司</w:t>
      </w:r>
    </w:p>
    <w:p w14:paraId="433E8E7C">
      <w:pPr>
        <w:pStyle w:val="6"/>
        <w:spacing w:before="133" w:line="223" w:lineRule="auto"/>
        <w:ind w:left="522"/>
        <w:rPr>
          <w:rFonts w:hint="eastAsia"/>
          <w:sz w:val="24"/>
          <w:szCs w:val="24"/>
          <w:highlight w:val="none"/>
        </w:rPr>
      </w:pPr>
      <w:r>
        <w:rPr>
          <w:rFonts w:hint="eastAsia"/>
          <w:sz w:val="24"/>
          <w:szCs w:val="24"/>
          <w:highlight w:val="none"/>
        </w:rPr>
        <w:t>地 址：乌鲁木齐市天山区东泉路1568号世界冠郡一期9号底商住宅楼商业107室</w:t>
      </w:r>
    </w:p>
    <w:p w14:paraId="625A5AA5">
      <w:pPr>
        <w:pStyle w:val="6"/>
        <w:spacing w:before="133" w:line="223" w:lineRule="auto"/>
        <w:ind w:left="522"/>
        <w:rPr>
          <w:rFonts w:hint="default" w:eastAsia="仿宋"/>
          <w:sz w:val="24"/>
          <w:szCs w:val="24"/>
          <w:highlight w:val="none"/>
          <w:lang w:val="en-US" w:eastAsia="zh-CN"/>
        </w:rPr>
      </w:pPr>
      <w:r>
        <w:rPr>
          <w:rFonts w:hint="eastAsia"/>
          <w:sz w:val="24"/>
          <w:szCs w:val="24"/>
          <w:highlight w:val="none"/>
        </w:rPr>
        <w:t>项目联系人：</w:t>
      </w:r>
      <w:r>
        <w:rPr>
          <w:rFonts w:hint="eastAsia"/>
          <w:sz w:val="24"/>
          <w:szCs w:val="24"/>
          <w:highlight w:val="none"/>
          <w:lang w:val="en-US" w:eastAsia="zh-CN"/>
        </w:rPr>
        <w:t>杨欢欢</w:t>
      </w:r>
    </w:p>
    <w:p w14:paraId="4057C1F1">
      <w:pPr>
        <w:pStyle w:val="6"/>
        <w:spacing w:before="133" w:line="223" w:lineRule="auto"/>
        <w:ind w:left="522"/>
        <w:rPr>
          <w:rFonts w:hint="default" w:eastAsia="仿宋"/>
          <w:sz w:val="24"/>
          <w:szCs w:val="24"/>
          <w:highlight w:val="none"/>
          <w:lang w:val="en-US" w:eastAsia="zh-CN"/>
        </w:rPr>
      </w:pPr>
      <w:r>
        <w:rPr>
          <w:rFonts w:hint="eastAsia"/>
          <w:sz w:val="24"/>
          <w:szCs w:val="24"/>
          <w:highlight w:val="none"/>
        </w:rPr>
        <w:t>电 话：</w:t>
      </w:r>
      <w:r>
        <w:rPr>
          <w:rFonts w:hint="eastAsia"/>
          <w:sz w:val="24"/>
          <w:szCs w:val="24"/>
          <w:highlight w:val="none"/>
          <w:lang w:val="en-US" w:eastAsia="zh-CN"/>
        </w:rPr>
        <w:t>18690998997</w:t>
      </w:r>
    </w:p>
    <w:p w14:paraId="0D84E113">
      <w:pPr>
        <w:pStyle w:val="6"/>
        <w:spacing w:before="179" w:line="222" w:lineRule="auto"/>
        <w:ind w:left="3775"/>
        <w:outlineLvl w:val="0"/>
        <w:rPr>
          <w:highlight w:val="none"/>
        </w:rPr>
      </w:pPr>
      <w:bookmarkStart w:id="3" w:name="bookmark3"/>
      <w:bookmarkEnd w:id="3"/>
      <w:r>
        <w:rPr>
          <w:b/>
          <w:bCs/>
          <w:spacing w:val="-3"/>
          <w:highlight w:val="none"/>
        </w:rPr>
        <w:br w:type="page"/>
      </w:r>
      <w:r>
        <w:rPr>
          <w:b/>
          <w:bCs/>
          <w:spacing w:val="-3"/>
          <w:highlight w:val="none"/>
        </w:rPr>
        <w:t>第二章投标人须知</w:t>
      </w:r>
    </w:p>
    <w:p w14:paraId="65FC8F97">
      <w:pPr>
        <w:pStyle w:val="6"/>
        <w:spacing w:before="238" w:line="222" w:lineRule="auto"/>
        <w:ind w:left="3797"/>
        <w:outlineLvl w:val="1"/>
        <w:rPr>
          <w:sz w:val="28"/>
          <w:szCs w:val="28"/>
          <w:highlight w:val="none"/>
        </w:rPr>
      </w:pPr>
      <w:bookmarkStart w:id="4" w:name="bookmark16"/>
      <w:bookmarkEnd w:id="4"/>
      <w:r>
        <w:rPr>
          <w:spacing w:val="3"/>
          <w:sz w:val="28"/>
          <w:szCs w:val="28"/>
          <w:highlight w:val="none"/>
        </w:rPr>
        <w:t>一、投标人须知前附表</w:t>
      </w:r>
    </w:p>
    <w:p w14:paraId="1F010106">
      <w:pPr>
        <w:spacing w:line="220" w:lineRule="exact"/>
        <w:rPr>
          <w:highlight w:val="none"/>
        </w:rPr>
      </w:pPr>
      <w:bookmarkStart w:id="5" w:name="bookmark4"/>
      <w:bookmarkEnd w:id="5"/>
    </w:p>
    <w:tbl>
      <w:tblPr>
        <w:tblStyle w:val="13"/>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700"/>
        <w:gridCol w:w="7086"/>
      </w:tblGrid>
      <w:tr w14:paraId="2E5B0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53" w:type="dxa"/>
            <w:shd w:val="clear" w:color="auto" w:fill="D8D8D8"/>
            <w:vAlign w:val="top"/>
          </w:tcPr>
          <w:p w14:paraId="25E7D281">
            <w:pPr>
              <w:pStyle w:val="14"/>
              <w:spacing w:before="75" w:line="223" w:lineRule="auto"/>
              <w:ind w:right="19"/>
              <w:jc w:val="right"/>
              <w:rPr>
                <w:highlight w:val="none"/>
              </w:rPr>
            </w:pPr>
            <w:r>
              <w:rPr>
                <w:b/>
                <w:bCs/>
                <w:spacing w:val="-11"/>
                <w:highlight w:val="none"/>
              </w:rPr>
              <w:t>条款号</w:t>
            </w:r>
          </w:p>
        </w:tc>
        <w:tc>
          <w:tcPr>
            <w:tcW w:w="1700" w:type="dxa"/>
            <w:shd w:val="clear" w:color="auto" w:fill="D8D8D8"/>
            <w:vAlign w:val="top"/>
          </w:tcPr>
          <w:p w14:paraId="745A093F">
            <w:pPr>
              <w:pStyle w:val="14"/>
              <w:spacing w:before="75" w:line="221" w:lineRule="auto"/>
              <w:ind w:left="393"/>
              <w:rPr>
                <w:highlight w:val="none"/>
              </w:rPr>
            </w:pPr>
            <w:r>
              <w:rPr>
                <w:b/>
                <w:bCs/>
                <w:spacing w:val="-10"/>
                <w:highlight w:val="none"/>
              </w:rPr>
              <w:t>条款名称</w:t>
            </w:r>
          </w:p>
        </w:tc>
        <w:tc>
          <w:tcPr>
            <w:tcW w:w="7086" w:type="dxa"/>
            <w:shd w:val="clear" w:color="auto" w:fill="D8D8D8"/>
            <w:vAlign w:val="top"/>
          </w:tcPr>
          <w:p w14:paraId="002B75FD">
            <w:pPr>
              <w:pStyle w:val="14"/>
              <w:spacing w:before="75" w:line="222" w:lineRule="auto"/>
              <w:ind w:left="3365"/>
              <w:rPr>
                <w:highlight w:val="none"/>
              </w:rPr>
            </w:pPr>
            <w:r>
              <w:rPr>
                <w:b/>
                <w:bCs/>
                <w:spacing w:val="-26"/>
                <w:highlight w:val="none"/>
              </w:rPr>
              <w:t>内容</w:t>
            </w:r>
          </w:p>
        </w:tc>
      </w:tr>
      <w:tr w14:paraId="14CB7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53" w:type="dxa"/>
            <w:vAlign w:val="top"/>
          </w:tcPr>
          <w:p w14:paraId="3B181D14">
            <w:pPr>
              <w:pStyle w:val="14"/>
              <w:spacing w:before="219"/>
              <w:ind w:left="261"/>
              <w:rPr>
                <w:highlight w:val="none"/>
              </w:rPr>
            </w:pPr>
            <w:r>
              <w:rPr>
                <w:spacing w:val="-5"/>
                <w:highlight w:val="none"/>
              </w:rPr>
              <w:t>2.2</w:t>
            </w:r>
          </w:p>
        </w:tc>
        <w:tc>
          <w:tcPr>
            <w:tcW w:w="1700" w:type="dxa"/>
            <w:vAlign w:val="top"/>
          </w:tcPr>
          <w:p w14:paraId="632194CE">
            <w:pPr>
              <w:pStyle w:val="14"/>
              <w:spacing w:before="219" w:line="222" w:lineRule="auto"/>
              <w:ind w:left="509"/>
              <w:rPr>
                <w:highlight w:val="none"/>
              </w:rPr>
            </w:pPr>
            <w:r>
              <w:rPr>
                <w:spacing w:val="-8"/>
                <w:highlight w:val="none"/>
              </w:rPr>
              <w:t>采购人</w:t>
            </w:r>
          </w:p>
        </w:tc>
        <w:tc>
          <w:tcPr>
            <w:tcW w:w="7086" w:type="dxa"/>
            <w:vAlign w:val="top"/>
          </w:tcPr>
          <w:p w14:paraId="3C8D9DE1">
            <w:pPr>
              <w:pStyle w:val="14"/>
              <w:spacing w:before="34" w:line="221" w:lineRule="auto"/>
              <w:ind w:left="122"/>
              <w:rPr>
                <w:highlight w:val="none"/>
              </w:rPr>
            </w:pPr>
            <w:r>
              <w:rPr>
                <w:spacing w:val="-1"/>
                <w:highlight w:val="none"/>
              </w:rPr>
              <w:t>采购人：</w:t>
            </w:r>
            <w:r>
              <w:rPr>
                <w:rFonts w:hint="eastAsia"/>
                <w:spacing w:val="-1"/>
                <w:highlight w:val="none"/>
              </w:rPr>
              <w:t>怀柔实验室新疆研究院</w:t>
            </w:r>
          </w:p>
          <w:p w14:paraId="121760F1">
            <w:pPr>
              <w:pStyle w:val="14"/>
              <w:spacing w:before="84" w:line="221" w:lineRule="auto"/>
              <w:ind w:left="118"/>
              <w:rPr>
                <w:highlight w:val="none"/>
              </w:rPr>
            </w:pPr>
            <w:r>
              <w:rPr>
                <w:highlight w:val="none"/>
              </w:rPr>
              <w:t>联系人：</w:t>
            </w:r>
            <w:r>
              <w:rPr>
                <w:rFonts w:hint="eastAsia"/>
                <w:highlight w:val="none"/>
                <w:lang w:val="en-US" w:eastAsia="zh-CN"/>
              </w:rPr>
              <w:t>钟凯</w:t>
            </w:r>
            <w:r>
              <w:rPr>
                <w:highlight w:val="none"/>
              </w:rPr>
              <w:t xml:space="preserve"> </w:t>
            </w:r>
          </w:p>
          <w:p w14:paraId="41992B99">
            <w:pPr>
              <w:pStyle w:val="14"/>
              <w:spacing w:before="84" w:line="221" w:lineRule="auto"/>
              <w:ind w:left="118"/>
              <w:rPr>
                <w:highlight w:val="none"/>
              </w:rPr>
            </w:pPr>
            <w:r>
              <w:rPr>
                <w:highlight w:val="none"/>
              </w:rPr>
              <w:t>联系电话：</w:t>
            </w:r>
            <w:r>
              <w:rPr>
                <w:rFonts w:hint="eastAsia" w:ascii="仿宋" w:hAnsi="仿宋" w:eastAsia="仿宋" w:cs="仿宋"/>
                <w:spacing w:val="5"/>
                <w:sz w:val="23"/>
                <w:szCs w:val="23"/>
                <w:highlight w:val="none"/>
                <w:lang w:val="en-US" w:eastAsia="zh-CN"/>
              </w:rPr>
              <w:t>15902896562</w:t>
            </w:r>
          </w:p>
        </w:tc>
      </w:tr>
      <w:tr w14:paraId="3F13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3" w:type="dxa"/>
            <w:vAlign w:val="top"/>
          </w:tcPr>
          <w:p w14:paraId="3420DA5C">
            <w:pPr>
              <w:pStyle w:val="14"/>
              <w:spacing w:before="222"/>
              <w:ind w:left="261"/>
              <w:rPr>
                <w:highlight w:val="none"/>
              </w:rPr>
            </w:pPr>
            <w:r>
              <w:rPr>
                <w:spacing w:val="-5"/>
                <w:highlight w:val="none"/>
              </w:rPr>
              <w:t>2.3</w:t>
            </w:r>
          </w:p>
        </w:tc>
        <w:tc>
          <w:tcPr>
            <w:tcW w:w="1700" w:type="dxa"/>
            <w:vAlign w:val="top"/>
          </w:tcPr>
          <w:p w14:paraId="50DCC813">
            <w:pPr>
              <w:pStyle w:val="14"/>
              <w:spacing w:before="222" w:line="222" w:lineRule="auto"/>
              <w:ind w:left="142"/>
              <w:rPr>
                <w:highlight w:val="none"/>
              </w:rPr>
            </w:pPr>
            <w:r>
              <w:rPr>
                <w:spacing w:val="-3"/>
                <w:highlight w:val="none"/>
              </w:rPr>
              <w:t>采购代理机构</w:t>
            </w:r>
          </w:p>
        </w:tc>
        <w:tc>
          <w:tcPr>
            <w:tcW w:w="7086" w:type="dxa"/>
            <w:vAlign w:val="top"/>
          </w:tcPr>
          <w:p w14:paraId="6137EA9A">
            <w:pPr>
              <w:pStyle w:val="14"/>
              <w:spacing w:before="34" w:line="222" w:lineRule="auto"/>
              <w:ind w:left="122"/>
              <w:rPr>
                <w:highlight w:val="none"/>
              </w:rPr>
            </w:pPr>
            <w:r>
              <w:rPr>
                <w:spacing w:val="-1"/>
                <w:highlight w:val="none"/>
              </w:rPr>
              <w:t>采购代理机构：</w:t>
            </w:r>
            <w:r>
              <w:rPr>
                <w:rFonts w:hint="eastAsia"/>
                <w:spacing w:val="-1"/>
                <w:highlight w:val="none"/>
              </w:rPr>
              <w:t>鼎正众创建设集团有限公司</w:t>
            </w:r>
          </w:p>
          <w:p w14:paraId="497D8705">
            <w:pPr>
              <w:pStyle w:val="14"/>
              <w:spacing w:before="85" w:line="221" w:lineRule="auto"/>
              <w:ind w:left="118"/>
              <w:rPr>
                <w:highlight w:val="none"/>
              </w:rPr>
            </w:pPr>
            <w:r>
              <w:rPr>
                <w:highlight w:val="none"/>
              </w:rPr>
              <w:t>联系人：</w:t>
            </w:r>
            <w:r>
              <w:rPr>
                <w:rFonts w:hint="eastAsia"/>
                <w:sz w:val="24"/>
                <w:szCs w:val="24"/>
                <w:highlight w:val="none"/>
                <w:lang w:val="en-US" w:eastAsia="zh-CN"/>
              </w:rPr>
              <w:t>杨欢欢</w:t>
            </w:r>
            <w:r>
              <w:rPr>
                <w:highlight w:val="none"/>
              </w:rPr>
              <w:t xml:space="preserve">     </w:t>
            </w:r>
          </w:p>
          <w:p w14:paraId="14B499A6">
            <w:pPr>
              <w:pStyle w:val="14"/>
              <w:spacing w:before="85" w:line="221" w:lineRule="auto"/>
              <w:ind w:left="118"/>
              <w:rPr>
                <w:highlight w:val="none"/>
              </w:rPr>
            </w:pPr>
            <w:r>
              <w:rPr>
                <w:highlight w:val="none"/>
              </w:rPr>
              <w:t>联系电话：</w:t>
            </w:r>
            <w:r>
              <w:rPr>
                <w:rFonts w:hint="eastAsia"/>
                <w:sz w:val="24"/>
                <w:szCs w:val="24"/>
                <w:highlight w:val="none"/>
                <w:lang w:val="en-US" w:eastAsia="zh-CN"/>
              </w:rPr>
              <w:t>18690998997</w:t>
            </w:r>
          </w:p>
        </w:tc>
      </w:tr>
      <w:tr w14:paraId="3D0F3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3" w:type="dxa"/>
            <w:vAlign w:val="top"/>
          </w:tcPr>
          <w:p w14:paraId="41E24DBD">
            <w:pPr>
              <w:pStyle w:val="14"/>
              <w:spacing w:before="221"/>
              <w:ind w:left="261"/>
              <w:rPr>
                <w:highlight w:val="none"/>
              </w:rPr>
            </w:pPr>
            <w:r>
              <w:rPr>
                <w:spacing w:val="-5"/>
                <w:highlight w:val="none"/>
              </w:rPr>
              <w:t>2.5</w:t>
            </w:r>
          </w:p>
        </w:tc>
        <w:tc>
          <w:tcPr>
            <w:tcW w:w="1700" w:type="dxa"/>
            <w:vAlign w:val="top"/>
          </w:tcPr>
          <w:p w14:paraId="1536DEC9">
            <w:pPr>
              <w:pStyle w:val="14"/>
              <w:spacing w:before="221" w:line="222" w:lineRule="auto"/>
              <w:ind w:left="389"/>
              <w:rPr>
                <w:highlight w:val="none"/>
              </w:rPr>
            </w:pPr>
            <w:r>
              <w:rPr>
                <w:spacing w:val="-6"/>
                <w:highlight w:val="none"/>
              </w:rPr>
              <w:t>核心产品</w:t>
            </w:r>
          </w:p>
        </w:tc>
        <w:tc>
          <w:tcPr>
            <w:tcW w:w="7086" w:type="dxa"/>
            <w:vAlign w:val="top"/>
          </w:tcPr>
          <w:p w14:paraId="26529ACA">
            <w:pPr>
              <w:pStyle w:val="14"/>
              <w:spacing w:before="32" w:line="271" w:lineRule="auto"/>
              <w:ind w:left="120" w:right="85" w:firstLine="2"/>
              <w:rPr>
                <w:highlight w:val="none"/>
              </w:rPr>
            </w:pPr>
            <w:r>
              <w:rPr>
                <w:rFonts w:ascii="MS UI Gothic" w:hAnsi="MS UI Gothic" w:eastAsia="MS UI Gothic" w:cs="MS UI Gothic"/>
                <w:spacing w:val="5"/>
                <w:highlight w:val="none"/>
              </w:rPr>
              <w:t>☑</w:t>
            </w:r>
            <w:r>
              <w:rPr>
                <w:spacing w:val="5"/>
                <w:highlight w:val="none"/>
              </w:rPr>
              <w:t>本项目为非单一产品采购项目，其中核心产品为：</w:t>
            </w:r>
            <w:r>
              <w:rPr>
                <w:spacing w:val="5"/>
                <w:highlight w:val="none"/>
                <w:u w:val="single" w:color="auto"/>
              </w:rPr>
              <w:t>详见招标文</w:t>
            </w:r>
            <w:r>
              <w:rPr>
                <w:spacing w:val="-4"/>
                <w:highlight w:val="none"/>
                <w:u w:val="single" w:color="auto"/>
              </w:rPr>
              <w:t>件第三章采购需求</w:t>
            </w:r>
          </w:p>
        </w:tc>
      </w:tr>
      <w:tr w14:paraId="3BB4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53" w:type="dxa"/>
            <w:vAlign w:val="top"/>
          </w:tcPr>
          <w:p w14:paraId="12BED3BF">
            <w:pPr>
              <w:pStyle w:val="14"/>
              <w:spacing w:before="74"/>
              <w:ind w:left="261"/>
              <w:rPr>
                <w:highlight w:val="none"/>
              </w:rPr>
            </w:pPr>
            <w:r>
              <w:rPr>
                <w:spacing w:val="-5"/>
                <w:highlight w:val="none"/>
              </w:rPr>
              <w:t>2.6</w:t>
            </w:r>
          </w:p>
        </w:tc>
        <w:tc>
          <w:tcPr>
            <w:tcW w:w="1700" w:type="dxa"/>
            <w:vAlign w:val="top"/>
          </w:tcPr>
          <w:p w14:paraId="22E5B17A">
            <w:pPr>
              <w:pStyle w:val="14"/>
              <w:spacing w:before="74" w:line="222" w:lineRule="auto"/>
              <w:ind w:left="148"/>
              <w:rPr>
                <w:highlight w:val="none"/>
              </w:rPr>
            </w:pPr>
            <w:r>
              <w:rPr>
                <w:spacing w:val="-5"/>
                <w:highlight w:val="none"/>
              </w:rPr>
              <w:t>科研仪器设备</w:t>
            </w:r>
          </w:p>
        </w:tc>
        <w:tc>
          <w:tcPr>
            <w:tcW w:w="7086" w:type="dxa"/>
            <w:vAlign w:val="top"/>
          </w:tcPr>
          <w:p w14:paraId="07611DE3">
            <w:pPr>
              <w:pStyle w:val="14"/>
              <w:spacing w:before="74" w:line="222" w:lineRule="auto"/>
              <w:ind w:left="121"/>
              <w:rPr>
                <w:highlight w:val="none"/>
              </w:rPr>
            </w:pPr>
            <w:r>
              <w:rPr>
                <w:spacing w:val="-5"/>
                <w:highlight w:val="none"/>
              </w:rPr>
              <w:t>是否属于科研仪器设备采购项目：否</w:t>
            </w:r>
          </w:p>
        </w:tc>
      </w:tr>
      <w:tr w14:paraId="0DAD8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853" w:type="dxa"/>
            <w:vAlign w:val="top"/>
          </w:tcPr>
          <w:p w14:paraId="1BD181F7">
            <w:pPr>
              <w:spacing w:line="349" w:lineRule="auto"/>
              <w:rPr>
                <w:rFonts w:ascii="Arial"/>
                <w:sz w:val="21"/>
                <w:highlight w:val="none"/>
              </w:rPr>
            </w:pPr>
          </w:p>
          <w:p w14:paraId="75193A72">
            <w:pPr>
              <w:spacing w:line="349" w:lineRule="auto"/>
              <w:rPr>
                <w:rFonts w:ascii="Arial"/>
                <w:sz w:val="21"/>
                <w:highlight w:val="none"/>
              </w:rPr>
            </w:pPr>
          </w:p>
          <w:p w14:paraId="16D0FCA7">
            <w:pPr>
              <w:pStyle w:val="14"/>
              <w:spacing w:before="78" w:line="315" w:lineRule="exact"/>
              <w:ind w:left="373"/>
              <w:rPr>
                <w:highlight w:val="none"/>
              </w:rPr>
            </w:pPr>
            <w:r>
              <w:rPr>
                <w:position w:val="1"/>
                <w:highlight w:val="none"/>
              </w:rPr>
              <w:t>4</w:t>
            </w:r>
          </w:p>
        </w:tc>
        <w:tc>
          <w:tcPr>
            <w:tcW w:w="1700" w:type="dxa"/>
            <w:vAlign w:val="top"/>
          </w:tcPr>
          <w:p w14:paraId="72D820F1">
            <w:pPr>
              <w:spacing w:line="256" w:lineRule="auto"/>
              <w:rPr>
                <w:rFonts w:ascii="Arial"/>
                <w:sz w:val="21"/>
                <w:highlight w:val="none"/>
              </w:rPr>
            </w:pPr>
          </w:p>
          <w:p w14:paraId="312C8416">
            <w:pPr>
              <w:spacing w:line="256" w:lineRule="auto"/>
              <w:rPr>
                <w:rFonts w:ascii="Arial"/>
                <w:sz w:val="21"/>
                <w:highlight w:val="none"/>
              </w:rPr>
            </w:pPr>
          </w:p>
          <w:p w14:paraId="45CA841A">
            <w:pPr>
              <w:pStyle w:val="14"/>
              <w:spacing w:before="78" w:line="289" w:lineRule="auto"/>
              <w:ind w:left="749" w:right="132" w:hanging="602"/>
              <w:rPr>
                <w:highlight w:val="none"/>
              </w:rPr>
            </w:pPr>
            <w:r>
              <w:rPr>
                <w:spacing w:val="-5"/>
                <w:highlight w:val="none"/>
              </w:rPr>
              <w:t>投标人资格要</w:t>
            </w:r>
            <w:r>
              <w:rPr>
                <w:highlight w:val="none"/>
              </w:rPr>
              <w:t>求</w:t>
            </w:r>
          </w:p>
        </w:tc>
        <w:tc>
          <w:tcPr>
            <w:tcW w:w="7086" w:type="dxa"/>
            <w:vAlign w:val="top"/>
          </w:tcPr>
          <w:p w14:paraId="04188EAA">
            <w:pPr>
              <w:pStyle w:val="14"/>
              <w:spacing w:before="34" w:line="222" w:lineRule="auto"/>
              <w:ind w:left="130"/>
              <w:rPr>
                <w:highlight w:val="none"/>
              </w:rPr>
            </w:pPr>
            <w:r>
              <w:rPr>
                <w:spacing w:val="-6"/>
                <w:highlight w:val="none"/>
              </w:rPr>
              <w:t>1.满足《中华人民共和国政府采购法》第二十二条规定；</w:t>
            </w:r>
          </w:p>
          <w:p w14:paraId="14D691CB">
            <w:pPr>
              <w:pStyle w:val="14"/>
              <w:spacing w:before="83" w:line="288" w:lineRule="auto"/>
              <w:ind w:left="121" w:right="105" w:hanging="5"/>
              <w:rPr>
                <w:highlight w:val="none"/>
              </w:rPr>
            </w:pPr>
            <w:r>
              <w:rPr>
                <w:highlight w:val="none"/>
              </w:rPr>
              <w:t>2.落实政府采购政策需满足的资格要求:本项目专门面向中小企业</w:t>
            </w:r>
            <w:r>
              <w:rPr>
                <w:spacing w:val="5"/>
                <w:highlight w:val="none"/>
              </w:rPr>
              <w:t>采购。投标人所投货物制造商须均为中小企业或</w:t>
            </w:r>
            <w:r>
              <w:rPr>
                <w:spacing w:val="4"/>
                <w:highlight w:val="none"/>
              </w:rPr>
              <w:t>残疾人福利性单</w:t>
            </w:r>
            <w:r>
              <w:rPr>
                <w:spacing w:val="-3"/>
                <w:highlight w:val="none"/>
              </w:rPr>
              <w:t>位或监狱企业。</w:t>
            </w:r>
          </w:p>
          <w:p w14:paraId="02FE889D">
            <w:pPr>
              <w:pStyle w:val="14"/>
              <w:spacing w:line="222" w:lineRule="auto"/>
              <w:ind w:left="118"/>
              <w:rPr>
                <w:highlight w:val="none"/>
              </w:rPr>
            </w:pPr>
            <w:r>
              <w:rPr>
                <w:spacing w:val="-5"/>
                <w:highlight w:val="none"/>
              </w:rPr>
              <w:t>3.本项目的特定资格要求：无</w:t>
            </w:r>
          </w:p>
        </w:tc>
      </w:tr>
      <w:tr w14:paraId="7B53F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53" w:type="dxa"/>
            <w:vAlign w:val="top"/>
          </w:tcPr>
          <w:p w14:paraId="3E9CD475">
            <w:pPr>
              <w:pStyle w:val="14"/>
              <w:spacing w:before="75"/>
              <w:ind w:left="257"/>
              <w:rPr>
                <w:highlight w:val="none"/>
              </w:rPr>
            </w:pPr>
            <w:r>
              <w:rPr>
                <w:spacing w:val="-4"/>
                <w:highlight w:val="none"/>
              </w:rPr>
              <w:t>9.1</w:t>
            </w:r>
          </w:p>
        </w:tc>
        <w:tc>
          <w:tcPr>
            <w:tcW w:w="1700" w:type="dxa"/>
            <w:vAlign w:val="top"/>
          </w:tcPr>
          <w:p w14:paraId="39444AC8">
            <w:pPr>
              <w:pStyle w:val="14"/>
              <w:spacing w:before="75" w:line="222" w:lineRule="auto"/>
              <w:ind w:left="387"/>
              <w:rPr>
                <w:highlight w:val="none"/>
              </w:rPr>
            </w:pPr>
            <w:r>
              <w:rPr>
                <w:spacing w:val="-6"/>
                <w:highlight w:val="none"/>
              </w:rPr>
              <w:t>现场考察</w:t>
            </w:r>
          </w:p>
        </w:tc>
        <w:tc>
          <w:tcPr>
            <w:tcW w:w="7086" w:type="dxa"/>
            <w:vAlign w:val="top"/>
          </w:tcPr>
          <w:p w14:paraId="12403E6B">
            <w:pPr>
              <w:pStyle w:val="14"/>
              <w:spacing w:before="75" w:line="225" w:lineRule="auto"/>
              <w:ind w:left="126"/>
              <w:rPr>
                <w:highlight w:val="none"/>
              </w:rPr>
            </w:pPr>
            <w:r>
              <w:rPr>
                <w:spacing w:val="-9"/>
                <w:highlight w:val="none"/>
              </w:rPr>
              <w:t>不组织</w:t>
            </w:r>
          </w:p>
        </w:tc>
      </w:tr>
      <w:tr w14:paraId="5ED82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53" w:type="dxa"/>
            <w:vAlign w:val="top"/>
          </w:tcPr>
          <w:p w14:paraId="71831B38">
            <w:pPr>
              <w:pStyle w:val="14"/>
              <w:spacing w:before="75"/>
              <w:ind w:left="257"/>
              <w:rPr>
                <w:highlight w:val="none"/>
              </w:rPr>
            </w:pPr>
            <w:r>
              <w:rPr>
                <w:spacing w:val="-4"/>
                <w:highlight w:val="none"/>
              </w:rPr>
              <w:t>9.5</w:t>
            </w:r>
          </w:p>
        </w:tc>
        <w:tc>
          <w:tcPr>
            <w:tcW w:w="1700" w:type="dxa"/>
            <w:vAlign w:val="top"/>
          </w:tcPr>
          <w:p w14:paraId="53E9D7C9">
            <w:pPr>
              <w:pStyle w:val="14"/>
              <w:spacing w:before="74" w:line="223" w:lineRule="auto"/>
              <w:ind w:left="507"/>
              <w:rPr>
                <w:highlight w:val="none"/>
              </w:rPr>
            </w:pPr>
            <w:r>
              <w:rPr>
                <w:spacing w:val="-7"/>
                <w:highlight w:val="none"/>
              </w:rPr>
              <w:t>答疑会</w:t>
            </w:r>
          </w:p>
        </w:tc>
        <w:tc>
          <w:tcPr>
            <w:tcW w:w="7086" w:type="dxa"/>
            <w:vAlign w:val="top"/>
          </w:tcPr>
          <w:p w14:paraId="60E54A8F">
            <w:pPr>
              <w:pStyle w:val="14"/>
              <w:spacing w:before="75" w:line="225" w:lineRule="auto"/>
              <w:ind w:left="126"/>
              <w:rPr>
                <w:highlight w:val="none"/>
              </w:rPr>
            </w:pPr>
            <w:r>
              <w:rPr>
                <w:spacing w:val="-9"/>
                <w:highlight w:val="none"/>
              </w:rPr>
              <w:t>不组织</w:t>
            </w:r>
          </w:p>
        </w:tc>
      </w:tr>
      <w:tr w14:paraId="5CC6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53" w:type="dxa"/>
            <w:vAlign w:val="top"/>
          </w:tcPr>
          <w:p w14:paraId="5153BA52">
            <w:pPr>
              <w:spacing w:line="328" w:lineRule="auto"/>
              <w:rPr>
                <w:rFonts w:ascii="Arial"/>
                <w:sz w:val="21"/>
                <w:highlight w:val="none"/>
              </w:rPr>
            </w:pPr>
          </w:p>
          <w:p w14:paraId="4E716DBC">
            <w:pPr>
              <w:pStyle w:val="14"/>
              <w:spacing w:before="78"/>
              <w:ind w:left="221"/>
              <w:rPr>
                <w:highlight w:val="none"/>
              </w:rPr>
            </w:pPr>
            <w:r>
              <w:rPr>
                <w:spacing w:val="-9"/>
                <w:highlight w:val="none"/>
              </w:rPr>
              <w:t>12.1</w:t>
            </w:r>
          </w:p>
        </w:tc>
        <w:tc>
          <w:tcPr>
            <w:tcW w:w="1700" w:type="dxa"/>
            <w:vAlign w:val="top"/>
          </w:tcPr>
          <w:p w14:paraId="7519118F">
            <w:pPr>
              <w:spacing w:line="328" w:lineRule="auto"/>
              <w:rPr>
                <w:rFonts w:ascii="Arial"/>
                <w:sz w:val="21"/>
                <w:highlight w:val="none"/>
              </w:rPr>
            </w:pPr>
          </w:p>
          <w:p w14:paraId="36005844">
            <w:pPr>
              <w:pStyle w:val="14"/>
              <w:spacing w:before="78" w:line="222" w:lineRule="auto"/>
              <w:ind w:left="679"/>
              <w:rPr>
                <w:highlight w:val="none"/>
              </w:rPr>
            </w:pPr>
            <w:r>
              <w:rPr>
                <w:spacing w:val="-8"/>
                <w:highlight w:val="none"/>
              </w:rPr>
              <w:t>询问</w:t>
            </w:r>
          </w:p>
        </w:tc>
        <w:tc>
          <w:tcPr>
            <w:tcW w:w="7086" w:type="dxa"/>
            <w:vAlign w:val="top"/>
          </w:tcPr>
          <w:p w14:paraId="49B1AB85">
            <w:pPr>
              <w:pStyle w:val="14"/>
              <w:spacing w:before="35" w:line="287" w:lineRule="auto"/>
              <w:ind w:left="122" w:right="100" w:firstLine="8"/>
              <w:rPr>
                <w:highlight w:val="none"/>
              </w:rPr>
            </w:pPr>
            <w:r>
              <w:rPr>
                <w:spacing w:val="-4"/>
                <w:highlight w:val="none"/>
              </w:rPr>
              <w:t>1.方式：在供应商客户端中按照格式填写询问函，并在生成询问函</w:t>
            </w:r>
            <w:r>
              <w:rPr>
                <w:spacing w:val="-6"/>
                <w:highlight w:val="none"/>
              </w:rPr>
              <w:t>后加盖电子印章提交。</w:t>
            </w:r>
          </w:p>
          <w:p w14:paraId="008B5D34">
            <w:pPr>
              <w:pStyle w:val="14"/>
              <w:spacing w:line="220" w:lineRule="auto"/>
              <w:ind w:left="116"/>
              <w:rPr>
                <w:highlight w:val="none"/>
              </w:rPr>
            </w:pPr>
            <w:r>
              <w:rPr>
                <w:spacing w:val="-7"/>
                <w:highlight w:val="none"/>
              </w:rPr>
              <w:t>2.时间要求：</w:t>
            </w:r>
            <w:r>
              <w:rPr>
                <w:spacing w:val="-64"/>
                <w:highlight w:val="none"/>
              </w:rPr>
              <w:t xml:space="preserve"> </w:t>
            </w:r>
            <w:r>
              <w:rPr>
                <w:spacing w:val="-7"/>
                <w:highlight w:val="none"/>
              </w:rPr>
              <w:t>自投标人获取招标文件之日起7个</w:t>
            </w:r>
            <w:r>
              <w:rPr>
                <w:spacing w:val="-8"/>
                <w:highlight w:val="none"/>
              </w:rPr>
              <w:t>工作日内。</w:t>
            </w:r>
          </w:p>
        </w:tc>
      </w:tr>
      <w:tr w14:paraId="4EF2A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53" w:type="dxa"/>
            <w:vAlign w:val="top"/>
          </w:tcPr>
          <w:p w14:paraId="51B55009">
            <w:pPr>
              <w:pStyle w:val="14"/>
              <w:spacing w:before="76"/>
              <w:ind w:left="221"/>
              <w:rPr>
                <w:highlight w:val="none"/>
              </w:rPr>
            </w:pPr>
            <w:r>
              <w:rPr>
                <w:spacing w:val="-9"/>
                <w:highlight w:val="none"/>
              </w:rPr>
              <w:t>15.1</w:t>
            </w:r>
          </w:p>
        </w:tc>
        <w:tc>
          <w:tcPr>
            <w:tcW w:w="1700" w:type="dxa"/>
            <w:vAlign w:val="top"/>
          </w:tcPr>
          <w:p w14:paraId="78D4D99A">
            <w:pPr>
              <w:pStyle w:val="14"/>
              <w:spacing w:before="76" w:line="222" w:lineRule="auto"/>
              <w:ind w:left="324"/>
              <w:rPr>
                <w:highlight w:val="none"/>
              </w:rPr>
            </w:pPr>
            <w:r>
              <w:rPr>
                <w:spacing w:val="-5"/>
                <w:highlight w:val="none"/>
              </w:rPr>
              <w:t>投标有效期</w:t>
            </w:r>
          </w:p>
        </w:tc>
        <w:tc>
          <w:tcPr>
            <w:tcW w:w="7086" w:type="dxa"/>
            <w:vAlign w:val="top"/>
          </w:tcPr>
          <w:p w14:paraId="64A48FC9">
            <w:pPr>
              <w:pStyle w:val="14"/>
              <w:spacing w:before="76" w:line="222" w:lineRule="auto"/>
              <w:ind w:left="105"/>
              <w:rPr>
                <w:highlight w:val="none"/>
              </w:rPr>
            </w:pPr>
            <w:r>
              <w:rPr>
                <w:spacing w:val="-10"/>
                <w:highlight w:val="none"/>
              </w:rPr>
              <w:t xml:space="preserve">投标截止时间后 </w:t>
            </w:r>
            <w:r>
              <w:rPr>
                <w:spacing w:val="-10"/>
                <w:highlight w:val="none"/>
                <w:u w:val="single" w:color="auto"/>
              </w:rPr>
              <w:t xml:space="preserve">90 </w:t>
            </w:r>
            <w:r>
              <w:rPr>
                <w:spacing w:val="-51"/>
                <w:highlight w:val="none"/>
              </w:rPr>
              <w:t xml:space="preserve"> </w:t>
            </w:r>
            <w:r>
              <w:rPr>
                <w:spacing w:val="-10"/>
                <w:highlight w:val="none"/>
              </w:rPr>
              <w:t>日历日。</w:t>
            </w:r>
          </w:p>
        </w:tc>
      </w:tr>
      <w:tr w14:paraId="518D6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4" w:hRule="atLeast"/>
        </w:trPr>
        <w:tc>
          <w:tcPr>
            <w:tcW w:w="853" w:type="dxa"/>
            <w:vAlign w:val="top"/>
          </w:tcPr>
          <w:p w14:paraId="7F7B0C12">
            <w:pPr>
              <w:spacing w:line="257" w:lineRule="auto"/>
              <w:rPr>
                <w:rFonts w:ascii="Arial"/>
                <w:sz w:val="21"/>
                <w:highlight w:val="none"/>
              </w:rPr>
            </w:pPr>
          </w:p>
          <w:p w14:paraId="70D0F7B0">
            <w:pPr>
              <w:spacing w:line="257" w:lineRule="auto"/>
              <w:rPr>
                <w:rFonts w:ascii="Arial"/>
                <w:sz w:val="21"/>
                <w:highlight w:val="none"/>
              </w:rPr>
            </w:pPr>
          </w:p>
          <w:p w14:paraId="2A2E1F33">
            <w:pPr>
              <w:spacing w:line="258" w:lineRule="auto"/>
              <w:rPr>
                <w:rFonts w:ascii="Arial"/>
                <w:sz w:val="21"/>
                <w:highlight w:val="none"/>
              </w:rPr>
            </w:pPr>
          </w:p>
          <w:p w14:paraId="00F9020E">
            <w:pPr>
              <w:spacing w:line="258" w:lineRule="auto"/>
              <w:rPr>
                <w:rFonts w:ascii="Arial"/>
                <w:sz w:val="21"/>
                <w:highlight w:val="none"/>
              </w:rPr>
            </w:pPr>
          </w:p>
          <w:p w14:paraId="266150C1">
            <w:pPr>
              <w:spacing w:line="258" w:lineRule="auto"/>
              <w:rPr>
                <w:rFonts w:ascii="Arial"/>
                <w:sz w:val="21"/>
                <w:highlight w:val="none"/>
              </w:rPr>
            </w:pPr>
          </w:p>
          <w:p w14:paraId="49B68D49">
            <w:pPr>
              <w:spacing w:line="258" w:lineRule="auto"/>
              <w:rPr>
                <w:rFonts w:ascii="Arial"/>
                <w:sz w:val="21"/>
                <w:highlight w:val="none"/>
              </w:rPr>
            </w:pPr>
          </w:p>
          <w:p w14:paraId="53E5A511">
            <w:pPr>
              <w:spacing w:line="258" w:lineRule="auto"/>
              <w:rPr>
                <w:rFonts w:ascii="Arial"/>
                <w:sz w:val="21"/>
                <w:highlight w:val="none"/>
              </w:rPr>
            </w:pPr>
          </w:p>
          <w:p w14:paraId="66398765">
            <w:pPr>
              <w:spacing w:line="258" w:lineRule="auto"/>
              <w:rPr>
                <w:rFonts w:ascii="Arial"/>
                <w:sz w:val="21"/>
                <w:highlight w:val="none"/>
              </w:rPr>
            </w:pPr>
          </w:p>
          <w:p w14:paraId="3D5498AE">
            <w:pPr>
              <w:spacing w:line="258" w:lineRule="auto"/>
              <w:rPr>
                <w:rFonts w:ascii="Arial"/>
                <w:sz w:val="21"/>
                <w:highlight w:val="none"/>
              </w:rPr>
            </w:pPr>
          </w:p>
          <w:p w14:paraId="4CEC1DA5">
            <w:pPr>
              <w:pStyle w:val="14"/>
              <w:spacing w:before="78"/>
              <w:ind w:left="221"/>
              <w:rPr>
                <w:highlight w:val="none"/>
              </w:rPr>
            </w:pPr>
            <w:r>
              <w:rPr>
                <w:spacing w:val="-9"/>
                <w:highlight w:val="none"/>
              </w:rPr>
              <w:t>17.1</w:t>
            </w:r>
          </w:p>
        </w:tc>
        <w:tc>
          <w:tcPr>
            <w:tcW w:w="1700" w:type="dxa"/>
            <w:vAlign w:val="top"/>
          </w:tcPr>
          <w:p w14:paraId="7ED13C3A">
            <w:pPr>
              <w:spacing w:line="257" w:lineRule="auto"/>
              <w:rPr>
                <w:rFonts w:ascii="Arial"/>
                <w:sz w:val="21"/>
                <w:highlight w:val="none"/>
              </w:rPr>
            </w:pPr>
          </w:p>
          <w:p w14:paraId="68B8DCB9">
            <w:pPr>
              <w:spacing w:line="257" w:lineRule="auto"/>
              <w:rPr>
                <w:rFonts w:ascii="Arial"/>
                <w:sz w:val="21"/>
                <w:highlight w:val="none"/>
              </w:rPr>
            </w:pPr>
          </w:p>
          <w:p w14:paraId="0B68EA90">
            <w:pPr>
              <w:spacing w:line="258" w:lineRule="auto"/>
              <w:rPr>
                <w:rFonts w:ascii="Arial"/>
                <w:sz w:val="21"/>
                <w:highlight w:val="none"/>
              </w:rPr>
            </w:pPr>
          </w:p>
          <w:p w14:paraId="562BBE91">
            <w:pPr>
              <w:spacing w:line="258" w:lineRule="auto"/>
              <w:rPr>
                <w:rFonts w:ascii="Arial"/>
                <w:sz w:val="21"/>
                <w:highlight w:val="none"/>
              </w:rPr>
            </w:pPr>
          </w:p>
          <w:p w14:paraId="036EAB09">
            <w:pPr>
              <w:spacing w:line="258" w:lineRule="auto"/>
              <w:rPr>
                <w:rFonts w:ascii="Arial"/>
                <w:sz w:val="21"/>
                <w:highlight w:val="none"/>
              </w:rPr>
            </w:pPr>
          </w:p>
          <w:p w14:paraId="1756CA93">
            <w:pPr>
              <w:spacing w:line="258" w:lineRule="auto"/>
              <w:rPr>
                <w:rFonts w:ascii="Arial"/>
                <w:sz w:val="21"/>
                <w:highlight w:val="none"/>
              </w:rPr>
            </w:pPr>
          </w:p>
          <w:p w14:paraId="1F472603">
            <w:pPr>
              <w:spacing w:line="258" w:lineRule="auto"/>
              <w:rPr>
                <w:rFonts w:ascii="Arial"/>
                <w:sz w:val="21"/>
                <w:highlight w:val="none"/>
              </w:rPr>
            </w:pPr>
          </w:p>
          <w:p w14:paraId="5AC8E071">
            <w:pPr>
              <w:spacing w:line="258" w:lineRule="auto"/>
              <w:rPr>
                <w:rFonts w:ascii="Arial"/>
                <w:sz w:val="21"/>
                <w:highlight w:val="none"/>
              </w:rPr>
            </w:pPr>
          </w:p>
          <w:p w14:paraId="10CB83A0">
            <w:pPr>
              <w:spacing w:line="258" w:lineRule="auto"/>
              <w:rPr>
                <w:rFonts w:ascii="Arial"/>
                <w:sz w:val="21"/>
                <w:highlight w:val="none"/>
              </w:rPr>
            </w:pPr>
          </w:p>
          <w:p w14:paraId="3E9E31C9">
            <w:pPr>
              <w:pStyle w:val="14"/>
              <w:spacing w:before="78" w:line="221" w:lineRule="auto"/>
              <w:ind w:left="269"/>
              <w:rPr>
                <w:highlight w:val="none"/>
              </w:rPr>
            </w:pPr>
            <w:r>
              <w:rPr>
                <w:spacing w:val="-5"/>
                <w:highlight w:val="none"/>
              </w:rPr>
              <w:t>投标保证金</w:t>
            </w:r>
          </w:p>
        </w:tc>
        <w:tc>
          <w:tcPr>
            <w:tcW w:w="7086" w:type="dxa"/>
            <w:vAlign w:val="top"/>
          </w:tcPr>
          <w:p w14:paraId="7878A148">
            <w:pPr>
              <w:pStyle w:val="14"/>
              <w:spacing w:before="36" w:line="221" w:lineRule="auto"/>
              <w:ind w:left="119"/>
              <w:rPr>
                <w:highlight w:val="none"/>
              </w:rPr>
            </w:pPr>
            <w:r>
              <w:rPr>
                <w:spacing w:val="-5"/>
                <w:highlight w:val="none"/>
              </w:rPr>
              <w:t>投标保证金/电子保函：</w:t>
            </w:r>
            <w:r>
              <w:rPr>
                <w:rFonts w:ascii="MS UI Gothic" w:hAnsi="MS UI Gothic" w:eastAsia="MS UI Gothic" w:cs="MS UI Gothic"/>
                <w:spacing w:val="-5"/>
                <w:highlight w:val="none"/>
              </w:rPr>
              <w:t>☑</w:t>
            </w:r>
            <w:r>
              <w:rPr>
                <w:spacing w:val="-5"/>
                <w:highlight w:val="none"/>
              </w:rPr>
              <w:t xml:space="preserve">需要缴纳     </w:t>
            </w:r>
            <w:r>
              <w:rPr>
                <w:spacing w:val="-6"/>
                <w:highlight w:val="none"/>
              </w:rPr>
              <w:t>□不需要缴纳</w:t>
            </w:r>
          </w:p>
          <w:p w14:paraId="4FAB21ED">
            <w:pPr>
              <w:pStyle w:val="14"/>
              <w:spacing w:before="84" w:line="288" w:lineRule="auto"/>
              <w:ind w:left="137" w:right="100" w:hanging="18"/>
              <w:rPr>
                <w:highlight w:val="none"/>
              </w:rPr>
            </w:pPr>
            <w:r>
              <w:rPr>
                <w:spacing w:val="-4"/>
                <w:highlight w:val="none"/>
              </w:rPr>
              <w:t>投标保证金缴纳形式：银行转账、支票、汇票、本票或者金融机构</w:t>
            </w:r>
            <w:r>
              <w:rPr>
                <w:spacing w:val="15"/>
                <w:highlight w:val="none"/>
              </w:rPr>
              <w:t xml:space="preserve"> </w:t>
            </w:r>
            <w:r>
              <w:rPr>
                <w:spacing w:val="-7"/>
                <w:highlight w:val="none"/>
              </w:rPr>
              <w:t>、担保机构出具的保函等非现金形式交纳。</w:t>
            </w:r>
          </w:p>
          <w:p w14:paraId="59DEF569">
            <w:pPr>
              <w:pStyle w:val="14"/>
              <w:spacing w:line="221" w:lineRule="auto"/>
              <w:ind w:left="121"/>
              <w:rPr>
                <w:highlight w:val="none"/>
              </w:rPr>
            </w:pPr>
            <w:r>
              <w:rPr>
                <w:spacing w:val="-7"/>
                <w:highlight w:val="none"/>
              </w:rPr>
              <w:t>缴纳维度：</w:t>
            </w:r>
            <w:r>
              <w:rPr>
                <w:rFonts w:ascii="MS UI Gothic" w:hAnsi="MS UI Gothic" w:eastAsia="MS UI Gothic" w:cs="MS UI Gothic"/>
                <w:spacing w:val="-7"/>
                <w:highlight w:val="none"/>
              </w:rPr>
              <w:t>☑</w:t>
            </w:r>
            <w:r>
              <w:rPr>
                <w:spacing w:val="-7"/>
                <w:highlight w:val="none"/>
              </w:rPr>
              <w:t>按项目    □</w:t>
            </w:r>
            <w:r>
              <w:rPr>
                <w:spacing w:val="21"/>
                <w:highlight w:val="none"/>
              </w:rPr>
              <w:t xml:space="preserve"> </w:t>
            </w:r>
            <w:r>
              <w:rPr>
                <w:spacing w:val="-7"/>
                <w:highlight w:val="none"/>
              </w:rPr>
              <w:t>按标项</w:t>
            </w:r>
          </w:p>
          <w:p w14:paraId="74656E32">
            <w:pPr>
              <w:pStyle w:val="14"/>
              <w:spacing w:before="84" w:line="222" w:lineRule="auto"/>
              <w:ind w:left="121"/>
              <w:rPr>
                <w:highlight w:val="none"/>
              </w:rPr>
            </w:pPr>
            <w:r>
              <w:rPr>
                <w:spacing w:val="-7"/>
                <w:highlight w:val="none"/>
              </w:rPr>
              <w:t>缴纳响应截止时间：</w:t>
            </w:r>
            <w:r>
              <w:rPr>
                <w:b/>
                <w:bCs/>
                <w:spacing w:val="-7"/>
                <w:highlight w:val="none"/>
              </w:rPr>
              <w:t>2026年</w:t>
            </w:r>
            <w:r>
              <w:rPr>
                <w:b/>
                <w:bCs/>
                <w:spacing w:val="-4"/>
                <w:sz w:val="24"/>
                <w:szCs w:val="24"/>
                <w:highlight w:val="none"/>
              </w:rPr>
              <w:t>0</w:t>
            </w:r>
            <w:r>
              <w:rPr>
                <w:rFonts w:hint="eastAsia"/>
                <w:b/>
                <w:bCs/>
                <w:spacing w:val="-4"/>
                <w:sz w:val="24"/>
                <w:szCs w:val="24"/>
                <w:highlight w:val="none"/>
                <w:lang w:val="en-US" w:eastAsia="zh-CN"/>
              </w:rPr>
              <w:t>6</w:t>
            </w:r>
            <w:r>
              <w:rPr>
                <w:b/>
                <w:bCs/>
                <w:spacing w:val="-4"/>
                <w:sz w:val="24"/>
                <w:szCs w:val="24"/>
                <w:highlight w:val="none"/>
              </w:rPr>
              <w:t>月</w:t>
            </w:r>
            <w:r>
              <w:rPr>
                <w:rFonts w:hint="eastAsia"/>
                <w:b/>
                <w:bCs/>
                <w:spacing w:val="-4"/>
                <w:sz w:val="24"/>
                <w:szCs w:val="24"/>
                <w:highlight w:val="none"/>
                <w:lang w:val="en-US" w:eastAsia="zh-CN"/>
              </w:rPr>
              <w:t>01</w:t>
            </w:r>
            <w:r>
              <w:rPr>
                <w:b/>
                <w:bCs/>
                <w:spacing w:val="-4"/>
                <w:sz w:val="24"/>
                <w:szCs w:val="24"/>
                <w:highlight w:val="none"/>
              </w:rPr>
              <w:t>日</w:t>
            </w:r>
            <w:r>
              <w:rPr>
                <w:spacing w:val="-7"/>
                <w:highlight w:val="none"/>
              </w:rPr>
              <w:t xml:space="preserve"> </w:t>
            </w:r>
            <w:r>
              <w:rPr>
                <w:b/>
                <w:bCs/>
                <w:spacing w:val="-7"/>
                <w:highlight w:val="none"/>
              </w:rPr>
              <w:t>11:00（北京时间）</w:t>
            </w:r>
          </w:p>
          <w:p w14:paraId="718CE771">
            <w:pPr>
              <w:pStyle w:val="14"/>
              <w:spacing w:before="85" w:line="221" w:lineRule="auto"/>
              <w:ind w:left="119"/>
              <w:rPr>
                <w:rFonts w:hint="default" w:eastAsia="仿宋"/>
                <w:highlight w:val="none"/>
                <w:lang w:val="en-US" w:eastAsia="zh-CN"/>
              </w:rPr>
            </w:pPr>
            <w:r>
              <w:rPr>
                <w:spacing w:val="-6"/>
                <w:highlight w:val="none"/>
              </w:rPr>
              <w:t>投标保证金金额：</w:t>
            </w:r>
            <w:r>
              <w:rPr>
                <w:rFonts w:hint="eastAsia"/>
                <w:spacing w:val="-6"/>
                <w:highlight w:val="none"/>
                <w:lang w:val="en-US" w:eastAsia="zh-CN"/>
              </w:rPr>
              <w:t>12000.00（壹万贰仟元整）</w:t>
            </w:r>
          </w:p>
          <w:p w14:paraId="5649F240">
            <w:pPr>
              <w:pStyle w:val="14"/>
              <w:spacing w:before="126" w:line="221" w:lineRule="auto"/>
              <w:ind w:left="130"/>
              <w:rPr>
                <w:highlight w:val="none"/>
              </w:rPr>
            </w:pPr>
            <w:r>
              <w:rPr>
                <w:spacing w:val="4"/>
                <w:highlight w:val="none"/>
              </w:rPr>
              <w:t>1）保证金账号信息：</w:t>
            </w:r>
          </w:p>
          <w:p w14:paraId="7A3546A1">
            <w:pPr>
              <w:pStyle w:val="14"/>
              <w:spacing w:before="85" w:line="287" w:lineRule="auto"/>
              <w:ind w:left="119" w:right="97" w:firstLine="5"/>
              <w:jc w:val="both"/>
              <w:rPr>
                <w:highlight w:val="none"/>
              </w:rPr>
            </w:pPr>
            <w:r>
              <w:rPr>
                <w:highlight w:val="none"/>
              </w:rPr>
              <w:t>账户名称：</w:t>
            </w:r>
            <w:r>
              <w:rPr>
                <w:rFonts w:hint="eastAsia"/>
                <w:highlight w:val="none"/>
              </w:rPr>
              <w:t>鼎正众创建设集团有限公司新疆分公司</w:t>
            </w:r>
          </w:p>
          <w:p w14:paraId="671E28AE">
            <w:pPr>
              <w:pStyle w:val="14"/>
              <w:spacing w:before="85" w:line="287" w:lineRule="auto"/>
              <w:ind w:left="119" w:right="97" w:firstLine="5"/>
              <w:jc w:val="both"/>
              <w:rPr>
                <w:highlight w:val="none"/>
              </w:rPr>
            </w:pPr>
            <w:r>
              <w:rPr>
                <w:highlight w:val="none"/>
              </w:rPr>
              <w:t>开户行</w:t>
            </w:r>
            <w:r>
              <w:rPr>
                <w:rFonts w:hint="eastAsia"/>
                <w:highlight w:val="none"/>
              </w:rPr>
              <w:t>：招商银行股份有限公司乌鲁木齐西虹东路支行</w:t>
            </w:r>
            <w:r>
              <w:rPr>
                <w:rFonts w:hint="eastAsia"/>
                <w:highlight w:val="none"/>
              </w:rPr>
              <w:br w:type="textWrapping"/>
            </w:r>
            <w:r>
              <w:rPr>
                <w:highlight w:val="none"/>
              </w:rPr>
              <w:t>帐  号：</w:t>
            </w:r>
            <w:bookmarkStart w:id="6" w:name="OLE_LINK4"/>
            <w:r>
              <w:rPr>
                <w:rFonts w:hint="eastAsia"/>
                <w:highlight w:val="none"/>
              </w:rPr>
              <w:t>991904663010808</w:t>
            </w:r>
            <w:bookmarkEnd w:id="6"/>
          </w:p>
          <w:p w14:paraId="29F03BF5">
            <w:pPr>
              <w:pStyle w:val="14"/>
              <w:spacing w:before="85" w:line="287" w:lineRule="auto"/>
              <w:ind w:left="119" w:right="97" w:firstLine="5"/>
              <w:jc w:val="both"/>
              <w:rPr>
                <w:highlight w:val="none"/>
              </w:rPr>
            </w:pPr>
            <w:r>
              <w:rPr>
                <w:highlight w:val="none"/>
              </w:rPr>
              <w:t>行  号：</w:t>
            </w:r>
            <w:r>
              <w:rPr>
                <w:rFonts w:hint="eastAsia"/>
                <w:highlight w:val="none"/>
              </w:rPr>
              <w:t>308881029083</w:t>
            </w:r>
          </w:p>
          <w:p w14:paraId="7578532B">
            <w:pPr>
              <w:pStyle w:val="14"/>
              <w:spacing w:before="122" w:line="224" w:lineRule="auto"/>
              <w:ind w:left="121"/>
              <w:rPr>
                <w:highlight w:val="none"/>
              </w:rPr>
            </w:pPr>
            <w:r>
              <w:rPr>
                <w:b/>
                <w:bCs/>
                <w:spacing w:val="-5"/>
                <w:highlight w:val="none"/>
              </w:rPr>
              <w:t>说明：</w:t>
            </w:r>
          </w:p>
          <w:p w14:paraId="36FEFC9E">
            <w:pPr>
              <w:pStyle w:val="14"/>
              <w:spacing w:before="85" w:line="287" w:lineRule="auto"/>
              <w:ind w:left="119" w:right="97" w:firstLine="5"/>
              <w:jc w:val="both"/>
              <w:rPr>
                <w:highlight w:val="none"/>
              </w:rPr>
            </w:pPr>
            <w:r>
              <w:rPr>
                <w:highlight w:val="none"/>
              </w:rPr>
              <w:t>（1）投标保证金以银行转账、支票、汇票、本票方式缴纳的，必</w:t>
            </w:r>
            <w:r>
              <w:rPr>
                <w:spacing w:val="-4"/>
                <w:highlight w:val="none"/>
              </w:rPr>
              <w:t>须在提交响应文件截止时间（开标时间）前缴纳至采购代理机构银行账户。投标人需自行评估因异地、跨行、公休日等因素造成的投标保证金到账延迟风险，并承担相应责任。投标保证金以到账信息为准，投标人未按照招标文件要求提交投标保证金的，投标无效。</w:t>
            </w:r>
          </w:p>
          <w:p w14:paraId="293852E5">
            <w:pPr>
              <w:pStyle w:val="14"/>
              <w:spacing w:before="2" w:line="285" w:lineRule="auto"/>
              <w:ind w:left="138" w:right="100" w:firstLine="12"/>
              <w:rPr>
                <w:highlight w:val="none"/>
              </w:rPr>
            </w:pPr>
            <w:r>
              <w:rPr>
                <w:highlight w:val="none"/>
              </w:rPr>
              <w:t>[以银行记录确认到账为准，备注项目名称</w:t>
            </w:r>
            <w:r>
              <w:rPr>
                <w:spacing w:val="-1"/>
                <w:highlight w:val="none"/>
              </w:rPr>
              <w:t>及项目编号(可简写）]</w:t>
            </w:r>
            <w:r>
              <w:rPr>
                <w:highlight w:val="none"/>
              </w:rPr>
              <w:t xml:space="preserve"> 。</w:t>
            </w:r>
          </w:p>
          <w:p w14:paraId="3413102D">
            <w:pPr>
              <w:pStyle w:val="14"/>
              <w:spacing w:before="2" w:line="288" w:lineRule="auto"/>
              <w:ind w:left="121" w:right="100" w:firstLine="4"/>
              <w:rPr>
                <w:highlight w:val="none"/>
              </w:rPr>
            </w:pPr>
            <w:r>
              <w:rPr>
                <w:highlight w:val="none"/>
              </w:rPr>
              <w:t>（2）投标保证金以保函方式递交的，投标文件提交截止时间前将</w:t>
            </w:r>
            <w:r>
              <w:rPr>
                <w:spacing w:val="-6"/>
                <w:highlight w:val="none"/>
              </w:rPr>
              <w:t>保函制作到电子投标文件即可。</w:t>
            </w:r>
          </w:p>
          <w:p w14:paraId="63E12632">
            <w:pPr>
              <w:pStyle w:val="14"/>
              <w:spacing w:before="89" w:line="221" w:lineRule="auto"/>
              <w:ind w:left="243"/>
              <w:rPr>
                <w:highlight w:val="none"/>
              </w:rPr>
            </w:pPr>
            <w:r>
              <w:rPr>
                <w:b/>
                <w:bCs/>
                <w:spacing w:val="3"/>
                <w:highlight w:val="none"/>
              </w:rPr>
              <w:t>政采云电子保函须知：</w:t>
            </w:r>
          </w:p>
          <w:p w14:paraId="776A365C">
            <w:pPr>
              <w:pStyle w:val="14"/>
              <w:spacing w:before="88" w:line="287" w:lineRule="auto"/>
              <w:ind w:left="121" w:right="100" w:firstLine="4"/>
              <w:rPr>
                <w:highlight w:val="none"/>
              </w:rPr>
            </w:pPr>
            <w:r>
              <w:rPr>
                <w:highlight w:val="none"/>
              </w:rPr>
              <w:t>（1）为支持和促进中小企业发展，进一步发挥政府采购政策功能</w:t>
            </w:r>
            <w:r>
              <w:rPr>
                <w:spacing w:val="14"/>
                <w:highlight w:val="none"/>
              </w:rPr>
              <w:t xml:space="preserve"> </w:t>
            </w:r>
            <w:r>
              <w:rPr>
                <w:spacing w:val="-6"/>
                <w:highlight w:val="none"/>
              </w:rPr>
              <w:t>,</w:t>
            </w:r>
            <w:r>
              <w:rPr>
                <w:spacing w:val="71"/>
                <w:highlight w:val="none"/>
              </w:rPr>
              <w:t xml:space="preserve"> </w:t>
            </w:r>
            <w:r>
              <w:rPr>
                <w:spacing w:val="-6"/>
                <w:highlight w:val="none"/>
              </w:rPr>
              <w:t>本采购项目适用于政府采购融资优惠、政采贷、电子保函相关政</w:t>
            </w:r>
            <w:r>
              <w:rPr>
                <w:spacing w:val="-4"/>
                <w:highlight w:val="none"/>
              </w:rPr>
              <w:t>策，鼓励投标人使用电子保函代替现金缴纳各类保证金，在线完成保函的申请、审核、开票、出函等环节，投标人注意区分办理保函</w:t>
            </w:r>
            <w:r>
              <w:rPr>
                <w:spacing w:val="-6"/>
                <w:highlight w:val="none"/>
              </w:rPr>
              <w:t>类型，并确认投标有效期。</w:t>
            </w:r>
          </w:p>
          <w:p w14:paraId="1EF83D2C">
            <w:pPr>
              <w:pStyle w:val="14"/>
              <w:spacing w:before="124" w:line="221" w:lineRule="auto"/>
              <w:ind w:left="116"/>
              <w:rPr>
                <w:rFonts w:hint="eastAsia"/>
                <w:spacing w:val="5"/>
                <w:highlight w:val="none"/>
                <w:lang w:eastAsia="zh-CN"/>
              </w:rPr>
            </w:pPr>
          </w:p>
        </w:tc>
      </w:tr>
    </w:tbl>
    <w:p w14:paraId="0D3D7290">
      <w:pPr>
        <w:rPr>
          <w:rFonts w:ascii="Arial"/>
          <w:sz w:val="21"/>
          <w:highlight w:val="none"/>
        </w:rPr>
      </w:pPr>
    </w:p>
    <w:p w14:paraId="798F3663">
      <w:pPr>
        <w:spacing w:line="110" w:lineRule="auto"/>
        <w:rPr>
          <w:rFonts w:hint="eastAsia" w:ascii="Arial" w:eastAsia="宋体"/>
          <w:sz w:val="2"/>
          <w:highlight w:val="none"/>
          <w:lang w:eastAsia="zh-CN"/>
        </w:rPr>
      </w:pPr>
      <w:r>
        <w:rPr>
          <w:rFonts w:hint="eastAsia" w:ascii="Arial" w:eastAsia="宋体"/>
          <w:sz w:val="2"/>
          <w:highlight w:val="none"/>
          <w:lang w:eastAsia="zh-CN"/>
        </w:rPr>
        <w:br w:type="page"/>
      </w:r>
    </w:p>
    <w:tbl>
      <w:tblPr>
        <w:tblStyle w:val="13"/>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700"/>
        <w:gridCol w:w="7086"/>
      </w:tblGrid>
      <w:tr w14:paraId="3DC7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0" w:hRule="atLeast"/>
        </w:trPr>
        <w:tc>
          <w:tcPr>
            <w:tcW w:w="853" w:type="dxa"/>
            <w:vAlign w:val="top"/>
          </w:tcPr>
          <w:p w14:paraId="00D4F63A">
            <w:pPr>
              <w:spacing w:line="246" w:lineRule="auto"/>
              <w:rPr>
                <w:rFonts w:ascii="Arial"/>
                <w:sz w:val="21"/>
                <w:highlight w:val="none"/>
              </w:rPr>
            </w:pPr>
          </w:p>
          <w:p w14:paraId="3AF66A89">
            <w:pPr>
              <w:spacing w:line="246" w:lineRule="auto"/>
              <w:rPr>
                <w:rFonts w:ascii="Arial"/>
                <w:sz w:val="21"/>
                <w:highlight w:val="none"/>
              </w:rPr>
            </w:pPr>
          </w:p>
          <w:p w14:paraId="51CEBCE1">
            <w:pPr>
              <w:spacing w:line="247" w:lineRule="auto"/>
              <w:rPr>
                <w:rFonts w:ascii="Arial"/>
                <w:sz w:val="21"/>
                <w:highlight w:val="none"/>
              </w:rPr>
            </w:pPr>
          </w:p>
          <w:p w14:paraId="4795B89D">
            <w:pPr>
              <w:spacing w:line="247" w:lineRule="auto"/>
              <w:rPr>
                <w:rFonts w:ascii="Arial"/>
                <w:sz w:val="21"/>
                <w:highlight w:val="none"/>
              </w:rPr>
            </w:pPr>
          </w:p>
          <w:p w14:paraId="31297196">
            <w:pPr>
              <w:spacing w:line="247" w:lineRule="auto"/>
              <w:rPr>
                <w:rFonts w:ascii="Arial"/>
                <w:sz w:val="21"/>
                <w:highlight w:val="none"/>
              </w:rPr>
            </w:pPr>
          </w:p>
          <w:p w14:paraId="0CBA4984">
            <w:pPr>
              <w:spacing w:line="247" w:lineRule="auto"/>
              <w:rPr>
                <w:rFonts w:ascii="Arial"/>
                <w:sz w:val="21"/>
                <w:highlight w:val="none"/>
              </w:rPr>
            </w:pPr>
          </w:p>
          <w:p w14:paraId="39F1781D">
            <w:pPr>
              <w:pStyle w:val="14"/>
              <w:spacing w:before="78" w:line="315" w:lineRule="exact"/>
              <w:ind w:left="319"/>
              <w:rPr>
                <w:highlight w:val="none"/>
              </w:rPr>
            </w:pPr>
            <w:r>
              <w:rPr>
                <w:spacing w:val="-6"/>
                <w:position w:val="1"/>
                <w:highlight w:val="none"/>
              </w:rPr>
              <w:t>22</w:t>
            </w:r>
          </w:p>
        </w:tc>
        <w:tc>
          <w:tcPr>
            <w:tcW w:w="1700" w:type="dxa"/>
            <w:vAlign w:val="top"/>
          </w:tcPr>
          <w:p w14:paraId="15CF567A">
            <w:pPr>
              <w:spacing w:line="246" w:lineRule="auto"/>
              <w:rPr>
                <w:rFonts w:ascii="Arial"/>
                <w:sz w:val="21"/>
                <w:highlight w:val="none"/>
              </w:rPr>
            </w:pPr>
          </w:p>
          <w:p w14:paraId="452BACD2">
            <w:pPr>
              <w:spacing w:line="247" w:lineRule="auto"/>
              <w:rPr>
                <w:rFonts w:ascii="Arial"/>
                <w:sz w:val="21"/>
                <w:highlight w:val="none"/>
              </w:rPr>
            </w:pPr>
          </w:p>
          <w:p w14:paraId="48BDB72E">
            <w:pPr>
              <w:spacing w:line="247" w:lineRule="auto"/>
              <w:rPr>
                <w:rFonts w:ascii="Arial"/>
                <w:sz w:val="21"/>
                <w:highlight w:val="none"/>
              </w:rPr>
            </w:pPr>
          </w:p>
          <w:p w14:paraId="29344802">
            <w:pPr>
              <w:spacing w:line="247" w:lineRule="auto"/>
              <w:rPr>
                <w:rFonts w:ascii="Arial"/>
                <w:sz w:val="21"/>
                <w:highlight w:val="none"/>
              </w:rPr>
            </w:pPr>
          </w:p>
          <w:p w14:paraId="64867FD0">
            <w:pPr>
              <w:spacing w:line="247" w:lineRule="auto"/>
              <w:rPr>
                <w:rFonts w:ascii="Arial"/>
                <w:sz w:val="21"/>
                <w:highlight w:val="none"/>
              </w:rPr>
            </w:pPr>
          </w:p>
          <w:p w14:paraId="208EF60F">
            <w:pPr>
              <w:spacing w:line="247" w:lineRule="auto"/>
              <w:rPr>
                <w:rFonts w:ascii="Arial"/>
                <w:sz w:val="21"/>
                <w:highlight w:val="none"/>
              </w:rPr>
            </w:pPr>
          </w:p>
          <w:p w14:paraId="5AF4B85B">
            <w:pPr>
              <w:pStyle w:val="14"/>
              <w:spacing w:before="78" w:line="219" w:lineRule="auto"/>
              <w:ind w:left="395"/>
              <w:rPr>
                <w:highlight w:val="none"/>
              </w:rPr>
            </w:pPr>
            <w:r>
              <w:rPr>
                <w:spacing w:val="-7"/>
                <w:highlight w:val="none"/>
              </w:rPr>
              <w:t>实物样品</w:t>
            </w:r>
          </w:p>
        </w:tc>
        <w:tc>
          <w:tcPr>
            <w:tcW w:w="7086" w:type="dxa"/>
            <w:vAlign w:val="top"/>
          </w:tcPr>
          <w:p w14:paraId="58FD12B6">
            <w:pPr>
              <w:pStyle w:val="14"/>
              <w:spacing w:before="37" w:line="219" w:lineRule="auto"/>
              <w:ind w:left="119"/>
              <w:rPr>
                <w:highlight w:val="none"/>
              </w:rPr>
            </w:pPr>
            <w:r>
              <w:rPr>
                <w:spacing w:val="-6"/>
                <w:highlight w:val="none"/>
              </w:rPr>
              <w:t>投标样品递交：</w:t>
            </w:r>
            <w:r>
              <w:rPr>
                <w:rFonts w:ascii="MS UI Gothic" w:hAnsi="MS UI Gothic" w:eastAsia="MS UI Gothic" w:cs="MS UI Gothic"/>
                <w:spacing w:val="-6"/>
                <w:highlight w:val="none"/>
              </w:rPr>
              <w:t>☑</w:t>
            </w:r>
            <w:r>
              <w:rPr>
                <w:spacing w:val="-6"/>
                <w:highlight w:val="none"/>
              </w:rPr>
              <w:t>不需要  □需要，具体要求如下：</w:t>
            </w:r>
          </w:p>
          <w:p w14:paraId="3F856CB6">
            <w:pPr>
              <w:pStyle w:val="14"/>
              <w:spacing w:before="87" w:line="219" w:lineRule="auto"/>
              <w:ind w:left="130"/>
              <w:rPr>
                <w:highlight w:val="none"/>
              </w:rPr>
            </w:pPr>
            <w:r>
              <w:rPr>
                <w:spacing w:val="-7"/>
                <w:highlight w:val="none"/>
              </w:rPr>
              <w:t>1.样品制作的标准和要求</w:t>
            </w:r>
            <w:r>
              <w:rPr>
                <w:spacing w:val="-5"/>
                <w:highlight w:val="none"/>
              </w:rPr>
              <w:t>：</w:t>
            </w:r>
            <w:r>
              <w:rPr>
                <w:spacing w:val="18"/>
                <w:highlight w:val="none"/>
                <w:u w:val="single" w:color="auto"/>
              </w:rPr>
              <w:t xml:space="preserve">     </w:t>
            </w:r>
            <w:r>
              <w:rPr>
                <w:spacing w:val="-5"/>
                <w:highlight w:val="none"/>
              </w:rPr>
              <w:t>；</w:t>
            </w:r>
          </w:p>
          <w:p w14:paraId="64CE37FF">
            <w:pPr>
              <w:pStyle w:val="14"/>
              <w:spacing w:before="89" w:line="219" w:lineRule="auto"/>
              <w:ind w:left="116"/>
              <w:rPr>
                <w:highlight w:val="none"/>
              </w:rPr>
            </w:pPr>
            <w:r>
              <w:rPr>
                <w:spacing w:val="-6"/>
                <w:highlight w:val="none"/>
              </w:rPr>
              <w:t>2.是否需要随样品提交相关检测报告：</w:t>
            </w:r>
            <w:r>
              <w:rPr>
                <w:spacing w:val="-94"/>
                <w:highlight w:val="none"/>
              </w:rPr>
              <w:t xml:space="preserve"> </w:t>
            </w:r>
            <w:r>
              <w:rPr>
                <w:spacing w:val="-6"/>
                <w:highlight w:val="none"/>
              </w:rPr>
              <w:t>□不需要  □</w:t>
            </w:r>
            <w:r>
              <w:rPr>
                <w:spacing w:val="-7"/>
                <w:highlight w:val="none"/>
              </w:rPr>
              <w:t>需要</w:t>
            </w:r>
          </w:p>
          <w:p w14:paraId="70371071">
            <w:pPr>
              <w:pStyle w:val="14"/>
              <w:spacing w:before="87" w:line="219" w:lineRule="auto"/>
              <w:ind w:left="118"/>
              <w:rPr>
                <w:highlight w:val="none"/>
              </w:rPr>
            </w:pPr>
            <w:r>
              <w:rPr>
                <w:spacing w:val="-6"/>
                <w:highlight w:val="none"/>
              </w:rPr>
              <w:t>3.样品递交要求：递交时间</w:t>
            </w:r>
            <w:r>
              <w:rPr>
                <w:spacing w:val="-4"/>
                <w:highlight w:val="none"/>
              </w:rPr>
              <w:t>：</w:t>
            </w:r>
            <w:r>
              <w:rPr>
                <w:spacing w:val="18"/>
                <w:highlight w:val="none"/>
                <w:u w:val="single" w:color="auto"/>
              </w:rPr>
              <w:t xml:space="preserve">     </w:t>
            </w:r>
            <w:r>
              <w:rPr>
                <w:spacing w:val="-4"/>
                <w:highlight w:val="none"/>
              </w:rPr>
              <w:t>；</w:t>
            </w:r>
          </w:p>
          <w:p w14:paraId="40F3B68F">
            <w:pPr>
              <w:pStyle w:val="14"/>
              <w:spacing w:before="89" w:line="222" w:lineRule="auto"/>
              <w:ind w:left="123"/>
              <w:rPr>
                <w:highlight w:val="none"/>
              </w:rPr>
            </w:pPr>
            <w:r>
              <w:rPr>
                <w:spacing w:val="-9"/>
                <w:highlight w:val="none"/>
              </w:rPr>
              <w:t>递交地点</w:t>
            </w:r>
            <w:r>
              <w:rPr>
                <w:spacing w:val="-6"/>
                <w:highlight w:val="none"/>
              </w:rPr>
              <w:t>：</w:t>
            </w:r>
            <w:r>
              <w:rPr>
                <w:spacing w:val="18"/>
                <w:highlight w:val="none"/>
                <w:u w:val="single" w:color="auto"/>
              </w:rPr>
              <w:t xml:space="preserve">     </w:t>
            </w:r>
            <w:r>
              <w:rPr>
                <w:spacing w:val="-6"/>
                <w:highlight w:val="none"/>
              </w:rPr>
              <w:t>；</w:t>
            </w:r>
          </w:p>
          <w:p w14:paraId="547CAEF4">
            <w:pPr>
              <w:pStyle w:val="14"/>
              <w:spacing w:before="85" w:line="219" w:lineRule="auto"/>
              <w:ind w:left="119"/>
              <w:rPr>
                <w:highlight w:val="none"/>
              </w:rPr>
            </w:pPr>
            <w:r>
              <w:rPr>
                <w:spacing w:val="-6"/>
                <w:highlight w:val="none"/>
              </w:rPr>
              <w:t>逾期提供的样品将不予接受。</w:t>
            </w:r>
          </w:p>
          <w:p w14:paraId="0DF42AE1">
            <w:pPr>
              <w:pStyle w:val="14"/>
              <w:spacing w:before="88" w:line="219" w:lineRule="auto"/>
              <w:ind w:left="112"/>
              <w:rPr>
                <w:highlight w:val="none"/>
              </w:rPr>
            </w:pPr>
            <w:r>
              <w:rPr>
                <w:spacing w:val="-6"/>
                <w:highlight w:val="none"/>
              </w:rPr>
              <w:t>4.未中标人样品退还</w:t>
            </w:r>
            <w:r>
              <w:rPr>
                <w:spacing w:val="-2"/>
                <w:highlight w:val="none"/>
              </w:rPr>
              <w:t>：</w:t>
            </w:r>
            <w:r>
              <w:rPr>
                <w:spacing w:val="17"/>
                <w:highlight w:val="none"/>
                <w:u w:val="single" w:color="auto"/>
              </w:rPr>
              <w:t xml:space="preserve">     </w:t>
            </w:r>
            <w:r>
              <w:rPr>
                <w:spacing w:val="-2"/>
                <w:highlight w:val="none"/>
              </w:rPr>
              <w:t>；</w:t>
            </w:r>
          </w:p>
          <w:p w14:paraId="5E38FB19">
            <w:pPr>
              <w:pStyle w:val="14"/>
              <w:spacing w:before="89" w:line="219" w:lineRule="auto"/>
              <w:ind w:left="118"/>
              <w:rPr>
                <w:highlight w:val="none"/>
              </w:rPr>
            </w:pPr>
            <w:r>
              <w:rPr>
                <w:spacing w:val="-6"/>
                <w:highlight w:val="none"/>
              </w:rPr>
              <w:t>5.中标人样品保管、封存及退还</w:t>
            </w:r>
            <w:r>
              <w:rPr>
                <w:spacing w:val="-4"/>
                <w:highlight w:val="none"/>
              </w:rPr>
              <w:t>：</w:t>
            </w:r>
            <w:r>
              <w:rPr>
                <w:spacing w:val="18"/>
                <w:highlight w:val="none"/>
                <w:u w:val="single" w:color="auto"/>
              </w:rPr>
              <w:t xml:space="preserve">     </w:t>
            </w:r>
            <w:r>
              <w:rPr>
                <w:spacing w:val="-4"/>
                <w:highlight w:val="none"/>
              </w:rPr>
              <w:t>；</w:t>
            </w:r>
          </w:p>
          <w:p w14:paraId="7447100C">
            <w:pPr>
              <w:pStyle w:val="14"/>
              <w:spacing w:before="89" w:line="222" w:lineRule="auto"/>
              <w:ind w:left="115"/>
              <w:rPr>
                <w:highlight w:val="none"/>
              </w:rPr>
            </w:pPr>
            <w:r>
              <w:rPr>
                <w:spacing w:val="-6"/>
                <w:highlight w:val="none"/>
              </w:rPr>
              <w:t>6.其他要求（如有</w:t>
            </w:r>
            <w:r>
              <w:rPr>
                <w:spacing w:val="-4"/>
                <w:highlight w:val="none"/>
              </w:rPr>
              <w:t>）：</w:t>
            </w:r>
            <w:r>
              <w:rPr>
                <w:spacing w:val="18"/>
                <w:highlight w:val="none"/>
                <w:u w:val="single" w:color="auto"/>
              </w:rPr>
              <w:t xml:space="preserve">     </w:t>
            </w:r>
            <w:r>
              <w:rPr>
                <w:spacing w:val="-6"/>
                <w:highlight w:val="none"/>
              </w:rPr>
              <w:t>。</w:t>
            </w:r>
          </w:p>
        </w:tc>
      </w:tr>
      <w:tr w14:paraId="4830C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853" w:type="dxa"/>
            <w:vAlign w:val="top"/>
          </w:tcPr>
          <w:p w14:paraId="60E8760D">
            <w:pPr>
              <w:spacing w:line="247" w:lineRule="auto"/>
              <w:rPr>
                <w:rFonts w:ascii="Arial"/>
                <w:sz w:val="21"/>
                <w:highlight w:val="none"/>
              </w:rPr>
            </w:pPr>
          </w:p>
          <w:p w14:paraId="25AF3B91">
            <w:pPr>
              <w:spacing w:line="247" w:lineRule="auto"/>
              <w:rPr>
                <w:rFonts w:ascii="Arial"/>
                <w:sz w:val="21"/>
                <w:highlight w:val="none"/>
              </w:rPr>
            </w:pPr>
          </w:p>
          <w:p w14:paraId="552730EE">
            <w:pPr>
              <w:spacing w:line="247" w:lineRule="auto"/>
              <w:rPr>
                <w:rFonts w:ascii="Arial"/>
                <w:sz w:val="21"/>
                <w:highlight w:val="none"/>
              </w:rPr>
            </w:pPr>
          </w:p>
          <w:p w14:paraId="14AB4A55">
            <w:pPr>
              <w:pStyle w:val="14"/>
              <w:spacing w:before="78"/>
              <w:ind w:left="201"/>
              <w:rPr>
                <w:highlight w:val="none"/>
              </w:rPr>
            </w:pPr>
            <w:r>
              <w:rPr>
                <w:spacing w:val="-5"/>
                <w:highlight w:val="none"/>
              </w:rPr>
              <w:t>23.1</w:t>
            </w:r>
          </w:p>
        </w:tc>
        <w:tc>
          <w:tcPr>
            <w:tcW w:w="1700" w:type="dxa"/>
            <w:vAlign w:val="top"/>
          </w:tcPr>
          <w:p w14:paraId="0F15A532">
            <w:pPr>
              <w:spacing w:line="247" w:lineRule="auto"/>
              <w:rPr>
                <w:rFonts w:ascii="Arial"/>
                <w:sz w:val="21"/>
                <w:highlight w:val="none"/>
              </w:rPr>
            </w:pPr>
          </w:p>
          <w:p w14:paraId="45BCDAE0">
            <w:pPr>
              <w:spacing w:line="247" w:lineRule="auto"/>
              <w:rPr>
                <w:rFonts w:ascii="Arial"/>
                <w:sz w:val="21"/>
                <w:highlight w:val="none"/>
              </w:rPr>
            </w:pPr>
          </w:p>
          <w:p w14:paraId="6F95652E">
            <w:pPr>
              <w:spacing w:line="247" w:lineRule="auto"/>
              <w:rPr>
                <w:rFonts w:ascii="Arial"/>
                <w:sz w:val="21"/>
                <w:highlight w:val="none"/>
              </w:rPr>
            </w:pPr>
          </w:p>
          <w:p w14:paraId="7617A8CC">
            <w:pPr>
              <w:pStyle w:val="14"/>
              <w:spacing w:before="78" w:line="225" w:lineRule="auto"/>
              <w:ind w:left="630"/>
              <w:rPr>
                <w:highlight w:val="none"/>
              </w:rPr>
            </w:pPr>
            <w:r>
              <w:rPr>
                <w:spacing w:val="-10"/>
                <w:highlight w:val="none"/>
              </w:rPr>
              <w:t>演示</w:t>
            </w:r>
          </w:p>
        </w:tc>
        <w:tc>
          <w:tcPr>
            <w:tcW w:w="7086" w:type="dxa"/>
            <w:vAlign w:val="top"/>
          </w:tcPr>
          <w:p w14:paraId="06DC2F40">
            <w:pPr>
              <w:pStyle w:val="14"/>
              <w:spacing w:before="38" w:line="221" w:lineRule="auto"/>
              <w:ind w:left="123"/>
              <w:rPr>
                <w:highlight w:val="none"/>
              </w:rPr>
            </w:pPr>
            <w:r>
              <w:rPr>
                <w:rFonts w:ascii="MS UI Gothic" w:hAnsi="MS UI Gothic" w:eastAsia="MS UI Gothic" w:cs="MS UI Gothic"/>
                <w:spacing w:val="-6"/>
                <w:highlight w:val="none"/>
              </w:rPr>
              <w:t>☑</w:t>
            </w:r>
            <w:r>
              <w:rPr>
                <w:spacing w:val="-6"/>
                <w:highlight w:val="none"/>
              </w:rPr>
              <w:t>不进行   □进行，远程线上演示/现场演示</w:t>
            </w:r>
          </w:p>
          <w:p w14:paraId="4EA373C9">
            <w:pPr>
              <w:pStyle w:val="14"/>
              <w:spacing w:before="85" w:line="222" w:lineRule="auto"/>
              <w:ind w:left="130"/>
              <w:rPr>
                <w:highlight w:val="none"/>
              </w:rPr>
            </w:pPr>
            <w:r>
              <w:rPr>
                <w:spacing w:val="-7"/>
                <w:highlight w:val="none"/>
              </w:rPr>
              <w:t>1.演示时间不得超过</w:t>
            </w:r>
            <w:r>
              <w:rPr>
                <w:spacing w:val="-7"/>
                <w:highlight w:val="none"/>
                <w:u w:val="single" w:color="auto"/>
              </w:rPr>
              <w:t xml:space="preserve">  /</w:t>
            </w:r>
            <w:r>
              <w:rPr>
                <w:spacing w:val="106"/>
                <w:highlight w:val="none"/>
                <w:u w:val="single" w:color="auto"/>
              </w:rPr>
              <w:t xml:space="preserve"> </w:t>
            </w:r>
            <w:r>
              <w:rPr>
                <w:spacing w:val="-101"/>
                <w:highlight w:val="none"/>
              </w:rPr>
              <w:t xml:space="preserve"> </w:t>
            </w:r>
            <w:r>
              <w:rPr>
                <w:spacing w:val="-7"/>
                <w:highlight w:val="none"/>
              </w:rPr>
              <w:t>分钟；</w:t>
            </w:r>
          </w:p>
          <w:p w14:paraId="4073D642">
            <w:pPr>
              <w:pStyle w:val="14"/>
              <w:spacing w:before="84" w:line="275" w:lineRule="auto"/>
              <w:ind w:left="120" w:right="100" w:hanging="4"/>
              <w:rPr>
                <w:highlight w:val="none"/>
              </w:rPr>
            </w:pPr>
            <w:r>
              <w:rPr>
                <w:spacing w:val="-3"/>
                <w:highlight w:val="none"/>
              </w:rPr>
              <w:t>2.进行远程线上演示的，投标人应提前自行准备好</w:t>
            </w:r>
            <w:r>
              <w:rPr>
                <w:spacing w:val="-4"/>
                <w:highlight w:val="none"/>
              </w:rPr>
              <w:t>演示的软硬配置环境和网络环境，做好演示的各项准备工作。因投标人自身原因无</w:t>
            </w:r>
            <w:r>
              <w:rPr>
                <w:spacing w:val="-5"/>
                <w:highlight w:val="none"/>
              </w:rPr>
              <w:t>法演示或者演示效果不理想的，导致的后果由投</w:t>
            </w:r>
            <w:r>
              <w:rPr>
                <w:spacing w:val="-6"/>
                <w:highlight w:val="none"/>
              </w:rPr>
              <w:t>标人自行承担；</w:t>
            </w:r>
          </w:p>
        </w:tc>
      </w:tr>
    </w:tbl>
    <w:p w14:paraId="6681873D">
      <w:pPr>
        <w:spacing w:line="110" w:lineRule="auto"/>
        <w:rPr>
          <w:rFonts w:hint="eastAsia" w:ascii="Arial" w:eastAsia="宋体"/>
          <w:sz w:val="2"/>
          <w:highlight w:val="none"/>
          <w:lang w:eastAsia="zh-CN"/>
        </w:rPr>
      </w:pPr>
    </w:p>
    <w:tbl>
      <w:tblPr>
        <w:tblStyle w:val="13"/>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700"/>
        <w:gridCol w:w="7086"/>
      </w:tblGrid>
      <w:tr w14:paraId="28CD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853" w:type="dxa"/>
            <w:vAlign w:val="top"/>
          </w:tcPr>
          <w:p w14:paraId="68CA0F02">
            <w:pPr>
              <w:pStyle w:val="14"/>
              <w:spacing w:before="222"/>
              <w:ind w:left="201"/>
              <w:rPr>
                <w:highlight w:val="none"/>
              </w:rPr>
            </w:pPr>
            <w:r>
              <w:rPr>
                <w:spacing w:val="-5"/>
                <w:highlight w:val="none"/>
              </w:rPr>
              <w:t>25.3</w:t>
            </w:r>
          </w:p>
          <w:p w14:paraId="1B919537">
            <w:pPr>
              <w:pStyle w:val="14"/>
              <w:spacing w:before="59" w:line="236" w:lineRule="auto"/>
              <w:ind w:left="149"/>
              <w:rPr>
                <w:highlight w:val="none"/>
              </w:rPr>
            </w:pPr>
            <w:r>
              <w:rPr>
                <w:spacing w:val="-9"/>
                <w:highlight w:val="none"/>
              </w:rPr>
              <w:t>（3）</w:t>
            </w:r>
          </w:p>
        </w:tc>
        <w:tc>
          <w:tcPr>
            <w:tcW w:w="1700" w:type="dxa"/>
            <w:vAlign w:val="top"/>
          </w:tcPr>
          <w:p w14:paraId="31F38E94">
            <w:pPr>
              <w:pStyle w:val="14"/>
              <w:spacing w:before="222" w:line="287" w:lineRule="auto"/>
              <w:ind w:left="354" w:right="295" w:hanging="130"/>
              <w:rPr>
                <w:highlight w:val="none"/>
              </w:rPr>
            </w:pPr>
            <w:r>
              <w:rPr>
                <w:spacing w:val="-5"/>
                <w:highlight w:val="none"/>
              </w:rPr>
              <w:t>解密投标文</w:t>
            </w:r>
            <w:r>
              <w:rPr>
                <w:spacing w:val="-7"/>
                <w:highlight w:val="none"/>
              </w:rPr>
              <w:t>件的时限</w:t>
            </w:r>
          </w:p>
        </w:tc>
        <w:tc>
          <w:tcPr>
            <w:tcW w:w="7086" w:type="dxa"/>
            <w:vAlign w:val="top"/>
          </w:tcPr>
          <w:p w14:paraId="02BE32E0">
            <w:pPr>
              <w:pStyle w:val="14"/>
              <w:spacing w:before="35" w:line="222" w:lineRule="auto"/>
              <w:ind w:left="126"/>
              <w:rPr>
                <w:highlight w:val="none"/>
              </w:rPr>
            </w:pPr>
            <w:r>
              <w:rPr>
                <w:spacing w:val="-7"/>
                <w:highlight w:val="none"/>
              </w:rPr>
              <w:t>不见面开标默认解密时长：</w:t>
            </w:r>
            <w:r>
              <w:rPr>
                <w:spacing w:val="-7"/>
                <w:highlight w:val="none"/>
                <w:u w:val="single" w:color="auto"/>
              </w:rPr>
              <w:t xml:space="preserve">   30</w:t>
            </w:r>
            <w:r>
              <w:rPr>
                <w:spacing w:val="117"/>
                <w:highlight w:val="none"/>
                <w:u w:val="single" w:color="auto"/>
              </w:rPr>
              <w:t xml:space="preserve"> </w:t>
            </w:r>
            <w:r>
              <w:rPr>
                <w:spacing w:val="-101"/>
                <w:highlight w:val="none"/>
              </w:rPr>
              <w:t xml:space="preserve"> </w:t>
            </w:r>
            <w:r>
              <w:rPr>
                <w:spacing w:val="-7"/>
                <w:highlight w:val="none"/>
              </w:rPr>
              <w:t>分钟。</w:t>
            </w:r>
          </w:p>
          <w:p w14:paraId="792EBF6D">
            <w:pPr>
              <w:pStyle w:val="14"/>
              <w:spacing w:before="84" w:line="271" w:lineRule="auto"/>
              <w:ind w:left="120" w:right="100" w:firstLine="11"/>
              <w:rPr>
                <w:highlight w:val="none"/>
              </w:rPr>
            </w:pPr>
            <w:r>
              <w:rPr>
                <w:spacing w:val="-4"/>
                <w:highlight w:val="none"/>
              </w:rPr>
              <w:t>除因交易平台发生故障导致投标文件无法按时解密外，投标文件未</w:t>
            </w:r>
            <w:r>
              <w:rPr>
                <w:spacing w:val="-6"/>
                <w:highlight w:val="none"/>
              </w:rPr>
              <w:t>按时解密的，视为未按规定提交投标文件。</w:t>
            </w:r>
          </w:p>
        </w:tc>
      </w:tr>
      <w:tr w14:paraId="291DA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3" w:type="dxa"/>
            <w:vAlign w:val="top"/>
          </w:tcPr>
          <w:p w14:paraId="374C6B8C">
            <w:pPr>
              <w:pStyle w:val="14"/>
              <w:spacing w:before="219"/>
              <w:ind w:left="201"/>
              <w:rPr>
                <w:highlight w:val="none"/>
              </w:rPr>
            </w:pPr>
            <w:r>
              <w:rPr>
                <w:spacing w:val="-5"/>
                <w:highlight w:val="none"/>
              </w:rPr>
              <w:t>29.1</w:t>
            </w:r>
          </w:p>
        </w:tc>
        <w:tc>
          <w:tcPr>
            <w:tcW w:w="1700" w:type="dxa"/>
            <w:vAlign w:val="top"/>
          </w:tcPr>
          <w:p w14:paraId="2D6CEF03">
            <w:pPr>
              <w:pStyle w:val="14"/>
              <w:spacing w:before="219" w:line="222" w:lineRule="auto"/>
              <w:ind w:left="388"/>
              <w:rPr>
                <w:highlight w:val="none"/>
              </w:rPr>
            </w:pPr>
            <w:r>
              <w:rPr>
                <w:spacing w:val="-7"/>
                <w:highlight w:val="none"/>
              </w:rPr>
              <w:t>评标方法</w:t>
            </w:r>
          </w:p>
        </w:tc>
        <w:tc>
          <w:tcPr>
            <w:tcW w:w="7086" w:type="dxa"/>
            <w:vAlign w:val="top"/>
          </w:tcPr>
          <w:p w14:paraId="5290D2FF">
            <w:pPr>
              <w:pStyle w:val="14"/>
              <w:spacing w:before="32" w:line="222" w:lineRule="auto"/>
              <w:ind w:left="123"/>
              <w:rPr>
                <w:highlight w:val="none"/>
              </w:rPr>
            </w:pPr>
            <w:r>
              <w:rPr>
                <w:rFonts w:ascii="MS UI Gothic" w:hAnsi="MS UI Gothic" w:eastAsia="MS UI Gothic" w:cs="MS UI Gothic"/>
                <w:spacing w:val="-7"/>
                <w:highlight w:val="none"/>
              </w:rPr>
              <w:t>☑</w:t>
            </w:r>
            <w:r>
              <w:rPr>
                <w:spacing w:val="-7"/>
                <w:highlight w:val="none"/>
              </w:rPr>
              <w:t>综合评分法</w:t>
            </w:r>
          </w:p>
          <w:p w14:paraId="5657B245">
            <w:pPr>
              <w:pStyle w:val="14"/>
              <w:spacing w:before="85" w:line="222" w:lineRule="auto"/>
              <w:ind w:left="362"/>
              <w:rPr>
                <w:highlight w:val="none"/>
              </w:rPr>
            </w:pPr>
            <w:r>
              <w:rPr>
                <w:spacing w:val="-7"/>
                <w:highlight w:val="none"/>
              </w:rPr>
              <w:t>最低评标价法</w:t>
            </w:r>
          </w:p>
        </w:tc>
      </w:tr>
      <w:tr w14:paraId="25BF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3" w:type="dxa"/>
            <w:vAlign w:val="top"/>
          </w:tcPr>
          <w:p w14:paraId="719B149D">
            <w:pPr>
              <w:pStyle w:val="14"/>
              <w:spacing w:before="219"/>
              <w:ind w:left="201"/>
              <w:rPr>
                <w:highlight w:val="none"/>
              </w:rPr>
            </w:pPr>
            <w:r>
              <w:rPr>
                <w:spacing w:val="-5"/>
                <w:highlight w:val="none"/>
              </w:rPr>
              <w:t>29.3</w:t>
            </w:r>
          </w:p>
        </w:tc>
        <w:tc>
          <w:tcPr>
            <w:tcW w:w="1700" w:type="dxa"/>
            <w:vAlign w:val="top"/>
          </w:tcPr>
          <w:p w14:paraId="01F910E2">
            <w:pPr>
              <w:pStyle w:val="14"/>
              <w:spacing w:before="34" w:line="270" w:lineRule="auto"/>
              <w:ind w:left="462" w:right="411" w:hanging="114"/>
              <w:rPr>
                <w:highlight w:val="none"/>
              </w:rPr>
            </w:pPr>
            <w:r>
              <w:rPr>
                <w:spacing w:val="-7"/>
                <w:highlight w:val="none"/>
              </w:rPr>
              <w:t>推荐中标</w:t>
            </w:r>
            <w:r>
              <w:rPr>
                <w:spacing w:val="-6"/>
                <w:highlight w:val="none"/>
              </w:rPr>
              <w:t>候选人</w:t>
            </w:r>
          </w:p>
        </w:tc>
        <w:tc>
          <w:tcPr>
            <w:tcW w:w="7086" w:type="dxa"/>
            <w:vAlign w:val="top"/>
          </w:tcPr>
          <w:p w14:paraId="136A5011">
            <w:pPr>
              <w:pStyle w:val="14"/>
              <w:spacing w:before="218" w:line="222" w:lineRule="auto"/>
              <w:ind w:left="151"/>
              <w:rPr>
                <w:highlight w:val="none"/>
              </w:rPr>
            </w:pPr>
            <w:r>
              <w:rPr>
                <w:spacing w:val="-8"/>
                <w:highlight w:val="none"/>
              </w:rPr>
              <w:t>中标候选人数量</w:t>
            </w:r>
            <w:r>
              <w:rPr>
                <w:spacing w:val="-8"/>
                <w:highlight w:val="none"/>
                <w:u w:val="single" w:color="auto"/>
              </w:rPr>
              <w:t xml:space="preserve">   3   </w:t>
            </w:r>
            <w:r>
              <w:rPr>
                <w:spacing w:val="-99"/>
                <w:highlight w:val="none"/>
              </w:rPr>
              <w:t xml:space="preserve"> </w:t>
            </w:r>
            <w:r>
              <w:rPr>
                <w:spacing w:val="-8"/>
                <w:highlight w:val="none"/>
              </w:rPr>
              <w:t>家</w:t>
            </w:r>
          </w:p>
        </w:tc>
      </w:tr>
      <w:tr w14:paraId="00FF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3" w:type="dxa"/>
            <w:vAlign w:val="top"/>
          </w:tcPr>
          <w:p w14:paraId="2B6E8C56">
            <w:pPr>
              <w:pStyle w:val="14"/>
              <w:spacing w:before="218"/>
              <w:ind w:left="203"/>
              <w:rPr>
                <w:highlight w:val="none"/>
              </w:rPr>
            </w:pPr>
            <w:r>
              <w:rPr>
                <w:spacing w:val="-5"/>
                <w:highlight w:val="none"/>
              </w:rPr>
              <w:t>30.1</w:t>
            </w:r>
          </w:p>
        </w:tc>
        <w:tc>
          <w:tcPr>
            <w:tcW w:w="1700" w:type="dxa"/>
            <w:vAlign w:val="top"/>
          </w:tcPr>
          <w:p w14:paraId="5803D53A">
            <w:pPr>
              <w:pStyle w:val="14"/>
              <w:spacing w:before="218" w:line="222" w:lineRule="auto"/>
              <w:ind w:left="266"/>
              <w:rPr>
                <w:highlight w:val="none"/>
              </w:rPr>
            </w:pPr>
            <w:r>
              <w:rPr>
                <w:spacing w:val="-5"/>
                <w:highlight w:val="none"/>
              </w:rPr>
              <w:t>确定中标人</w:t>
            </w:r>
          </w:p>
        </w:tc>
        <w:tc>
          <w:tcPr>
            <w:tcW w:w="7086" w:type="dxa"/>
            <w:vAlign w:val="top"/>
          </w:tcPr>
          <w:p w14:paraId="4417B71E">
            <w:pPr>
              <w:pStyle w:val="14"/>
              <w:spacing w:before="32" w:line="271" w:lineRule="auto"/>
              <w:ind w:left="472" w:right="782" w:hanging="349"/>
              <w:rPr>
                <w:highlight w:val="none"/>
              </w:rPr>
            </w:pPr>
            <w:r>
              <w:rPr>
                <w:rFonts w:ascii="MS UI Gothic" w:hAnsi="MS UI Gothic" w:eastAsia="MS UI Gothic" w:cs="MS UI Gothic"/>
                <w:spacing w:val="-8"/>
                <w:highlight w:val="none"/>
              </w:rPr>
              <w:t>☑</w:t>
            </w:r>
            <w:r>
              <w:rPr>
                <w:rFonts w:ascii="MS UI Gothic" w:hAnsi="MS UI Gothic" w:eastAsia="MS UI Gothic" w:cs="MS UI Gothic"/>
                <w:spacing w:val="68"/>
                <w:highlight w:val="none"/>
              </w:rPr>
              <w:t xml:space="preserve"> </w:t>
            </w:r>
            <w:r>
              <w:rPr>
                <w:spacing w:val="-8"/>
                <w:highlight w:val="none"/>
              </w:rPr>
              <w:t>采购人按评审报告中推荐的中标候选人排序确定中标人。</w:t>
            </w:r>
            <w:r>
              <w:rPr>
                <w:spacing w:val="-6"/>
                <w:highlight w:val="none"/>
              </w:rPr>
              <w:t>采购人委托评标委员会直接确定中标人。</w:t>
            </w:r>
          </w:p>
        </w:tc>
      </w:tr>
      <w:tr w14:paraId="5CEA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7" w:hRule="atLeast"/>
        </w:trPr>
        <w:tc>
          <w:tcPr>
            <w:tcW w:w="853" w:type="dxa"/>
            <w:vAlign w:val="top"/>
          </w:tcPr>
          <w:p w14:paraId="4F849799">
            <w:pPr>
              <w:spacing w:line="257" w:lineRule="auto"/>
              <w:rPr>
                <w:rFonts w:ascii="Arial"/>
                <w:sz w:val="21"/>
                <w:highlight w:val="none"/>
              </w:rPr>
            </w:pPr>
          </w:p>
          <w:p w14:paraId="481448CC">
            <w:pPr>
              <w:spacing w:line="257" w:lineRule="auto"/>
              <w:rPr>
                <w:rFonts w:ascii="Arial"/>
                <w:sz w:val="21"/>
                <w:highlight w:val="none"/>
              </w:rPr>
            </w:pPr>
          </w:p>
          <w:p w14:paraId="5F7C53D8">
            <w:pPr>
              <w:spacing w:line="258" w:lineRule="auto"/>
              <w:rPr>
                <w:rFonts w:ascii="Arial"/>
                <w:sz w:val="21"/>
                <w:highlight w:val="none"/>
              </w:rPr>
            </w:pPr>
          </w:p>
          <w:p w14:paraId="101644BA">
            <w:pPr>
              <w:spacing w:line="258" w:lineRule="auto"/>
              <w:rPr>
                <w:rFonts w:ascii="Arial"/>
                <w:sz w:val="21"/>
                <w:highlight w:val="none"/>
              </w:rPr>
            </w:pPr>
          </w:p>
          <w:p w14:paraId="23993753">
            <w:pPr>
              <w:pStyle w:val="14"/>
              <w:spacing w:before="78"/>
              <w:ind w:left="256"/>
              <w:rPr>
                <w:highlight w:val="none"/>
              </w:rPr>
            </w:pPr>
            <w:r>
              <w:rPr>
                <w:spacing w:val="-5"/>
                <w:highlight w:val="none"/>
              </w:rPr>
              <w:t>30.2</w:t>
            </w:r>
          </w:p>
          <w:p w14:paraId="076DD26D">
            <w:pPr>
              <w:pStyle w:val="14"/>
              <w:spacing w:before="139"/>
              <w:ind w:left="256"/>
              <w:rPr>
                <w:highlight w:val="none"/>
              </w:rPr>
            </w:pPr>
            <w:r>
              <w:rPr>
                <w:spacing w:val="-5"/>
                <w:highlight w:val="none"/>
              </w:rPr>
              <w:t>30.3</w:t>
            </w:r>
          </w:p>
        </w:tc>
        <w:tc>
          <w:tcPr>
            <w:tcW w:w="1700" w:type="dxa"/>
            <w:vAlign w:val="top"/>
          </w:tcPr>
          <w:p w14:paraId="480898CE">
            <w:pPr>
              <w:spacing w:line="347" w:lineRule="auto"/>
              <w:rPr>
                <w:rFonts w:ascii="Arial"/>
                <w:sz w:val="21"/>
                <w:highlight w:val="none"/>
              </w:rPr>
            </w:pPr>
          </w:p>
          <w:p w14:paraId="0F552874">
            <w:pPr>
              <w:spacing w:line="347" w:lineRule="auto"/>
              <w:rPr>
                <w:rFonts w:ascii="Arial"/>
                <w:sz w:val="21"/>
                <w:highlight w:val="none"/>
              </w:rPr>
            </w:pPr>
          </w:p>
          <w:p w14:paraId="2EC08E92">
            <w:pPr>
              <w:pStyle w:val="14"/>
              <w:spacing w:before="78" w:line="288" w:lineRule="auto"/>
              <w:ind w:left="118" w:right="101" w:firstLine="2"/>
              <w:jc w:val="both"/>
              <w:rPr>
                <w:highlight w:val="none"/>
              </w:rPr>
            </w:pPr>
            <w:r>
              <w:rPr>
                <w:spacing w:val="5"/>
                <w:highlight w:val="none"/>
              </w:rPr>
              <w:t>提供相同品牌产品的不同投标人确定中标</w:t>
            </w:r>
            <w:r>
              <w:rPr>
                <w:spacing w:val="-6"/>
                <w:highlight w:val="none"/>
              </w:rPr>
              <w:t>候选人的规定</w:t>
            </w:r>
          </w:p>
        </w:tc>
        <w:tc>
          <w:tcPr>
            <w:tcW w:w="7086" w:type="dxa"/>
            <w:vAlign w:val="top"/>
          </w:tcPr>
          <w:p w14:paraId="7AE41EE8">
            <w:pPr>
              <w:pStyle w:val="14"/>
              <w:spacing w:before="33" w:line="287" w:lineRule="auto"/>
              <w:ind w:left="120" w:right="100" w:firstLine="2"/>
              <w:rPr>
                <w:highlight w:val="none"/>
              </w:rPr>
            </w:pPr>
            <w:r>
              <w:rPr>
                <w:rFonts w:ascii="MS UI Gothic" w:hAnsi="MS UI Gothic" w:eastAsia="MS UI Gothic" w:cs="MS UI Gothic"/>
                <w:highlight w:val="none"/>
              </w:rPr>
              <w:t>☑</w:t>
            </w:r>
            <w:r>
              <w:rPr>
                <w:rFonts w:ascii="MS UI Gothic" w:hAnsi="MS UI Gothic" w:eastAsia="MS UI Gothic" w:cs="MS UI Gothic"/>
                <w:spacing w:val="66"/>
                <w:w w:val="101"/>
                <w:highlight w:val="none"/>
              </w:rPr>
              <w:t xml:space="preserve"> </w:t>
            </w:r>
            <w:r>
              <w:rPr>
                <w:highlight w:val="none"/>
              </w:rPr>
              <w:t>综合评分法的采购项目，提供相同品牌产品且通过资</w:t>
            </w:r>
            <w:r>
              <w:rPr>
                <w:spacing w:val="-1"/>
                <w:highlight w:val="none"/>
              </w:rPr>
              <w:t>格审查、</w:t>
            </w:r>
            <w:r>
              <w:rPr>
                <w:spacing w:val="-4"/>
                <w:highlight w:val="none"/>
              </w:rPr>
              <w:t>符合性审查的不同投标人参加同一合同项下投标的，按一家投标人计算，评审后得分相同的，按照方式确定一个投标人获得中标人推</w:t>
            </w:r>
            <w:r>
              <w:rPr>
                <w:spacing w:val="-6"/>
                <w:highlight w:val="none"/>
              </w:rPr>
              <w:t>荐资格，其他同品牌投标人不作为中标候选人。</w:t>
            </w:r>
          </w:p>
          <w:p w14:paraId="19B165A0">
            <w:pPr>
              <w:pStyle w:val="14"/>
              <w:spacing w:before="5" w:line="278" w:lineRule="auto"/>
              <w:ind w:left="119" w:right="100" w:firstLine="369"/>
              <w:jc w:val="both"/>
              <w:rPr>
                <w:highlight w:val="none"/>
              </w:rPr>
            </w:pPr>
            <w:r>
              <w:rPr>
                <w:highlight w:val="none"/>
              </w:rPr>
              <w:t>最低评标价法的采购项目，提供相同品牌产品的不同投标人参</w:t>
            </w:r>
            <w:r>
              <w:rPr>
                <w:spacing w:val="-4"/>
                <w:highlight w:val="none"/>
              </w:rPr>
              <w:t>加同一合同项下投标的，以其中通过资格审查、符合性审查且报价最低的参加评标；报价相同的，按照方式确定一个参加评标的投标</w:t>
            </w:r>
            <w:r>
              <w:rPr>
                <w:spacing w:val="-6"/>
                <w:highlight w:val="none"/>
              </w:rPr>
              <w:t>人，其他投标无效。</w:t>
            </w:r>
          </w:p>
        </w:tc>
      </w:tr>
      <w:tr w14:paraId="5440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0" w:hRule="atLeast"/>
        </w:trPr>
        <w:tc>
          <w:tcPr>
            <w:tcW w:w="853" w:type="dxa"/>
            <w:vAlign w:val="top"/>
          </w:tcPr>
          <w:p w14:paraId="0D68B57E">
            <w:pPr>
              <w:spacing w:line="246" w:lineRule="auto"/>
              <w:rPr>
                <w:rFonts w:ascii="Arial"/>
                <w:sz w:val="21"/>
                <w:highlight w:val="none"/>
              </w:rPr>
            </w:pPr>
          </w:p>
          <w:p w14:paraId="054220E2">
            <w:pPr>
              <w:spacing w:line="246" w:lineRule="auto"/>
              <w:rPr>
                <w:rFonts w:ascii="Arial"/>
                <w:sz w:val="21"/>
                <w:highlight w:val="none"/>
              </w:rPr>
            </w:pPr>
          </w:p>
          <w:p w14:paraId="7C12BBF8">
            <w:pPr>
              <w:spacing w:line="246" w:lineRule="auto"/>
              <w:rPr>
                <w:rFonts w:ascii="Arial"/>
                <w:sz w:val="21"/>
                <w:highlight w:val="none"/>
              </w:rPr>
            </w:pPr>
          </w:p>
          <w:p w14:paraId="7AB92372">
            <w:pPr>
              <w:spacing w:line="247" w:lineRule="auto"/>
              <w:rPr>
                <w:rFonts w:ascii="Arial"/>
                <w:sz w:val="21"/>
                <w:highlight w:val="none"/>
              </w:rPr>
            </w:pPr>
          </w:p>
          <w:p w14:paraId="273917E7">
            <w:pPr>
              <w:spacing w:line="247" w:lineRule="auto"/>
              <w:rPr>
                <w:rFonts w:ascii="Arial"/>
                <w:sz w:val="21"/>
                <w:highlight w:val="none"/>
              </w:rPr>
            </w:pPr>
          </w:p>
          <w:p w14:paraId="4EC6BF02">
            <w:pPr>
              <w:spacing w:line="247" w:lineRule="auto"/>
              <w:rPr>
                <w:rFonts w:ascii="Arial"/>
                <w:sz w:val="21"/>
                <w:highlight w:val="none"/>
              </w:rPr>
            </w:pPr>
          </w:p>
          <w:p w14:paraId="38551CEB">
            <w:pPr>
              <w:pStyle w:val="14"/>
              <w:spacing w:before="78"/>
              <w:ind w:left="203"/>
              <w:rPr>
                <w:highlight w:val="none"/>
              </w:rPr>
            </w:pPr>
            <w:r>
              <w:rPr>
                <w:spacing w:val="-5"/>
                <w:highlight w:val="none"/>
              </w:rPr>
              <w:t>33.1</w:t>
            </w:r>
          </w:p>
        </w:tc>
        <w:tc>
          <w:tcPr>
            <w:tcW w:w="1700" w:type="dxa"/>
            <w:vAlign w:val="top"/>
          </w:tcPr>
          <w:p w14:paraId="03947C84">
            <w:pPr>
              <w:spacing w:line="246" w:lineRule="auto"/>
              <w:rPr>
                <w:rFonts w:ascii="Arial"/>
                <w:sz w:val="21"/>
                <w:highlight w:val="none"/>
              </w:rPr>
            </w:pPr>
          </w:p>
          <w:p w14:paraId="743CB6E3">
            <w:pPr>
              <w:spacing w:line="246" w:lineRule="auto"/>
              <w:rPr>
                <w:rFonts w:ascii="Arial"/>
                <w:sz w:val="21"/>
                <w:highlight w:val="none"/>
              </w:rPr>
            </w:pPr>
          </w:p>
          <w:p w14:paraId="48F43689">
            <w:pPr>
              <w:spacing w:line="246" w:lineRule="auto"/>
              <w:rPr>
                <w:rFonts w:ascii="Arial"/>
                <w:sz w:val="21"/>
                <w:highlight w:val="none"/>
              </w:rPr>
            </w:pPr>
          </w:p>
          <w:p w14:paraId="6B0DD8C2">
            <w:pPr>
              <w:spacing w:line="247" w:lineRule="auto"/>
              <w:rPr>
                <w:rFonts w:ascii="Arial"/>
                <w:sz w:val="21"/>
                <w:highlight w:val="none"/>
              </w:rPr>
            </w:pPr>
          </w:p>
          <w:p w14:paraId="69D08035">
            <w:pPr>
              <w:spacing w:line="247" w:lineRule="auto"/>
              <w:rPr>
                <w:rFonts w:ascii="Arial"/>
                <w:sz w:val="21"/>
                <w:highlight w:val="none"/>
              </w:rPr>
            </w:pPr>
          </w:p>
          <w:p w14:paraId="773BA76E">
            <w:pPr>
              <w:spacing w:line="247" w:lineRule="auto"/>
              <w:rPr>
                <w:rFonts w:ascii="Arial"/>
                <w:sz w:val="21"/>
                <w:highlight w:val="none"/>
              </w:rPr>
            </w:pPr>
          </w:p>
          <w:p w14:paraId="285E8571">
            <w:pPr>
              <w:pStyle w:val="14"/>
              <w:spacing w:before="78" w:line="221" w:lineRule="auto"/>
              <w:ind w:left="275"/>
              <w:rPr>
                <w:highlight w:val="none"/>
              </w:rPr>
            </w:pPr>
            <w:r>
              <w:rPr>
                <w:spacing w:val="-7"/>
                <w:highlight w:val="none"/>
              </w:rPr>
              <w:t>履约保证金</w:t>
            </w:r>
          </w:p>
        </w:tc>
        <w:tc>
          <w:tcPr>
            <w:tcW w:w="7086" w:type="dxa"/>
            <w:vAlign w:val="top"/>
          </w:tcPr>
          <w:p w14:paraId="34769DD5">
            <w:pPr>
              <w:pStyle w:val="14"/>
              <w:spacing w:before="32" w:line="221" w:lineRule="auto"/>
              <w:ind w:left="125"/>
              <w:rPr>
                <w:highlight w:val="none"/>
              </w:rPr>
            </w:pPr>
            <w:r>
              <w:rPr>
                <w:spacing w:val="-6"/>
                <w:highlight w:val="none"/>
              </w:rPr>
              <w:t>履约保证金：</w:t>
            </w:r>
            <w:r>
              <w:rPr>
                <w:rFonts w:hint="eastAsia" w:ascii="MS UI Gothic" w:hAnsi="MS UI Gothic" w:eastAsia="宋体" w:cs="MS UI Gothic"/>
                <w:spacing w:val="-6"/>
                <w:highlight w:val="none"/>
                <w:lang w:eastAsia="zh-CN"/>
              </w:rPr>
              <w:t>□</w:t>
            </w:r>
            <w:r>
              <w:rPr>
                <w:spacing w:val="-6"/>
                <w:highlight w:val="none"/>
              </w:rPr>
              <w:t xml:space="preserve">需要缴纳     </w:t>
            </w:r>
            <w:r>
              <w:rPr>
                <w:rFonts w:hint="eastAsia"/>
                <w:spacing w:val="-6"/>
                <w:highlight w:val="none"/>
                <w:lang w:eastAsia="zh-CN"/>
              </w:rPr>
              <w:t>☑</w:t>
            </w:r>
            <w:r>
              <w:rPr>
                <w:spacing w:val="-6"/>
                <w:highlight w:val="none"/>
              </w:rPr>
              <w:t>不需要缴纳</w:t>
            </w:r>
          </w:p>
          <w:p w14:paraId="393D5166">
            <w:pPr>
              <w:pStyle w:val="14"/>
              <w:spacing w:before="1" w:line="223" w:lineRule="auto"/>
              <w:ind w:left="127"/>
              <w:rPr>
                <w:highlight w:val="none"/>
              </w:rPr>
            </w:pPr>
            <w:r>
              <w:rPr>
                <w:b/>
                <w:bCs/>
                <w:spacing w:val="-10"/>
                <w:highlight w:val="none"/>
              </w:rPr>
              <w:t>注意事项：</w:t>
            </w:r>
          </w:p>
          <w:p w14:paraId="7BB587F9">
            <w:pPr>
              <w:pStyle w:val="14"/>
              <w:spacing w:before="83" w:line="287" w:lineRule="auto"/>
              <w:ind w:left="119" w:right="100" w:firstLine="11"/>
              <w:rPr>
                <w:highlight w:val="none"/>
              </w:rPr>
            </w:pPr>
            <w:r>
              <w:rPr>
                <w:spacing w:val="-4"/>
                <w:highlight w:val="none"/>
              </w:rPr>
              <w:t>1.以上各类机构出具的以担保函、保证保险承担责任的方式均须满</w:t>
            </w:r>
            <w:r>
              <w:rPr>
                <w:spacing w:val="-6"/>
                <w:highlight w:val="none"/>
              </w:rPr>
              <w:t>足无条件见索即付条件。</w:t>
            </w:r>
          </w:p>
          <w:p w14:paraId="257B1512">
            <w:pPr>
              <w:pStyle w:val="14"/>
              <w:spacing w:before="1" w:line="270" w:lineRule="auto"/>
              <w:ind w:left="121" w:right="100" w:hanging="5"/>
              <w:rPr>
                <w:highlight w:val="none"/>
              </w:rPr>
            </w:pPr>
            <w:r>
              <w:rPr>
                <w:spacing w:val="-3"/>
                <w:highlight w:val="none"/>
              </w:rPr>
              <w:t>2.以担保函、保证保险形式缴纳履约保证金的，受</w:t>
            </w:r>
            <w:r>
              <w:rPr>
                <w:spacing w:val="-4"/>
                <w:highlight w:val="none"/>
              </w:rPr>
              <w:t>益人和收取单位</w:t>
            </w:r>
            <w:r>
              <w:rPr>
                <w:spacing w:val="-7"/>
                <w:highlight w:val="none"/>
              </w:rPr>
              <w:t>须为采购人。</w:t>
            </w:r>
          </w:p>
        </w:tc>
      </w:tr>
      <w:tr w14:paraId="3E0E1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853" w:type="dxa"/>
            <w:vAlign w:val="top"/>
          </w:tcPr>
          <w:p w14:paraId="68A9E34B">
            <w:pPr>
              <w:spacing w:line="368" w:lineRule="auto"/>
              <w:rPr>
                <w:rFonts w:ascii="Arial"/>
                <w:sz w:val="21"/>
                <w:highlight w:val="none"/>
              </w:rPr>
            </w:pPr>
          </w:p>
          <w:p w14:paraId="5D5FF7EC">
            <w:pPr>
              <w:pStyle w:val="14"/>
              <w:spacing w:before="78"/>
              <w:ind w:left="203"/>
              <w:rPr>
                <w:highlight w:val="none"/>
              </w:rPr>
            </w:pPr>
            <w:r>
              <w:rPr>
                <w:spacing w:val="-5"/>
                <w:highlight w:val="none"/>
              </w:rPr>
              <w:t>34.5</w:t>
            </w:r>
          </w:p>
        </w:tc>
        <w:tc>
          <w:tcPr>
            <w:tcW w:w="1700" w:type="dxa"/>
            <w:vAlign w:val="top"/>
          </w:tcPr>
          <w:p w14:paraId="1E5783C6">
            <w:pPr>
              <w:spacing w:line="368" w:lineRule="auto"/>
              <w:rPr>
                <w:rFonts w:ascii="Arial"/>
                <w:sz w:val="21"/>
                <w:highlight w:val="none"/>
              </w:rPr>
            </w:pPr>
          </w:p>
          <w:p w14:paraId="0F88C48F">
            <w:pPr>
              <w:pStyle w:val="14"/>
              <w:spacing w:before="78" w:line="222" w:lineRule="auto"/>
              <w:ind w:left="310"/>
              <w:rPr>
                <w:highlight w:val="none"/>
              </w:rPr>
            </w:pPr>
            <w:r>
              <w:rPr>
                <w:spacing w:val="-14"/>
                <w:highlight w:val="none"/>
              </w:rPr>
              <w:t>中标后分包</w:t>
            </w:r>
          </w:p>
        </w:tc>
        <w:tc>
          <w:tcPr>
            <w:tcW w:w="7086" w:type="dxa"/>
            <w:vAlign w:val="top"/>
          </w:tcPr>
          <w:p w14:paraId="29B2F3F8">
            <w:pPr>
              <w:pStyle w:val="14"/>
              <w:spacing w:before="35" w:line="220" w:lineRule="auto"/>
              <w:ind w:left="121"/>
              <w:rPr>
                <w:highlight w:val="none"/>
              </w:rPr>
            </w:pPr>
            <w:r>
              <w:rPr>
                <w:spacing w:val="-6"/>
                <w:highlight w:val="none"/>
              </w:rPr>
              <w:t>本项目的非主体、非关键性工作是否允许分包：</w:t>
            </w:r>
          </w:p>
          <w:p w14:paraId="6A7E08B5">
            <w:pPr>
              <w:pStyle w:val="14"/>
              <w:spacing w:before="88" w:line="222" w:lineRule="auto"/>
              <w:ind w:left="123"/>
              <w:rPr>
                <w:highlight w:val="none"/>
              </w:rPr>
            </w:pPr>
            <w:r>
              <w:rPr>
                <w:rFonts w:ascii="MS UI Gothic" w:hAnsi="MS UI Gothic" w:eastAsia="MS UI Gothic" w:cs="MS UI Gothic"/>
                <w:spacing w:val="-10"/>
                <w:highlight w:val="none"/>
              </w:rPr>
              <w:t>☑</w:t>
            </w:r>
            <w:r>
              <w:rPr>
                <w:spacing w:val="-10"/>
                <w:highlight w:val="none"/>
              </w:rPr>
              <w:t>不允许；</w:t>
            </w:r>
            <w:r>
              <w:rPr>
                <w:spacing w:val="24"/>
                <w:highlight w:val="none"/>
              </w:rPr>
              <w:t xml:space="preserve"> </w:t>
            </w:r>
            <w:r>
              <w:rPr>
                <w:spacing w:val="-10"/>
                <w:highlight w:val="none"/>
              </w:rPr>
              <w:t>□允许</w:t>
            </w:r>
          </w:p>
          <w:p w14:paraId="6F1ED539">
            <w:pPr>
              <w:pStyle w:val="14"/>
              <w:spacing w:before="83" w:line="222" w:lineRule="auto"/>
              <w:ind w:left="123"/>
              <w:rPr>
                <w:highlight w:val="none"/>
              </w:rPr>
            </w:pPr>
            <w:r>
              <w:rPr>
                <w:spacing w:val="-7"/>
                <w:highlight w:val="none"/>
              </w:rPr>
              <w:t>具体要求：/</w:t>
            </w:r>
          </w:p>
        </w:tc>
      </w:tr>
      <w:tr w14:paraId="49CD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53" w:type="dxa"/>
            <w:vAlign w:val="top"/>
          </w:tcPr>
          <w:p w14:paraId="0B49436B">
            <w:pPr>
              <w:spacing w:line="368" w:lineRule="auto"/>
              <w:rPr>
                <w:rFonts w:ascii="Arial"/>
                <w:sz w:val="21"/>
                <w:highlight w:val="none"/>
              </w:rPr>
            </w:pPr>
          </w:p>
          <w:p w14:paraId="452037F3">
            <w:pPr>
              <w:pStyle w:val="14"/>
              <w:spacing w:before="78"/>
              <w:ind w:left="203"/>
              <w:rPr>
                <w:highlight w:val="none"/>
              </w:rPr>
            </w:pPr>
            <w:r>
              <w:rPr>
                <w:spacing w:val="-5"/>
                <w:highlight w:val="none"/>
              </w:rPr>
              <w:t>35.1</w:t>
            </w:r>
          </w:p>
        </w:tc>
        <w:tc>
          <w:tcPr>
            <w:tcW w:w="1700" w:type="dxa"/>
            <w:vAlign w:val="top"/>
          </w:tcPr>
          <w:p w14:paraId="6074899F">
            <w:pPr>
              <w:spacing w:line="368" w:lineRule="auto"/>
              <w:rPr>
                <w:rFonts w:ascii="Arial"/>
                <w:sz w:val="21"/>
                <w:highlight w:val="none"/>
              </w:rPr>
            </w:pPr>
          </w:p>
          <w:p w14:paraId="5FB33ED3">
            <w:pPr>
              <w:pStyle w:val="14"/>
              <w:spacing w:before="78" w:line="225" w:lineRule="auto"/>
              <w:ind w:left="633"/>
              <w:rPr>
                <w:highlight w:val="none"/>
              </w:rPr>
            </w:pPr>
            <w:r>
              <w:rPr>
                <w:spacing w:val="-11"/>
                <w:highlight w:val="none"/>
              </w:rPr>
              <w:t>质疑</w:t>
            </w:r>
          </w:p>
        </w:tc>
        <w:tc>
          <w:tcPr>
            <w:tcW w:w="7086" w:type="dxa"/>
            <w:vAlign w:val="top"/>
          </w:tcPr>
          <w:p w14:paraId="2BE9C37C">
            <w:pPr>
              <w:pStyle w:val="14"/>
              <w:spacing w:before="35" w:line="223" w:lineRule="auto"/>
              <w:ind w:left="123"/>
              <w:rPr>
                <w:highlight w:val="none"/>
              </w:rPr>
            </w:pPr>
            <w:r>
              <w:rPr>
                <w:spacing w:val="-3"/>
                <w:highlight w:val="none"/>
              </w:rPr>
              <w:t>递交方式：</w:t>
            </w:r>
            <w:r>
              <w:rPr>
                <w:spacing w:val="-3"/>
                <w:highlight w:val="none"/>
                <w:u w:val="single" w:color="auto"/>
              </w:rPr>
              <w:t>书面方式</w:t>
            </w:r>
          </w:p>
          <w:p w14:paraId="1A1F49BF">
            <w:pPr>
              <w:pStyle w:val="14"/>
              <w:spacing w:before="81" w:line="222" w:lineRule="auto"/>
              <w:ind w:left="121"/>
              <w:rPr>
                <w:highlight w:val="none"/>
              </w:rPr>
            </w:pPr>
            <w:r>
              <w:rPr>
                <w:spacing w:val="-2"/>
                <w:highlight w:val="none"/>
              </w:rPr>
              <w:t>接收部门：</w:t>
            </w:r>
            <w:r>
              <w:rPr>
                <w:spacing w:val="-2"/>
                <w:highlight w:val="none"/>
                <w:u w:val="single" w:color="auto"/>
              </w:rPr>
              <w:t>采购人及采购代理机构</w:t>
            </w:r>
          </w:p>
          <w:p w14:paraId="44C6E766">
            <w:pPr>
              <w:pStyle w:val="14"/>
              <w:spacing w:before="86" w:line="220" w:lineRule="auto"/>
              <w:ind w:left="119"/>
              <w:rPr>
                <w:highlight w:val="none"/>
              </w:rPr>
            </w:pPr>
            <w:r>
              <w:rPr>
                <w:spacing w:val="-2"/>
                <w:highlight w:val="none"/>
              </w:rPr>
              <w:t>针对同一采购程序环节的质疑次数：</w:t>
            </w:r>
            <w:r>
              <w:rPr>
                <w:spacing w:val="-2"/>
                <w:highlight w:val="none"/>
                <w:u w:val="single" w:color="auto"/>
              </w:rPr>
              <w:t>一次性提出</w:t>
            </w:r>
          </w:p>
        </w:tc>
      </w:tr>
      <w:tr w14:paraId="7E28B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853" w:type="dxa"/>
            <w:vAlign w:val="top"/>
          </w:tcPr>
          <w:p w14:paraId="38626595">
            <w:pPr>
              <w:spacing w:line="370" w:lineRule="auto"/>
              <w:rPr>
                <w:rFonts w:ascii="Arial"/>
                <w:sz w:val="21"/>
                <w:highlight w:val="none"/>
              </w:rPr>
            </w:pPr>
          </w:p>
          <w:p w14:paraId="3410DBF8">
            <w:pPr>
              <w:pStyle w:val="14"/>
              <w:spacing w:before="78"/>
              <w:ind w:left="203"/>
              <w:rPr>
                <w:highlight w:val="none"/>
              </w:rPr>
            </w:pPr>
            <w:r>
              <w:rPr>
                <w:spacing w:val="-5"/>
                <w:highlight w:val="none"/>
              </w:rPr>
              <w:t>38.1</w:t>
            </w:r>
          </w:p>
        </w:tc>
        <w:tc>
          <w:tcPr>
            <w:tcW w:w="1700" w:type="dxa"/>
            <w:vAlign w:val="top"/>
          </w:tcPr>
          <w:p w14:paraId="1FCC6411">
            <w:pPr>
              <w:pStyle w:val="14"/>
              <w:spacing w:before="261" w:line="288" w:lineRule="auto"/>
              <w:ind w:left="533" w:right="346" w:hanging="360"/>
              <w:rPr>
                <w:highlight w:val="none"/>
              </w:rPr>
            </w:pPr>
            <w:r>
              <w:rPr>
                <w:spacing w:val="-5"/>
                <w:highlight w:val="none"/>
              </w:rPr>
              <w:t>采购代理服</w:t>
            </w:r>
            <w:r>
              <w:rPr>
                <w:spacing w:val="-12"/>
                <w:highlight w:val="none"/>
              </w:rPr>
              <w:t>务费</w:t>
            </w:r>
          </w:p>
        </w:tc>
        <w:tc>
          <w:tcPr>
            <w:tcW w:w="7086" w:type="dxa"/>
            <w:vAlign w:val="top"/>
          </w:tcPr>
          <w:p w14:paraId="18B08B2A">
            <w:pPr>
              <w:pStyle w:val="14"/>
              <w:spacing w:before="37" w:line="222" w:lineRule="auto"/>
              <w:ind w:left="130"/>
              <w:rPr>
                <w:highlight w:val="none"/>
              </w:rPr>
            </w:pPr>
            <w:r>
              <w:rPr>
                <w:spacing w:val="-3"/>
                <w:highlight w:val="none"/>
              </w:rPr>
              <w:t>1.收费对象：</w:t>
            </w:r>
            <w:r>
              <w:rPr>
                <w:spacing w:val="-3"/>
                <w:highlight w:val="none"/>
                <w:u w:val="single" w:color="auto"/>
              </w:rPr>
              <w:t>中标人支付</w:t>
            </w:r>
          </w:p>
          <w:p w14:paraId="275F63D0">
            <w:pPr>
              <w:pStyle w:val="14"/>
              <w:spacing w:before="84" w:line="269" w:lineRule="auto"/>
              <w:ind w:left="120" w:right="105" w:hanging="4"/>
              <w:rPr>
                <w:rFonts w:hint="default" w:eastAsia="仿宋"/>
                <w:highlight w:val="none"/>
                <w:lang w:val="en-US" w:eastAsia="zh-CN"/>
              </w:rPr>
            </w:pPr>
            <w:r>
              <w:rPr>
                <w:highlight w:val="none"/>
              </w:rPr>
              <w:t>2.收费标准：</w:t>
            </w:r>
            <w:r>
              <w:rPr>
                <w:highlight w:val="none"/>
                <w:u w:val="single" w:color="auto"/>
              </w:rPr>
              <w:t>参照计价格[</w:t>
            </w:r>
            <w:r>
              <w:rPr>
                <w:highlight w:val="none"/>
              </w:rPr>
              <w:fldChar w:fldCharType="begin"/>
            </w:r>
            <w:r>
              <w:rPr>
                <w:highlight w:val="none"/>
              </w:rPr>
              <w:instrText xml:space="preserve"> HYPERLINK \l "bookmark17" </w:instrText>
            </w:r>
            <w:r>
              <w:rPr>
                <w:highlight w:val="none"/>
              </w:rPr>
              <w:fldChar w:fldCharType="separate"/>
            </w:r>
            <w:r>
              <w:rPr>
                <w:highlight w:val="none"/>
                <w:u w:val="single" w:color="auto"/>
              </w:rPr>
              <w:t>2002</w:t>
            </w:r>
            <w:r>
              <w:rPr>
                <w:highlight w:val="none"/>
                <w:u w:val="single" w:color="auto"/>
              </w:rPr>
              <w:fldChar w:fldCharType="end"/>
            </w:r>
            <w:r>
              <w:rPr>
                <w:highlight w:val="none"/>
                <w:u w:val="single" w:color="auto"/>
              </w:rPr>
              <w:t>]1980号及发改价格[</w:t>
            </w:r>
            <w:r>
              <w:rPr>
                <w:highlight w:val="none"/>
              </w:rPr>
              <w:fldChar w:fldCharType="begin"/>
            </w:r>
            <w:r>
              <w:rPr>
                <w:highlight w:val="none"/>
              </w:rPr>
              <w:instrText xml:space="preserve"> HYPERLINK \l "bookmark18" </w:instrText>
            </w:r>
            <w:r>
              <w:rPr>
                <w:highlight w:val="none"/>
              </w:rPr>
              <w:fldChar w:fldCharType="separate"/>
            </w:r>
            <w:r>
              <w:rPr>
                <w:highlight w:val="none"/>
                <w:u w:val="single" w:color="auto"/>
              </w:rPr>
              <w:t>2011</w:t>
            </w:r>
            <w:r>
              <w:rPr>
                <w:highlight w:val="none"/>
                <w:u w:val="single" w:color="auto"/>
              </w:rPr>
              <w:fldChar w:fldCharType="end"/>
            </w:r>
            <w:r>
              <w:rPr>
                <w:highlight w:val="none"/>
                <w:u w:val="single" w:color="auto"/>
              </w:rPr>
              <w:t>]534号文</w:t>
            </w:r>
            <w:r>
              <w:rPr>
                <w:spacing w:val="-4"/>
                <w:highlight w:val="none"/>
                <w:u w:val="single" w:color="auto"/>
              </w:rPr>
              <w:t>件</w:t>
            </w:r>
            <w:r>
              <w:rPr>
                <w:rFonts w:hint="eastAsia"/>
                <w:spacing w:val="-4"/>
                <w:highlight w:val="none"/>
                <w:u w:val="single" w:color="auto"/>
                <w:lang w:val="en-US" w:eastAsia="zh-CN"/>
              </w:rPr>
              <w:t>下浮10%</w:t>
            </w:r>
            <w:r>
              <w:rPr>
                <w:spacing w:val="-4"/>
                <w:highlight w:val="none"/>
                <w:u w:val="single" w:color="auto"/>
              </w:rPr>
              <w:t>计算</w:t>
            </w:r>
            <w:r>
              <w:rPr>
                <w:rFonts w:hint="eastAsia"/>
                <w:spacing w:val="-4"/>
                <w:highlight w:val="none"/>
                <w:u w:val="single" w:color="auto"/>
                <w:lang w:val="en-US" w:eastAsia="zh-CN"/>
              </w:rPr>
              <w:t>收取。由中标人支付。</w:t>
            </w:r>
          </w:p>
        </w:tc>
      </w:tr>
      <w:tr w14:paraId="31CA2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853" w:type="dxa"/>
            <w:vAlign w:val="top"/>
          </w:tcPr>
          <w:p w14:paraId="02726A7A">
            <w:pPr>
              <w:spacing w:line="256" w:lineRule="auto"/>
              <w:rPr>
                <w:rFonts w:ascii="Arial"/>
                <w:sz w:val="21"/>
                <w:highlight w:val="none"/>
              </w:rPr>
            </w:pPr>
          </w:p>
          <w:p w14:paraId="58DCCB12">
            <w:pPr>
              <w:pStyle w:val="14"/>
              <w:spacing w:before="78"/>
              <w:ind w:left="195"/>
              <w:rPr>
                <w:highlight w:val="none"/>
              </w:rPr>
            </w:pPr>
            <w:r>
              <w:rPr>
                <w:spacing w:val="-4"/>
                <w:highlight w:val="none"/>
              </w:rPr>
              <w:t>41.1</w:t>
            </w:r>
          </w:p>
        </w:tc>
        <w:tc>
          <w:tcPr>
            <w:tcW w:w="1700" w:type="dxa"/>
            <w:vAlign w:val="top"/>
          </w:tcPr>
          <w:p w14:paraId="71BF7273">
            <w:pPr>
              <w:pStyle w:val="14"/>
              <w:spacing w:before="183" w:line="269" w:lineRule="auto"/>
              <w:ind w:left="457" w:right="348" w:hanging="282"/>
              <w:rPr>
                <w:highlight w:val="none"/>
              </w:rPr>
            </w:pPr>
            <w:r>
              <w:rPr>
                <w:spacing w:val="-6"/>
                <w:highlight w:val="none"/>
              </w:rPr>
              <w:t>是否接受进</w:t>
            </w:r>
            <w:r>
              <w:rPr>
                <w:spacing w:val="-22"/>
                <w:highlight w:val="none"/>
              </w:rPr>
              <w:t>口产品</w:t>
            </w:r>
          </w:p>
        </w:tc>
        <w:tc>
          <w:tcPr>
            <w:tcW w:w="7086" w:type="dxa"/>
            <w:vAlign w:val="top"/>
          </w:tcPr>
          <w:p w14:paraId="0E6C569E">
            <w:pPr>
              <w:pStyle w:val="14"/>
              <w:spacing w:before="311" w:line="223" w:lineRule="auto"/>
              <w:ind w:left="126"/>
              <w:rPr>
                <w:highlight w:val="none"/>
              </w:rPr>
            </w:pPr>
            <w:r>
              <w:rPr>
                <w:spacing w:val="-8"/>
                <w:highlight w:val="none"/>
              </w:rPr>
              <w:t>不接受</w:t>
            </w:r>
          </w:p>
        </w:tc>
      </w:tr>
      <w:tr w14:paraId="0780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853" w:type="dxa"/>
            <w:shd w:val="clear" w:color="auto" w:fill="auto"/>
            <w:vAlign w:val="top"/>
          </w:tcPr>
          <w:p w14:paraId="190FAB08">
            <w:pPr>
              <w:spacing w:line="250" w:lineRule="auto"/>
              <w:rPr>
                <w:rFonts w:ascii="Arial"/>
                <w:sz w:val="21"/>
                <w:highlight w:val="none"/>
              </w:rPr>
            </w:pPr>
          </w:p>
          <w:p w14:paraId="7743E76A">
            <w:pPr>
              <w:spacing w:line="251" w:lineRule="auto"/>
              <w:rPr>
                <w:rFonts w:ascii="Arial"/>
                <w:sz w:val="21"/>
                <w:highlight w:val="none"/>
              </w:rPr>
            </w:pPr>
          </w:p>
          <w:p w14:paraId="77F3DEB6">
            <w:pPr>
              <w:spacing w:line="251" w:lineRule="auto"/>
              <w:rPr>
                <w:rFonts w:ascii="Arial"/>
                <w:sz w:val="21"/>
                <w:highlight w:val="none"/>
              </w:rPr>
            </w:pPr>
          </w:p>
          <w:p w14:paraId="073B6BA2">
            <w:pPr>
              <w:spacing w:line="251" w:lineRule="auto"/>
              <w:rPr>
                <w:rFonts w:ascii="Arial"/>
                <w:sz w:val="21"/>
                <w:highlight w:val="none"/>
              </w:rPr>
            </w:pPr>
          </w:p>
          <w:p w14:paraId="041F5B4F">
            <w:pPr>
              <w:spacing w:line="251" w:lineRule="auto"/>
              <w:rPr>
                <w:rFonts w:ascii="Arial"/>
                <w:sz w:val="21"/>
                <w:highlight w:val="none"/>
              </w:rPr>
            </w:pPr>
          </w:p>
          <w:p w14:paraId="4AC08C5C">
            <w:pPr>
              <w:spacing w:line="251" w:lineRule="auto"/>
              <w:rPr>
                <w:rFonts w:ascii="Arial"/>
                <w:sz w:val="21"/>
                <w:highlight w:val="none"/>
              </w:rPr>
            </w:pPr>
          </w:p>
          <w:p w14:paraId="7983D8EA">
            <w:pPr>
              <w:spacing w:line="251" w:lineRule="auto"/>
              <w:rPr>
                <w:rFonts w:ascii="Arial"/>
                <w:sz w:val="21"/>
                <w:highlight w:val="none"/>
              </w:rPr>
            </w:pPr>
          </w:p>
          <w:p w14:paraId="5259F388">
            <w:pPr>
              <w:spacing w:line="251" w:lineRule="auto"/>
              <w:rPr>
                <w:rFonts w:ascii="Arial"/>
                <w:sz w:val="21"/>
                <w:highlight w:val="none"/>
              </w:rPr>
            </w:pPr>
          </w:p>
          <w:p w14:paraId="4B365EFC">
            <w:pPr>
              <w:spacing w:line="251" w:lineRule="auto"/>
              <w:rPr>
                <w:rFonts w:ascii="Arial"/>
                <w:sz w:val="21"/>
                <w:highlight w:val="none"/>
              </w:rPr>
            </w:pPr>
          </w:p>
          <w:p w14:paraId="08D139B4">
            <w:pPr>
              <w:spacing w:line="251" w:lineRule="auto"/>
              <w:rPr>
                <w:rFonts w:ascii="Arial"/>
                <w:sz w:val="21"/>
                <w:highlight w:val="none"/>
              </w:rPr>
            </w:pPr>
          </w:p>
          <w:p w14:paraId="1F6A975E">
            <w:pPr>
              <w:spacing w:line="251" w:lineRule="auto"/>
              <w:rPr>
                <w:rFonts w:ascii="Arial"/>
                <w:sz w:val="21"/>
                <w:highlight w:val="none"/>
              </w:rPr>
            </w:pPr>
          </w:p>
          <w:p w14:paraId="057A6EC0">
            <w:pPr>
              <w:spacing w:line="251" w:lineRule="auto"/>
              <w:rPr>
                <w:rFonts w:ascii="Arial"/>
                <w:sz w:val="21"/>
                <w:highlight w:val="none"/>
              </w:rPr>
            </w:pPr>
          </w:p>
          <w:p w14:paraId="1EB3C7ED">
            <w:pPr>
              <w:spacing w:line="251" w:lineRule="auto"/>
              <w:rPr>
                <w:rFonts w:ascii="Arial"/>
                <w:sz w:val="21"/>
                <w:highlight w:val="none"/>
              </w:rPr>
            </w:pPr>
          </w:p>
          <w:p w14:paraId="50EA28C8">
            <w:pPr>
              <w:spacing w:line="251" w:lineRule="auto"/>
              <w:rPr>
                <w:rFonts w:ascii="Arial"/>
                <w:sz w:val="21"/>
                <w:highlight w:val="none"/>
              </w:rPr>
            </w:pPr>
          </w:p>
          <w:p w14:paraId="5152034A">
            <w:pPr>
              <w:spacing w:line="251" w:lineRule="auto"/>
              <w:rPr>
                <w:rFonts w:ascii="Arial"/>
                <w:sz w:val="21"/>
                <w:highlight w:val="none"/>
              </w:rPr>
            </w:pPr>
          </w:p>
          <w:p w14:paraId="23FB7CE9">
            <w:pPr>
              <w:pStyle w:val="14"/>
              <w:spacing w:before="78"/>
              <w:ind w:left="195" w:leftChars="0"/>
              <w:rPr>
                <w:rFonts w:ascii="仿宋" w:hAnsi="仿宋" w:eastAsia="仿宋" w:cs="仿宋"/>
                <w:snapToGrid w:val="0"/>
                <w:color w:val="000000"/>
                <w:kern w:val="0"/>
                <w:sz w:val="24"/>
                <w:szCs w:val="24"/>
                <w:highlight w:val="none"/>
                <w:lang w:val="en-US" w:eastAsia="en-US" w:bidi="ar-SA"/>
              </w:rPr>
            </w:pPr>
            <w:r>
              <w:rPr>
                <w:spacing w:val="-4"/>
                <w:highlight w:val="none"/>
              </w:rPr>
              <w:t>41.5</w:t>
            </w:r>
          </w:p>
        </w:tc>
        <w:tc>
          <w:tcPr>
            <w:tcW w:w="1700" w:type="dxa"/>
            <w:shd w:val="clear" w:color="auto" w:fill="auto"/>
            <w:vAlign w:val="top"/>
          </w:tcPr>
          <w:p w14:paraId="3E2F999E">
            <w:pPr>
              <w:spacing w:line="242" w:lineRule="auto"/>
              <w:rPr>
                <w:rFonts w:ascii="Arial"/>
                <w:sz w:val="21"/>
                <w:highlight w:val="none"/>
              </w:rPr>
            </w:pPr>
          </w:p>
          <w:p w14:paraId="7C422C84">
            <w:pPr>
              <w:spacing w:line="242" w:lineRule="auto"/>
              <w:rPr>
                <w:rFonts w:ascii="Arial"/>
                <w:sz w:val="21"/>
                <w:highlight w:val="none"/>
              </w:rPr>
            </w:pPr>
          </w:p>
          <w:p w14:paraId="5E1CB9FB">
            <w:pPr>
              <w:spacing w:line="242" w:lineRule="auto"/>
              <w:rPr>
                <w:rFonts w:ascii="Arial"/>
                <w:sz w:val="21"/>
                <w:highlight w:val="none"/>
              </w:rPr>
            </w:pPr>
          </w:p>
          <w:p w14:paraId="681165EC">
            <w:pPr>
              <w:spacing w:line="242" w:lineRule="auto"/>
              <w:rPr>
                <w:rFonts w:ascii="Arial"/>
                <w:sz w:val="21"/>
                <w:highlight w:val="none"/>
              </w:rPr>
            </w:pPr>
          </w:p>
          <w:p w14:paraId="4AF80CDE">
            <w:pPr>
              <w:spacing w:line="242" w:lineRule="auto"/>
              <w:rPr>
                <w:rFonts w:ascii="Arial"/>
                <w:sz w:val="21"/>
                <w:highlight w:val="none"/>
              </w:rPr>
            </w:pPr>
          </w:p>
          <w:p w14:paraId="5F713E0F">
            <w:pPr>
              <w:spacing w:line="242" w:lineRule="auto"/>
              <w:rPr>
                <w:rFonts w:ascii="Arial"/>
                <w:sz w:val="21"/>
                <w:highlight w:val="none"/>
              </w:rPr>
            </w:pPr>
          </w:p>
          <w:p w14:paraId="1517FCBE">
            <w:pPr>
              <w:spacing w:line="242" w:lineRule="auto"/>
              <w:rPr>
                <w:rFonts w:ascii="Arial"/>
                <w:sz w:val="21"/>
                <w:highlight w:val="none"/>
              </w:rPr>
            </w:pPr>
          </w:p>
          <w:p w14:paraId="381CE5CF">
            <w:pPr>
              <w:spacing w:line="242" w:lineRule="auto"/>
              <w:rPr>
                <w:rFonts w:ascii="Arial"/>
                <w:sz w:val="21"/>
                <w:highlight w:val="none"/>
              </w:rPr>
            </w:pPr>
          </w:p>
          <w:p w14:paraId="26D726B4">
            <w:pPr>
              <w:spacing w:line="242" w:lineRule="auto"/>
              <w:rPr>
                <w:rFonts w:ascii="Arial"/>
                <w:sz w:val="21"/>
                <w:highlight w:val="none"/>
              </w:rPr>
            </w:pPr>
          </w:p>
          <w:p w14:paraId="536A7C98">
            <w:pPr>
              <w:spacing w:line="242" w:lineRule="auto"/>
              <w:rPr>
                <w:rFonts w:ascii="Arial"/>
                <w:sz w:val="21"/>
                <w:highlight w:val="none"/>
              </w:rPr>
            </w:pPr>
          </w:p>
          <w:p w14:paraId="394DF563">
            <w:pPr>
              <w:spacing w:line="242" w:lineRule="auto"/>
              <w:rPr>
                <w:rFonts w:ascii="Arial"/>
                <w:sz w:val="21"/>
                <w:highlight w:val="none"/>
              </w:rPr>
            </w:pPr>
          </w:p>
          <w:p w14:paraId="02CFC826">
            <w:pPr>
              <w:spacing w:line="242" w:lineRule="auto"/>
              <w:rPr>
                <w:rFonts w:ascii="Arial"/>
                <w:sz w:val="21"/>
                <w:highlight w:val="none"/>
              </w:rPr>
            </w:pPr>
          </w:p>
          <w:p w14:paraId="510A848C">
            <w:pPr>
              <w:spacing w:line="242" w:lineRule="auto"/>
              <w:rPr>
                <w:rFonts w:ascii="Arial"/>
                <w:sz w:val="21"/>
                <w:highlight w:val="none"/>
              </w:rPr>
            </w:pPr>
          </w:p>
          <w:p w14:paraId="5B5F8C38">
            <w:pPr>
              <w:spacing w:line="243" w:lineRule="auto"/>
              <w:rPr>
                <w:rFonts w:ascii="Arial"/>
                <w:sz w:val="21"/>
                <w:highlight w:val="none"/>
              </w:rPr>
            </w:pPr>
          </w:p>
          <w:p w14:paraId="21092121">
            <w:pPr>
              <w:spacing w:line="243" w:lineRule="auto"/>
              <w:rPr>
                <w:rFonts w:ascii="Arial"/>
                <w:sz w:val="21"/>
                <w:highlight w:val="none"/>
              </w:rPr>
            </w:pPr>
          </w:p>
          <w:p w14:paraId="4664C571">
            <w:pPr>
              <w:pStyle w:val="14"/>
              <w:spacing w:before="78" w:line="230" w:lineRule="auto"/>
              <w:ind w:left="291" w:leftChars="0" w:right="346" w:rightChars="0" w:hanging="119" w:firstLineChars="0"/>
              <w:rPr>
                <w:rFonts w:ascii="仿宋" w:hAnsi="仿宋" w:eastAsia="仿宋" w:cs="仿宋"/>
                <w:snapToGrid w:val="0"/>
                <w:color w:val="000000"/>
                <w:kern w:val="0"/>
                <w:sz w:val="24"/>
                <w:szCs w:val="24"/>
                <w:highlight w:val="none"/>
                <w:lang w:val="en-US" w:eastAsia="en-US" w:bidi="ar-SA"/>
              </w:rPr>
            </w:pPr>
            <w:r>
              <w:rPr>
                <w:spacing w:val="-5"/>
                <w:highlight w:val="none"/>
              </w:rPr>
              <w:t>本国产品的</w:t>
            </w:r>
            <w:r>
              <w:rPr>
                <w:spacing w:val="-6"/>
                <w:highlight w:val="none"/>
              </w:rPr>
              <w:t>支持政策</w:t>
            </w:r>
          </w:p>
        </w:tc>
        <w:tc>
          <w:tcPr>
            <w:tcW w:w="7086" w:type="dxa"/>
            <w:shd w:val="clear" w:color="auto" w:fill="auto"/>
            <w:vAlign w:val="top"/>
          </w:tcPr>
          <w:p w14:paraId="5C5CE27F">
            <w:pPr>
              <w:pStyle w:val="14"/>
              <w:spacing w:before="36" w:line="357" w:lineRule="auto"/>
              <w:ind w:left="114" w:leftChars="0" w:right="102" w:rightChars="0" w:firstLine="7" w:firstLineChars="0"/>
              <w:jc w:val="both"/>
              <w:rPr>
                <w:rFonts w:ascii="仿宋" w:hAnsi="仿宋" w:eastAsia="仿宋" w:cs="仿宋"/>
                <w:snapToGrid w:val="0"/>
                <w:color w:val="000000"/>
                <w:kern w:val="0"/>
                <w:sz w:val="24"/>
                <w:szCs w:val="24"/>
                <w:highlight w:val="none"/>
                <w:lang w:val="en-US" w:eastAsia="en-US" w:bidi="ar-SA"/>
              </w:rPr>
            </w:pPr>
            <w:r>
              <w:rPr>
                <w:spacing w:val="5"/>
                <w:highlight w:val="none"/>
              </w:rPr>
              <w:t>根据《国务院办公厅关于在政府采购中实施本国产品</w:t>
            </w:r>
            <w:r>
              <w:rPr>
                <w:spacing w:val="4"/>
                <w:highlight w:val="none"/>
              </w:rPr>
              <w:t>标准及相关政策的通知》（国办发〔2025〕34号）的相关规定，投标产品符</w:t>
            </w:r>
            <w:r>
              <w:rPr>
                <w:spacing w:val="3"/>
                <w:highlight w:val="none"/>
              </w:rPr>
              <w:t>合“本国产品标准</w:t>
            </w:r>
            <w:r>
              <w:rPr>
                <w:spacing w:val="-64"/>
                <w:highlight w:val="none"/>
              </w:rPr>
              <w:t xml:space="preserve"> </w:t>
            </w:r>
            <w:r>
              <w:rPr>
                <w:spacing w:val="3"/>
                <w:highlight w:val="none"/>
              </w:rPr>
              <w:t>”的，按照以下政策执行价格评审优惠：政府</w:t>
            </w:r>
            <w:r>
              <w:rPr>
                <w:spacing w:val="5"/>
                <w:highlight w:val="none"/>
              </w:rPr>
              <w:t>采购活动中既有本国产品又有非本国产品参与竞争的，依法对本</w:t>
            </w:r>
            <w:r>
              <w:rPr>
                <w:spacing w:val="1"/>
                <w:highlight w:val="none"/>
              </w:rPr>
              <w:t>国产品给予价格评审优惠，对本国产品的报价</w:t>
            </w:r>
            <w:r>
              <w:rPr>
                <w:highlight w:val="none"/>
              </w:rPr>
              <w:t xml:space="preserve">给予20%的价格扣除 </w:t>
            </w:r>
            <w:r>
              <w:rPr>
                <w:spacing w:val="1"/>
                <w:highlight w:val="none"/>
              </w:rPr>
              <w:t>,</w:t>
            </w:r>
            <w:r>
              <w:rPr>
                <w:spacing w:val="70"/>
                <w:highlight w:val="none"/>
              </w:rPr>
              <w:t xml:space="preserve"> </w:t>
            </w:r>
            <w:r>
              <w:rPr>
                <w:spacing w:val="1"/>
                <w:highlight w:val="none"/>
              </w:rPr>
              <w:t>用扣除后的价格参与评审。</w:t>
            </w:r>
            <w:r>
              <w:rPr>
                <w:spacing w:val="-71"/>
                <w:highlight w:val="none"/>
              </w:rPr>
              <w:t xml:space="preserve"> </w:t>
            </w:r>
            <w:r>
              <w:rPr>
                <w:spacing w:val="1"/>
                <w:highlight w:val="none"/>
              </w:rPr>
              <w:t>当采购项目或者采购包中</w:t>
            </w:r>
            <w:r>
              <w:rPr>
                <w:highlight w:val="none"/>
              </w:rPr>
              <w:t>含有多种</w:t>
            </w:r>
            <w:r>
              <w:rPr>
                <w:spacing w:val="1"/>
                <w:highlight w:val="none"/>
              </w:rPr>
              <w:t>产品，供应商为该采购项目或者采购包 提供的符合</w:t>
            </w:r>
            <w:r>
              <w:rPr>
                <w:highlight w:val="none"/>
              </w:rPr>
              <w:t>本国产品标准</w:t>
            </w:r>
            <w:r>
              <w:rPr>
                <w:spacing w:val="5"/>
                <w:highlight w:val="none"/>
              </w:rPr>
              <w:t>的产品成本之和占该供应商提供的全部产品成本之和的比例达到</w:t>
            </w:r>
            <w:r>
              <w:rPr>
                <w:spacing w:val="1"/>
                <w:highlight w:val="none"/>
              </w:rPr>
              <w:t>80%以上时，依法对该供应商提供的全部产品给予</w:t>
            </w:r>
            <w:r>
              <w:rPr>
                <w:highlight w:val="none"/>
              </w:rPr>
              <w:t>价格评审优惠，</w:t>
            </w:r>
            <w:r>
              <w:rPr>
                <w:spacing w:val="1"/>
                <w:highlight w:val="none"/>
              </w:rPr>
              <w:t>即对该供应商提供的全部产品的总报价给予2</w:t>
            </w:r>
            <w:r>
              <w:rPr>
                <w:highlight w:val="none"/>
              </w:rPr>
              <w:t>0%的价格扣除，用扣</w:t>
            </w:r>
            <w:r>
              <w:rPr>
                <w:spacing w:val="5"/>
                <w:highlight w:val="none"/>
              </w:rPr>
              <w:t>除后的价格参与评审。符合以上政策价格评审优惠政策的，需按</w:t>
            </w:r>
            <w:r>
              <w:rPr>
                <w:spacing w:val="4"/>
                <w:highlight w:val="none"/>
              </w:rPr>
              <w:t>以下要求提供证明文件，否则不予享受价格评审优惠政策</w:t>
            </w:r>
            <w:r>
              <w:rPr>
                <w:spacing w:val="-12"/>
                <w:highlight w:val="none"/>
              </w:rPr>
              <w:t>：（</w:t>
            </w:r>
            <w:r>
              <w:rPr>
                <w:spacing w:val="-57"/>
                <w:highlight w:val="none"/>
              </w:rPr>
              <w:t xml:space="preserve"> </w:t>
            </w:r>
            <w:r>
              <w:rPr>
                <w:spacing w:val="4"/>
                <w:highlight w:val="none"/>
              </w:rPr>
              <w:t>一</w:t>
            </w:r>
            <w:r>
              <w:rPr>
                <w:highlight w:val="none"/>
              </w:rPr>
              <w:t xml:space="preserve"> </w:t>
            </w:r>
            <w:r>
              <w:rPr>
                <w:spacing w:val="-1"/>
                <w:highlight w:val="none"/>
              </w:rPr>
              <w:t>)</w:t>
            </w:r>
            <w:r>
              <w:rPr>
                <w:spacing w:val="56"/>
                <w:highlight w:val="none"/>
              </w:rPr>
              <w:t xml:space="preserve"> </w:t>
            </w:r>
            <w:r>
              <w:rPr>
                <w:spacing w:val="-1"/>
                <w:highlight w:val="none"/>
              </w:rPr>
              <w:t>出具《关于符合本国产品标准的声明函》（见第</w:t>
            </w:r>
            <w:r>
              <w:rPr>
                <w:spacing w:val="-2"/>
                <w:highlight w:val="none"/>
              </w:rPr>
              <w:t>七章 投标文件</w:t>
            </w:r>
            <w:r>
              <w:rPr>
                <w:spacing w:val="5"/>
                <w:highlight w:val="none"/>
              </w:rPr>
              <w:t>格式）或财政部会同有关部门规定的有关证明文件。出具符合要求的《声明函》或有关证明文件的，该产品视为本国产品。供应商提供虚假《声明函》、虚假证明文件谋取中标、成交的，依照</w:t>
            </w:r>
            <w:r>
              <w:rPr>
                <w:spacing w:val="-1"/>
                <w:highlight w:val="none"/>
              </w:rPr>
              <w:t>《中华人民共和国政府采购法》等法律法规</w:t>
            </w:r>
            <w:r>
              <w:rPr>
                <w:spacing w:val="-2"/>
                <w:highlight w:val="none"/>
              </w:rPr>
              <w:t>规定追究相应责任。</w:t>
            </w:r>
          </w:p>
        </w:tc>
      </w:tr>
    </w:tbl>
    <w:p w14:paraId="742EAA04">
      <w:pPr>
        <w:spacing w:line="110" w:lineRule="auto"/>
        <w:rPr>
          <w:rFonts w:hint="eastAsia" w:ascii="Arial" w:eastAsia="宋体"/>
          <w:sz w:val="2"/>
          <w:highlight w:val="none"/>
          <w:lang w:eastAsia="zh-CN"/>
        </w:rPr>
      </w:pPr>
    </w:p>
    <w:tbl>
      <w:tblPr>
        <w:tblStyle w:val="13"/>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700"/>
        <w:gridCol w:w="7086"/>
      </w:tblGrid>
      <w:tr w14:paraId="513E3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853" w:type="dxa"/>
            <w:vAlign w:val="top"/>
          </w:tcPr>
          <w:p w14:paraId="437AB2C5">
            <w:pPr>
              <w:spacing w:line="349" w:lineRule="auto"/>
              <w:rPr>
                <w:rFonts w:ascii="Arial"/>
                <w:sz w:val="21"/>
                <w:highlight w:val="none"/>
              </w:rPr>
            </w:pPr>
          </w:p>
          <w:p w14:paraId="2EE75C8D">
            <w:pPr>
              <w:spacing w:line="350" w:lineRule="auto"/>
              <w:rPr>
                <w:rFonts w:ascii="Arial"/>
                <w:sz w:val="21"/>
                <w:highlight w:val="none"/>
              </w:rPr>
            </w:pPr>
          </w:p>
          <w:p w14:paraId="78484B87">
            <w:pPr>
              <w:pStyle w:val="14"/>
              <w:spacing w:before="78" w:line="315" w:lineRule="exact"/>
              <w:ind w:left="315"/>
              <w:rPr>
                <w:highlight w:val="none"/>
              </w:rPr>
            </w:pPr>
            <w:r>
              <w:rPr>
                <w:spacing w:val="-4"/>
                <w:position w:val="1"/>
                <w:highlight w:val="none"/>
              </w:rPr>
              <w:t>42</w:t>
            </w:r>
          </w:p>
        </w:tc>
        <w:tc>
          <w:tcPr>
            <w:tcW w:w="1700" w:type="dxa"/>
            <w:vAlign w:val="top"/>
          </w:tcPr>
          <w:p w14:paraId="2E92627D">
            <w:pPr>
              <w:pStyle w:val="14"/>
              <w:spacing w:before="36" w:line="287" w:lineRule="auto"/>
              <w:ind w:left="120" w:right="156" w:firstLine="1"/>
              <w:jc w:val="both"/>
              <w:rPr>
                <w:highlight w:val="none"/>
              </w:rPr>
            </w:pPr>
            <w:r>
              <w:rPr>
                <w:spacing w:val="-5"/>
                <w:highlight w:val="none"/>
              </w:rPr>
              <w:t>支持中小企业</w:t>
            </w:r>
            <w:r>
              <w:rPr>
                <w:spacing w:val="-6"/>
                <w:highlight w:val="none"/>
              </w:rPr>
              <w:t>政策</w:t>
            </w:r>
            <w:r>
              <w:rPr>
                <w:b/>
                <w:bCs/>
                <w:spacing w:val="-6"/>
                <w:highlight w:val="none"/>
              </w:rPr>
              <w:t>（非专门</w:t>
            </w:r>
            <w:r>
              <w:rPr>
                <w:b/>
                <w:bCs/>
                <w:spacing w:val="-7"/>
                <w:highlight w:val="none"/>
              </w:rPr>
              <w:t>面向中小企业</w:t>
            </w:r>
          </w:p>
          <w:p w14:paraId="2A20DF9A">
            <w:pPr>
              <w:pStyle w:val="14"/>
              <w:spacing w:line="222" w:lineRule="auto"/>
              <w:ind w:left="120"/>
              <w:rPr>
                <w:highlight w:val="none"/>
              </w:rPr>
            </w:pPr>
            <w:r>
              <w:rPr>
                <w:b/>
                <w:bCs/>
                <w:spacing w:val="-7"/>
                <w:highlight w:val="none"/>
              </w:rPr>
              <w:t>采购项目适用</w:t>
            </w:r>
          </w:p>
          <w:p w14:paraId="7FA97481">
            <w:pPr>
              <w:pStyle w:val="14"/>
              <w:spacing w:before="85" w:line="224" w:lineRule="auto"/>
              <w:ind w:left="738"/>
              <w:rPr>
                <w:highlight w:val="none"/>
              </w:rPr>
            </w:pPr>
            <w:r>
              <w:rPr>
                <w:b/>
                <w:bCs/>
                <w:spacing w:val="-3"/>
                <w:highlight w:val="none"/>
              </w:rPr>
              <w:t>)</w:t>
            </w:r>
          </w:p>
        </w:tc>
        <w:tc>
          <w:tcPr>
            <w:tcW w:w="7086" w:type="dxa"/>
            <w:vAlign w:val="top"/>
          </w:tcPr>
          <w:p w14:paraId="337C80E4">
            <w:pPr>
              <w:spacing w:line="330" w:lineRule="auto"/>
              <w:rPr>
                <w:rFonts w:ascii="Arial"/>
                <w:sz w:val="21"/>
                <w:highlight w:val="none"/>
              </w:rPr>
            </w:pPr>
          </w:p>
          <w:p w14:paraId="0767DC60">
            <w:pPr>
              <w:pStyle w:val="14"/>
              <w:spacing w:before="78" w:line="222" w:lineRule="auto"/>
              <w:ind w:left="130"/>
              <w:rPr>
                <w:highlight w:val="none"/>
              </w:rPr>
            </w:pPr>
            <w:r>
              <w:rPr>
                <w:spacing w:val="-3"/>
                <w:highlight w:val="none"/>
              </w:rPr>
              <w:t>1.小型和微型企业价格扣除：</w:t>
            </w:r>
            <w:r>
              <w:rPr>
                <w:rFonts w:hint="eastAsia"/>
                <w:spacing w:val="-3"/>
                <w:highlight w:val="none"/>
                <w:u w:val="single" w:color="auto"/>
                <w:lang w:val="en-US" w:eastAsia="zh-CN"/>
              </w:rPr>
              <w:t>/</w:t>
            </w:r>
            <w:r>
              <w:rPr>
                <w:spacing w:val="127"/>
                <w:highlight w:val="none"/>
                <w:u w:val="single" w:color="auto"/>
              </w:rPr>
              <w:t xml:space="preserve"> </w:t>
            </w:r>
            <w:r>
              <w:rPr>
                <w:spacing w:val="-3"/>
                <w:highlight w:val="none"/>
              </w:rPr>
              <w:t>。</w:t>
            </w:r>
          </w:p>
          <w:p w14:paraId="618ACCEF">
            <w:pPr>
              <w:pStyle w:val="14"/>
              <w:spacing w:before="83" w:line="222" w:lineRule="auto"/>
              <w:ind w:left="116"/>
              <w:rPr>
                <w:highlight w:val="none"/>
              </w:rPr>
            </w:pPr>
            <w:r>
              <w:rPr>
                <w:spacing w:val="-2"/>
                <w:highlight w:val="none"/>
              </w:rPr>
              <w:t>2.监狱企业价格扣除：</w:t>
            </w:r>
            <w:r>
              <w:rPr>
                <w:spacing w:val="-2"/>
                <w:highlight w:val="none"/>
                <w:u w:val="single" w:color="auto"/>
              </w:rPr>
              <w:t>同小型和微型企业</w:t>
            </w:r>
            <w:r>
              <w:rPr>
                <w:spacing w:val="-2"/>
                <w:highlight w:val="none"/>
              </w:rPr>
              <w:t>。</w:t>
            </w:r>
          </w:p>
          <w:p w14:paraId="4C064C1A">
            <w:pPr>
              <w:pStyle w:val="14"/>
              <w:spacing w:before="85" w:line="220" w:lineRule="auto"/>
              <w:ind w:left="122"/>
              <w:rPr>
                <w:highlight w:val="none"/>
              </w:rPr>
            </w:pPr>
            <w:r>
              <w:rPr>
                <w:spacing w:val="-2"/>
                <w:highlight w:val="none"/>
              </w:rPr>
              <w:t>3.残疾人福利性单位价格扣除：</w:t>
            </w:r>
            <w:r>
              <w:rPr>
                <w:spacing w:val="-2"/>
                <w:highlight w:val="none"/>
                <w:u w:val="single" w:color="auto"/>
              </w:rPr>
              <w:t>同小型和微型企业</w:t>
            </w:r>
            <w:r>
              <w:rPr>
                <w:spacing w:val="-2"/>
                <w:highlight w:val="none"/>
              </w:rPr>
              <w:t>。</w:t>
            </w:r>
          </w:p>
        </w:tc>
      </w:tr>
      <w:tr w14:paraId="1352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853" w:type="dxa"/>
            <w:vAlign w:val="top"/>
          </w:tcPr>
          <w:p w14:paraId="09F14580">
            <w:pPr>
              <w:spacing w:line="258" w:lineRule="auto"/>
              <w:rPr>
                <w:rFonts w:ascii="Arial"/>
                <w:sz w:val="21"/>
                <w:highlight w:val="none"/>
              </w:rPr>
            </w:pPr>
          </w:p>
          <w:p w14:paraId="21764940">
            <w:pPr>
              <w:spacing w:line="259" w:lineRule="auto"/>
              <w:rPr>
                <w:rFonts w:ascii="Arial"/>
                <w:sz w:val="21"/>
                <w:highlight w:val="none"/>
              </w:rPr>
            </w:pPr>
          </w:p>
          <w:p w14:paraId="09C4D05E">
            <w:pPr>
              <w:pStyle w:val="14"/>
              <w:spacing w:before="78"/>
              <w:ind w:left="195"/>
              <w:rPr>
                <w:highlight w:val="none"/>
              </w:rPr>
            </w:pPr>
            <w:r>
              <w:rPr>
                <w:spacing w:val="-4"/>
                <w:highlight w:val="none"/>
              </w:rPr>
              <w:t>42.9</w:t>
            </w:r>
          </w:p>
        </w:tc>
        <w:tc>
          <w:tcPr>
            <w:tcW w:w="1700" w:type="dxa"/>
            <w:vAlign w:val="top"/>
          </w:tcPr>
          <w:p w14:paraId="495CEB68">
            <w:pPr>
              <w:pStyle w:val="14"/>
              <w:spacing w:before="37" w:line="278" w:lineRule="auto"/>
              <w:ind w:left="66" w:right="101" w:firstLine="54"/>
              <w:jc w:val="both"/>
              <w:rPr>
                <w:highlight w:val="none"/>
              </w:rPr>
            </w:pPr>
            <w:r>
              <w:rPr>
                <w:spacing w:val="-5"/>
                <w:highlight w:val="none"/>
              </w:rPr>
              <w:t>标的所属行业</w:t>
            </w:r>
            <w:r>
              <w:rPr>
                <w:spacing w:val="4"/>
                <w:highlight w:val="none"/>
              </w:rPr>
              <w:t>参照后附《工</w:t>
            </w:r>
            <w:r>
              <w:rPr>
                <w:spacing w:val="-5"/>
                <w:highlight w:val="none"/>
              </w:rPr>
              <w:t>信部联企业〔2</w:t>
            </w:r>
            <w:r>
              <w:rPr>
                <w:spacing w:val="1"/>
                <w:highlight w:val="none"/>
              </w:rPr>
              <w:t xml:space="preserve"> </w:t>
            </w:r>
            <w:r>
              <w:rPr>
                <w:spacing w:val="2"/>
                <w:highlight w:val="none"/>
              </w:rPr>
              <w:t>011〕300号》</w:t>
            </w:r>
          </w:p>
        </w:tc>
        <w:tc>
          <w:tcPr>
            <w:tcW w:w="7086" w:type="dxa"/>
            <w:vAlign w:val="top"/>
          </w:tcPr>
          <w:p w14:paraId="2DB35B41">
            <w:pPr>
              <w:pStyle w:val="14"/>
              <w:spacing w:before="225" w:line="287" w:lineRule="auto"/>
              <w:ind w:left="120" w:right="258"/>
              <w:jc w:val="both"/>
              <w:rPr>
                <w:rFonts w:hint="eastAsia" w:eastAsia="仿宋"/>
                <w:highlight w:val="none"/>
                <w:lang w:eastAsia="zh-CN"/>
              </w:rPr>
            </w:pPr>
            <w:r>
              <w:rPr>
                <w:spacing w:val="-2"/>
                <w:highlight w:val="none"/>
              </w:rPr>
              <w:t>本项目采购标的对应的中小企业划分标准所属行业：</w:t>
            </w:r>
            <w:r>
              <w:rPr>
                <w:rFonts w:hint="eastAsia"/>
                <w:b/>
                <w:bCs/>
                <w:spacing w:val="-2"/>
                <w:highlight w:val="none"/>
                <w:u w:val="single" w:color="auto"/>
                <w:lang w:val="en-US" w:eastAsia="zh-CN"/>
              </w:rPr>
              <w:t>工业。</w:t>
            </w:r>
          </w:p>
        </w:tc>
      </w:tr>
      <w:tr w14:paraId="4D886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853" w:type="dxa"/>
            <w:vAlign w:val="top"/>
          </w:tcPr>
          <w:p w14:paraId="44A8CD41">
            <w:pPr>
              <w:spacing w:line="344" w:lineRule="auto"/>
              <w:rPr>
                <w:rFonts w:ascii="Arial"/>
                <w:sz w:val="21"/>
                <w:highlight w:val="none"/>
              </w:rPr>
            </w:pPr>
          </w:p>
          <w:p w14:paraId="2DAB5FC6">
            <w:pPr>
              <w:pStyle w:val="14"/>
              <w:spacing w:before="78"/>
              <w:ind w:left="195"/>
              <w:rPr>
                <w:highlight w:val="none"/>
              </w:rPr>
            </w:pPr>
            <w:r>
              <w:rPr>
                <w:spacing w:val="-4"/>
                <w:highlight w:val="none"/>
              </w:rPr>
              <w:t>43.5</w:t>
            </w:r>
          </w:p>
        </w:tc>
        <w:tc>
          <w:tcPr>
            <w:tcW w:w="1700" w:type="dxa"/>
            <w:vAlign w:val="top"/>
          </w:tcPr>
          <w:p w14:paraId="01B0A34D">
            <w:pPr>
              <w:pStyle w:val="14"/>
              <w:spacing w:before="52" w:line="222" w:lineRule="auto"/>
              <w:ind w:left="20"/>
              <w:rPr>
                <w:highlight w:val="none"/>
              </w:rPr>
            </w:pPr>
            <w:r>
              <w:rPr>
                <w:spacing w:val="-3"/>
                <w:highlight w:val="none"/>
              </w:rPr>
              <w:t>优先采购节能环</w:t>
            </w:r>
          </w:p>
          <w:p w14:paraId="26ABC6E3">
            <w:pPr>
              <w:pStyle w:val="14"/>
              <w:spacing w:before="83" w:line="221" w:lineRule="auto"/>
              <w:ind w:left="501"/>
              <w:rPr>
                <w:highlight w:val="none"/>
              </w:rPr>
            </w:pPr>
            <w:r>
              <w:rPr>
                <w:spacing w:val="-6"/>
                <w:highlight w:val="none"/>
              </w:rPr>
              <w:t>保产品</w:t>
            </w:r>
          </w:p>
          <w:p w14:paraId="5D4426A6">
            <w:pPr>
              <w:pStyle w:val="14"/>
              <w:spacing w:before="87" w:line="223" w:lineRule="auto"/>
              <w:ind w:left="265"/>
              <w:rPr>
                <w:highlight w:val="none"/>
              </w:rPr>
            </w:pPr>
            <w:r>
              <w:rPr>
                <w:spacing w:val="-5"/>
                <w:highlight w:val="none"/>
              </w:rPr>
              <w:t>（如涉及）</w:t>
            </w:r>
          </w:p>
        </w:tc>
        <w:tc>
          <w:tcPr>
            <w:tcW w:w="7086" w:type="dxa"/>
            <w:vAlign w:val="top"/>
          </w:tcPr>
          <w:p w14:paraId="07854B51">
            <w:pPr>
              <w:pStyle w:val="14"/>
              <w:spacing w:before="66" w:line="275" w:lineRule="auto"/>
              <w:ind w:left="119" w:right="102" w:firstLine="2"/>
              <w:jc w:val="both"/>
              <w:rPr>
                <w:highlight w:val="none"/>
              </w:rPr>
            </w:pPr>
            <w:r>
              <w:rPr>
                <w:spacing w:val="2"/>
                <w:highlight w:val="none"/>
              </w:rPr>
              <w:t>产品属于节能产品、环境标志产品品目清单范围内，且投标人所</w:t>
            </w:r>
            <w:r>
              <w:rPr>
                <w:spacing w:val="5"/>
                <w:highlight w:val="none"/>
              </w:rPr>
              <w:t>投产品具有有效期内的产品认证证书，在评标时予以优先</w:t>
            </w:r>
            <w:r>
              <w:rPr>
                <w:spacing w:val="4"/>
                <w:highlight w:val="none"/>
              </w:rPr>
              <w:t>采购，</w:t>
            </w:r>
            <w:r>
              <w:rPr>
                <w:spacing w:val="-2"/>
                <w:highlight w:val="none"/>
              </w:rPr>
              <w:t>具体优惠措施为：在技术部分打分项中加</w:t>
            </w:r>
            <w:r>
              <w:rPr>
                <w:spacing w:val="-2"/>
                <w:highlight w:val="none"/>
                <w:u w:val="single" w:color="auto"/>
              </w:rPr>
              <w:t xml:space="preserve">  /  </w:t>
            </w:r>
            <w:r>
              <w:rPr>
                <w:spacing w:val="-94"/>
                <w:highlight w:val="none"/>
              </w:rPr>
              <w:t xml:space="preserve"> </w:t>
            </w:r>
            <w:r>
              <w:rPr>
                <w:spacing w:val="-2"/>
                <w:highlight w:val="none"/>
              </w:rPr>
              <w:t>分</w:t>
            </w:r>
          </w:p>
        </w:tc>
      </w:tr>
      <w:tr w14:paraId="6D19F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53" w:type="dxa"/>
            <w:vAlign w:val="top"/>
          </w:tcPr>
          <w:p w14:paraId="4B48FFC8">
            <w:pPr>
              <w:pStyle w:val="14"/>
              <w:spacing w:before="303"/>
              <w:ind w:left="195"/>
              <w:rPr>
                <w:highlight w:val="none"/>
              </w:rPr>
            </w:pPr>
            <w:r>
              <w:rPr>
                <w:spacing w:val="-4"/>
                <w:highlight w:val="none"/>
              </w:rPr>
              <w:t>47.1</w:t>
            </w:r>
          </w:p>
        </w:tc>
        <w:tc>
          <w:tcPr>
            <w:tcW w:w="1700" w:type="dxa"/>
            <w:vAlign w:val="top"/>
          </w:tcPr>
          <w:p w14:paraId="6EA309E5">
            <w:pPr>
              <w:pStyle w:val="14"/>
              <w:spacing w:before="115" w:line="269" w:lineRule="auto"/>
              <w:ind w:left="515" w:right="17" w:hanging="484"/>
              <w:rPr>
                <w:highlight w:val="none"/>
              </w:rPr>
            </w:pPr>
            <w:r>
              <w:rPr>
                <w:spacing w:val="-5"/>
                <w:highlight w:val="none"/>
              </w:rPr>
              <w:t>政府采购合同融</w:t>
            </w:r>
            <w:r>
              <w:rPr>
                <w:spacing w:val="-11"/>
                <w:highlight w:val="none"/>
              </w:rPr>
              <w:t>资政策</w:t>
            </w:r>
          </w:p>
        </w:tc>
        <w:tc>
          <w:tcPr>
            <w:tcW w:w="7086" w:type="dxa"/>
            <w:vAlign w:val="top"/>
          </w:tcPr>
          <w:p w14:paraId="7BF24515">
            <w:pPr>
              <w:pStyle w:val="14"/>
              <w:spacing w:before="276" w:line="226" w:lineRule="auto"/>
              <w:ind w:left="112"/>
              <w:rPr>
                <w:highlight w:val="none"/>
              </w:rPr>
            </w:pPr>
            <w:r>
              <w:rPr>
                <w:highlight w:val="none"/>
              </w:rPr>
              <w:t>/</w:t>
            </w:r>
          </w:p>
        </w:tc>
      </w:tr>
      <w:tr w14:paraId="1F758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3" w:type="dxa"/>
            <w:vAlign w:val="top"/>
          </w:tcPr>
          <w:p w14:paraId="1D43F4CF">
            <w:pPr>
              <w:pStyle w:val="14"/>
              <w:spacing w:before="262"/>
              <w:ind w:left="195"/>
              <w:rPr>
                <w:spacing w:val="-4"/>
                <w:highlight w:val="none"/>
              </w:rPr>
            </w:pPr>
          </w:p>
          <w:p w14:paraId="51313108">
            <w:pPr>
              <w:pStyle w:val="14"/>
              <w:spacing w:before="262"/>
              <w:ind w:left="195"/>
              <w:rPr>
                <w:spacing w:val="-4"/>
                <w:highlight w:val="none"/>
              </w:rPr>
            </w:pPr>
          </w:p>
          <w:p w14:paraId="5FB51826">
            <w:pPr>
              <w:pStyle w:val="14"/>
              <w:spacing w:before="262"/>
              <w:ind w:left="195"/>
              <w:rPr>
                <w:spacing w:val="-4"/>
                <w:highlight w:val="none"/>
              </w:rPr>
            </w:pPr>
          </w:p>
          <w:p w14:paraId="647F517D">
            <w:pPr>
              <w:pStyle w:val="14"/>
              <w:spacing w:before="262"/>
              <w:ind w:left="195"/>
              <w:rPr>
                <w:spacing w:val="-4"/>
                <w:highlight w:val="none"/>
              </w:rPr>
            </w:pPr>
          </w:p>
          <w:p w14:paraId="22FDA12F">
            <w:pPr>
              <w:pStyle w:val="14"/>
              <w:spacing w:before="262"/>
              <w:ind w:left="195"/>
              <w:rPr>
                <w:spacing w:val="-4"/>
                <w:highlight w:val="none"/>
              </w:rPr>
            </w:pPr>
          </w:p>
          <w:p w14:paraId="57A0757F">
            <w:pPr>
              <w:pStyle w:val="14"/>
              <w:spacing w:before="262"/>
              <w:ind w:left="195"/>
              <w:rPr>
                <w:highlight w:val="none"/>
              </w:rPr>
            </w:pPr>
            <w:r>
              <w:rPr>
                <w:spacing w:val="-4"/>
                <w:highlight w:val="none"/>
              </w:rPr>
              <w:t>48.1</w:t>
            </w:r>
          </w:p>
        </w:tc>
        <w:tc>
          <w:tcPr>
            <w:tcW w:w="1700" w:type="dxa"/>
            <w:vAlign w:val="top"/>
          </w:tcPr>
          <w:p w14:paraId="4AD3DBF3">
            <w:pPr>
              <w:spacing w:line="285" w:lineRule="auto"/>
              <w:rPr>
                <w:rFonts w:ascii="Arial"/>
                <w:sz w:val="21"/>
                <w:highlight w:val="none"/>
              </w:rPr>
            </w:pPr>
          </w:p>
          <w:p w14:paraId="2F571C52">
            <w:pPr>
              <w:pStyle w:val="14"/>
              <w:spacing w:before="78" w:line="222" w:lineRule="auto"/>
              <w:ind w:left="44"/>
              <w:rPr>
                <w:spacing w:val="-7"/>
                <w:highlight w:val="none"/>
              </w:rPr>
            </w:pPr>
          </w:p>
          <w:p w14:paraId="38FB9045">
            <w:pPr>
              <w:pStyle w:val="14"/>
              <w:spacing w:before="78" w:line="222" w:lineRule="auto"/>
              <w:ind w:left="44"/>
              <w:rPr>
                <w:spacing w:val="-7"/>
                <w:highlight w:val="none"/>
              </w:rPr>
            </w:pPr>
          </w:p>
          <w:p w14:paraId="4858D0FE">
            <w:pPr>
              <w:pStyle w:val="14"/>
              <w:spacing w:before="78" w:line="222" w:lineRule="auto"/>
              <w:ind w:left="44"/>
              <w:rPr>
                <w:spacing w:val="-7"/>
                <w:highlight w:val="none"/>
              </w:rPr>
            </w:pPr>
          </w:p>
          <w:p w14:paraId="20CA7FFE">
            <w:pPr>
              <w:pStyle w:val="14"/>
              <w:spacing w:before="78" w:line="222" w:lineRule="auto"/>
              <w:ind w:left="44"/>
              <w:rPr>
                <w:spacing w:val="-7"/>
                <w:highlight w:val="none"/>
              </w:rPr>
            </w:pPr>
          </w:p>
          <w:p w14:paraId="714A1E4A">
            <w:pPr>
              <w:pStyle w:val="14"/>
              <w:spacing w:before="78" w:line="222" w:lineRule="auto"/>
              <w:ind w:left="44"/>
              <w:rPr>
                <w:spacing w:val="-7"/>
                <w:highlight w:val="none"/>
              </w:rPr>
            </w:pPr>
          </w:p>
          <w:p w14:paraId="0E20024B">
            <w:pPr>
              <w:pStyle w:val="14"/>
              <w:spacing w:before="78" w:line="222" w:lineRule="auto"/>
              <w:ind w:left="44"/>
              <w:rPr>
                <w:spacing w:val="-7"/>
                <w:highlight w:val="none"/>
              </w:rPr>
            </w:pPr>
          </w:p>
          <w:p w14:paraId="22B4A5A7">
            <w:pPr>
              <w:pStyle w:val="14"/>
              <w:spacing w:before="78" w:line="222" w:lineRule="auto"/>
              <w:ind w:left="44"/>
              <w:rPr>
                <w:spacing w:val="-7"/>
                <w:highlight w:val="none"/>
              </w:rPr>
            </w:pPr>
          </w:p>
          <w:p w14:paraId="25C252EA">
            <w:pPr>
              <w:pStyle w:val="14"/>
              <w:spacing w:before="78" w:line="222" w:lineRule="auto"/>
              <w:ind w:left="44"/>
              <w:rPr>
                <w:highlight w:val="none"/>
              </w:rPr>
            </w:pPr>
            <w:r>
              <w:rPr>
                <w:spacing w:val="-7"/>
                <w:highlight w:val="none"/>
              </w:rPr>
              <w:t>需要补充的其他</w:t>
            </w:r>
            <w:r>
              <w:rPr>
                <w:spacing w:val="-23"/>
                <w:highlight w:val="none"/>
              </w:rPr>
              <w:t>内容</w:t>
            </w:r>
          </w:p>
        </w:tc>
        <w:tc>
          <w:tcPr>
            <w:tcW w:w="7086" w:type="dxa"/>
            <w:vAlign w:val="top"/>
          </w:tcPr>
          <w:p w14:paraId="0F7BE076">
            <w:pPr>
              <w:pStyle w:val="14"/>
              <w:spacing w:before="36" w:line="287" w:lineRule="auto"/>
              <w:ind w:left="122" w:right="256" w:firstLine="2"/>
              <w:rPr>
                <w:highlight w:val="none"/>
              </w:rPr>
            </w:pPr>
            <w:r>
              <w:rPr>
                <w:spacing w:val="-1"/>
                <w:highlight w:val="none"/>
              </w:rPr>
              <w:t>1、投标人需自行准备电脑笔记本并调试好解密,在政采云远程不见面开标大厅进行投标文件解密，如因投标人自身原因导致在规定时间内无法正常解密的（如：浏览器故障、未安装相关驱动、</w:t>
            </w:r>
            <w:r>
              <w:rPr>
                <w:spacing w:val="-2"/>
                <w:highlight w:val="none"/>
              </w:rPr>
              <w:t>网络故障、加密CA与解密 CA 不一致等</w:t>
            </w:r>
            <w:r>
              <w:rPr>
                <w:spacing w:val="19"/>
                <w:highlight w:val="none"/>
              </w:rPr>
              <w:t>），</w:t>
            </w:r>
            <w:r>
              <w:rPr>
                <w:spacing w:val="-2"/>
                <w:highlight w:val="none"/>
              </w:rPr>
              <w:t>代理机构不予异常处理，视为投标人自动弃标。</w:t>
            </w:r>
          </w:p>
          <w:p w14:paraId="0A21510F">
            <w:pPr>
              <w:pStyle w:val="14"/>
              <w:spacing w:line="221" w:lineRule="auto"/>
              <w:ind w:left="116"/>
              <w:rPr>
                <w:highlight w:val="none"/>
              </w:rPr>
            </w:pPr>
            <w:r>
              <w:rPr>
                <w:spacing w:val="-1"/>
                <w:highlight w:val="none"/>
              </w:rPr>
              <w:t>2、当出现下列情形之一，投标文件将予以退回：</w:t>
            </w:r>
          </w:p>
          <w:p w14:paraId="1F9B7A84">
            <w:pPr>
              <w:pStyle w:val="14"/>
              <w:spacing w:before="86" w:line="287" w:lineRule="auto"/>
              <w:ind w:left="120" w:right="136" w:firstLine="10"/>
              <w:rPr>
                <w:highlight w:val="none"/>
              </w:rPr>
            </w:pPr>
            <w:r>
              <w:rPr>
                <w:spacing w:val="-1"/>
                <w:highlight w:val="none"/>
              </w:rPr>
              <w:t>1）投标人在提交投标文件截止时间前未成功上传加密电子投标文</w:t>
            </w:r>
            <w:r>
              <w:rPr>
                <w:spacing w:val="-10"/>
                <w:highlight w:val="none"/>
              </w:rPr>
              <w:t>件（</w:t>
            </w:r>
            <w:r>
              <w:rPr>
                <w:spacing w:val="51"/>
                <w:highlight w:val="none"/>
              </w:rPr>
              <w:t xml:space="preserve"> </w:t>
            </w:r>
            <w:r>
              <w:rPr>
                <w:spacing w:val="-10"/>
                <w:highlight w:val="none"/>
              </w:rPr>
              <w:t>.bttf</w:t>
            </w:r>
            <w:r>
              <w:rPr>
                <w:spacing w:val="1"/>
                <w:highlight w:val="none"/>
              </w:rPr>
              <w:t>）；</w:t>
            </w:r>
          </w:p>
          <w:p w14:paraId="42BA67A1">
            <w:pPr>
              <w:pStyle w:val="14"/>
              <w:spacing w:line="287" w:lineRule="auto"/>
              <w:ind w:left="111" w:right="376" w:firstLine="4"/>
              <w:rPr>
                <w:highlight w:val="none"/>
              </w:rPr>
            </w:pPr>
            <w:r>
              <w:rPr>
                <w:spacing w:val="-1"/>
                <w:highlight w:val="none"/>
              </w:rPr>
              <w:t>2）投标人开标现场携带CA数字证书与上传加密投标文件使用的CA 数字证书不一致；</w:t>
            </w:r>
          </w:p>
          <w:p w14:paraId="36888CF1">
            <w:pPr>
              <w:pStyle w:val="14"/>
              <w:spacing w:line="222" w:lineRule="auto"/>
              <w:ind w:left="118"/>
              <w:rPr>
                <w:highlight w:val="none"/>
              </w:rPr>
            </w:pPr>
            <w:r>
              <w:rPr>
                <w:spacing w:val="-1"/>
                <w:highlight w:val="none"/>
              </w:rPr>
              <w:t>3）投标人解密时 CA 数字证书已过期，导致无法正常解密；</w:t>
            </w:r>
          </w:p>
          <w:p w14:paraId="759BEF8B">
            <w:pPr>
              <w:pStyle w:val="14"/>
              <w:spacing w:before="85" w:line="287" w:lineRule="auto"/>
              <w:ind w:left="119" w:right="256" w:hanging="7"/>
              <w:rPr>
                <w:highlight w:val="none"/>
              </w:rPr>
            </w:pPr>
            <w:r>
              <w:rPr>
                <w:highlight w:val="none"/>
              </w:rPr>
              <w:t>4）加密投标文件时，CA 数字证书未过期，开</w:t>
            </w:r>
            <w:r>
              <w:rPr>
                <w:spacing w:val="-1"/>
                <w:highlight w:val="none"/>
              </w:rPr>
              <w:t>标解密时，显示CA数字证书已过期，导致无法正常解密；</w:t>
            </w:r>
          </w:p>
          <w:p w14:paraId="601C2268">
            <w:pPr>
              <w:pStyle w:val="14"/>
              <w:spacing w:before="1" w:line="221" w:lineRule="auto"/>
              <w:ind w:left="118"/>
              <w:rPr>
                <w:highlight w:val="none"/>
              </w:rPr>
            </w:pPr>
            <w:r>
              <w:rPr>
                <w:spacing w:val="-1"/>
                <w:highlight w:val="none"/>
              </w:rPr>
              <w:t>5）投标人个人原因导致无法解密的其他情形。</w:t>
            </w:r>
          </w:p>
          <w:p w14:paraId="57C73483">
            <w:pPr>
              <w:pStyle w:val="14"/>
              <w:spacing w:before="86" w:line="286" w:lineRule="auto"/>
              <w:ind w:left="122" w:right="376" w:hanging="4"/>
              <w:rPr>
                <w:highlight w:val="none"/>
              </w:rPr>
            </w:pPr>
            <w:r>
              <w:rPr>
                <w:highlight w:val="none"/>
              </w:rPr>
              <w:t xml:space="preserve">3、请各潜在投标人及时在政采云平台 </w:t>
            </w:r>
            <w:r>
              <w:rPr>
                <w:highlight w:val="none"/>
              </w:rPr>
              <w:fldChar w:fldCharType="begin"/>
            </w:r>
            <w:r>
              <w:rPr>
                <w:highlight w:val="none"/>
              </w:rPr>
              <w:instrText xml:space="preserve"> HYPERLINK "https://www.zcygov.cn" </w:instrText>
            </w:r>
            <w:r>
              <w:rPr>
                <w:highlight w:val="none"/>
              </w:rPr>
              <w:fldChar w:fldCharType="separate"/>
            </w:r>
            <w:r>
              <w:rPr>
                <w:highlight w:val="none"/>
              </w:rPr>
              <w:t>https:</w:t>
            </w:r>
            <w:r>
              <w:rPr>
                <w:spacing w:val="-1"/>
                <w:highlight w:val="none"/>
              </w:rPr>
              <w:t>//www.zcygov.cn</w:t>
            </w:r>
            <w:r>
              <w:rPr>
                <w:spacing w:val="-1"/>
                <w:highlight w:val="none"/>
              </w:rPr>
              <w:fldChar w:fldCharType="end"/>
            </w:r>
            <w:r>
              <w:rPr>
                <w:spacing w:val="-2"/>
                <w:highlight w:val="none"/>
              </w:rPr>
              <w:t>上领取最新的采购文件制作投标文件。</w:t>
            </w:r>
          </w:p>
          <w:p w14:paraId="6C607CCD">
            <w:pPr>
              <w:pStyle w:val="14"/>
              <w:spacing w:before="37" w:line="269" w:lineRule="auto"/>
              <w:ind w:left="122" w:right="256" w:firstLine="8"/>
              <w:rPr>
                <w:highlight w:val="none"/>
              </w:rPr>
            </w:pPr>
            <w:r>
              <w:rPr>
                <w:spacing w:val="1"/>
                <w:highlight w:val="none"/>
              </w:rPr>
              <w:t>4、本项目的招标投标活动以及相关当事人须接受</w:t>
            </w:r>
            <w:r>
              <w:rPr>
                <w:highlight w:val="none"/>
              </w:rPr>
              <w:t>财政监督部门依</w:t>
            </w:r>
            <w:r>
              <w:rPr>
                <w:spacing w:val="-4"/>
                <w:highlight w:val="none"/>
              </w:rPr>
              <w:t>法实施的监督。</w:t>
            </w:r>
          </w:p>
        </w:tc>
      </w:tr>
      <w:tr w14:paraId="1E7F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553" w:type="dxa"/>
            <w:gridSpan w:val="2"/>
            <w:vAlign w:val="top"/>
          </w:tcPr>
          <w:p w14:paraId="41D44B6D">
            <w:pPr>
              <w:spacing w:line="248" w:lineRule="auto"/>
              <w:rPr>
                <w:rFonts w:ascii="Arial"/>
                <w:sz w:val="21"/>
                <w:highlight w:val="none"/>
              </w:rPr>
            </w:pPr>
          </w:p>
          <w:p w14:paraId="18E52118">
            <w:pPr>
              <w:pStyle w:val="14"/>
              <w:spacing w:before="78" w:line="222" w:lineRule="auto"/>
              <w:ind w:left="44"/>
              <w:rPr>
                <w:spacing w:val="-7"/>
                <w:highlight w:val="none"/>
              </w:rPr>
            </w:pPr>
            <w:r>
              <w:rPr>
                <w:spacing w:val="-6"/>
                <w:highlight w:val="none"/>
              </w:rPr>
              <w:t>增加的内容</w:t>
            </w:r>
          </w:p>
        </w:tc>
        <w:tc>
          <w:tcPr>
            <w:tcW w:w="7086" w:type="dxa"/>
            <w:vAlign w:val="top"/>
          </w:tcPr>
          <w:p w14:paraId="3F4CEA83">
            <w:pPr>
              <w:pStyle w:val="14"/>
              <w:spacing w:before="64" w:line="222" w:lineRule="auto"/>
              <w:ind w:left="130"/>
              <w:rPr>
                <w:highlight w:val="none"/>
              </w:rPr>
            </w:pPr>
            <w:r>
              <w:rPr>
                <w:b/>
                <w:bCs/>
                <w:spacing w:val="-7"/>
                <w:highlight w:val="none"/>
              </w:rPr>
              <w:t>1、合同履约期限：</w:t>
            </w:r>
            <w:r>
              <w:rPr>
                <w:rFonts w:hint="eastAsia"/>
                <w:b/>
                <w:bCs/>
                <w:spacing w:val="-7"/>
                <w:highlight w:val="none"/>
              </w:rPr>
              <w:t>自签订之日起一年。</w:t>
            </w:r>
          </w:p>
          <w:p w14:paraId="02A7BB0F">
            <w:pPr>
              <w:pStyle w:val="14"/>
              <w:spacing w:before="49" w:line="221" w:lineRule="auto"/>
              <w:ind w:left="116"/>
              <w:rPr>
                <w:highlight w:val="none"/>
              </w:rPr>
            </w:pPr>
            <w:r>
              <w:rPr>
                <w:b/>
                <w:bCs/>
                <w:spacing w:val="-3"/>
                <w:highlight w:val="none"/>
              </w:rPr>
              <w:t>2、质量要求：所有货物需符合国家标准。</w:t>
            </w:r>
          </w:p>
          <w:p w14:paraId="5A9ED22B">
            <w:pPr>
              <w:pStyle w:val="14"/>
              <w:spacing w:before="51" w:line="222" w:lineRule="auto"/>
              <w:ind w:left="118"/>
              <w:rPr>
                <w:highlight w:val="none"/>
              </w:rPr>
            </w:pPr>
            <w:r>
              <w:rPr>
                <w:b/>
                <w:bCs/>
                <w:spacing w:val="-3"/>
                <w:highlight w:val="none"/>
              </w:rPr>
              <w:t>3、合同履约地点：</w:t>
            </w:r>
            <w:r>
              <w:rPr>
                <w:rFonts w:hint="eastAsia"/>
                <w:b/>
                <w:bCs/>
                <w:spacing w:val="-3"/>
                <w:highlight w:val="none"/>
              </w:rPr>
              <w:t>怀柔实验室新疆研究院</w:t>
            </w:r>
            <w:r>
              <w:rPr>
                <w:rFonts w:hint="eastAsia"/>
                <w:b/>
                <w:bCs/>
                <w:spacing w:val="-3"/>
                <w:highlight w:val="none"/>
                <w:lang w:eastAsia="zh-CN"/>
              </w:rPr>
              <w:t>指定地点</w:t>
            </w:r>
            <w:r>
              <w:rPr>
                <w:b/>
                <w:bCs/>
                <w:spacing w:val="-3"/>
                <w:highlight w:val="none"/>
              </w:rPr>
              <w:t>。</w:t>
            </w:r>
          </w:p>
          <w:p w14:paraId="7722DA8C">
            <w:pPr>
              <w:pStyle w:val="14"/>
              <w:spacing w:before="52" w:line="221" w:lineRule="auto"/>
              <w:ind w:left="124" w:right="105" w:hanging="12"/>
              <w:rPr>
                <w:b/>
                <w:bCs/>
                <w:spacing w:val="-2"/>
                <w:highlight w:val="none"/>
              </w:rPr>
            </w:pPr>
            <w:r>
              <w:rPr>
                <w:b/>
                <w:bCs/>
                <w:spacing w:val="-2"/>
                <w:highlight w:val="none"/>
              </w:rPr>
              <w:t>4、</w:t>
            </w:r>
            <w:r>
              <w:rPr>
                <w:rFonts w:hint="eastAsia"/>
                <w:b/>
                <w:bCs/>
                <w:spacing w:val="-2"/>
                <w:highlight w:val="none"/>
                <w:lang w:val="en-US" w:eastAsia="zh-CN"/>
              </w:rPr>
              <w:t>付款方式</w:t>
            </w:r>
            <w:r>
              <w:rPr>
                <w:b/>
                <w:bCs/>
                <w:spacing w:val="-2"/>
                <w:highlight w:val="none"/>
              </w:rPr>
              <w:t>：</w:t>
            </w:r>
          </w:p>
          <w:p w14:paraId="09A8FC4C">
            <w:pPr>
              <w:pStyle w:val="14"/>
              <w:spacing w:before="37" w:line="269" w:lineRule="auto"/>
              <w:ind w:left="122" w:right="256" w:firstLine="8"/>
              <w:rPr>
                <w:rFonts w:hint="eastAsia"/>
                <w:highlight w:val="none"/>
              </w:rPr>
            </w:pPr>
            <w:r>
              <w:rPr>
                <w:rFonts w:hint="eastAsia"/>
                <w:highlight w:val="none"/>
              </w:rPr>
              <w:t>支付至供应商对公账户，账户信息需在合同中明确；</w:t>
            </w:r>
            <w:r>
              <w:rPr>
                <w:rFonts w:hint="eastAsia"/>
                <w:highlight w:val="none"/>
                <w:lang w:val="en-US" w:eastAsia="zh-CN"/>
              </w:rPr>
              <w:t>合同签订30日内，支付30%合同总额的预付款，合同签订每半年结算一次。结算时，供应商须向本单位提供供货清单、验收资料及发票，本单位在收到合格材料后10个工作日内完成审核，审核无误后20个工作日内通过银行转账支付。</w:t>
            </w:r>
          </w:p>
        </w:tc>
      </w:tr>
      <w:tr w14:paraId="7155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553" w:type="dxa"/>
            <w:gridSpan w:val="2"/>
            <w:vAlign w:val="top"/>
          </w:tcPr>
          <w:p w14:paraId="74E7DE92">
            <w:pPr>
              <w:pStyle w:val="14"/>
              <w:spacing w:before="78" w:line="222" w:lineRule="auto"/>
              <w:ind w:left="44"/>
              <w:rPr>
                <w:spacing w:val="-6"/>
                <w:highlight w:val="none"/>
              </w:rPr>
            </w:pPr>
            <w:r>
              <w:rPr>
                <w:b/>
                <w:bCs/>
                <w:spacing w:val="-8"/>
                <w:highlight w:val="none"/>
              </w:rPr>
              <w:t>异常低价审查</w:t>
            </w:r>
          </w:p>
        </w:tc>
        <w:tc>
          <w:tcPr>
            <w:tcW w:w="7086" w:type="dxa"/>
            <w:shd w:val="clear" w:color="auto" w:fill="auto"/>
            <w:vAlign w:val="top"/>
          </w:tcPr>
          <w:p w14:paraId="04097806">
            <w:pPr>
              <w:pStyle w:val="14"/>
              <w:spacing w:before="36" w:line="239" w:lineRule="auto"/>
              <w:ind w:left="122" w:right="232" w:firstLine="1"/>
              <w:rPr>
                <w:highlight w:val="none"/>
              </w:rPr>
            </w:pPr>
            <w:r>
              <w:rPr>
                <w:b/>
                <w:bCs/>
                <w:spacing w:val="-3"/>
                <w:highlight w:val="none"/>
              </w:rPr>
              <w:t>一、政府采购评审中出现下列情形之一的，评审委员会应当启动异常低价投标（响应）审查程序：</w:t>
            </w:r>
          </w:p>
          <w:p w14:paraId="2148A860">
            <w:pPr>
              <w:pStyle w:val="14"/>
              <w:ind w:left="121" w:right="136" w:firstLine="9"/>
              <w:rPr>
                <w:highlight w:val="none"/>
              </w:rPr>
            </w:pPr>
            <w:r>
              <w:rPr>
                <w:spacing w:val="-1"/>
                <w:highlight w:val="none"/>
              </w:rPr>
              <w:t>1、投标（响应）报价低于全部通过符合性审查供应商投标（响应</w:t>
            </w:r>
            <w:r>
              <w:rPr>
                <w:spacing w:val="1"/>
                <w:highlight w:val="none"/>
              </w:rPr>
              <w:t xml:space="preserve"> </w:t>
            </w:r>
            <w:r>
              <w:rPr>
                <w:spacing w:val="-2"/>
                <w:highlight w:val="none"/>
              </w:rPr>
              <w:t>)</w:t>
            </w:r>
            <w:r>
              <w:rPr>
                <w:spacing w:val="42"/>
                <w:highlight w:val="none"/>
              </w:rPr>
              <w:t xml:space="preserve"> </w:t>
            </w:r>
            <w:r>
              <w:rPr>
                <w:spacing w:val="-2"/>
                <w:highlight w:val="none"/>
              </w:rPr>
              <w:t>报价平均值50%的，即投标（响应）报价&lt;全部通过符合性审查</w:t>
            </w:r>
            <w:r>
              <w:rPr>
                <w:spacing w:val="-1"/>
                <w:highlight w:val="none"/>
              </w:rPr>
              <w:t>供应商投标（响应）报价平均值×50%；</w:t>
            </w:r>
          </w:p>
          <w:p w14:paraId="7A771431">
            <w:pPr>
              <w:pStyle w:val="14"/>
              <w:spacing w:before="1" w:line="239" w:lineRule="auto"/>
              <w:ind w:left="120" w:right="136" w:hanging="4"/>
              <w:rPr>
                <w:highlight w:val="none"/>
              </w:rPr>
            </w:pPr>
            <w:r>
              <w:rPr>
                <w:spacing w:val="-1"/>
                <w:highlight w:val="none"/>
              </w:rPr>
              <w:t>2、投标（响应）报价低于通过符合性审查的次低报价供应商投标（响应）报价50%的，即投标（响应）报价&lt;通过符合性审查的次低报价供应商投标（响应）报价×50%；</w:t>
            </w:r>
          </w:p>
          <w:p w14:paraId="012ECDC2">
            <w:pPr>
              <w:pStyle w:val="14"/>
              <w:spacing w:line="239" w:lineRule="auto"/>
              <w:ind w:left="120" w:right="256" w:hanging="2"/>
              <w:rPr>
                <w:highlight w:val="none"/>
              </w:rPr>
            </w:pPr>
            <w:r>
              <w:rPr>
                <w:spacing w:val="-1"/>
                <w:highlight w:val="none"/>
              </w:rPr>
              <w:t>3、投标（响应）报价低于采购项目最高限价45%的，即投标（响应）报价&lt;采购项目最高限价×45%；</w:t>
            </w:r>
          </w:p>
          <w:p w14:paraId="3E2CC471">
            <w:pPr>
              <w:pStyle w:val="14"/>
              <w:ind w:left="122" w:right="136" w:hanging="10"/>
              <w:rPr>
                <w:highlight w:val="none"/>
              </w:rPr>
            </w:pPr>
            <w:r>
              <w:rPr>
                <w:highlight w:val="none"/>
              </w:rPr>
              <w:t>4、评审委员会基于专业判断，认为供应商报</w:t>
            </w:r>
            <w:r>
              <w:rPr>
                <w:spacing w:val="-1"/>
                <w:highlight w:val="none"/>
              </w:rPr>
              <w:t>价过低，有可能影响产品质量或者不能诚信履约的其他情形。</w:t>
            </w:r>
          </w:p>
          <w:p w14:paraId="66B6202A">
            <w:pPr>
              <w:pStyle w:val="14"/>
              <w:spacing w:before="2" w:line="238" w:lineRule="auto"/>
              <w:ind w:left="122" w:right="136"/>
              <w:rPr>
                <w:highlight w:val="none"/>
              </w:rPr>
            </w:pPr>
            <w:r>
              <w:rPr>
                <w:spacing w:val="-1"/>
                <w:highlight w:val="none"/>
              </w:rPr>
              <w:t>采购人可以结合具体项目实际情况，提高上述第1项至第3项中启动异常低价投标（响应）审查的数值标准，但是最高不得超过65%</w:t>
            </w:r>
          </w:p>
          <w:p w14:paraId="77A3161C">
            <w:pPr>
              <w:pStyle w:val="14"/>
              <w:spacing w:before="1" w:line="222" w:lineRule="auto"/>
              <w:ind w:left="138"/>
              <w:rPr>
                <w:highlight w:val="none"/>
              </w:rPr>
            </w:pPr>
            <w:r>
              <w:rPr>
                <w:spacing w:val="-2"/>
                <w:highlight w:val="none"/>
              </w:rPr>
              <w:t>。</w:t>
            </w:r>
            <w:r>
              <w:rPr>
                <w:b/>
                <w:bCs/>
                <w:spacing w:val="-2"/>
                <w:highlight w:val="none"/>
                <w:u w:val="single" w:color="auto"/>
              </w:rPr>
              <w:t>本项目启动异常低价投标（响应）审查的数值为</w:t>
            </w:r>
            <w:r>
              <w:rPr>
                <w:rFonts w:hint="eastAsia"/>
                <w:b/>
                <w:bCs/>
                <w:spacing w:val="-2"/>
                <w:highlight w:val="none"/>
                <w:u w:val="single" w:color="auto"/>
                <w:lang w:val="en-US" w:eastAsia="zh-CN"/>
              </w:rPr>
              <w:t>50</w:t>
            </w:r>
            <w:r>
              <w:rPr>
                <w:b/>
                <w:bCs/>
                <w:spacing w:val="-2"/>
                <w:highlight w:val="none"/>
                <w:u w:val="single" w:color="auto"/>
              </w:rPr>
              <w:t>%。</w:t>
            </w:r>
          </w:p>
          <w:p w14:paraId="1AEDCDE8">
            <w:pPr>
              <w:pStyle w:val="14"/>
              <w:spacing w:before="33"/>
              <w:ind w:left="131" w:right="136" w:firstLine="19"/>
              <w:rPr>
                <w:highlight w:val="none"/>
              </w:rPr>
            </w:pPr>
            <w:r>
              <w:rPr>
                <w:spacing w:val="-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w:t>
            </w:r>
            <w:r>
              <w:rPr>
                <w:spacing w:val="-2"/>
                <w:highlight w:val="none"/>
              </w:rPr>
              <w:t>成本、人工成本、制造费用等，给予相关供应商的合理时间一般</w:t>
            </w:r>
            <w:r>
              <w:rPr>
                <w:spacing w:val="-4"/>
                <w:highlight w:val="none"/>
              </w:rPr>
              <w:t>不少于30分钟。</w:t>
            </w:r>
            <w:r>
              <w:rPr>
                <w:b/>
                <w:bCs/>
                <w:spacing w:val="-4"/>
                <w:highlight w:val="none"/>
              </w:rPr>
              <w:t>本项目给予相关供应商的合理时间为30分</w:t>
            </w:r>
            <w:r>
              <w:rPr>
                <w:b/>
                <w:bCs/>
                <w:spacing w:val="-5"/>
                <w:highlight w:val="none"/>
              </w:rPr>
              <w:t>钟。</w:t>
            </w:r>
            <w:r>
              <w:rPr>
                <w:spacing w:val="-5"/>
                <w:highlight w:val="none"/>
              </w:rPr>
              <w:t>其</w:t>
            </w:r>
            <w:r>
              <w:rPr>
                <w:spacing w:val="-2"/>
                <w:highlight w:val="none"/>
              </w:rPr>
              <w:t>中，属于第3项情形，供应商已随投标（响应）文件一并提交相关</w:t>
            </w:r>
            <w:r>
              <w:rPr>
                <w:spacing w:val="-1"/>
                <w:highlight w:val="none"/>
              </w:rPr>
              <w:t>书面说明及必要的证明材料的，在评审现场可不再重复提</w:t>
            </w:r>
            <w:r>
              <w:rPr>
                <w:spacing w:val="-2"/>
                <w:highlight w:val="none"/>
              </w:rPr>
              <w:t>交。</w:t>
            </w:r>
          </w:p>
          <w:p w14:paraId="000A8425">
            <w:pPr>
              <w:pStyle w:val="14"/>
              <w:spacing w:before="2" w:line="239" w:lineRule="auto"/>
              <w:ind w:left="119" w:right="229" w:firstLine="1"/>
              <w:rPr>
                <w:highlight w:val="none"/>
              </w:rPr>
            </w:pPr>
            <w:r>
              <w:rPr>
                <w:spacing w:val="-1"/>
                <w:highlight w:val="none"/>
              </w:rPr>
              <w:t>评审委员会依据专业经验，参考同类项目中标（成交）价格、类似产品市场价格水平、行业人工费用标准、国家有关部门指导行业协会发布的行业平均成本等情况，对报价合理性进行判断。</w:t>
            </w:r>
            <w:r>
              <w:rPr>
                <w:b/>
                <w:bCs/>
                <w:spacing w:val="-1"/>
                <w:highlight w:val="none"/>
              </w:rPr>
              <w:t>投</w:t>
            </w:r>
            <w:r>
              <w:rPr>
                <w:b/>
                <w:bCs/>
                <w:spacing w:val="-2"/>
                <w:highlight w:val="none"/>
              </w:rPr>
              <w:t>标（响应）供应商不能提供书面说明、证明材料，或</w:t>
            </w:r>
            <w:r>
              <w:rPr>
                <w:b/>
                <w:bCs/>
                <w:spacing w:val="-3"/>
                <w:highlight w:val="none"/>
              </w:rPr>
              <w:t>者提供的书</w:t>
            </w:r>
            <w:r>
              <w:rPr>
                <w:b/>
                <w:bCs/>
                <w:spacing w:val="-2"/>
                <w:highlight w:val="none"/>
              </w:rPr>
              <w:t>面说明、证明材料不能证明其报价合理性的，评审委</w:t>
            </w:r>
            <w:r>
              <w:rPr>
                <w:b/>
                <w:bCs/>
                <w:spacing w:val="-3"/>
                <w:highlight w:val="none"/>
              </w:rPr>
              <w:t>员会应当将其作为无效投标（响应）处理。</w:t>
            </w:r>
          </w:p>
          <w:p w14:paraId="52D5E19B">
            <w:pPr>
              <w:pStyle w:val="14"/>
              <w:spacing w:before="24" w:line="233" w:lineRule="auto"/>
              <w:ind w:left="121" w:leftChars="0" w:right="136" w:rightChars="0" w:firstLine="6" w:firstLineChars="0"/>
              <w:rPr>
                <w:rFonts w:hint="eastAsia" w:ascii="仿宋" w:hAnsi="仿宋" w:eastAsia="仿宋" w:cs="仿宋"/>
                <w:snapToGrid w:val="0"/>
                <w:color w:val="000000"/>
                <w:kern w:val="0"/>
                <w:sz w:val="24"/>
                <w:szCs w:val="24"/>
                <w:highlight w:val="none"/>
                <w:lang w:val="en-US" w:eastAsia="en-US" w:bidi="ar-SA"/>
              </w:rPr>
            </w:pPr>
            <w:r>
              <w:rPr>
                <w:spacing w:val="-1"/>
                <w:highlight w:val="none"/>
              </w:rPr>
              <w:t>供应商也可以有预见性地准备好上述要求的书面说明和相关证明</w:t>
            </w:r>
            <w:r>
              <w:rPr>
                <w:spacing w:val="-2"/>
                <w:highlight w:val="none"/>
              </w:rPr>
              <w:t>材料并加盖公章。</w:t>
            </w:r>
          </w:p>
        </w:tc>
      </w:tr>
    </w:tbl>
    <w:p w14:paraId="7C546EF7">
      <w:pPr>
        <w:spacing w:line="110" w:lineRule="auto"/>
        <w:rPr>
          <w:rFonts w:hint="eastAsia" w:ascii="Arial" w:eastAsia="宋体"/>
          <w:sz w:val="2"/>
          <w:highlight w:val="none"/>
          <w:lang w:eastAsia="zh-CN"/>
        </w:rPr>
      </w:pPr>
    </w:p>
    <w:p w14:paraId="556F2E3A">
      <w:pPr>
        <w:rPr>
          <w:rFonts w:ascii="Arial"/>
          <w:sz w:val="21"/>
          <w:highlight w:val="none"/>
        </w:rPr>
      </w:pPr>
    </w:p>
    <w:p w14:paraId="2421EB65">
      <w:pPr>
        <w:rPr>
          <w:rFonts w:hint="eastAsia"/>
          <w:b/>
          <w:bCs/>
          <w:spacing w:val="-1"/>
          <w:sz w:val="24"/>
          <w:szCs w:val="24"/>
          <w:highlight w:val="none"/>
          <w:lang w:val="en-US" w:eastAsia="zh-CN"/>
        </w:rPr>
      </w:pPr>
      <w:r>
        <w:rPr>
          <w:rFonts w:hint="eastAsia"/>
          <w:b/>
          <w:bCs/>
          <w:spacing w:val="-1"/>
          <w:sz w:val="24"/>
          <w:szCs w:val="24"/>
          <w:highlight w:val="none"/>
          <w:lang w:val="en-US" w:eastAsia="zh-CN"/>
        </w:rPr>
        <w:br w:type="page"/>
      </w:r>
    </w:p>
    <w:p w14:paraId="4E1A5D99">
      <w:pPr>
        <w:pStyle w:val="6"/>
        <w:spacing w:before="45" w:line="222" w:lineRule="auto"/>
        <w:ind w:left="3866"/>
        <w:jc w:val="both"/>
        <w:outlineLvl w:val="1"/>
        <w:rPr>
          <w:sz w:val="24"/>
          <w:szCs w:val="24"/>
          <w:highlight w:val="none"/>
        </w:rPr>
      </w:pPr>
      <w:r>
        <w:rPr>
          <w:b/>
          <w:bCs/>
          <w:spacing w:val="-1"/>
          <w:sz w:val="24"/>
          <w:szCs w:val="24"/>
          <w:highlight w:val="none"/>
        </w:rPr>
        <w:t>二、投标人须知</w:t>
      </w:r>
    </w:p>
    <w:p w14:paraId="201C08A1">
      <w:pPr>
        <w:pStyle w:val="6"/>
        <w:spacing w:before="178" w:line="224" w:lineRule="auto"/>
        <w:ind w:left="52"/>
        <w:outlineLvl w:val="2"/>
        <w:rPr>
          <w:sz w:val="24"/>
          <w:szCs w:val="24"/>
          <w:highlight w:val="none"/>
        </w:rPr>
      </w:pPr>
      <w:r>
        <w:rPr>
          <w:b/>
          <w:bCs/>
          <w:spacing w:val="-12"/>
          <w:sz w:val="24"/>
          <w:szCs w:val="24"/>
          <w:highlight w:val="none"/>
        </w:rPr>
        <w:t>（一）总则</w:t>
      </w:r>
    </w:p>
    <w:p w14:paraId="102E946B">
      <w:pPr>
        <w:pStyle w:val="6"/>
        <w:spacing w:before="174" w:line="223" w:lineRule="auto"/>
        <w:ind w:left="57"/>
        <w:outlineLvl w:val="2"/>
        <w:rPr>
          <w:sz w:val="24"/>
          <w:szCs w:val="24"/>
          <w:highlight w:val="none"/>
        </w:rPr>
      </w:pPr>
      <w:r>
        <w:rPr>
          <w:b/>
          <w:bCs/>
          <w:spacing w:val="-13"/>
          <w:sz w:val="24"/>
          <w:szCs w:val="24"/>
          <w:highlight w:val="none"/>
        </w:rPr>
        <w:t>1.适用范围</w:t>
      </w:r>
    </w:p>
    <w:p w14:paraId="4901C3B7">
      <w:pPr>
        <w:pStyle w:val="6"/>
        <w:spacing w:before="178" w:line="222" w:lineRule="auto"/>
        <w:ind w:left="57"/>
        <w:rPr>
          <w:sz w:val="24"/>
          <w:szCs w:val="24"/>
          <w:highlight w:val="none"/>
        </w:rPr>
      </w:pPr>
      <w:r>
        <w:rPr>
          <w:spacing w:val="-4"/>
          <w:sz w:val="24"/>
          <w:szCs w:val="24"/>
          <w:highlight w:val="none"/>
        </w:rPr>
        <w:t>1.1本招标文件仅适用于本项目的采购活动。</w:t>
      </w:r>
    </w:p>
    <w:p w14:paraId="232DD0A1">
      <w:pPr>
        <w:pStyle w:val="6"/>
        <w:spacing w:before="177" w:line="222" w:lineRule="auto"/>
        <w:ind w:left="42"/>
        <w:outlineLvl w:val="2"/>
        <w:rPr>
          <w:sz w:val="24"/>
          <w:szCs w:val="24"/>
          <w:highlight w:val="none"/>
        </w:rPr>
      </w:pPr>
      <w:r>
        <w:rPr>
          <w:b/>
          <w:bCs/>
          <w:spacing w:val="-8"/>
          <w:sz w:val="24"/>
          <w:szCs w:val="24"/>
          <w:highlight w:val="none"/>
        </w:rPr>
        <w:t>2.基本定义</w:t>
      </w:r>
    </w:p>
    <w:p w14:paraId="515BC3D9">
      <w:pPr>
        <w:pStyle w:val="6"/>
        <w:spacing w:before="179" w:line="359" w:lineRule="auto"/>
        <w:ind w:left="47" w:right="378" w:hanging="5"/>
        <w:rPr>
          <w:sz w:val="24"/>
          <w:szCs w:val="24"/>
          <w:highlight w:val="none"/>
        </w:rPr>
      </w:pPr>
      <w:r>
        <w:rPr>
          <w:spacing w:val="-4"/>
          <w:sz w:val="24"/>
          <w:szCs w:val="24"/>
          <w:highlight w:val="none"/>
        </w:rPr>
        <w:t>2.1根据《中华人民共和国政府采购法》及其实施条例等有关法律、法规和规章的规定，制定本招标文件。</w:t>
      </w:r>
    </w:p>
    <w:p w14:paraId="14F90148">
      <w:pPr>
        <w:pStyle w:val="6"/>
        <w:spacing w:line="221" w:lineRule="auto"/>
        <w:ind w:left="42"/>
        <w:rPr>
          <w:sz w:val="24"/>
          <w:szCs w:val="24"/>
          <w:highlight w:val="none"/>
        </w:rPr>
      </w:pPr>
      <w:r>
        <w:rPr>
          <w:spacing w:val="-1"/>
          <w:sz w:val="24"/>
          <w:szCs w:val="24"/>
          <w:highlight w:val="none"/>
        </w:rPr>
        <w:t>2.2采购人：指依法进行政府采购的国家机</w:t>
      </w:r>
      <w:r>
        <w:rPr>
          <w:spacing w:val="-2"/>
          <w:sz w:val="24"/>
          <w:szCs w:val="24"/>
          <w:highlight w:val="none"/>
        </w:rPr>
        <w:t>关、事业单位、团体组织。</w:t>
      </w:r>
    </w:p>
    <w:p w14:paraId="6361DC7A">
      <w:pPr>
        <w:pStyle w:val="6"/>
        <w:spacing w:before="182" w:line="358" w:lineRule="auto"/>
        <w:ind w:left="48" w:right="323" w:hanging="6"/>
        <w:rPr>
          <w:sz w:val="24"/>
          <w:szCs w:val="24"/>
          <w:highlight w:val="none"/>
        </w:rPr>
      </w:pPr>
      <w:r>
        <w:rPr>
          <w:spacing w:val="-2"/>
          <w:sz w:val="24"/>
          <w:szCs w:val="24"/>
          <w:highlight w:val="none"/>
        </w:rPr>
        <w:t>2.3采购代理机构：指依法进行政府采购的国家机关、事业单位、团体组</w:t>
      </w:r>
      <w:r>
        <w:rPr>
          <w:spacing w:val="-3"/>
          <w:sz w:val="24"/>
          <w:szCs w:val="24"/>
          <w:highlight w:val="none"/>
        </w:rPr>
        <w:t>织委托的采购代</w:t>
      </w:r>
      <w:r>
        <w:rPr>
          <w:spacing w:val="-6"/>
          <w:sz w:val="24"/>
          <w:szCs w:val="24"/>
          <w:highlight w:val="none"/>
        </w:rPr>
        <w:t>理机构。</w:t>
      </w:r>
    </w:p>
    <w:p w14:paraId="6718F32B">
      <w:pPr>
        <w:pStyle w:val="6"/>
        <w:spacing w:before="1" w:line="359" w:lineRule="auto"/>
        <w:ind w:left="53" w:right="227" w:hanging="11"/>
        <w:rPr>
          <w:sz w:val="24"/>
          <w:szCs w:val="24"/>
          <w:highlight w:val="none"/>
        </w:rPr>
      </w:pPr>
      <w:r>
        <w:rPr>
          <w:spacing w:val="-2"/>
          <w:sz w:val="24"/>
          <w:szCs w:val="24"/>
          <w:highlight w:val="none"/>
        </w:rPr>
        <w:t>2.4政府采购监督管理部门：各级人民政府财政部</w:t>
      </w:r>
      <w:r>
        <w:rPr>
          <w:spacing w:val="-3"/>
          <w:sz w:val="24"/>
          <w:szCs w:val="24"/>
          <w:highlight w:val="none"/>
        </w:rPr>
        <w:t>门是负责政府采购监督管理的部门，依法履行对政府采购活动的监督管理职责。各级人民政府其他有关部门依法履行</w:t>
      </w:r>
      <w:r>
        <w:rPr>
          <w:spacing w:val="-4"/>
          <w:sz w:val="24"/>
          <w:szCs w:val="24"/>
          <w:highlight w:val="none"/>
        </w:rPr>
        <w:t>与政府采购</w:t>
      </w:r>
      <w:r>
        <w:rPr>
          <w:spacing w:val="-3"/>
          <w:sz w:val="24"/>
          <w:szCs w:val="24"/>
          <w:highlight w:val="none"/>
        </w:rPr>
        <w:t>活动有关的监督管理职责。</w:t>
      </w:r>
    </w:p>
    <w:p w14:paraId="0217D24C">
      <w:pPr>
        <w:pStyle w:val="6"/>
        <w:spacing w:before="1" w:line="221" w:lineRule="auto"/>
        <w:ind w:left="42"/>
        <w:rPr>
          <w:sz w:val="24"/>
          <w:szCs w:val="24"/>
          <w:highlight w:val="none"/>
        </w:rPr>
      </w:pPr>
      <w:r>
        <w:rPr>
          <w:sz w:val="24"/>
          <w:szCs w:val="24"/>
          <w:highlight w:val="none"/>
        </w:rPr>
        <w:t>2.5 核心产品见“投标人须知前附表”。</w:t>
      </w:r>
    </w:p>
    <w:p w14:paraId="19FEEF0F">
      <w:pPr>
        <w:pStyle w:val="6"/>
        <w:spacing w:before="179" w:line="222" w:lineRule="auto"/>
        <w:ind w:left="42"/>
        <w:rPr>
          <w:sz w:val="24"/>
          <w:szCs w:val="24"/>
          <w:highlight w:val="none"/>
        </w:rPr>
      </w:pPr>
      <w:r>
        <w:rPr>
          <w:sz w:val="24"/>
          <w:szCs w:val="24"/>
          <w:highlight w:val="none"/>
        </w:rPr>
        <w:t>2.6是否属于科研仪器设备采购见“投标人须知</w:t>
      </w:r>
      <w:r>
        <w:rPr>
          <w:spacing w:val="-1"/>
          <w:sz w:val="24"/>
          <w:szCs w:val="24"/>
          <w:highlight w:val="none"/>
        </w:rPr>
        <w:t>前附表”。</w:t>
      </w:r>
    </w:p>
    <w:p w14:paraId="100BC508">
      <w:pPr>
        <w:pStyle w:val="6"/>
        <w:spacing w:before="179" w:line="359" w:lineRule="auto"/>
        <w:ind w:left="48" w:hanging="6"/>
        <w:rPr>
          <w:sz w:val="24"/>
          <w:szCs w:val="24"/>
          <w:highlight w:val="none"/>
        </w:rPr>
      </w:pPr>
      <w:r>
        <w:rPr>
          <w:spacing w:val="-6"/>
          <w:sz w:val="24"/>
          <w:szCs w:val="24"/>
          <w:highlight w:val="none"/>
        </w:rPr>
        <w:t>2.7投标人（也称“供应商”、“</w:t>
      </w:r>
      <w:r>
        <w:rPr>
          <w:spacing w:val="-75"/>
          <w:sz w:val="24"/>
          <w:szCs w:val="24"/>
          <w:highlight w:val="none"/>
        </w:rPr>
        <w:t xml:space="preserve"> </w:t>
      </w:r>
      <w:r>
        <w:rPr>
          <w:spacing w:val="-6"/>
          <w:sz w:val="24"/>
          <w:szCs w:val="24"/>
          <w:highlight w:val="none"/>
        </w:rPr>
        <w:t>申请人”</w:t>
      </w:r>
      <w:r>
        <w:rPr>
          <w:spacing w:val="-24"/>
          <w:sz w:val="24"/>
          <w:szCs w:val="24"/>
          <w:highlight w:val="none"/>
        </w:rPr>
        <w:t>）：</w:t>
      </w:r>
      <w:r>
        <w:rPr>
          <w:spacing w:val="-6"/>
          <w:sz w:val="24"/>
          <w:szCs w:val="24"/>
          <w:highlight w:val="none"/>
        </w:rPr>
        <w:t>指向采购人提供货物、工程或者服务的法人、</w:t>
      </w:r>
      <w:r>
        <w:rPr>
          <w:spacing w:val="-3"/>
          <w:sz w:val="24"/>
          <w:szCs w:val="24"/>
          <w:highlight w:val="none"/>
        </w:rPr>
        <w:t>其他组织或者自然人。分支机构不得参加政府采购活动，但银行、保</w:t>
      </w:r>
      <w:r>
        <w:rPr>
          <w:spacing w:val="-4"/>
          <w:sz w:val="24"/>
          <w:szCs w:val="24"/>
          <w:highlight w:val="none"/>
        </w:rPr>
        <w:t>险、石油石化、电力、</w:t>
      </w:r>
      <w:r>
        <w:rPr>
          <w:spacing w:val="-3"/>
          <w:sz w:val="24"/>
          <w:szCs w:val="24"/>
          <w:highlight w:val="none"/>
        </w:rPr>
        <w:t>电信等有行业特殊情况的除外。本项目的投标</w:t>
      </w:r>
      <w:r>
        <w:rPr>
          <w:spacing w:val="-4"/>
          <w:sz w:val="24"/>
          <w:szCs w:val="24"/>
          <w:highlight w:val="none"/>
        </w:rPr>
        <w:t>人须满足以下条件：</w:t>
      </w:r>
    </w:p>
    <w:p w14:paraId="0889D425">
      <w:pPr>
        <w:pStyle w:val="6"/>
        <w:spacing w:before="2" w:line="358" w:lineRule="auto"/>
        <w:ind w:left="49" w:right="323" w:hanging="7"/>
        <w:rPr>
          <w:sz w:val="24"/>
          <w:szCs w:val="24"/>
          <w:highlight w:val="none"/>
        </w:rPr>
      </w:pPr>
      <w:r>
        <w:rPr>
          <w:spacing w:val="-2"/>
          <w:sz w:val="24"/>
          <w:szCs w:val="24"/>
          <w:highlight w:val="none"/>
        </w:rPr>
        <w:t>2.7.1具备《中华人民共和国政府采购法》第二十二条规定的条件，遵守本项</w:t>
      </w:r>
      <w:r>
        <w:rPr>
          <w:spacing w:val="-3"/>
          <w:sz w:val="24"/>
          <w:szCs w:val="24"/>
          <w:highlight w:val="none"/>
        </w:rPr>
        <w:t>目采购人本</w:t>
      </w:r>
      <w:r>
        <w:rPr>
          <w:spacing w:val="-2"/>
          <w:sz w:val="24"/>
          <w:szCs w:val="24"/>
          <w:highlight w:val="none"/>
        </w:rPr>
        <w:t>级和上级财政部门政府采购的有关规定。</w:t>
      </w:r>
    </w:p>
    <w:p w14:paraId="1ED3E264">
      <w:pPr>
        <w:pStyle w:val="6"/>
        <w:spacing w:before="1" w:line="220" w:lineRule="auto"/>
        <w:ind w:left="42"/>
        <w:rPr>
          <w:sz w:val="24"/>
          <w:szCs w:val="24"/>
          <w:highlight w:val="none"/>
        </w:rPr>
      </w:pPr>
      <w:r>
        <w:rPr>
          <w:spacing w:val="-2"/>
          <w:sz w:val="24"/>
          <w:szCs w:val="24"/>
          <w:highlight w:val="none"/>
        </w:rPr>
        <w:t>2.7.2以招标公告中发布的方式依法获得了本</w:t>
      </w:r>
      <w:r>
        <w:rPr>
          <w:spacing w:val="-3"/>
          <w:sz w:val="24"/>
          <w:szCs w:val="24"/>
          <w:highlight w:val="none"/>
        </w:rPr>
        <w:t>项目的招标文件。</w:t>
      </w:r>
    </w:p>
    <w:p w14:paraId="17DBFCA0">
      <w:pPr>
        <w:pStyle w:val="6"/>
        <w:spacing w:before="180" w:line="220" w:lineRule="auto"/>
        <w:ind w:left="42"/>
        <w:rPr>
          <w:sz w:val="24"/>
          <w:szCs w:val="24"/>
          <w:highlight w:val="none"/>
        </w:rPr>
      </w:pPr>
      <w:r>
        <w:rPr>
          <w:spacing w:val="-2"/>
          <w:sz w:val="24"/>
          <w:szCs w:val="24"/>
          <w:highlight w:val="none"/>
        </w:rPr>
        <w:t>2.7.3符合本招标文件规定并参加投标的供应商。</w:t>
      </w:r>
    </w:p>
    <w:p w14:paraId="49261C6A">
      <w:pPr>
        <w:pStyle w:val="6"/>
        <w:spacing w:before="182" w:line="219" w:lineRule="auto"/>
        <w:ind w:left="42"/>
        <w:rPr>
          <w:sz w:val="24"/>
          <w:szCs w:val="24"/>
          <w:highlight w:val="none"/>
        </w:rPr>
      </w:pPr>
      <w:r>
        <w:rPr>
          <w:spacing w:val="-2"/>
          <w:sz w:val="24"/>
          <w:szCs w:val="24"/>
          <w:highlight w:val="none"/>
        </w:rPr>
        <w:t>2.8潜在投标人、潜在供应商：指符合本招标文件规定的供应商。</w:t>
      </w:r>
    </w:p>
    <w:p w14:paraId="7B6368A4">
      <w:pPr>
        <w:pStyle w:val="6"/>
        <w:spacing w:before="182" w:line="222" w:lineRule="auto"/>
        <w:ind w:left="44"/>
        <w:outlineLvl w:val="2"/>
        <w:rPr>
          <w:sz w:val="24"/>
          <w:szCs w:val="24"/>
          <w:highlight w:val="none"/>
        </w:rPr>
      </w:pPr>
      <w:r>
        <w:rPr>
          <w:b/>
          <w:bCs/>
          <w:spacing w:val="-9"/>
          <w:sz w:val="24"/>
          <w:szCs w:val="24"/>
          <w:highlight w:val="none"/>
        </w:rPr>
        <w:t>3.资金来源</w:t>
      </w:r>
    </w:p>
    <w:p w14:paraId="3FDB7E0E">
      <w:pPr>
        <w:pStyle w:val="6"/>
        <w:spacing w:before="177" w:line="359" w:lineRule="auto"/>
        <w:ind w:left="58" w:right="167" w:hanging="14"/>
        <w:jc w:val="both"/>
        <w:rPr>
          <w:sz w:val="24"/>
          <w:szCs w:val="24"/>
          <w:highlight w:val="none"/>
        </w:rPr>
      </w:pPr>
      <w:r>
        <w:rPr>
          <w:spacing w:val="-1"/>
          <w:sz w:val="24"/>
          <w:szCs w:val="24"/>
          <w:highlight w:val="none"/>
        </w:rPr>
        <w:t>3.1资金来源：为财政性资金即纳入预算管理的资金</w:t>
      </w:r>
      <w:r>
        <w:rPr>
          <w:spacing w:val="-2"/>
          <w:sz w:val="24"/>
          <w:szCs w:val="24"/>
          <w:highlight w:val="none"/>
        </w:rPr>
        <w:t>。以财政性资金作为还款来源的借贷资金，视同财政性资金。财政性资金与非财政性资金无法分割采购的，统一适用《中华人</w:t>
      </w:r>
      <w:r>
        <w:rPr>
          <w:spacing w:val="-3"/>
          <w:sz w:val="24"/>
          <w:szCs w:val="24"/>
          <w:highlight w:val="none"/>
        </w:rPr>
        <w:t>民共和国政府采购法》及其实施条例。</w:t>
      </w:r>
    </w:p>
    <w:p w14:paraId="5E250DB8">
      <w:pPr>
        <w:pStyle w:val="6"/>
        <w:spacing w:line="222" w:lineRule="auto"/>
        <w:ind w:left="39"/>
        <w:outlineLvl w:val="2"/>
        <w:rPr>
          <w:sz w:val="24"/>
          <w:szCs w:val="24"/>
          <w:highlight w:val="none"/>
        </w:rPr>
      </w:pPr>
      <w:r>
        <w:rPr>
          <w:b/>
          <w:bCs/>
          <w:spacing w:val="-6"/>
          <w:sz w:val="24"/>
          <w:szCs w:val="24"/>
          <w:highlight w:val="none"/>
        </w:rPr>
        <w:t>4.投标人资格要求</w:t>
      </w:r>
    </w:p>
    <w:p w14:paraId="50F1EE53">
      <w:pPr>
        <w:pStyle w:val="6"/>
        <w:spacing w:before="180" w:line="222" w:lineRule="auto"/>
        <w:ind w:left="39"/>
        <w:rPr>
          <w:sz w:val="24"/>
          <w:szCs w:val="24"/>
          <w:highlight w:val="none"/>
        </w:rPr>
      </w:pPr>
      <w:r>
        <w:rPr>
          <w:sz w:val="24"/>
          <w:szCs w:val="24"/>
          <w:highlight w:val="none"/>
        </w:rPr>
        <w:t>4.1投标人资格要求：见“第一章 招标公告”；</w:t>
      </w:r>
    </w:p>
    <w:p w14:paraId="41B443AA">
      <w:pPr>
        <w:pStyle w:val="6"/>
        <w:spacing w:before="46" w:line="359" w:lineRule="auto"/>
        <w:ind w:left="49" w:right="71" w:hanging="15"/>
        <w:rPr>
          <w:spacing w:val="-3"/>
          <w:sz w:val="24"/>
          <w:szCs w:val="24"/>
          <w:highlight w:val="none"/>
        </w:rPr>
      </w:pPr>
      <w:r>
        <w:rPr>
          <w:spacing w:val="-2"/>
          <w:sz w:val="24"/>
          <w:szCs w:val="24"/>
          <w:highlight w:val="none"/>
        </w:rPr>
        <w:t>4.2“第一章 招标公告</w:t>
      </w:r>
      <w:r>
        <w:rPr>
          <w:spacing w:val="-88"/>
          <w:sz w:val="24"/>
          <w:szCs w:val="24"/>
          <w:highlight w:val="none"/>
        </w:rPr>
        <w:t xml:space="preserve"> </w:t>
      </w:r>
      <w:r>
        <w:rPr>
          <w:spacing w:val="-2"/>
          <w:sz w:val="24"/>
          <w:szCs w:val="24"/>
          <w:highlight w:val="none"/>
        </w:rPr>
        <w:t>”规定接受联合体</w:t>
      </w:r>
      <w:r>
        <w:rPr>
          <w:spacing w:val="-3"/>
          <w:sz w:val="24"/>
          <w:szCs w:val="24"/>
          <w:highlight w:val="none"/>
        </w:rPr>
        <w:t>投标的，还应遵守以下规定：</w:t>
      </w:r>
    </w:p>
    <w:p w14:paraId="5218E908">
      <w:pPr>
        <w:pStyle w:val="6"/>
        <w:spacing w:before="46" w:line="359" w:lineRule="auto"/>
        <w:ind w:left="49" w:right="71" w:hanging="15"/>
        <w:rPr>
          <w:sz w:val="24"/>
          <w:szCs w:val="24"/>
          <w:highlight w:val="none"/>
        </w:rPr>
      </w:pPr>
      <w:r>
        <w:rPr>
          <w:spacing w:val="-2"/>
          <w:sz w:val="24"/>
          <w:szCs w:val="24"/>
          <w:highlight w:val="none"/>
        </w:rPr>
        <w:t>4.2.1两个以上的自然人、法人或者其他组织可以组成一个联合</w:t>
      </w:r>
      <w:r>
        <w:rPr>
          <w:spacing w:val="-3"/>
          <w:sz w:val="24"/>
          <w:szCs w:val="24"/>
          <w:highlight w:val="none"/>
        </w:rPr>
        <w:t>体，以一个投标人的身份共同参加政府采购。以联合体形式进行政府采购的，参加联合体的供应商均应当具备《中</w:t>
      </w:r>
      <w:r>
        <w:rPr>
          <w:spacing w:val="-2"/>
          <w:sz w:val="24"/>
          <w:szCs w:val="24"/>
          <w:highlight w:val="none"/>
        </w:rPr>
        <w:t>华人民共和国政府采购法》第二十二条规定的条件。</w:t>
      </w:r>
    </w:p>
    <w:p w14:paraId="1CDC73B1">
      <w:pPr>
        <w:pStyle w:val="6"/>
        <w:spacing w:before="2" w:line="358" w:lineRule="auto"/>
        <w:ind w:left="48" w:right="79" w:hanging="9"/>
        <w:rPr>
          <w:sz w:val="24"/>
          <w:szCs w:val="24"/>
          <w:highlight w:val="none"/>
        </w:rPr>
      </w:pPr>
      <w:r>
        <w:rPr>
          <w:spacing w:val="-2"/>
          <w:sz w:val="24"/>
          <w:szCs w:val="24"/>
          <w:highlight w:val="none"/>
        </w:rPr>
        <w:t>4.2.2联合体各方应按招标文件提供的格式签订联合体协议书，</w:t>
      </w:r>
      <w:r>
        <w:rPr>
          <w:spacing w:val="-3"/>
          <w:sz w:val="24"/>
          <w:szCs w:val="24"/>
          <w:highlight w:val="none"/>
        </w:rPr>
        <w:t>明确约定联合体各方承担的工作和相应的责任，并将联合体协议书作为投标文件的一部分提交，该协议书对联合体所有成员均具有法律约束力。</w:t>
      </w:r>
    </w:p>
    <w:p w14:paraId="0D7614C8">
      <w:pPr>
        <w:pStyle w:val="6"/>
        <w:spacing w:line="360" w:lineRule="auto"/>
        <w:ind w:left="48" w:right="175" w:hanging="9"/>
        <w:rPr>
          <w:sz w:val="24"/>
          <w:szCs w:val="24"/>
          <w:highlight w:val="none"/>
        </w:rPr>
      </w:pPr>
      <w:r>
        <w:rPr>
          <w:spacing w:val="-2"/>
          <w:sz w:val="24"/>
          <w:szCs w:val="24"/>
          <w:highlight w:val="none"/>
        </w:rPr>
        <w:t>4.2.3联合体中有同类资质的供应商按照联合体分工承担相同工作的，应当按照资质等级</w:t>
      </w:r>
      <w:r>
        <w:rPr>
          <w:spacing w:val="-3"/>
          <w:sz w:val="24"/>
          <w:szCs w:val="24"/>
          <w:highlight w:val="none"/>
        </w:rPr>
        <w:t>较低的供应商确定资质等级。</w:t>
      </w:r>
    </w:p>
    <w:p w14:paraId="1949CEFB">
      <w:pPr>
        <w:pStyle w:val="6"/>
        <w:spacing w:line="358" w:lineRule="auto"/>
        <w:ind w:left="54" w:right="196" w:hanging="15"/>
        <w:rPr>
          <w:sz w:val="24"/>
          <w:szCs w:val="24"/>
          <w:highlight w:val="none"/>
        </w:rPr>
      </w:pPr>
      <w:r>
        <w:rPr>
          <w:spacing w:val="-3"/>
          <w:sz w:val="24"/>
          <w:szCs w:val="24"/>
          <w:highlight w:val="none"/>
        </w:rPr>
        <w:t>4.2.4以联合体形式参加政府采购活动的，联合体各方不得再单独参加或者与其他供应商</w:t>
      </w:r>
      <w:r>
        <w:rPr>
          <w:spacing w:val="-4"/>
          <w:sz w:val="24"/>
          <w:szCs w:val="24"/>
          <w:highlight w:val="none"/>
        </w:rPr>
        <w:t>另外组成联合体参加同一合同项下的投标，否则相关投标将被认定为</w:t>
      </w:r>
      <w:r>
        <w:rPr>
          <w:b/>
          <w:bCs/>
          <w:spacing w:val="-4"/>
          <w:sz w:val="24"/>
          <w:szCs w:val="24"/>
          <w:highlight w:val="none"/>
        </w:rPr>
        <w:t>投标无效</w:t>
      </w:r>
      <w:r>
        <w:rPr>
          <w:spacing w:val="-4"/>
          <w:sz w:val="24"/>
          <w:szCs w:val="24"/>
          <w:highlight w:val="none"/>
        </w:rPr>
        <w:t>。</w:t>
      </w:r>
    </w:p>
    <w:p w14:paraId="381C8D7A">
      <w:pPr>
        <w:pStyle w:val="6"/>
        <w:spacing w:before="1" w:line="359" w:lineRule="auto"/>
        <w:ind w:left="46" w:right="79" w:hanging="7"/>
        <w:rPr>
          <w:sz w:val="24"/>
          <w:szCs w:val="24"/>
          <w:highlight w:val="none"/>
        </w:rPr>
      </w:pPr>
      <w:r>
        <w:rPr>
          <w:spacing w:val="-2"/>
          <w:sz w:val="24"/>
          <w:szCs w:val="24"/>
          <w:highlight w:val="none"/>
        </w:rPr>
        <w:t>4.2.5大中型企业、其他自然人、法人或者非法人组织与小型、</w:t>
      </w:r>
      <w:r>
        <w:rPr>
          <w:spacing w:val="-3"/>
          <w:sz w:val="24"/>
          <w:szCs w:val="24"/>
          <w:highlight w:val="none"/>
        </w:rPr>
        <w:t>微型企业组成联合体共同参加投标的，联合体协议书中应写明小型、微型企业的合同金额占到联合体投标合同总金</w:t>
      </w:r>
      <w:r>
        <w:rPr>
          <w:spacing w:val="-4"/>
          <w:sz w:val="24"/>
          <w:szCs w:val="24"/>
          <w:highlight w:val="none"/>
        </w:rPr>
        <w:t>额的比例。</w:t>
      </w:r>
    </w:p>
    <w:p w14:paraId="022BF2B6">
      <w:pPr>
        <w:pStyle w:val="6"/>
        <w:spacing w:before="1" w:line="359" w:lineRule="auto"/>
        <w:ind w:left="48" w:right="62" w:hanging="9"/>
        <w:rPr>
          <w:sz w:val="24"/>
          <w:szCs w:val="24"/>
          <w:highlight w:val="none"/>
        </w:rPr>
      </w:pPr>
      <w:r>
        <w:rPr>
          <w:spacing w:val="-2"/>
          <w:sz w:val="24"/>
          <w:szCs w:val="24"/>
          <w:highlight w:val="none"/>
        </w:rPr>
        <w:t>4.2.6 联合体中标的，采购合同应由联合体各成员的合法授权代</w:t>
      </w:r>
      <w:r>
        <w:rPr>
          <w:spacing w:val="-3"/>
          <w:sz w:val="24"/>
          <w:szCs w:val="24"/>
          <w:highlight w:val="none"/>
        </w:rPr>
        <w:t>表签字及加盖联合体各成员公章，并对联合体成员作为整体和他们各自作为</w:t>
      </w:r>
      <w:r>
        <w:rPr>
          <w:spacing w:val="-4"/>
          <w:sz w:val="24"/>
          <w:szCs w:val="24"/>
          <w:highlight w:val="none"/>
        </w:rPr>
        <w:t>独立体均具有法律约束力，但若该签字</w:t>
      </w:r>
      <w:r>
        <w:rPr>
          <w:spacing w:val="-3"/>
          <w:sz w:val="24"/>
          <w:szCs w:val="24"/>
          <w:highlight w:val="none"/>
        </w:rPr>
        <w:t>或公章不齐全或缺乏，该联合体的牵头人的签署或</w:t>
      </w:r>
      <w:r>
        <w:rPr>
          <w:spacing w:val="-4"/>
          <w:sz w:val="24"/>
          <w:szCs w:val="24"/>
          <w:highlight w:val="none"/>
        </w:rPr>
        <w:t>类似的意思表示人具有代表该联合体的</w:t>
      </w:r>
      <w:r>
        <w:rPr>
          <w:spacing w:val="-3"/>
          <w:sz w:val="24"/>
          <w:szCs w:val="24"/>
          <w:highlight w:val="none"/>
        </w:rPr>
        <w:t>签署或意思表示的法律效力，并且据此各成员为履行合同应向采购人与采购代理机构承担</w:t>
      </w:r>
      <w:r>
        <w:rPr>
          <w:spacing w:val="-4"/>
          <w:sz w:val="24"/>
          <w:szCs w:val="24"/>
          <w:highlight w:val="none"/>
        </w:rPr>
        <w:t>连带责任。</w:t>
      </w:r>
    </w:p>
    <w:p w14:paraId="769918E9">
      <w:pPr>
        <w:pStyle w:val="6"/>
        <w:spacing w:line="359" w:lineRule="auto"/>
        <w:ind w:left="50" w:right="59" w:hanging="11"/>
        <w:rPr>
          <w:sz w:val="24"/>
          <w:szCs w:val="24"/>
          <w:highlight w:val="none"/>
        </w:rPr>
      </w:pPr>
      <w:r>
        <w:rPr>
          <w:spacing w:val="-2"/>
          <w:sz w:val="24"/>
          <w:szCs w:val="24"/>
          <w:highlight w:val="none"/>
        </w:rPr>
        <w:t>4.2.7 联合体或其成员不得将其在合同项下的权利或义务全部或部分转让给第三</w:t>
      </w:r>
      <w:r>
        <w:rPr>
          <w:spacing w:val="-3"/>
          <w:sz w:val="24"/>
          <w:szCs w:val="24"/>
          <w:highlight w:val="none"/>
        </w:rPr>
        <w:t>人，有关</w:t>
      </w:r>
      <w:r>
        <w:rPr>
          <w:spacing w:val="-6"/>
          <w:sz w:val="24"/>
          <w:szCs w:val="24"/>
          <w:highlight w:val="none"/>
        </w:rPr>
        <w:t>分包事项须事先取得采购人书面同意并且须遵守相关法律、法</w:t>
      </w:r>
      <w:r>
        <w:rPr>
          <w:spacing w:val="-7"/>
          <w:sz w:val="24"/>
          <w:szCs w:val="24"/>
          <w:highlight w:val="none"/>
        </w:rPr>
        <w:t>规、本次招标的全部相关规</w:t>
      </w:r>
      <w:r>
        <w:rPr>
          <w:spacing w:val="-10"/>
          <w:sz w:val="24"/>
          <w:szCs w:val="24"/>
          <w:highlight w:val="none"/>
        </w:rPr>
        <w:t>定。</w:t>
      </w:r>
    </w:p>
    <w:p w14:paraId="15689FB1">
      <w:pPr>
        <w:pStyle w:val="6"/>
        <w:spacing w:line="360" w:lineRule="auto"/>
        <w:ind w:left="54" w:right="158" w:hanging="15"/>
        <w:rPr>
          <w:sz w:val="24"/>
          <w:szCs w:val="24"/>
          <w:highlight w:val="none"/>
        </w:rPr>
      </w:pPr>
      <w:r>
        <w:rPr>
          <w:spacing w:val="-2"/>
          <w:sz w:val="24"/>
          <w:szCs w:val="24"/>
          <w:highlight w:val="none"/>
        </w:rPr>
        <w:t>4.2.8 对联合体投标的其他资格要求见“第一章 招标公告”中的“二、申请人的资格要</w:t>
      </w:r>
      <w:r>
        <w:rPr>
          <w:spacing w:val="-7"/>
          <w:sz w:val="24"/>
          <w:szCs w:val="24"/>
          <w:highlight w:val="none"/>
        </w:rPr>
        <w:t>求</w:t>
      </w:r>
      <w:r>
        <w:rPr>
          <w:spacing w:val="-91"/>
          <w:sz w:val="24"/>
          <w:szCs w:val="24"/>
          <w:highlight w:val="none"/>
        </w:rPr>
        <w:t xml:space="preserve"> </w:t>
      </w:r>
      <w:r>
        <w:rPr>
          <w:spacing w:val="-7"/>
          <w:sz w:val="24"/>
          <w:szCs w:val="24"/>
          <w:highlight w:val="none"/>
        </w:rPr>
        <w:t>”。</w:t>
      </w:r>
    </w:p>
    <w:p w14:paraId="42AC6C4B">
      <w:pPr>
        <w:pStyle w:val="6"/>
        <w:spacing w:before="1" w:line="223" w:lineRule="auto"/>
        <w:ind w:left="44"/>
        <w:outlineLvl w:val="2"/>
        <w:rPr>
          <w:sz w:val="24"/>
          <w:szCs w:val="24"/>
          <w:highlight w:val="none"/>
        </w:rPr>
      </w:pPr>
      <w:r>
        <w:rPr>
          <w:b/>
          <w:bCs/>
          <w:spacing w:val="-9"/>
          <w:sz w:val="24"/>
          <w:szCs w:val="24"/>
          <w:highlight w:val="none"/>
        </w:rPr>
        <w:t>5.费用承担</w:t>
      </w:r>
    </w:p>
    <w:p w14:paraId="4338084C">
      <w:pPr>
        <w:pStyle w:val="6"/>
        <w:spacing w:before="175" w:line="222" w:lineRule="auto"/>
        <w:ind w:left="44"/>
        <w:rPr>
          <w:sz w:val="24"/>
          <w:szCs w:val="24"/>
          <w:highlight w:val="none"/>
        </w:rPr>
      </w:pPr>
      <w:r>
        <w:rPr>
          <w:spacing w:val="-1"/>
          <w:sz w:val="24"/>
          <w:szCs w:val="24"/>
          <w:highlight w:val="none"/>
        </w:rPr>
        <w:t>5.1不论投标的结果如何，投标人应承担</w:t>
      </w:r>
      <w:r>
        <w:rPr>
          <w:spacing w:val="-2"/>
          <w:sz w:val="24"/>
          <w:szCs w:val="24"/>
          <w:highlight w:val="none"/>
        </w:rPr>
        <w:t>所有与准备和参加投标有关的费用。</w:t>
      </w:r>
    </w:p>
    <w:p w14:paraId="5DE23361">
      <w:pPr>
        <w:pStyle w:val="6"/>
        <w:spacing w:before="177" w:line="221" w:lineRule="auto"/>
        <w:ind w:left="41"/>
        <w:outlineLvl w:val="2"/>
        <w:rPr>
          <w:sz w:val="24"/>
          <w:szCs w:val="24"/>
          <w:highlight w:val="none"/>
        </w:rPr>
      </w:pPr>
      <w:r>
        <w:rPr>
          <w:b/>
          <w:bCs/>
          <w:spacing w:val="-9"/>
          <w:sz w:val="24"/>
          <w:szCs w:val="24"/>
          <w:highlight w:val="none"/>
        </w:rPr>
        <w:t>6.保密</w:t>
      </w:r>
    </w:p>
    <w:p w14:paraId="3C4CCFA7">
      <w:pPr>
        <w:pStyle w:val="6"/>
        <w:spacing w:before="180" w:line="359" w:lineRule="auto"/>
        <w:ind w:left="46" w:hanging="5"/>
        <w:rPr>
          <w:sz w:val="24"/>
          <w:szCs w:val="24"/>
          <w:highlight w:val="none"/>
        </w:rPr>
      </w:pPr>
      <w:r>
        <w:rPr>
          <w:spacing w:val="-1"/>
          <w:sz w:val="24"/>
          <w:szCs w:val="24"/>
          <w:highlight w:val="none"/>
        </w:rPr>
        <w:t>6.1 参与招标投标活动的各方应对招标文件和投标文件中的商业和技术等秘密保密，否则</w:t>
      </w:r>
      <w:r>
        <w:rPr>
          <w:spacing w:val="-3"/>
          <w:sz w:val="24"/>
          <w:szCs w:val="24"/>
          <w:highlight w:val="none"/>
        </w:rPr>
        <w:t>应承担相应的法律责任。</w:t>
      </w:r>
    </w:p>
    <w:p w14:paraId="662F0A3F">
      <w:pPr>
        <w:pStyle w:val="6"/>
        <w:spacing w:before="45" w:line="359" w:lineRule="auto"/>
        <w:ind w:left="58" w:right="90" w:hanging="14"/>
        <w:rPr>
          <w:sz w:val="24"/>
          <w:szCs w:val="24"/>
          <w:highlight w:val="none"/>
        </w:rPr>
      </w:pPr>
      <w:r>
        <w:rPr>
          <w:spacing w:val="-3"/>
          <w:sz w:val="24"/>
          <w:szCs w:val="24"/>
          <w:highlight w:val="none"/>
        </w:rPr>
        <w:t>6.2 投标人自领取招标文件之日起，须承担本招标项目保密义务，不得将因本次招标获得的信息向第三人外传。由采购人向投标人提供的图纸、详细资料、样品、模</w:t>
      </w:r>
      <w:r>
        <w:rPr>
          <w:spacing w:val="-4"/>
          <w:sz w:val="24"/>
          <w:szCs w:val="24"/>
          <w:highlight w:val="none"/>
        </w:rPr>
        <w:t>型、模件和所</w:t>
      </w:r>
      <w:r>
        <w:rPr>
          <w:spacing w:val="-6"/>
          <w:sz w:val="24"/>
          <w:szCs w:val="24"/>
          <w:highlight w:val="none"/>
        </w:rPr>
        <w:t>有其它资料，被视为保密资料，仅被用于它所规定的用途。除非得到采购人的同意，不能</w:t>
      </w:r>
      <w:r>
        <w:rPr>
          <w:spacing w:val="-2"/>
          <w:sz w:val="24"/>
          <w:szCs w:val="24"/>
          <w:highlight w:val="none"/>
        </w:rPr>
        <w:t>向任何第三方透露。开标结束后，应采购人要求，投标人应归还所有从采购人处获得的保</w:t>
      </w:r>
      <w:r>
        <w:rPr>
          <w:spacing w:val="-8"/>
          <w:sz w:val="24"/>
          <w:szCs w:val="24"/>
          <w:highlight w:val="none"/>
        </w:rPr>
        <w:t>密资料。</w:t>
      </w:r>
    </w:p>
    <w:p w14:paraId="4501D112">
      <w:pPr>
        <w:pStyle w:val="6"/>
        <w:spacing w:before="1" w:line="359" w:lineRule="auto"/>
        <w:ind w:left="50" w:right="167" w:hanging="9"/>
        <w:rPr>
          <w:sz w:val="24"/>
          <w:szCs w:val="24"/>
          <w:highlight w:val="none"/>
        </w:rPr>
      </w:pPr>
      <w:r>
        <w:rPr>
          <w:spacing w:val="3"/>
          <w:sz w:val="24"/>
          <w:szCs w:val="24"/>
          <w:highlight w:val="none"/>
        </w:rPr>
        <w:t>6.3 采购代理机构有权将投标人提供的所有资料向有关政府部门或评审</w:t>
      </w:r>
      <w:r>
        <w:rPr>
          <w:spacing w:val="2"/>
          <w:sz w:val="24"/>
          <w:szCs w:val="24"/>
          <w:highlight w:val="none"/>
        </w:rPr>
        <w:t>投标文件的有关</w:t>
      </w:r>
      <w:r>
        <w:rPr>
          <w:spacing w:val="-5"/>
          <w:sz w:val="24"/>
          <w:szCs w:val="24"/>
          <w:highlight w:val="none"/>
        </w:rPr>
        <w:t>人员披露。</w:t>
      </w:r>
    </w:p>
    <w:p w14:paraId="7ACF4D39">
      <w:pPr>
        <w:pStyle w:val="6"/>
        <w:spacing w:line="358" w:lineRule="auto"/>
        <w:ind w:left="45" w:right="162" w:hanging="4"/>
        <w:rPr>
          <w:sz w:val="24"/>
          <w:szCs w:val="24"/>
          <w:highlight w:val="none"/>
        </w:rPr>
      </w:pPr>
      <w:r>
        <w:rPr>
          <w:spacing w:val="-3"/>
          <w:sz w:val="24"/>
          <w:szCs w:val="24"/>
          <w:highlight w:val="none"/>
        </w:rPr>
        <w:t>6.4 各级人民政府财政部门对政府采购活动进行监督检查，有权查阅、复制有关文件、资</w:t>
      </w:r>
      <w:r>
        <w:rPr>
          <w:spacing w:val="-2"/>
          <w:sz w:val="24"/>
          <w:szCs w:val="24"/>
          <w:highlight w:val="none"/>
        </w:rPr>
        <w:t>料，相关单位和人员应当予以配合。</w:t>
      </w:r>
    </w:p>
    <w:p w14:paraId="36886BB9">
      <w:pPr>
        <w:pStyle w:val="6"/>
        <w:spacing w:before="3" w:line="222" w:lineRule="auto"/>
        <w:ind w:left="45"/>
        <w:outlineLvl w:val="2"/>
        <w:rPr>
          <w:sz w:val="24"/>
          <w:szCs w:val="24"/>
          <w:highlight w:val="none"/>
        </w:rPr>
      </w:pPr>
      <w:r>
        <w:rPr>
          <w:b/>
          <w:bCs/>
          <w:spacing w:val="-9"/>
          <w:sz w:val="24"/>
          <w:szCs w:val="24"/>
          <w:highlight w:val="none"/>
        </w:rPr>
        <w:t>7.语言文字</w:t>
      </w:r>
    </w:p>
    <w:p w14:paraId="50BF320A">
      <w:pPr>
        <w:pStyle w:val="6"/>
        <w:spacing w:before="178" w:line="359" w:lineRule="auto"/>
        <w:ind w:left="45" w:right="59"/>
        <w:rPr>
          <w:sz w:val="24"/>
          <w:szCs w:val="24"/>
          <w:highlight w:val="none"/>
        </w:rPr>
      </w:pPr>
      <w:r>
        <w:rPr>
          <w:spacing w:val="2"/>
          <w:sz w:val="24"/>
          <w:szCs w:val="24"/>
          <w:highlight w:val="none"/>
        </w:rPr>
        <w:t>7.1招标投标过程文件使用的语言文字为中文。专用术语使用外文的，应附有中文注释。</w:t>
      </w:r>
      <w:r>
        <w:rPr>
          <w:spacing w:val="-1"/>
          <w:sz w:val="24"/>
          <w:szCs w:val="24"/>
          <w:highlight w:val="none"/>
        </w:rPr>
        <w:t>投标人提交的支持资料和已印制的文献可以用外文，但相应内容应附有中文翻译本，在解释投标文件时以中文翻译本为准。未附中文翻译本或翻译本中文内容明显与外文内容不一</w:t>
      </w:r>
      <w:r>
        <w:rPr>
          <w:spacing w:val="-2"/>
          <w:sz w:val="24"/>
          <w:szCs w:val="24"/>
          <w:highlight w:val="none"/>
        </w:rPr>
        <w:t>致的，其不利后果由投标人自行承担。</w:t>
      </w:r>
    </w:p>
    <w:p w14:paraId="63B38C44">
      <w:pPr>
        <w:pStyle w:val="6"/>
        <w:spacing w:line="221" w:lineRule="auto"/>
        <w:ind w:left="40"/>
        <w:outlineLvl w:val="2"/>
        <w:rPr>
          <w:sz w:val="24"/>
          <w:szCs w:val="24"/>
          <w:highlight w:val="none"/>
        </w:rPr>
      </w:pPr>
      <w:r>
        <w:rPr>
          <w:b/>
          <w:bCs/>
          <w:spacing w:val="-7"/>
          <w:sz w:val="24"/>
          <w:szCs w:val="24"/>
          <w:highlight w:val="none"/>
        </w:rPr>
        <w:t>8.计量单位</w:t>
      </w:r>
    </w:p>
    <w:p w14:paraId="54F2B15D">
      <w:pPr>
        <w:pStyle w:val="6"/>
        <w:spacing w:before="178" w:line="221" w:lineRule="auto"/>
        <w:ind w:left="40"/>
        <w:rPr>
          <w:sz w:val="24"/>
          <w:szCs w:val="24"/>
          <w:highlight w:val="none"/>
        </w:rPr>
      </w:pPr>
      <w:r>
        <w:rPr>
          <w:spacing w:val="-2"/>
          <w:sz w:val="24"/>
          <w:szCs w:val="24"/>
          <w:highlight w:val="none"/>
        </w:rPr>
        <w:t>8.1所有计量均采用中华人民共和国法定计量单位。</w:t>
      </w:r>
    </w:p>
    <w:p w14:paraId="12CF232E">
      <w:pPr>
        <w:pStyle w:val="6"/>
        <w:spacing w:before="182" w:line="222" w:lineRule="auto"/>
        <w:ind w:left="40"/>
        <w:outlineLvl w:val="2"/>
        <w:rPr>
          <w:sz w:val="24"/>
          <w:szCs w:val="24"/>
          <w:highlight w:val="none"/>
        </w:rPr>
      </w:pPr>
      <w:r>
        <w:rPr>
          <w:b/>
          <w:bCs/>
          <w:spacing w:val="-7"/>
          <w:sz w:val="24"/>
          <w:szCs w:val="24"/>
          <w:highlight w:val="none"/>
        </w:rPr>
        <w:t>9.现场考察和答疑会</w:t>
      </w:r>
    </w:p>
    <w:p w14:paraId="78E31E07">
      <w:pPr>
        <w:pStyle w:val="6"/>
        <w:spacing w:before="176" w:line="359" w:lineRule="auto"/>
        <w:ind w:left="45" w:right="181" w:hanging="5"/>
        <w:rPr>
          <w:sz w:val="24"/>
          <w:szCs w:val="24"/>
          <w:highlight w:val="none"/>
        </w:rPr>
      </w:pPr>
      <w:r>
        <w:rPr>
          <w:spacing w:val="-1"/>
          <w:sz w:val="24"/>
          <w:szCs w:val="24"/>
          <w:highlight w:val="none"/>
        </w:rPr>
        <w:t>9.1“投标人须知前附表</w:t>
      </w:r>
      <w:r>
        <w:rPr>
          <w:spacing w:val="-91"/>
          <w:sz w:val="24"/>
          <w:szCs w:val="24"/>
          <w:highlight w:val="none"/>
        </w:rPr>
        <w:t xml:space="preserve"> </w:t>
      </w:r>
      <w:r>
        <w:rPr>
          <w:spacing w:val="-1"/>
          <w:sz w:val="24"/>
          <w:szCs w:val="24"/>
          <w:highlight w:val="none"/>
        </w:rPr>
        <w:t>”规定组织现场考察的，采购代理机构按</w:t>
      </w:r>
      <w:r>
        <w:rPr>
          <w:spacing w:val="-2"/>
          <w:sz w:val="24"/>
          <w:szCs w:val="24"/>
          <w:highlight w:val="none"/>
        </w:rPr>
        <w:t>“投标人须知前附表”</w:t>
      </w:r>
      <w:r>
        <w:rPr>
          <w:spacing w:val="-3"/>
          <w:sz w:val="24"/>
          <w:szCs w:val="24"/>
          <w:highlight w:val="none"/>
        </w:rPr>
        <w:t>规定的时间、地点组织投标人项目现场考察。</w:t>
      </w:r>
    </w:p>
    <w:p w14:paraId="47538777">
      <w:pPr>
        <w:pStyle w:val="6"/>
        <w:spacing w:before="1" w:line="222" w:lineRule="auto"/>
        <w:ind w:left="40"/>
        <w:rPr>
          <w:sz w:val="24"/>
          <w:szCs w:val="24"/>
          <w:highlight w:val="none"/>
        </w:rPr>
      </w:pPr>
      <w:r>
        <w:rPr>
          <w:spacing w:val="-2"/>
          <w:sz w:val="24"/>
          <w:szCs w:val="24"/>
          <w:highlight w:val="none"/>
        </w:rPr>
        <w:t>9.2 投标人现场考察发生的费用自理。</w:t>
      </w:r>
    </w:p>
    <w:p w14:paraId="34F1010F">
      <w:pPr>
        <w:pStyle w:val="6"/>
        <w:spacing w:before="179" w:line="219" w:lineRule="auto"/>
        <w:ind w:left="40"/>
        <w:rPr>
          <w:sz w:val="24"/>
          <w:szCs w:val="24"/>
          <w:highlight w:val="none"/>
        </w:rPr>
      </w:pPr>
      <w:r>
        <w:rPr>
          <w:spacing w:val="-3"/>
          <w:sz w:val="24"/>
          <w:szCs w:val="24"/>
          <w:highlight w:val="none"/>
        </w:rPr>
        <w:t>9.3 在现场考察中，因投标人自身原因发生的人员伤亡和财产损失，由投标</w:t>
      </w:r>
      <w:r>
        <w:rPr>
          <w:spacing w:val="-4"/>
          <w:sz w:val="24"/>
          <w:szCs w:val="24"/>
          <w:highlight w:val="none"/>
        </w:rPr>
        <w:t>人自行负责。</w:t>
      </w:r>
    </w:p>
    <w:p w14:paraId="2EAC4355">
      <w:pPr>
        <w:pStyle w:val="6"/>
        <w:spacing w:before="181" w:line="359" w:lineRule="auto"/>
        <w:ind w:left="46" w:right="172" w:hanging="6"/>
        <w:rPr>
          <w:sz w:val="24"/>
          <w:szCs w:val="24"/>
          <w:highlight w:val="none"/>
        </w:rPr>
      </w:pPr>
      <w:r>
        <w:rPr>
          <w:spacing w:val="-3"/>
          <w:sz w:val="24"/>
          <w:szCs w:val="24"/>
          <w:highlight w:val="none"/>
        </w:rPr>
        <w:t>9.4 采购人在现场考察中介绍的项目场地和相关的周边环境情况，仅供</w:t>
      </w:r>
      <w:r>
        <w:rPr>
          <w:spacing w:val="-4"/>
          <w:sz w:val="24"/>
          <w:szCs w:val="24"/>
          <w:highlight w:val="none"/>
        </w:rPr>
        <w:t>投标人在编制投标</w:t>
      </w:r>
      <w:r>
        <w:rPr>
          <w:spacing w:val="-3"/>
          <w:sz w:val="24"/>
          <w:szCs w:val="24"/>
          <w:highlight w:val="none"/>
        </w:rPr>
        <w:t>文件时参考，采购人和采购代理机构不对投标人据</w:t>
      </w:r>
      <w:r>
        <w:rPr>
          <w:spacing w:val="-4"/>
          <w:sz w:val="24"/>
          <w:szCs w:val="24"/>
          <w:highlight w:val="none"/>
        </w:rPr>
        <w:t>此作出的判断和决策负责。</w:t>
      </w:r>
    </w:p>
    <w:p w14:paraId="15A9AA7B">
      <w:pPr>
        <w:pStyle w:val="6"/>
        <w:spacing w:line="360" w:lineRule="auto"/>
        <w:ind w:left="51" w:right="296" w:hanging="11"/>
        <w:rPr>
          <w:sz w:val="24"/>
          <w:szCs w:val="24"/>
          <w:highlight w:val="none"/>
        </w:rPr>
      </w:pPr>
      <w:r>
        <w:rPr>
          <w:spacing w:val="-5"/>
          <w:sz w:val="24"/>
          <w:szCs w:val="24"/>
          <w:highlight w:val="none"/>
        </w:rPr>
        <w:t>9.5“投标人须知前附表</w:t>
      </w:r>
      <w:r>
        <w:rPr>
          <w:spacing w:val="-85"/>
          <w:sz w:val="24"/>
          <w:szCs w:val="24"/>
          <w:highlight w:val="none"/>
        </w:rPr>
        <w:t xml:space="preserve"> </w:t>
      </w:r>
      <w:r>
        <w:rPr>
          <w:spacing w:val="-5"/>
          <w:sz w:val="24"/>
          <w:szCs w:val="24"/>
          <w:highlight w:val="none"/>
        </w:rPr>
        <w:t>”规定召开答疑会的，采购代理机构按“投标人须知前附表</w:t>
      </w:r>
      <w:r>
        <w:rPr>
          <w:spacing w:val="-91"/>
          <w:sz w:val="24"/>
          <w:szCs w:val="24"/>
          <w:highlight w:val="none"/>
        </w:rPr>
        <w:t xml:space="preserve"> </w:t>
      </w:r>
      <w:r>
        <w:rPr>
          <w:spacing w:val="-5"/>
          <w:sz w:val="24"/>
          <w:szCs w:val="24"/>
          <w:highlight w:val="none"/>
        </w:rPr>
        <w:t>”规</w:t>
      </w:r>
      <w:r>
        <w:rPr>
          <w:spacing w:val="-3"/>
          <w:sz w:val="24"/>
          <w:szCs w:val="24"/>
          <w:highlight w:val="none"/>
        </w:rPr>
        <w:t>定的时间和地点召开答疑会，澄清投标人提出的问题。</w:t>
      </w:r>
    </w:p>
    <w:p w14:paraId="7B223132">
      <w:pPr>
        <w:pStyle w:val="6"/>
        <w:spacing w:before="3" w:line="358" w:lineRule="auto"/>
        <w:ind w:left="46" w:right="145" w:hanging="6"/>
        <w:rPr>
          <w:sz w:val="24"/>
          <w:szCs w:val="24"/>
          <w:highlight w:val="none"/>
        </w:rPr>
      </w:pPr>
      <w:r>
        <w:rPr>
          <w:spacing w:val="-2"/>
          <w:sz w:val="24"/>
          <w:szCs w:val="24"/>
          <w:highlight w:val="none"/>
        </w:rPr>
        <w:t>9.6由于未参加现场考察或未参加标前答疑会而导</w:t>
      </w:r>
      <w:r>
        <w:rPr>
          <w:spacing w:val="-3"/>
          <w:sz w:val="24"/>
          <w:szCs w:val="24"/>
          <w:highlight w:val="none"/>
        </w:rPr>
        <w:t>致对项目实际情况不了解，影响投标文件编制、投标报价准确性、综合因素响应不全面等问题的，由投标人自行承担不利评审后</w:t>
      </w:r>
      <w:r>
        <w:rPr>
          <w:spacing w:val="-8"/>
          <w:sz w:val="24"/>
          <w:szCs w:val="24"/>
          <w:highlight w:val="none"/>
        </w:rPr>
        <w:t>果。</w:t>
      </w:r>
    </w:p>
    <w:p w14:paraId="64913A1E">
      <w:pPr>
        <w:pStyle w:val="6"/>
        <w:spacing w:line="222" w:lineRule="auto"/>
        <w:ind w:left="57"/>
        <w:outlineLvl w:val="2"/>
        <w:rPr>
          <w:sz w:val="24"/>
          <w:szCs w:val="24"/>
          <w:highlight w:val="none"/>
        </w:rPr>
      </w:pPr>
      <w:r>
        <w:rPr>
          <w:b/>
          <w:bCs/>
          <w:spacing w:val="-10"/>
          <w:sz w:val="24"/>
          <w:szCs w:val="24"/>
          <w:highlight w:val="none"/>
        </w:rPr>
        <w:t>10.电子投标说明</w:t>
      </w:r>
    </w:p>
    <w:p w14:paraId="2B5A0E15">
      <w:pPr>
        <w:pStyle w:val="6"/>
        <w:spacing w:before="290" w:line="222" w:lineRule="auto"/>
        <w:ind w:left="26"/>
        <w:rPr>
          <w:sz w:val="24"/>
          <w:szCs w:val="24"/>
          <w:highlight w:val="none"/>
        </w:rPr>
      </w:pPr>
      <w:r>
        <w:rPr>
          <w:spacing w:val="-2"/>
          <w:sz w:val="24"/>
          <w:szCs w:val="24"/>
          <w:highlight w:val="none"/>
        </w:rPr>
        <w:t>10.1、本项目采用全流程不见面电子开评标。</w:t>
      </w:r>
    </w:p>
    <w:p w14:paraId="54443932">
      <w:pPr>
        <w:pStyle w:val="6"/>
        <w:spacing w:before="159" w:line="338" w:lineRule="auto"/>
        <w:ind w:left="20" w:right="114" w:firstLine="6"/>
        <w:rPr>
          <w:spacing w:val="-3"/>
          <w:sz w:val="24"/>
          <w:szCs w:val="24"/>
          <w:highlight w:val="none"/>
        </w:rPr>
      </w:pPr>
      <w:r>
        <w:rPr>
          <w:spacing w:val="-1"/>
          <w:sz w:val="24"/>
          <w:szCs w:val="24"/>
          <w:highlight w:val="none"/>
        </w:rPr>
        <w:t>10.2、本项目实行网上投标，采用加密电子投标响应文件(投标人须使用CA加密设备通过</w:t>
      </w:r>
      <w:r>
        <w:rPr>
          <w:spacing w:val="-3"/>
          <w:sz w:val="24"/>
          <w:szCs w:val="24"/>
          <w:highlight w:val="none"/>
        </w:rPr>
        <w:t>政采云电子投标客户端制作投标响应文件)。若投标人参与投标，</w:t>
      </w:r>
      <w:r>
        <w:rPr>
          <w:spacing w:val="-55"/>
          <w:sz w:val="24"/>
          <w:szCs w:val="24"/>
          <w:highlight w:val="none"/>
        </w:rPr>
        <w:t xml:space="preserve"> </w:t>
      </w:r>
      <w:r>
        <w:rPr>
          <w:spacing w:val="-3"/>
          <w:sz w:val="24"/>
          <w:szCs w:val="24"/>
          <w:highlight w:val="none"/>
        </w:rPr>
        <w:t>自行承担投标一切费用。</w:t>
      </w:r>
    </w:p>
    <w:p w14:paraId="7D5D81C5">
      <w:pPr>
        <w:pStyle w:val="6"/>
        <w:spacing w:before="159" w:line="338" w:lineRule="auto"/>
        <w:ind w:left="20" w:right="114" w:firstLine="6"/>
        <w:rPr>
          <w:sz w:val="24"/>
          <w:szCs w:val="24"/>
          <w:highlight w:val="none"/>
        </w:rPr>
      </w:pPr>
      <w:r>
        <w:rPr>
          <w:spacing w:val="-1"/>
          <w:sz w:val="24"/>
          <w:szCs w:val="24"/>
          <w:highlight w:val="none"/>
        </w:rPr>
        <w:t>10.3、各投标人在开标前应确保成为新疆政府采购网正式注册入库供应商，并完成CA数</w:t>
      </w:r>
      <w:r>
        <w:rPr>
          <w:spacing w:val="-2"/>
          <w:sz w:val="24"/>
          <w:szCs w:val="24"/>
          <w:highlight w:val="none"/>
        </w:rPr>
        <w:t>字证书（符合国密标准）</w:t>
      </w:r>
      <w:r>
        <w:rPr>
          <w:spacing w:val="-63"/>
          <w:sz w:val="24"/>
          <w:szCs w:val="24"/>
          <w:highlight w:val="none"/>
        </w:rPr>
        <w:t xml:space="preserve"> </w:t>
      </w:r>
      <w:r>
        <w:rPr>
          <w:spacing w:val="-2"/>
          <w:sz w:val="24"/>
          <w:szCs w:val="24"/>
          <w:highlight w:val="none"/>
        </w:rPr>
        <w:t>申领。因未注册入库、未办理CA数字证书等原因造成无法投标</w:t>
      </w:r>
      <w:r>
        <w:rPr>
          <w:spacing w:val="-1"/>
          <w:sz w:val="24"/>
          <w:szCs w:val="24"/>
          <w:highlight w:val="none"/>
        </w:rPr>
        <w:t>或投标失败等后果由投标人自行承担。有意向参与电子开评标的投标人，可访问新疆数</w:t>
      </w:r>
      <w:r>
        <w:rPr>
          <w:sz w:val="24"/>
          <w:szCs w:val="24"/>
          <w:highlight w:val="none"/>
        </w:rPr>
        <w:t>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sz w:val="24"/>
          <w:szCs w:val="24"/>
          <w:highlight w:val="none"/>
        </w:rPr>
        <w:t>https://www.xjca.co</w:t>
      </w:r>
      <w:r>
        <w:rPr>
          <w:spacing w:val="-1"/>
          <w:sz w:val="24"/>
          <w:szCs w:val="24"/>
          <w:highlight w:val="none"/>
        </w:rPr>
        <w:t>m.cn/</w:t>
      </w:r>
      <w:r>
        <w:rPr>
          <w:spacing w:val="-1"/>
          <w:sz w:val="24"/>
          <w:szCs w:val="24"/>
          <w:highlight w:val="none"/>
        </w:rPr>
        <w:fldChar w:fldCharType="end"/>
      </w:r>
      <w:r>
        <w:rPr>
          <w:spacing w:val="-1"/>
          <w:sz w:val="24"/>
          <w:szCs w:val="24"/>
          <w:highlight w:val="none"/>
        </w:rPr>
        <w:t>）或下载“新疆政务通”APP自行申领。如需咨询，请联系新疆CA服务热线0991-2819290；</w:t>
      </w:r>
    </w:p>
    <w:p w14:paraId="3219E2F7">
      <w:pPr>
        <w:pStyle w:val="6"/>
        <w:spacing w:before="3" w:line="338" w:lineRule="auto"/>
        <w:ind w:left="16" w:right="31" w:firstLine="10"/>
        <w:rPr>
          <w:sz w:val="24"/>
          <w:szCs w:val="24"/>
          <w:highlight w:val="none"/>
        </w:rPr>
      </w:pPr>
      <w:r>
        <w:rPr>
          <w:spacing w:val="-1"/>
          <w:sz w:val="24"/>
          <w:szCs w:val="24"/>
          <w:highlight w:val="none"/>
        </w:rPr>
        <w:t>10.4、投标人在完成政采云电子交易客户端下载、安装后，可通过账号密码或CA登录客户端进行投标文件的制作。在使用政采云投标客户端时，建议使</w:t>
      </w:r>
      <w:r>
        <w:rPr>
          <w:spacing w:val="-2"/>
          <w:sz w:val="24"/>
          <w:szCs w:val="24"/>
          <w:highlight w:val="none"/>
        </w:rPr>
        <w:t>用WIN7及以上操作系统。</w:t>
      </w:r>
      <w:r>
        <w:rPr>
          <w:sz w:val="24"/>
          <w:szCs w:val="24"/>
          <w:highlight w:val="none"/>
        </w:rPr>
        <w:t>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sz w:val="24"/>
          <w:szCs w:val="24"/>
          <w:highlight w:val="none"/>
        </w:rPr>
        <w:t>http://www.ccgp-xinjiang</w:t>
      </w:r>
      <w:r>
        <w:rPr>
          <w:spacing w:val="-1"/>
          <w:sz w:val="24"/>
          <w:szCs w:val="24"/>
          <w:highlight w:val="none"/>
        </w:rPr>
        <w:t>.gov.cn/</w:t>
      </w:r>
      <w:r>
        <w:rPr>
          <w:spacing w:val="-1"/>
          <w:sz w:val="24"/>
          <w:szCs w:val="24"/>
          <w:highlight w:val="none"/>
        </w:rPr>
        <w:fldChar w:fldCharType="end"/>
      </w:r>
      <w:r>
        <w:rPr>
          <w:spacing w:val="-1"/>
          <w:sz w:val="24"/>
          <w:szCs w:val="24"/>
          <w:highlight w:val="none"/>
        </w:rPr>
        <w:t>）下载专区查看，如</w:t>
      </w:r>
      <w:r>
        <w:rPr>
          <w:sz w:val="24"/>
          <w:szCs w:val="24"/>
          <w:highlight w:val="none"/>
        </w:rPr>
        <w:t>遇问题可拨打政采云客户服务热线95763进行咨询</w:t>
      </w:r>
      <w:r>
        <w:rPr>
          <w:spacing w:val="-1"/>
          <w:sz w:val="24"/>
          <w:szCs w:val="24"/>
          <w:highlight w:val="none"/>
        </w:rPr>
        <w:t>。如因投标人自身原因导致在规定时间</w:t>
      </w:r>
      <w:r>
        <w:rPr>
          <w:sz w:val="24"/>
          <w:szCs w:val="24"/>
          <w:highlight w:val="none"/>
        </w:rPr>
        <w:t>内无法正常解密的（如：浏览器故障、未安装相关驱</w:t>
      </w:r>
      <w:r>
        <w:rPr>
          <w:spacing w:val="-1"/>
          <w:sz w:val="24"/>
          <w:szCs w:val="24"/>
          <w:highlight w:val="none"/>
        </w:rPr>
        <w:t>动、网络故障、加密CA与解密CA不一致等</w:t>
      </w:r>
      <w:r>
        <w:rPr>
          <w:spacing w:val="9"/>
          <w:sz w:val="24"/>
          <w:szCs w:val="24"/>
          <w:highlight w:val="none"/>
        </w:rPr>
        <w:t>），</w:t>
      </w:r>
      <w:r>
        <w:rPr>
          <w:spacing w:val="-1"/>
          <w:sz w:val="24"/>
          <w:szCs w:val="24"/>
          <w:highlight w:val="none"/>
        </w:rPr>
        <w:t>采购中心/代理机构不予异常处理，视为投标</w:t>
      </w:r>
      <w:r>
        <w:rPr>
          <w:spacing w:val="-2"/>
          <w:sz w:val="24"/>
          <w:szCs w:val="24"/>
          <w:highlight w:val="none"/>
        </w:rPr>
        <w:t>人自动弃标；</w:t>
      </w:r>
    </w:p>
    <w:p w14:paraId="22AFD661">
      <w:pPr>
        <w:pStyle w:val="6"/>
        <w:spacing w:before="1" w:line="338" w:lineRule="auto"/>
        <w:ind w:left="16" w:right="114" w:firstLine="10"/>
        <w:rPr>
          <w:sz w:val="24"/>
          <w:szCs w:val="24"/>
          <w:highlight w:val="none"/>
        </w:rPr>
      </w:pPr>
      <w:r>
        <w:rPr>
          <w:spacing w:val="-2"/>
          <w:sz w:val="24"/>
          <w:szCs w:val="24"/>
          <w:highlight w:val="none"/>
        </w:rPr>
        <w:t>10.5、本项目采用不见面开标，投标人应当在投标截止时间前,将生成的“</w:t>
      </w:r>
      <w:r>
        <w:rPr>
          <w:spacing w:val="-66"/>
          <w:sz w:val="24"/>
          <w:szCs w:val="24"/>
          <w:highlight w:val="none"/>
        </w:rPr>
        <w:t xml:space="preserve"> </w:t>
      </w:r>
      <w:r>
        <w:rPr>
          <w:spacing w:val="-2"/>
          <w:sz w:val="24"/>
          <w:szCs w:val="24"/>
          <w:highlight w:val="none"/>
        </w:rPr>
        <w:t>电子加密投标文件</w:t>
      </w:r>
      <w:r>
        <w:rPr>
          <w:spacing w:val="-88"/>
          <w:sz w:val="24"/>
          <w:szCs w:val="24"/>
          <w:highlight w:val="none"/>
        </w:rPr>
        <w:t xml:space="preserve"> </w:t>
      </w:r>
      <w:r>
        <w:rPr>
          <w:spacing w:val="-2"/>
          <w:sz w:val="24"/>
          <w:szCs w:val="24"/>
          <w:highlight w:val="none"/>
        </w:rPr>
        <w:t>”上传递交至“政府采购云平台</w:t>
      </w:r>
      <w:r>
        <w:rPr>
          <w:spacing w:val="-88"/>
          <w:sz w:val="24"/>
          <w:szCs w:val="24"/>
          <w:highlight w:val="none"/>
        </w:rPr>
        <w:t xml:space="preserve"> </w:t>
      </w:r>
      <w:r>
        <w:rPr>
          <w:spacing w:val="-2"/>
          <w:sz w:val="24"/>
          <w:szCs w:val="24"/>
          <w:highlight w:val="none"/>
        </w:rPr>
        <w:t>”,投标截止时间以后上传递交的投标文件将</w:t>
      </w:r>
      <w:r>
        <w:rPr>
          <w:spacing w:val="-3"/>
          <w:sz w:val="24"/>
          <w:szCs w:val="24"/>
          <w:highlight w:val="none"/>
        </w:rPr>
        <w:t>被“政</w:t>
      </w:r>
      <w:r>
        <w:rPr>
          <w:spacing w:val="-2"/>
          <w:sz w:val="24"/>
          <w:szCs w:val="24"/>
          <w:highlight w:val="none"/>
        </w:rPr>
        <w:t>府采购云平台</w:t>
      </w:r>
      <w:r>
        <w:rPr>
          <w:spacing w:val="-71"/>
          <w:sz w:val="24"/>
          <w:szCs w:val="24"/>
          <w:highlight w:val="none"/>
        </w:rPr>
        <w:t xml:space="preserve"> </w:t>
      </w:r>
      <w:r>
        <w:rPr>
          <w:spacing w:val="-2"/>
          <w:sz w:val="24"/>
          <w:szCs w:val="24"/>
          <w:highlight w:val="none"/>
        </w:rPr>
        <w:t>”拒收。投标人对不见面开评标系统的技术操作咨询，可通过</w:t>
      </w:r>
    </w:p>
    <w:p w14:paraId="408F135E">
      <w:pPr>
        <w:pStyle w:val="6"/>
        <w:spacing w:before="2" w:line="338" w:lineRule="auto"/>
        <w:ind w:left="28" w:right="234" w:hanging="23"/>
        <w:rPr>
          <w:sz w:val="24"/>
          <w:szCs w:val="24"/>
          <w:highlight w:val="none"/>
        </w:rPr>
      </w:pPr>
      <w:r>
        <w:rPr>
          <w:highlight w:val="none"/>
        </w:rPr>
        <w:fldChar w:fldCharType="begin"/>
      </w:r>
      <w:r>
        <w:rPr>
          <w:highlight w:val="none"/>
        </w:rPr>
        <w:instrText xml:space="preserve"> HYPERLINK "https://edu.zcygov.cn/luban/xinjiang-e-biding" </w:instrText>
      </w:r>
      <w:r>
        <w:rPr>
          <w:highlight w:val="none"/>
        </w:rPr>
        <w:fldChar w:fldCharType="separate"/>
      </w:r>
      <w:r>
        <w:rPr>
          <w:spacing w:val="-1"/>
          <w:sz w:val="24"/>
          <w:szCs w:val="24"/>
          <w:highlight w:val="none"/>
        </w:rPr>
        <w:t>https://edu.zcygov.cn/luban/xinjiang-e-biding</w:t>
      </w:r>
      <w:r>
        <w:rPr>
          <w:spacing w:val="-1"/>
          <w:sz w:val="24"/>
          <w:szCs w:val="24"/>
          <w:highlight w:val="none"/>
        </w:rPr>
        <w:fldChar w:fldCharType="end"/>
      </w:r>
      <w:r>
        <w:rPr>
          <w:spacing w:val="61"/>
          <w:sz w:val="24"/>
          <w:szCs w:val="24"/>
          <w:highlight w:val="none"/>
        </w:rPr>
        <w:t xml:space="preserve"> </w:t>
      </w:r>
      <w:r>
        <w:rPr>
          <w:spacing w:val="-1"/>
          <w:sz w:val="24"/>
          <w:szCs w:val="24"/>
          <w:highlight w:val="none"/>
        </w:rPr>
        <w:t>自助查询，也可</w:t>
      </w:r>
      <w:r>
        <w:rPr>
          <w:spacing w:val="-2"/>
          <w:sz w:val="24"/>
          <w:szCs w:val="24"/>
          <w:highlight w:val="none"/>
        </w:rPr>
        <w:t>在政采云帮助中心</w:t>
      </w:r>
      <w:r>
        <w:rPr>
          <w:spacing w:val="-1"/>
          <w:sz w:val="24"/>
          <w:szCs w:val="24"/>
          <w:highlight w:val="none"/>
        </w:rPr>
        <w:t>常见问题解答和操作流程讲解视频中自助查</w:t>
      </w:r>
      <w:r>
        <w:rPr>
          <w:spacing w:val="-2"/>
          <w:sz w:val="24"/>
          <w:szCs w:val="24"/>
          <w:highlight w:val="none"/>
        </w:rPr>
        <w:t>询，网址为：</w:t>
      </w:r>
    </w:p>
    <w:p w14:paraId="738D1AF4">
      <w:pPr>
        <w:pStyle w:val="6"/>
        <w:spacing w:before="1" w:line="338" w:lineRule="auto"/>
        <w:ind w:left="16" w:right="114" w:hanging="11"/>
        <w:rPr>
          <w:sz w:val="24"/>
          <w:szCs w:val="24"/>
          <w:highlight w:val="none"/>
        </w:rPr>
      </w:pPr>
      <w:r>
        <w:rPr>
          <w:highlight w:val="none"/>
        </w:rPr>
        <w:fldChar w:fldCharType="begin"/>
      </w:r>
      <w:r>
        <w:rPr>
          <w:highlight w:val="none"/>
        </w:rPr>
        <w:instrText xml:space="preserve"> HYPERLINK "https://service.zcygov.cn/#/help" </w:instrText>
      </w:r>
      <w:r>
        <w:rPr>
          <w:highlight w:val="none"/>
        </w:rPr>
        <w:fldChar w:fldCharType="separate"/>
      </w:r>
      <w:r>
        <w:rPr>
          <w:sz w:val="24"/>
          <w:szCs w:val="24"/>
          <w:highlight w:val="none"/>
        </w:rPr>
        <w:t>https://service.zcygov.cn/#/help</w:t>
      </w:r>
      <w:r>
        <w:rPr>
          <w:sz w:val="24"/>
          <w:szCs w:val="24"/>
          <w:highlight w:val="none"/>
        </w:rPr>
        <w:fldChar w:fldCharType="end"/>
      </w:r>
      <w:r>
        <w:rPr>
          <w:sz w:val="24"/>
          <w:szCs w:val="24"/>
          <w:highlight w:val="none"/>
        </w:rPr>
        <w:t>，“项目采购”—“操作流程-电子</w:t>
      </w:r>
      <w:r>
        <w:rPr>
          <w:spacing w:val="-1"/>
          <w:sz w:val="24"/>
          <w:szCs w:val="24"/>
          <w:highlight w:val="none"/>
        </w:rPr>
        <w:t>招投标”— “政府采购项目电子交易管理操作指南-供应商</w:t>
      </w:r>
      <w:r>
        <w:rPr>
          <w:spacing w:val="-88"/>
          <w:sz w:val="24"/>
          <w:szCs w:val="24"/>
          <w:highlight w:val="none"/>
        </w:rPr>
        <w:t xml:space="preserve"> </w:t>
      </w:r>
      <w:r>
        <w:rPr>
          <w:spacing w:val="-1"/>
          <w:sz w:val="24"/>
          <w:szCs w:val="24"/>
          <w:highlight w:val="none"/>
        </w:rPr>
        <w:t>”版面获取操作指</w:t>
      </w:r>
      <w:r>
        <w:rPr>
          <w:spacing w:val="-2"/>
          <w:sz w:val="24"/>
          <w:szCs w:val="24"/>
          <w:highlight w:val="none"/>
        </w:rPr>
        <w:t>南，同时对自助查询无法</w:t>
      </w:r>
      <w:r>
        <w:rPr>
          <w:spacing w:val="-1"/>
          <w:sz w:val="24"/>
          <w:szCs w:val="24"/>
          <w:highlight w:val="none"/>
        </w:rPr>
        <w:t>解决的问题可通过钉钉群及政采云在线客服获取服务支持。</w:t>
      </w:r>
    </w:p>
    <w:p w14:paraId="5E99BD7C">
      <w:pPr>
        <w:pStyle w:val="6"/>
        <w:spacing w:before="3" w:line="338" w:lineRule="auto"/>
        <w:ind w:left="15" w:right="114" w:firstLine="11"/>
        <w:rPr>
          <w:sz w:val="24"/>
          <w:szCs w:val="24"/>
          <w:highlight w:val="none"/>
        </w:rPr>
      </w:pPr>
      <w:r>
        <w:rPr>
          <w:spacing w:val="-1"/>
          <w:sz w:val="24"/>
          <w:szCs w:val="24"/>
          <w:highlight w:val="none"/>
        </w:rPr>
        <w:t>10.6、投标人在开标前须提前配置好电脑浏览器（建议使用360浏览器或谷歌浏览器）,开标时登录政采云平台，在“项目采购-开标评标</w:t>
      </w:r>
      <w:r>
        <w:rPr>
          <w:spacing w:val="-88"/>
          <w:sz w:val="24"/>
          <w:szCs w:val="24"/>
          <w:highlight w:val="none"/>
        </w:rPr>
        <w:t xml:space="preserve"> </w:t>
      </w:r>
      <w:r>
        <w:rPr>
          <w:spacing w:val="-1"/>
          <w:sz w:val="24"/>
          <w:szCs w:val="24"/>
          <w:highlight w:val="none"/>
        </w:rPr>
        <w:t>”功能中，使用</w:t>
      </w:r>
      <w:r>
        <w:rPr>
          <w:spacing w:val="-2"/>
          <w:sz w:val="24"/>
          <w:szCs w:val="24"/>
          <w:highlight w:val="none"/>
        </w:rPr>
        <w:t>制作加密投标文件电子</w:t>
      </w:r>
      <w:r>
        <w:rPr>
          <w:sz w:val="24"/>
          <w:szCs w:val="24"/>
          <w:highlight w:val="none"/>
        </w:rPr>
        <w:t>标书的CA锁进行解密及报价确认。本项目投标文件的</w:t>
      </w:r>
      <w:r>
        <w:rPr>
          <w:spacing w:val="-1"/>
          <w:sz w:val="24"/>
          <w:szCs w:val="24"/>
          <w:highlight w:val="none"/>
        </w:rPr>
        <w:t>解密时间定为30分钟内,若投标人在规定时间内因自身原因导致无法正常解密,后果由投标人自行承担。</w:t>
      </w:r>
    </w:p>
    <w:p w14:paraId="0F726546">
      <w:pPr>
        <w:pStyle w:val="6"/>
        <w:spacing w:before="129" w:line="222" w:lineRule="auto"/>
        <w:ind w:left="52"/>
        <w:outlineLvl w:val="2"/>
        <w:rPr>
          <w:sz w:val="24"/>
          <w:szCs w:val="24"/>
          <w:highlight w:val="none"/>
        </w:rPr>
      </w:pPr>
      <w:r>
        <w:rPr>
          <w:b/>
          <w:bCs/>
          <w:spacing w:val="-10"/>
          <w:sz w:val="24"/>
          <w:szCs w:val="24"/>
          <w:highlight w:val="none"/>
        </w:rPr>
        <w:t>（二）招标文件</w:t>
      </w:r>
    </w:p>
    <w:p w14:paraId="6D4C1051">
      <w:pPr>
        <w:pStyle w:val="6"/>
        <w:spacing w:before="177" w:line="222" w:lineRule="auto"/>
        <w:ind w:left="57"/>
        <w:outlineLvl w:val="2"/>
        <w:rPr>
          <w:sz w:val="24"/>
          <w:szCs w:val="24"/>
          <w:highlight w:val="none"/>
        </w:rPr>
      </w:pPr>
      <w:r>
        <w:rPr>
          <w:b/>
          <w:bCs/>
          <w:spacing w:val="-10"/>
          <w:sz w:val="24"/>
          <w:szCs w:val="24"/>
          <w:highlight w:val="none"/>
        </w:rPr>
        <w:t>11.招标文件的组成</w:t>
      </w:r>
    </w:p>
    <w:p w14:paraId="30C1F3AC">
      <w:pPr>
        <w:pStyle w:val="6"/>
        <w:spacing w:before="179" w:line="220" w:lineRule="auto"/>
        <w:ind w:right="6"/>
        <w:jc w:val="left"/>
        <w:rPr>
          <w:spacing w:val="-5"/>
          <w:sz w:val="24"/>
          <w:szCs w:val="24"/>
          <w:highlight w:val="none"/>
        </w:rPr>
      </w:pPr>
      <w:r>
        <w:rPr>
          <w:spacing w:val="-4"/>
          <w:sz w:val="24"/>
          <w:szCs w:val="24"/>
          <w:highlight w:val="none"/>
        </w:rPr>
        <w:t>11.1本招标文件包括下列文件及根据本章第9款、</w:t>
      </w:r>
      <w:r>
        <w:rPr>
          <w:spacing w:val="-5"/>
          <w:sz w:val="24"/>
          <w:szCs w:val="24"/>
          <w:highlight w:val="none"/>
        </w:rPr>
        <w:t>第12款对招标文件所作的澄清或者</w:t>
      </w:r>
    </w:p>
    <w:p w14:paraId="212CAF5B">
      <w:pPr>
        <w:pStyle w:val="6"/>
        <w:spacing w:before="179" w:line="220" w:lineRule="auto"/>
        <w:ind w:right="6"/>
        <w:jc w:val="both"/>
        <w:rPr>
          <w:sz w:val="24"/>
          <w:szCs w:val="24"/>
          <w:highlight w:val="none"/>
        </w:rPr>
      </w:pPr>
      <w:r>
        <w:rPr>
          <w:spacing w:val="-5"/>
          <w:sz w:val="24"/>
          <w:szCs w:val="24"/>
          <w:highlight w:val="none"/>
        </w:rPr>
        <w:t>修改。</w:t>
      </w:r>
    </w:p>
    <w:p w14:paraId="39C4D8B2">
      <w:pPr>
        <w:pStyle w:val="6"/>
        <w:spacing w:before="180" w:line="222" w:lineRule="auto"/>
        <w:ind w:left="57"/>
        <w:rPr>
          <w:sz w:val="24"/>
          <w:szCs w:val="24"/>
          <w:highlight w:val="none"/>
        </w:rPr>
      </w:pPr>
      <w:r>
        <w:rPr>
          <w:spacing w:val="-6"/>
          <w:sz w:val="24"/>
          <w:szCs w:val="24"/>
          <w:highlight w:val="none"/>
        </w:rPr>
        <w:t>第一章 招标公告</w:t>
      </w:r>
    </w:p>
    <w:p w14:paraId="219B1D53">
      <w:pPr>
        <w:pStyle w:val="6"/>
        <w:spacing w:before="179" w:line="222" w:lineRule="auto"/>
        <w:ind w:left="57"/>
        <w:rPr>
          <w:sz w:val="24"/>
          <w:szCs w:val="24"/>
          <w:highlight w:val="none"/>
        </w:rPr>
      </w:pPr>
      <w:r>
        <w:rPr>
          <w:spacing w:val="-5"/>
          <w:sz w:val="24"/>
          <w:szCs w:val="24"/>
          <w:highlight w:val="none"/>
        </w:rPr>
        <w:t>第二章 投标人须知</w:t>
      </w:r>
    </w:p>
    <w:p w14:paraId="61C292E4">
      <w:pPr>
        <w:pStyle w:val="6"/>
        <w:spacing w:before="180" w:line="222" w:lineRule="auto"/>
        <w:ind w:left="57"/>
        <w:rPr>
          <w:sz w:val="24"/>
          <w:szCs w:val="24"/>
          <w:highlight w:val="none"/>
        </w:rPr>
      </w:pPr>
      <w:r>
        <w:rPr>
          <w:spacing w:val="-8"/>
          <w:sz w:val="24"/>
          <w:szCs w:val="24"/>
          <w:highlight w:val="none"/>
        </w:rPr>
        <w:t>第三章</w:t>
      </w:r>
      <w:r>
        <w:rPr>
          <w:spacing w:val="14"/>
          <w:sz w:val="24"/>
          <w:szCs w:val="24"/>
          <w:highlight w:val="none"/>
        </w:rPr>
        <w:t xml:space="preserve"> </w:t>
      </w:r>
      <w:r>
        <w:rPr>
          <w:spacing w:val="-8"/>
          <w:sz w:val="24"/>
          <w:szCs w:val="24"/>
          <w:highlight w:val="none"/>
        </w:rPr>
        <w:t>采购需求</w:t>
      </w:r>
    </w:p>
    <w:p w14:paraId="446EA262">
      <w:pPr>
        <w:pStyle w:val="6"/>
        <w:spacing w:before="180" w:line="222" w:lineRule="auto"/>
        <w:ind w:left="57"/>
        <w:rPr>
          <w:spacing w:val="-6"/>
          <w:sz w:val="24"/>
          <w:szCs w:val="24"/>
          <w:highlight w:val="none"/>
        </w:rPr>
      </w:pPr>
      <w:r>
        <w:rPr>
          <w:spacing w:val="-6"/>
          <w:sz w:val="24"/>
          <w:szCs w:val="24"/>
          <w:highlight w:val="none"/>
        </w:rPr>
        <w:t>第四章资格审查</w:t>
      </w:r>
    </w:p>
    <w:p w14:paraId="1F99F2F5">
      <w:pPr>
        <w:pStyle w:val="6"/>
        <w:spacing w:before="180" w:line="222" w:lineRule="auto"/>
        <w:ind w:left="57"/>
        <w:rPr>
          <w:spacing w:val="-6"/>
          <w:sz w:val="24"/>
          <w:szCs w:val="24"/>
          <w:highlight w:val="none"/>
        </w:rPr>
      </w:pPr>
      <w:r>
        <w:rPr>
          <w:spacing w:val="-6"/>
          <w:sz w:val="24"/>
          <w:szCs w:val="24"/>
          <w:highlight w:val="none"/>
        </w:rPr>
        <w:t>第五章 评标方法及标准</w:t>
      </w:r>
    </w:p>
    <w:p w14:paraId="5224CE0E">
      <w:pPr>
        <w:pStyle w:val="6"/>
        <w:spacing w:before="180" w:line="222" w:lineRule="auto"/>
        <w:ind w:left="57"/>
        <w:rPr>
          <w:spacing w:val="-6"/>
          <w:sz w:val="24"/>
          <w:szCs w:val="24"/>
          <w:highlight w:val="none"/>
        </w:rPr>
      </w:pPr>
      <w:r>
        <w:rPr>
          <w:spacing w:val="-6"/>
          <w:sz w:val="24"/>
          <w:szCs w:val="24"/>
          <w:highlight w:val="none"/>
        </w:rPr>
        <w:t>第六章 合同草案</w:t>
      </w:r>
    </w:p>
    <w:p w14:paraId="1B6C0B34">
      <w:pPr>
        <w:pStyle w:val="6"/>
        <w:spacing w:before="180" w:line="222" w:lineRule="auto"/>
        <w:ind w:left="57"/>
        <w:rPr>
          <w:spacing w:val="-6"/>
          <w:sz w:val="24"/>
          <w:szCs w:val="24"/>
          <w:highlight w:val="none"/>
        </w:rPr>
      </w:pPr>
      <w:r>
        <w:rPr>
          <w:spacing w:val="-6"/>
          <w:sz w:val="24"/>
          <w:szCs w:val="24"/>
          <w:highlight w:val="none"/>
        </w:rPr>
        <w:t>第七章 投标文件的格式</w:t>
      </w:r>
    </w:p>
    <w:p w14:paraId="34D75D84">
      <w:pPr>
        <w:pStyle w:val="6"/>
        <w:spacing w:before="176" w:line="222" w:lineRule="auto"/>
        <w:ind w:left="57"/>
        <w:outlineLvl w:val="2"/>
        <w:rPr>
          <w:sz w:val="24"/>
          <w:szCs w:val="24"/>
          <w:highlight w:val="none"/>
        </w:rPr>
      </w:pPr>
      <w:r>
        <w:rPr>
          <w:b/>
          <w:bCs/>
          <w:spacing w:val="-7"/>
          <w:sz w:val="24"/>
          <w:szCs w:val="24"/>
          <w:highlight w:val="none"/>
        </w:rPr>
        <w:t>12.招标文件的询问、澄清或者修改</w:t>
      </w:r>
    </w:p>
    <w:p w14:paraId="2790CD33">
      <w:pPr>
        <w:pStyle w:val="6"/>
        <w:spacing w:before="178" w:line="359" w:lineRule="auto"/>
        <w:ind w:left="47" w:right="69" w:firstLine="10"/>
        <w:rPr>
          <w:sz w:val="24"/>
          <w:szCs w:val="24"/>
          <w:highlight w:val="none"/>
        </w:rPr>
      </w:pPr>
      <w:r>
        <w:rPr>
          <w:spacing w:val="1"/>
          <w:sz w:val="24"/>
          <w:szCs w:val="24"/>
          <w:highlight w:val="none"/>
        </w:rPr>
        <w:t>12.1 投标人对采购项目有疑问的，可以按照“投标人须知前附表</w:t>
      </w:r>
      <w:r>
        <w:rPr>
          <w:spacing w:val="-71"/>
          <w:sz w:val="24"/>
          <w:szCs w:val="24"/>
          <w:highlight w:val="none"/>
        </w:rPr>
        <w:t xml:space="preserve"> </w:t>
      </w:r>
      <w:r>
        <w:rPr>
          <w:spacing w:val="1"/>
          <w:sz w:val="24"/>
          <w:szCs w:val="24"/>
          <w:highlight w:val="none"/>
        </w:rPr>
        <w:t>”中的规定提出询问。</w:t>
      </w:r>
      <w:r>
        <w:rPr>
          <w:spacing w:val="-1"/>
          <w:sz w:val="24"/>
          <w:szCs w:val="24"/>
          <w:highlight w:val="none"/>
        </w:rPr>
        <w:t>提出后，请投标人及时通过交易平台“答疑文件下载</w:t>
      </w:r>
      <w:r>
        <w:rPr>
          <w:spacing w:val="-88"/>
          <w:sz w:val="24"/>
          <w:szCs w:val="24"/>
          <w:highlight w:val="none"/>
        </w:rPr>
        <w:t xml:space="preserve"> </w:t>
      </w:r>
      <w:r>
        <w:rPr>
          <w:spacing w:val="-1"/>
          <w:sz w:val="24"/>
          <w:szCs w:val="24"/>
          <w:highlight w:val="none"/>
        </w:rPr>
        <w:t>”栏目</w:t>
      </w:r>
      <w:r>
        <w:rPr>
          <w:spacing w:val="-2"/>
          <w:sz w:val="24"/>
          <w:szCs w:val="24"/>
          <w:highlight w:val="none"/>
        </w:rPr>
        <w:t>查看答疑文件或澄清文件。必</w:t>
      </w:r>
      <w:r>
        <w:rPr>
          <w:spacing w:val="-7"/>
          <w:sz w:val="24"/>
          <w:szCs w:val="24"/>
          <w:highlight w:val="none"/>
        </w:rPr>
        <w:t>要时，采购代理机构将组织相关专家召开答疑会，如召开，答疑会安排另行通知。采购人或</w:t>
      </w:r>
      <w:r>
        <w:rPr>
          <w:spacing w:val="-1"/>
          <w:sz w:val="24"/>
          <w:szCs w:val="24"/>
          <w:highlight w:val="none"/>
        </w:rPr>
        <w:t>采购代理机构将在收到询问后依法予以答复。对招标文件询问的答复，在必要时将以澄清</w:t>
      </w:r>
      <w:r>
        <w:rPr>
          <w:spacing w:val="-3"/>
          <w:sz w:val="24"/>
          <w:szCs w:val="24"/>
          <w:highlight w:val="none"/>
        </w:rPr>
        <w:t>形式推送给每个获取招标文件的潜在投标人(答复中不包括问题的来源)。</w:t>
      </w:r>
    </w:p>
    <w:p w14:paraId="74797FD1">
      <w:pPr>
        <w:pStyle w:val="6"/>
        <w:spacing w:before="1" w:line="359" w:lineRule="auto"/>
        <w:ind w:left="49" w:right="72" w:firstLine="455"/>
        <w:jc w:val="both"/>
        <w:rPr>
          <w:sz w:val="24"/>
          <w:szCs w:val="24"/>
          <w:highlight w:val="none"/>
        </w:rPr>
      </w:pPr>
      <w:r>
        <w:rPr>
          <w:sz w:val="24"/>
          <w:szCs w:val="24"/>
          <w:highlight w:val="none"/>
        </w:rPr>
        <w:t>投标人在规定的时间内未对招标文件提出疑问或要求澄清的，采购代理机构将视其为</w:t>
      </w:r>
      <w:r>
        <w:rPr>
          <w:spacing w:val="-1"/>
          <w:sz w:val="24"/>
          <w:szCs w:val="24"/>
          <w:highlight w:val="none"/>
        </w:rPr>
        <w:t>同意，对在“投标人须知前附表”中“提出询</w:t>
      </w:r>
      <w:r>
        <w:rPr>
          <w:spacing w:val="-2"/>
          <w:sz w:val="24"/>
          <w:szCs w:val="24"/>
          <w:highlight w:val="none"/>
        </w:rPr>
        <w:t>问的时间要求</w:t>
      </w:r>
      <w:r>
        <w:rPr>
          <w:spacing w:val="-91"/>
          <w:sz w:val="24"/>
          <w:szCs w:val="24"/>
          <w:highlight w:val="none"/>
        </w:rPr>
        <w:t xml:space="preserve"> </w:t>
      </w:r>
      <w:r>
        <w:rPr>
          <w:spacing w:val="-2"/>
          <w:sz w:val="24"/>
          <w:szCs w:val="24"/>
          <w:highlight w:val="none"/>
        </w:rPr>
        <w:t>”之后就招标文件内容提出的</w:t>
      </w:r>
      <w:r>
        <w:rPr>
          <w:spacing w:val="-3"/>
          <w:sz w:val="24"/>
          <w:szCs w:val="24"/>
          <w:highlight w:val="none"/>
        </w:rPr>
        <w:t>疑问及澄清要求将不予受理。</w:t>
      </w:r>
    </w:p>
    <w:p w14:paraId="20747E38">
      <w:pPr>
        <w:pStyle w:val="6"/>
        <w:spacing w:before="1" w:line="359" w:lineRule="auto"/>
        <w:ind w:left="51" w:right="202" w:firstLine="6"/>
        <w:rPr>
          <w:sz w:val="24"/>
          <w:szCs w:val="24"/>
          <w:highlight w:val="none"/>
        </w:rPr>
      </w:pPr>
      <w:r>
        <w:rPr>
          <w:spacing w:val="-2"/>
          <w:sz w:val="24"/>
          <w:szCs w:val="24"/>
          <w:highlight w:val="none"/>
        </w:rPr>
        <w:t>12.2 采购人或者采购代理机构可以对已发出的招标文件进行必要的澄清或者修改。澄清</w:t>
      </w:r>
      <w:r>
        <w:rPr>
          <w:spacing w:val="-4"/>
          <w:sz w:val="24"/>
          <w:szCs w:val="24"/>
          <w:highlight w:val="none"/>
        </w:rPr>
        <w:t>或修改的内容为招标文件的组成部分，并对所有获取招标文件的潜在投标人具有约束力。</w:t>
      </w:r>
    </w:p>
    <w:p w14:paraId="1B854AB3">
      <w:pPr>
        <w:pStyle w:val="6"/>
        <w:spacing w:before="1" w:line="359" w:lineRule="auto"/>
        <w:ind w:left="47" w:right="182" w:firstLine="10"/>
        <w:rPr>
          <w:sz w:val="24"/>
          <w:szCs w:val="24"/>
          <w:highlight w:val="none"/>
        </w:rPr>
      </w:pPr>
      <w:r>
        <w:rPr>
          <w:spacing w:val="-2"/>
          <w:sz w:val="24"/>
          <w:szCs w:val="24"/>
          <w:highlight w:val="none"/>
        </w:rPr>
        <w:t>12.3 招标文件的澄清或者修改以当面交接、邮寄、传真或电子邮件、网站披露等其中至</w:t>
      </w:r>
      <w:r>
        <w:rPr>
          <w:spacing w:val="-3"/>
          <w:sz w:val="24"/>
          <w:szCs w:val="24"/>
          <w:highlight w:val="none"/>
        </w:rPr>
        <w:t>少一种方式，发给所有领取招标文件的潜在投标人，</w:t>
      </w:r>
      <w:r>
        <w:rPr>
          <w:spacing w:val="-4"/>
          <w:sz w:val="24"/>
          <w:szCs w:val="24"/>
          <w:highlight w:val="none"/>
        </w:rPr>
        <w:t>但不包括问题的来源。澄清或者修改</w:t>
      </w:r>
      <w:r>
        <w:rPr>
          <w:spacing w:val="-3"/>
          <w:sz w:val="24"/>
          <w:szCs w:val="24"/>
          <w:highlight w:val="none"/>
        </w:rPr>
        <w:t>的内容可能影响投标文件编制的，采购人或者采购代理机</w:t>
      </w:r>
      <w:r>
        <w:rPr>
          <w:spacing w:val="-4"/>
          <w:sz w:val="24"/>
          <w:szCs w:val="24"/>
          <w:highlight w:val="none"/>
        </w:rPr>
        <w:t>构应当在投标截止时间至少15日</w:t>
      </w:r>
      <w:r>
        <w:rPr>
          <w:spacing w:val="-3"/>
          <w:sz w:val="24"/>
          <w:szCs w:val="24"/>
          <w:highlight w:val="none"/>
        </w:rPr>
        <w:t>前，以书面形式通知所有获取招标文件的潜在投标人；不</w:t>
      </w:r>
      <w:r>
        <w:rPr>
          <w:spacing w:val="-4"/>
          <w:sz w:val="24"/>
          <w:szCs w:val="24"/>
          <w:highlight w:val="none"/>
        </w:rPr>
        <w:t>足15日的，采购人或者采购代理机构应当顺延提交投标文件的截止时间。</w:t>
      </w:r>
    </w:p>
    <w:p w14:paraId="21CC98ED">
      <w:pPr>
        <w:pStyle w:val="6"/>
        <w:spacing w:before="1" w:line="220" w:lineRule="auto"/>
        <w:ind w:left="57"/>
        <w:rPr>
          <w:sz w:val="24"/>
          <w:szCs w:val="24"/>
          <w:highlight w:val="none"/>
        </w:rPr>
      </w:pPr>
      <w:r>
        <w:rPr>
          <w:spacing w:val="-5"/>
          <w:sz w:val="24"/>
          <w:szCs w:val="24"/>
          <w:highlight w:val="none"/>
        </w:rPr>
        <w:t>12.4 “投标人须知</w:t>
      </w:r>
      <w:r>
        <w:rPr>
          <w:spacing w:val="-90"/>
          <w:sz w:val="24"/>
          <w:szCs w:val="24"/>
          <w:highlight w:val="none"/>
        </w:rPr>
        <w:t xml:space="preserve"> </w:t>
      </w:r>
      <w:r>
        <w:rPr>
          <w:spacing w:val="-5"/>
          <w:sz w:val="24"/>
          <w:szCs w:val="24"/>
          <w:highlight w:val="none"/>
        </w:rPr>
        <w:t>”所称“书面形式</w:t>
      </w:r>
      <w:r>
        <w:rPr>
          <w:spacing w:val="-90"/>
          <w:sz w:val="24"/>
          <w:szCs w:val="24"/>
          <w:highlight w:val="none"/>
        </w:rPr>
        <w:t xml:space="preserve"> </w:t>
      </w:r>
      <w:r>
        <w:rPr>
          <w:spacing w:val="-5"/>
          <w:sz w:val="24"/>
          <w:szCs w:val="24"/>
          <w:highlight w:val="none"/>
        </w:rPr>
        <w:t>”包括系统消息、政府采购云平台发布的公告。</w:t>
      </w:r>
    </w:p>
    <w:p w14:paraId="430C6997">
      <w:pPr>
        <w:pStyle w:val="6"/>
        <w:spacing w:before="181" w:line="359" w:lineRule="auto"/>
        <w:ind w:left="48" w:right="156" w:firstLine="9"/>
        <w:rPr>
          <w:sz w:val="24"/>
          <w:szCs w:val="24"/>
          <w:highlight w:val="none"/>
        </w:rPr>
      </w:pPr>
      <w:r>
        <w:rPr>
          <w:sz w:val="24"/>
          <w:szCs w:val="24"/>
          <w:highlight w:val="none"/>
        </w:rPr>
        <w:t>12.5采购代理机构一旦对招标文件作出了澄清、修改，即刻发生效</w:t>
      </w:r>
      <w:r>
        <w:rPr>
          <w:spacing w:val="-1"/>
          <w:sz w:val="24"/>
          <w:szCs w:val="24"/>
          <w:highlight w:val="none"/>
        </w:rPr>
        <w:t>力，采购代理机构有</w:t>
      </w:r>
      <w:r>
        <w:rPr>
          <w:spacing w:val="-3"/>
          <w:sz w:val="24"/>
          <w:szCs w:val="24"/>
          <w:highlight w:val="none"/>
        </w:rPr>
        <w:t>关的澄清、修改文件，将作为招标文件的组成部分</w:t>
      </w:r>
      <w:r>
        <w:rPr>
          <w:spacing w:val="-4"/>
          <w:sz w:val="24"/>
          <w:szCs w:val="24"/>
          <w:highlight w:val="none"/>
        </w:rPr>
        <w:t>，对所有现实的或潜在的投标人均具有</w:t>
      </w:r>
      <w:r>
        <w:rPr>
          <w:spacing w:val="-3"/>
          <w:sz w:val="24"/>
          <w:szCs w:val="24"/>
          <w:highlight w:val="none"/>
        </w:rPr>
        <w:t>约束力，而无论是否已经实际收到上述文件。同时，采购代理机构和投标人的权利及义务将受到新的截止期的约束。</w:t>
      </w:r>
    </w:p>
    <w:p w14:paraId="41DC72E2">
      <w:pPr>
        <w:pStyle w:val="6"/>
        <w:spacing w:before="4" w:line="358" w:lineRule="auto"/>
        <w:ind w:left="49" w:firstLine="8"/>
        <w:rPr>
          <w:sz w:val="24"/>
          <w:szCs w:val="24"/>
          <w:highlight w:val="none"/>
        </w:rPr>
      </w:pPr>
      <w:r>
        <w:rPr>
          <w:sz w:val="24"/>
          <w:szCs w:val="24"/>
          <w:highlight w:val="none"/>
        </w:rPr>
        <w:t>12.6采购代理机构对招标文件作出的澄清、修改在平台内进行披露</w:t>
      </w:r>
      <w:r>
        <w:rPr>
          <w:spacing w:val="-1"/>
          <w:sz w:val="24"/>
          <w:szCs w:val="24"/>
          <w:highlight w:val="none"/>
        </w:rPr>
        <w:t>，请投标人及时关注</w:t>
      </w:r>
      <w:r>
        <w:rPr>
          <w:sz w:val="24"/>
          <w:szCs w:val="24"/>
          <w:highlight w:val="none"/>
        </w:rPr>
        <w:t xml:space="preserve"> </w:t>
      </w:r>
      <w:r>
        <w:rPr>
          <w:spacing w:val="-5"/>
          <w:sz w:val="24"/>
          <w:szCs w:val="24"/>
          <w:highlight w:val="none"/>
        </w:rPr>
        <w:t>并获取相关资料。因登记有误、线路故障或其它任何意外情形，导致投标人未及时获取的，</w:t>
      </w:r>
      <w:r>
        <w:rPr>
          <w:spacing w:val="-3"/>
          <w:sz w:val="24"/>
          <w:szCs w:val="24"/>
          <w:highlight w:val="none"/>
        </w:rPr>
        <w:t>采购代理机构不因此承担任何责任，且有关的招</w:t>
      </w:r>
      <w:r>
        <w:rPr>
          <w:spacing w:val="-4"/>
          <w:sz w:val="24"/>
          <w:szCs w:val="24"/>
          <w:highlight w:val="none"/>
        </w:rPr>
        <w:t>标活动继续有效地进行。当招标文件的澄</w:t>
      </w:r>
      <w:r>
        <w:rPr>
          <w:spacing w:val="-3"/>
          <w:sz w:val="24"/>
          <w:szCs w:val="24"/>
          <w:highlight w:val="none"/>
        </w:rPr>
        <w:t>清、修改及进行其他答复等就同一内容的表述不一致时，以最后发布的内容为准。</w:t>
      </w:r>
    </w:p>
    <w:p w14:paraId="00C87788">
      <w:pPr>
        <w:pStyle w:val="6"/>
        <w:spacing w:line="222" w:lineRule="auto"/>
        <w:ind w:left="52"/>
        <w:outlineLvl w:val="2"/>
        <w:rPr>
          <w:sz w:val="24"/>
          <w:szCs w:val="24"/>
          <w:highlight w:val="none"/>
        </w:rPr>
      </w:pPr>
      <w:r>
        <w:rPr>
          <w:b/>
          <w:bCs/>
          <w:spacing w:val="-10"/>
          <w:sz w:val="24"/>
          <w:szCs w:val="24"/>
          <w:highlight w:val="none"/>
        </w:rPr>
        <w:t>（三）投标文件</w:t>
      </w:r>
    </w:p>
    <w:p w14:paraId="4C1C253F">
      <w:pPr>
        <w:pStyle w:val="6"/>
        <w:spacing w:before="180" w:line="222" w:lineRule="auto"/>
        <w:ind w:left="57"/>
        <w:outlineLvl w:val="2"/>
        <w:rPr>
          <w:sz w:val="24"/>
          <w:szCs w:val="24"/>
          <w:highlight w:val="none"/>
        </w:rPr>
      </w:pPr>
      <w:r>
        <w:rPr>
          <w:b/>
          <w:bCs/>
          <w:spacing w:val="-10"/>
          <w:sz w:val="24"/>
          <w:szCs w:val="24"/>
          <w:highlight w:val="none"/>
        </w:rPr>
        <w:t>13.投标文件的组成</w:t>
      </w:r>
    </w:p>
    <w:p w14:paraId="5EB2A77B">
      <w:pPr>
        <w:pStyle w:val="6"/>
        <w:spacing w:before="4" w:line="358" w:lineRule="auto"/>
        <w:ind w:left="49" w:firstLine="8"/>
        <w:rPr>
          <w:sz w:val="24"/>
          <w:szCs w:val="24"/>
          <w:highlight w:val="none"/>
        </w:rPr>
      </w:pPr>
      <w:r>
        <w:rPr>
          <w:sz w:val="24"/>
          <w:szCs w:val="24"/>
          <w:highlight w:val="none"/>
        </w:rPr>
        <w:t>13.1投标人应完整地按招标文件提供的投标文件格式及要求编写投标文件，具体内容详见“第七章 投标文件格式 ”的相关内容。</w:t>
      </w:r>
    </w:p>
    <w:p w14:paraId="024EC077">
      <w:pPr>
        <w:pStyle w:val="6"/>
        <w:spacing w:before="4" w:line="358" w:lineRule="auto"/>
        <w:ind w:left="49" w:firstLine="8"/>
        <w:rPr>
          <w:sz w:val="24"/>
          <w:szCs w:val="24"/>
          <w:highlight w:val="none"/>
        </w:rPr>
      </w:pPr>
      <w:r>
        <w:rPr>
          <w:sz w:val="24"/>
          <w:szCs w:val="24"/>
          <w:highlight w:val="none"/>
        </w:rPr>
        <w:t>13.2投标人应提交招标文件要求的证明文件，证明其投标内容符合招标文件规定，该证明文件是投标文件的一部分。证明文件形式可以是文字资料、图纸和数据等。</w:t>
      </w:r>
    </w:p>
    <w:p w14:paraId="394F1685">
      <w:pPr>
        <w:pStyle w:val="6"/>
        <w:spacing w:before="2" w:line="359" w:lineRule="auto"/>
        <w:ind w:left="48" w:right="218" w:firstLine="9"/>
        <w:rPr>
          <w:sz w:val="24"/>
          <w:szCs w:val="24"/>
          <w:highlight w:val="none"/>
        </w:rPr>
      </w:pPr>
      <w:r>
        <w:rPr>
          <w:sz w:val="24"/>
          <w:szCs w:val="24"/>
          <w:highlight w:val="none"/>
        </w:rPr>
        <w:t>13.3为保证公平公正，除非本招标文件另有规定或说明，</w:t>
      </w:r>
      <w:r>
        <w:rPr>
          <w:spacing w:val="-1"/>
          <w:sz w:val="24"/>
          <w:szCs w:val="24"/>
          <w:highlight w:val="none"/>
        </w:rPr>
        <w:t>投标人对同一项目投标时，不</w:t>
      </w:r>
      <w:r>
        <w:rPr>
          <w:spacing w:val="-5"/>
          <w:sz w:val="24"/>
          <w:szCs w:val="24"/>
          <w:highlight w:val="none"/>
        </w:rPr>
        <w:t>得同时提供备选投标方案。</w:t>
      </w:r>
    </w:p>
    <w:p w14:paraId="378C4DBF">
      <w:pPr>
        <w:pStyle w:val="6"/>
        <w:spacing w:line="222" w:lineRule="auto"/>
        <w:ind w:left="57"/>
        <w:outlineLvl w:val="3"/>
        <w:rPr>
          <w:sz w:val="24"/>
          <w:szCs w:val="24"/>
          <w:highlight w:val="none"/>
        </w:rPr>
      </w:pPr>
      <w:r>
        <w:rPr>
          <w:b/>
          <w:bCs/>
          <w:spacing w:val="-11"/>
          <w:sz w:val="24"/>
          <w:szCs w:val="24"/>
          <w:highlight w:val="none"/>
        </w:rPr>
        <w:t>14.投标报价</w:t>
      </w:r>
    </w:p>
    <w:p w14:paraId="70127C44">
      <w:pPr>
        <w:pStyle w:val="6"/>
        <w:spacing w:before="176" w:line="221" w:lineRule="auto"/>
        <w:ind w:left="57"/>
        <w:rPr>
          <w:sz w:val="24"/>
          <w:szCs w:val="24"/>
          <w:highlight w:val="none"/>
        </w:rPr>
      </w:pPr>
      <w:r>
        <w:rPr>
          <w:spacing w:val="-3"/>
          <w:sz w:val="24"/>
          <w:szCs w:val="24"/>
          <w:highlight w:val="none"/>
        </w:rPr>
        <w:t>14.1 投标人的报价均应以人民币进行</w:t>
      </w:r>
      <w:r>
        <w:rPr>
          <w:spacing w:val="-4"/>
          <w:sz w:val="24"/>
          <w:szCs w:val="24"/>
          <w:highlight w:val="none"/>
        </w:rPr>
        <w:t>报价。</w:t>
      </w:r>
    </w:p>
    <w:p w14:paraId="21C6D277">
      <w:pPr>
        <w:pStyle w:val="6"/>
        <w:spacing w:before="180" w:line="359" w:lineRule="auto"/>
        <w:ind w:left="50" w:right="91" w:firstLine="7"/>
        <w:rPr>
          <w:sz w:val="24"/>
          <w:szCs w:val="24"/>
          <w:highlight w:val="none"/>
        </w:rPr>
      </w:pPr>
      <w:r>
        <w:rPr>
          <w:spacing w:val="-2"/>
          <w:sz w:val="24"/>
          <w:szCs w:val="24"/>
          <w:highlight w:val="none"/>
        </w:rPr>
        <w:t>14.2 投标人应按照本招标文件规定的报价方式进行报价，投标报价中不得包含招标文件</w:t>
      </w:r>
      <w:r>
        <w:rPr>
          <w:spacing w:val="-3"/>
          <w:sz w:val="24"/>
          <w:szCs w:val="24"/>
          <w:highlight w:val="none"/>
        </w:rPr>
        <w:t>要求以外的内容，否则，在评标时不予核减。投标报价中也不得缺漏招标文件所要求</w:t>
      </w:r>
      <w:r>
        <w:rPr>
          <w:spacing w:val="-4"/>
          <w:sz w:val="24"/>
          <w:szCs w:val="24"/>
          <w:highlight w:val="none"/>
        </w:rPr>
        <w:t>的内容，否则，其</w:t>
      </w:r>
      <w:r>
        <w:rPr>
          <w:b/>
          <w:bCs/>
          <w:spacing w:val="-4"/>
          <w:sz w:val="24"/>
          <w:szCs w:val="24"/>
          <w:highlight w:val="none"/>
        </w:rPr>
        <w:t>投标无效</w:t>
      </w:r>
      <w:r>
        <w:rPr>
          <w:spacing w:val="-4"/>
          <w:sz w:val="24"/>
          <w:szCs w:val="24"/>
          <w:highlight w:val="none"/>
        </w:rPr>
        <w:t>。</w:t>
      </w:r>
    </w:p>
    <w:p w14:paraId="02E691DD">
      <w:pPr>
        <w:pStyle w:val="6"/>
        <w:spacing w:before="3" w:line="359" w:lineRule="auto"/>
        <w:ind w:left="46"/>
        <w:rPr>
          <w:sz w:val="24"/>
          <w:szCs w:val="24"/>
          <w:highlight w:val="none"/>
        </w:rPr>
      </w:pPr>
      <w:r>
        <w:rPr>
          <w:spacing w:val="-1"/>
          <w:sz w:val="24"/>
          <w:szCs w:val="24"/>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w:t>
      </w:r>
      <w:r>
        <w:rPr>
          <w:spacing w:val="-4"/>
          <w:sz w:val="24"/>
          <w:szCs w:val="24"/>
          <w:highlight w:val="none"/>
        </w:rPr>
        <w:t>自行承担。</w:t>
      </w:r>
    </w:p>
    <w:p w14:paraId="7CE29D3E">
      <w:pPr>
        <w:pStyle w:val="6"/>
        <w:spacing w:before="1" w:line="221" w:lineRule="auto"/>
        <w:ind w:left="46"/>
        <w:rPr>
          <w:sz w:val="24"/>
          <w:szCs w:val="24"/>
          <w:highlight w:val="none"/>
        </w:rPr>
      </w:pPr>
      <w:r>
        <w:rPr>
          <w:spacing w:val="-2"/>
          <w:sz w:val="24"/>
          <w:szCs w:val="24"/>
          <w:highlight w:val="none"/>
        </w:rPr>
        <w:t>投标人的报价应包括但不限于下列内容：</w:t>
      </w:r>
    </w:p>
    <w:p w14:paraId="61ACDE9D">
      <w:pPr>
        <w:pStyle w:val="6"/>
        <w:spacing w:before="177" w:line="359" w:lineRule="auto"/>
        <w:ind w:left="57" w:right="108"/>
        <w:rPr>
          <w:sz w:val="24"/>
          <w:szCs w:val="24"/>
          <w:highlight w:val="none"/>
        </w:rPr>
      </w:pPr>
      <w:r>
        <w:rPr>
          <w:spacing w:val="-2"/>
          <w:sz w:val="24"/>
          <w:szCs w:val="24"/>
          <w:highlight w:val="none"/>
        </w:rPr>
        <w:t>14.2.1 投标货物及标准附件、备品备件、专用工具等的出厂价（包括已在中国国内的进</w:t>
      </w:r>
      <w:r>
        <w:rPr>
          <w:spacing w:val="-4"/>
          <w:sz w:val="24"/>
          <w:szCs w:val="24"/>
          <w:highlight w:val="none"/>
        </w:rPr>
        <w:t>口货物完税后的仓库交货价、展室交货价或货架交货价）和运至最终目的地的运输费和保险费，安装调试、检验、技术服务、培训、质量保证、售后服务、税费等；</w:t>
      </w:r>
    </w:p>
    <w:p w14:paraId="2A2CC0B4">
      <w:pPr>
        <w:pStyle w:val="6"/>
        <w:spacing w:before="1" w:line="222" w:lineRule="auto"/>
        <w:ind w:left="57"/>
        <w:rPr>
          <w:sz w:val="24"/>
          <w:szCs w:val="24"/>
          <w:highlight w:val="none"/>
        </w:rPr>
      </w:pPr>
      <w:r>
        <w:rPr>
          <w:spacing w:val="-2"/>
          <w:sz w:val="24"/>
          <w:szCs w:val="24"/>
          <w:highlight w:val="none"/>
        </w:rPr>
        <w:t>14.2.2 按照招标文件要求完成本项目的全部相关费用。</w:t>
      </w:r>
    </w:p>
    <w:p w14:paraId="58C097C7">
      <w:pPr>
        <w:pStyle w:val="6"/>
        <w:spacing w:before="177" w:line="359" w:lineRule="auto"/>
        <w:ind w:left="46" w:right="72" w:firstLine="11"/>
        <w:rPr>
          <w:sz w:val="24"/>
          <w:szCs w:val="24"/>
          <w:highlight w:val="none"/>
        </w:rPr>
      </w:pPr>
      <w:r>
        <w:rPr>
          <w:spacing w:val="-3"/>
          <w:sz w:val="24"/>
          <w:szCs w:val="24"/>
          <w:highlight w:val="none"/>
        </w:rPr>
        <w:t>14.3 投标人须严格按照分项报价表规定的内容填写货物单价以及其他事项。投标人应根据本招标文件的规定和要求、市场价格水平及其走势、</w:t>
      </w:r>
      <w:r>
        <w:rPr>
          <w:spacing w:val="-4"/>
          <w:sz w:val="24"/>
          <w:szCs w:val="24"/>
          <w:highlight w:val="none"/>
        </w:rPr>
        <w:t>投标人的管理水平、投标人的方案</w:t>
      </w:r>
      <w:r>
        <w:rPr>
          <w:spacing w:val="-2"/>
          <w:sz w:val="24"/>
          <w:szCs w:val="24"/>
          <w:highlight w:val="none"/>
        </w:rPr>
        <w:t>和由这些因素决定的投标人之于本项目的成本水</w:t>
      </w:r>
      <w:r>
        <w:rPr>
          <w:spacing w:val="-3"/>
          <w:sz w:val="24"/>
          <w:szCs w:val="24"/>
          <w:highlight w:val="none"/>
        </w:rPr>
        <w:t>平等提出自己的报价。报价应合理，并包</w:t>
      </w:r>
      <w:r>
        <w:rPr>
          <w:sz w:val="24"/>
          <w:szCs w:val="24"/>
          <w:highlight w:val="none"/>
        </w:rPr>
        <w:t>含完成本招标文件采购需求全部内容的所有费用</w:t>
      </w:r>
      <w:r>
        <w:rPr>
          <w:spacing w:val="-1"/>
          <w:sz w:val="24"/>
          <w:szCs w:val="24"/>
          <w:highlight w:val="none"/>
        </w:rPr>
        <w:t>，所有根据本招标文件或其它原因应由投标人支付的税款和其他应缴纳的费用都应包括在投标人提交</w:t>
      </w:r>
      <w:r>
        <w:rPr>
          <w:spacing w:val="-2"/>
          <w:sz w:val="24"/>
          <w:szCs w:val="24"/>
          <w:highlight w:val="none"/>
        </w:rPr>
        <w:t>的投标报价中。</w:t>
      </w:r>
    </w:p>
    <w:p w14:paraId="7B132755">
      <w:pPr>
        <w:pStyle w:val="6"/>
        <w:spacing w:before="3" w:line="219" w:lineRule="auto"/>
        <w:ind w:left="57"/>
        <w:rPr>
          <w:sz w:val="24"/>
          <w:szCs w:val="24"/>
          <w:highlight w:val="none"/>
        </w:rPr>
      </w:pPr>
      <w:r>
        <w:rPr>
          <w:spacing w:val="-3"/>
          <w:sz w:val="24"/>
          <w:szCs w:val="24"/>
          <w:highlight w:val="none"/>
        </w:rPr>
        <w:t>14.4 投标人在投标文件中注明免费的项目将视为包含在投标报价中。</w:t>
      </w:r>
    </w:p>
    <w:p w14:paraId="771080E7">
      <w:pPr>
        <w:pStyle w:val="6"/>
        <w:spacing w:before="45" w:line="359" w:lineRule="auto"/>
        <w:ind w:left="48" w:right="222" w:firstLine="9"/>
        <w:rPr>
          <w:spacing w:val="-3"/>
          <w:sz w:val="24"/>
          <w:szCs w:val="24"/>
          <w:highlight w:val="none"/>
        </w:rPr>
      </w:pPr>
      <w:r>
        <w:rPr>
          <w:spacing w:val="-2"/>
          <w:sz w:val="24"/>
          <w:szCs w:val="24"/>
          <w:highlight w:val="none"/>
        </w:rPr>
        <w:t>14.5 每一种采购内容只允许有一个报价，否则其</w:t>
      </w:r>
      <w:r>
        <w:rPr>
          <w:b/>
          <w:bCs/>
          <w:spacing w:val="-2"/>
          <w:sz w:val="24"/>
          <w:szCs w:val="24"/>
          <w:highlight w:val="none"/>
        </w:rPr>
        <w:t>投标无效</w:t>
      </w:r>
      <w:r>
        <w:rPr>
          <w:spacing w:val="-2"/>
          <w:sz w:val="24"/>
          <w:szCs w:val="24"/>
          <w:highlight w:val="none"/>
        </w:rPr>
        <w:t>。除非招标文件另有</w:t>
      </w:r>
      <w:r>
        <w:rPr>
          <w:spacing w:val="-3"/>
          <w:sz w:val="24"/>
          <w:szCs w:val="24"/>
          <w:highlight w:val="none"/>
        </w:rPr>
        <w:t>规定，不接受可选择或可调整的投标方案和报价，任何有选择的或可调整的投标方案和报价将被视为非实质性响应招标文件,其</w:t>
      </w:r>
      <w:r>
        <w:rPr>
          <w:b/>
          <w:bCs/>
          <w:spacing w:val="-3"/>
          <w:sz w:val="24"/>
          <w:szCs w:val="24"/>
          <w:highlight w:val="none"/>
        </w:rPr>
        <w:t>投标无效</w:t>
      </w:r>
      <w:r>
        <w:rPr>
          <w:spacing w:val="-3"/>
          <w:sz w:val="24"/>
          <w:szCs w:val="24"/>
          <w:highlight w:val="none"/>
        </w:rPr>
        <w:t>。</w:t>
      </w:r>
    </w:p>
    <w:p w14:paraId="2AF6E722">
      <w:pPr>
        <w:pStyle w:val="6"/>
        <w:spacing w:before="45" w:line="359" w:lineRule="auto"/>
        <w:ind w:left="48" w:right="222" w:firstLine="9"/>
        <w:rPr>
          <w:sz w:val="24"/>
          <w:szCs w:val="24"/>
          <w:highlight w:val="none"/>
        </w:rPr>
      </w:pPr>
      <w:r>
        <w:rPr>
          <w:spacing w:val="-4"/>
          <w:sz w:val="24"/>
          <w:szCs w:val="24"/>
          <w:highlight w:val="none"/>
        </w:rPr>
        <w:t>14.6 投标报价不得超过“第一章 招标公告”中</w:t>
      </w:r>
      <w:r>
        <w:rPr>
          <w:spacing w:val="-5"/>
          <w:sz w:val="24"/>
          <w:szCs w:val="24"/>
          <w:highlight w:val="none"/>
        </w:rPr>
        <w:t>规定的最高投标限价或者预算金额，否则</w:t>
      </w:r>
      <w:r>
        <w:rPr>
          <w:spacing w:val="-3"/>
          <w:sz w:val="24"/>
          <w:szCs w:val="24"/>
          <w:highlight w:val="none"/>
        </w:rPr>
        <w:t>评标委员会将对其作</w:t>
      </w:r>
      <w:r>
        <w:rPr>
          <w:b/>
          <w:bCs/>
          <w:spacing w:val="-3"/>
          <w:sz w:val="24"/>
          <w:szCs w:val="24"/>
          <w:highlight w:val="none"/>
        </w:rPr>
        <w:t>无效投标处理</w:t>
      </w:r>
      <w:r>
        <w:rPr>
          <w:spacing w:val="-3"/>
          <w:sz w:val="24"/>
          <w:szCs w:val="24"/>
          <w:highlight w:val="none"/>
        </w:rPr>
        <w:t>。</w:t>
      </w:r>
    </w:p>
    <w:p w14:paraId="41AFF24F">
      <w:pPr>
        <w:pStyle w:val="6"/>
        <w:spacing w:line="219" w:lineRule="auto"/>
        <w:ind w:left="57"/>
        <w:rPr>
          <w:sz w:val="24"/>
          <w:szCs w:val="24"/>
          <w:highlight w:val="none"/>
        </w:rPr>
      </w:pPr>
      <w:r>
        <w:rPr>
          <w:spacing w:val="-2"/>
          <w:sz w:val="24"/>
          <w:szCs w:val="24"/>
          <w:highlight w:val="none"/>
        </w:rPr>
        <w:t>14.7 投标人对投标报价若有说明应在投标文件中显著处注明。</w:t>
      </w:r>
    </w:p>
    <w:p w14:paraId="05D51EF3">
      <w:pPr>
        <w:pStyle w:val="6"/>
        <w:spacing w:before="183" w:line="219" w:lineRule="auto"/>
        <w:ind w:left="58"/>
        <w:rPr>
          <w:sz w:val="24"/>
          <w:szCs w:val="24"/>
          <w:highlight w:val="none"/>
        </w:rPr>
      </w:pPr>
      <w:r>
        <w:rPr>
          <w:spacing w:val="-5"/>
          <w:sz w:val="24"/>
          <w:szCs w:val="24"/>
          <w:highlight w:val="none"/>
        </w:rPr>
        <w:t>除政策性文件规定以外，投标人所报价格在合同实施期间不因市场变化因素而变动。</w:t>
      </w:r>
    </w:p>
    <w:p w14:paraId="5BFA06DF">
      <w:pPr>
        <w:pStyle w:val="6"/>
        <w:spacing w:before="182" w:line="359" w:lineRule="auto"/>
        <w:ind w:left="47" w:firstLine="10"/>
        <w:rPr>
          <w:sz w:val="24"/>
          <w:szCs w:val="24"/>
          <w:highlight w:val="none"/>
        </w:rPr>
      </w:pPr>
      <w:r>
        <w:rPr>
          <w:spacing w:val="-2"/>
          <w:sz w:val="24"/>
          <w:szCs w:val="24"/>
          <w:highlight w:val="none"/>
        </w:rPr>
        <w:t>14.8 对于有配件、耗材、选件、备件和特殊工具的货物，还应填报投标货物配件、耗材、选件表和备件及特殊工具清单，注明品牌、型号、产地、功能、单价、批量折扣等内容，</w:t>
      </w:r>
      <w:r>
        <w:rPr>
          <w:spacing w:val="-3"/>
          <w:sz w:val="24"/>
          <w:szCs w:val="24"/>
          <w:highlight w:val="none"/>
        </w:rPr>
        <w:t>该表格格式由投标人自行设计。投标人按照上述要求</w:t>
      </w:r>
      <w:r>
        <w:rPr>
          <w:spacing w:val="-4"/>
          <w:sz w:val="24"/>
          <w:szCs w:val="24"/>
          <w:highlight w:val="none"/>
        </w:rPr>
        <w:t>分类报价，其目的是便于评标，但在任何情况下并不限制采购人以其他条款签订合同的权利。</w:t>
      </w:r>
    </w:p>
    <w:p w14:paraId="0F3CDE8A">
      <w:pPr>
        <w:pStyle w:val="6"/>
        <w:spacing w:before="1" w:line="220" w:lineRule="auto"/>
        <w:ind w:left="57"/>
        <w:rPr>
          <w:sz w:val="24"/>
          <w:szCs w:val="24"/>
          <w:highlight w:val="none"/>
        </w:rPr>
      </w:pPr>
      <w:r>
        <w:rPr>
          <w:spacing w:val="-4"/>
          <w:sz w:val="24"/>
          <w:szCs w:val="24"/>
          <w:highlight w:val="none"/>
        </w:rPr>
        <w:t>14.9 最低报价不能作为中标的保证。</w:t>
      </w:r>
    </w:p>
    <w:p w14:paraId="24426B5A">
      <w:pPr>
        <w:pStyle w:val="6"/>
        <w:spacing w:before="179" w:line="359" w:lineRule="auto"/>
        <w:ind w:left="46" w:right="69" w:firstLine="11"/>
        <w:rPr>
          <w:sz w:val="24"/>
          <w:szCs w:val="24"/>
          <w:highlight w:val="none"/>
        </w:rPr>
      </w:pPr>
      <w:r>
        <w:rPr>
          <w:spacing w:val="-4"/>
          <w:sz w:val="24"/>
          <w:szCs w:val="24"/>
          <w:highlight w:val="none"/>
        </w:rPr>
        <w:t>14.10采购人不得向投标人索要或者接受其给予的赠品、回扣或者与采购无关的其他商品、</w:t>
      </w:r>
      <w:r>
        <w:rPr>
          <w:spacing w:val="-6"/>
          <w:sz w:val="24"/>
          <w:szCs w:val="24"/>
          <w:highlight w:val="none"/>
        </w:rPr>
        <w:t>服务。</w:t>
      </w:r>
    </w:p>
    <w:p w14:paraId="674EB34F">
      <w:pPr>
        <w:pStyle w:val="6"/>
        <w:spacing w:line="222" w:lineRule="auto"/>
        <w:ind w:left="57"/>
        <w:outlineLvl w:val="2"/>
        <w:rPr>
          <w:sz w:val="24"/>
          <w:szCs w:val="24"/>
          <w:highlight w:val="none"/>
        </w:rPr>
      </w:pPr>
      <w:r>
        <w:rPr>
          <w:b/>
          <w:bCs/>
          <w:spacing w:val="-11"/>
          <w:sz w:val="24"/>
          <w:szCs w:val="24"/>
          <w:highlight w:val="none"/>
        </w:rPr>
        <w:t>15.投标有效期</w:t>
      </w:r>
    </w:p>
    <w:p w14:paraId="58EF92AB">
      <w:pPr>
        <w:pStyle w:val="6"/>
        <w:spacing w:before="180" w:line="359" w:lineRule="auto"/>
        <w:ind w:left="47" w:right="232" w:firstLine="10"/>
        <w:rPr>
          <w:sz w:val="24"/>
          <w:szCs w:val="24"/>
          <w:highlight w:val="none"/>
        </w:rPr>
      </w:pPr>
      <w:r>
        <w:rPr>
          <w:spacing w:val="-5"/>
          <w:sz w:val="24"/>
          <w:szCs w:val="24"/>
          <w:highlight w:val="none"/>
        </w:rPr>
        <w:t>15.1 投标有效期见“第二章 投标人须知前附表”，投标人承诺的投标有效期少于招标文</w:t>
      </w:r>
      <w:r>
        <w:rPr>
          <w:spacing w:val="-4"/>
          <w:sz w:val="24"/>
          <w:szCs w:val="24"/>
          <w:highlight w:val="none"/>
        </w:rPr>
        <w:t>件规定期限的，其</w:t>
      </w:r>
      <w:r>
        <w:rPr>
          <w:b/>
          <w:bCs/>
          <w:spacing w:val="-4"/>
          <w:sz w:val="24"/>
          <w:szCs w:val="24"/>
          <w:highlight w:val="none"/>
        </w:rPr>
        <w:t>投标无效</w:t>
      </w:r>
      <w:r>
        <w:rPr>
          <w:spacing w:val="-4"/>
          <w:sz w:val="24"/>
          <w:szCs w:val="24"/>
          <w:highlight w:val="none"/>
        </w:rPr>
        <w:t>。</w:t>
      </w:r>
    </w:p>
    <w:p w14:paraId="47D2C615">
      <w:pPr>
        <w:pStyle w:val="6"/>
        <w:spacing w:before="3" w:line="358" w:lineRule="auto"/>
        <w:ind w:left="47" w:right="162" w:firstLine="10"/>
        <w:rPr>
          <w:sz w:val="24"/>
          <w:szCs w:val="24"/>
          <w:highlight w:val="none"/>
        </w:rPr>
      </w:pPr>
      <w:r>
        <w:rPr>
          <w:spacing w:val="-2"/>
          <w:sz w:val="24"/>
          <w:szCs w:val="24"/>
          <w:highlight w:val="none"/>
        </w:rPr>
        <w:t>15.2 投标有效期从提交投标文件的截止之日起算。投标文件中承诺的投标有效期应当不</w:t>
      </w:r>
      <w:r>
        <w:rPr>
          <w:spacing w:val="-3"/>
          <w:sz w:val="24"/>
          <w:szCs w:val="24"/>
          <w:highlight w:val="none"/>
        </w:rPr>
        <w:t>少于招标文件中载明的投标有效期。投标有效期内投标人撤销投标文件的，采购人或者采</w:t>
      </w:r>
      <w:r>
        <w:rPr>
          <w:spacing w:val="-2"/>
          <w:sz w:val="24"/>
          <w:szCs w:val="24"/>
          <w:highlight w:val="none"/>
        </w:rPr>
        <w:t>购代理机构可以不退还投标保证金。</w:t>
      </w:r>
    </w:p>
    <w:p w14:paraId="26310F58">
      <w:pPr>
        <w:pStyle w:val="6"/>
        <w:spacing w:before="1" w:line="359" w:lineRule="auto"/>
        <w:ind w:left="46" w:right="122" w:firstLine="11"/>
        <w:rPr>
          <w:sz w:val="24"/>
          <w:szCs w:val="24"/>
          <w:highlight w:val="none"/>
        </w:rPr>
      </w:pPr>
      <w:r>
        <w:rPr>
          <w:spacing w:val="-2"/>
          <w:sz w:val="24"/>
          <w:szCs w:val="24"/>
          <w:highlight w:val="none"/>
        </w:rPr>
        <w:t>15.3特殊情况下，在原投标文件有效期截止之前，采购代理机构或采购人可要求投</w:t>
      </w:r>
      <w:r>
        <w:rPr>
          <w:spacing w:val="-3"/>
          <w:sz w:val="24"/>
          <w:szCs w:val="24"/>
          <w:highlight w:val="none"/>
        </w:rPr>
        <w:t>标人延长投标有效期。需要延长投标有效期时，采购代理机构</w:t>
      </w:r>
      <w:r>
        <w:rPr>
          <w:spacing w:val="-4"/>
          <w:sz w:val="24"/>
          <w:szCs w:val="24"/>
          <w:highlight w:val="none"/>
        </w:rPr>
        <w:t>或采购人将以书面形式通知所有投标人，投标人应以书面形式答复是否同意延长投标有效期。</w:t>
      </w:r>
    </w:p>
    <w:p w14:paraId="2CC6BDEB">
      <w:pPr>
        <w:pStyle w:val="6"/>
        <w:spacing w:before="1" w:line="359" w:lineRule="auto"/>
        <w:ind w:left="46" w:right="124" w:firstLine="11"/>
        <w:rPr>
          <w:sz w:val="24"/>
          <w:szCs w:val="24"/>
          <w:highlight w:val="none"/>
        </w:rPr>
      </w:pPr>
      <w:r>
        <w:rPr>
          <w:spacing w:val="-2"/>
          <w:sz w:val="24"/>
          <w:szCs w:val="24"/>
          <w:highlight w:val="none"/>
        </w:rPr>
        <w:t>15.4投标人同意延长的，其投标保证金的有效期也相应延长，但不得要求或</w:t>
      </w:r>
      <w:r>
        <w:rPr>
          <w:spacing w:val="-3"/>
          <w:sz w:val="24"/>
          <w:szCs w:val="24"/>
          <w:highlight w:val="none"/>
        </w:rPr>
        <w:t>被允许修改或撤销其投标文件；投标人拒绝延长的，其投标文件在原投标有效期满后将不再有效，但其</w:t>
      </w:r>
      <w:r>
        <w:rPr>
          <w:spacing w:val="-2"/>
          <w:sz w:val="24"/>
          <w:szCs w:val="24"/>
          <w:highlight w:val="none"/>
        </w:rPr>
        <w:t>提交的投标保证金可予以退还。</w:t>
      </w:r>
    </w:p>
    <w:p w14:paraId="29D123FC">
      <w:pPr>
        <w:pStyle w:val="6"/>
        <w:spacing w:before="1" w:line="221" w:lineRule="auto"/>
        <w:ind w:left="57"/>
        <w:outlineLvl w:val="2"/>
        <w:rPr>
          <w:sz w:val="24"/>
          <w:szCs w:val="24"/>
          <w:highlight w:val="none"/>
        </w:rPr>
      </w:pPr>
      <w:r>
        <w:rPr>
          <w:b/>
          <w:bCs/>
          <w:spacing w:val="-10"/>
          <w:sz w:val="24"/>
          <w:szCs w:val="24"/>
          <w:highlight w:val="none"/>
        </w:rPr>
        <w:t>16.投标文件的编制</w:t>
      </w:r>
    </w:p>
    <w:p w14:paraId="5DAA52BE">
      <w:pPr>
        <w:pStyle w:val="6"/>
        <w:spacing w:before="1" w:line="359" w:lineRule="auto"/>
        <w:ind w:left="46" w:right="122" w:firstLine="11"/>
        <w:rPr>
          <w:spacing w:val="-3"/>
          <w:sz w:val="24"/>
          <w:szCs w:val="24"/>
          <w:highlight w:val="none"/>
        </w:rPr>
      </w:pPr>
      <w:r>
        <w:rPr>
          <w:spacing w:val="-3"/>
          <w:sz w:val="24"/>
          <w:szCs w:val="24"/>
          <w:highlight w:val="none"/>
        </w:rPr>
        <w:t>16.1投标文件应在供应商客户端中进行编制，在投标文件中要求加盖印章的，除有特殊说明之外，可使用电子签章签署。</w:t>
      </w:r>
    </w:p>
    <w:p w14:paraId="0DF236D9">
      <w:pPr>
        <w:pStyle w:val="6"/>
        <w:spacing w:before="1" w:line="359" w:lineRule="auto"/>
        <w:ind w:left="46" w:right="122" w:firstLine="11"/>
        <w:rPr>
          <w:spacing w:val="-3"/>
          <w:sz w:val="24"/>
          <w:szCs w:val="24"/>
          <w:highlight w:val="none"/>
        </w:rPr>
      </w:pPr>
      <w:r>
        <w:rPr>
          <w:spacing w:val="-3"/>
          <w:sz w:val="24"/>
          <w:szCs w:val="24"/>
          <w:highlight w:val="none"/>
        </w:rPr>
        <w:t>16.2投标人在供应商客户端中按照供应商客户端中的格式要求填写响应内容后，生成投标文件。投标人须按照招标文件的要求使用电子签章对要求加盖印章的部分逐一进行签章。</w:t>
      </w:r>
    </w:p>
    <w:p w14:paraId="2ADEB082">
      <w:pPr>
        <w:pStyle w:val="6"/>
        <w:spacing w:before="1" w:line="359" w:lineRule="auto"/>
        <w:ind w:left="46" w:right="122" w:firstLine="11"/>
        <w:rPr>
          <w:spacing w:val="-3"/>
          <w:sz w:val="24"/>
          <w:szCs w:val="24"/>
          <w:highlight w:val="none"/>
        </w:rPr>
      </w:pPr>
      <w:r>
        <w:rPr>
          <w:spacing w:val="-3"/>
          <w:sz w:val="24"/>
          <w:szCs w:val="24"/>
          <w:highlight w:val="none"/>
        </w:rPr>
        <w:t>16.3投标人应详细阅读招标文件的全部内容。投标文件须对招标文件中的内容作出实质性和完整的响应，如果投标文件填报的内容不详，或没有提供招标文件中所要求的全部资料及数据，将可能导致其投标无效。</w:t>
      </w:r>
    </w:p>
    <w:p w14:paraId="59655194">
      <w:pPr>
        <w:pStyle w:val="6"/>
        <w:spacing w:before="1" w:line="359" w:lineRule="auto"/>
        <w:ind w:left="46" w:right="122" w:firstLine="11"/>
        <w:rPr>
          <w:spacing w:val="-3"/>
          <w:sz w:val="24"/>
          <w:szCs w:val="24"/>
          <w:highlight w:val="none"/>
        </w:rPr>
      </w:pPr>
      <w:r>
        <w:rPr>
          <w:spacing w:val="-3"/>
          <w:sz w:val="24"/>
          <w:szCs w:val="24"/>
          <w:highlight w:val="none"/>
        </w:rPr>
        <w:t>16.4投标文件须严格按照本招标文件第七章规定的格式提交，并按规定的统一格式逐项填写，不准有空项；无相应内容可填的项，应填写“无”、“未测试”、“没有相应指标”等明确的回答文字。由于编排混乱导致投标文件被误读或查找不到，其责任由投标人承担。</w:t>
      </w:r>
    </w:p>
    <w:p w14:paraId="16C5A320">
      <w:pPr>
        <w:pStyle w:val="6"/>
        <w:spacing w:before="1" w:line="359" w:lineRule="auto"/>
        <w:ind w:left="46" w:right="122" w:firstLine="11"/>
        <w:rPr>
          <w:sz w:val="24"/>
          <w:szCs w:val="24"/>
          <w:highlight w:val="none"/>
        </w:rPr>
      </w:pPr>
      <w:r>
        <w:rPr>
          <w:spacing w:val="-3"/>
          <w:sz w:val="24"/>
          <w:szCs w:val="24"/>
          <w:highlight w:val="none"/>
        </w:rPr>
        <w:t>16.5货物的技术参数有具体数值要求的，且招标文件要求投标人提供响应产品彩页、检验检测报告、厂家使用说明书等证明材料（具体要求以评标方法及标准的内容为准），则投标人在技术参数响应表中须标注产品实际参数数值，照搬照抄招标文件参数、不注明实际数值者视为未响应。</w:t>
      </w:r>
    </w:p>
    <w:p w14:paraId="61DFF551">
      <w:pPr>
        <w:pStyle w:val="6"/>
        <w:spacing w:before="1" w:line="219" w:lineRule="auto"/>
        <w:ind w:left="57"/>
        <w:rPr>
          <w:sz w:val="24"/>
          <w:szCs w:val="24"/>
          <w:highlight w:val="none"/>
        </w:rPr>
      </w:pPr>
      <w:r>
        <w:rPr>
          <w:spacing w:val="-2"/>
          <w:sz w:val="24"/>
          <w:szCs w:val="24"/>
          <w:highlight w:val="none"/>
        </w:rPr>
        <w:t>16.6开标一览表为在开标时唱标的内容，要求按格式统一填写，不得自行增减内容。</w:t>
      </w:r>
    </w:p>
    <w:p w14:paraId="6EB0453A">
      <w:pPr>
        <w:pStyle w:val="6"/>
        <w:spacing w:before="182" w:line="359" w:lineRule="auto"/>
        <w:ind w:left="46" w:right="194" w:firstLine="11"/>
        <w:rPr>
          <w:sz w:val="24"/>
          <w:szCs w:val="24"/>
          <w:highlight w:val="none"/>
        </w:rPr>
      </w:pPr>
      <w:r>
        <w:rPr>
          <w:spacing w:val="-2"/>
          <w:sz w:val="24"/>
          <w:szCs w:val="24"/>
          <w:highlight w:val="none"/>
        </w:rPr>
        <w:t>16.7投标人须注意：为合理节约政府采购评审成本，提倡诚实信用的投标行</w:t>
      </w:r>
      <w:r>
        <w:rPr>
          <w:spacing w:val="-3"/>
          <w:sz w:val="24"/>
          <w:szCs w:val="24"/>
          <w:highlight w:val="none"/>
        </w:rPr>
        <w:t>为，特别要求投标人应本着诚信精神，在本次投标文件的偏离表中，</w:t>
      </w:r>
      <w:r>
        <w:rPr>
          <w:spacing w:val="-4"/>
          <w:sz w:val="24"/>
          <w:szCs w:val="24"/>
          <w:highlight w:val="none"/>
        </w:rPr>
        <w:t>均以审慎的态度明确、清楚地披露</w:t>
      </w:r>
      <w:r>
        <w:rPr>
          <w:spacing w:val="-3"/>
          <w:sz w:val="24"/>
          <w:szCs w:val="24"/>
          <w:highlight w:val="none"/>
        </w:rPr>
        <w:t>各项偏离。若投标人对某一事项是否存在或是否属于偏</w:t>
      </w:r>
      <w:r>
        <w:rPr>
          <w:spacing w:val="-4"/>
          <w:sz w:val="24"/>
          <w:szCs w:val="24"/>
          <w:highlight w:val="none"/>
        </w:rPr>
        <w:t>离不能确定，亦必须在偏离表中清</w:t>
      </w:r>
      <w:r>
        <w:rPr>
          <w:spacing w:val="-3"/>
          <w:sz w:val="24"/>
          <w:szCs w:val="24"/>
          <w:highlight w:val="none"/>
        </w:rPr>
        <w:t>楚地表明该偏离事项，并可以注明不能确定的字样。任</w:t>
      </w:r>
      <w:r>
        <w:rPr>
          <w:spacing w:val="-4"/>
          <w:sz w:val="24"/>
          <w:szCs w:val="24"/>
          <w:highlight w:val="none"/>
        </w:rPr>
        <w:t>何情况下，对于投标人没有在偏离</w:t>
      </w:r>
      <w:r>
        <w:rPr>
          <w:spacing w:val="-3"/>
          <w:sz w:val="24"/>
          <w:szCs w:val="24"/>
          <w:highlight w:val="none"/>
        </w:rPr>
        <w:t>表中明确、清楚地披露的事项，包括可能属于被投标人</w:t>
      </w:r>
      <w:r>
        <w:rPr>
          <w:spacing w:val="-4"/>
          <w:sz w:val="24"/>
          <w:szCs w:val="24"/>
          <w:highlight w:val="none"/>
        </w:rPr>
        <w:t>在偏离表中遗漏披露的事项，一旦</w:t>
      </w:r>
      <w:r>
        <w:rPr>
          <w:spacing w:val="-2"/>
          <w:sz w:val="24"/>
          <w:szCs w:val="24"/>
          <w:highlight w:val="none"/>
        </w:rPr>
        <w:t>在评审中被发现存在偏离或被认定为属于偏离，则评标委员会有权视具体情形评</w:t>
      </w:r>
      <w:r>
        <w:rPr>
          <w:spacing w:val="-3"/>
          <w:sz w:val="24"/>
          <w:szCs w:val="24"/>
          <w:highlight w:val="none"/>
        </w:rPr>
        <w:t>审时按</w:t>
      </w:r>
      <w:r>
        <w:rPr>
          <w:b/>
          <w:bCs/>
          <w:spacing w:val="-3"/>
          <w:sz w:val="24"/>
          <w:szCs w:val="24"/>
          <w:highlight w:val="none"/>
        </w:rPr>
        <w:t>无</w:t>
      </w:r>
      <w:r>
        <w:rPr>
          <w:b/>
          <w:bCs/>
          <w:spacing w:val="-5"/>
          <w:sz w:val="24"/>
          <w:szCs w:val="24"/>
          <w:highlight w:val="none"/>
        </w:rPr>
        <w:t>效投标</w:t>
      </w:r>
      <w:r>
        <w:rPr>
          <w:spacing w:val="-5"/>
          <w:sz w:val="24"/>
          <w:szCs w:val="24"/>
          <w:highlight w:val="none"/>
        </w:rPr>
        <w:t>处理。</w:t>
      </w:r>
    </w:p>
    <w:p w14:paraId="6F14A04A">
      <w:pPr>
        <w:pStyle w:val="6"/>
        <w:spacing w:line="358" w:lineRule="auto"/>
        <w:ind w:left="51" w:right="254" w:firstLine="6"/>
        <w:rPr>
          <w:sz w:val="24"/>
          <w:szCs w:val="24"/>
          <w:highlight w:val="none"/>
        </w:rPr>
      </w:pPr>
      <w:r>
        <w:rPr>
          <w:spacing w:val="-4"/>
          <w:sz w:val="24"/>
          <w:szCs w:val="24"/>
          <w:highlight w:val="none"/>
        </w:rPr>
        <w:t>16.8投标人必须保证投标文件所提供的全部资料真实可靠，并接受采购人、采购代理机构</w:t>
      </w:r>
      <w:r>
        <w:rPr>
          <w:spacing w:val="-2"/>
          <w:sz w:val="24"/>
          <w:szCs w:val="24"/>
          <w:highlight w:val="none"/>
        </w:rPr>
        <w:t>或评标委员会对其中任何资料进一步审查的要求。</w:t>
      </w:r>
    </w:p>
    <w:p w14:paraId="0BDE0548">
      <w:pPr>
        <w:pStyle w:val="6"/>
        <w:spacing w:before="2" w:line="359" w:lineRule="auto"/>
        <w:ind w:left="52" w:firstLine="5"/>
        <w:rPr>
          <w:sz w:val="24"/>
          <w:szCs w:val="24"/>
          <w:highlight w:val="none"/>
        </w:rPr>
      </w:pPr>
      <w:r>
        <w:rPr>
          <w:spacing w:val="-3"/>
          <w:sz w:val="24"/>
          <w:szCs w:val="24"/>
          <w:highlight w:val="none"/>
        </w:rPr>
        <w:t>16.9投标人在投标文件及相关文件的签订、履行、通知等事项的文件中的</w:t>
      </w:r>
      <w:r>
        <w:rPr>
          <w:spacing w:val="-4"/>
          <w:sz w:val="24"/>
          <w:szCs w:val="24"/>
          <w:highlight w:val="none"/>
        </w:rPr>
        <w:t>单位盖章、印章、公章等处均指与当事人全称相一致的标准公章，不得使用其他形</w:t>
      </w:r>
      <w:r>
        <w:rPr>
          <w:spacing w:val="-5"/>
          <w:sz w:val="24"/>
          <w:szCs w:val="24"/>
          <w:highlight w:val="none"/>
        </w:rPr>
        <w:t>式（如带有“专用章</w:t>
      </w:r>
      <w:r>
        <w:rPr>
          <w:spacing w:val="-90"/>
          <w:sz w:val="24"/>
          <w:szCs w:val="24"/>
          <w:highlight w:val="none"/>
        </w:rPr>
        <w:t xml:space="preserve"> </w:t>
      </w:r>
      <w:r>
        <w:rPr>
          <w:spacing w:val="-5"/>
          <w:sz w:val="24"/>
          <w:szCs w:val="24"/>
          <w:highlight w:val="none"/>
        </w:rPr>
        <w:t>”等</w:t>
      </w:r>
      <w:r>
        <w:rPr>
          <w:sz w:val="24"/>
          <w:szCs w:val="24"/>
          <w:highlight w:val="none"/>
        </w:rPr>
        <w:t xml:space="preserve"> </w:t>
      </w:r>
      <w:r>
        <w:rPr>
          <w:spacing w:val="-4"/>
          <w:sz w:val="24"/>
          <w:szCs w:val="24"/>
          <w:highlight w:val="none"/>
        </w:rPr>
        <w:t>字样的印章）。不符合本条规定的按</w:t>
      </w:r>
      <w:r>
        <w:rPr>
          <w:b/>
          <w:bCs/>
          <w:spacing w:val="-4"/>
          <w:sz w:val="24"/>
          <w:szCs w:val="24"/>
          <w:highlight w:val="none"/>
        </w:rPr>
        <w:t>无效投标</w:t>
      </w:r>
      <w:r>
        <w:rPr>
          <w:spacing w:val="-4"/>
          <w:sz w:val="24"/>
          <w:szCs w:val="24"/>
          <w:highlight w:val="none"/>
        </w:rPr>
        <w:t>处理。</w:t>
      </w:r>
    </w:p>
    <w:p w14:paraId="1FB28E0D">
      <w:pPr>
        <w:pStyle w:val="6"/>
        <w:spacing w:before="1" w:line="221" w:lineRule="auto"/>
        <w:ind w:left="57"/>
        <w:rPr>
          <w:sz w:val="24"/>
          <w:szCs w:val="24"/>
          <w:highlight w:val="none"/>
        </w:rPr>
      </w:pPr>
      <w:r>
        <w:rPr>
          <w:spacing w:val="-10"/>
          <w:sz w:val="24"/>
          <w:szCs w:val="24"/>
          <w:highlight w:val="none"/>
        </w:rPr>
        <w:t>16.10</w:t>
      </w:r>
      <w:r>
        <w:rPr>
          <w:spacing w:val="33"/>
          <w:sz w:val="24"/>
          <w:szCs w:val="24"/>
          <w:highlight w:val="none"/>
        </w:rPr>
        <w:t xml:space="preserve"> </w:t>
      </w:r>
      <w:r>
        <w:rPr>
          <w:spacing w:val="-10"/>
          <w:sz w:val="24"/>
          <w:szCs w:val="24"/>
          <w:highlight w:val="none"/>
        </w:rPr>
        <w:t>电子投标文件的编制</w:t>
      </w:r>
    </w:p>
    <w:p w14:paraId="7B1A3BB7">
      <w:pPr>
        <w:pStyle w:val="6"/>
        <w:spacing w:before="179" w:line="359" w:lineRule="auto"/>
        <w:ind w:left="49" w:right="141" w:firstLine="8"/>
        <w:rPr>
          <w:sz w:val="24"/>
          <w:szCs w:val="24"/>
          <w:highlight w:val="none"/>
        </w:rPr>
      </w:pPr>
      <w:r>
        <w:rPr>
          <w:spacing w:val="-4"/>
          <w:sz w:val="24"/>
          <w:szCs w:val="24"/>
          <w:highlight w:val="none"/>
        </w:rPr>
        <w:t>16.10.1电子投标文件需按招标文件要求进行制作编制。投标文件制作时，不同内容按标签</w:t>
      </w:r>
      <w:r>
        <w:rPr>
          <w:spacing w:val="-3"/>
          <w:sz w:val="24"/>
          <w:szCs w:val="24"/>
          <w:highlight w:val="none"/>
        </w:rPr>
        <w:t>提示制作导入，按照招标文件中明确的投标文件目录和格式进行编制，保证目录清晰、内</w:t>
      </w:r>
      <w:r>
        <w:rPr>
          <w:spacing w:val="-6"/>
          <w:sz w:val="24"/>
          <w:szCs w:val="24"/>
          <w:highlight w:val="none"/>
        </w:rPr>
        <w:t>容完整；</w:t>
      </w:r>
    </w:p>
    <w:p w14:paraId="2B7AD4E6">
      <w:pPr>
        <w:pStyle w:val="6"/>
        <w:spacing w:before="3" w:line="359" w:lineRule="auto"/>
        <w:ind w:left="45" w:right="141" w:firstLine="11"/>
        <w:rPr>
          <w:sz w:val="24"/>
          <w:szCs w:val="24"/>
          <w:highlight w:val="none"/>
        </w:rPr>
      </w:pPr>
      <w:r>
        <w:rPr>
          <w:spacing w:val="-4"/>
          <w:sz w:val="24"/>
          <w:szCs w:val="24"/>
          <w:highlight w:val="none"/>
        </w:rPr>
        <w:t>16.10.2电子招投标文件具有法律效力，与其他形式的招投标文件在内容和格式上等同，若</w:t>
      </w:r>
      <w:r>
        <w:rPr>
          <w:spacing w:val="-3"/>
          <w:sz w:val="24"/>
          <w:szCs w:val="24"/>
          <w:highlight w:val="none"/>
        </w:rPr>
        <w:t>投标文件与招标文件要求不一致，其内容影响中标结果时</w:t>
      </w:r>
      <w:r>
        <w:rPr>
          <w:spacing w:val="-4"/>
          <w:sz w:val="24"/>
          <w:szCs w:val="24"/>
          <w:highlight w:val="none"/>
        </w:rPr>
        <w:t>，责任由投标人自行承担。投标</w:t>
      </w:r>
      <w:r>
        <w:rPr>
          <w:spacing w:val="-3"/>
          <w:sz w:val="24"/>
          <w:szCs w:val="24"/>
          <w:highlight w:val="none"/>
        </w:rPr>
        <w:t>人递交的电子投标文件因投标人自身原因而导致无法导入电子辅助评标系统，该投标文件视为无效投标文件，</w:t>
      </w:r>
      <w:r>
        <w:rPr>
          <w:b/>
          <w:bCs/>
          <w:spacing w:val="-3"/>
          <w:sz w:val="24"/>
          <w:szCs w:val="24"/>
          <w:highlight w:val="none"/>
        </w:rPr>
        <w:t>其投标无效</w:t>
      </w:r>
      <w:r>
        <w:rPr>
          <w:spacing w:val="-3"/>
          <w:sz w:val="24"/>
          <w:szCs w:val="24"/>
          <w:highlight w:val="none"/>
        </w:rPr>
        <w:t>。</w:t>
      </w:r>
    </w:p>
    <w:p w14:paraId="0C6C0FB0">
      <w:pPr>
        <w:pStyle w:val="6"/>
        <w:spacing w:line="222" w:lineRule="auto"/>
        <w:ind w:left="52"/>
        <w:outlineLvl w:val="2"/>
        <w:rPr>
          <w:sz w:val="24"/>
          <w:szCs w:val="24"/>
          <w:highlight w:val="none"/>
        </w:rPr>
      </w:pPr>
      <w:r>
        <w:rPr>
          <w:b/>
          <w:bCs/>
          <w:spacing w:val="-12"/>
          <w:sz w:val="24"/>
          <w:szCs w:val="24"/>
          <w:highlight w:val="none"/>
        </w:rPr>
        <w:t>（四）投标</w:t>
      </w:r>
    </w:p>
    <w:p w14:paraId="7CF1C3F7">
      <w:pPr>
        <w:pStyle w:val="6"/>
        <w:spacing w:before="45" w:line="221" w:lineRule="auto"/>
        <w:ind w:left="52"/>
        <w:outlineLvl w:val="2"/>
        <w:rPr>
          <w:sz w:val="24"/>
          <w:szCs w:val="24"/>
          <w:highlight w:val="none"/>
        </w:rPr>
      </w:pPr>
      <w:r>
        <w:rPr>
          <w:b/>
          <w:bCs/>
          <w:spacing w:val="-11"/>
          <w:sz w:val="24"/>
          <w:szCs w:val="24"/>
          <w:highlight w:val="none"/>
        </w:rPr>
        <w:t>17.投标保证金</w:t>
      </w:r>
    </w:p>
    <w:p w14:paraId="66DB8094">
      <w:pPr>
        <w:pStyle w:val="6"/>
        <w:spacing w:before="181" w:line="358" w:lineRule="auto"/>
        <w:ind w:left="47" w:firstLine="10"/>
        <w:rPr>
          <w:sz w:val="24"/>
          <w:szCs w:val="24"/>
          <w:highlight w:val="none"/>
        </w:rPr>
      </w:pPr>
      <w:r>
        <w:rPr>
          <w:spacing w:val="-5"/>
          <w:sz w:val="24"/>
          <w:szCs w:val="24"/>
          <w:highlight w:val="none"/>
        </w:rPr>
        <w:t>17.1投标人应按照招标文件“第二章 投标人须知前附表</w:t>
      </w:r>
      <w:r>
        <w:rPr>
          <w:spacing w:val="-86"/>
          <w:sz w:val="24"/>
          <w:szCs w:val="24"/>
          <w:highlight w:val="none"/>
        </w:rPr>
        <w:t xml:space="preserve"> </w:t>
      </w:r>
      <w:r>
        <w:rPr>
          <w:spacing w:val="-5"/>
          <w:sz w:val="24"/>
          <w:szCs w:val="24"/>
          <w:highlight w:val="none"/>
        </w:rPr>
        <w:t>”规定的金额及要求提交投标保证</w:t>
      </w:r>
      <w:r>
        <w:rPr>
          <w:spacing w:val="-8"/>
          <w:sz w:val="24"/>
          <w:szCs w:val="24"/>
          <w:highlight w:val="none"/>
        </w:rPr>
        <w:t>金。投标人自愿超额缴纳投标保证金的，投标文件不做无效处理。</w:t>
      </w:r>
    </w:p>
    <w:p w14:paraId="343F35A5">
      <w:pPr>
        <w:pStyle w:val="6"/>
        <w:spacing w:line="359" w:lineRule="auto"/>
        <w:ind w:left="44" w:right="91" w:firstLine="8"/>
        <w:rPr>
          <w:sz w:val="24"/>
          <w:szCs w:val="24"/>
          <w:highlight w:val="none"/>
        </w:rPr>
      </w:pPr>
      <w:r>
        <w:rPr>
          <w:spacing w:val="-4"/>
          <w:sz w:val="24"/>
          <w:szCs w:val="24"/>
          <w:highlight w:val="none"/>
        </w:rPr>
        <w:t>17.2提交投标保证金可采用的形式：政府采购法律法规接受的支票、汇票、本票、网上银</w:t>
      </w:r>
      <w:r>
        <w:rPr>
          <w:spacing w:val="-3"/>
          <w:sz w:val="24"/>
          <w:szCs w:val="24"/>
          <w:highlight w:val="none"/>
        </w:rPr>
        <w:t>行支付或者金融机构、担保机构出具的保函等非</w:t>
      </w:r>
      <w:r>
        <w:rPr>
          <w:spacing w:val="-4"/>
          <w:sz w:val="24"/>
          <w:szCs w:val="24"/>
          <w:highlight w:val="none"/>
        </w:rPr>
        <w:t>现金形式。投标人未按照招标文件要求提交投标保证金的，其</w:t>
      </w:r>
      <w:r>
        <w:rPr>
          <w:b/>
          <w:bCs/>
          <w:spacing w:val="-4"/>
          <w:sz w:val="24"/>
          <w:szCs w:val="24"/>
          <w:highlight w:val="none"/>
        </w:rPr>
        <w:t>投标无效</w:t>
      </w:r>
      <w:r>
        <w:rPr>
          <w:spacing w:val="-4"/>
          <w:sz w:val="24"/>
          <w:szCs w:val="24"/>
          <w:highlight w:val="none"/>
        </w:rPr>
        <w:t>。投标保证金有效期同投标有效</w:t>
      </w:r>
      <w:r>
        <w:rPr>
          <w:spacing w:val="-5"/>
          <w:sz w:val="24"/>
          <w:szCs w:val="24"/>
          <w:highlight w:val="none"/>
        </w:rPr>
        <w:t>期。</w:t>
      </w:r>
    </w:p>
    <w:p w14:paraId="4872D817">
      <w:pPr>
        <w:pStyle w:val="6"/>
        <w:spacing w:before="1" w:line="359" w:lineRule="auto"/>
        <w:ind w:left="42" w:right="28" w:firstLine="10"/>
        <w:rPr>
          <w:sz w:val="24"/>
          <w:szCs w:val="24"/>
          <w:highlight w:val="none"/>
        </w:rPr>
      </w:pPr>
      <w:r>
        <w:rPr>
          <w:spacing w:val="-2"/>
          <w:sz w:val="24"/>
          <w:szCs w:val="24"/>
          <w:highlight w:val="none"/>
        </w:rPr>
        <w:t>17.3投标保证金到账（保函提交）截止时间同投标截止时间。以支票、汇票、本票、网上</w:t>
      </w:r>
      <w:r>
        <w:rPr>
          <w:spacing w:val="-3"/>
          <w:sz w:val="24"/>
          <w:szCs w:val="24"/>
          <w:highlight w:val="none"/>
        </w:rPr>
        <w:t>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w:t>
      </w:r>
      <w:r>
        <w:rPr>
          <w:spacing w:val="-4"/>
          <w:sz w:val="24"/>
          <w:szCs w:val="24"/>
          <w:highlight w:val="none"/>
        </w:rPr>
        <w:t>错误、印鉴不清等原因导致不能到账的，其</w:t>
      </w:r>
      <w:r>
        <w:rPr>
          <w:b/>
          <w:bCs/>
          <w:spacing w:val="-4"/>
          <w:sz w:val="24"/>
          <w:szCs w:val="24"/>
          <w:highlight w:val="none"/>
        </w:rPr>
        <w:t>投标无效</w:t>
      </w:r>
      <w:r>
        <w:rPr>
          <w:spacing w:val="-4"/>
          <w:sz w:val="24"/>
          <w:szCs w:val="24"/>
          <w:highlight w:val="none"/>
        </w:rPr>
        <w:t>。</w:t>
      </w:r>
    </w:p>
    <w:p w14:paraId="7C5065FA">
      <w:pPr>
        <w:pStyle w:val="6"/>
        <w:spacing w:line="359" w:lineRule="auto"/>
        <w:ind w:left="60" w:right="98" w:hanging="3"/>
        <w:rPr>
          <w:sz w:val="24"/>
          <w:szCs w:val="24"/>
          <w:highlight w:val="none"/>
        </w:rPr>
      </w:pPr>
      <w:r>
        <w:rPr>
          <w:spacing w:val="-1"/>
          <w:sz w:val="24"/>
          <w:szCs w:val="24"/>
          <w:highlight w:val="none"/>
        </w:rPr>
        <w:t>17.4 投标人为联合体的，可以由联合体中的一方或者多方共同提交投标保证金，其提交</w:t>
      </w:r>
      <w:r>
        <w:rPr>
          <w:spacing w:val="-3"/>
          <w:sz w:val="24"/>
          <w:szCs w:val="24"/>
          <w:highlight w:val="none"/>
        </w:rPr>
        <w:t>的投标保证金对联合体各方均具有约束力。</w:t>
      </w:r>
    </w:p>
    <w:p w14:paraId="475E8CC4">
      <w:pPr>
        <w:pStyle w:val="6"/>
        <w:spacing w:before="1" w:line="359" w:lineRule="auto"/>
        <w:ind w:left="47" w:right="91" w:firstLine="10"/>
        <w:rPr>
          <w:sz w:val="24"/>
          <w:szCs w:val="24"/>
          <w:highlight w:val="none"/>
        </w:rPr>
      </w:pPr>
      <w:r>
        <w:rPr>
          <w:spacing w:val="-1"/>
          <w:sz w:val="24"/>
          <w:szCs w:val="24"/>
          <w:highlight w:val="none"/>
        </w:rPr>
        <w:t>17.5采购人或者采购代理机构应当在采购活动结束后及时退还投标人的投标保证金，采</w:t>
      </w:r>
      <w:r>
        <w:rPr>
          <w:sz w:val="24"/>
          <w:szCs w:val="24"/>
          <w:highlight w:val="none"/>
        </w:rPr>
        <w:t>用银行保函、担保机构担保函等形式递交的投标</w:t>
      </w:r>
      <w:r>
        <w:rPr>
          <w:spacing w:val="-1"/>
          <w:sz w:val="24"/>
          <w:szCs w:val="24"/>
          <w:highlight w:val="none"/>
        </w:rPr>
        <w:t>保证金，经投标人同意后采购人、采购</w:t>
      </w:r>
      <w:r>
        <w:rPr>
          <w:sz w:val="24"/>
          <w:szCs w:val="24"/>
          <w:highlight w:val="none"/>
        </w:rPr>
        <w:t>代理机构可以不再退还，但因投标人自身原因导</w:t>
      </w:r>
      <w:r>
        <w:rPr>
          <w:spacing w:val="-1"/>
          <w:sz w:val="24"/>
          <w:szCs w:val="24"/>
          <w:highlight w:val="none"/>
        </w:rPr>
        <w:t>致无法及时退还的除外。未中标投标人</w:t>
      </w:r>
      <w:r>
        <w:rPr>
          <w:sz w:val="24"/>
          <w:szCs w:val="24"/>
          <w:highlight w:val="none"/>
        </w:rPr>
        <w:t>的投标保证金应当自中标通知书发出之日起 5 个</w:t>
      </w:r>
      <w:r>
        <w:rPr>
          <w:spacing w:val="-1"/>
          <w:sz w:val="24"/>
          <w:szCs w:val="24"/>
          <w:highlight w:val="none"/>
        </w:rPr>
        <w:t>工作日内退还，中标投标人的投标保证金应当自采购合同签订之日起 5 个工作日内退还。</w:t>
      </w:r>
    </w:p>
    <w:p w14:paraId="26D67D46">
      <w:pPr>
        <w:pStyle w:val="6"/>
        <w:spacing w:line="359" w:lineRule="auto"/>
        <w:ind w:left="60" w:right="100" w:hanging="3"/>
        <w:rPr>
          <w:sz w:val="24"/>
          <w:szCs w:val="24"/>
          <w:highlight w:val="none"/>
        </w:rPr>
      </w:pPr>
      <w:r>
        <w:rPr>
          <w:spacing w:val="-4"/>
          <w:sz w:val="24"/>
          <w:szCs w:val="24"/>
          <w:highlight w:val="none"/>
        </w:rPr>
        <w:t>17.6 投标人在投标截止时间前撤回已提交的投标文件的，</w:t>
      </w:r>
      <w:r>
        <w:rPr>
          <w:spacing w:val="-53"/>
          <w:sz w:val="24"/>
          <w:szCs w:val="24"/>
          <w:highlight w:val="none"/>
        </w:rPr>
        <w:t xml:space="preserve"> </w:t>
      </w:r>
      <w:r>
        <w:rPr>
          <w:spacing w:val="-4"/>
          <w:sz w:val="24"/>
          <w:szCs w:val="24"/>
          <w:highlight w:val="none"/>
        </w:rPr>
        <w:t>自收到投标人书面撤回通知之</w:t>
      </w:r>
      <w:r>
        <w:rPr>
          <w:spacing w:val="-1"/>
          <w:sz w:val="24"/>
          <w:szCs w:val="24"/>
          <w:highlight w:val="none"/>
        </w:rPr>
        <w:t>日起 5 个工作日内，退还已收取的投标保证金，但因投标人自身原因导致无法及时退还</w:t>
      </w:r>
      <w:r>
        <w:rPr>
          <w:spacing w:val="-9"/>
          <w:sz w:val="24"/>
          <w:szCs w:val="24"/>
          <w:highlight w:val="none"/>
        </w:rPr>
        <w:t>的除外。</w:t>
      </w:r>
    </w:p>
    <w:p w14:paraId="7AF3E917">
      <w:pPr>
        <w:pStyle w:val="6"/>
        <w:spacing w:before="2" w:line="359" w:lineRule="auto"/>
        <w:ind w:left="60" w:right="103" w:hanging="3"/>
        <w:rPr>
          <w:sz w:val="24"/>
          <w:szCs w:val="24"/>
          <w:highlight w:val="none"/>
        </w:rPr>
      </w:pPr>
      <w:r>
        <w:rPr>
          <w:spacing w:val="-5"/>
          <w:sz w:val="24"/>
          <w:szCs w:val="24"/>
          <w:highlight w:val="none"/>
        </w:rPr>
        <w:t>17.7 终止招标项目已经收取投标保证金的，</w:t>
      </w:r>
      <w:r>
        <w:rPr>
          <w:spacing w:val="-62"/>
          <w:sz w:val="24"/>
          <w:szCs w:val="24"/>
          <w:highlight w:val="none"/>
        </w:rPr>
        <w:t xml:space="preserve"> </w:t>
      </w:r>
      <w:r>
        <w:rPr>
          <w:spacing w:val="-5"/>
          <w:sz w:val="24"/>
          <w:szCs w:val="24"/>
          <w:highlight w:val="none"/>
        </w:rPr>
        <w:t>自终止采购活动后 5 个工作日内退还</w:t>
      </w:r>
      <w:r>
        <w:rPr>
          <w:spacing w:val="-6"/>
          <w:sz w:val="24"/>
          <w:szCs w:val="24"/>
          <w:highlight w:val="none"/>
        </w:rPr>
        <w:t>已收取</w:t>
      </w:r>
      <w:r>
        <w:rPr>
          <w:spacing w:val="-4"/>
          <w:sz w:val="24"/>
          <w:szCs w:val="24"/>
          <w:highlight w:val="none"/>
        </w:rPr>
        <w:t>的投标保证金及其在银行产生的孳息。</w:t>
      </w:r>
    </w:p>
    <w:p w14:paraId="511003AA">
      <w:pPr>
        <w:pStyle w:val="6"/>
        <w:spacing w:before="1" w:line="358" w:lineRule="auto"/>
        <w:ind w:left="49" w:right="98" w:firstLine="8"/>
        <w:rPr>
          <w:sz w:val="24"/>
          <w:szCs w:val="24"/>
          <w:highlight w:val="none"/>
        </w:rPr>
      </w:pPr>
      <w:r>
        <w:rPr>
          <w:spacing w:val="-4"/>
          <w:sz w:val="24"/>
          <w:szCs w:val="24"/>
          <w:highlight w:val="none"/>
        </w:rPr>
        <w:t>17.8 有下列情形之一的，采购人或采购代理机构可以不予退还投标保证金,情节严重的将</w:t>
      </w:r>
      <w:r>
        <w:rPr>
          <w:spacing w:val="-3"/>
          <w:sz w:val="24"/>
          <w:szCs w:val="24"/>
          <w:highlight w:val="none"/>
        </w:rPr>
        <w:t>其列入不良记录名单：</w:t>
      </w:r>
    </w:p>
    <w:p w14:paraId="14E818C3">
      <w:pPr>
        <w:pStyle w:val="6"/>
        <w:spacing w:before="1" w:line="219" w:lineRule="auto"/>
        <w:ind w:left="57"/>
        <w:rPr>
          <w:sz w:val="24"/>
          <w:szCs w:val="24"/>
          <w:highlight w:val="none"/>
        </w:rPr>
      </w:pPr>
      <w:r>
        <w:rPr>
          <w:spacing w:val="-2"/>
          <w:sz w:val="24"/>
          <w:szCs w:val="24"/>
          <w:highlight w:val="none"/>
        </w:rPr>
        <w:t>17.8.1 开标后在投标有效期内，投标人撤销其投标的；</w:t>
      </w:r>
    </w:p>
    <w:p w14:paraId="0EB1607C">
      <w:pPr>
        <w:pStyle w:val="6"/>
        <w:spacing w:before="183" w:line="222" w:lineRule="auto"/>
        <w:ind w:left="57"/>
        <w:rPr>
          <w:sz w:val="24"/>
          <w:szCs w:val="24"/>
          <w:highlight w:val="none"/>
        </w:rPr>
      </w:pPr>
      <w:r>
        <w:rPr>
          <w:spacing w:val="-6"/>
          <w:sz w:val="24"/>
          <w:szCs w:val="24"/>
          <w:highlight w:val="none"/>
        </w:rPr>
        <w:t>17.8.2</w:t>
      </w:r>
      <w:r>
        <w:rPr>
          <w:spacing w:val="50"/>
          <w:sz w:val="24"/>
          <w:szCs w:val="24"/>
          <w:highlight w:val="none"/>
        </w:rPr>
        <w:t xml:space="preserve"> </w:t>
      </w:r>
      <w:r>
        <w:rPr>
          <w:spacing w:val="-6"/>
          <w:sz w:val="24"/>
          <w:szCs w:val="24"/>
          <w:highlight w:val="none"/>
        </w:rPr>
        <w:t>中标后无正当理由不与采购人签订合同的；</w:t>
      </w:r>
    </w:p>
    <w:p w14:paraId="08E36A78">
      <w:pPr>
        <w:pStyle w:val="6"/>
        <w:spacing w:before="177" w:line="220" w:lineRule="auto"/>
        <w:ind w:left="57"/>
        <w:rPr>
          <w:sz w:val="24"/>
          <w:szCs w:val="24"/>
          <w:highlight w:val="none"/>
        </w:rPr>
      </w:pPr>
      <w:r>
        <w:rPr>
          <w:spacing w:val="-4"/>
          <w:sz w:val="24"/>
          <w:szCs w:val="24"/>
          <w:highlight w:val="none"/>
        </w:rPr>
        <w:t>17.8.3</w:t>
      </w:r>
      <w:r>
        <w:rPr>
          <w:spacing w:val="42"/>
          <w:sz w:val="24"/>
          <w:szCs w:val="24"/>
          <w:highlight w:val="none"/>
        </w:rPr>
        <w:t xml:space="preserve"> </w:t>
      </w:r>
      <w:r>
        <w:rPr>
          <w:spacing w:val="-4"/>
          <w:sz w:val="24"/>
          <w:szCs w:val="24"/>
          <w:highlight w:val="none"/>
        </w:rPr>
        <w:t>中标人与采购人订立背离合同实质性内</w:t>
      </w:r>
      <w:r>
        <w:rPr>
          <w:spacing w:val="-5"/>
          <w:sz w:val="24"/>
          <w:szCs w:val="24"/>
          <w:highlight w:val="none"/>
        </w:rPr>
        <w:t>容的其他协议；</w:t>
      </w:r>
    </w:p>
    <w:p w14:paraId="647FE3D8">
      <w:pPr>
        <w:pStyle w:val="6"/>
        <w:spacing w:before="181" w:line="361" w:lineRule="auto"/>
        <w:ind w:left="48" w:right="110" w:firstLine="9"/>
        <w:rPr>
          <w:sz w:val="24"/>
          <w:szCs w:val="24"/>
          <w:highlight w:val="none"/>
        </w:rPr>
      </w:pPr>
      <w:r>
        <w:rPr>
          <w:spacing w:val="-1"/>
          <w:sz w:val="24"/>
          <w:szCs w:val="24"/>
          <w:highlight w:val="none"/>
        </w:rPr>
        <w:t>17.8.4 将中标项目转让给他人，或者在投标文件中未说明，且未经采购人同</w:t>
      </w:r>
      <w:r>
        <w:rPr>
          <w:spacing w:val="-2"/>
          <w:sz w:val="24"/>
          <w:szCs w:val="24"/>
          <w:highlight w:val="none"/>
        </w:rPr>
        <w:t>意，将中标</w:t>
      </w:r>
      <w:r>
        <w:rPr>
          <w:spacing w:val="-5"/>
          <w:sz w:val="24"/>
          <w:szCs w:val="24"/>
          <w:highlight w:val="none"/>
        </w:rPr>
        <w:t>项目分包给他人的；</w:t>
      </w:r>
    </w:p>
    <w:p w14:paraId="1BA97B95">
      <w:pPr>
        <w:pStyle w:val="6"/>
        <w:spacing w:before="46" w:line="219" w:lineRule="auto"/>
        <w:ind w:left="57"/>
        <w:rPr>
          <w:sz w:val="24"/>
          <w:szCs w:val="24"/>
          <w:highlight w:val="none"/>
        </w:rPr>
      </w:pPr>
      <w:r>
        <w:rPr>
          <w:spacing w:val="-4"/>
          <w:sz w:val="24"/>
          <w:szCs w:val="24"/>
          <w:highlight w:val="none"/>
        </w:rPr>
        <w:t>17.8.5 存在串通投标行为的；</w:t>
      </w:r>
    </w:p>
    <w:p w14:paraId="17098AC5">
      <w:pPr>
        <w:pStyle w:val="6"/>
        <w:spacing w:before="183" w:line="219" w:lineRule="auto"/>
        <w:ind w:left="57"/>
        <w:rPr>
          <w:sz w:val="24"/>
          <w:szCs w:val="24"/>
          <w:highlight w:val="none"/>
        </w:rPr>
      </w:pPr>
      <w:r>
        <w:rPr>
          <w:spacing w:val="-2"/>
          <w:sz w:val="24"/>
          <w:szCs w:val="24"/>
          <w:highlight w:val="none"/>
        </w:rPr>
        <w:t>17.8.6 存在弄虚作假或提供虚假材料谋取中标</w:t>
      </w:r>
      <w:r>
        <w:rPr>
          <w:spacing w:val="-3"/>
          <w:sz w:val="24"/>
          <w:szCs w:val="24"/>
          <w:highlight w:val="none"/>
        </w:rPr>
        <w:t>的；</w:t>
      </w:r>
    </w:p>
    <w:p w14:paraId="40C36A4B">
      <w:pPr>
        <w:pStyle w:val="6"/>
        <w:spacing w:before="180" w:line="221" w:lineRule="auto"/>
        <w:ind w:left="57"/>
        <w:rPr>
          <w:sz w:val="24"/>
          <w:szCs w:val="24"/>
          <w:highlight w:val="none"/>
        </w:rPr>
      </w:pPr>
      <w:r>
        <w:rPr>
          <w:spacing w:val="-2"/>
          <w:sz w:val="24"/>
          <w:szCs w:val="24"/>
          <w:highlight w:val="none"/>
        </w:rPr>
        <w:t>17.8.7 投标人其他未按招标文件规定和合同约定履行义务的行为。</w:t>
      </w:r>
    </w:p>
    <w:p w14:paraId="195396FF">
      <w:pPr>
        <w:pStyle w:val="6"/>
        <w:spacing w:before="179" w:line="359" w:lineRule="auto"/>
        <w:ind w:left="43" w:right="6" w:firstLine="9"/>
        <w:jc w:val="both"/>
        <w:rPr>
          <w:sz w:val="24"/>
          <w:szCs w:val="24"/>
          <w:highlight w:val="none"/>
        </w:rPr>
      </w:pPr>
      <w:r>
        <w:rPr>
          <w:spacing w:val="-2"/>
          <w:sz w:val="24"/>
          <w:szCs w:val="24"/>
          <w:highlight w:val="none"/>
        </w:rPr>
        <w:t>17.10为支持和促进中小企业发展，进一步发挥政府采购政策功能，本采购项目适用于政</w:t>
      </w:r>
      <w:r>
        <w:rPr>
          <w:spacing w:val="-1"/>
          <w:sz w:val="24"/>
          <w:szCs w:val="24"/>
          <w:highlight w:val="none"/>
        </w:rPr>
        <w:t>府采购融资优惠、政采贷、电子保函相关政策，</w:t>
      </w:r>
      <w:r>
        <w:rPr>
          <w:spacing w:val="-2"/>
          <w:sz w:val="24"/>
          <w:szCs w:val="24"/>
          <w:highlight w:val="none"/>
        </w:rPr>
        <w:t>鼓励投标人使用电子保函代替现金缴纳各</w:t>
      </w:r>
      <w:r>
        <w:rPr>
          <w:spacing w:val="-1"/>
          <w:sz w:val="24"/>
          <w:szCs w:val="24"/>
          <w:highlight w:val="none"/>
        </w:rPr>
        <w:t>类保证金，在线完成保函的申请、审核、开票、</w:t>
      </w:r>
      <w:r>
        <w:rPr>
          <w:spacing w:val="-2"/>
          <w:sz w:val="24"/>
          <w:szCs w:val="24"/>
          <w:highlight w:val="none"/>
        </w:rPr>
        <w:t>出函等环节，投标人注意区分办理保函类</w:t>
      </w:r>
      <w:r>
        <w:rPr>
          <w:spacing w:val="-3"/>
          <w:sz w:val="24"/>
          <w:szCs w:val="24"/>
          <w:highlight w:val="none"/>
        </w:rPr>
        <w:t>型，并确认投标有效期。</w:t>
      </w:r>
    </w:p>
    <w:p w14:paraId="019701F6">
      <w:pPr>
        <w:pStyle w:val="6"/>
        <w:spacing w:line="222" w:lineRule="auto"/>
        <w:ind w:left="57"/>
        <w:outlineLvl w:val="3"/>
        <w:rPr>
          <w:sz w:val="24"/>
          <w:szCs w:val="24"/>
          <w:highlight w:val="none"/>
        </w:rPr>
      </w:pPr>
      <w:r>
        <w:rPr>
          <w:b/>
          <w:bCs/>
          <w:spacing w:val="-10"/>
          <w:sz w:val="24"/>
          <w:szCs w:val="24"/>
          <w:highlight w:val="none"/>
        </w:rPr>
        <w:t>18.投标文件的加密</w:t>
      </w:r>
    </w:p>
    <w:p w14:paraId="2BA6EF29">
      <w:pPr>
        <w:pStyle w:val="6"/>
        <w:spacing w:before="177" w:line="359" w:lineRule="auto"/>
        <w:ind w:left="77" w:right="4" w:hanging="20"/>
        <w:rPr>
          <w:sz w:val="24"/>
          <w:szCs w:val="24"/>
          <w:highlight w:val="none"/>
        </w:rPr>
      </w:pPr>
      <w:r>
        <w:rPr>
          <w:spacing w:val="-2"/>
          <w:sz w:val="24"/>
          <w:szCs w:val="24"/>
          <w:highlight w:val="none"/>
        </w:rPr>
        <w:t>18.1投标人在供应商客户端中生成投标文件并完成签章之后，使用CA证书在供应商客户端</w:t>
      </w:r>
      <w:r>
        <w:rPr>
          <w:spacing w:val="-6"/>
          <w:sz w:val="24"/>
          <w:szCs w:val="24"/>
          <w:highlight w:val="none"/>
        </w:rPr>
        <w:t>中对投标文件进行加密。</w:t>
      </w:r>
    </w:p>
    <w:p w14:paraId="46C760EA">
      <w:pPr>
        <w:pStyle w:val="6"/>
        <w:spacing w:line="359" w:lineRule="auto"/>
        <w:ind w:left="59" w:right="11" w:hanging="2"/>
        <w:rPr>
          <w:sz w:val="24"/>
          <w:szCs w:val="24"/>
          <w:highlight w:val="none"/>
        </w:rPr>
      </w:pPr>
      <w:r>
        <w:rPr>
          <w:spacing w:val="-2"/>
          <w:sz w:val="24"/>
          <w:szCs w:val="24"/>
          <w:highlight w:val="none"/>
        </w:rPr>
        <w:t>18.2投标人应在供应商客户端中对加密的投标文件进行解密验证，以防止投标文件加密异</w:t>
      </w:r>
      <w:r>
        <w:rPr>
          <w:spacing w:val="-4"/>
          <w:sz w:val="24"/>
          <w:szCs w:val="24"/>
          <w:highlight w:val="none"/>
        </w:rPr>
        <w:t>常，在开标时无法解密。</w:t>
      </w:r>
    </w:p>
    <w:p w14:paraId="3B90375D">
      <w:pPr>
        <w:pStyle w:val="6"/>
        <w:spacing w:line="359" w:lineRule="auto"/>
        <w:ind w:left="47" w:right="143" w:firstLine="10"/>
        <w:rPr>
          <w:sz w:val="24"/>
          <w:szCs w:val="24"/>
          <w:highlight w:val="none"/>
        </w:rPr>
      </w:pPr>
      <w:r>
        <w:rPr>
          <w:spacing w:val="-2"/>
          <w:sz w:val="24"/>
          <w:szCs w:val="24"/>
          <w:highlight w:val="none"/>
        </w:rPr>
        <w:t>18.3 投标人应保证加密投标文件的CA证书有效期在开标时间之前。若CA证书有效期</w:t>
      </w:r>
      <w:r>
        <w:rPr>
          <w:spacing w:val="-3"/>
          <w:sz w:val="24"/>
          <w:szCs w:val="24"/>
          <w:highlight w:val="none"/>
        </w:rPr>
        <w:t>临近</w:t>
      </w:r>
      <w:r>
        <w:rPr>
          <w:spacing w:val="-2"/>
          <w:sz w:val="24"/>
          <w:szCs w:val="24"/>
          <w:highlight w:val="none"/>
        </w:rPr>
        <w:t>开标时间，建议投标人提前办理CA证书续期，以免开标时无法进行解密。</w:t>
      </w:r>
    </w:p>
    <w:p w14:paraId="7B58D6AA">
      <w:pPr>
        <w:pStyle w:val="6"/>
        <w:spacing w:line="215" w:lineRule="auto"/>
        <w:ind w:left="57"/>
        <w:rPr>
          <w:sz w:val="24"/>
          <w:szCs w:val="24"/>
          <w:highlight w:val="none"/>
        </w:rPr>
      </w:pPr>
      <w:r>
        <w:rPr>
          <w:spacing w:val="-3"/>
          <w:sz w:val="24"/>
          <w:szCs w:val="24"/>
          <w:highlight w:val="none"/>
        </w:rPr>
        <w:t>18.4投标人在投标文件递交截止时间前通过新疆政府采购网</w:t>
      </w:r>
      <w:r>
        <w:rPr>
          <w:b/>
          <w:bCs/>
          <w:spacing w:val="-3"/>
          <w:sz w:val="24"/>
          <w:szCs w:val="24"/>
          <w:highlight w:val="none"/>
        </w:rPr>
        <w:t>（</w:t>
      </w:r>
      <w:r>
        <w:rPr>
          <w:highlight w:val="none"/>
        </w:rPr>
        <w:fldChar w:fldCharType="begin"/>
      </w:r>
      <w:r>
        <w:rPr>
          <w:highlight w:val="none"/>
        </w:rPr>
        <w:instrText xml:space="preserve"> HYPERLINK "http://www.ccgp" </w:instrText>
      </w:r>
      <w:r>
        <w:rPr>
          <w:highlight w:val="none"/>
        </w:rPr>
        <w:fldChar w:fldCharType="separate"/>
      </w:r>
      <w:r>
        <w:rPr>
          <w:b/>
          <w:bCs/>
          <w:spacing w:val="-3"/>
          <w:sz w:val="24"/>
          <w:szCs w:val="24"/>
          <w:highlight w:val="none"/>
        </w:rPr>
        <w:t>http://www.</w:t>
      </w:r>
      <w:r>
        <w:rPr>
          <w:b/>
          <w:bCs/>
          <w:spacing w:val="-4"/>
          <w:sz w:val="24"/>
          <w:szCs w:val="24"/>
          <w:highlight w:val="none"/>
        </w:rPr>
        <w:t>ccgp</w:t>
      </w:r>
      <w:r>
        <w:rPr>
          <w:b/>
          <w:bCs/>
          <w:spacing w:val="-4"/>
          <w:sz w:val="24"/>
          <w:szCs w:val="24"/>
          <w:highlight w:val="none"/>
        </w:rPr>
        <w:fldChar w:fldCharType="end"/>
      </w:r>
      <w:r>
        <w:rPr>
          <w:b/>
          <w:bCs/>
          <w:spacing w:val="-4"/>
          <w:sz w:val="24"/>
          <w:szCs w:val="24"/>
          <w:highlight w:val="none"/>
        </w:rPr>
        <w:t>-</w:t>
      </w:r>
    </w:p>
    <w:p w14:paraId="511CA746">
      <w:pPr>
        <w:pStyle w:val="6"/>
        <w:spacing w:before="189" w:line="358" w:lineRule="auto"/>
        <w:ind w:left="61" w:right="64" w:hanging="22"/>
        <w:rPr>
          <w:sz w:val="24"/>
          <w:szCs w:val="24"/>
          <w:highlight w:val="none"/>
        </w:rPr>
      </w:pPr>
      <w:r>
        <w:rPr>
          <w:highlight w:val="none"/>
        </w:rPr>
        <w:fldChar w:fldCharType="begin"/>
      </w:r>
      <w:r>
        <w:rPr>
          <w:highlight w:val="none"/>
        </w:rPr>
        <w:instrText xml:space="preserve"> HYPERLINK "xinjiang.gov.cn/" </w:instrText>
      </w:r>
      <w:r>
        <w:rPr>
          <w:highlight w:val="none"/>
        </w:rPr>
        <w:fldChar w:fldCharType="separate"/>
      </w:r>
      <w:r>
        <w:rPr>
          <w:b/>
          <w:bCs/>
          <w:spacing w:val="-3"/>
          <w:sz w:val="24"/>
          <w:szCs w:val="24"/>
          <w:highlight w:val="none"/>
        </w:rPr>
        <w:t>xinjiang.gov.cn/</w:t>
      </w:r>
      <w:r>
        <w:rPr>
          <w:b/>
          <w:bCs/>
          <w:spacing w:val="-3"/>
          <w:sz w:val="24"/>
          <w:szCs w:val="24"/>
          <w:highlight w:val="none"/>
        </w:rPr>
        <w:fldChar w:fldCharType="end"/>
      </w:r>
      <w:r>
        <w:rPr>
          <w:b/>
          <w:bCs/>
          <w:spacing w:val="-3"/>
          <w:sz w:val="24"/>
          <w:szCs w:val="24"/>
          <w:highlight w:val="none"/>
        </w:rPr>
        <w:t>）</w:t>
      </w:r>
      <w:r>
        <w:rPr>
          <w:spacing w:val="-3"/>
          <w:sz w:val="24"/>
          <w:szCs w:val="24"/>
          <w:highlight w:val="none"/>
        </w:rPr>
        <w:t>的”政采云登录入口”登录后，将加密电</w:t>
      </w:r>
      <w:r>
        <w:rPr>
          <w:spacing w:val="-4"/>
          <w:sz w:val="24"/>
          <w:szCs w:val="24"/>
          <w:highlight w:val="none"/>
        </w:rPr>
        <w:t>子投标文件上传到对应项目</w:t>
      </w:r>
      <w:r>
        <w:rPr>
          <w:spacing w:val="-1"/>
          <w:sz w:val="24"/>
          <w:szCs w:val="24"/>
          <w:highlight w:val="none"/>
        </w:rPr>
        <w:t>的指定位置，投标人认为有必要提交的其他资料请于投标截止时间前一并提交。</w:t>
      </w:r>
    </w:p>
    <w:p w14:paraId="3233902F">
      <w:pPr>
        <w:pStyle w:val="6"/>
        <w:spacing w:before="1" w:line="359" w:lineRule="auto"/>
        <w:ind w:left="46" w:right="98" w:firstLine="11"/>
        <w:rPr>
          <w:sz w:val="24"/>
          <w:szCs w:val="24"/>
          <w:highlight w:val="none"/>
        </w:rPr>
      </w:pPr>
      <w:r>
        <w:rPr>
          <w:spacing w:val="-4"/>
          <w:sz w:val="24"/>
          <w:szCs w:val="24"/>
          <w:highlight w:val="none"/>
        </w:rPr>
        <w:t>18.5如果投标人未按上述要求加密并上传，采购代理机构对投标文件的误投、无法解密、</w:t>
      </w:r>
      <w:r>
        <w:rPr>
          <w:spacing w:val="-7"/>
          <w:sz w:val="24"/>
          <w:szCs w:val="24"/>
          <w:highlight w:val="none"/>
        </w:rPr>
        <w:t>传输错误等问题概不负责。对由此造成无法正常开启的投标文件，采购代理机构有权予以</w:t>
      </w:r>
      <w:r>
        <w:rPr>
          <w:spacing w:val="-3"/>
          <w:sz w:val="24"/>
          <w:szCs w:val="24"/>
          <w:highlight w:val="none"/>
        </w:rPr>
        <w:t>拒绝，并退回投标人。</w:t>
      </w:r>
    </w:p>
    <w:p w14:paraId="3054DEEB">
      <w:pPr>
        <w:pStyle w:val="6"/>
        <w:spacing w:before="1" w:line="222" w:lineRule="auto"/>
        <w:ind w:left="57"/>
        <w:rPr>
          <w:sz w:val="24"/>
          <w:szCs w:val="24"/>
          <w:highlight w:val="none"/>
        </w:rPr>
      </w:pPr>
      <w:r>
        <w:rPr>
          <w:spacing w:val="-3"/>
          <w:sz w:val="24"/>
          <w:szCs w:val="24"/>
          <w:highlight w:val="none"/>
        </w:rPr>
        <w:t>18.6本项目采用不见面开标，无需提供电子投标文件U盘。</w:t>
      </w:r>
    </w:p>
    <w:p w14:paraId="37D8E747">
      <w:pPr>
        <w:pStyle w:val="6"/>
        <w:spacing w:before="179" w:line="222" w:lineRule="auto"/>
        <w:ind w:left="57"/>
        <w:outlineLvl w:val="2"/>
        <w:rPr>
          <w:sz w:val="24"/>
          <w:szCs w:val="24"/>
          <w:highlight w:val="none"/>
        </w:rPr>
      </w:pPr>
      <w:r>
        <w:rPr>
          <w:b/>
          <w:bCs/>
          <w:spacing w:val="-8"/>
          <w:sz w:val="24"/>
          <w:szCs w:val="24"/>
          <w:highlight w:val="none"/>
        </w:rPr>
        <w:t>19.投标文件的递交（上传）</w:t>
      </w:r>
    </w:p>
    <w:p w14:paraId="0CF23B33">
      <w:pPr>
        <w:pStyle w:val="6"/>
        <w:spacing w:before="177" w:line="219" w:lineRule="auto"/>
        <w:ind w:left="57"/>
        <w:rPr>
          <w:sz w:val="24"/>
          <w:szCs w:val="24"/>
          <w:highlight w:val="none"/>
        </w:rPr>
      </w:pPr>
      <w:r>
        <w:rPr>
          <w:spacing w:val="-4"/>
          <w:sz w:val="24"/>
          <w:szCs w:val="24"/>
          <w:highlight w:val="none"/>
        </w:rPr>
        <w:t>19.1 投标人应在“第一章 招标公告</w:t>
      </w:r>
      <w:r>
        <w:rPr>
          <w:spacing w:val="-75"/>
          <w:sz w:val="24"/>
          <w:szCs w:val="24"/>
          <w:highlight w:val="none"/>
        </w:rPr>
        <w:t xml:space="preserve"> </w:t>
      </w:r>
      <w:r>
        <w:rPr>
          <w:spacing w:val="-4"/>
          <w:sz w:val="24"/>
          <w:szCs w:val="24"/>
          <w:highlight w:val="none"/>
        </w:rPr>
        <w:t>”规定的投标截止时间前递交（上传）投标文件。</w:t>
      </w:r>
    </w:p>
    <w:p w14:paraId="1AEE8BE4">
      <w:pPr>
        <w:pStyle w:val="6"/>
        <w:spacing w:before="45" w:line="359" w:lineRule="auto"/>
        <w:ind w:left="49" w:right="482" w:firstLine="8"/>
        <w:rPr>
          <w:spacing w:val="-2"/>
          <w:sz w:val="24"/>
          <w:szCs w:val="24"/>
          <w:highlight w:val="none"/>
        </w:rPr>
      </w:pPr>
      <w:r>
        <w:rPr>
          <w:spacing w:val="-2"/>
          <w:sz w:val="24"/>
          <w:szCs w:val="24"/>
          <w:highlight w:val="none"/>
        </w:rPr>
        <w:t>19.2 投标人递交（上传）投标文件的地点见“第一章 招标公告</w:t>
      </w:r>
      <w:r>
        <w:rPr>
          <w:spacing w:val="-81"/>
          <w:sz w:val="24"/>
          <w:szCs w:val="24"/>
          <w:highlight w:val="none"/>
        </w:rPr>
        <w:t xml:space="preserve"> </w:t>
      </w:r>
      <w:r>
        <w:rPr>
          <w:spacing w:val="-2"/>
          <w:sz w:val="24"/>
          <w:szCs w:val="24"/>
          <w:highlight w:val="none"/>
        </w:rPr>
        <w:t>”。</w:t>
      </w:r>
    </w:p>
    <w:p w14:paraId="3B1C2F39">
      <w:pPr>
        <w:pStyle w:val="6"/>
        <w:spacing w:before="45" w:line="359" w:lineRule="auto"/>
        <w:ind w:left="49" w:right="482" w:firstLine="8"/>
        <w:rPr>
          <w:sz w:val="24"/>
          <w:szCs w:val="24"/>
          <w:highlight w:val="none"/>
        </w:rPr>
      </w:pPr>
      <w:r>
        <w:rPr>
          <w:spacing w:val="-2"/>
          <w:sz w:val="24"/>
          <w:szCs w:val="24"/>
          <w:highlight w:val="none"/>
        </w:rPr>
        <w:t>19.3 投标人应充分评估集中同时投标带来的网络影响，尽量避开投标高峰时间，</w:t>
      </w:r>
      <w:r>
        <w:rPr>
          <w:spacing w:val="-3"/>
          <w:sz w:val="24"/>
          <w:szCs w:val="24"/>
          <w:highlight w:val="none"/>
        </w:rPr>
        <w:t>错峰进</w:t>
      </w:r>
      <w:r>
        <w:rPr>
          <w:spacing w:val="-5"/>
          <w:sz w:val="24"/>
          <w:szCs w:val="24"/>
          <w:highlight w:val="none"/>
        </w:rPr>
        <w:t>行电子投标。</w:t>
      </w:r>
    </w:p>
    <w:p w14:paraId="2DDA5643">
      <w:pPr>
        <w:pStyle w:val="6"/>
        <w:spacing w:line="359" w:lineRule="auto"/>
        <w:ind w:left="47" w:right="424" w:firstLine="10"/>
        <w:rPr>
          <w:sz w:val="24"/>
          <w:szCs w:val="24"/>
          <w:highlight w:val="none"/>
        </w:rPr>
      </w:pPr>
      <w:r>
        <w:rPr>
          <w:spacing w:val="-1"/>
          <w:sz w:val="24"/>
          <w:szCs w:val="24"/>
          <w:highlight w:val="none"/>
        </w:rPr>
        <w:t>19.4 投标人应在供应商客户端中下载未加密且完成签章的投标文件妥善保存，以便启动</w:t>
      </w:r>
      <w:r>
        <w:rPr>
          <w:spacing w:val="-2"/>
          <w:sz w:val="24"/>
          <w:szCs w:val="24"/>
          <w:highlight w:val="none"/>
        </w:rPr>
        <w:t>应急开标程序时使用。</w:t>
      </w:r>
    </w:p>
    <w:p w14:paraId="236122C2">
      <w:pPr>
        <w:pStyle w:val="6"/>
        <w:spacing w:line="222" w:lineRule="auto"/>
        <w:ind w:left="57"/>
        <w:rPr>
          <w:sz w:val="24"/>
          <w:szCs w:val="24"/>
          <w:highlight w:val="none"/>
        </w:rPr>
      </w:pPr>
      <w:r>
        <w:rPr>
          <w:spacing w:val="-4"/>
          <w:sz w:val="24"/>
          <w:szCs w:val="24"/>
          <w:highlight w:val="none"/>
        </w:rPr>
        <w:t>19.5 投标人所递交的投标文件不予退还。</w:t>
      </w:r>
    </w:p>
    <w:p w14:paraId="4F96770C">
      <w:pPr>
        <w:pStyle w:val="6"/>
        <w:spacing w:before="179" w:line="223" w:lineRule="auto"/>
        <w:ind w:left="42"/>
        <w:outlineLvl w:val="2"/>
        <w:rPr>
          <w:sz w:val="24"/>
          <w:szCs w:val="24"/>
          <w:highlight w:val="none"/>
        </w:rPr>
      </w:pPr>
      <w:r>
        <w:rPr>
          <w:b/>
          <w:bCs/>
          <w:spacing w:val="-8"/>
          <w:sz w:val="24"/>
          <w:szCs w:val="24"/>
          <w:highlight w:val="none"/>
        </w:rPr>
        <w:t>20.拒收</w:t>
      </w:r>
    </w:p>
    <w:p w14:paraId="205384CF">
      <w:pPr>
        <w:pStyle w:val="6"/>
        <w:spacing w:before="175" w:line="360" w:lineRule="auto"/>
        <w:ind w:left="59" w:right="458" w:hanging="17"/>
        <w:rPr>
          <w:sz w:val="24"/>
          <w:szCs w:val="24"/>
          <w:highlight w:val="none"/>
        </w:rPr>
      </w:pPr>
      <w:r>
        <w:rPr>
          <w:spacing w:val="-1"/>
          <w:sz w:val="24"/>
          <w:szCs w:val="24"/>
          <w:highlight w:val="none"/>
        </w:rPr>
        <w:t>20.1 超过投标文件提交截止时间或者不按照本章要求加密的投标文件，交易</w:t>
      </w:r>
      <w:r>
        <w:rPr>
          <w:spacing w:val="-2"/>
          <w:sz w:val="24"/>
          <w:szCs w:val="24"/>
          <w:highlight w:val="none"/>
        </w:rPr>
        <w:t>系统应当拒</w:t>
      </w:r>
      <w:r>
        <w:rPr>
          <w:spacing w:val="-15"/>
          <w:sz w:val="24"/>
          <w:szCs w:val="24"/>
          <w:highlight w:val="none"/>
        </w:rPr>
        <w:t>收。</w:t>
      </w:r>
    </w:p>
    <w:p w14:paraId="4DCE3E2B">
      <w:pPr>
        <w:pStyle w:val="6"/>
        <w:spacing w:line="222" w:lineRule="auto"/>
        <w:ind w:left="42"/>
        <w:outlineLvl w:val="2"/>
        <w:rPr>
          <w:sz w:val="24"/>
          <w:szCs w:val="24"/>
          <w:highlight w:val="none"/>
        </w:rPr>
      </w:pPr>
      <w:r>
        <w:rPr>
          <w:b/>
          <w:bCs/>
          <w:spacing w:val="-6"/>
          <w:sz w:val="24"/>
          <w:szCs w:val="24"/>
          <w:highlight w:val="none"/>
        </w:rPr>
        <w:t>21.投标文件的修改与撤回</w:t>
      </w:r>
    </w:p>
    <w:p w14:paraId="289C53C4">
      <w:pPr>
        <w:pStyle w:val="6"/>
        <w:spacing w:before="177" w:line="359" w:lineRule="auto"/>
        <w:ind w:left="42" w:right="311" w:hanging="4"/>
        <w:jc w:val="both"/>
        <w:rPr>
          <w:sz w:val="24"/>
          <w:szCs w:val="24"/>
          <w:highlight w:val="none"/>
        </w:rPr>
      </w:pPr>
      <w:r>
        <w:rPr>
          <w:spacing w:val="-4"/>
          <w:sz w:val="24"/>
          <w:szCs w:val="24"/>
          <w:highlight w:val="none"/>
        </w:rPr>
        <w:t>21.1投标人在“第一章 招标公告</w:t>
      </w:r>
      <w:r>
        <w:rPr>
          <w:spacing w:val="-87"/>
          <w:sz w:val="24"/>
          <w:szCs w:val="24"/>
          <w:highlight w:val="none"/>
        </w:rPr>
        <w:t xml:space="preserve"> </w:t>
      </w:r>
      <w:r>
        <w:rPr>
          <w:spacing w:val="-4"/>
          <w:sz w:val="24"/>
          <w:szCs w:val="24"/>
          <w:highlight w:val="none"/>
        </w:rPr>
        <w:t>”规定的投标文件递交截止时间之前，可随时撤回已上传</w:t>
      </w:r>
      <w:r>
        <w:rPr>
          <w:spacing w:val="-2"/>
          <w:sz w:val="24"/>
          <w:szCs w:val="24"/>
          <w:highlight w:val="none"/>
        </w:rPr>
        <w:t>的电子投标文件，将修改好的电子投标文件在投标文件递交截止时间前重新上传到政府采</w:t>
      </w:r>
      <w:r>
        <w:rPr>
          <w:spacing w:val="-3"/>
          <w:sz w:val="24"/>
          <w:szCs w:val="24"/>
          <w:highlight w:val="none"/>
        </w:rPr>
        <w:t>购电子交易云平台的指定位置。</w:t>
      </w:r>
    </w:p>
    <w:p w14:paraId="7AC2B07A">
      <w:pPr>
        <w:pStyle w:val="6"/>
        <w:spacing w:before="2" w:line="219" w:lineRule="auto"/>
        <w:ind w:left="42"/>
        <w:outlineLvl w:val="2"/>
        <w:rPr>
          <w:sz w:val="24"/>
          <w:szCs w:val="24"/>
          <w:highlight w:val="none"/>
        </w:rPr>
      </w:pPr>
      <w:r>
        <w:rPr>
          <w:b/>
          <w:bCs/>
          <w:spacing w:val="-8"/>
          <w:sz w:val="24"/>
          <w:szCs w:val="24"/>
          <w:highlight w:val="none"/>
        </w:rPr>
        <w:t>22.实物样品</w:t>
      </w:r>
    </w:p>
    <w:p w14:paraId="3CA58C6D">
      <w:pPr>
        <w:pStyle w:val="6"/>
        <w:spacing w:before="180" w:line="359" w:lineRule="auto"/>
        <w:ind w:left="46" w:hanging="4"/>
        <w:rPr>
          <w:sz w:val="24"/>
          <w:szCs w:val="24"/>
          <w:highlight w:val="none"/>
        </w:rPr>
      </w:pPr>
      <w:r>
        <w:rPr>
          <w:spacing w:val="-8"/>
          <w:sz w:val="24"/>
          <w:szCs w:val="24"/>
          <w:highlight w:val="none"/>
        </w:rPr>
        <w:t>22.1“投标人须知前附表”要求提供样品的，样品的具体要求及评审详见“第三章 采购需求</w:t>
      </w:r>
      <w:r>
        <w:rPr>
          <w:spacing w:val="-76"/>
          <w:sz w:val="24"/>
          <w:szCs w:val="24"/>
          <w:highlight w:val="none"/>
        </w:rPr>
        <w:t xml:space="preserve"> </w:t>
      </w:r>
      <w:r>
        <w:rPr>
          <w:spacing w:val="-8"/>
          <w:sz w:val="24"/>
          <w:szCs w:val="24"/>
          <w:highlight w:val="none"/>
        </w:rPr>
        <w:t>”</w:t>
      </w:r>
      <w:r>
        <w:rPr>
          <w:spacing w:val="-1"/>
          <w:sz w:val="24"/>
          <w:szCs w:val="24"/>
          <w:highlight w:val="none"/>
        </w:rPr>
        <w:t>和“第五章 评标方法及标准”。</w:t>
      </w:r>
    </w:p>
    <w:p w14:paraId="6B025DF9">
      <w:pPr>
        <w:pStyle w:val="6"/>
        <w:spacing w:before="2" w:line="359" w:lineRule="auto"/>
        <w:ind w:left="45" w:right="393" w:hanging="3"/>
        <w:rPr>
          <w:sz w:val="24"/>
          <w:szCs w:val="24"/>
          <w:highlight w:val="none"/>
        </w:rPr>
      </w:pPr>
      <w:r>
        <w:rPr>
          <w:spacing w:val="-3"/>
          <w:sz w:val="24"/>
          <w:szCs w:val="24"/>
          <w:highlight w:val="none"/>
        </w:rPr>
        <w:t>22.2样品退还：未中标的投标人应按照“投标人须知前附表</w:t>
      </w:r>
      <w:r>
        <w:rPr>
          <w:spacing w:val="-91"/>
          <w:sz w:val="24"/>
          <w:szCs w:val="24"/>
          <w:highlight w:val="none"/>
        </w:rPr>
        <w:t xml:space="preserve"> </w:t>
      </w:r>
      <w:r>
        <w:rPr>
          <w:spacing w:val="-3"/>
          <w:sz w:val="24"/>
          <w:szCs w:val="24"/>
          <w:highlight w:val="none"/>
        </w:rPr>
        <w:t>”要求自行</w:t>
      </w:r>
      <w:r>
        <w:rPr>
          <w:spacing w:val="-4"/>
          <w:sz w:val="24"/>
          <w:szCs w:val="24"/>
          <w:highlight w:val="none"/>
        </w:rPr>
        <w:t>联系采购人取回投</w:t>
      </w:r>
      <w:r>
        <w:rPr>
          <w:spacing w:val="-3"/>
          <w:sz w:val="24"/>
          <w:szCs w:val="24"/>
          <w:highlight w:val="none"/>
        </w:rPr>
        <w:t>标样品；中标人的样品由采购人进行保管、封存，并作为履约验收的参考（招标文件另有规定的从其规定）。</w:t>
      </w:r>
    </w:p>
    <w:p w14:paraId="08C6B871">
      <w:pPr>
        <w:pStyle w:val="6"/>
        <w:spacing w:line="225" w:lineRule="auto"/>
        <w:ind w:left="42"/>
        <w:outlineLvl w:val="2"/>
        <w:rPr>
          <w:sz w:val="24"/>
          <w:szCs w:val="24"/>
          <w:highlight w:val="none"/>
        </w:rPr>
      </w:pPr>
      <w:r>
        <w:rPr>
          <w:b/>
          <w:bCs/>
          <w:spacing w:val="-8"/>
          <w:sz w:val="24"/>
          <w:szCs w:val="24"/>
          <w:highlight w:val="none"/>
        </w:rPr>
        <w:t>23.演示</w:t>
      </w:r>
    </w:p>
    <w:p w14:paraId="2CF1D55E">
      <w:pPr>
        <w:pStyle w:val="6"/>
        <w:spacing w:before="172" w:line="221" w:lineRule="auto"/>
        <w:ind w:left="42"/>
        <w:rPr>
          <w:sz w:val="24"/>
          <w:szCs w:val="24"/>
          <w:highlight w:val="none"/>
        </w:rPr>
      </w:pPr>
      <w:r>
        <w:rPr>
          <w:sz w:val="24"/>
          <w:szCs w:val="24"/>
          <w:highlight w:val="none"/>
        </w:rPr>
        <w:t>23.1要求投标人进行演示的，演示要求详见“</w:t>
      </w:r>
      <w:r>
        <w:rPr>
          <w:spacing w:val="-1"/>
          <w:sz w:val="24"/>
          <w:szCs w:val="24"/>
          <w:highlight w:val="none"/>
        </w:rPr>
        <w:t>投标人须知前附表”。</w:t>
      </w:r>
    </w:p>
    <w:p w14:paraId="7E217714">
      <w:pPr>
        <w:pStyle w:val="6"/>
        <w:spacing w:before="181" w:line="221" w:lineRule="auto"/>
        <w:ind w:left="42"/>
        <w:rPr>
          <w:sz w:val="24"/>
          <w:szCs w:val="24"/>
          <w:highlight w:val="none"/>
        </w:rPr>
      </w:pPr>
      <w:r>
        <w:rPr>
          <w:spacing w:val="-2"/>
          <w:sz w:val="24"/>
          <w:szCs w:val="24"/>
          <w:highlight w:val="none"/>
        </w:rPr>
        <w:t>23.2演示的评审详见“第三章 采购需求</w:t>
      </w:r>
      <w:r>
        <w:rPr>
          <w:spacing w:val="-90"/>
          <w:sz w:val="24"/>
          <w:szCs w:val="24"/>
          <w:highlight w:val="none"/>
        </w:rPr>
        <w:t xml:space="preserve"> </w:t>
      </w:r>
      <w:r>
        <w:rPr>
          <w:spacing w:val="-2"/>
          <w:sz w:val="24"/>
          <w:szCs w:val="24"/>
          <w:highlight w:val="none"/>
        </w:rPr>
        <w:t>”和“第五章 评标</w:t>
      </w:r>
      <w:r>
        <w:rPr>
          <w:spacing w:val="-3"/>
          <w:sz w:val="24"/>
          <w:szCs w:val="24"/>
          <w:highlight w:val="none"/>
        </w:rPr>
        <w:t>方法及标准</w:t>
      </w:r>
      <w:r>
        <w:rPr>
          <w:spacing w:val="-86"/>
          <w:sz w:val="24"/>
          <w:szCs w:val="24"/>
          <w:highlight w:val="none"/>
        </w:rPr>
        <w:t xml:space="preserve"> </w:t>
      </w:r>
      <w:r>
        <w:rPr>
          <w:spacing w:val="-3"/>
          <w:sz w:val="24"/>
          <w:szCs w:val="24"/>
          <w:highlight w:val="none"/>
        </w:rPr>
        <w:t>”。</w:t>
      </w:r>
    </w:p>
    <w:p w14:paraId="7202AC06">
      <w:pPr>
        <w:pStyle w:val="6"/>
        <w:spacing w:before="179" w:line="222" w:lineRule="auto"/>
        <w:ind w:left="52"/>
        <w:outlineLvl w:val="2"/>
        <w:rPr>
          <w:sz w:val="24"/>
          <w:szCs w:val="24"/>
          <w:highlight w:val="none"/>
        </w:rPr>
      </w:pPr>
      <w:r>
        <w:rPr>
          <w:b/>
          <w:bCs/>
          <w:spacing w:val="-12"/>
          <w:sz w:val="24"/>
          <w:szCs w:val="24"/>
          <w:highlight w:val="none"/>
        </w:rPr>
        <w:t>（五）开标</w:t>
      </w:r>
    </w:p>
    <w:p w14:paraId="10ECD2E1">
      <w:pPr>
        <w:pStyle w:val="6"/>
        <w:spacing w:before="179" w:line="222" w:lineRule="auto"/>
        <w:ind w:left="42"/>
        <w:outlineLvl w:val="2"/>
        <w:rPr>
          <w:sz w:val="24"/>
          <w:szCs w:val="24"/>
          <w:highlight w:val="none"/>
        </w:rPr>
      </w:pPr>
      <w:r>
        <w:rPr>
          <w:b/>
          <w:bCs/>
          <w:spacing w:val="-8"/>
          <w:sz w:val="24"/>
          <w:szCs w:val="24"/>
          <w:highlight w:val="none"/>
        </w:rPr>
        <w:t>24.开标会议</w:t>
      </w:r>
    </w:p>
    <w:p w14:paraId="3BFA228E">
      <w:pPr>
        <w:pStyle w:val="6"/>
        <w:spacing w:before="180" w:line="358" w:lineRule="auto"/>
        <w:ind w:left="41" w:right="311" w:hanging="3"/>
        <w:rPr>
          <w:sz w:val="24"/>
          <w:szCs w:val="24"/>
          <w:highlight w:val="none"/>
        </w:rPr>
      </w:pPr>
      <w:r>
        <w:rPr>
          <w:spacing w:val="-4"/>
          <w:sz w:val="24"/>
          <w:szCs w:val="24"/>
          <w:highlight w:val="none"/>
        </w:rPr>
        <w:t>24.1开标会按“第一章 招标公告</w:t>
      </w:r>
      <w:r>
        <w:rPr>
          <w:spacing w:val="-87"/>
          <w:sz w:val="24"/>
          <w:szCs w:val="24"/>
          <w:highlight w:val="none"/>
        </w:rPr>
        <w:t xml:space="preserve"> </w:t>
      </w:r>
      <w:r>
        <w:rPr>
          <w:spacing w:val="-4"/>
          <w:sz w:val="24"/>
          <w:szCs w:val="24"/>
          <w:highlight w:val="none"/>
        </w:rPr>
        <w:t>”规定的开标时间和地点准时举行，采购人、采购代理机</w:t>
      </w:r>
      <w:r>
        <w:rPr>
          <w:spacing w:val="-3"/>
          <w:sz w:val="24"/>
          <w:szCs w:val="24"/>
          <w:highlight w:val="none"/>
        </w:rPr>
        <w:t>构邀请所有投标人准时参加开标会。投标人应按照招标文件的要求参与不见</w:t>
      </w:r>
      <w:r>
        <w:rPr>
          <w:spacing w:val="-4"/>
          <w:sz w:val="24"/>
          <w:szCs w:val="24"/>
          <w:highlight w:val="none"/>
        </w:rPr>
        <w:t>面开标。</w:t>
      </w:r>
    </w:p>
    <w:p w14:paraId="314BB8D5">
      <w:pPr>
        <w:pStyle w:val="6"/>
        <w:spacing w:before="3" w:line="358" w:lineRule="auto"/>
        <w:ind w:left="46" w:right="312" w:hanging="8"/>
        <w:rPr>
          <w:sz w:val="24"/>
          <w:szCs w:val="24"/>
          <w:highlight w:val="none"/>
        </w:rPr>
      </w:pPr>
      <w:r>
        <w:rPr>
          <w:spacing w:val="-3"/>
          <w:sz w:val="24"/>
          <w:szCs w:val="24"/>
          <w:highlight w:val="none"/>
        </w:rPr>
        <w:t>24.2 采购代理机构按照招标文件规定的时间、地点主持开标。采购人</w:t>
      </w:r>
      <w:r>
        <w:rPr>
          <w:spacing w:val="-4"/>
          <w:sz w:val="24"/>
          <w:szCs w:val="24"/>
          <w:highlight w:val="none"/>
        </w:rPr>
        <w:t>在规定的投标文件递</w:t>
      </w:r>
      <w:r>
        <w:rPr>
          <w:spacing w:val="-3"/>
          <w:sz w:val="24"/>
          <w:szCs w:val="24"/>
          <w:highlight w:val="none"/>
        </w:rPr>
        <w:t>交截止时间（开标时间）和地点进行不见面</w:t>
      </w:r>
      <w:r>
        <w:rPr>
          <w:spacing w:val="-4"/>
          <w:sz w:val="24"/>
          <w:szCs w:val="24"/>
          <w:highlight w:val="none"/>
        </w:rPr>
        <w:t>远程开标。投标人的法定代表人或其委托代理人无需到达开标现场，仅需在任意地点通过政府采购云平台（网址：</w:t>
      </w:r>
    </w:p>
    <w:p w14:paraId="24B1B488">
      <w:pPr>
        <w:pStyle w:val="6"/>
        <w:spacing w:before="46" w:line="359" w:lineRule="auto"/>
        <w:ind w:left="43" w:hanging="1"/>
        <w:jc w:val="both"/>
        <w:rPr>
          <w:spacing w:val="-5"/>
          <w:sz w:val="24"/>
          <w:szCs w:val="24"/>
          <w:highlight w:val="none"/>
        </w:rPr>
      </w:pPr>
      <w:r>
        <w:rPr>
          <w:highlight w:val="none"/>
        </w:rPr>
        <w:fldChar w:fldCharType="begin"/>
      </w:r>
      <w:r>
        <w:rPr>
          <w:highlight w:val="none"/>
        </w:rPr>
        <w:instrText xml:space="preserve"> HYPERLINK "https://www.zcygov.cn/" </w:instrText>
      </w:r>
      <w:r>
        <w:rPr>
          <w:highlight w:val="none"/>
        </w:rPr>
        <w:fldChar w:fldCharType="separate"/>
      </w:r>
      <w:r>
        <w:rPr>
          <w:spacing w:val="-1"/>
          <w:sz w:val="24"/>
          <w:szCs w:val="24"/>
          <w:highlight w:val="none"/>
        </w:rPr>
        <w:t>https://www.zcygov.cn/</w:t>
      </w:r>
      <w:r>
        <w:rPr>
          <w:spacing w:val="-1"/>
          <w:sz w:val="24"/>
          <w:szCs w:val="24"/>
          <w:highlight w:val="none"/>
        </w:rPr>
        <w:fldChar w:fldCharType="end"/>
      </w:r>
      <w:r>
        <w:rPr>
          <w:spacing w:val="-1"/>
          <w:sz w:val="24"/>
          <w:szCs w:val="24"/>
          <w:highlight w:val="none"/>
        </w:rPr>
        <w:t>）的“政采云登录入口”登录后，进入“政采云远程开标大厅”</w:t>
      </w:r>
      <w:r>
        <w:rPr>
          <w:spacing w:val="-4"/>
          <w:sz w:val="24"/>
          <w:szCs w:val="24"/>
          <w:highlight w:val="none"/>
        </w:rPr>
        <w:t>参加开标会议，并使用CA密钥完成远程解密、提疑澄清、开</w:t>
      </w:r>
      <w:r>
        <w:rPr>
          <w:spacing w:val="-5"/>
          <w:sz w:val="24"/>
          <w:szCs w:val="24"/>
          <w:highlight w:val="none"/>
        </w:rPr>
        <w:t>标唱标、结果公布等交互环节。</w:t>
      </w:r>
    </w:p>
    <w:p w14:paraId="2F0935B0">
      <w:pPr>
        <w:pStyle w:val="6"/>
        <w:spacing w:before="46" w:line="359" w:lineRule="auto"/>
        <w:ind w:left="43" w:hanging="1"/>
        <w:jc w:val="both"/>
        <w:rPr>
          <w:sz w:val="24"/>
          <w:szCs w:val="24"/>
          <w:highlight w:val="none"/>
        </w:rPr>
      </w:pPr>
      <w:r>
        <w:rPr>
          <w:sz w:val="24"/>
          <w:szCs w:val="24"/>
          <w:highlight w:val="none"/>
        </w:rPr>
        <w:t>24.3开标过程将宣布投标人名称、投标价格</w:t>
      </w:r>
      <w:r>
        <w:rPr>
          <w:spacing w:val="-1"/>
          <w:sz w:val="24"/>
          <w:szCs w:val="24"/>
          <w:highlight w:val="none"/>
        </w:rPr>
        <w:t>和招标文件规定的需要宣布的其他内容并进行记录，并由参加开标的各投标人确认。投标人未在规定时间内提出疑义或确认一览表的，</w:t>
      </w:r>
      <w:r>
        <w:rPr>
          <w:spacing w:val="-3"/>
          <w:sz w:val="24"/>
          <w:szCs w:val="24"/>
          <w:highlight w:val="none"/>
        </w:rPr>
        <w:t>视同认可开标结果。</w:t>
      </w:r>
    </w:p>
    <w:p w14:paraId="6C1A10EF">
      <w:pPr>
        <w:pStyle w:val="6"/>
        <w:spacing w:line="222" w:lineRule="auto"/>
        <w:ind w:left="42"/>
        <w:outlineLvl w:val="2"/>
        <w:rPr>
          <w:sz w:val="24"/>
          <w:szCs w:val="24"/>
          <w:highlight w:val="none"/>
        </w:rPr>
      </w:pPr>
      <w:r>
        <w:rPr>
          <w:b/>
          <w:bCs/>
          <w:spacing w:val="-8"/>
          <w:sz w:val="24"/>
          <w:szCs w:val="24"/>
          <w:highlight w:val="none"/>
        </w:rPr>
        <w:t>25.开标程序</w:t>
      </w:r>
    </w:p>
    <w:p w14:paraId="0CC5B86B">
      <w:pPr>
        <w:pStyle w:val="6"/>
        <w:spacing w:before="176" w:line="222" w:lineRule="auto"/>
        <w:ind w:left="42"/>
        <w:rPr>
          <w:sz w:val="24"/>
          <w:szCs w:val="24"/>
          <w:highlight w:val="none"/>
        </w:rPr>
      </w:pPr>
      <w:r>
        <w:rPr>
          <w:spacing w:val="-3"/>
          <w:sz w:val="24"/>
          <w:szCs w:val="24"/>
          <w:highlight w:val="none"/>
        </w:rPr>
        <w:t>25.1 投标人不足3家的，不得开标。</w:t>
      </w:r>
    </w:p>
    <w:p w14:paraId="691124D9">
      <w:pPr>
        <w:pStyle w:val="6"/>
        <w:spacing w:before="179" w:line="222" w:lineRule="auto"/>
        <w:ind w:left="42"/>
        <w:rPr>
          <w:sz w:val="24"/>
          <w:szCs w:val="24"/>
          <w:highlight w:val="none"/>
        </w:rPr>
      </w:pPr>
      <w:r>
        <w:rPr>
          <w:spacing w:val="-2"/>
          <w:sz w:val="24"/>
          <w:szCs w:val="24"/>
          <w:highlight w:val="none"/>
        </w:rPr>
        <w:t>25.2 评标委员会成员不得参加开标活动。</w:t>
      </w:r>
    </w:p>
    <w:p w14:paraId="49D11DEA">
      <w:pPr>
        <w:pStyle w:val="6"/>
        <w:spacing w:before="177" w:line="221" w:lineRule="auto"/>
        <w:ind w:left="42"/>
        <w:rPr>
          <w:sz w:val="24"/>
          <w:szCs w:val="24"/>
          <w:highlight w:val="none"/>
        </w:rPr>
      </w:pPr>
      <w:r>
        <w:rPr>
          <w:spacing w:val="-3"/>
          <w:sz w:val="24"/>
          <w:szCs w:val="24"/>
          <w:highlight w:val="none"/>
        </w:rPr>
        <w:t>25.3 主持人按下列程序进行开标：</w:t>
      </w:r>
    </w:p>
    <w:p w14:paraId="7CE73769">
      <w:pPr>
        <w:pStyle w:val="6"/>
        <w:spacing w:before="181" w:line="220" w:lineRule="auto"/>
        <w:ind w:left="52"/>
        <w:rPr>
          <w:sz w:val="24"/>
          <w:szCs w:val="24"/>
          <w:highlight w:val="none"/>
        </w:rPr>
      </w:pPr>
      <w:r>
        <w:rPr>
          <w:spacing w:val="-4"/>
          <w:sz w:val="24"/>
          <w:szCs w:val="24"/>
          <w:highlight w:val="none"/>
        </w:rPr>
        <w:t>（1）宣布开标会纪律；</w:t>
      </w:r>
    </w:p>
    <w:p w14:paraId="0765D011">
      <w:pPr>
        <w:pStyle w:val="6"/>
        <w:spacing w:before="181" w:line="221" w:lineRule="auto"/>
        <w:ind w:left="52"/>
        <w:rPr>
          <w:sz w:val="24"/>
          <w:szCs w:val="24"/>
          <w:highlight w:val="none"/>
        </w:rPr>
      </w:pPr>
      <w:r>
        <w:rPr>
          <w:spacing w:val="-4"/>
          <w:sz w:val="24"/>
          <w:szCs w:val="24"/>
          <w:highlight w:val="none"/>
        </w:rPr>
        <w:t>（2）介绍参加开标会的单位和人员；</w:t>
      </w:r>
    </w:p>
    <w:p w14:paraId="3A89D863">
      <w:pPr>
        <w:pStyle w:val="6"/>
        <w:spacing w:before="178" w:line="358" w:lineRule="auto"/>
        <w:ind w:left="47" w:right="184" w:firstLine="5"/>
        <w:rPr>
          <w:sz w:val="24"/>
          <w:szCs w:val="24"/>
          <w:highlight w:val="none"/>
        </w:rPr>
      </w:pPr>
      <w:r>
        <w:rPr>
          <w:spacing w:val="-3"/>
          <w:sz w:val="24"/>
          <w:szCs w:val="24"/>
          <w:highlight w:val="none"/>
        </w:rPr>
        <w:t>（3）发起投标文件解密。投标人应在“投标人须知前附表</w:t>
      </w:r>
      <w:r>
        <w:rPr>
          <w:spacing w:val="-90"/>
          <w:sz w:val="24"/>
          <w:szCs w:val="24"/>
          <w:highlight w:val="none"/>
        </w:rPr>
        <w:t xml:space="preserve"> </w:t>
      </w:r>
      <w:r>
        <w:rPr>
          <w:spacing w:val="-3"/>
          <w:sz w:val="24"/>
          <w:szCs w:val="24"/>
          <w:highlight w:val="none"/>
        </w:rPr>
        <w:t>”规定的时间</w:t>
      </w:r>
      <w:r>
        <w:rPr>
          <w:spacing w:val="-4"/>
          <w:sz w:val="24"/>
          <w:szCs w:val="24"/>
          <w:highlight w:val="none"/>
        </w:rPr>
        <w:t>内使用加密投标</w:t>
      </w:r>
      <w:r>
        <w:rPr>
          <w:spacing w:val="-2"/>
          <w:sz w:val="24"/>
          <w:szCs w:val="24"/>
          <w:highlight w:val="none"/>
        </w:rPr>
        <w:t>文件的CA证书在系统中完成投标文件的解密；</w:t>
      </w:r>
    </w:p>
    <w:p w14:paraId="4456980D">
      <w:pPr>
        <w:pStyle w:val="6"/>
        <w:spacing w:before="4" w:line="359" w:lineRule="auto"/>
        <w:ind w:left="48" w:right="160" w:firstLine="4"/>
        <w:rPr>
          <w:sz w:val="24"/>
          <w:szCs w:val="24"/>
          <w:highlight w:val="none"/>
        </w:rPr>
      </w:pPr>
      <w:r>
        <w:rPr>
          <w:spacing w:val="-2"/>
          <w:sz w:val="24"/>
          <w:szCs w:val="24"/>
          <w:highlight w:val="none"/>
        </w:rPr>
        <w:t>（4）解密完成后，系统自动显示投标人名称、投标价格和招标文件规定的需要宣布的其</w:t>
      </w:r>
      <w:r>
        <w:rPr>
          <w:spacing w:val="-7"/>
          <w:sz w:val="24"/>
          <w:szCs w:val="24"/>
          <w:highlight w:val="none"/>
        </w:rPr>
        <w:t>他内容；</w:t>
      </w:r>
    </w:p>
    <w:p w14:paraId="4E53954B">
      <w:pPr>
        <w:pStyle w:val="6"/>
        <w:spacing w:line="219" w:lineRule="auto"/>
        <w:ind w:left="52"/>
        <w:rPr>
          <w:sz w:val="24"/>
          <w:szCs w:val="24"/>
          <w:highlight w:val="none"/>
        </w:rPr>
      </w:pPr>
      <w:r>
        <w:rPr>
          <w:spacing w:val="-2"/>
          <w:sz w:val="24"/>
          <w:szCs w:val="24"/>
          <w:highlight w:val="none"/>
        </w:rPr>
        <w:t>（5）系统自动生成开标记录表，投标人应在线对开标记录进行签署确认；</w:t>
      </w:r>
    </w:p>
    <w:p w14:paraId="0E53F1AB">
      <w:pPr>
        <w:pStyle w:val="6"/>
        <w:spacing w:before="183" w:line="220" w:lineRule="auto"/>
        <w:ind w:left="52"/>
        <w:rPr>
          <w:sz w:val="24"/>
          <w:szCs w:val="24"/>
          <w:highlight w:val="none"/>
        </w:rPr>
      </w:pPr>
      <w:r>
        <w:rPr>
          <w:spacing w:val="-4"/>
          <w:sz w:val="24"/>
          <w:szCs w:val="24"/>
          <w:highlight w:val="none"/>
        </w:rPr>
        <w:t>（6）开标会结束。</w:t>
      </w:r>
    </w:p>
    <w:p w14:paraId="047A2B59">
      <w:pPr>
        <w:pStyle w:val="6"/>
        <w:spacing w:before="180" w:line="222" w:lineRule="auto"/>
        <w:ind w:left="42"/>
        <w:outlineLvl w:val="2"/>
        <w:rPr>
          <w:sz w:val="24"/>
          <w:szCs w:val="24"/>
          <w:highlight w:val="none"/>
        </w:rPr>
      </w:pPr>
      <w:r>
        <w:rPr>
          <w:b/>
          <w:bCs/>
          <w:spacing w:val="-7"/>
          <w:sz w:val="24"/>
          <w:szCs w:val="24"/>
          <w:highlight w:val="none"/>
        </w:rPr>
        <w:t>26.开标疑义及回避情形</w:t>
      </w:r>
    </w:p>
    <w:p w14:paraId="1EF377B8">
      <w:pPr>
        <w:pStyle w:val="6"/>
        <w:spacing w:before="178" w:line="359" w:lineRule="auto"/>
        <w:ind w:left="45" w:right="45" w:hanging="3"/>
        <w:rPr>
          <w:sz w:val="24"/>
          <w:szCs w:val="24"/>
          <w:highlight w:val="none"/>
        </w:rPr>
      </w:pPr>
      <w:r>
        <w:rPr>
          <w:spacing w:val="-2"/>
          <w:sz w:val="24"/>
          <w:szCs w:val="24"/>
          <w:highlight w:val="none"/>
        </w:rPr>
        <w:t>26.1投标人代表对开标过程和开标记录有疑义，以及认为采购人、采购代理机构相关工作</w:t>
      </w:r>
      <w:r>
        <w:rPr>
          <w:spacing w:val="-3"/>
          <w:sz w:val="24"/>
          <w:szCs w:val="24"/>
          <w:highlight w:val="none"/>
        </w:rPr>
        <w:t>人员有需要回避的情形的，应在开标会议中提出询问或</w:t>
      </w:r>
      <w:r>
        <w:rPr>
          <w:spacing w:val="-4"/>
          <w:sz w:val="24"/>
          <w:szCs w:val="24"/>
          <w:highlight w:val="none"/>
        </w:rPr>
        <w:t>者回避申请。采购人、采购代理机构对投标人授权代表提出的询问或者回避申请应当及时处理。</w:t>
      </w:r>
    </w:p>
    <w:p w14:paraId="2A2A5538">
      <w:pPr>
        <w:pStyle w:val="6"/>
        <w:spacing w:before="1" w:line="222" w:lineRule="auto"/>
        <w:ind w:left="42"/>
        <w:rPr>
          <w:sz w:val="24"/>
          <w:szCs w:val="24"/>
          <w:highlight w:val="none"/>
        </w:rPr>
      </w:pPr>
      <w:r>
        <w:rPr>
          <w:spacing w:val="-2"/>
          <w:sz w:val="24"/>
          <w:szCs w:val="24"/>
          <w:highlight w:val="none"/>
        </w:rPr>
        <w:t>26.2投标人未参加开标的，视同认可开标结果。</w:t>
      </w:r>
    </w:p>
    <w:p w14:paraId="4048B09B">
      <w:pPr>
        <w:pStyle w:val="6"/>
        <w:spacing w:before="179" w:line="222" w:lineRule="auto"/>
        <w:ind w:left="52"/>
        <w:outlineLvl w:val="2"/>
        <w:rPr>
          <w:sz w:val="24"/>
          <w:szCs w:val="24"/>
          <w:highlight w:val="none"/>
        </w:rPr>
      </w:pPr>
      <w:r>
        <w:rPr>
          <w:b/>
          <w:bCs/>
          <w:spacing w:val="-10"/>
          <w:sz w:val="24"/>
          <w:szCs w:val="24"/>
          <w:highlight w:val="none"/>
        </w:rPr>
        <w:t>（六）资格审查</w:t>
      </w:r>
    </w:p>
    <w:p w14:paraId="0D436C21">
      <w:pPr>
        <w:pStyle w:val="6"/>
        <w:spacing w:before="177" w:line="222" w:lineRule="auto"/>
        <w:ind w:left="42"/>
        <w:outlineLvl w:val="2"/>
        <w:rPr>
          <w:sz w:val="24"/>
          <w:szCs w:val="24"/>
          <w:highlight w:val="none"/>
        </w:rPr>
      </w:pPr>
      <w:r>
        <w:rPr>
          <w:b/>
          <w:bCs/>
          <w:spacing w:val="-7"/>
          <w:sz w:val="24"/>
          <w:szCs w:val="24"/>
          <w:highlight w:val="none"/>
        </w:rPr>
        <w:t>27.资格审查及审查主体</w:t>
      </w:r>
    </w:p>
    <w:p w14:paraId="52746DD0">
      <w:pPr>
        <w:pStyle w:val="6"/>
        <w:spacing w:before="179" w:line="220" w:lineRule="auto"/>
        <w:ind w:left="42"/>
        <w:rPr>
          <w:sz w:val="24"/>
          <w:szCs w:val="24"/>
          <w:highlight w:val="none"/>
        </w:rPr>
      </w:pPr>
      <w:r>
        <w:rPr>
          <w:spacing w:val="-1"/>
          <w:sz w:val="24"/>
          <w:szCs w:val="24"/>
          <w:highlight w:val="none"/>
        </w:rPr>
        <w:t>27.1开标结束后，采购人或者采购代理机</w:t>
      </w:r>
      <w:r>
        <w:rPr>
          <w:spacing w:val="-2"/>
          <w:sz w:val="24"/>
          <w:szCs w:val="24"/>
          <w:highlight w:val="none"/>
        </w:rPr>
        <w:t>构应当依法对投标人的资格进行审查。</w:t>
      </w:r>
    </w:p>
    <w:p w14:paraId="08695A15">
      <w:pPr>
        <w:pStyle w:val="6"/>
        <w:spacing w:before="182" w:line="221" w:lineRule="auto"/>
        <w:ind w:left="42"/>
        <w:rPr>
          <w:sz w:val="24"/>
          <w:szCs w:val="24"/>
          <w:highlight w:val="none"/>
        </w:rPr>
      </w:pPr>
      <w:r>
        <w:rPr>
          <w:spacing w:val="-5"/>
          <w:sz w:val="24"/>
          <w:szCs w:val="24"/>
          <w:highlight w:val="none"/>
        </w:rPr>
        <w:t>27.2资格审查按“第四章 资格审查</w:t>
      </w:r>
      <w:r>
        <w:rPr>
          <w:spacing w:val="-77"/>
          <w:sz w:val="24"/>
          <w:szCs w:val="24"/>
          <w:highlight w:val="none"/>
        </w:rPr>
        <w:t xml:space="preserve"> </w:t>
      </w:r>
      <w:r>
        <w:rPr>
          <w:spacing w:val="-5"/>
          <w:sz w:val="24"/>
          <w:szCs w:val="24"/>
          <w:highlight w:val="none"/>
        </w:rPr>
        <w:t>”的规定进行。</w:t>
      </w:r>
    </w:p>
    <w:p w14:paraId="2E5F7F2C">
      <w:pPr>
        <w:pStyle w:val="6"/>
        <w:spacing w:before="179" w:line="359" w:lineRule="auto"/>
        <w:ind w:left="43" w:right="33" w:hanging="1"/>
        <w:rPr>
          <w:sz w:val="24"/>
          <w:szCs w:val="24"/>
          <w:highlight w:val="none"/>
        </w:rPr>
      </w:pPr>
      <w:r>
        <w:rPr>
          <w:spacing w:val="-1"/>
          <w:sz w:val="24"/>
          <w:szCs w:val="24"/>
          <w:highlight w:val="none"/>
        </w:rPr>
        <w:t>27.3资格审查结束后，应及时对资格审查结果进行复核，对</w:t>
      </w:r>
      <w:r>
        <w:rPr>
          <w:spacing w:val="-2"/>
          <w:sz w:val="24"/>
          <w:szCs w:val="24"/>
          <w:highlight w:val="none"/>
        </w:rPr>
        <w:t>资格审查错误进行及时纠正并</w:t>
      </w:r>
      <w:r>
        <w:rPr>
          <w:spacing w:val="-5"/>
          <w:sz w:val="24"/>
          <w:szCs w:val="24"/>
          <w:highlight w:val="none"/>
        </w:rPr>
        <w:t>记录。</w:t>
      </w:r>
    </w:p>
    <w:p w14:paraId="3E586DAA">
      <w:pPr>
        <w:pStyle w:val="6"/>
        <w:spacing w:line="222" w:lineRule="auto"/>
        <w:ind w:left="42"/>
        <w:rPr>
          <w:sz w:val="24"/>
          <w:szCs w:val="24"/>
          <w:highlight w:val="none"/>
        </w:rPr>
      </w:pPr>
      <w:r>
        <w:rPr>
          <w:spacing w:val="-4"/>
          <w:sz w:val="24"/>
          <w:szCs w:val="24"/>
          <w:highlight w:val="none"/>
        </w:rPr>
        <w:t>27.4资格审查合格投标人不足3家的，不得评标。</w:t>
      </w:r>
    </w:p>
    <w:p w14:paraId="56BDAFED">
      <w:pPr>
        <w:pStyle w:val="6"/>
        <w:spacing w:before="177" w:line="222" w:lineRule="auto"/>
        <w:ind w:left="52"/>
        <w:outlineLvl w:val="2"/>
        <w:rPr>
          <w:sz w:val="24"/>
          <w:szCs w:val="24"/>
          <w:highlight w:val="none"/>
        </w:rPr>
      </w:pPr>
      <w:r>
        <w:rPr>
          <w:b/>
          <w:bCs/>
          <w:spacing w:val="-12"/>
          <w:sz w:val="24"/>
          <w:szCs w:val="24"/>
          <w:highlight w:val="none"/>
        </w:rPr>
        <w:t>（七）评标</w:t>
      </w:r>
    </w:p>
    <w:p w14:paraId="3B2F924E">
      <w:pPr>
        <w:pStyle w:val="6"/>
        <w:spacing w:before="179" w:line="222" w:lineRule="auto"/>
        <w:ind w:left="42"/>
        <w:outlineLvl w:val="2"/>
        <w:rPr>
          <w:sz w:val="24"/>
          <w:szCs w:val="24"/>
          <w:highlight w:val="none"/>
        </w:rPr>
      </w:pPr>
      <w:r>
        <w:rPr>
          <w:b/>
          <w:bCs/>
          <w:spacing w:val="-7"/>
          <w:sz w:val="24"/>
          <w:szCs w:val="24"/>
          <w:highlight w:val="none"/>
        </w:rPr>
        <w:t>28.评标委员会</w:t>
      </w:r>
    </w:p>
    <w:p w14:paraId="7BAF70F8">
      <w:pPr>
        <w:pStyle w:val="6"/>
        <w:spacing w:before="46" w:line="359" w:lineRule="auto"/>
        <w:ind w:left="43" w:firstLine="2"/>
        <w:jc w:val="both"/>
        <w:rPr>
          <w:sz w:val="24"/>
          <w:szCs w:val="24"/>
          <w:highlight w:val="none"/>
        </w:rPr>
      </w:pPr>
      <w:r>
        <w:rPr>
          <w:spacing w:val="-1"/>
          <w:sz w:val="24"/>
          <w:szCs w:val="24"/>
          <w:highlight w:val="none"/>
        </w:rPr>
        <w:t>28.1 评标由采购人依法组建的评标委员会负责。评标委员会由采购人代表和评审专家组</w:t>
      </w:r>
      <w:r>
        <w:rPr>
          <w:spacing w:val="-4"/>
          <w:sz w:val="24"/>
          <w:szCs w:val="24"/>
          <w:highlight w:val="none"/>
        </w:rPr>
        <w:t>成，成员人数应当为5人以上单数，其中评审专家不得少于成员总数的三</w:t>
      </w:r>
      <w:r>
        <w:rPr>
          <w:spacing w:val="-5"/>
          <w:sz w:val="24"/>
          <w:szCs w:val="24"/>
          <w:highlight w:val="none"/>
        </w:rPr>
        <w:t>分之二。采购人或</w:t>
      </w:r>
      <w:r>
        <w:rPr>
          <w:spacing w:val="-3"/>
          <w:sz w:val="24"/>
          <w:szCs w:val="24"/>
          <w:highlight w:val="none"/>
        </w:rPr>
        <w:t>者采购代理机构应当从省级以上财政部门设立的政府采购评审专家库中，通过随机方式抽</w:t>
      </w:r>
      <w:r>
        <w:rPr>
          <w:spacing w:val="-4"/>
          <w:sz w:val="24"/>
          <w:szCs w:val="24"/>
          <w:highlight w:val="none"/>
        </w:rPr>
        <w:t>取评审专家。</w:t>
      </w:r>
    </w:p>
    <w:p w14:paraId="0D41C477">
      <w:pPr>
        <w:pStyle w:val="6"/>
        <w:spacing w:before="1" w:line="220" w:lineRule="auto"/>
        <w:ind w:left="42"/>
        <w:rPr>
          <w:sz w:val="24"/>
          <w:szCs w:val="24"/>
          <w:highlight w:val="none"/>
        </w:rPr>
      </w:pPr>
      <w:r>
        <w:rPr>
          <w:spacing w:val="-2"/>
          <w:sz w:val="24"/>
          <w:szCs w:val="24"/>
          <w:highlight w:val="none"/>
        </w:rPr>
        <w:t>28.2 采购项目符合下列情形之一的，评标委员会成员人数应当为7人以上单数：</w:t>
      </w:r>
    </w:p>
    <w:p w14:paraId="2D9F4752">
      <w:pPr>
        <w:pStyle w:val="6"/>
        <w:spacing w:before="179" w:line="219" w:lineRule="auto"/>
        <w:ind w:left="52"/>
        <w:rPr>
          <w:sz w:val="24"/>
          <w:szCs w:val="24"/>
          <w:highlight w:val="none"/>
        </w:rPr>
      </w:pPr>
      <w:r>
        <w:rPr>
          <w:spacing w:val="-5"/>
          <w:sz w:val="24"/>
          <w:szCs w:val="24"/>
          <w:highlight w:val="none"/>
        </w:rPr>
        <w:t>（1）采购预算金额在1000万元以上；</w:t>
      </w:r>
    </w:p>
    <w:p w14:paraId="41BEF66F">
      <w:pPr>
        <w:pStyle w:val="6"/>
        <w:spacing w:before="183" w:line="222" w:lineRule="auto"/>
        <w:ind w:left="52"/>
        <w:rPr>
          <w:sz w:val="24"/>
          <w:szCs w:val="24"/>
          <w:highlight w:val="none"/>
        </w:rPr>
      </w:pPr>
      <w:r>
        <w:rPr>
          <w:spacing w:val="-6"/>
          <w:sz w:val="24"/>
          <w:szCs w:val="24"/>
          <w:highlight w:val="none"/>
        </w:rPr>
        <w:t>（2）技术复杂；</w:t>
      </w:r>
    </w:p>
    <w:p w14:paraId="46B78993">
      <w:pPr>
        <w:pStyle w:val="6"/>
        <w:spacing w:before="176" w:line="222" w:lineRule="auto"/>
        <w:ind w:left="52"/>
        <w:rPr>
          <w:sz w:val="24"/>
          <w:szCs w:val="24"/>
          <w:highlight w:val="none"/>
        </w:rPr>
      </w:pPr>
      <w:r>
        <w:rPr>
          <w:spacing w:val="-5"/>
          <w:sz w:val="24"/>
          <w:szCs w:val="24"/>
          <w:highlight w:val="none"/>
        </w:rPr>
        <w:t>（3）社会影响较大。</w:t>
      </w:r>
    </w:p>
    <w:p w14:paraId="22930EB2">
      <w:pPr>
        <w:pStyle w:val="6"/>
        <w:spacing w:before="180" w:line="359" w:lineRule="auto"/>
        <w:ind w:left="44" w:right="26" w:hanging="6"/>
        <w:rPr>
          <w:sz w:val="24"/>
          <w:szCs w:val="24"/>
          <w:highlight w:val="none"/>
        </w:rPr>
      </w:pPr>
      <w:r>
        <w:rPr>
          <w:spacing w:val="-2"/>
          <w:sz w:val="24"/>
          <w:szCs w:val="24"/>
          <w:highlight w:val="none"/>
        </w:rPr>
        <w:t>28.3评审专家对本单位的采购项目只能作为采购人代表参与评标，对技术复杂、专业性强</w:t>
      </w:r>
      <w:r>
        <w:rPr>
          <w:spacing w:val="-3"/>
          <w:sz w:val="24"/>
          <w:szCs w:val="24"/>
          <w:highlight w:val="none"/>
        </w:rPr>
        <w:t>的采购项目，通过随机方式难以确定合适评审专</w:t>
      </w:r>
      <w:r>
        <w:rPr>
          <w:spacing w:val="-4"/>
          <w:sz w:val="24"/>
          <w:szCs w:val="24"/>
          <w:highlight w:val="none"/>
        </w:rPr>
        <w:t>家的，经主管预算单位同意，采购人可以</w:t>
      </w:r>
      <w:r>
        <w:rPr>
          <w:spacing w:val="-3"/>
          <w:sz w:val="24"/>
          <w:szCs w:val="24"/>
          <w:highlight w:val="none"/>
        </w:rPr>
        <w:t>自行选定相应专业领域的评审专家。采购代理机构工作人员不得参加由本机构代理的政府</w:t>
      </w:r>
      <w:r>
        <w:rPr>
          <w:spacing w:val="-4"/>
          <w:sz w:val="24"/>
          <w:szCs w:val="24"/>
          <w:highlight w:val="none"/>
        </w:rPr>
        <w:t>采购项目的评标。</w:t>
      </w:r>
    </w:p>
    <w:p w14:paraId="6AA4DD61">
      <w:pPr>
        <w:pStyle w:val="6"/>
        <w:spacing w:line="219" w:lineRule="auto"/>
        <w:ind w:left="42"/>
        <w:rPr>
          <w:sz w:val="24"/>
          <w:szCs w:val="24"/>
          <w:highlight w:val="none"/>
        </w:rPr>
      </w:pPr>
      <w:r>
        <w:rPr>
          <w:spacing w:val="-2"/>
          <w:sz w:val="24"/>
          <w:szCs w:val="24"/>
          <w:highlight w:val="none"/>
        </w:rPr>
        <w:t>28.4评标委员会成员名单在评标结果公告前应当保密。</w:t>
      </w:r>
    </w:p>
    <w:p w14:paraId="7973D04B">
      <w:pPr>
        <w:pStyle w:val="6"/>
        <w:spacing w:before="182" w:line="359" w:lineRule="auto"/>
        <w:ind w:left="47" w:right="21" w:hanging="5"/>
        <w:rPr>
          <w:sz w:val="24"/>
          <w:szCs w:val="24"/>
          <w:highlight w:val="none"/>
        </w:rPr>
      </w:pPr>
      <w:r>
        <w:rPr>
          <w:spacing w:val="-2"/>
          <w:sz w:val="24"/>
          <w:szCs w:val="24"/>
          <w:highlight w:val="none"/>
        </w:rPr>
        <w:t>28.5评标中因评标委员会成员缺席、回避或者健康等特殊原因导致评标委员会组成不符合</w:t>
      </w:r>
      <w:r>
        <w:rPr>
          <w:spacing w:val="-3"/>
          <w:sz w:val="24"/>
          <w:szCs w:val="24"/>
          <w:highlight w:val="none"/>
        </w:rPr>
        <w:t>本办法规定的，采购人或者采购代理机构应当依法补足后继续评标。被更换的评标委员会成员所作出的评标意见无效。</w:t>
      </w:r>
    </w:p>
    <w:p w14:paraId="51D86A02">
      <w:pPr>
        <w:pStyle w:val="6"/>
        <w:spacing w:before="1" w:line="359" w:lineRule="auto"/>
        <w:ind w:left="47" w:right="21" w:hanging="5"/>
        <w:rPr>
          <w:sz w:val="24"/>
          <w:szCs w:val="24"/>
          <w:highlight w:val="none"/>
        </w:rPr>
      </w:pPr>
      <w:r>
        <w:rPr>
          <w:spacing w:val="-2"/>
          <w:sz w:val="24"/>
          <w:szCs w:val="24"/>
          <w:highlight w:val="none"/>
        </w:rPr>
        <w:t>28.6无法及时补足评标委员会成员的，采购人或者采购代理机构应当停止评标活动，封存</w:t>
      </w:r>
      <w:r>
        <w:rPr>
          <w:spacing w:val="-3"/>
          <w:sz w:val="24"/>
          <w:szCs w:val="24"/>
          <w:highlight w:val="none"/>
        </w:rPr>
        <w:t>所有投标文件和开标、评标资料，依法重新组建评标委员会进行评标。原评标委员会所作出的评标意见无效。</w:t>
      </w:r>
    </w:p>
    <w:p w14:paraId="7BFFAD1F">
      <w:pPr>
        <w:pStyle w:val="6"/>
        <w:spacing w:line="222" w:lineRule="auto"/>
        <w:ind w:left="42"/>
        <w:rPr>
          <w:sz w:val="24"/>
          <w:szCs w:val="24"/>
          <w:highlight w:val="none"/>
        </w:rPr>
      </w:pPr>
      <w:r>
        <w:rPr>
          <w:spacing w:val="-2"/>
          <w:sz w:val="24"/>
          <w:szCs w:val="24"/>
          <w:highlight w:val="none"/>
        </w:rPr>
        <w:t>28.7 评标委员会成员有下列情形之一的，应当回避：</w:t>
      </w:r>
    </w:p>
    <w:p w14:paraId="042B6A2F">
      <w:pPr>
        <w:pStyle w:val="6"/>
        <w:spacing w:before="178" w:line="219" w:lineRule="auto"/>
        <w:ind w:left="52"/>
        <w:rPr>
          <w:sz w:val="24"/>
          <w:szCs w:val="24"/>
          <w:highlight w:val="none"/>
        </w:rPr>
      </w:pPr>
      <w:r>
        <w:rPr>
          <w:spacing w:val="-3"/>
          <w:sz w:val="24"/>
          <w:szCs w:val="24"/>
          <w:highlight w:val="none"/>
        </w:rPr>
        <w:t>（1）参加采购活动前3年内与投标人存在劳动关系；</w:t>
      </w:r>
    </w:p>
    <w:p w14:paraId="5088AC92">
      <w:pPr>
        <w:pStyle w:val="6"/>
        <w:spacing w:before="182" w:line="222" w:lineRule="auto"/>
        <w:ind w:left="52"/>
        <w:rPr>
          <w:sz w:val="24"/>
          <w:szCs w:val="24"/>
          <w:highlight w:val="none"/>
        </w:rPr>
      </w:pPr>
      <w:r>
        <w:rPr>
          <w:spacing w:val="-3"/>
          <w:sz w:val="24"/>
          <w:szCs w:val="24"/>
          <w:highlight w:val="none"/>
        </w:rPr>
        <w:t>（2）参加采购活动前3年内担任投标人的董事、监事；</w:t>
      </w:r>
    </w:p>
    <w:p w14:paraId="31848F05">
      <w:pPr>
        <w:pStyle w:val="6"/>
        <w:spacing w:before="177" w:line="222" w:lineRule="auto"/>
        <w:ind w:left="52"/>
        <w:rPr>
          <w:sz w:val="24"/>
          <w:szCs w:val="24"/>
          <w:highlight w:val="none"/>
        </w:rPr>
      </w:pPr>
      <w:r>
        <w:rPr>
          <w:spacing w:val="-3"/>
          <w:sz w:val="24"/>
          <w:szCs w:val="24"/>
          <w:highlight w:val="none"/>
        </w:rPr>
        <w:t>（3）参加采购活动前3年内是投标人的控股股东或实际控制人；</w:t>
      </w:r>
    </w:p>
    <w:p w14:paraId="52D8DBA8">
      <w:pPr>
        <w:pStyle w:val="6"/>
        <w:spacing w:before="180" w:line="359" w:lineRule="auto"/>
        <w:ind w:left="51" w:right="134" w:hanging="4"/>
        <w:rPr>
          <w:sz w:val="24"/>
          <w:szCs w:val="24"/>
          <w:highlight w:val="none"/>
        </w:rPr>
      </w:pPr>
      <w:r>
        <w:rPr>
          <w:spacing w:val="-2"/>
          <w:sz w:val="24"/>
          <w:szCs w:val="24"/>
          <w:highlight w:val="none"/>
        </w:rPr>
        <w:t>（4）与投标人的法定代表人或者负责人有夫妻、直系血亲、三代以内旁系血亲或者近姻</w:t>
      </w:r>
      <w:r>
        <w:rPr>
          <w:spacing w:val="-8"/>
          <w:sz w:val="24"/>
          <w:szCs w:val="24"/>
          <w:highlight w:val="none"/>
        </w:rPr>
        <w:t>亲关系；</w:t>
      </w:r>
    </w:p>
    <w:p w14:paraId="2F399E7A">
      <w:pPr>
        <w:pStyle w:val="6"/>
        <w:spacing w:before="1" w:line="220" w:lineRule="auto"/>
        <w:ind w:left="52"/>
        <w:rPr>
          <w:sz w:val="24"/>
          <w:szCs w:val="24"/>
          <w:highlight w:val="none"/>
        </w:rPr>
      </w:pPr>
      <w:r>
        <w:rPr>
          <w:spacing w:val="-2"/>
          <w:sz w:val="24"/>
          <w:szCs w:val="24"/>
          <w:highlight w:val="none"/>
        </w:rPr>
        <w:t>（5）与投标人有其他可能影响采购活动公平、公正进行的关系。</w:t>
      </w:r>
    </w:p>
    <w:p w14:paraId="07403D7C">
      <w:pPr>
        <w:pStyle w:val="6"/>
        <w:spacing w:before="179" w:line="222" w:lineRule="auto"/>
        <w:ind w:left="42"/>
        <w:outlineLvl w:val="2"/>
        <w:rPr>
          <w:sz w:val="24"/>
          <w:szCs w:val="24"/>
          <w:highlight w:val="none"/>
        </w:rPr>
      </w:pPr>
      <w:r>
        <w:rPr>
          <w:b/>
          <w:bCs/>
          <w:spacing w:val="-8"/>
          <w:sz w:val="24"/>
          <w:szCs w:val="24"/>
          <w:highlight w:val="none"/>
        </w:rPr>
        <w:t>29.评标</w:t>
      </w:r>
    </w:p>
    <w:p w14:paraId="029F3EEC">
      <w:pPr>
        <w:pStyle w:val="6"/>
        <w:spacing w:before="179" w:line="359" w:lineRule="auto"/>
        <w:ind w:left="48" w:right="112" w:hanging="6"/>
        <w:rPr>
          <w:sz w:val="24"/>
          <w:szCs w:val="24"/>
          <w:highlight w:val="none"/>
        </w:rPr>
      </w:pPr>
      <w:r>
        <w:rPr>
          <w:spacing w:val="-1"/>
          <w:sz w:val="24"/>
          <w:szCs w:val="24"/>
          <w:highlight w:val="none"/>
        </w:rPr>
        <w:t>29.1 评标方法分为综合评分法和最低评标价法，本项目评标方法详见“投标人须知前附</w:t>
      </w:r>
      <w:r>
        <w:rPr>
          <w:spacing w:val="-7"/>
          <w:sz w:val="24"/>
          <w:szCs w:val="24"/>
          <w:highlight w:val="none"/>
        </w:rPr>
        <w:t>表</w:t>
      </w:r>
      <w:r>
        <w:rPr>
          <w:spacing w:val="-89"/>
          <w:sz w:val="24"/>
          <w:szCs w:val="24"/>
          <w:highlight w:val="none"/>
        </w:rPr>
        <w:t xml:space="preserve"> </w:t>
      </w:r>
      <w:r>
        <w:rPr>
          <w:spacing w:val="-7"/>
          <w:sz w:val="24"/>
          <w:szCs w:val="24"/>
          <w:highlight w:val="none"/>
        </w:rPr>
        <w:t>”。</w:t>
      </w:r>
    </w:p>
    <w:p w14:paraId="457998F5">
      <w:pPr>
        <w:pStyle w:val="6"/>
        <w:spacing w:before="45" w:line="359" w:lineRule="auto"/>
        <w:ind w:left="45" w:right="264" w:hanging="3"/>
        <w:rPr>
          <w:spacing w:val="-1"/>
          <w:sz w:val="24"/>
          <w:szCs w:val="24"/>
          <w:highlight w:val="none"/>
        </w:rPr>
      </w:pPr>
      <w:r>
        <w:rPr>
          <w:spacing w:val="-1"/>
          <w:sz w:val="24"/>
          <w:szCs w:val="24"/>
          <w:highlight w:val="none"/>
        </w:rPr>
        <w:t>29.1.1综合评分法，是指投标文件满足招标文件全部实质性要求，且按照评审因</w:t>
      </w:r>
      <w:r>
        <w:rPr>
          <w:spacing w:val="-2"/>
          <w:sz w:val="24"/>
          <w:szCs w:val="24"/>
          <w:highlight w:val="none"/>
        </w:rPr>
        <w:t>素的量化</w:t>
      </w:r>
      <w:r>
        <w:rPr>
          <w:spacing w:val="-1"/>
          <w:sz w:val="24"/>
          <w:szCs w:val="24"/>
          <w:highlight w:val="none"/>
        </w:rPr>
        <w:t>指标评审得分最高的投标人为中标候选人的评标方法。</w:t>
      </w:r>
    </w:p>
    <w:p w14:paraId="238C07B5">
      <w:pPr>
        <w:pStyle w:val="6"/>
        <w:spacing w:before="45" w:line="359" w:lineRule="auto"/>
        <w:ind w:left="45" w:right="264" w:hanging="3"/>
        <w:rPr>
          <w:sz w:val="24"/>
          <w:szCs w:val="24"/>
          <w:highlight w:val="none"/>
        </w:rPr>
      </w:pPr>
      <w:r>
        <w:rPr>
          <w:spacing w:val="-1"/>
          <w:sz w:val="24"/>
          <w:szCs w:val="24"/>
          <w:highlight w:val="none"/>
        </w:rPr>
        <w:t>29.1.2.最低评标价法，是指投标文件满足招标文件全部实质性要求，且投标报价最低的</w:t>
      </w:r>
      <w:r>
        <w:rPr>
          <w:spacing w:val="-2"/>
          <w:sz w:val="24"/>
          <w:szCs w:val="24"/>
          <w:highlight w:val="none"/>
        </w:rPr>
        <w:t>投标人为中标候选人的评标方法。</w:t>
      </w:r>
    </w:p>
    <w:p w14:paraId="4FA83DEC">
      <w:pPr>
        <w:pStyle w:val="6"/>
        <w:spacing w:line="359" w:lineRule="auto"/>
        <w:ind w:left="47" w:right="276" w:hanging="5"/>
        <w:rPr>
          <w:sz w:val="24"/>
          <w:szCs w:val="24"/>
          <w:highlight w:val="none"/>
        </w:rPr>
      </w:pPr>
      <w:r>
        <w:rPr>
          <w:spacing w:val="-5"/>
          <w:sz w:val="24"/>
          <w:szCs w:val="24"/>
          <w:highlight w:val="none"/>
        </w:rPr>
        <w:t>29.2 评标委员会按照“第五章 评标方法及标准</w:t>
      </w:r>
      <w:r>
        <w:rPr>
          <w:spacing w:val="-74"/>
          <w:sz w:val="24"/>
          <w:szCs w:val="24"/>
          <w:highlight w:val="none"/>
        </w:rPr>
        <w:t xml:space="preserve"> </w:t>
      </w:r>
      <w:r>
        <w:rPr>
          <w:spacing w:val="-5"/>
          <w:sz w:val="24"/>
          <w:szCs w:val="24"/>
          <w:highlight w:val="none"/>
        </w:rPr>
        <w:t>”的规定对投标文件进行评审。“第五章</w:t>
      </w:r>
      <w:r>
        <w:rPr>
          <w:spacing w:val="-3"/>
          <w:sz w:val="24"/>
          <w:szCs w:val="24"/>
          <w:highlight w:val="none"/>
        </w:rPr>
        <w:t>评标方法及标准</w:t>
      </w:r>
      <w:r>
        <w:rPr>
          <w:spacing w:val="-88"/>
          <w:sz w:val="24"/>
          <w:szCs w:val="24"/>
          <w:highlight w:val="none"/>
        </w:rPr>
        <w:t xml:space="preserve"> </w:t>
      </w:r>
      <w:r>
        <w:rPr>
          <w:spacing w:val="-3"/>
          <w:sz w:val="24"/>
          <w:szCs w:val="24"/>
          <w:highlight w:val="none"/>
        </w:rPr>
        <w:t>”没有规定的方法、评审因素和标准，不作为评标依据。</w:t>
      </w:r>
    </w:p>
    <w:p w14:paraId="15373316">
      <w:pPr>
        <w:pStyle w:val="6"/>
        <w:spacing w:line="359" w:lineRule="auto"/>
        <w:ind w:left="48" w:right="300" w:hanging="6"/>
        <w:rPr>
          <w:sz w:val="24"/>
          <w:szCs w:val="24"/>
          <w:highlight w:val="none"/>
        </w:rPr>
      </w:pPr>
      <w:r>
        <w:rPr>
          <w:spacing w:val="-2"/>
          <w:sz w:val="24"/>
          <w:szCs w:val="24"/>
          <w:highlight w:val="none"/>
        </w:rPr>
        <w:t>29.3 评标委员会按“投标人须知前附表</w:t>
      </w:r>
      <w:r>
        <w:rPr>
          <w:spacing w:val="-90"/>
          <w:sz w:val="24"/>
          <w:szCs w:val="24"/>
          <w:highlight w:val="none"/>
        </w:rPr>
        <w:t xml:space="preserve"> </w:t>
      </w:r>
      <w:r>
        <w:rPr>
          <w:spacing w:val="-2"/>
          <w:sz w:val="24"/>
          <w:szCs w:val="24"/>
          <w:highlight w:val="none"/>
        </w:rPr>
        <w:t>”规定的中</w:t>
      </w:r>
      <w:r>
        <w:rPr>
          <w:spacing w:val="-3"/>
          <w:sz w:val="24"/>
          <w:szCs w:val="24"/>
          <w:highlight w:val="none"/>
        </w:rPr>
        <w:t>标候选人数量在评标报告中向采购人</w:t>
      </w:r>
      <w:r>
        <w:rPr>
          <w:spacing w:val="-4"/>
          <w:sz w:val="24"/>
          <w:szCs w:val="24"/>
          <w:highlight w:val="none"/>
        </w:rPr>
        <w:t>推荐中标候选人。</w:t>
      </w:r>
    </w:p>
    <w:p w14:paraId="20C1D3AC">
      <w:pPr>
        <w:pStyle w:val="6"/>
        <w:spacing w:line="360" w:lineRule="auto"/>
        <w:ind w:left="49" w:right="269" w:hanging="7"/>
        <w:rPr>
          <w:sz w:val="24"/>
          <w:szCs w:val="24"/>
          <w:highlight w:val="none"/>
        </w:rPr>
      </w:pPr>
      <w:r>
        <w:rPr>
          <w:spacing w:val="-1"/>
          <w:sz w:val="24"/>
          <w:szCs w:val="24"/>
          <w:highlight w:val="none"/>
        </w:rPr>
        <w:t>29.4 开标之后，直到签订合同止，凡是属于审查、澄清、评价和比较投标的有关资料以</w:t>
      </w:r>
      <w:r>
        <w:rPr>
          <w:spacing w:val="-3"/>
          <w:sz w:val="24"/>
          <w:szCs w:val="24"/>
          <w:highlight w:val="none"/>
        </w:rPr>
        <w:t>及定标意向等，均不得向投标人或者其他与评标无关的人员透露。</w:t>
      </w:r>
    </w:p>
    <w:p w14:paraId="519CCB86">
      <w:pPr>
        <w:pStyle w:val="6"/>
        <w:spacing w:line="358" w:lineRule="auto"/>
        <w:ind w:left="54" w:right="269" w:hanging="12"/>
        <w:rPr>
          <w:sz w:val="24"/>
          <w:szCs w:val="24"/>
          <w:highlight w:val="none"/>
        </w:rPr>
      </w:pPr>
      <w:r>
        <w:rPr>
          <w:spacing w:val="-1"/>
          <w:sz w:val="24"/>
          <w:szCs w:val="24"/>
          <w:highlight w:val="none"/>
        </w:rPr>
        <w:t>29.5 在确定中标人之前，投标人试图在投标文件审查、澄清、比较和评标时对评标委员</w:t>
      </w:r>
      <w:r>
        <w:rPr>
          <w:spacing w:val="-3"/>
          <w:sz w:val="24"/>
          <w:szCs w:val="24"/>
          <w:highlight w:val="none"/>
        </w:rPr>
        <w:t>会、采购人和采购代理机构施加任何影响都可能导致其</w:t>
      </w:r>
      <w:r>
        <w:rPr>
          <w:b/>
          <w:bCs/>
          <w:spacing w:val="-3"/>
          <w:sz w:val="24"/>
          <w:szCs w:val="24"/>
          <w:highlight w:val="none"/>
        </w:rPr>
        <w:t>投标无效</w:t>
      </w:r>
      <w:r>
        <w:rPr>
          <w:spacing w:val="-3"/>
          <w:sz w:val="24"/>
          <w:szCs w:val="24"/>
          <w:highlight w:val="none"/>
        </w:rPr>
        <w:t>。</w:t>
      </w:r>
    </w:p>
    <w:p w14:paraId="1609AD08">
      <w:pPr>
        <w:pStyle w:val="6"/>
        <w:spacing w:line="222" w:lineRule="auto"/>
        <w:ind w:left="42"/>
        <w:rPr>
          <w:sz w:val="24"/>
          <w:szCs w:val="24"/>
          <w:highlight w:val="none"/>
        </w:rPr>
      </w:pPr>
      <w:r>
        <w:rPr>
          <w:spacing w:val="-5"/>
          <w:sz w:val="24"/>
          <w:szCs w:val="24"/>
          <w:highlight w:val="none"/>
        </w:rPr>
        <w:t>29.6电子招投标的应急措施</w:t>
      </w:r>
    </w:p>
    <w:p w14:paraId="2D825F91">
      <w:pPr>
        <w:pStyle w:val="6"/>
        <w:spacing w:before="179" w:line="359" w:lineRule="auto"/>
        <w:ind w:left="47" w:right="187" w:hanging="5"/>
        <w:rPr>
          <w:sz w:val="24"/>
          <w:szCs w:val="24"/>
          <w:highlight w:val="none"/>
        </w:rPr>
      </w:pPr>
      <w:r>
        <w:rPr>
          <w:spacing w:val="-2"/>
          <w:sz w:val="24"/>
          <w:szCs w:val="24"/>
          <w:highlight w:val="none"/>
        </w:rPr>
        <w:t>29.6.1电子开标、评标如出现下列原因，导致系统无法正常运行或无法正常评标时，应采</w:t>
      </w:r>
      <w:r>
        <w:rPr>
          <w:spacing w:val="-5"/>
          <w:sz w:val="24"/>
          <w:szCs w:val="24"/>
          <w:highlight w:val="none"/>
        </w:rPr>
        <w:t>取应急措施。</w:t>
      </w:r>
    </w:p>
    <w:p w14:paraId="0C709597">
      <w:pPr>
        <w:pStyle w:val="6"/>
        <w:spacing w:line="221" w:lineRule="auto"/>
        <w:ind w:left="52"/>
        <w:rPr>
          <w:sz w:val="24"/>
          <w:szCs w:val="24"/>
          <w:highlight w:val="none"/>
        </w:rPr>
      </w:pPr>
      <w:r>
        <w:rPr>
          <w:spacing w:val="-2"/>
          <w:sz w:val="24"/>
          <w:szCs w:val="24"/>
          <w:highlight w:val="none"/>
        </w:rPr>
        <w:t>（1）系统服务器发生故障，无法访问或无法使用系统；</w:t>
      </w:r>
    </w:p>
    <w:p w14:paraId="7004A483">
      <w:pPr>
        <w:pStyle w:val="6"/>
        <w:spacing w:before="180" w:line="220" w:lineRule="auto"/>
        <w:ind w:left="52"/>
        <w:rPr>
          <w:sz w:val="24"/>
          <w:szCs w:val="24"/>
          <w:highlight w:val="none"/>
        </w:rPr>
      </w:pPr>
      <w:r>
        <w:rPr>
          <w:spacing w:val="-2"/>
          <w:sz w:val="24"/>
          <w:szCs w:val="24"/>
          <w:highlight w:val="none"/>
        </w:rPr>
        <w:t>（2）系统的软件或数据库出现错误，不能进行正常操作；</w:t>
      </w:r>
    </w:p>
    <w:p w14:paraId="144794B6">
      <w:pPr>
        <w:pStyle w:val="6"/>
        <w:spacing w:before="180" w:line="219" w:lineRule="auto"/>
        <w:ind w:left="52"/>
        <w:rPr>
          <w:sz w:val="24"/>
          <w:szCs w:val="24"/>
          <w:highlight w:val="none"/>
        </w:rPr>
      </w:pPr>
      <w:r>
        <w:rPr>
          <w:spacing w:val="-2"/>
          <w:sz w:val="24"/>
          <w:szCs w:val="24"/>
          <w:highlight w:val="none"/>
        </w:rPr>
        <w:t>（3）系统发现有安全漏洞，有潜在的泄密危险；</w:t>
      </w:r>
    </w:p>
    <w:p w14:paraId="3BB59E38">
      <w:pPr>
        <w:pStyle w:val="6"/>
        <w:spacing w:before="183" w:line="220" w:lineRule="auto"/>
        <w:ind w:left="52"/>
        <w:rPr>
          <w:sz w:val="24"/>
          <w:szCs w:val="24"/>
          <w:highlight w:val="none"/>
        </w:rPr>
      </w:pPr>
      <w:r>
        <w:rPr>
          <w:spacing w:val="-4"/>
          <w:sz w:val="24"/>
          <w:szCs w:val="24"/>
          <w:highlight w:val="none"/>
        </w:rPr>
        <w:t>（4）病毒发作或受到外来病毒的攻击；</w:t>
      </w:r>
    </w:p>
    <w:p w14:paraId="2AB09F06">
      <w:pPr>
        <w:pStyle w:val="6"/>
        <w:spacing w:before="179" w:line="222" w:lineRule="auto"/>
        <w:ind w:left="52"/>
        <w:rPr>
          <w:sz w:val="24"/>
          <w:szCs w:val="24"/>
          <w:highlight w:val="none"/>
        </w:rPr>
      </w:pPr>
      <w:r>
        <w:rPr>
          <w:spacing w:val="-2"/>
          <w:sz w:val="24"/>
          <w:szCs w:val="24"/>
          <w:highlight w:val="none"/>
        </w:rPr>
        <w:t>（5）出现其他不可抗拒的客观原因造成开评标系统无法正常使用。</w:t>
      </w:r>
    </w:p>
    <w:p w14:paraId="4AF9EC5C">
      <w:pPr>
        <w:pStyle w:val="6"/>
        <w:spacing w:before="180" w:line="358" w:lineRule="auto"/>
        <w:ind w:left="47" w:right="262" w:firstLine="24"/>
        <w:rPr>
          <w:sz w:val="24"/>
          <w:szCs w:val="24"/>
          <w:highlight w:val="none"/>
        </w:rPr>
      </w:pPr>
      <w:r>
        <w:rPr>
          <w:spacing w:val="-5"/>
          <w:sz w:val="24"/>
          <w:szCs w:val="24"/>
          <w:highlight w:val="none"/>
        </w:rPr>
        <w:t>出现上述情况时，应对未开标的暂停开标。已在系统内开标、评标的立即停止。采取应急</w:t>
      </w:r>
      <w:r>
        <w:rPr>
          <w:spacing w:val="-2"/>
          <w:sz w:val="24"/>
          <w:szCs w:val="24"/>
          <w:highlight w:val="none"/>
        </w:rPr>
        <w:t>措施时，必须对原有资料及信息作出妥善保密处理。</w:t>
      </w:r>
    </w:p>
    <w:p w14:paraId="5AF5B016">
      <w:pPr>
        <w:pStyle w:val="6"/>
        <w:spacing w:before="2" w:line="358" w:lineRule="auto"/>
        <w:ind w:left="47" w:right="168" w:hanging="5"/>
        <w:rPr>
          <w:sz w:val="24"/>
          <w:szCs w:val="24"/>
          <w:highlight w:val="none"/>
        </w:rPr>
      </w:pPr>
      <w:r>
        <w:rPr>
          <w:spacing w:val="-1"/>
          <w:sz w:val="24"/>
          <w:szCs w:val="24"/>
          <w:highlight w:val="none"/>
        </w:rPr>
        <w:t>29.6.2因系统原因导致投标人均无法解密电子投标文件时</w:t>
      </w:r>
      <w:r>
        <w:rPr>
          <w:spacing w:val="-2"/>
          <w:sz w:val="24"/>
          <w:szCs w:val="24"/>
          <w:highlight w:val="none"/>
        </w:rPr>
        <w:t>，采购代理机构可在开标现场直</w:t>
      </w:r>
      <w:r>
        <w:rPr>
          <w:spacing w:val="-1"/>
          <w:sz w:val="24"/>
          <w:szCs w:val="24"/>
          <w:highlight w:val="none"/>
        </w:rPr>
        <w:t>接导入投标人在投标截止时间前递交的未加密的电子投标文件进行开标、评标。</w:t>
      </w:r>
    </w:p>
    <w:p w14:paraId="3C138FCE">
      <w:pPr>
        <w:pStyle w:val="6"/>
        <w:spacing w:before="4" w:line="222" w:lineRule="auto"/>
        <w:ind w:left="42"/>
        <w:rPr>
          <w:sz w:val="24"/>
          <w:szCs w:val="24"/>
          <w:highlight w:val="none"/>
        </w:rPr>
      </w:pPr>
      <w:r>
        <w:rPr>
          <w:spacing w:val="-2"/>
          <w:sz w:val="24"/>
          <w:szCs w:val="24"/>
          <w:highlight w:val="none"/>
        </w:rPr>
        <w:t>29.7 投标人瑕疵滞后发现的处理规则</w:t>
      </w:r>
    </w:p>
    <w:p w14:paraId="6D84887B">
      <w:pPr>
        <w:pStyle w:val="6"/>
        <w:spacing w:before="177" w:line="359" w:lineRule="auto"/>
        <w:ind w:left="50" w:right="178" w:hanging="8"/>
        <w:jc w:val="both"/>
        <w:rPr>
          <w:sz w:val="24"/>
          <w:szCs w:val="24"/>
          <w:highlight w:val="none"/>
        </w:rPr>
      </w:pPr>
      <w:r>
        <w:rPr>
          <w:spacing w:val="-2"/>
          <w:sz w:val="24"/>
          <w:szCs w:val="24"/>
          <w:highlight w:val="none"/>
        </w:rPr>
        <w:t>29.7.1无论基于何种原因，各项本应作</w:t>
      </w:r>
      <w:r>
        <w:rPr>
          <w:b/>
          <w:bCs/>
          <w:spacing w:val="-2"/>
          <w:sz w:val="24"/>
          <w:szCs w:val="24"/>
          <w:highlight w:val="none"/>
        </w:rPr>
        <w:t>无效投标</w:t>
      </w:r>
      <w:r>
        <w:rPr>
          <w:spacing w:val="-2"/>
          <w:sz w:val="24"/>
          <w:szCs w:val="24"/>
          <w:highlight w:val="none"/>
        </w:rPr>
        <w:t>处理的情形即便未被及时发现而使该投标</w:t>
      </w:r>
      <w:r>
        <w:rPr>
          <w:spacing w:val="-3"/>
          <w:sz w:val="24"/>
          <w:szCs w:val="24"/>
          <w:highlight w:val="none"/>
        </w:rPr>
        <w:t>人进入初审、综合评审或其他后续程序，包</w:t>
      </w:r>
      <w:r>
        <w:rPr>
          <w:spacing w:val="-4"/>
          <w:sz w:val="24"/>
          <w:szCs w:val="24"/>
          <w:highlight w:val="none"/>
        </w:rPr>
        <w:t>括已经签订合同的情形，一旦该投标人的投标</w:t>
      </w:r>
      <w:r>
        <w:rPr>
          <w:spacing w:val="-2"/>
          <w:sz w:val="24"/>
          <w:szCs w:val="24"/>
          <w:highlight w:val="none"/>
        </w:rPr>
        <w:t>作无效投标处理或该投标人的此前评议结果被取消，其</w:t>
      </w:r>
      <w:r>
        <w:rPr>
          <w:spacing w:val="-3"/>
          <w:sz w:val="24"/>
          <w:szCs w:val="24"/>
          <w:highlight w:val="none"/>
        </w:rPr>
        <w:t>现有的位置将被其他投标人依序替</w:t>
      </w:r>
      <w:r>
        <w:rPr>
          <w:spacing w:val="-2"/>
          <w:sz w:val="24"/>
          <w:szCs w:val="24"/>
          <w:highlight w:val="none"/>
        </w:rPr>
        <w:t>代，相关的一切损失均由该投标人承担。</w:t>
      </w:r>
    </w:p>
    <w:p w14:paraId="4EC2C19B">
      <w:pPr>
        <w:pStyle w:val="6"/>
        <w:spacing w:before="1" w:line="222" w:lineRule="auto"/>
        <w:ind w:left="52"/>
        <w:outlineLvl w:val="2"/>
        <w:rPr>
          <w:sz w:val="24"/>
          <w:szCs w:val="24"/>
          <w:highlight w:val="none"/>
        </w:rPr>
      </w:pPr>
      <w:r>
        <w:rPr>
          <w:b/>
          <w:bCs/>
          <w:spacing w:val="-12"/>
          <w:sz w:val="24"/>
          <w:szCs w:val="24"/>
          <w:highlight w:val="none"/>
        </w:rPr>
        <w:t>（八）中标</w:t>
      </w:r>
    </w:p>
    <w:p w14:paraId="130FA892">
      <w:pPr>
        <w:pStyle w:val="6"/>
        <w:spacing w:before="179" w:line="222" w:lineRule="auto"/>
        <w:ind w:left="44"/>
        <w:outlineLvl w:val="2"/>
        <w:rPr>
          <w:sz w:val="24"/>
          <w:szCs w:val="24"/>
          <w:highlight w:val="none"/>
        </w:rPr>
      </w:pPr>
      <w:r>
        <w:rPr>
          <w:b/>
          <w:bCs/>
          <w:spacing w:val="-8"/>
          <w:sz w:val="24"/>
          <w:szCs w:val="24"/>
          <w:highlight w:val="none"/>
        </w:rPr>
        <w:t>30.确定中标人</w:t>
      </w:r>
    </w:p>
    <w:p w14:paraId="59B3522C">
      <w:pPr>
        <w:pStyle w:val="6"/>
        <w:spacing w:before="180" w:line="219" w:lineRule="auto"/>
        <w:jc w:val="right"/>
        <w:rPr>
          <w:spacing w:val="-3"/>
          <w:sz w:val="24"/>
          <w:szCs w:val="24"/>
          <w:highlight w:val="none"/>
        </w:rPr>
      </w:pPr>
      <w:r>
        <w:rPr>
          <w:spacing w:val="-3"/>
          <w:sz w:val="24"/>
          <w:szCs w:val="24"/>
          <w:highlight w:val="none"/>
        </w:rPr>
        <w:t>30.1采购人将在评标报告确定的中标候选人名单中按顺序确定中标人，中标候选人</w:t>
      </w:r>
    </w:p>
    <w:p w14:paraId="6E5A54BE">
      <w:pPr>
        <w:pStyle w:val="6"/>
        <w:spacing w:before="45" w:line="359" w:lineRule="auto"/>
        <w:ind w:left="43" w:right="152" w:hanging="1"/>
        <w:rPr>
          <w:sz w:val="24"/>
          <w:szCs w:val="24"/>
          <w:highlight w:val="none"/>
        </w:rPr>
      </w:pPr>
      <w:r>
        <w:rPr>
          <w:spacing w:val="-3"/>
          <w:sz w:val="24"/>
          <w:szCs w:val="24"/>
          <w:highlight w:val="none"/>
        </w:rPr>
        <w:t>并列的，</w:t>
      </w:r>
      <w:r>
        <w:rPr>
          <w:spacing w:val="-5"/>
          <w:sz w:val="24"/>
          <w:szCs w:val="24"/>
          <w:highlight w:val="none"/>
        </w:rPr>
        <w:t>按照“投标人须知前附表</w:t>
      </w:r>
      <w:r>
        <w:rPr>
          <w:spacing w:val="-91"/>
          <w:sz w:val="24"/>
          <w:szCs w:val="24"/>
          <w:highlight w:val="none"/>
        </w:rPr>
        <w:t xml:space="preserve"> </w:t>
      </w:r>
      <w:r>
        <w:rPr>
          <w:spacing w:val="-5"/>
          <w:sz w:val="24"/>
          <w:szCs w:val="24"/>
          <w:highlight w:val="none"/>
        </w:rPr>
        <w:t>”确定中标人；招标文件未规定的，采取随机抽取的方</w:t>
      </w:r>
      <w:r>
        <w:rPr>
          <w:spacing w:val="-6"/>
          <w:sz w:val="24"/>
          <w:szCs w:val="24"/>
          <w:highlight w:val="none"/>
        </w:rPr>
        <w:t>式确定。</w:t>
      </w:r>
      <w:r>
        <w:rPr>
          <w:spacing w:val="-3"/>
          <w:sz w:val="24"/>
          <w:szCs w:val="24"/>
          <w:highlight w:val="none"/>
        </w:rPr>
        <w:t>采购人是否委托评标委员会直接确定中标人，见“投标人须知前附表</w:t>
      </w:r>
      <w:r>
        <w:rPr>
          <w:spacing w:val="-86"/>
          <w:sz w:val="24"/>
          <w:szCs w:val="24"/>
          <w:highlight w:val="none"/>
        </w:rPr>
        <w:t xml:space="preserve"> </w:t>
      </w:r>
      <w:r>
        <w:rPr>
          <w:spacing w:val="-3"/>
          <w:sz w:val="24"/>
          <w:szCs w:val="24"/>
          <w:highlight w:val="none"/>
        </w:rPr>
        <w:t>”。</w:t>
      </w:r>
    </w:p>
    <w:p w14:paraId="4F388BEC">
      <w:pPr>
        <w:pStyle w:val="6"/>
        <w:spacing w:line="359" w:lineRule="auto"/>
        <w:ind w:left="45" w:right="47" w:hanging="1"/>
        <w:rPr>
          <w:sz w:val="24"/>
          <w:szCs w:val="24"/>
          <w:highlight w:val="none"/>
        </w:rPr>
      </w:pPr>
      <w:r>
        <w:rPr>
          <w:spacing w:val="-2"/>
          <w:sz w:val="24"/>
          <w:szCs w:val="24"/>
          <w:highlight w:val="none"/>
        </w:rPr>
        <w:t>30.2采用综合评分法的采购项目，提供相同品牌产品且通过资格审查、符合性审查的不同</w:t>
      </w:r>
      <w:r>
        <w:rPr>
          <w:spacing w:val="-3"/>
          <w:sz w:val="24"/>
          <w:szCs w:val="24"/>
          <w:highlight w:val="none"/>
        </w:rPr>
        <w:t>投标人参加同一合同项下投标的，按一家投标人计算，</w:t>
      </w:r>
      <w:r>
        <w:rPr>
          <w:spacing w:val="-4"/>
          <w:sz w:val="24"/>
          <w:szCs w:val="24"/>
          <w:highlight w:val="none"/>
        </w:rPr>
        <w:t>评审后得分最高的同品牌投标人获得中标人推荐资格；评审得分相同的，由采购人或者采购人委托评标委员会按照“投标人</w:t>
      </w:r>
      <w:r>
        <w:rPr>
          <w:spacing w:val="-5"/>
          <w:sz w:val="24"/>
          <w:szCs w:val="24"/>
          <w:highlight w:val="none"/>
        </w:rPr>
        <w:t>须知前附表</w:t>
      </w:r>
      <w:r>
        <w:rPr>
          <w:spacing w:val="-79"/>
          <w:sz w:val="24"/>
          <w:szCs w:val="24"/>
          <w:highlight w:val="none"/>
        </w:rPr>
        <w:t xml:space="preserve"> </w:t>
      </w:r>
      <w:r>
        <w:rPr>
          <w:spacing w:val="-5"/>
          <w:sz w:val="24"/>
          <w:szCs w:val="24"/>
          <w:highlight w:val="none"/>
        </w:rPr>
        <w:t>”规定的方式确定一个投标人获得中标人推荐资格，招标文件未规定的采取随</w:t>
      </w:r>
      <w:r>
        <w:rPr>
          <w:spacing w:val="-3"/>
          <w:sz w:val="24"/>
          <w:szCs w:val="24"/>
          <w:highlight w:val="none"/>
        </w:rPr>
        <w:t>机抽取方式确定，其他同品牌投标人不作为中标候选人。</w:t>
      </w:r>
    </w:p>
    <w:p w14:paraId="278F2FD5">
      <w:pPr>
        <w:pStyle w:val="6"/>
        <w:spacing w:before="1" w:line="359" w:lineRule="auto"/>
        <w:ind w:left="45" w:right="33" w:hanging="1"/>
        <w:rPr>
          <w:sz w:val="24"/>
          <w:szCs w:val="24"/>
          <w:highlight w:val="none"/>
        </w:rPr>
      </w:pPr>
      <w:r>
        <w:rPr>
          <w:spacing w:val="-1"/>
          <w:sz w:val="24"/>
          <w:szCs w:val="24"/>
          <w:highlight w:val="none"/>
        </w:rPr>
        <w:t>30.3采用最低评标价法的采购项目，提供相同品牌产品</w:t>
      </w:r>
      <w:r>
        <w:rPr>
          <w:spacing w:val="-2"/>
          <w:sz w:val="24"/>
          <w:szCs w:val="24"/>
          <w:highlight w:val="none"/>
        </w:rPr>
        <w:t>的不同投标人参加同一合同项下投</w:t>
      </w:r>
      <w:r>
        <w:rPr>
          <w:spacing w:val="-1"/>
          <w:sz w:val="24"/>
          <w:szCs w:val="24"/>
          <w:highlight w:val="none"/>
        </w:rPr>
        <w:t>标的，以其中通过资格审查、符合性审查且报价最低</w:t>
      </w:r>
      <w:r>
        <w:rPr>
          <w:spacing w:val="-2"/>
          <w:sz w:val="24"/>
          <w:szCs w:val="24"/>
          <w:highlight w:val="none"/>
        </w:rPr>
        <w:t>的参加评标；报价相同的，由采购人或者采购人委托评标委员会按照“投标人须知前附表</w:t>
      </w:r>
      <w:r>
        <w:rPr>
          <w:spacing w:val="-88"/>
          <w:sz w:val="24"/>
          <w:szCs w:val="24"/>
          <w:highlight w:val="none"/>
        </w:rPr>
        <w:t xml:space="preserve"> </w:t>
      </w:r>
      <w:r>
        <w:rPr>
          <w:spacing w:val="-2"/>
          <w:sz w:val="24"/>
          <w:szCs w:val="24"/>
          <w:highlight w:val="none"/>
        </w:rPr>
        <w:t>”规定的方式确</w:t>
      </w:r>
      <w:r>
        <w:rPr>
          <w:spacing w:val="-3"/>
          <w:sz w:val="24"/>
          <w:szCs w:val="24"/>
          <w:highlight w:val="none"/>
        </w:rPr>
        <w:t>定一个参加评标的投</w:t>
      </w:r>
      <w:r>
        <w:rPr>
          <w:spacing w:val="-2"/>
          <w:sz w:val="24"/>
          <w:szCs w:val="24"/>
          <w:highlight w:val="none"/>
        </w:rPr>
        <w:t>标人，招标文件未规定的采取随机抽取方式确定，其他投标无效。</w:t>
      </w:r>
    </w:p>
    <w:p w14:paraId="7AF60A97">
      <w:pPr>
        <w:pStyle w:val="6"/>
        <w:spacing w:before="1" w:line="359" w:lineRule="auto"/>
        <w:ind w:left="45" w:hanging="1"/>
        <w:rPr>
          <w:sz w:val="24"/>
          <w:szCs w:val="24"/>
          <w:highlight w:val="none"/>
        </w:rPr>
      </w:pPr>
      <w:r>
        <w:rPr>
          <w:sz w:val="24"/>
          <w:szCs w:val="24"/>
          <w:highlight w:val="none"/>
        </w:rPr>
        <w:t>30.4非单一产品采购项目，采购人应当根据</w:t>
      </w:r>
      <w:r>
        <w:rPr>
          <w:spacing w:val="-1"/>
          <w:sz w:val="24"/>
          <w:szCs w:val="24"/>
          <w:highlight w:val="none"/>
        </w:rPr>
        <w:t>采购项目技术构成、产品价格比重等合理确定核心产品，并在“投标人须知前附表</w:t>
      </w:r>
      <w:r>
        <w:rPr>
          <w:spacing w:val="-88"/>
          <w:sz w:val="24"/>
          <w:szCs w:val="24"/>
          <w:highlight w:val="none"/>
        </w:rPr>
        <w:t xml:space="preserve"> </w:t>
      </w:r>
      <w:r>
        <w:rPr>
          <w:spacing w:val="-1"/>
          <w:sz w:val="24"/>
          <w:szCs w:val="24"/>
          <w:highlight w:val="none"/>
        </w:rPr>
        <w:t>”中载明。多家投标</w:t>
      </w:r>
      <w:r>
        <w:rPr>
          <w:spacing w:val="-2"/>
          <w:sz w:val="24"/>
          <w:szCs w:val="24"/>
          <w:highlight w:val="none"/>
        </w:rPr>
        <w:t>人提供的核心产品品牌相同的，</w:t>
      </w:r>
      <w:r>
        <w:rPr>
          <w:spacing w:val="-4"/>
          <w:sz w:val="24"/>
          <w:szCs w:val="24"/>
          <w:highlight w:val="none"/>
        </w:rPr>
        <w:t>按前两款规定处理。</w:t>
      </w:r>
    </w:p>
    <w:p w14:paraId="30AF7913">
      <w:pPr>
        <w:pStyle w:val="6"/>
        <w:spacing w:line="222" w:lineRule="auto"/>
        <w:ind w:left="44"/>
        <w:outlineLvl w:val="2"/>
        <w:rPr>
          <w:sz w:val="24"/>
          <w:szCs w:val="24"/>
          <w:highlight w:val="none"/>
        </w:rPr>
      </w:pPr>
      <w:r>
        <w:rPr>
          <w:b/>
          <w:bCs/>
          <w:spacing w:val="-7"/>
          <w:sz w:val="24"/>
          <w:szCs w:val="24"/>
          <w:highlight w:val="none"/>
        </w:rPr>
        <w:t>31.中标结果公告</w:t>
      </w:r>
    </w:p>
    <w:p w14:paraId="3F7E50F5">
      <w:pPr>
        <w:pStyle w:val="6"/>
        <w:spacing w:before="177" w:line="359" w:lineRule="auto"/>
        <w:ind w:left="46" w:right="98" w:hanging="2"/>
        <w:rPr>
          <w:sz w:val="24"/>
          <w:szCs w:val="24"/>
          <w:highlight w:val="none"/>
        </w:rPr>
      </w:pPr>
      <w:r>
        <w:rPr>
          <w:spacing w:val="-2"/>
          <w:sz w:val="24"/>
          <w:szCs w:val="24"/>
          <w:highlight w:val="none"/>
        </w:rPr>
        <w:t>31.1采购人或采购代理机构应当自中标人确定之日起2个工作日内，在发布招标公告的同</w:t>
      </w:r>
      <w:r>
        <w:rPr>
          <w:spacing w:val="-3"/>
          <w:sz w:val="24"/>
          <w:szCs w:val="24"/>
          <w:highlight w:val="none"/>
        </w:rPr>
        <w:t>一媒体上发布中标结果公告，同时向中标人发出中标通知书。招标文件随中标结</w:t>
      </w:r>
      <w:r>
        <w:rPr>
          <w:spacing w:val="-4"/>
          <w:sz w:val="24"/>
          <w:szCs w:val="24"/>
          <w:highlight w:val="none"/>
        </w:rPr>
        <w:t>果同时公</w:t>
      </w:r>
      <w:r>
        <w:rPr>
          <w:spacing w:val="-3"/>
          <w:sz w:val="24"/>
          <w:szCs w:val="24"/>
          <w:highlight w:val="none"/>
        </w:rPr>
        <w:t>告，中标结果公告期限为1个工作日。</w:t>
      </w:r>
    </w:p>
    <w:p w14:paraId="77E2971B">
      <w:pPr>
        <w:pStyle w:val="6"/>
        <w:spacing w:line="359" w:lineRule="auto"/>
        <w:ind w:left="51" w:right="129" w:hanging="7"/>
        <w:rPr>
          <w:sz w:val="24"/>
          <w:szCs w:val="24"/>
          <w:highlight w:val="none"/>
        </w:rPr>
      </w:pPr>
      <w:r>
        <w:rPr>
          <w:spacing w:val="-3"/>
          <w:sz w:val="24"/>
          <w:szCs w:val="24"/>
          <w:highlight w:val="none"/>
        </w:rPr>
        <w:t>31.2中标人为中小企业享受中小企业扶持政策的，其“</w:t>
      </w:r>
      <w:r>
        <w:rPr>
          <w:spacing w:val="-58"/>
          <w:sz w:val="24"/>
          <w:szCs w:val="24"/>
          <w:highlight w:val="none"/>
        </w:rPr>
        <w:t xml:space="preserve"> </w:t>
      </w:r>
      <w:r>
        <w:rPr>
          <w:spacing w:val="-3"/>
          <w:sz w:val="24"/>
          <w:szCs w:val="24"/>
          <w:highlight w:val="none"/>
        </w:rPr>
        <w:t>中小企业声明函</w:t>
      </w:r>
      <w:r>
        <w:rPr>
          <w:spacing w:val="-88"/>
          <w:sz w:val="24"/>
          <w:szCs w:val="24"/>
          <w:highlight w:val="none"/>
        </w:rPr>
        <w:t xml:space="preserve"> </w:t>
      </w:r>
      <w:r>
        <w:rPr>
          <w:spacing w:val="-3"/>
          <w:sz w:val="24"/>
          <w:szCs w:val="24"/>
          <w:highlight w:val="none"/>
        </w:rPr>
        <w:t>” 随中标结果同</w:t>
      </w:r>
      <w:r>
        <w:rPr>
          <w:spacing w:val="-4"/>
          <w:sz w:val="24"/>
          <w:szCs w:val="24"/>
          <w:highlight w:val="none"/>
        </w:rPr>
        <w:t>时公告。中标人为残疾人福利性单位的，其“残疾人福</w:t>
      </w:r>
      <w:r>
        <w:rPr>
          <w:spacing w:val="-5"/>
          <w:sz w:val="24"/>
          <w:szCs w:val="24"/>
          <w:highlight w:val="none"/>
        </w:rPr>
        <w:t>利性单位声明函”随中标结果同时</w:t>
      </w:r>
      <w:r>
        <w:rPr>
          <w:spacing w:val="-9"/>
          <w:sz w:val="24"/>
          <w:szCs w:val="24"/>
          <w:highlight w:val="none"/>
        </w:rPr>
        <w:t>公告。</w:t>
      </w:r>
    </w:p>
    <w:p w14:paraId="25063F8B">
      <w:pPr>
        <w:pStyle w:val="6"/>
        <w:spacing w:before="2" w:line="359" w:lineRule="auto"/>
        <w:ind w:left="46" w:right="60" w:hanging="2"/>
        <w:rPr>
          <w:sz w:val="24"/>
          <w:szCs w:val="24"/>
          <w:highlight w:val="none"/>
        </w:rPr>
      </w:pPr>
      <w:r>
        <w:rPr>
          <w:spacing w:val="-2"/>
          <w:sz w:val="24"/>
          <w:szCs w:val="24"/>
          <w:highlight w:val="none"/>
        </w:rPr>
        <w:t>31.3项目采购采用最低评标价法的，公告中标结果时同时公告因落实政府采购政策等原因</w:t>
      </w:r>
      <w:r>
        <w:rPr>
          <w:spacing w:val="-4"/>
          <w:sz w:val="24"/>
          <w:szCs w:val="24"/>
          <w:highlight w:val="none"/>
        </w:rPr>
        <w:t>进行价格扣除后中标人的评审报价；项目采购采用</w:t>
      </w:r>
      <w:r>
        <w:rPr>
          <w:spacing w:val="-5"/>
          <w:sz w:val="24"/>
          <w:szCs w:val="24"/>
          <w:highlight w:val="none"/>
        </w:rPr>
        <w:t>综合评分法的，公告中标结果时同时公</w:t>
      </w:r>
      <w:r>
        <w:rPr>
          <w:spacing w:val="-3"/>
          <w:sz w:val="24"/>
          <w:szCs w:val="24"/>
          <w:highlight w:val="none"/>
        </w:rPr>
        <w:t>告中标供应商的评审总得分。</w:t>
      </w:r>
    </w:p>
    <w:p w14:paraId="4E63E316">
      <w:pPr>
        <w:pStyle w:val="6"/>
        <w:spacing w:line="222" w:lineRule="auto"/>
        <w:ind w:left="44"/>
        <w:outlineLvl w:val="2"/>
        <w:rPr>
          <w:sz w:val="24"/>
          <w:szCs w:val="24"/>
          <w:highlight w:val="none"/>
        </w:rPr>
      </w:pPr>
      <w:r>
        <w:rPr>
          <w:b/>
          <w:bCs/>
          <w:spacing w:val="-8"/>
          <w:sz w:val="24"/>
          <w:szCs w:val="24"/>
          <w:highlight w:val="none"/>
        </w:rPr>
        <w:t>32.中标通知</w:t>
      </w:r>
    </w:p>
    <w:p w14:paraId="0E333883">
      <w:pPr>
        <w:pStyle w:val="6"/>
        <w:spacing w:before="2" w:line="359" w:lineRule="auto"/>
        <w:ind w:left="46" w:right="60" w:hanging="2"/>
        <w:rPr>
          <w:spacing w:val="-2"/>
          <w:sz w:val="24"/>
          <w:szCs w:val="24"/>
          <w:highlight w:val="none"/>
        </w:rPr>
      </w:pPr>
      <w:r>
        <w:rPr>
          <w:spacing w:val="-2"/>
          <w:sz w:val="24"/>
          <w:szCs w:val="24"/>
          <w:highlight w:val="none"/>
        </w:rPr>
        <w:t>32.1采购人和采购代理机构以书面形式向中标人发出中标通知书，同时将招标结果通知未</w:t>
      </w:r>
      <w:r>
        <w:rPr>
          <w:spacing w:val="-3"/>
          <w:sz w:val="24"/>
          <w:szCs w:val="24"/>
          <w:highlight w:val="none"/>
        </w:rPr>
        <w:t>中标的投标人。对未通过资格审查的投标人，应当告知其未通过的原因；采</w:t>
      </w:r>
      <w:r>
        <w:rPr>
          <w:spacing w:val="-2"/>
          <w:sz w:val="24"/>
          <w:szCs w:val="24"/>
          <w:highlight w:val="none"/>
        </w:rPr>
        <w:t>用综合评分法评审的，还应当告知未中标人本人的评审得分与排序。</w:t>
      </w:r>
    </w:p>
    <w:p w14:paraId="45A20D58">
      <w:pPr>
        <w:pStyle w:val="6"/>
        <w:spacing w:before="2" w:line="359" w:lineRule="auto"/>
        <w:ind w:left="46" w:right="60" w:hanging="2"/>
        <w:rPr>
          <w:spacing w:val="-2"/>
          <w:sz w:val="24"/>
          <w:szCs w:val="24"/>
          <w:highlight w:val="none"/>
        </w:rPr>
      </w:pPr>
      <w:r>
        <w:rPr>
          <w:spacing w:val="-2"/>
          <w:sz w:val="24"/>
          <w:szCs w:val="24"/>
          <w:highlight w:val="none"/>
        </w:rPr>
        <w:t>32.2中标通知书对采购人和中标人均具有法律效力。中标通知书发出后，采购人改变中标结果的，或者中标人放弃中标项目的，应当依法承担法律责任。</w:t>
      </w:r>
    </w:p>
    <w:p w14:paraId="63EF167F">
      <w:pPr>
        <w:pStyle w:val="6"/>
        <w:spacing w:before="45" w:line="224" w:lineRule="auto"/>
        <w:ind w:left="52"/>
        <w:outlineLvl w:val="2"/>
        <w:rPr>
          <w:spacing w:val="-3"/>
          <w:sz w:val="24"/>
          <w:szCs w:val="24"/>
          <w:highlight w:val="none"/>
        </w:rPr>
      </w:pPr>
    </w:p>
    <w:p w14:paraId="6D123292">
      <w:pPr>
        <w:pStyle w:val="6"/>
        <w:spacing w:before="45" w:line="224" w:lineRule="auto"/>
        <w:ind w:left="52"/>
        <w:outlineLvl w:val="2"/>
        <w:rPr>
          <w:sz w:val="24"/>
          <w:szCs w:val="24"/>
          <w:highlight w:val="none"/>
        </w:rPr>
      </w:pPr>
      <w:r>
        <w:rPr>
          <w:b/>
          <w:bCs/>
          <w:spacing w:val="-10"/>
          <w:sz w:val="24"/>
          <w:szCs w:val="24"/>
          <w:highlight w:val="none"/>
        </w:rPr>
        <w:t>（九）签订合同</w:t>
      </w:r>
    </w:p>
    <w:p w14:paraId="20A7A98B">
      <w:pPr>
        <w:pStyle w:val="6"/>
        <w:spacing w:before="176" w:line="221" w:lineRule="auto"/>
        <w:ind w:left="44"/>
        <w:outlineLvl w:val="2"/>
        <w:rPr>
          <w:sz w:val="24"/>
          <w:szCs w:val="24"/>
          <w:highlight w:val="none"/>
        </w:rPr>
      </w:pPr>
      <w:r>
        <w:rPr>
          <w:b/>
          <w:bCs/>
          <w:spacing w:val="-8"/>
          <w:sz w:val="24"/>
          <w:szCs w:val="24"/>
          <w:highlight w:val="none"/>
        </w:rPr>
        <w:t>33.履约保证金</w:t>
      </w:r>
    </w:p>
    <w:p w14:paraId="46E993D2">
      <w:pPr>
        <w:pStyle w:val="6"/>
        <w:spacing w:before="178" w:line="359" w:lineRule="auto"/>
        <w:ind w:left="50" w:right="40" w:hanging="6"/>
        <w:rPr>
          <w:sz w:val="24"/>
          <w:szCs w:val="24"/>
          <w:highlight w:val="none"/>
        </w:rPr>
      </w:pPr>
      <w:r>
        <w:rPr>
          <w:spacing w:val="-3"/>
          <w:sz w:val="24"/>
          <w:szCs w:val="24"/>
          <w:highlight w:val="none"/>
        </w:rPr>
        <w:t>33.1在签订合同前，中标人应按“投标人须知前附表</w:t>
      </w:r>
      <w:r>
        <w:rPr>
          <w:spacing w:val="-89"/>
          <w:sz w:val="24"/>
          <w:szCs w:val="24"/>
          <w:highlight w:val="none"/>
        </w:rPr>
        <w:t xml:space="preserve"> </w:t>
      </w:r>
      <w:r>
        <w:rPr>
          <w:spacing w:val="-3"/>
          <w:sz w:val="24"/>
          <w:szCs w:val="24"/>
          <w:highlight w:val="none"/>
        </w:rPr>
        <w:t>”规定的金额、担保形式和采购人认</w:t>
      </w:r>
      <w:r>
        <w:rPr>
          <w:spacing w:val="-2"/>
          <w:sz w:val="24"/>
          <w:szCs w:val="24"/>
          <w:highlight w:val="none"/>
        </w:rPr>
        <w:t>可的履约担保格式向采购人提交履约保证金。</w:t>
      </w:r>
    </w:p>
    <w:p w14:paraId="56E6E944">
      <w:pPr>
        <w:pStyle w:val="6"/>
        <w:spacing w:line="359" w:lineRule="auto"/>
        <w:ind w:left="60" w:right="78" w:hanging="16"/>
        <w:rPr>
          <w:sz w:val="24"/>
          <w:szCs w:val="24"/>
          <w:highlight w:val="none"/>
        </w:rPr>
      </w:pPr>
      <w:r>
        <w:rPr>
          <w:spacing w:val="-3"/>
          <w:sz w:val="24"/>
          <w:szCs w:val="24"/>
          <w:highlight w:val="none"/>
        </w:rPr>
        <w:t>33.2中标人不能按本章第33.1项要求提交履约担保的，视为放弃中标，给采购人造成损失的，中标人还应当承担民事责任。</w:t>
      </w:r>
    </w:p>
    <w:p w14:paraId="355A8989">
      <w:pPr>
        <w:pStyle w:val="6"/>
        <w:spacing w:line="223" w:lineRule="auto"/>
        <w:ind w:left="44"/>
        <w:outlineLvl w:val="2"/>
        <w:rPr>
          <w:sz w:val="24"/>
          <w:szCs w:val="24"/>
          <w:highlight w:val="none"/>
        </w:rPr>
      </w:pPr>
      <w:r>
        <w:rPr>
          <w:b/>
          <w:bCs/>
          <w:spacing w:val="-8"/>
          <w:sz w:val="24"/>
          <w:szCs w:val="24"/>
          <w:highlight w:val="none"/>
        </w:rPr>
        <w:t>34.签订合同</w:t>
      </w:r>
    </w:p>
    <w:p w14:paraId="142EF93E">
      <w:pPr>
        <w:pStyle w:val="6"/>
        <w:spacing w:before="178" w:line="359" w:lineRule="auto"/>
        <w:ind w:left="45" w:right="6" w:hanging="1"/>
        <w:rPr>
          <w:sz w:val="24"/>
          <w:szCs w:val="24"/>
          <w:highlight w:val="none"/>
        </w:rPr>
      </w:pPr>
      <w:r>
        <w:rPr>
          <w:spacing w:val="-4"/>
          <w:sz w:val="24"/>
          <w:szCs w:val="24"/>
          <w:highlight w:val="none"/>
        </w:rPr>
        <w:t>34.1 采购人和中标人应当自中标通知书发出之日起30天内，根据招标文件和</w:t>
      </w:r>
      <w:r>
        <w:rPr>
          <w:spacing w:val="-5"/>
          <w:sz w:val="24"/>
          <w:szCs w:val="24"/>
          <w:highlight w:val="none"/>
        </w:rPr>
        <w:t>中标人的投标</w:t>
      </w:r>
      <w:r>
        <w:rPr>
          <w:spacing w:val="-4"/>
          <w:sz w:val="24"/>
          <w:szCs w:val="24"/>
          <w:highlight w:val="none"/>
        </w:rPr>
        <w:t>文件订立书面合同。采购人因不可抗力原因迟延签订合同的，应当自不可抗力事由消除之</w:t>
      </w:r>
      <w:r>
        <w:rPr>
          <w:spacing w:val="-6"/>
          <w:sz w:val="24"/>
          <w:szCs w:val="24"/>
          <w:highlight w:val="none"/>
        </w:rPr>
        <w:t>日起7</w:t>
      </w:r>
      <w:r>
        <w:rPr>
          <w:spacing w:val="54"/>
          <w:sz w:val="24"/>
          <w:szCs w:val="24"/>
          <w:highlight w:val="none"/>
        </w:rPr>
        <w:t xml:space="preserve"> </w:t>
      </w:r>
      <w:r>
        <w:rPr>
          <w:spacing w:val="-6"/>
          <w:sz w:val="24"/>
          <w:szCs w:val="24"/>
          <w:highlight w:val="none"/>
        </w:rPr>
        <w:t>日内完成合同签订事宜。所签订的合同不得对招标文件和中标人投标文</w:t>
      </w:r>
      <w:r>
        <w:rPr>
          <w:spacing w:val="-7"/>
          <w:sz w:val="24"/>
          <w:szCs w:val="24"/>
          <w:highlight w:val="none"/>
        </w:rPr>
        <w:t>件作实质性</w:t>
      </w:r>
      <w:r>
        <w:rPr>
          <w:spacing w:val="-2"/>
          <w:sz w:val="24"/>
          <w:szCs w:val="24"/>
          <w:highlight w:val="none"/>
        </w:rPr>
        <w:t>修改。中标人无正当理由拒签合同，给采购人造成损失</w:t>
      </w:r>
      <w:r>
        <w:rPr>
          <w:spacing w:val="-3"/>
          <w:sz w:val="24"/>
          <w:szCs w:val="24"/>
          <w:highlight w:val="none"/>
        </w:rPr>
        <w:t>的，中标人还应当承担民事责任。</w:t>
      </w:r>
    </w:p>
    <w:p w14:paraId="2059F0B8">
      <w:pPr>
        <w:pStyle w:val="6"/>
        <w:spacing w:line="359" w:lineRule="auto"/>
        <w:ind w:left="46" w:right="83" w:hanging="2"/>
        <w:rPr>
          <w:sz w:val="24"/>
          <w:szCs w:val="24"/>
          <w:highlight w:val="none"/>
        </w:rPr>
      </w:pPr>
      <w:r>
        <w:rPr>
          <w:spacing w:val="-3"/>
          <w:sz w:val="24"/>
          <w:szCs w:val="24"/>
          <w:highlight w:val="none"/>
        </w:rPr>
        <w:t>34.2中标人拒绝与采购人签订合同的，采购人可以按照评标报</w:t>
      </w:r>
      <w:r>
        <w:rPr>
          <w:spacing w:val="-4"/>
          <w:sz w:val="24"/>
          <w:szCs w:val="24"/>
          <w:highlight w:val="none"/>
        </w:rPr>
        <w:t>告推荐的中标候选人名单排序，确定下一候选人为中标人，也可以重新开展政府采购活动。</w:t>
      </w:r>
    </w:p>
    <w:p w14:paraId="59405512">
      <w:pPr>
        <w:pStyle w:val="6"/>
        <w:spacing w:line="359" w:lineRule="auto"/>
        <w:ind w:left="47" w:right="105" w:hanging="3"/>
        <w:rPr>
          <w:sz w:val="24"/>
          <w:szCs w:val="24"/>
          <w:highlight w:val="none"/>
        </w:rPr>
      </w:pPr>
      <w:r>
        <w:rPr>
          <w:spacing w:val="-1"/>
          <w:sz w:val="24"/>
          <w:szCs w:val="24"/>
          <w:highlight w:val="none"/>
        </w:rPr>
        <w:t>34.3 采购人和中标人不得向对方提出任何不合理的要求，作为签订合同的条件，双方不</w:t>
      </w:r>
      <w:r>
        <w:rPr>
          <w:spacing w:val="-2"/>
          <w:sz w:val="24"/>
          <w:szCs w:val="24"/>
          <w:highlight w:val="none"/>
        </w:rPr>
        <w:t>得私下订立背离合同实质性内容的协议。</w:t>
      </w:r>
    </w:p>
    <w:p w14:paraId="74EFF7B0">
      <w:pPr>
        <w:pStyle w:val="6"/>
        <w:spacing w:before="1" w:line="359" w:lineRule="auto"/>
        <w:ind w:left="48" w:right="105" w:hanging="4"/>
        <w:rPr>
          <w:sz w:val="24"/>
          <w:szCs w:val="24"/>
          <w:highlight w:val="none"/>
        </w:rPr>
      </w:pPr>
      <w:r>
        <w:rPr>
          <w:spacing w:val="-1"/>
          <w:sz w:val="24"/>
          <w:szCs w:val="24"/>
          <w:highlight w:val="none"/>
        </w:rPr>
        <w:t>34.4 联合体中标的，联合体各方应当共同与采购人签订合同，就采购合同约定的事项向</w:t>
      </w:r>
      <w:r>
        <w:rPr>
          <w:spacing w:val="-3"/>
          <w:sz w:val="24"/>
          <w:szCs w:val="24"/>
          <w:highlight w:val="none"/>
        </w:rPr>
        <w:t>采购人承担连带责任。</w:t>
      </w:r>
    </w:p>
    <w:p w14:paraId="7186CECE">
      <w:pPr>
        <w:pStyle w:val="6"/>
        <w:spacing w:before="3" w:line="359" w:lineRule="auto"/>
        <w:ind w:left="46" w:right="37" w:hanging="2"/>
        <w:rPr>
          <w:sz w:val="24"/>
          <w:szCs w:val="24"/>
          <w:highlight w:val="none"/>
        </w:rPr>
      </w:pPr>
      <w:r>
        <w:rPr>
          <w:spacing w:val="-1"/>
          <w:sz w:val="24"/>
          <w:szCs w:val="24"/>
          <w:highlight w:val="none"/>
        </w:rPr>
        <w:t>34.5 本项目的非主体、非关键性工作是否允许分包，见“投标人</w:t>
      </w:r>
      <w:r>
        <w:rPr>
          <w:spacing w:val="-2"/>
          <w:sz w:val="24"/>
          <w:szCs w:val="24"/>
          <w:highlight w:val="none"/>
        </w:rPr>
        <w:t>须知前附表”。采购人</w:t>
      </w:r>
      <w:r>
        <w:rPr>
          <w:spacing w:val="-4"/>
          <w:sz w:val="24"/>
          <w:szCs w:val="24"/>
          <w:highlight w:val="none"/>
        </w:rPr>
        <w:t>允许采用分包方式履行合同的，中标人可以依法在中标后将中标项目的非主体、非关键性</w:t>
      </w:r>
      <w:r>
        <w:rPr>
          <w:spacing w:val="-3"/>
          <w:sz w:val="24"/>
          <w:szCs w:val="24"/>
          <w:highlight w:val="none"/>
        </w:rPr>
        <w:t>工作采取分包方式履行合同。政府采购合同分包履行的，应当在投标文件中载明分包承担</w:t>
      </w:r>
      <w:r>
        <w:rPr>
          <w:spacing w:val="-4"/>
          <w:sz w:val="24"/>
          <w:szCs w:val="24"/>
          <w:highlight w:val="none"/>
        </w:rPr>
        <w:t>主体，分包承担主体应当具备相应资质条件且不得再次分包，否则</w:t>
      </w:r>
      <w:r>
        <w:rPr>
          <w:b/>
          <w:bCs/>
          <w:spacing w:val="-4"/>
          <w:sz w:val="24"/>
          <w:szCs w:val="24"/>
          <w:highlight w:val="none"/>
        </w:rPr>
        <w:t>投标无效</w:t>
      </w:r>
      <w:r>
        <w:rPr>
          <w:spacing w:val="-4"/>
          <w:sz w:val="24"/>
          <w:szCs w:val="24"/>
          <w:highlight w:val="none"/>
        </w:rPr>
        <w:t>。中标人就采</w:t>
      </w:r>
      <w:r>
        <w:rPr>
          <w:spacing w:val="-3"/>
          <w:sz w:val="24"/>
          <w:szCs w:val="24"/>
          <w:highlight w:val="none"/>
        </w:rPr>
        <w:t>购项目和分包项目向采购人负责，分包供应商就分包项目承担责任。</w:t>
      </w:r>
      <w:r>
        <w:rPr>
          <w:b/>
          <w:bCs/>
          <w:spacing w:val="-3"/>
          <w:sz w:val="24"/>
          <w:szCs w:val="24"/>
          <w:highlight w:val="none"/>
        </w:rPr>
        <w:t>政府采购合同不能转</w:t>
      </w:r>
      <w:r>
        <w:rPr>
          <w:b/>
          <w:bCs/>
          <w:spacing w:val="-11"/>
          <w:sz w:val="24"/>
          <w:szCs w:val="24"/>
          <w:highlight w:val="none"/>
        </w:rPr>
        <w:t>包。</w:t>
      </w:r>
    </w:p>
    <w:p w14:paraId="0396DD50">
      <w:pPr>
        <w:pStyle w:val="6"/>
        <w:spacing w:line="358" w:lineRule="auto"/>
        <w:ind w:left="47" w:right="16" w:hanging="3"/>
        <w:rPr>
          <w:sz w:val="24"/>
          <w:szCs w:val="24"/>
          <w:highlight w:val="none"/>
        </w:rPr>
      </w:pPr>
      <w:r>
        <w:rPr>
          <w:spacing w:val="-2"/>
          <w:sz w:val="24"/>
          <w:szCs w:val="24"/>
          <w:highlight w:val="none"/>
        </w:rPr>
        <w:t>34.6采购合同履行中，采购人需追加与合同标的相同的货物、工程或者服务的，在不改变</w:t>
      </w:r>
      <w:r>
        <w:rPr>
          <w:spacing w:val="-3"/>
          <w:sz w:val="24"/>
          <w:szCs w:val="24"/>
          <w:highlight w:val="none"/>
        </w:rPr>
        <w:t>合同其他条款的前提下，可以与中标人协商签订补充合同，但所有补充合同的采购金额不</w:t>
      </w:r>
      <w:r>
        <w:rPr>
          <w:spacing w:val="-2"/>
          <w:sz w:val="24"/>
          <w:szCs w:val="24"/>
          <w:highlight w:val="none"/>
        </w:rPr>
        <w:t>得超过原合同采购金额的百分之十。</w:t>
      </w:r>
    </w:p>
    <w:p w14:paraId="3F6AB01C">
      <w:pPr>
        <w:pStyle w:val="6"/>
        <w:spacing w:before="3" w:line="219" w:lineRule="auto"/>
        <w:ind w:left="44"/>
        <w:rPr>
          <w:sz w:val="24"/>
          <w:szCs w:val="24"/>
          <w:highlight w:val="none"/>
        </w:rPr>
      </w:pPr>
      <w:r>
        <w:rPr>
          <w:spacing w:val="-1"/>
          <w:sz w:val="24"/>
          <w:szCs w:val="24"/>
          <w:highlight w:val="none"/>
        </w:rPr>
        <w:t>34.7 采购人应于签订合同之日起2个工</w:t>
      </w:r>
      <w:r>
        <w:rPr>
          <w:spacing w:val="-2"/>
          <w:sz w:val="24"/>
          <w:szCs w:val="24"/>
          <w:highlight w:val="none"/>
        </w:rPr>
        <w:t>作日内在政采云平台备案公示。</w:t>
      </w:r>
    </w:p>
    <w:p w14:paraId="5FCC1194">
      <w:pPr>
        <w:pStyle w:val="6"/>
        <w:spacing w:before="181" w:line="222" w:lineRule="auto"/>
        <w:ind w:left="52"/>
        <w:outlineLvl w:val="2"/>
        <w:rPr>
          <w:sz w:val="24"/>
          <w:szCs w:val="24"/>
          <w:highlight w:val="none"/>
        </w:rPr>
      </w:pPr>
      <w:r>
        <w:rPr>
          <w:b/>
          <w:bCs/>
          <w:spacing w:val="-10"/>
          <w:sz w:val="24"/>
          <w:szCs w:val="24"/>
          <w:highlight w:val="none"/>
        </w:rPr>
        <w:t>（十）质疑和投诉</w:t>
      </w:r>
    </w:p>
    <w:p w14:paraId="58692D36">
      <w:pPr>
        <w:pStyle w:val="6"/>
        <w:spacing w:before="45" w:line="359" w:lineRule="auto"/>
        <w:ind w:left="47" w:right="48" w:hanging="3"/>
        <w:rPr>
          <w:b/>
          <w:bCs/>
          <w:spacing w:val="-9"/>
          <w:sz w:val="24"/>
          <w:szCs w:val="24"/>
          <w:highlight w:val="none"/>
        </w:rPr>
      </w:pPr>
      <w:r>
        <w:rPr>
          <w:b/>
          <w:bCs/>
          <w:spacing w:val="-9"/>
          <w:sz w:val="24"/>
          <w:szCs w:val="24"/>
          <w:highlight w:val="none"/>
        </w:rPr>
        <w:t>35.质疑</w:t>
      </w:r>
    </w:p>
    <w:p w14:paraId="098EA0F3">
      <w:pPr>
        <w:pStyle w:val="6"/>
        <w:spacing w:before="45" w:line="359" w:lineRule="auto"/>
        <w:ind w:left="47" w:right="48" w:hanging="3"/>
        <w:rPr>
          <w:sz w:val="24"/>
          <w:szCs w:val="24"/>
          <w:highlight w:val="none"/>
        </w:rPr>
      </w:pPr>
      <w:r>
        <w:rPr>
          <w:spacing w:val="-2"/>
          <w:sz w:val="24"/>
          <w:szCs w:val="24"/>
          <w:highlight w:val="none"/>
        </w:rPr>
        <w:t>35.1供应商认为采购文件、采购过程、中标结果使自己的权益受到损害的，可以在知道或</w:t>
      </w:r>
      <w:r>
        <w:rPr>
          <w:spacing w:val="-6"/>
          <w:sz w:val="24"/>
          <w:szCs w:val="24"/>
          <w:highlight w:val="none"/>
        </w:rPr>
        <w:t>者应知其权益受到损害之日起7个工作日内，以书</w:t>
      </w:r>
      <w:r>
        <w:rPr>
          <w:spacing w:val="-7"/>
          <w:sz w:val="24"/>
          <w:szCs w:val="24"/>
          <w:highlight w:val="none"/>
        </w:rPr>
        <w:t>面形式向采购人、采购代理机构提出质疑，</w:t>
      </w:r>
      <w:r>
        <w:rPr>
          <w:spacing w:val="-3"/>
          <w:sz w:val="24"/>
          <w:szCs w:val="24"/>
          <w:highlight w:val="none"/>
        </w:rPr>
        <w:t>详见“投标人须知前附表”。供应商在法定质疑期内一次性提</w:t>
      </w:r>
      <w:r>
        <w:rPr>
          <w:spacing w:val="-4"/>
          <w:sz w:val="24"/>
          <w:szCs w:val="24"/>
          <w:highlight w:val="none"/>
        </w:rPr>
        <w:t>出针对同一采购程序环节的</w:t>
      </w:r>
      <w:r>
        <w:rPr>
          <w:spacing w:val="-6"/>
          <w:sz w:val="24"/>
          <w:szCs w:val="24"/>
          <w:highlight w:val="none"/>
        </w:rPr>
        <w:t>质疑。</w:t>
      </w:r>
    </w:p>
    <w:p w14:paraId="080A8BD7">
      <w:pPr>
        <w:pStyle w:val="6"/>
        <w:spacing w:before="1" w:line="220" w:lineRule="auto"/>
        <w:jc w:val="right"/>
        <w:rPr>
          <w:spacing w:val="-3"/>
          <w:sz w:val="24"/>
          <w:szCs w:val="24"/>
          <w:highlight w:val="none"/>
        </w:rPr>
      </w:pPr>
      <w:r>
        <w:rPr>
          <w:spacing w:val="-2"/>
          <w:sz w:val="24"/>
          <w:szCs w:val="24"/>
          <w:highlight w:val="none"/>
        </w:rPr>
        <w:t>35.2提出质疑的供应商（以下简称质疑供应商）应当是参与所质疑项目</w:t>
      </w:r>
      <w:r>
        <w:rPr>
          <w:spacing w:val="-3"/>
          <w:sz w:val="24"/>
          <w:szCs w:val="24"/>
          <w:highlight w:val="none"/>
        </w:rPr>
        <w:t>采购活动的</w:t>
      </w:r>
    </w:p>
    <w:p w14:paraId="7581824A">
      <w:pPr>
        <w:pStyle w:val="6"/>
        <w:spacing w:before="1" w:line="220" w:lineRule="auto"/>
        <w:jc w:val="both"/>
        <w:rPr>
          <w:spacing w:val="-3"/>
          <w:sz w:val="24"/>
          <w:szCs w:val="24"/>
          <w:highlight w:val="none"/>
        </w:rPr>
      </w:pPr>
    </w:p>
    <w:p w14:paraId="422F7495">
      <w:pPr>
        <w:pStyle w:val="6"/>
        <w:spacing w:before="1" w:line="220" w:lineRule="auto"/>
        <w:jc w:val="both"/>
        <w:rPr>
          <w:sz w:val="24"/>
          <w:szCs w:val="24"/>
          <w:highlight w:val="none"/>
        </w:rPr>
      </w:pPr>
      <w:r>
        <w:rPr>
          <w:spacing w:val="-3"/>
          <w:sz w:val="24"/>
          <w:szCs w:val="24"/>
          <w:highlight w:val="none"/>
        </w:rPr>
        <w:t>供应商。</w:t>
      </w:r>
    </w:p>
    <w:p w14:paraId="5AEEE2CC">
      <w:pPr>
        <w:pStyle w:val="6"/>
        <w:spacing w:before="180" w:line="358" w:lineRule="auto"/>
        <w:ind w:left="48" w:right="215" w:hanging="4"/>
        <w:rPr>
          <w:sz w:val="24"/>
          <w:szCs w:val="24"/>
          <w:highlight w:val="none"/>
        </w:rPr>
      </w:pPr>
      <w:r>
        <w:rPr>
          <w:spacing w:val="-2"/>
          <w:sz w:val="24"/>
          <w:szCs w:val="24"/>
          <w:highlight w:val="none"/>
        </w:rPr>
        <w:t>35.3潜在供应商已依法获取其可质疑的采购文件的，可以对该文件提出质疑。对采购文件</w:t>
      </w:r>
      <w:r>
        <w:rPr>
          <w:spacing w:val="-4"/>
          <w:sz w:val="24"/>
          <w:szCs w:val="24"/>
          <w:highlight w:val="none"/>
        </w:rPr>
        <w:t>提出质疑的，应当在获取采购文件或者采购文件公告期限届满之日起7个工作日内提出。</w:t>
      </w:r>
    </w:p>
    <w:p w14:paraId="7B0CF06C">
      <w:pPr>
        <w:pStyle w:val="6"/>
        <w:spacing w:before="3" w:line="220" w:lineRule="auto"/>
        <w:ind w:left="44"/>
        <w:rPr>
          <w:sz w:val="24"/>
          <w:szCs w:val="24"/>
          <w:highlight w:val="none"/>
        </w:rPr>
      </w:pPr>
      <w:r>
        <w:rPr>
          <w:spacing w:val="-2"/>
          <w:sz w:val="24"/>
          <w:szCs w:val="24"/>
          <w:highlight w:val="none"/>
        </w:rPr>
        <w:t>35.4供应商提出质疑应当提交质疑函和必要的证明材料。质疑函应当包括下列内容：</w:t>
      </w:r>
    </w:p>
    <w:p w14:paraId="564B586A">
      <w:pPr>
        <w:pStyle w:val="6"/>
        <w:spacing w:before="181" w:line="221" w:lineRule="auto"/>
        <w:ind w:left="52"/>
        <w:rPr>
          <w:sz w:val="24"/>
          <w:szCs w:val="24"/>
          <w:highlight w:val="none"/>
        </w:rPr>
      </w:pPr>
      <w:r>
        <w:rPr>
          <w:spacing w:val="-2"/>
          <w:sz w:val="24"/>
          <w:szCs w:val="24"/>
          <w:highlight w:val="none"/>
        </w:rPr>
        <w:t>（1）供应商的姓名或者名称、地址、邮编、联系人及联系电话；</w:t>
      </w:r>
    </w:p>
    <w:p w14:paraId="28CCBEC3">
      <w:pPr>
        <w:pStyle w:val="6"/>
        <w:spacing w:before="178" w:line="221" w:lineRule="auto"/>
        <w:ind w:left="52"/>
        <w:rPr>
          <w:sz w:val="24"/>
          <w:szCs w:val="24"/>
          <w:highlight w:val="none"/>
        </w:rPr>
      </w:pPr>
      <w:r>
        <w:rPr>
          <w:spacing w:val="-4"/>
          <w:sz w:val="24"/>
          <w:szCs w:val="24"/>
          <w:highlight w:val="none"/>
        </w:rPr>
        <w:t>（2）质疑项目的名称、编号；</w:t>
      </w:r>
    </w:p>
    <w:p w14:paraId="7E798A89">
      <w:pPr>
        <w:pStyle w:val="6"/>
        <w:spacing w:before="179" w:line="220" w:lineRule="auto"/>
        <w:ind w:left="52"/>
        <w:rPr>
          <w:sz w:val="24"/>
          <w:szCs w:val="24"/>
          <w:highlight w:val="none"/>
        </w:rPr>
      </w:pPr>
      <w:r>
        <w:rPr>
          <w:spacing w:val="-2"/>
          <w:sz w:val="24"/>
          <w:szCs w:val="24"/>
          <w:highlight w:val="none"/>
        </w:rPr>
        <w:t>（3）具体、明确的质疑事项和与质疑事项相关的请求；</w:t>
      </w:r>
    </w:p>
    <w:p w14:paraId="4AA62D0D">
      <w:pPr>
        <w:pStyle w:val="6"/>
        <w:spacing w:before="182" w:line="222" w:lineRule="auto"/>
        <w:ind w:left="52"/>
        <w:rPr>
          <w:sz w:val="24"/>
          <w:szCs w:val="24"/>
          <w:highlight w:val="none"/>
        </w:rPr>
      </w:pPr>
      <w:r>
        <w:rPr>
          <w:spacing w:val="-6"/>
          <w:sz w:val="24"/>
          <w:szCs w:val="24"/>
          <w:highlight w:val="none"/>
        </w:rPr>
        <w:t>（4）事实依据；</w:t>
      </w:r>
    </w:p>
    <w:p w14:paraId="78C0E41F">
      <w:pPr>
        <w:pStyle w:val="6"/>
        <w:spacing w:before="180" w:line="222" w:lineRule="auto"/>
        <w:ind w:left="52"/>
        <w:rPr>
          <w:sz w:val="24"/>
          <w:szCs w:val="24"/>
          <w:highlight w:val="none"/>
        </w:rPr>
      </w:pPr>
      <w:r>
        <w:rPr>
          <w:spacing w:val="-4"/>
          <w:sz w:val="24"/>
          <w:szCs w:val="24"/>
          <w:highlight w:val="none"/>
        </w:rPr>
        <w:t>（5）必要的法律依据；</w:t>
      </w:r>
    </w:p>
    <w:p w14:paraId="028D6AB5">
      <w:pPr>
        <w:pStyle w:val="6"/>
        <w:spacing w:before="176" w:line="223" w:lineRule="auto"/>
        <w:ind w:left="52"/>
        <w:rPr>
          <w:sz w:val="24"/>
          <w:szCs w:val="24"/>
          <w:highlight w:val="none"/>
        </w:rPr>
      </w:pPr>
      <w:r>
        <w:rPr>
          <w:spacing w:val="-4"/>
          <w:sz w:val="24"/>
          <w:szCs w:val="24"/>
          <w:highlight w:val="none"/>
        </w:rPr>
        <w:t>（6）提出质疑的日期。</w:t>
      </w:r>
    </w:p>
    <w:p w14:paraId="2176196D">
      <w:pPr>
        <w:pStyle w:val="6"/>
        <w:spacing w:before="178" w:line="358" w:lineRule="auto"/>
        <w:ind w:left="53" w:right="78" w:hanging="5"/>
        <w:rPr>
          <w:sz w:val="24"/>
          <w:szCs w:val="24"/>
          <w:highlight w:val="none"/>
        </w:rPr>
      </w:pPr>
      <w:r>
        <w:rPr>
          <w:spacing w:val="-4"/>
          <w:sz w:val="24"/>
          <w:szCs w:val="24"/>
          <w:highlight w:val="none"/>
        </w:rPr>
        <w:t>供应商为自然人的，应当由本人签字；供应商为法人或者</w:t>
      </w:r>
      <w:r>
        <w:rPr>
          <w:spacing w:val="-5"/>
          <w:sz w:val="24"/>
          <w:szCs w:val="24"/>
          <w:highlight w:val="none"/>
        </w:rPr>
        <w:t>其他组织的，应当由法定代表人、</w:t>
      </w:r>
      <w:r>
        <w:rPr>
          <w:spacing w:val="-2"/>
          <w:sz w:val="24"/>
          <w:szCs w:val="24"/>
          <w:highlight w:val="none"/>
        </w:rPr>
        <w:t>主要负责人，或者其授权代表签字或者盖章，并加盖公章。</w:t>
      </w:r>
    </w:p>
    <w:p w14:paraId="492CC4E9">
      <w:pPr>
        <w:pStyle w:val="6"/>
        <w:spacing w:before="2" w:line="358" w:lineRule="auto"/>
        <w:ind w:left="53" w:right="272" w:hanging="9"/>
        <w:rPr>
          <w:sz w:val="24"/>
          <w:szCs w:val="24"/>
          <w:highlight w:val="none"/>
        </w:rPr>
      </w:pPr>
      <w:r>
        <w:rPr>
          <w:spacing w:val="-3"/>
          <w:sz w:val="24"/>
          <w:szCs w:val="24"/>
          <w:highlight w:val="none"/>
        </w:rPr>
        <w:t>35.5质疑函不符合上述要求的，采购人或代理机构应书面告知具体事项，质疑人应当</w:t>
      </w:r>
      <w:r>
        <w:rPr>
          <w:spacing w:val="-4"/>
          <w:sz w:val="24"/>
          <w:szCs w:val="24"/>
          <w:highlight w:val="none"/>
        </w:rPr>
        <w:t>按要</w:t>
      </w:r>
      <w:r>
        <w:rPr>
          <w:spacing w:val="-2"/>
          <w:sz w:val="24"/>
          <w:szCs w:val="24"/>
          <w:highlight w:val="none"/>
        </w:rPr>
        <w:t>求进行修改或补充，并在质疑有效期限内提交。</w:t>
      </w:r>
    </w:p>
    <w:p w14:paraId="264F9F90">
      <w:pPr>
        <w:pStyle w:val="6"/>
        <w:spacing w:before="3" w:line="358" w:lineRule="auto"/>
        <w:ind w:left="47" w:right="215" w:hanging="3"/>
        <w:rPr>
          <w:sz w:val="24"/>
          <w:szCs w:val="24"/>
          <w:highlight w:val="none"/>
        </w:rPr>
      </w:pPr>
      <w:r>
        <w:rPr>
          <w:spacing w:val="-2"/>
          <w:sz w:val="24"/>
          <w:szCs w:val="24"/>
          <w:highlight w:val="none"/>
        </w:rPr>
        <w:t>35.6投标人进行虚假和恶意质疑投诉的，采购代理机构将提请有关部门将其列入不良记录</w:t>
      </w:r>
      <w:r>
        <w:rPr>
          <w:spacing w:val="-3"/>
          <w:sz w:val="24"/>
          <w:szCs w:val="24"/>
          <w:highlight w:val="none"/>
        </w:rPr>
        <w:t>名单，在一至三年内禁止参加政府采购活动，并将处理决定在相关政府采购媒体上公布。</w:t>
      </w:r>
    </w:p>
    <w:p w14:paraId="2F858602">
      <w:pPr>
        <w:pStyle w:val="6"/>
        <w:spacing w:before="4" w:line="220" w:lineRule="auto"/>
        <w:ind w:left="44"/>
        <w:rPr>
          <w:sz w:val="24"/>
          <w:szCs w:val="24"/>
          <w:highlight w:val="none"/>
        </w:rPr>
      </w:pPr>
      <w:r>
        <w:rPr>
          <w:spacing w:val="-2"/>
          <w:sz w:val="24"/>
          <w:szCs w:val="24"/>
          <w:highlight w:val="none"/>
        </w:rPr>
        <w:t>35.7质疑函应当使用中文，并采用财政部门制定的范本。</w:t>
      </w:r>
    </w:p>
    <w:p w14:paraId="5A4EC7F7">
      <w:pPr>
        <w:pStyle w:val="6"/>
        <w:spacing w:before="179" w:line="223" w:lineRule="auto"/>
        <w:ind w:left="44"/>
        <w:outlineLvl w:val="2"/>
        <w:rPr>
          <w:sz w:val="24"/>
          <w:szCs w:val="24"/>
          <w:highlight w:val="none"/>
        </w:rPr>
      </w:pPr>
      <w:r>
        <w:rPr>
          <w:b/>
          <w:bCs/>
          <w:spacing w:val="-8"/>
          <w:sz w:val="24"/>
          <w:szCs w:val="24"/>
          <w:highlight w:val="none"/>
        </w:rPr>
        <w:t>36.质疑答复</w:t>
      </w:r>
    </w:p>
    <w:p w14:paraId="1FC273CD">
      <w:pPr>
        <w:pStyle w:val="6"/>
        <w:spacing w:before="179" w:line="359" w:lineRule="auto"/>
        <w:ind w:left="54" w:right="219" w:hanging="10"/>
        <w:rPr>
          <w:sz w:val="24"/>
          <w:szCs w:val="24"/>
          <w:highlight w:val="none"/>
        </w:rPr>
      </w:pPr>
      <w:r>
        <w:rPr>
          <w:spacing w:val="-2"/>
          <w:sz w:val="24"/>
          <w:szCs w:val="24"/>
          <w:highlight w:val="none"/>
        </w:rPr>
        <w:t>36.1采购人、采购代理机构不得拒收质疑供应商在法定质疑期内发出的质疑函，应当在收</w:t>
      </w:r>
      <w:r>
        <w:rPr>
          <w:spacing w:val="-4"/>
          <w:sz w:val="24"/>
          <w:szCs w:val="24"/>
          <w:highlight w:val="none"/>
        </w:rPr>
        <w:t>到质疑函后7个工作日内作出答复，并以书面形式通知质疑供应商和其他有关供</w:t>
      </w:r>
      <w:r>
        <w:rPr>
          <w:spacing w:val="-5"/>
          <w:sz w:val="24"/>
          <w:szCs w:val="24"/>
          <w:highlight w:val="none"/>
        </w:rPr>
        <w:t>应商。</w:t>
      </w:r>
    </w:p>
    <w:p w14:paraId="3D37699B">
      <w:pPr>
        <w:pStyle w:val="6"/>
        <w:spacing w:line="359" w:lineRule="auto"/>
        <w:ind w:left="65" w:right="215" w:hanging="21"/>
        <w:rPr>
          <w:sz w:val="24"/>
          <w:szCs w:val="24"/>
          <w:highlight w:val="none"/>
        </w:rPr>
      </w:pPr>
      <w:r>
        <w:rPr>
          <w:spacing w:val="-2"/>
          <w:sz w:val="24"/>
          <w:szCs w:val="24"/>
          <w:highlight w:val="none"/>
        </w:rPr>
        <w:t>36.2供应商对评审过程、中标结果提出质疑的，采购人、采购代理机构可以组织原评标委</w:t>
      </w:r>
      <w:r>
        <w:rPr>
          <w:spacing w:val="-7"/>
          <w:sz w:val="24"/>
          <w:szCs w:val="24"/>
          <w:highlight w:val="none"/>
        </w:rPr>
        <w:t>员会协助答复质疑。</w:t>
      </w:r>
    </w:p>
    <w:p w14:paraId="448D616C">
      <w:pPr>
        <w:pStyle w:val="6"/>
        <w:spacing w:line="222" w:lineRule="auto"/>
        <w:ind w:left="53"/>
        <w:rPr>
          <w:sz w:val="24"/>
          <w:szCs w:val="24"/>
          <w:highlight w:val="none"/>
        </w:rPr>
      </w:pPr>
      <w:r>
        <w:rPr>
          <w:spacing w:val="-3"/>
          <w:sz w:val="24"/>
          <w:szCs w:val="24"/>
          <w:highlight w:val="none"/>
        </w:rPr>
        <w:t>质疑答复应当包括下列内容：</w:t>
      </w:r>
    </w:p>
    <w:p w14:paraId="665BDC15">
      <w:pPr>
        <w:pStyle w:val="6"/>
        <w:spacing w:before="179" w:line="359" w:lineRule="auto"/>
        <w:ind w:left="54" w:right="219" w:hanging="10"/>
        <w:rPr>
          <w:spacing w:val="-2"/>
          <w:sz w:val="24"/>
          <w:szCs w:val="24"/>
          <w:highlight w:val="none"/>
        </w:rPr>
      </w:pPr>
      <w:r>
        <w:rPr>
          <w:spacing w:val="-2"/>
          <w:sz w:val="24"/>
          <w:szCs w:val="24"/>
          <w:highlight w:val="none"/>
        </w:rPr>
        <w:t>（1）质疑供应商的姓名或者名称；</w:t>
      </w:r>
    </w:p>
    <w:p w14:paraId="330027DA">
      <w:pPr>
        <w:pStyle w:val="6"/>
        <w:spacing w:before="179" w:line="359" w:lineRule="auto"/>
        <w:ind w:left="54" w:right="219" w:hanging="10"/>
        <w:rPr>
          <w:spacing w:val="-2"/>
          <w:sz w:val="24"/>
          <w:szCs w:val="24"/>
          <w:highlight w:val="none"/>
        </w:rPr>
      </w:pPr>
      <w:r>
        <w:rPr>
          <w:spacing w:val="-2"/>
          <w:sz w:val="24"/>
          <w:szCs w:val="24"/>
          <w:highlight w:val="none"/>
        </w:rPr>
        <w:t>（2）收到质疑函的日期、质疑项目名称及编号；</w:t>
      </w:r>
    </w:p>
    <w:p w14:paraId="7F207BFD">
      <w:pPr>
        <w:pStyle w:val="6"/>
        <w:spacing w:before="179" w:line="359" w:lineRule="auto"/>
        <w:ind w:left="54" w:right="219" w:hanging="10"/>
        <w:rPr>
          <w:spacing w:val="-2"/>
          <w:sz w:val="24"/>
          <w:szCs w:val="24"/>
          <w:highlight w:val="none"/>
        </w:rPr>
      </w:pPr>
      <w:r>
        <w:rPr>
          <w:spacing w:val="-2"/>
          <w:sz w:val="24"/>
          <w:szCs w:val="24"/>
          <w:highlight w:val="none"/>
        </w:rPr>
        <w:t>（3）质疑事项、质疑答复的具体内容、事实依据和法律依据；</w:t>
      </w:r>
    </w:p>
    <w:p w14:paraId="5B1D7336">
      <w:pPr>
        <w:pStyle w:val="6"/>
        <w:spacing w:before="179" w:line="359" w:lineRule="auto"/>
        <w:ind w:left="54" w:right="219" w:hanging="10"/>
        <w:rPr>
          <w:spacing w:val="-2"/>
          <w:sz w:val="24"/>
          <w:szCs w:val="24"/>
          <w:highlight w:val="none"/>
        </w:rPr>
      </w:pPr>
      <w:r>
        <w:rPr>
          <w:spacing w:val="-2"/>
          <w:sz w:val="24"/>
          <w:szCs w:val="24"/>
          <w:highlight w:val="none"/>
        </w:rPr>
        <w:t>（4）告知质疑供应商依法投诉的权利；</w:t>
      </w:r>
    </w:p>
    <w:p w14:paraId="4D595DE7">
      <w:pPr>
        <w:pStyle w:val="6"/>
        <w:spacing w:before="179" w:line="359" w:lineRule="auto"/>
        <w:ind w:left="54" w:right="219" w:hanging="10"/>
        <w:rPr>
          <w:spacing w:val="-2"/>
          <w:sz w:val="24"/>
          <w:szCs w:val="24"/>
          <w:highlight w:val="none"/>
        </w:rPr>
      </w:pPr>
      <w:r>
        <w:rPr>
          <w:spacing w:val="-2"/>
          <w:sz w:val="24"/>
          <w:szCs w:val="24"/>
          <w:highlight w:val="none"/>
        </w:rPr>
        <w:t>（5）质疑答复人名称；</w:t>
      </w:r>
    </w:p>
    <w:p w14:paraId="71C2119A">
      <w:pPr>
        <w:pStyle w:val="6"/>
        <w:spacing w:before="179" w:line="359" w:lineRule="auto"/>
        <w:ind w:left="54" w:right="219" w:hanging="10"/>
        <w:rPr>
          <w:spacing w:val="-2"/>
          <w:sz w:val="24"/>
          <w:szCs w:val="24"/>
          <w:highlight w:val="none"/>
        </w:rPr>
      </w:pPr>
      <w:r>
        <w:rPr>
          <w:spacing w:val="-2"/>
          <w:sz w:val="24"/>
          <w:szCs w:val="24"/>
          <w:highlight w:val="none"/>
        </w:rPr>
        <w:t>（6）答复质疑的日期。</w:t>
      </w:r>
    </w:p>
    <w:p w14:paraId="72F52275">
      <w:pPr>
        <w:pStyle w:val="6"/>
        <w:spacing w:before="178" w:line="222" w:lineRule="auto"/>
        <w:ind w:left="53"/>
        <w:rPr>
          <w:sz w:val="24"/>
          <w:szCs w:val="24"/>
          <w:highlight w:val="none"/>
        </w:rPr>
      </w:pPr>
      <w:r>
        <w:rPr>
          <w:spacing w:val="-3"/>
          <w:sz w:val="24"/>
          <w:szCs w:val="24"/>
          <w:highlight w:val="none"/>
        </w:rPr>
        <w:t>质疑答复的内容不得涉及商业秘密。</w:t>
      </w:r>
    </w:p>
    <w:p w14:paraId="626AC25E">
      <w:pPr>
        <w:pStyle w:val="6"/>
        <w:spacing w:before="177" w:line="222" w:lineRule="auto"/>
        <w:ind w:left="44"/>
        <w:outlineLvl w:val="3"/>
        <w:rPr>
          <w:sz w:val="24"/>
          <w:szCs w:val="24"/>
          <w:highlight w:val="none"/>
        </w:rPr>
      </w:pPr>
      <w:r>
        <w:rPr>
          <w:b/>
          <w:bCs/>
          <w:spacing w:val="-9"/>
          <w:sz w:val="24"/>
          <w:szCs w:val="24"/>
          <w:highlight w:val="none"/>
        </w:rPr>
        <w:t>37.投诉</w:t>
      </w:r>
    </w:p>
    <w:p w14:paraId="7E9483E3">
      <w:pPr>
        <w:pStyle w:val="6"/>
        <w:spacing w:before="181" w:line="359" w:lineRule="auto"/>
        <w:ind w:left="45" w:right="122" w:hanging="1"/>
        <w:rPr>
          <w:sz w:val="24"/>
          <w:szCs w:val="24"/>
          <w:highlight w:val="none"/>
        </w:rPr>
      </w:pPr>
      <w:r>
        <w:rPr>
          <w:spacing w:val="-1"/>
          <w:sz w:val="24"/>
          <w:szCs w:val="24"/>
          <w:highlight w:val="none"/>
        </w:rPr>
        <w:t>37.1质疑供应商对采购人、采购代理机构的答复不满意</w:t>
      </w:r>
      <w:r>
        <w:rPr>
          <w:spacing w:val="-2"/>
          <w:sz w:val="24"/>
          <w:szCs w:val="24"/>
          <w:highlight w:val="none"/>
        </w:rPr>
        <w:t>，或者采购人、采购代理机构未在规定时间内作出答复的，可以在答复期满后15个工作日内向同级政府采购监督管理部门提</w:t>
      </w:r>
      <w:r>
        <w:rPr>
          <w:spacing w:val="-5"/>
          <w:sz w:val="24"/>
          <w:szCs w:val="24"/>
          <w:highlight w:val="none"/>
        </w:rPr>
        <w:t>起投诉。</w:t>
      </w:r>
    </w:p>
    <w:p w14:paraId="0588D665">
      <w:pPr>
        <w:pStyle w:val="6"/>
        <w:spacing w:before="3" w:line="358" w:lineRule="auto"/>
        <w:ind w:left="46" w:right="179" w:hanging="2"/>
        <w:rPr>
          <w:sz w:val="24"/>
          <w:szCs w:val="24"/>
          <w:highlight w:val="none"/>
        </w:rPr>
      </w:pPr>
      <w:r>
        <w:rPr>
          <w:spacing w:val="-2"/>
          <w:sz w:val="24"/>
          <w:szCs w:val="24"/>
          <w:highlight w:val="none"/>
        </w:rPr>
        <w:t>37.2投诉人投诉时,应当提交投诉书和必要的证明</w:t>
      </w:r>
      <w:r>
        <w:rPr>
          <w:spacing w:val="-3"/>
          <w:sz w:val="24"/>
          <w:szCs w:val="24"/>
          <w:highlight w:val="none"/>
        </w:rPr>
        <w:t>材料，并按照被投诉采购人、采购代理机构（以下简称被投诉人）和与投诉事项有关的供应商数量提供投诉书的副本。投诉书应当包括下列内容：</w:t>
      </w:r>
    </w:p>
    <w:p w14:paraId="1A381CAD">
      <w:pPr>
        <w:pStyle w:val="6"/>
        <w:spacing w:before="1" w:line="220" w:lineRule="auto"/>
        <w:ind w:left="52"/>
        <w:rPr>
          <w:sz w:val="24"/>
          <w:szCs w:val="24"/>
          <w:highlight w:val="none"/>
        </w:rPr>
      </w:pPr>
      <w:r>
        <w:rPr>
          <w:spacing w:val="-2"/>
          <w:sz w:val="24"/>
          <w:szCs w:val="24"/>
          <w:highlight w:val="none"/>
        </w:rPr>
        <w:t>（1）投诉人和被投诉人的姓名或者名称、通讯地址、邮编、联系人及联系电话；</w:t>
      </w:r>
    </w:p>
    <w:p w14:paraId="5F6302A5">
      <w:pPr>
        <w:pStyle w:val="6"/>
        <w:spacing w:before="181" w:line="220" w:lineRule="auto"/>
        <w:ind w:left="52"/>
        <w:rPr>
          <w:sz w:val="24"/>
          <w:szCs w:val="24"/>
          <w:highlight w:val="none"/>
        </w:rPr>
      </w:pPr>
      <w:r>
        <w:rPr>
          <w:spacing w:val="-2"/>
          <w:sz w:val="24"/>
          <w:szCs w:val="24"/>
          <w:highlight w:val="none"/>
        </w:rPr>
        <w:t>（2）质疑和质疑答复情况说明及相关证明材料；</w:t>
      </w:r>
    </w:p>
    <w:p w14:paraId="51CA9AA8">
      <w:pPr>
        <w:pStyle w:val="6"/>
        <w:spacing w:before="179" w:line="220" w:lineRule="auto"/>
        <w:ind w:left="52"/>
        <w:rPr>
          <w:sz w:val="24"/>
          <w:szCs w:val="24"/>
          <w:highlight w:val="none"/>
        </w:rPr>
      </w:pPr>
      <w:r>
        <w:rPr>
          <w:spacing w:val="-2"/>
          <w:sz w:val="24"/>
          <w:szCs w:val="24"/>
          <w:highlight w:val="none"/>
        </w:rPr>
        <w:t>（3）具体、明确的投诉事项和与投诉事项相关的投诉请求；</w:t>
      </w:r>
    </w:p>
    <w:p w14:paraId="270EFFD8">
      <w:pPr>
        <w:pStyle w:val="6"/>
        <w:spacing w:before="183" w:line="222" w:lineRule="auto"/>
        <w:ind w:left="52"/>
        <w:rPr>
          <w:sz w:val="24"/>
          <w:szCs w:val="24"/>
          <w:highlight w:val="none"/>
        </w:rPr>
      </w:pPr>
      <w:r>
        <w:rPr>
          <w:spacing w:val="-6"/>
          <w:sz w:val="24"/>
          <w:szCs w:val="24"/>
          <w:highlight w:val="none"/>
        </w:rPr>
        <w:t>（4）事实依据；</w:t>
      </w:r>
    </w:p>
    <w:p w14:paraId="492F218A">
      <w:pPr>
        <w:pStyle w:val="6"/>
        <w:spacing w:before="177" w:line="222" w:lineRule="auto"/>
        <w:ind w:left="52"/>
        <w:rPr>
          <w:sz w:val="24"/>
          <w:szCs w:val="24"/>
          <w:highlight w:val="none"/>
        </w:rPr>
      </w:pPr>
      <w:r>
        <w:rPr>
          <w:spacing w:val="-6"/>
          <w:sz w:val="24"/>
          <w:szCs w:val="24"/>
          <w:highlight w:val="none"/>
        </w:rPr>
        <w:t>（5）法律依据；</w:t>
      </w:r>
    </w:p>
    <w:p w14:paraId="65320D53">
      <w:pPr>
        <w:pStyle w:val="6"/>
        <w:spacing w:before="179" w:line="222" w:lineRule="auto"/>
        <w:ind w:left="52"/>
        <w:rPr>
          <w:sz w:val="24"/>
          <w:szCs w:val="24"/>
          <w:highlight w:val="none"/>
        </w:rPr>
      </w:pPr>
      <w:r>
        <w:rPr>
          <w:spacing w:val="-4"/>
          <w:sz w:val="24"/>
          <w:szCs w:val="24"/>
          <w:highlight w:val="none"/>
        </w:rPr>
        <w:t>（6）提起投诉的日期。</w:t>
      </w:r>
    </w:p>
    <w:p w14:paraId="3A3FD7E0">
      <w:pPr>
        <w:pStyle w:val="6"/>
        <w:spacing w:before="177" w:line="359" w:lineRule="auto"/>
        <w:ind w:left="53" w:hanging="7"/>
        <w:rPr>
          <w:sz w:val="24"/>
          <w:szCs w:val="24"/>
          <w:highlight w:val="none"/>
        </w:rPr>
      </w:pPr>
      <w:r>
        <w:rPr>
          <w:spacing w:val="-4"/>
          <w:sz w:val="24"/>
          <w:szCs w:val="24"/>
          <w:highlight w:val="none"/>
        </w:rPr>
        <w:t>投诉人为自然人的，应当由本人签字；投诉人为法人或者</w:t>
      </w:r>
      <w:r>
        <w:rPr>
          <w:spacing w:val="-5"/>
          <w:sz w:val="24"/>
          <w:szCs w:val="24"/>
          <w:highlight w:val="none"/>
        </w:rPr>
        <w:t>其他组织的，应当由法定代表人、</w:t>
      </w:r>
      <w:r>
        <w:rPr>
          <w:spacing w:val="-2"/>
          <w:sz w:val="24"/>
          <w:szCs w:val="24"/>
          <w:highlight w:val="none"/>
        </w:rPr>
        <w:t>主要负责人，或者其授权代表签字或者盖章，并加盖公章。</w:t>
      </w:r>
    </w:p>
    <w:p w14:paraId="61CB4B01">
      <w:pPr>
        <w:pStyle w:val="6"/>
        <w:spacing w:line="359" w:lineRule="auto"/>
        <w:ind w:left="77" w:right="127" w:hanging="33"/>
        <w:rPr>
          <w:sz w:val="24"/>
          <w:szCs w:val="24"/>
          <w:highlight w:val="none"/>
        </w:rPr>
      </w:pPr>
      <w:r>
        <w:rPr>
          <w:spacing w:val="-1"/>
          <w:sz w:val="24"/>
          <w:szCs w:val="24"/>
          <w:highlight w:val="none"/>
        </w:rPr>
        <w:t>37.3供应商质疑、投诉应当有明确的请求和必</w:t>
      </w:r>
      <w:r>
        <w:rPr>
          <w:spacing w:val="-2"/>
          <w:sz w:val="24"/>
          <w:szCs w:val="24"/>
          <w:highlight w:val="none"/>
        </w:rPr>
        <w:t>要的证明材料。供应商投诉的事项不得超出</w:t>
      </w:r>
      <w:r>
        <w:rPr>
          <w:spacing w:val="-4"/>
          <w:sz w:val="24"/>
          <w:szCs w:val="24"/>
          <w:highlight w:val="none"/>
        </w:rPr>
        <w:t>已质疑事项的范围，但基于质疑答复内容提出的投诉事项除外。</w:t>
      </w:r>
    </w:p>
    <w:p w14:paraId="0537EFEC">
      <w:pPr>
        <w:pStyle w:val="6"/>
        <w:spacing w:line="220" w:lineRule="auto"/>
        <w:ind w:left="44"/>
        <w:rPr>
          <w:sz w:val="24"/>
          <w:szCs w:val="24"/>
          <w:highlight w:val="none"/>
        </w:rPr>
      </w:pPr>
      <w:r>
        <w:rPr>
          <w:spacing w:val="-2"/>
          <w:sz w:val="24"/>
          <w:szCs w:val="24"/>
          <w:highlight w:val="none"/>
        </w:rPr>
        <w:t>37.4投诉书应当使用中文，并采用财政部门制定的范本。</w:t>
      </w:r>
    </w:p>
    <w:p w14:paraId="4DF82327">
      <w:pPr>
        <w:pStyle w:val="6"/>
        <w:spacing w:before="182" w:line="222" w:lineRule="auto"/>
        <w:ind w:left="52"/>
        <w:outlineLvl w:val="2"/>
        <w:rPr>
          <w:sz w:val="24"/>
          <w:szCs w:val="24"/>
          <w:highlight w:val="none"/>
        </w:rPr>
      </w:pPr>
      <w:r>
        <w:rPr>
          <w:b/>
          <w:bCs/>
          <w:spacing w:val="-8"/>
          <w:sz w:val="24"/>
          <w:szCs w:val="24"/>
          <w:highlight w:val="none"/>
        </w:rPr>
        <w:t>（十一）采购代理服务费</w:t>
      </w:r>
    </w:p>
    <w:p w14:paraId="249D0748">
      <w:pPr>
        <w:pStyle w:val="6"/>
        <w:spacing w:before="180" w:line="222" w:lineRule="auto"/>
        <w:ind w:left="44"/>
        <w:outlineLvl w:val="2"/>
        <w:rPr>
          <w:sz w:val="24"/>
          <w:szCs w:val="24"/>
          <w:highlight w:val="none"/>
        </w:rPr>
      </w:pPr>
      <w:r>
        <w:rPr>
          <w:b/>
          <w:bCs/>
          <w:spacing w:val="-7"/>
          <w:sz w:val="24"/>
          <w:szCs w:val="24"/>
          <w:highlight w:val="none"/>
        </w:rPr>
        <w:t>38.收取方式和标准</w:t>
      </w:r>
    </w:p>
    <w:p w14:paraId="5ADF1D2F">
      <w:pPr>
        <w:pStyle w:val="6"/>
        <w:spacing w:before="176" w:line="222" w:lineRule="auto"/>
        <w:ind w:left="44"/>
        <w:rPr>
          <w:sz w:val="24"/>
          <w:szCs w:val="24"/>
          <w:highlight w:val="none"/>
        </w:rPr>
      </w:pPr>
      <w:r>
        <w:rPr>
          <w:spacing w:val="-3"/>
          <w:sz w:val="24"/>
          <w:szCs w:val="24"/>
          <w:highlight w:val="none"/>
        </w:rPr>
        <w:t>38.1采购代理机构按“投标人须知前附表</w:t>
      </w:r>
      <w:r>
        <w:rPr>
          <w:spacing w:val="-91"/>
          <w:sz w:val="24"/>
          <w:szCs w:val="24"/>
          <w:highlight w:val="none"/>
        </w:rPr>
        <w:t xml:space="preserve"> </w:t>
      </w:r>
      <w:r>
        <w:rPr>
          <w:spacing w:val="-3"/>
          <w:sz w:val="24"/>
          <w:szCs w:val="24"/>
          <w:highlight w:val="none"/>
        </w:rPr>
        <w:t>”规定的方式和标准收取采购</w:t>
      </w:r>
      <w:r>
        <w:rPr>
          <w:spacing w:val="-4"/>
          <w:sz w:val="24"/>
          <w:szCs w:val="24"/>
          <w:highlight w:val="none"/>
        </w:rPr>
        <w:t>代理服务费。</w:t>
      </w:r>
    </w:p>
    <w:p w14:paraId="2CF0628B">
      <w:pPr>
        <w:pStyle w:val="6"/>
        <w:spacing w:before="178" w:line="222" w:lineRule="auto"/>
        <w:ind w:left="52"/>
        <w:outlineLvl w:val="2"/>
        <w:rPr>
          <w:sz w:val="24"/>
          <w:szCs w:val="24"/>
          <w:highlight w:val="none"/>
        </w:rPr>
      </w:pPr>
      <w:r>
        <w:rPr>
          <w:b/>
          <w:bCs/>
          <w:spacing w:val="-8"/>
          <w:sz w:val="24"/>
          <w:szCs w:val="24"/>
          <w:highlight w:val="none"/>
        </w:rPr>
        <w:t>（十二）无效投标和废标</w:t>
      </w:r>
    </w:p>
    <w:p w14:paraId="78A5ADBD">
      <w:pPr>
        <w:pStyle w:val="6"/>
        <w:spacing w:before="179" w:line="222" w:lineRule="auto"/>
        <w:ind w:left="44"/>
        <w:outlineLvl w:val="2"/>
        <w:rPr>
          <w:sz w:val="24"/>
          <w:szCs w:val="24"/>
          <w:highlight w:val="none"/>
        </w:rPr>
      </w:pPr>
      <w:r>
        <w:rPr>
          <w:b/>
          <w:bCs/>
          <w:spacing w:val="-8"/>
          <w:sz w:val="24"/>
          <w:szCs w:val="24"/>
          <w:highlight w:val="none"/>
        </w:rPr>
        <w:t>39.无效投标</w:t>
      </w:r>
    </w:p>
    <w:p w14:paraId="75954E5D">
      <w:pPr>
        <w:pStyle w:val="6"/>
        <w:spacing w:before="177" w:line="360" w:lineRule="auto"/>
        <w:ind w:left="60" w:right="194" w:hanging="16"/>
        <w:rPr>
          <w:sz w:val="24"/>
          <w:szCs w:val="24"/>
          <w:highlight w:val="none"/>
        </w:rPr>
      </w:pPr>
      <w:r>
        <w:rPr>
          <w:spacing w:val="-4"/>
          <w:sz w:val="24"/>
          <w:szCs w:val="24"/>
          <w:highlight w:val="none"/>
        </w:rPr>
        <w:t>39.1投标文件存在“第四章 资格审查”、“第五章 评标方法及标准</w:t>
      </w:r>
      <w:r>
        <w:rPr>
          <w:spacing w:val="-80"/>
          <w:sz w:val="24"/>
          <w:szCs w:val="24"/>
          <w:highlight w:val="none"/>
        </w:rPr>
        <w:t xml:space="preserve"> </w:t>
      </w:r>
      <w:r>
        <w:rPr>
          <w:spacing w:val="-4"/>
          <w:sz w:val="24"/>
          <w:szCs w:val="24"/>
          <w:highlight w:val="none"/>
        </w:rPr>
        <w:t>”及本招标文件规定的投标无效情形的，其</w:t>
      </w:r>
      <w:r>
        <w:rPr>
          <w:b/>
          <w:bCs/>
          <w:spacing w:val="-4"/>
          <w:sz w:val="24"/>
          <w:szCs w:val="24"/>
          <w:highlight w:val="none"/>
        </w:rPr>
        <w:t>投标无效</w:t>
      </w:r>
      <w:r>
        <w:rPr>
          <w:spacing w:val="-4"/>
          <w:sz w:val="24"/>
          <w:szCs w:val="24"/>
          <w:highlight w:val="none"/>
        </w:rPr>
        <w:t>。</w:t>
      </w:r>
    </w:p>
    <w:p w14:paraId="1F4008AD">
      <w:pPr>
        <w:pStyle w:val="6"/>
        <w:spacing w:before="45" w:line="359" w:lineRule="auto"/>
        <w:ind w:left="47" w:right="231" w:hanging="8"/>
        <w:rPr>
          <w:b/>
          <w:bCs/>
          <w:spacing w:val="-7"/>
          <w:sz w:val="24"/>
          <w:szCs w:val="24"/>
          <w:highlight w:val="none"/>
        </w:rPr>
      </w:pPr>
      <w:r>
        <w:rPr>
          <w:b/>
          <w:bCs/>
          <w:spacing w:val="-7"/>
          <w:sz w:val="24"/>
          <w:szCs w:val="24"/>
          <w:highlight w:val="none"/>
        </w:rPr>
        <w:t>40.废标</w:t>
      </w:r>
    </w:p>
    <w:p w14:paraId="73C0586E">
      <w:pPr>
        <w:pStyle w:val="6"/>
        <w:spacing w:before="45" w:line="359" w:lineRule="auto"/>
        <w:ind w:left="47" w:right="231" w:hanging="8"/>
        <w:rPr>
          <w:sz w:val="24"/>
          <w:szCs w:val="24"/>
          <w:highlight w:val="none"/>
        </w:rPr>
      </w:pPr>
      <w:r>
        <w:rPr>
          <w:spacing w:val="-5"/>
          <w:sz w:val="24"/>
          <w:szCs w:val="24"/>
          <w:highlight w:val="none"/>
        </w:rPr>
        <w:t>40.1在招标采购中出现有“第五章 评标方法及标准</w:t>
      </w:r>
      <w:r>
        <w:rPr>
          <w:spacing w:val="-72"/>
          <w:sz w:val="24"/>
          <w:szCs w:val="24"/>
          <w:highlight w:val="none"/>
        </w:rPr>
        <w:t xml:space="preserve"> </w:t>
      </w:r>
      <w:r>
        <w:rPr>
          <w:spacing w:val="-5"/>
          <w:sz w:val="24"/>
          <w:szCs w:val="24"/>
          <w:highlight w:val="none"/>
        </w:rPr>
        <w:t>”及本招标文件规定的废标情形的，应予以</w:t>
      </w:r>
      <w:r>
        <w:rPr>
          <w:b/>
          <w:bCs/>
          <w:spacing w:val="-5"/>
          <w:sz w:val="24"/>
          <w:szCs w:val="24"/>
          <w:highlight w:val="none"/>
        </w:rPr>
        <w:t>废标</w:t>
      </w:r>
      <w:r>
        <w:rPr>
          <w:spacing w:val="-5"/>
          <w:sz w:val="24"/>
          <w:szCs w:val="24"/>
          <w:highlight w:val="none"/>
        </w:rPr>
        <w:t>。</w:t>
      </w:r>
    </w:p>
    <w:p w14:paraId="6CEF3561">
      <w:pPr>
        <w:pStyle w:val="6"/>
        <w:spacing w:line="221" w:lineRule="auto"/>
        <w:ind w:left="52"/>
        <w:outlineLvl w:val="2"/>
        <w:rPr>
          <w:sz w:val="24"/>
          <w:szCs w:val="24"/>
          <w:highlight w:val="none"/>
        </w:rPr>
      </w:pPr>
      <w:r>
        <w:rPr>
          <w:b/>
          <w:bCs/>
          <w:spacing w:val="-6"/>
          <w:sz w:val="24"/>
          <w:szCs w:val="24"/>
          <w:highlight w:val="none"/>
        </w:rPr>
        <w:t>（十三）落实政府采购政策（包括但不限于下列具体政</w:t>
      </w:r>
      <w:r>
        <w:rPr>
          <w:b/>
          <w:bCs/>
          <w:spacing w:val="-7"/>
          <w:sz w:val="24"/>
          <w:szCs w:val="24"/>
          <w:highlight w:val="none"/>
        </w:rPr>
        <w:t>策要求）</w:t>
      </w:r>
    </w:p>
    <w:p w14:paraId="47463D82">
      <w:pPr>
        <w:pStyle w:val="6"/>
        <w:spacing w:before="180" w:line="222" w:lineRule="auto"/>
        <w:ind w:left="39"/>
        <w:outlineLvl w:val="2"/>
        <w:rPr>
          <w:sz w:val="24"/>
          <w:szCs w:val="24"/>
          <w:highlight w:val="none"/>
        </w:rPr>
      </w:pPr>
      <w:r>
        <w:rPr>
          <w:b/>
          <w:bCs/>
          <w:spacing w:val="-5"/>
          <w:sz w:val="24"/>
          <w:szCs w:val="24"/>
          <w:highlight w:val="none"/>
        </w:rPr>
        <w:t>41.支持国产和进口产品审批</w:t>
      </w:r>
    </w:p>
    <w:p w14:paraId="547CEC5D">
      <w:pPr>
        <w:pStyle w:val="6"/>
        <w:spacing w:before="176" w:line="359" w:lineRule="auto"/>
        <w:ind w:left="56" w:right="52" w:hanging="17"/>
        <w:rPr>
          <w:sz w:val="24"/>
          <w:szCs w:val="24"/>
          <w:highlight w:val="none"/>
        </w:rPr>
      </w:pPr>
      <w:r>
        <w:rPr>
          <w:spacing w:val="-3"/>
          <w:sz w:val="24"/>
          <w:szCs w:val="24"/>
          <w:highlight w:val="none"/>
        </w:rPr>
        <w:t>41.1除“投标人须知前附表</w:t>
      </w:r>
      <w:r>
        <w:rPr>
          <w:spacing w:val="-91"/>
          <w:sz w:val="24"/>
          <w:szCs w:val="24"/>
          <w:highlight w:val="none"/>
        </w:rPr>
        <w:t xml:space="preserve"> </w:t>
      </w:r>
      <w:r>
        <w:rPr>
          <w:spacing w:val="-3"/>
          <w:sz w:val="24"/>
          <w:szCs w:val="24"/>
          <w:highlight w:val="none"/>
        </w:rPr>
        <w:t>”另有规定外，政府采购应当采购本国货物、工程和</w:t>
      </w:r>
      <w:r>
        <w:rPr>
          <w:spacing w:val="-4"/>
          <w:sz w:val="24"/>
          <w:szCs w:val="24"/>
          <w:highlight w:val="none"/>
        </w:rPr>
        <w:t>服务，确需采购进口产品的，采购人应当按照《政府采购进口产品管理</w:t>
      </w:r>
      <w:r>
        <w:rPr>
          <w:spacing w:val="-5"/>
          <w:sz w:val="24"/>
          <w:szCs w:val="24"/>
          <w:highlight w:val="none"/>
        </w:rPr>
        <w:t>办法》（财库〔2007〕119</w:t>
      </w:r>
    </w:p>
    <w:p w14:paraId="580D3F0B">
      <w:pPr>
        <w:pStyle w:val="6"/>
        <w:spacing w:before="2" w:line="359" w:lineRule="auto"/>
        <w:ind w:left="49" w:right="4" w:firstLine="3"/>
        <w:rPr>
          <w:sz w:val="24"/>
          <w:szCs w:val="24"/>
          <w:highlight w:val="none"/>
        </w:rPr>
      </w:pPr>
      <w:r>
        <w:rPr>
          <w:spacing w:val="-5"/>
          <w:sz w:val="24"/>
          <w:szCs w:val="24"/>
          <w:highlight w:val="none"/>
        </w:rPr>
        <w:t>号文）、《关于政府采购进口产品管理有关问题的通知》（财办库〔2008〕248号）规定执</w:t>
      </w:r>
      <w:r>
        <w:rPr>
          <w:spacing w:val="-2"/>
          <w:sz w:val="24"/>
          <w:szCs w:val="24"/>
          <w:highlight w:val="none"/>
        </w:rPr>
        <w:t>行（进口产品审批制，科研院所监管部门另有规定的从其规定）。项目若涉及采购进口产</w:t>
      </w:r>
      <w:r>
        <w:rPr>
          <w:spacing w:val="-1"/>
          <w:sz w:val="24"/>
          <w:szCs w:val="24"/>
          <w:highlight w:val="none"/>
        </w:rPr>
        <w:t>品的，具体要求详见“第三章 采购需求”。</w:t>
      </w:r>
    </w:p>
    <w:p w14:paraId="65ADC48D">
      <w:pPr>
        <w:pStyle w:val="6"/>
        <w:spacing w:line="359" w:lineRule="auto"/>
        <w:ind w:left="78" w:right="45" w:hanging="39"/>
        <w:rPr>
          <w:sz w:val="24"/>
          <w:szCs w:val="24"/>
          <w:highlight w:val="none"/>
        </w:rPr>
      </w:pPr>
      <w:r>
        <w:rPr>
          <w:spacing w:val="-2"/>
          <w:sz w:val="24"/>
          <w:szCs w:val="24"/>
          <w:highlight w:val="none"/>
        </w:rPr>
        <w:t>41.2进口产品指通过中国海关报关验放进入中国境内且产自关境外的</w:t>
      </w:r>
      <w:r>
        <w:rPr>
          <w:spacing w:val="-3"/>
          <w:sz w:val="24"/>
          <w:szCs w:val="24"/>
          <w:highlight w:val="none"/>
        </w:rPr>
        <w:t>产品，包括已经进入</w:t>
      </w:r>
      <w:r>
        <w:rPr>
          <w:spacing w:val="-6"/>
          <w:sz w:val="24"/>
          <w:szCs w:val="24"/>
          <w:highlight w:val="none"/>
        </w:rPr>
        <w:t>中国境内的进口产品。</w:t>
      </w:r>
    </w:p>
    <w:p w14:paraId="762B8530">
      <w:pPr>
        <w:pStyle w:val="6"/>
        <w:spacing w:line="359" w:lineRule="auto"/>
        <w:ind w:left="49" w:right="4" w:hanging="10"/>
        <w:rPr>
          <w:sz w:val="24"/>
          <w:szCs w:val="24"/>
          <w:highlight w:val="none"/>
        </w:rPr>
      </w:pPr>
      <w:r>
        <w:rPr>
          <w:spacing w:val="-1"/>
          <w:sz w:val="24"/>
          <w:szCs w:val="24"/>
          <w:highlight w:val="none"/>
        </w:rPr>
        <w:t>41.3若采购需求中写明允许采购进口产品，投标人应保证所投产品可</w:t>
      </w:r>
      <w:r>
        <w:rPr>
          <w:spacing w:val="-2"/>
          <w:sz w:val="24"/>
          <w:szCs w:val="24"/>
          <w:highlight w:val="none"/>
        </w:rPr>
        <w:t>履行合法报通关手续</w:t>
      </w:r>
      <w:r>
        <w:rPr>
          <w:spacing w:val="-4"/>
          <w:sz w:val="24"/>
          <w:szCs w:val="24"/>
          <w:highlight w:val="none"/>
        </w:rPr>
        <w:t>进入中国关境内。</w:t>
      </w:r>
    </w:p>
    <w:p w14:paraId="14780E72">
      <w:pPr>
        <w:pStyle w:val="6"/>
        <w:spacing w:line="359" w:lineRule="auto"/>
        <w:ind w:left="48" w:right="16" w:hanging="9"/>
        <w:rPr>
          <w:sz w:val="24"/>
          <w:szCs w:val="24"/>
          <w:highlight w:val="none"/>
        </w:rPr>
      </w:pPr>
      <w:r>
        <w:rPr>
          <w:spacing w:val="-1"/>
          <w:sz w:val="24"/>
          <w:szCs w:val="24"/>
          <w:highlight w:val="none"/>
        </w:rPr>
        <w:t>41.4若采购需求中未写明允许采购进口产</w:t>
      </w:r>
      <w:r>
        <w:rPr>
          <w:spacing w:val="-2"/>
          <w:sz w:val="24"/>
          <w:szCs w:val="24"/>
          <w:highlight w:val="none"/>
        </w:rPr>
        <w:t>品，如投标人所投产品为进口产品，其投标将被</w:t>
      </w:r>
      <w:r>
        <w:rPr>
          <w:spacing w:val="-6"/>
          <w:sz w:val="24"/>
          <w:szCs w:val="24"/>
          <w:highlight w:val="none"/>
        </w:rPr>
        <w:t>认定为</w:t>
      </w:r>
      <w:r>
        <w:rPr>
          <w:b/>
          <w:bCs/>
          <w:spacing w:val="-6"/>
          <w:sz w:val="24"/>
          <w:szCs w:val="24"/>
          <w:highlight w:val="none"/>
        </w:rPr>
        <w:t>投标无效</w:t>
      </w:r>
      <w:r>
        <w:rPr>
          <w:spacing w:val="-6"/>
          <w:sz w:val="24"/>
          <w:szCs w:val="24"/>
          <w:highlight w:val="none"/>
        </w:rPr>
        <w:t>。</w:t>
      </w:r>
    </w:p>
    <w:p w14:paraId="234F2C5C">
      <w:pPr>
        <w:pStyle w:val="6"/>
        <w:spacing w:before="1" w:line="219" w:lineRule="auto"/>
        <w:ind w:left="39"/>
        <w:outlineLvl w:val="2"/>
        <w:rPr>
          <w:sz w:val="24"/>
          <w:szCs w:val="24"/>
          <w:highlight w:val="none"/>
        </w:rPr>
      </w:pPr>
      <w:r>
        <w:rPr>
          <w:spacing w:val="-3"/>
          <w:sz w:val="24"/>
          <w:szCs w:val="24"/>
          <w:highlight w:val="none"/>
        </w:rPr>
        <w:t>41.5根据《国务院办公厅关于在政府采购中实施本国产品标准及相关政策的通</w:t>
      </w:r>
      <w:r>
        <w:rPr>
          <w:spacing w:val="-4"/>
          <w:sz w:val="24"/>
          <w:szCs w:val="24"/>
          <w:highlight w:val="none"/>
        </w:rPr>
        <w:t>知》三、</w:t>
      </w:r>
    </w:p>
    <w:p w14:paraId="70420597">
      <w:pPr>
        <w:pStyle w:val="6"/>
        <w:spacing w:before="183" w:line="359" w:lineRule="auto"/>
        <w:ind w:left="49" w:right="78"/>
        <w:jc w:val="both"/>
        <w:rPr>
          <w:sz w:val="24"/>
          <w:szCs w:val="24"/>
          <w:highlight w:val="none"/>
        </w:rPr>
      </w:pPr>
      <w:r>
        <w:rPr>
          <w:spacing w:val="-3"/>
          <w:sz w:val="24"/>
          <w:szCs w:val="24"/>
          <w:highlight w:val="none"/>
        </w:rPr>
        <w:t>对本国产品的支持政策：政府采购活动中既有本</w:t>
      </w:r>
      <w:r>
        <w:rPr>
          <w:spacing w:val="-4"/>
          <w:sz w:val="24"/>
          <w:szCs w:val="24"/>
          <w:highlight w:val="none"/>
        </w:rPr>
        <w:t>国产品又有非本国产品参与竞争的，依法</w:t>
      </w:r>
      <w:r>
        <w:rPr>
          <w:spacing w:val="-3"/>
          <w:sz w:val="24"/>
          <w:szCs w:val="24"/>
          <w:highlight w:val="none"/>
        </w:rPr>
        <w:t>对本国产品给予价格评审优惠，对本国产品的报价给</w:t>
      </w:r>
      <w:r>
        <w:rPr>
          <w:spacing w:val="-4"/>
          <w:sz w:val="24"/>
          <w:szCs w:val="24"/>
          <w:highlight w:val="none"/>
        </w:rPr>
        <w:t>予20%的价格扣除，用扣除后的价格</w:t>
      </w:r>
      <w:r>
        <w:rPr>
          <w:spacing w:val="-3"/>
          <w:sz w:val="24"/>
          <w:szCs w:val="24"/>
          <w:highlight w:val="none"/>
        </w:rPr>
        <w:t>参与评审。当采购项目或者采购包中含有多种产</w:t>
      </w:r>
      <w:r>
        <w:rPr>
          <w:spacing w:val="-4"/>
          <w:sz w:val="24"/>
          <w:szCs w:val="24"/>
          <w:highlight w:val="none"/>
        </w:rPr>
        <w:t>品，供应商为该采购项目或者采购包提供</w:t>
      </w:r>
      <w:r>
        <w:rPr>
          <w:spacing w:val="-3"/>
          <w:sz w:val="24"/>
          <w:szCs w:val="24"/>
          <w:highlight w:val="none"/>
        </w:rPr>
        <w:t>的符合本国产品标准的产品成本之和占该供应商提供的全</w:t>
      </w:r>
      <w:r>
        <w:rPr>
          <w:spacing w:val="-4"/>
          <w:sz w:val="24"/>
          <w:szCs w:val="24"/>
          <w:highlight w:val="none"/>
        </w:rPr>
        <w:t>部产品成本之和的比例达到 80%</w:t>
      </w:r>
      <w:r>
        <w:rPr>
          <w:spacing w:val="-3"/>
          <w:sz w:val="24"/>
          <w:szCs w:val="24"/>
          <w:highlight w:val="none"/>
        </w:rPr>
        <w:t>以上时，依法对该供应商提供的全部产品给予价</w:t>
      </w:r>
      <w:r>
        <w:rPr>
          <w:spacing w:val="-4"/>
          <w:sz w:val="24"/>
          <w:szCs w:val="24"/>
          <w:highlight w:val="none"/>
        </w:rPr>
        <w:t>格评审优惠，即对该供应商提供的全部产品的总报价给予20%的价格扣除，用扣除后的价格参与评审。</w:t>
      </w:r>
    </w:p>
    <w:p w14:paraId="1D460922">
      <w:pPr>
        <w:pStyle w:val="6"/>
        <w:spacing w:line="220" w:lineRule="auto"/>
        <w:ind w:left="39"/>
        <w:outlineLvl w:val="2"/>
        <w:rPr>
          <w:sz w:val="24"/>
          <w:szCs w:val="24"/>
          <w:highlight w:val="none"/>
        </w:rPr>
      </w:pPr>
      <w:r>
        <w:rPr>
          <w:b/>
          <w:bCs/>
          <w:spacing w:val="-5"/>
          <w:sz w:val="24"/>
          <w:szCs w:val="24"/>
          <w:highlight w:val="none"/>
        </w:rPr>
        <w:t>42.中小企业、监狱企业及残疾人福利性单位</w:t>
      </w:r>
    </w:p>
    <w:p w14:paraId="74273F80">
      <w:pPr>
        <w:pStyle w:val="6"/>
        <w:spacing w:before="45" w:line="359" w:lineRule="auto"/>
        <w:ind w:left="44" w:right="251" w:firstLine="7"/>
        <w:rPr>
          <w:sz w:val="24"/>
          <w:szCs w:val="24"/>
          <w:highlight w:val="none"/>
        </w:rPr>
      </w:pPr>
      <w:r>
        <w:rPr>
          <w:spacing w:val="-1"/>
          <w:sz w:val="24"/>
          <w:szCs w:val="24"/>
          <w:highlight w:val="none"/>
        </w:rPr>
        <w:t>42.1中小企业是指在中华人民共和国境内依法设立，依据国务院批准</w:t>
      </w:r>
      <w:r>
        <w:rPr>
          <w:spacing w:val="-2"/>
          <w:sz w:val="24"/>
          <w:szCs w:val="24"/>
          <w:highlight w:val="none"/>
        </w:rPr>
        <w:t>的中小企业划分标准</w:t>
      </w:r>
      <w:r>
        <w:rPr>
          <w:spacing w:val="-1"/>
          <w:sz w:val="24"/>
          <w:szCs w:val="24"/>
          <w:highlight w:val="none"/>
        </w:rPr>
        <w:t>确定的中型企业、小型企业和微型企业，但与大企业的</w:t>
      </w:r>
      <w:r>
        <w:rPr>
          <w:spacing w:val="-2"/>
          <w:sz w:val="24"/>
          <w:szCs w:val="24"/>
          <w:highlight w:val="none"/>
        </w:rPr>
        <w:t>负责人为同一人，或者与大企业存</w:t>
      </w:r>
      <w:r>
        <w:rPr>
          <w:spacing w:val="-1"/>
          <w:sz w:val="24"/>
          <w:szCs w:val="24"/>
          <w:highlight w:val="none"/>
        </w:rPr>
        <w:t>在直接控股、管理关系的除外。符合中小企业划分标准</w:t>
      </w:r>
      <w:r>
        <w:rPr>
          <w:spacing w:val="-2"/>
          <w:sz w:val="24"/>
          <w:szCs w:val="24"/>
          <w:highlight w:val="none"/>
        </w:rPr>
        <w:t>的个体工商户，在政府采购活动中</w:t>
      </w:r>
      <w:r>
        <w:rPr>
          <w:spacing w:val="-1"/>
          <w:sz w:val="24"/>
          <w:szCs w:val="24"/>
          <w:highlight w:val="none"/>
        </w:rPr>
        <w:t>视同中小企业。关于中小企业的相关规定依据《中华人</w:t>
      </w:r>
      <w:r>
        <w:rPr>
          <w:spacing w:val="-2"/>
          <w:sz w:val="24"/>
          <w:szCs w:val="24"/>
          <w:highlight w:val="none"/>
        </w:rPr>
        <w:t>民共和国中小企业促进法》、《关</w:t>
      </w:r>
      <w:r>
        <w:rPr>
          <w:spacing w:val="-1"/>
          <w:sz w:val="24"/>
          <w:szCs w:val="24"/>
          <w:highlight w:val="none"/>
        </w:rPr>
        <w:t>于进一步加大政府采购支持中小企业力度的通知》（财库〔20</w:t>
      </w:r>
      <w:r>
        <w:rPr>
          <w:spacing w:val="-2"/>
          <w:sz w:val="24"/>
          <w:szCs w:val="24"/>
          <w:highlight w:val="none"/>
        </w:rPr>
        <w:t>22〕19 号）、《政府采购</w:t>
      </w:r>
      <w:r>
        <w:rPr>
          <w:spacing w:val="-1"/>
          <w:sz w:val="24"/>
          <w:szCs w:val="24"/>
          <w:highlight w:val="none"/>
        </w:rPr>
        <w:t>促进中小企业发展管理办法》（财库〔2020〕46 号）</w:t>
      </w:r>
      <w:r>
        <w:rPr>
          <w:spacing w:val="-2"/>
          <w:sz w:val="24"/>
          <w:szCs w:val="24"/>
          <w:highlight w:val="none"/>
        </w:rPr>
        <w:t>、《关于印发中小企业划型标准规定的通知》（工信部联企业〔2011〕300 号</w:t>
      </w:r>
      <w:r>
        <w:rPr>
          <w:spacing w:val="-3"/>
          <w:sz w:val="24"/>
          <w:szCs w:val="24"/>
          <w:highlight w:val="none"/>
        </w:rPr>
        <w:t>）、《金融业企业划型标准规定》（〔2015〕</w:t>
      </w:r>
      <w:r>
        <w:rPr>
          <w:sz w:val="24"/>
          <w:szCs w:val="24"/>
          <w:highlight w:val="none"/>
        </w:rPr>
        <w:t xml:space="preserve"> </w:t>
      </w:r>
      <w:r>
        <w:rPr>
          <w:spacing w:val="-2"/>
          <w:sz w:val="24"/>
          <w:szCs w:val="24"/>
          <w:highlight w:val="none"/>
        </w:rPr>
        <w:t>309 号）等国务院批准的中小企业划分标准执行。</w:t>
      </w:r>
    </w:p>
    <w:p w14:paraId="06277E9C">
      <w:pPr>
        <w:pStyle w:val="6"/>
        <w:spacing w:line="359" w:lineRule="auto"/>
        <w:ind w:left="49" w:hanging="10"/>
        <w:rPr>
          <w:sz w:val="24"/>
          <w:szCs w:val="24"/>
          <w:highlight w:val="none"/>
        </w:rPr>
      </w:pPr>
      <w:r>
        <w:rPr>
          <w:spacing w:val="-2"/>
          <w:sz w:val="24"/>
          <w:szCs w:val="24"/>
          <w:highlight w:val="none"/>
        </w:rPr>
        <w:t>42.2为促进中小企业发展，依据《关于印发&lt;政府采购促进中小企业发展管理办法&gt;的通</w:t>
      </w:r>
      <w:r>
        <w:rPr>
          <w:spacing w:val="-3"/>
          <w:sz w:val="24"/>
          <w:szCs w:val="24"/>
          <w:highlight w:val="none"/>
        </w:rPr>
        <w:t>知》</w:t>
      </w:r>
      <w:r>
        <w:rPr>
          <w:sz w:val="24"/>
          <w:szCs w:val="24"/>
          <w:highlight w:val="none"/>
        </w:rPr>
        <w:t xml:space="preserve"> </w:t>
      </w:r>
      <w:r>
        <w:rPr>
          <w:spacing w:val="-2"/>
          <w:sz w:val="24"/>
          <w:szCs w:val="24"/>
          <w:highlight w:val="none"/>
        </w:rPr>
        <w:t>（财库〔2020〕46号）、《财政部</w:t>
      </w:r>
      <w:r>
        <w:rPr>
          <w:spacing w:val="48"/>
          <w:sz w:val="24"/>
          <w:szCs w:val="24"/>
          <w:highlight w:val="none"/>
        </w:rPr>
        <w:t xml:space="preserve"> </w:t>
      </w:r>
      <w:r>
        <w:rPr>
          <w:spacing w:val="-2"/>
          <w:sz w:val="24"/>
          <w:szCs w:val="24"/>
          <w:highlight w:val="none"/>
        </w:rPr>
        <w:t>司法部关于政府采购支持监狱企业发展有关问题的通</w:t>
      </w:r>
      <w:r>
        <w:rPr>
          <w:sz w:val="24"/>
          <w:szCs w:val="24"/>
          <w:highlight w:val="none"/>
        </w:rPr>
        <w:t xml:space="preserve"> </w:t>
      </w:r>
      <w:r>
        <w:rPr>
          <w:spacing w:val="-2"/>
          <w:sz w:val="24"/>
          <w:szCs w:val="24"/>
          <w:highlight w:val="none"/>
        </w:rPr>
        <w:t>知》（财库〔2014〕68号）、《关于促进残疾人就业政府采购政策的通知》（财</w:t>
      </w:r>
      <w:r>
        <w:rPr>
          <w:spacing w:val="-3"/>
          <w:sz w:val="24"/>
          <w:szCs w:val="24"/>
          <w:highlight w:val="none"/>
        </w:rPr>
        <w:t>库〔2017〕</w:t>
      </w:r>
      <w:r>
        <w:rPr>
          <w:sz w:val="24"/>
          <w:szCs w:val="24"/>
          <w:highlight w:val="none"/>
        </w:rPr>
        <w:t xml:space="preserve"> </w:t>
      </w:r>
      <w:r>
        <w:rPr>
          <w:spacing w:val="-3"/>
          <w:sz w:val="24"/>
          <w:szCs w:val="24"/>
          <w:highlight w:val="none"/>
        </w:rPr>
        <w:t>141号）的规定，本项目供应商如需享受中小企业相关政策的，且符合上述文件规定的，</w:t>
      </w:r>
    </w:p>
    <w:p w14:paraId="393A3DD0">
      <w:pPr>
        <w:pStyle w:val="6"/>
        <w:spacing w:before="1" w:line="359" w:lineRule="auto"/>
        <w:ind w:left="46" w:right="277"/>
        <w:rPr>
          <w:sz w:val="24"/>
          <w:szCs w:val="24"/>
          <w:highlight w:val="none"/>
        </w:rPr>
      </w:pPr>
      <w:r>
        <w:rPr>
          <w:spacing w:val="-6"/>
          <w:sz w:val="24"/>
          <w:szCs w:val="24"/>
          <w:highlight w:val="none"/>
        </w:rPr>
        <w:t>应按本招标文件规定格式提供“</w:t>
      </w:r>
      <w:r>
        <w:rPr>
          <w:spacing w:val="-76"/>
          <w:sz w:val="24"/>
          <w:szCs w:val="24"/>
          <w:highlight w:val="none"/>
        </w:rPr>
        <w:t xml:space="preserve"> </w:t>
      </w:r>
      <w:r>
        <w:rPr>
          <w:spacing w:val="-6"/>
          <w:sz w:val="24"/>
          <w:szCs w:val="24"/>
          <w:highlight w:val="none"/>
        </w:rPr>
        <w:t>中小企业声明函</w:t>
      </w:r>
      <w:r>
        <w:rPr>
          <w:spacing w:val="-90"/>
          <w:sz w:val="24"/>
          <w:szCs w:val="24"/>
          <w:highlight w:val="none"/>
        </w:rPr>
        <w:t xml:space="preserve"> </w:t>
      </w:r>
      <w:r>
        <w:rPr>
          <w:spacing w:val="-6"/>
          <w:sz w:val="24"/>
          <w:szCs w:val="24"/>
          <w:highlight w:val="none"/>
        </w:rPr>
        <w:t>”或“监狱企业证明文件</w:t>
      </w:r>
      <w:r>
        <w:rPr>
          <w:spacing w:val="-91"/>
          <w:sz w:val="24"/>
          <w:szCs w:val="24"/>
          <w:highlight w:val="none"/>
        </w:rPr>
        <w:t xml:space="preserve"> </w:t>
      </w:r>
      <w:r>
        <w:rPr>
          <w:spacing w:val="-6"/>
          <w:sz w:val="24"/>
          <w:szCs w:val="24"/>
          <w:highlight w:val="none"/>
        </w:rPr>
        <w:t>”或“残疾</w:t>
      </w:r>
      <w:r>
        <w:rPr>
          <w:spacing w:val="-7"/>
          <w:sz w:val="24"/>
          <w:szCs w:val="24"/>
          <w:highlight w:val="none"/>
        </w:rPr>
        <w:t>人福</w:t>
      </w:r>
      <w:r>
        <w:rPr>
          <w:spacing w:val="-6"/>
          <w:sz w:val="24"/>
          <w:szCs w:val="24"/>
          <w:highlight w:val="none"/>
        </w:rPr>
        <w:t>利性单位声明函</w:t>
      </w:r>
      <w:r>
        <w:rPr>
          <w:spacing w:val="-76"/>
          <w:sz w:val="24"/>
          <w:szCs w:val="24"/>
          <w:highlight w:val="none"/>
        </w:rPr>
        <w:t xml:space="preserve"> </w:t>
      </w:r>
      <w:r>
        <w:rPr>
          <w:spacing w:val="-6"/>
          <w:sz w:val="24"/>
          <w:szCs w:val="24"/>
          <w:highlight w:val="none"/>
        </w:rPr>
        <w:t>”，评审时，评标委员会将依据本招标文件“投标人须知前附表</w:t>
      </w:r>
      <w:r>
        <w:rPr>
          <w:spacing w:val="-91"/>
          <w:sz w:val="24"/>
          <w:szCs w:val="24"/>
          <w:highlight w:val="none"/>
        </w:rPr>
        <w:t xml:space="preserve"> </w:t>
      </w:r>
      <w:r>
        <w:rPr>
          <w:spacing w:val="-6"/>
          <w:sz w:val="24"/>
          <w:szCs w:val="24"/>
          <w:highlight w:val="none"/>
        </w:rPr>
        <w:t>”规定的</w:t>
      </w:r>
      <w:r>
        <w:rPr>
          <w:spacing w:val="-3"/>
          <w:sz w:val="24"/>
          <w:szCs w:val="24"/>
          <w:highlight w:val="none"/>
        </w:rPr>
        <w:t>报价扣除比例，对供应商报价进行价格扣除</w:t>
      </w:r>
      <w:r>
        <w:rPr>
          <w:spacing w:val="-4"/>
          <w:sz w:val="24"/>
          <w:szCs w:val="24"/>
          <w:highlight w:val="none"/>
        </w:rPr>
        <w:t>，用扣除后的价格参与评审；招标公告中明确</w:t>
      </w:r>
      <w:r>
        <w:rPr>
          <w:spacing w:val="-5"/>
          <w:sz w:val="24"/>
          <w:szCs w:val="24"/>
          <w:highlight w:val="none"/>
        </w:rPr>
        <w:t>项目专门面向中小企业采购的，“</w:t>
      </w:r>
      <w:r>
        <w:rPr>
          <w:spacing w:val="-78"/>
          <w:sz w:val="24"/>
          <w:szCs w:val="24"/>
          <w:highlight w:val="none"/>
        </w:rPr>
        <w:t xml:space="preserve"> </w:t>
      </w:r>
      <w:r>
        <w:rPr>
          <w:spacing w:val="-5"/>
          <w:sz w:val="24"/>
          <w:szCs w:val="24"/>
          <w:highlight w:val="none"/>
        </w:rPr>
        <w:t>中小企业声明函”为资格要求文件，供应商</w:t>
      </w:r>
      <w:r>
        <w:rPr>
          <w:spacing w:val="-6"/>
          <w:sz w:val="24"/>
          <w:szCs w:val="24"/>
          <w:highlight w:val="none"/>
        </w:rPr>
        <w:t>参与投标须</w:t>
      </w:r>
      <w:r>
        <w:rPr>
          <w:spacing w:val="-3"/>
          <w:sz w:val="24"/>
          <w:szCs w:val="24"/>
          <w:highlight w:val="none"/>
        </w:rPr>
        <w:t>按本招标文件规定格式提供“</w:t>
      </w:r>
      <w:r>
        <w:rPr>
          <w:spacing w:val="-74"/>
          <w:sz w:val="24"/>
          <w:szCs w:val="24"/>
          <w:highlight w:val="none"/>
        </w:rPr>
        <w:t xml:space="preserve"> </w:t>
      </w:r>
      <w:r>
        <w:rPr>
          <w:spacing w:val="-3"/>
          <w:sz w:val="24"/>
          <w:szCs w:val="24"/>
          <w:highlight w:val="none"/>
        </w:rPr>
        <w:t>中小企业声明函</w:t>
      </w:r>
      <w:r>
        <w:rPr>
          <w:spacing w:val="-88"/>
          <w:sz w:val="24"/>
          <w:szCs w:val="24"/>
          <w:highlight w:val="none"/>
        </w:rPr>
        <w:t xml:space="preserve"> </w:t>
      </w:r>
      <w:r>
        <w:rPr>
          <w:spacing w:val="-3"/>
          <w:sz w:val="24"/>
          <w:szCs w:val="24"/>
          <w:highlight w:val="none"/>
        </w:rPr>
        <w:t>”或“监狱企业证明文件</w:t>
      </w:r>
      <w:r>
        <w:rPr>
          <w:spacing w:val="-88"/>
          <w:sz w:val="24"/>
          <w:szCs w:val="24"/>
          <w:highlight w:val="none"/>
        </w:rPr>
        <w:t xml:space="preserve"> </w:t>
      </w:r>
      <w:r>
        <w:rPr>
          <w:spacing w:val="-3"/>
          <w:sz w:val="24"/>
          <w:szCs w:val="24"/>
          <w:highlight w:val="none"/>
        </w:rPr>
        <w:t>” 或</w:t>
      </w:r>
      <w:r>
        <w:rPr>
          <w:spacing w:val="-4"/>
          <w:sz w:val="24"/>
          <w:szCs w:val="24"/>
          <w:highlight w:val="none"/>
        </w:rPr>
        <w:t>“残疾人福</w:t>
      </w:r>
      <w:r>
        <w:rPr>
          <w:spacing w:val="-5"/>
          <w:sz w:val="24"/>
          <w:szCs w:val="24"/>
          <w:highlight w:val="none"/>
        </w:rPr>
        <w:t>利性单位声明函</w:t>
      </w:r>
      <w:r>
        <w:rPr>
          <w:spacing w:val="-80"/>
          <w:sz w:val="24"/>
          <w:szCs w:val="24"/>
          <w:highlight w:val="none"/>
        </w:rPr>
        <w:t xml:space="preserve"> </w:t>
      </w:r>
      <w:r>
        <w:rPr>
          <w:spacing w:val="-5"/>
          <w:sz w:val="24"/>
          <w:szCs w:val="24"/>
          <w:highlight w:val="none"/>
        </w:rPr>
        <w:t>”等作为资格证明文件。</w:t>
      </w:r>
    </w:p>
    <w:p w14:paraId="31A65035">
      <w:pPr>
        <w:pStyle w:val="6"/>
        <w:spacing w:before="1" w:line="221" w:lineRule="auto"/>
        <w:ind w:left="39"/>
        <w:rPr>
          <w:sz w:val="24"/>
          <w:szCs w:val="24"/>
          <w:highlight w:val="none"/>
        </w:rPr>
      </w:pPr>
      <w:r>
        <w:rPr>
          <w:spacing w:val="-1"/>
          <w:sz w:val="24"/>
          <w:szCs w:val="24"/>
          <w:highlight w:val="none"/>
        </w:rPr>
        <w:t>42.3 投标人提供的货物、工程或者服务符合下列情形的，享受中小企业扶持政策：</w:t>
      </w:r>
    </w:p>
    <w:p w14:paraId="5DAB6220">
      <w:pPr>
        <w:pStyle w:val="6"/>
        <w:spacing w:before="178" w:line="359" w:lineRule="auto"/>
        <w:ind w:left="42" w:right="322" w:firstLine="5"/>
        <w:rPr>
          <w:sz w:val="24"/>
          <w:szCs w:val="24"/>
          <w:highlight w:val="none"/>
        </w:rPr>
      </w:pPr>
      <w:r>
        <w:rPr>
          <w:spacing w:val="-1"/>
          <w:sz w:val="24"/>
          <w:szCs w:val="24"/>
          <w:highlight w:val="none"/>
        </w:rPr>
        <w:t>（1）在货物采购项目中，货物由中小企业制</w:t>
      </w:r>
      <w:r>
        <w:rPr>
          <w:spacing w:val="-2"/>
          <w:sz w:val="24"/>
          <w:szCs w:val="24"/>
          <w:highlight w:val="none"/>
        </w:rPr>
        <w:t>造，即货物由中小企业生产且使用该中小企</w:t>
      </w:r>
      <w:r>
        <w:rPr>
          <w:spacing w:val="-3"/>
          <w:sz w:val="24"/>
          <w:szCs w:val="24"/>
          <w:highlight w:val="none"/>
        </w:rPr>
        <w:t>业商号或者注册商标；</w:t>
      </w:r>
    </w:p>
    <w:p w14:paraId="515EB520">
      <w:pPr>
        <w:pStyle w:val="6"/>
        <w:spacing w:before="1" w:line="219" w:lineRule="auto"/>
        <w:ind w:left="52"/>
        <w:rPr>
          <w:sz w:val="24"/>
          <w:szCs w:val="24"/>
          <w:highlight w:val="none"/>
        </w:rPr>
      </w:pPr>
      <w:r>
        <w:rPr>
          <w:spacing w:val="-2"/>
          <w:sz w:val="24"/>
          <w:szCs w:val="24"/>
          <w:highlight w:val="none"/>
        </w:rPr>
        <w:t>（2）在工程采购项目中，工程由中小企业承建，即工程施工单位为中小企业；</w:t>
      </w:r>
    </w:p>
    <w:p w14:paraId="46C28187">
      <w:pPr>
        <w:pStyle w:val="6"/>
        <w:spacing w:before="182" w:line="359" w:lineRule="auto"/>
        <w:ind w:left="53" w:right="320" w:hanging="1"/>
        <w:rPr>
          <w:sz w:val="24"/>
          <w:szCs w:val="24"/>
          <w:highlight w:val="none"/>
        </w:rPr>
      </w:pPr>
      <w:r>
        <w:rPr>
          <w:spacing w:val="-2"/>
          <w:sz w:val="24"/>
          <w:szCs w:val="24"/>
          <w:highlight w:val="none"/>
        </w:rPr>
        <w:t>（3）在服务采购项目中，服务由中小企业承接，即提供服务的人员为中小企业依照《中华人民共和国劳动合同法》订立劳动合同的从业人员。</w:t>
      </w:r>
    </w:p>
    <w:p w14:paraId="7ABB94B7">
      <w:pPr>
        <w:pStyle w:val="6"/>
        <w:spacing w:before="2" w:line="358" w:lineRule="auto"/>
        <w:ind w:left="52" w:right="296" w:hanging="13"/>
        <w:rPr>
          <w:sz w:val="24"/>
          <w:szCs w:val="24"/>
          <w:highlight w:val="none"/>
        </w:rPr>
      </w:pPr>
      <w:r>
        <w:rPr>
          <w:spacing w:val="-1"/>
          <w:sz w:val="24"/>
          <w:szCs w:val="24"/>
          <w:highlight w:val="none"/>
        </w:rPr>
        <w:t>42.4 在货物采购项目中，投标人提供的货物既有中小企业制造货物，也有大型企业制造</w:t>
      </w:r>
      <w:r>
        <w:rPr>
          <w:spacing w:val="-3"/>
          <w:sz w:val="24"/>
          <w:szCs w:val="24"/>
          <w:highlight w:val="none"/>
        </w:rPr>
        <w:t>货物的，不享受中小企业扶持政策。</w:t>
      </w:r>
    </w:p>
    <w:p w14:paraId="1C498D2D">
      <w:pPr>
        <w:pStyle w:val="6"/>
        <w:spacing w:before="2" w:line="359" w:lineRule="auto"/>
        <w:ind w:left="49" w:right="19" w:hanging="10"/>
        <w:rPr>
          <w:sz w:val="24"/>
          <w:szCs w:val="24"/>
          <w:highlight w:val="none"/>
        </w:rPr>
      </w:pPr>
      <w:r>
        <w:rPr>
          <w:spacing w:val="-2"/>
          <w:sz w:val="24"/>
          <w:szCs w:val="24"/>
          <w:highlight w:val="none"/>
        </w:rPr>
        <w:t>42.5以联合体形式参加政府采购活动，联</w:t>
      </w:r>
      <w:r>
        <w:rPr>
          <w:spacing w:val="-3"/>
          <w:sz w:val="24"/>
          <w:szCs w:val="24"/>
          <w:highlight w:val="none"/>
        </w:rPr>
        <w:t>合体各方均为中小企业的，联合体视同中小企业。其中，联合体各方均为小微企业的，联合体视同小微企业。</w:t>
      </w:r>
    </w:p>
    <w:p w14:paraId="41CB4D24">
      <w:pPr>
        <w:pStyle w:val="6"/>
        <w:spacing w:before="6" w:line="360" w:lineRule="auto"/>
        <w:ind w:left="48" w:right="151" w:hanging="9"/>
        <w:rPr>
          <w:sz w:val="24"/>
          <w:szCs w:val="24"/>
          <w:highlight w:val="none"/>
        </w:rPr>
      </w:pPr>
      <w:r>
        <w:rPr>
          <w:sz w:val="24"/>
          <w:szCs w:val="24"/>
          <w:highlight w:val="none"/>
        </w:rPr>
        <w:t>42.6 在政府采购活动中，监狱企业视同小型、微型企业</w:t>
      </w:r>
      <w:r>
        <w:rPr>
          <w:spacing w:val="-1"/>
          <w:sz w:val="24"/>
          <w:szCs w:val="24"/>
          <w:highlight w:val="none"/>
        </w:rPr>
        <w:t>，享受预留份额、评审中价格扣</w:t>
      </w:r>
      <w:r>
        <w:rPr>
          <w:spacing w:val="-2"/>
          <w:sz w:val="24"/>
          <w:szCs w:val="24"/>
          <w:highlight w:val="none"/>
        </w:rPr>
        <w:t>除等政府采购促进中小企业发展的政府采购政策。监狱企业定义：是指由司法部认</w:t>
      </w:r>
      <w:r>
        <w:rPr>
          <w:spacing w:val="-3"/>
          <w:sz w:val="24"/>
          <w:szCs w:val="24"/>
          <w:highlight w:val="none"/>
        </w:rPr>
        <w:t>定的为罪犯、戒毒人员提供生产项目和劳动对象，且全部</w:t>
      </w:r>
      <w:r>
        <w:rPr>
          <w:spacing w:val="-4"/>
          <w:sz w:val="24"/>
          <w:szCs w:val="24"/>
          <w:highlight w:val="none"/>
        </w:rPr>
        <w:t>产权属于司法部监狱管理局、戒毒管理</w:t>
      </w:r>
      <w:r>
        <w:rPr>
          <w:spacing w:val="-8"/>
          <w:sz w:val="24"/>
          <w:szCs w:val="24"/>
          <w:highlight w:val="none"/>
        </w:rPr>
        <w:t>局、直属煤矿管理局，各省、</w:t>
      </w:r>
      <w:r>
        <w:rPr>
          <w:spacing w:val="-48"/>
          <w:sz w:val="24"/>
          <w:szCs w:val="24"/>
          <w:highlight w:val="none"/>
        </w:rPr>
        <w:t xml:space="preserve"> </w:t>
      </w:r>
      <w:r>
        <w:rPr>
          <w:spacing w:val="-8"/>
          <w:sz w:val="24"/>
          <w:szCs w:val="24"/>
          <w:highlight w:val="none"/>
        </w:rPr>
        <w:t>自治区、直辖市监狱管理局、戒毒管理局，各地（设区的市）</w:t>
      </w:r>
      <w:r>
        <w:rPr>
          <w:spacing w:val="-5"/>
          <w:sz w:val="24"/>
          <w:szCs w:val="24"/>
          <w:highlight w:val="none"/>
        </w:rPr>
        <w:t>监狱、强制隔离戒毒所、戒毒康复所，以及新疆生产建设兵团监狱管理局、戒毒管理局的</w:t>
      </w:r>
      <w:r>
        <w:rPr>
          <w:spacing w:val="-6"/>
          <w:sz w:val="24"/>
          <w:szCs w:val="24"/>
          <w:highlight w:val="none"/>
        </w:rPr>
        <w:t>企业。</w:t>
      </w:r>
    </w:p>
    <w:p w14:paraId="2D495D84">
      <w:pPr>
        <w:pStyle w:val="6"/>
        <w:spacing w:before="45" w:line="359" w:lineRule="auto"/>
        <w:ind w:left="47" w:right="197" w:hanging="8"/>
        <w:jc w:val="both"/>
        <w:rPr>
          <w:sz w:val="24"/>
          <w:szCs w:val="24"/>
          <w:highlight w:val="none"/>
        </w:rPr>
      </w:pPr>
      <w:r>
        <w:rPr>
          <w:spacing w:val="-1"/>
          <w:sz w:val="24"/>
          <w:szCs w:val="24"/>
          <w:highlight w:val="none"/>
        </w:rPr>
        <w:t>42.7 在政府采购活动中，残疾人福利性单位视同小型、微型企业，享受预留份额、评审</w:t>
      </w:r>
      <w:r>
        <w:rPr>
          <w:spacing w:val="-3"/>
          <w:sz w:val="24"/>
          <w:szCs w:val="24"/>
          <w:highlight w:val="none"/>
        </w:rPr>
        <w:t>中价格扣除等促进中小企业发展的政府采购政策。残疾人福利性单位定义：享受政府采购</w:t>
      </w:r>
      <w:r>
        <w:rPr>
          <w:spacing w:val="-1"/>
          <w:sz w:val="24"/>
          <w:szCs w:val="24"/>
          <w:highlight w:val="none"/>
        </w:rPr>
        <w:t>支持政策的残疾人福利性单位应当同时满足以下</w:t>
      </w:r>
      <w:r>
        <w:rPr>
          <w:spacing w:val="-2"/>
          <w:sz w:val="24"/>
          <w:szCs w:val="24"/>
          <w:highlight w:val="none"/>
        </w:rPr>
        <w:t>条件：</w:t>
      </w:r>
    </w:p>
    <w:p w14:paraId="3822CC4C">
      <w:pPr>
        <w:pStyle w:val="6"/>
        <w:spacing w:before="1" w:line="359" w:lineRule="auto"/>
        <w:ind w:left="50" w:right="168" w:hanging="11"/>
        <w:rPr>
          <w:sz w:val="24"/>
          <w:szCs w:val="24"/>
          <w:highlight w:val="none"/>
        </w:rPr>
      </w:pPr>
      <w:r>
        <w:rPr>
          <w:spacing w:val="-1"/>
          <w:sz w:val="24"/>
          <w:szCs w:val="24"/>
          <w:highlight w:val="none"/>
        </w:rPr>
        <w:t>42.7.1 安置的残疾人占本单位在职职工人数的比例不低于 25%（含 25%</w:t>
      </w:r>
      <w:r>
        <w:rPr>
          <w:spacing w:val="-64"/>
          <w:w w:val="96"/>
          <w:sz w:val="24"/>
          <w:szCs w:val="24"/>
          <w:highlight w:val="none"/>
        </w:rPr>
        <w:t>），</w:t>
      </w:r>
      <w:r>
        <w:rPr>
          <w:spacing w:val="-1"/>
          <w:sz w:val="24"/>
          <w:szCs w:val="24"/>
          <w:highlight w:val="none"/>
        </w:rPr>
        <w:t>并且安置的残</w:t>
      </w:r>
      <w:r>
        <w:rPr>
          <w:spacing w:val="-5"/>
          <w:sz w:val="24"/>
          <w:szCs w:val="24"/>
          <w:highlight w:val="none"/>
        </w:rPr>
        <w:t>疾人人数不少于 10人（含10人</w:t>
      </w:r>
      <w:r>
        <w:rPr>
          <w:spacing w:val="6"/>
          <w:sz w:val="24"/>
          <w:szCs w:val="24"/>
          <w:highlight w:val="none"/>
        </w:rPr>
        <w:t>）；</w:t>
      </w:r>
    </w:p>
    <w:p w14:paraId="4D18465A">
      <w:pPr>
        <w:pStyle w:val="6"/>
        <w:spacing w:line="221" w:lineRule="auto"/>
        <w:ind w:left="39"/>
        <w:rPr>
          <w:sz w:val="24"/>
          <w:szCs w:val="24"/>
          <w:highlight w:val="none"/>
        </w:rPr>
      </w:pPr>
      <w:r>
        <w:rPr>
          <w:spacing w:val="-2"/>
          <w:sz w:val="24"/>
          <w:szCs w:val="24"/>
          <w:highlight w:val="none"/>
        </w:rPr>
        <w:t>42.7.2 依法与安置的每位残疾人签订</w:t>
      </w:r>
      <w:r>
        <w:rPr>
          <w:spacing w:val="-3"/>
          <w:sz w:val="24"/>
          <w:szCs w:val="24"/>
          <w:highlight w:val="none"/>
        </w:rPr>
        <w:t>了1年以上（含1年）的劳动合同或服务协议；</w:t>
      </w:r>
    </w:p>
    <w:p w14:paraId="4CCD5CB8">
      <w:pPr>
        <w:pStyle w:val="6"/>
        <w:spacing w:before="177" w:line="360" w:lineRule="auto"/>
        <w:ind w:left="48" w:right="142" w:hanging="9"/>
        <w:rPr>
          <w:sz w:val="24"/>
          <w:szCs w:val="24"/>
          <w:highlight w:val="none"/>
        </w:rPr>
      </w:pPr>
      <w:r>
        <w:rPr>
          <w:spacing w:val="-4"/>
          <w:sz w:val="24"/>
          <w:szCs w:val="24"/>
          <w:highlight w:val="none"/>
        </w:rPr>
        <w:t>42.7.3 为安置的每位残疾人按月足额缴纳了基本养老保险、基本医疗保险、失业保险、工</w:t>
      </w:r>
      <w:r>
        <w:rPr>
          <w:spacing w:val="-2"/>
          <w:sz w:val="24"/>
          <w:szCs w:val="24"/>
          <w:highlight w:val="none"/>
        </w:rPr>
        <w:t>伤保险和生育保险等社会保险费；</w:t>
      </w:r>
    </w:p>
    <w:p w14:paraId="38A226E2">
      <w:pPr>
        <w:pStyle w:val="6"/>
        <w:spacing w:line="358" w:lineRule="auto"/>
        <w:ind w:left="56" w:right="247" w:hanging="22"/>
        <w:rPr>
          <w:sz w:val="24"/>
          <w:szCs w:val="24"/>
          <w:highlight w:val="none"/>
        </w:rPr>
      </w:pPr>
      <w:r>
        <w:rPr>
          <w:sz w:val="24"/>
          <w:szCs w:val="24"/>
          <w:highlight w:val="none"/>
        </w:rPr>
        <w:t>42.7.4 通过银行等金融机构向安置</w:t>
      </w:r>
      <w:r>
        <w:rPr>
          <w:spacing w:val="-1"/>
          <w:sz w:val="24"/>
          <w:szCs w:val="24"/>
          <w:highlight w:val="none"/>
        </w:rPr>
        <w:t>的每位残疾人，按月支付了不低于单位所在区县适用</w:t>
      </w:r>
      <w:r>
        <w:rPr>
          <w:spacing w:val="-3"/>
          <w:sz w:val="24"/>
          <w:szCs w:val="24"/>
          <w:highlight w:val="none"/>
        </w:rPr>
        <w:t>的经省级人民政府批准的月最低工资标准的工资；</w:t>
      </w:r>
    </w:p>
    <w:p w14:paraId="00E7D997">
      <w:pPr>
        <w:pStyle w:val="6"/>
        <w:spacing w:before="3" w:line="359" w:lineRule="auto"/>
        <w:ind w:left="48" w:right="228" w:hanging="9"/>
        <w:rPr>
          <w:sz w:val="24"/>
          <w:szCs w:val="24"/>
          <w:highlight w:val="none"/>
        </w:rPr>
      </w:pPr>
      <w:r>
        <w:rPr>
          <w:spacing w:val="-1"/>
          <w:sz w:val="24"/>
          <w:szCs w:val="24"/>
          <w:highlight w:val="none"/>
        </w:rPr>
        <w:t>42.7.5 提供本单位制造的货物、承担的工程或者服务</w:t>
      </w:r>
      <w:r>
        <w:rPr>
          <w:spacing w:val="-2"/>
          <w:sz w:val="24"/>
          <w:szCs w:val="24"/>
          <w:highlight w:val="none"/>
        </w:rPr>
        <w:t>（以下简称产品</w:t>
      </w:r>
      <w:r>
        <w:rPr>
          <w:spacing w:val="22"/>
          <w:sz w:val="24"/>
          <w:szCs w:val="24"/>
          <w:highlight w:val="none"/>
        </w:rPr>
        <w:t>），</w:t>
      </w:r>
      <w:r>
        <w:rPr>
          <w:spacing w:val="-2"/>
          <w:sz w:val="24"/>
          <w:szCs w:val="24"/>
          <w:highlight w:val="none"/>
        </w:rPr>
        <w:t>或者提供其他</w:t>
      </w:r>
      <w:r>
        <w:rPr>
          <w:spacing w:val="-3"/>
          <w:sz w:val="24"/>
          <w:szCs w:val="24"/>
          <w:highlight w:val="none"/>
        </w:rPr>
        <w:t>残疾人福利性单位制造的货物（不包括使用非残疾人</w:t>
      </w:r>
      <w:r>
        <w:rPr>
          <w:spacing w:val="-4"/>
          <w:sz w:val="24"/>
          <w:szCs w:val="24"/>
          <w:highlight w:val="none"/>
        </w:rPr>
        <w:t>福利性单位注册商标的货物</w:t>
      </w:r>
      <w:r>
        <w:rPr>
          <w:spacing w:val="-1"/>
          <w:sz w:val="24"/>
          <w:szCs w:val="24"/>
          <w:highlight w:val="none"/>
        </w:rPr>
        <w:t>）；</w:t>
      </w:r>
    </w:p>
    <w:p w14:paraId="3B4BA1AF">
      <w:pPr>
        <w:pStyle w:val="6"/>
        <w:spacing w:line="359" w:lineRule="auto"/>
        <w:ind w:left="46" w:right="197" w:hanging="7"/>
        <w:rPr>
          <w:sz w:val="24"/>
          <w:szCs w:val="24"/>
          <w:highlight w:val="none"/>
        </w:rPr>
      </w:pPr>
      <w:r>
        <w:rPr>
          <w:spacing w:val="-1"/>
          <w:sz w:val="24"/>
          <w:szCs w:val="24"/>
          <w:highlight w:val="none"/>
        </w:rPr>
        <w:t>42.7.6 前款所称残疾人是指法定劳动年龄内，持有《中华人民共和国残疾人证》或者《中华人民共和国残疾军人证（1 至 8 级）》的自</w:t>
      </w:r>
      <w:r>
        <w:rPr>
          <w:spacing w:val="-2"/>
          <w:sz w:val="24"/>
          <w:szCs w:val="24"/>
          <w:highlight w:val="none"/>
        </w:rPr>
        <w:t>然人，包括具有劳动条件和劳动意愿的</w:t>
      </w:r>
      <w:r>
        <w:rPr>
          <w:spacing w:val="-3"/>
          <w:sz w:val="24"/>
          <w:szCs w:val="24"/>
          <w:highlight w:val="none"/>
        </w:rPr>
        <w:t>精神残疾人。在职职工人数是指与残疾人福利性单位建立劳动关系并依法签订劳动合同或服务协议的雇员人数。</w:t>
      </w:r>
    </w:p>
    <w:p w14:paraId="098CA922">
      <w:pPr>
        <w:pStyle w:val="6"/>
        <w:spacing w:before="1" w:line="221" w:lineRule="auto"/>
        <w:ind w:left="39"/>
        <w:rPr>
          <w:sz w:val="24"/>
          <w:szCs w:val="24"/>
          <w:highlight w:val="none"/>
        </w:rPr>
      </w:pPr>
      <w:r>
        <w:rPr>
          <w:sz w:val="24"/>
          <w:szCs w:val="24"/>
          <w:highlight w:val="none"/>
        </w:rPr>
        <w:t>42.8 本项目是否专门面向中小企业预留采购份额见“第一章</w:t>
      </w:r>
      <w:r>
        <w:rPr>
          <w:spacing w:val="-1"/>
          <w:sz w:val="24"/>
          <w:szCs w:val="24"/>
          <w:highlight w:val="none"/>
        </w:rPr>
        <w:t xml:space="preserve"> 招标公告</w:t>
      </w:r>
      <w:r>
        <w:rPr>
          <w:spacing w:val="-88"/>
          <w:sz w:val="24"/>
          <w:szCs w:val="24"/>
          <w:highlight w:val="none"/>
        </w:rPr>
        <w:t xml:space="preserve"> </w:t>
      </w:r>
      <w:r>
        <w:rPr>
          <w:spacing w:val="-1"/>
          <w:sz w:val="24"/>
          <w:szCs w:val="24"/>
          <w:highlight w:val="none"/>
        </w:rPr>
        <w:t>”。</w:t>
      </w:r>
    </w:p>
    <w:p w14:paraId="49A1439D">
      <w:pPr>
        <w:pStyle w:val="6"/>
        <w:spacing w:before="177" w:line="221" w:lineRule="auto"/>
        <w:ind w:left="39"/>
        <w:rPr>
          <w:sz w:val="24"/>
          <w:szCs w:val="24"/>
          <w:highlight w:val="none"/>
        </w:rPr>
      </w:pPr>
      <w:r>
        <w:rPr>
          <w:sz w:val="24"/>
          <w:szCs w:val="24"/>
          <w:highlight w:val="none"/>
        </w:rPr>
        <w:t>42.9 采购标的对应的中小企业划分标准所属行业见“投标人</w:t>
      </w:r>
      <w:r>
        <w:rPr>
          <w:spacing w:val="-1"/>
          <w:sz w:val="24"/>
          <w:szCs w:val="24"/>
          <w:highlight w:val="none"/>
        </w:rPr>
        <w:t>须知前附表</w:t>
      </w:r>
      <w:r>
        <w:rPr>
          <w:spacing w:val="-88"/>
          <w:sz w:val="24"/>
          <w:szCs w:val="24"/>
          <w:highlight w:val="none"/>
        </w:rPr>
        <w:t xml:space="preserve"> </w:t>
      </w:r>
      <w:r>
        <w:rPr>
          <w:spacing w:val="-1"/>
          <w:sz w:val="24"/>
          <w:szCs w:val="24"/>
          <w:highlight w:val="none"/>
        </w:rPr>
        <w:t>”。</w:t>
      </w:r>
    </w:p>
    <w:p w14:paraId="2A23F35B">
      <w:pPr>
        <w:pStyle w:val="6"/>
        <w:spacing w:before="182" w:line="359" w:lineRule="auto"/>
        <w:ind w:left="55" w:right="240" w:hanging="16"/>
        <w:rPr>
          <w:sz w:val="24"/>
          <w:szCs w:val="24"/>
          <w:highlight w:val="none"/>
        </w:rPr>
      </w:pPr>
      <w:r>
        <w:rPr>
          <w:spacing w:val="-1"/>
          <w:sz w:val="24"/>
          <w:szCs w:val="24"/>
          <w:highlight w:val="none"/>
        </w:rPr>
        <w:t>42.10 小微企业价格评审优惠的政策调整：见“投标人须知前附</w:t>
      </w:r>
      <w:r>
        <w:rPr>
          <w:spacing w:val="-2"/>
          <w:sz w:val="24"/>
          <w:szCs w:val="24"/>
          <w:highlight w:val="none"/>
        </w:rPr>
        <w:t>表</w:t>
      </w:r>
      <w:r>
        <w:rPr>
          <w:spacing w:val="-88"/>
          <w:sz w:val="24"/>
          <w:szCs w:val="24"/>
          <w:highlight w:val="none"/>
        </w:rPr>
        <w:t xml:space="preserve"> </w:t>
      </w:r>
      <w:r>
        <w:rPr>
          <w:spacing w:val="-2"/>
          <w:sz w:val="24"/>
          <w:szCs w:val="24"/>
          <w:highlight w:val="none"/>
        </w:rPr>
        <w:t>”及“第五章 评标方</w:t>
      </w:r>
      <w:r>
        <w:rPr>
          <w:sz w:val="24"/>
          <w:szCs w:val="24"/>
          <w:highlight w:val="none"/>
        </w:rPr>
        <w:t>法及标准”。</w:t>
      </w:r>
    </w:p>
    <w:p w14:paraId="1611A670">
      <w:pPr>
        <w:pStyle w:val="6"/>
        <w:spacing w:line="221" w:lineRule="auto"/>
        <w:ind w:left="39"/>
        <w:outlineLvl w:val="2"/>
        <w:rPr>
          <w:sz w:val="24"/>
          <w:szCs w:val="24"/>
          <w:highlight w:val="none"/>
        </w:rPr>
      </w:pPr>
      <w:r>
        <w:rPr>
          <w:b/>
          <w:bCs/>
          <w:spacing w:val="-5"/>
          <w:sz w:val="24"/>
          <w:szCs w:val="24"/>
          <w:highlight w:val="none"/>
        </w:rPr>
        <w:t>43.政府采购节能产品、环境标志产品</w:t>
      </w:r>
    </w:p>
    <w:p w14:paraId="2A55BE07">
      <w:pPr>
        <w:pStyle w:val="6"/>
        <w:spacing w:before="176" w:line="360" w:lineRule="auto"/>
        <w:ind w:left="47" w:hanging="8"/>
        <w:rPr>
          <w:spacing w:val="-6"/>
          <w:sz w:val="24"/>
          <w:szCs w:val="24"/>
          <w:highlight w:val="none"/>
        </w:rPr>
      </w:pPr>
      <w:r>
        <w:rPr>
          <w:spacing w:val="-1"/>
          <w:sz w:val="24"/>
          <w:szCs w:val="24"/>
          <w:highlight w:val="none"/>
        </w:rPr>
        <w:t>43.1 政府采购节能产品、环境标志产品实施品目清单管理。财政部、发展改革委、生态</w:t>
      </w:r>
      <w:r>
        <w:rPr>
          <w:spacing w:val="2"/>
          <w:sz w:val="24"/>
          <w:szCs w:val="24"/>
          <w:highlight w:val="none"/>
        </w:rPr>
        <w:t xml:space="preserve"> </w:t>
      </w:r>
      <w:r>
        <w:rPr>
          <w:spacing w:val="-3"/>
          <w:sz w:val="24"/>
          <w:szCs w:val="24"/>
          <w:highlight w:val="none"/>
        </w:rPr>
        <w:t>环境部等部门根据产品节能环保性能、技术水平和市场成熟程度等因素，确定实施政府优</w:t>
      </w:r>
      <w:r>
        <w:rPr>
          <w:spacing w:val="-2"/>
          <w:sz w:val="24"/>
          <w:szCs w:val="24"/>
          <w:highlight w:val="none"/>
        </w:rPr>
        <w:t>先采购和强制采购的产品类别及所依据的相关标准规范，以品目清单的形式发布</w:t>
      </w:r>
      <w:r>
        <w:rPr>
          <w:spacing w:val="-3"/>
          <w:sz w:val="24"/>
          <w:szCs w:val="24"/>
          <w:highlight w:val="none"/>
        </w:rPr>
        <w:t>并适时调整。依据品目清单和认证证书实施政府优先采购和强</w:t>
      </w:r>
      <w:r>
        <w:rPr>
          <w:spacing w:val="-4"/>
          <w:sz w:val="24"/>
          <w:szCs w:val="24"/>
          <w:highlight w:val="none"/>
        </w:rPr>
        <w:t>制采购。关于政府采购节能产品、环</w:t>
      </w:r>
      <w:r>
        <w:rPr>
          <w:spacing w:val="-6"/>
          <w:sz w:val="24"/>
          <w:szCs w:val="24"/>
          <w:highlight w:val="none"/>
        </w:rPr>
        <w:t>境标志产品的相关规定依据《关于调整优化节能产品、环境标志产品政府采购执行机制的</w:t>
      </w:r>
      <w:r>
        <w:rPr>
          <w:spacing w:val="5"/>
          <w:sz w:val="24"/>
          <w:szCs w:val="24"/>
          <w:highlight w:val="none"/>
        </w:rPr>
        <w:t xml:space="preserve"> </w:t>
      </w:r>
      <w:r>
        <w:rPr>
          <w:spacing w:val="-4"/>
          <w:sz w:val="24"/>
          <w:szCs w:val="24"/>
          <w:highlight w:val="none"/>
        </w:rPr>
        <w:t>通知》（财库〔2019〕9 号）、《关于印发环境标志产品政府采购品目清单的通知》（财</w:t>
      </w:r>
      <w:r>
        <w:rPr>
          <w:spacing w:val="2"/>
          <w:sz w:val="24"/>
          <w:szCs w:val="24"/>
          <w:highlight w:val="none"/>
        </w:rPr>
        <w:t xml:space="preserve"> </w:t>
      </w:r>
      <w:r>
        <w:rPr>
          <w:spacing w:val="-3"/>
          <w:sz w:val="24"/>
          <w:szCs w:val="24"/>
          <w:highlight w:val="none"/>
        </w:rPr>
        <w:t>库〔2019〕18号）、《关于印发节能产品政府采购品目清单的通知》（财</w:t>
      </w:r>
      <w:r>
        <w:rPr>
          <w:spacing w:val="-4"/>
          <w:sz w:val="24"/>
          <w:szCs w:val="24"/>
          <w:highlight w:val="none"/>
        </w:rPr>
        <w:t>库〔2019〕19号）</w:t>
      </w:r>
      <w:r>
        <w:rPr>
          <w:spacing w:val="-6"/>
          <w:sz w:val="24"/>
          <w:szCs w:val="24"/>
          <w:highlight w:val="none"/>
        </w:rPr>
        <w:t>的规定。</w:t>
      </w:r>
    </w:p>
    <w:p w14:paraId="24DF2A89">
      <w:pPr>
        <w:pStyle w:val="6"/>
        <w:spacing w:before="176" w:line="360" w:lineRule="auto"/>
        <w:ind w:left="47" w:hanging="8"/>
        <w:rPr>
          <w:sz w:val="24"/>
          <w:szCs w:val="24"/>
          <w:highlight w:val="none"/>
        </w:rPr>
      </w:pPr>
      <w:r>
        <w:rPr>
          <w:spacing w:val="-1"/>
          <w:sz w:val="24"/>
          <w:szCs w:val="24"/>
          <w:highlight w:val="none"/>
        </w:rPr>
        <w:t>43.2 采购人拟采购的产品属于品目清单范围的，采购人及其委托的采购代理机构依据国</w:t>
      </w:r>
      <w:r>
        <w:rPr>
          <w:spacing w:val="-3"/>
          <w:sz w:val="24"/>
          <w:szCs w:val="24"/>
          <w:highlight w:val="none"/>
        </w:rPr>
        <w:t>家确定的认证机构出具的、处于有效期之内的节能产品、环境标志产品认证证书，对获得</w:t>
      </w:r>
      <w:r>
        <w:rPr>
          <w:spacing w:val="-2"/>
          <w:sz w:val="24"/>
          <w:szCs w:val="24"/>
          <w:highlight w:val="none"/>
        </w:rPr>
        <w:t>证书的产品实施政府优先采购或强制采购。</w:t>
      </w:r>
    </w:p>
    <w:p w14:paraId="5C112BCB">
      <w:pPr>
        <w:pStyle w:val="6"/>
        <w:spacing w:before="2" w:line="358" w:lineRule="auto"/>
        <w:ind w:left="46" w:right="69" w:hanging="7"/>
        <w:rPr>
          <w:sz w:val="24"/>
          <w:szCs w:val="24"/>
          <w:highlight w:val="none"/>
        </w:rPr>
      </w:pPr>
      <w:r>
        <w:rPr>
          <w:spacing w:val="-1"/>
          <w:sz w:val="24"/>
          <w:szCs w:val="24"/>
          <w:highlight w:val="none"/>
        </w:rPr>
        <w:t>43.3 如本项目采购产品属于实施政府强制采购品目清单范围的节能产品，则投标人所报</w:t>
      </w:r>
      <w:r>
        <w:rPr>
          <w:spacing w:val="-3"/>
          <w:sz w:val="24"/>
          <w:szCs w:val="24"/>
          <w:highlight w:val="none"/>
        </w:rPr>
        <w:t>产品必须获得国家确定的认证机构出具的、处于有效期之内的节能产品</w:t>
      </w:r>
      <w:r>
        <w:rPr>
          <w:spacing w:val="-4"/>
          <w:sz w:val="24"/>
          <w:szCs w:val="24"/>
          <w:highlight w:val="none"/>
        </w:rPr>
        <w:t>认证证书，否则</w:t>
      </w:r>
      <w:r>
        <w:rPr>
          <w:b/>
          <w:bCs/>
          <w:spacing w:val="-4"/>
          <w:sz w:val="24"/>
          <w:szCs w:val="24"/>
          <w:highlight w:val="none"/>
        </w:rPr>
        <w:t>投</w:t>
      </w:r>
      <w:r>
        <w:rPr>
          <w:b/>
          <w:bCs/>
          <w:spacing w:val="-7"/>
          <w:sz w:val="24"/>
          <w:szCs w:val="24"/>
          <w:highlight w:val="none"/>
        </w:rPr>
        <w:t>标无效</w:t>
      </w:r>
      <w:r>
        <w:rPr>
          <w:spacing w:val="-7"/>
          <w:sz w:val="24"/>
          <w:szCs w:val="24"/>
          <w:highlight w:val="none"/>
        </w:rPr>
        <w:t>；</w:t>
      </w:r>
    </w:p>
    <w:p w14:paraId="135B5B5D">
      <w:pPr>
        <w:pStyle w:val="6"/>
        <w:spacing w:line="360" w:lineRule="auto"/>
        <w:ind w:left="50" w:right="97" w:hanging="11"/>
        <w:rPr>
          <w:sz w:val="24"/>
          <w:szCs w:val="24"/>
          <w:highlight w:val="none"/>
        </w:rPr>
      </w:pPr>
      <w:r>
        <w:rPr>
          <w:spacing w:val="-1"/>
          <w:sz w:val="24"/>
          <w:szCs w:val="24"/>
          <w:highlight w:val="none"/>
        </w:rPr>
        <w:t>43.4 非政府强制采购的节能产品或环境标志产品，依据品目清单和认证证书实施政府优</w:t>
      </w:r>
      <w:r>
        <w:rPr>
          <w:spacing w:val="-2"/>
          <w:sz w:val="24"/>
          <w:szCs w:val="24"/>
          <w:highlight w:val="none"/>
        </w:rPr>
        <w:t>先采购。优先采购的具体规定见“第五章评标方法及标准”（如涉及</w:t>
      </w:r>
      <w:r>
        <w:rPr>
          <w:spacing w:val="-3"/>
          <w:sz w:val="24"/>
          <w:szCs w:val="24"/>
          <w:highlight w:val="none"/>
        </w:rPr>
        <w:t>）。</w:t>
      </w:r>
    </w:p>
    <w:p w14:paraId="54AB3960">
      <w:pPr>
        <w:pStyle w:val="6"/>
        <w:spacing w:before="8" w:line="358" w:lineRule="auto"/>
        <w:ind w:left="46" w:right="13" w:hanging="7"/>
        <w:rPr>
          <w:sz w:val="24"/>
          <w:szCs w:val="24"/>
          <w:highlight w:val="none"/>
        </w:rPr>
      </w:pPr>
      <w:r>
        <w:rPr>
          <w:spacing w:val="-1"/>
          <w:sz w:val="24"/>
          <w:szCs w:val="24"/>
          <w:highlight w:val="none"/>
        </w:rPr>
        <w:t>43.5 投标人所投产品如属于节能产品政府采购品目清单、环境标志产品政府采购品目清</w:t>
      </w:r>
      <w:r>
        <w:rPr>
          <w:spacing w:val="-3"/>
          <w:sz w:val="24"/>
          <w:szCs w:val="24"/>
          <w:highlight w:val="none"/>
        </w:rPr>
        <w:t>单范围的，须提供国家确定的认证机构出具的、处于有</w:t>
      </w:r>
      <w:r>
        <w:rPr>
          <w:spacing w:val="-4"/>
          <w:sz w:val="24"/>
          <w:szCs w:val="24"/>
          <w:highlight w:val="none"/>
        </w:rPr>
        <w:t>效期内的产品认证证书，认证证书</w:t>
      </w:r>
      <w:r>
        <w:rPr>
          <w:spacing w:val="-3"/>
          <w:sz w:val="24"/>
          <w:szCs w:val="24"/>
          <w:highlight w:val="none"/>
        </w:rPr>
        <w:t>的产品型号与所投产品不一致的，视为未提供。属于政</w:t>
      </w:r>
      <w:r>
        <w:rPr>
          <w:spacing w:val="-4"/>
          <w:sz w:val="24"/>
          <w:szCs w:val="24"/>
          <w:highlight w:val="none"/>
        </w:rPr>
        <w:t>府强制采购产品的，已作为投标时强制性要求不再给予价格评审优惠，未提供认证证书的视为</w:t>
      </w:r>
      <w:r>
        <w:rPr>
          <w:b/>
          <w:bCs/>
          <w:spacing w:val="-4"/>
          <w:sz w:val="24"/>
          <w:szCs w:val="24"/>
          <w:highlight w:val="none"/>
        </w:rPr>
        <w:t>投标无效</w:t>
      </w:r>
      <w:r>
        <w:rPr>
          <w:spacing w:val="-4"/>
          <w:sz w:val="24"/>
          <w:szCs w:val="24"/>
          <w:highlight w:val="none"/>
        </w:rPr>
        <w:t>。属于优先采购节能</w:t>
      </w:r>
      <w:r>
        <w:rPr>
          <w:spacing w:val="-2"/>
          <w:sz w:val="24"/>
          <w:szCs w:val="24"/>
          <w:highlight w:val="none"/>
        </w:rPr>
        <w:t>产品政府采购品目清单、环境标志产品政府</w:t>
      </w:r>
      <w:r>
        <w:rPr>
          <w:spacing w:val="-3"/>
          <w:sz w:val="24"/>
          <w:szCs w:val="24"/>
          <w:highlight w:val="none"/>
        </w:rPr>
        <w:t>采购品目清单的，按照“第五章 评标方法及</w:t>
      </w:r>
      <w:r>
        <w:rPr>
          <w:spacing w:val="-2"/>
          <w:sz w:val="24"/>
          <w:szCs w:val="24"/>
          <w:highlight w:val="none"/>
        </w:rPr>
        <w:t>标准”中相关规定在评审时给予价格评审优惠</w:t>
      </w:r>
      <w:r>
        <w:rPr>
          <w:spacing w:val="-3"/>
          <w:sz w:val="24"/>
          <w:szCs w:val="24"/>
          <w:highlight w:val="none"/>
        </w:rPr>
        <w:t>，具体详见“投标人须知前附表</w:t>
      </w:r>
      <w:r>
        <w:rPr>
          <w:spacing w:val="-90"/>
          <w:sz w:val="24"/>
          <w:szCs w:val="24"/>
          <w:highlight w:val="none"/>
        </w:rPr>
        <w:t xml:space="preserve"> </w:t>
      </w:r>
      <w:r>
        <w:rPr>
          <w:spacing w:val="-3"/>
          <w:sz w:val="24"/>
          <w:szCs w:val="24"/>
          <w:highlight w:val="none"/>
        </w:rPr>
        <w:t>”及“第五章评标方法及标准</w:t>
      </w:r>
      <w:r>
        <w:rPr>
          <w:spacing w:val="-82"/>
          <w:sz w:val="24"/>
          <w:szCs w:val="24"/>
          <w:highlight w:val="none"/>
        </w:rPr>
        <w:t xml:space="preserve"> </w:t>
      </w:r>
      <w:r>
        <w:rPr>
          <w:spacing w:val="-3"/>
          <w:sz w:val="24"/>
          <w:szCs w:val="24"/>
          <w:highlight w:val="none"/>
        </w:rPr>
        <w:t>”。</w:t>
      </w:r>
    </w:p>
    <w:p w14:paraId="3F580853">
      <w:pPr>
        <w:pStyle w:val="6"/>
        <w:spacing w:line="222" w:lineRule="auto"/>
        <w:ind w:left="39"/>
        <w:outlineLvl w:val="2"/>
        <w:rPr>
          <w:sz w:val="24"/>
          <w:szCs w:val="24"/>
          <w:highlight w:val="none"/>
        </w:rPr>
      </w:pPr>
      <w:r>
        <w:rPr>
          <w:b/>
          <w:bCs/>
          <w:spacing w:val="-6"/>
          <w:sz w:val="24"/>
          <w:szCs w:val="24"/>
          <w:highlight w:val="none"/>
        </w:rPr>
        <w:t>44.正版软件</w:t>
      </w:r>
    </w:p>
    <w:p w14:paraId="1210F92E">
      <w:pPr>
        <w:pStyle w:val="6"/>
        <w:spacing w:before="179" w:line="359" w:lineRule="auto"/>
        <w:ind w:left="47" w:right="21" w:hanging="8"/>
        <w:rPr>
          <w:sz w:val="24"/>
          <w:szCs w:val="24"/>
          <w:highlight w:val="none"/>
        </w:rPr>
      </w:pPr>
      <w:r>
        <w:rPr>
          <w:spacing w:val="-2"/>
          <w:sz w:val="24"/>
          <w:szCs w:val="24"/>
          <w:highlight w:val="none"/>
        </w:rPr>
        <w:t>44.1 依据《财政部国家发展改革委 信息产业部关于印发无线局域网产品政府采购实施意</w:t>
      </w:r>
      <w:r>
        <w:rPr>
          <w:spacing w:val="-3"/>
          <w:sz w:val="24"/>
          <w:szCs w:val="24"/>
          <w:highlight w:val="none"/>
        </w:rPr>
        <w:t>见的通知》（财库〔2005〕366 号</w:t>
      </w:r>
      <w:r>
        <w:rPr>
          <w:spacing w:val="-4"/>
          <w:sz w:val="24"/>
          <w:szCs w:val="24"/>
          <w:highlight w:val="none"/>
        </w:rPr>
        <w:t>），</w:t>
      </w:r>
      <w:r>
        <w:rPr>
          <w:spacing w:val="-3"/>
          <w:sz w:val="24"/>
          <w:szCs w:val="24"/>
          <w:highlight w:val="none"/>
        </w:rPr>
        <w:t>采购无线局域网产品和含有无线局域</w:t>
      </w:r>
      <w:r>
        <w:rPr>
          <w:spacing w:val="-4"/>
          <w:sz w:val="24"/>
          <w:szCs w:val="24"/>
          <w:highlight w:val="none"/>
        </w:rPr>
        <w:t>网功能的计算</w:t>
      </w:r>
      <w:r>
        <w:rPr>
          <w:spacing w:val="-3"/>
          <w:sz w:val="24"/>
          <w:szCs w:val="24"/>
          <w:highlight w:val="none"/>
        </w:rPr>
        <w:t>机、通信设备、打印机、复印机、投影仪等产品的，优先采购符合国家无线局域网安全标准（GB 15629.11/1102）并通过国家产品认证的产品。其中，国家有特殊信息安</w:t>
      </w:r>
      <w:r>
        <w:rPr>
          <w:spacing w:val="-4"/>
          <w:sz w:val="24"/>
          <w:szCs w:val="24"/>
          <w:highlight w:val="none"/>
        </w:rPr>
        <w:t>全要求的项目必须采购认证产品，否则</w:t>
      </w:r>
      <w:r>
        <w:rPr>
          <w:b/>
          <w:bCs/>
          <w:spacing w:val="-4"/>
          <w:sz w:val="24"/>
          <w:szCs w:val="24"/>
          <w:highlight w:val="none"/>
        </w:rPr>
        <w:t>投标无效</w:t>
      </w:r>
      <w:r>
        <w:rPr>
          <w:spacing w:val="-4"/>
          <w:sz w:val="24"/>
          <w:szCs w:val="24"/>
          <w:highlight w:val="none"/>
        </w:rPr>
        <w:t>。财政部、国家发展改革委、信息产业部根据政府</w:t>
      </w:r>
      <w:r>
        <w:rPr>
          <w:spacing w:val="-3"/>
          <w:sz w:val="24"/>
          <w:szCs w:val="24"/>
          <w:highlight w:val="none"/>
        </w:rPr>
        <w:t>采购改革进展和无线局域网产品技术及市场成熟等情</w:t>
      </w:r>
      <w:r>
        <w:rPr>
          <w:spacing w:val="-4"/>
          <w:sz w:val="24"/>
          <w:szCs w:val="24"/>
          <w:highlight w:val="none"/>
        </w:rPr>
        <w:t>况，从国家指定的认证机构认证的生</w:t>
      </w:r>
      <w:r>
        <w:rPr>
          <w:spacing w:val="-5"/>
          <w:sz w:val="24"/>
          <w:szCs w:val="24"/>
          <w:highlight w:val="none"/>
        </w:rPr>
        <w:t>产厂商和产品型号中确定优先采购的产品，并以“无线局域网认证产品政府采购清单” (</w:t>
      </w:r>
      <w:r>
        <w:rPr>
          <w:spacing w:val="-4"/>
          <w:sz w:val="24"/>
          <w:szCs w:val="24"/>
          <w:highlight w:val="none"/>
        </w:rPr>
        <w:t>以下简称清单）的形式公布。清单中新增认证产品厂商和型号，由财政部、国家发展改革</w:t>
      </w:r>
      <w:r>
        <w:rPr>
          <w:spacing w:val="-2"/>
          <w:sz w:val="24"/>
          <w:szCs w:val="24"/>
          <w:highlight w:val="none"/>
        </w:rPr>
        <w:t>委、信息产业部以文件形式确定、公布并适时调整。</w:t>
      </w:r>
    </w:p>
    <w:p w14:paraId="335D0EAF">
      <w:pPr>
        <w:pStyle w:val="6"/>
        <w:spacing w:before="45" w:line="359" w:lineRule="auto"/>
        <w:ind w:left="74" w:right="136" w:hanging="20"/>
        <w:rPr>
          <w:sz w:val="24"/>
          <w:szCs w:val="24"/>
          <w:highlight w:val="none"/>
        </w:rPr>
      </w:pPr>
      <w:r>
        <w:rPr>
          <w:spacing w:val="-1"/>
          <w:sz w:val="24"/>
          <w:szCs w:val="24"/>
          <w:highlight w:val="none"/>
        </w:rPr>
        <w:t>44.2 各级政府部门在购置计算机办公设备时，必须采购预装正版操作系统软件的计算机</w:t>
      </w:r>
      <w:r>
        <w:rPr>
          <w:spacing w:val="-3"/>
          <w:sz w:val="24"/>
          <w:szCs w:val="24"/>
          <w:highlight w:val="none"/>
        </w:rPr>
        <w:t>产品，相关规定依据《国家版权局、信息产业部、财政部、国务院机关事务管理局关于政</w:t>
      </w:r>
      <w:r>
        <w:rPr>
          <w:spacing w:val="-2"/>
          <w:sz w:val="24"/>
          <w:szCs w:val="24"/>
          <w:highlight w:val="none"/>
        </w:rPr>
        <w:t>府部门购置计算机办公设备必须采购已预装正版操作系统软件产品的通知》（国权联〔20</w:t>
      </w:r>
      <w:r>
        <w:rPr>
          <w:spacing w:val="13"/>
          <w:sz w:val="24"/>
          <w:szCs w:val="24"/>
          <w:highlight w:val="none"/>
        </w:rPr>
        <w:t xml:space="preserve"> </w:t>
      </w:r>
      <w:r>
        <w:rPr>
          <w:spacing w:val="-2"/>
          <w:sz w:val="24"/>
          <w:szCs w:val="24"/>
          <w:highlight w:val="none"/>
        </w:rPr>
        <w:t>06〕1 号）、《国务院办公厅关于进一步做好政府机关使用正版软件工作的通知》（国办发〔2010〕47 号）、《国务院办公厅关于印发政府机关使用正版软件管理办法的通知》</w:t>
      </w:r>
      <w:r>
        <w:rPr>
          <w:spacing w:val="-5"/>
          <w:sz w:val="24"/>
          <w:szCs w:val="24"/>
          <w:highlight w:val="none"/>
        </w:rPr>
        <w:t>国办发〔2013〕88号。</w:t>
      </w:r>
    </w:p>
    <w:p w14:paraId="6E4E9A3C">
      <w:pPr>
        <w:pStyle w:val="6"/>
        <w:spacing w:line="221" w:lineRule="auto"/>
        <w:ind w:left="39"/>
        <w:outlineLvl w:val="3"/>
        <w:rPr>
          <w:sz w:val="24"/>
          <w:szCs w:val="24"/>
          <w:highlight w:val="none"/>
        </w:rPr>
      </w:pPr>
      <w:r>
        <w:rPr>
          <w:b/>
          <w:bCs/>
          <w:spacing w:val="-5"/>
          <w:sz w:val="24"/>
          <w:szCs w:val="24"/>
          <w:highlight w:val="none"/>
        </w:rPr>
        <w:t>45.网络安全专用产品</w:t>
      </w:r>
    </w:p>
    <w:p w14:paraId="3A02146F">
      <w:pPr>
        <w:pStyle w:val="6"/>
        <w:spacing w:before="180" w:line="359" w:lineRule="auto"/>
        <w:ind w:left="46" w:right="21" w:hanging="7"/>
        <w:rPr>
          <w:sz w:val="24"/>
          <w:szCs w:val="24"/>
          <w:highlight w:val="none"/>
        </w:rPr>
      </w:pPr>
      <w:r>
        <w:rPr>
          <w:spacing w:val="-1"/>
          <w:sz w:val="24"/>
          <w:szCs w:val="24"/>
          <w:highlight w:val="none"/>
        </w:rPr>
        <w:t>45.1本项目中如涉及网络关键设备或网络</w:t>
      </w:r>
      <w:r>
        <w:rPr>
          <w:spacing w:val="-2"/>
          <w:sz w:val="24"/>
          <w:szCs w:val="24"/>
          <w:highlight w:val="none"/>
        </w:rPr>
        <w:t>安全专用产品的，应严格执行国家互联网信息办</w:t>
      </w:r>
      <w:r>
        <w:rPr>
          <w:spacing w:val="-3"/>
          <w:sz w:val="24"/>
          <w:szCs w:val="24"/>
          <w:highlight w:val="none"/>
        </w:rPr>
        <w:t>公室、工业和信息化部、公安部、财政部和国家认证认可监督管理委员会 2023年第 1 号</w:t>
      </w:r>
      <w:r>
        <w:rPr>
          <w:spacing w:val="-2"/>
          <w:sz w:val="24"/>
          <w:szCs w:val="24"/>
          <w:highlight w:val="none"/>
        </w:rPr>
        <w:t>《关于调整网络安全专用产品安全管理有关事项的公告》及国家互联</w:t>
      </w:r>
      <w:r>
        <w:rPr>
          <w:spacing w:val="-3"/>
          <w:sz w:val="24"/>
          <w:szCs w:val="24"/>
          <w:highlight w:val="none"/>
        </w:rPr>
        <w:t>网信息办公室、工业</w:t>
      </w:r>
      <w:r>
        <w:rPr>
          <w:spacing w:val="-2"/>
          <w:sz w:val="24"/>
          <w:szCs w:val="24"/>
          <w:highlight w:val="none"/>
        </w:rPr>
        <w:t>和信息化部、公安部和国家认证认可监督管理委员会 2023 年第</w:t>
      </w:r>
      <w:r>
        <w:rPr>
          <w:spacing w:val="-3"/>
          <w:sz w:val="24"/>
          <w:szCs w:val="24"/>
          <w:highlight w:val="none"/>
        </w:rPr>
        <w:t xml:space="preserve"> 2号《关于调整&lt;网络关</w:t>
      </w:r>
      <w:r>
        <w:rPr>
          <w:spacing w:val="-2"/>
          <w:sz w:val="24"/>
          <w:szCs w:val="24"/>
          <w:highlight w:val="none"/>
        </w:rPr>
        <w:t>键设备和网络安全专用产品目录&gt;的公告》等相关文件要求，所投标（响应）设备或产品</w:t>
      </w:r>
      <w:r>
        <w:rPr>
          <w:spacing w:val="-3"/>
          <w:sz w:val="24"/>
          <w:szCs w:val="24"/>
          <w:highlight w:val="none"/>
        </w:rPr>
        <w:t>至少符合以下条件之一：一是已由具备资格的机构安全认证合格或安全检测符合要</w:t>
      </w:r>
      <w:r>
        <w:rPr>
          <w:spacing w:val="-4"/>
          <w:sz w:val="24"/>
          <w:szCs w:val="24"/>
          <w:highlight w:val="none"/>
        </w:rPr>
        <w:t>求；二</w:t>
      </w:r>
      <w:r>
        <w:rPr>
          <w:spacing w:val="-1"/>
          <w:sz w:val="24"/>
          <w:szCs w:val="24"/>
          <w:highlight w:val="none"/>
        </w:rPr>
        <w:t>是已获得《计算机信息系统安全专用产品销售许可证》，且在有效期内。</w:t>
      </w:r>
      <w:r>
        <w:rPr>
          <w:spacing w:val="-2"/>
          <w:sz w:val="24"/>
          <w:szCs w:val="24"/>
          <w:highlight w:val="none"/>
        </w:rPr>
        <w:t>采购人、中标(成交)人双方签订合同及验收环节，应包含上述网络安全要求的条款。</w:t>
      </w:r>
    </w:p>
    <w:p w14:paraId="5F769F6A">
      <w:pPr>
        <w:pStyle w:val="6"/>
        <w:spacing w:before="1" w:line="359" w:lineRule="auto"/>
        <w:ind w:left="45" w:right="72" w:hanging="11"/>
        <w:rPr>
          <w:sz w:val="24"/>
          <w:szCs w:val="24"/>
          <w:highlight w:val="none"/>
        </w:rPr>
      </w:pPr>
      <w:r>
        <w:rPr>
          <w:spacing w:val="-2"/>
          <w:sz w:val="24"/>
          <w:szCs w:val="24"/>
          <w:highlight w:val="none"/>
        </w:rPr>
        <w:t>45.2本项目中如涉及国家强制性产品认证证</w:t>
      </w:r>
      <w:r>
        <w:rPr>
          <w:spacing w:val="-3"/>
          <w:sz w:val="24"/>
          <w:szCs w:val="24"/>
          <w:highlight w:val="none"/>
        </w:rPr>
        <w:t>书（CCC 认证证书）、电信设备进网许可证、无线电发射设备核准证等市场准入类资质的，应</w:t>
      </w:r>
      <w:r>
        <w:rPr>
          <w:spacing w:val="-4"/>
          <w:sz w:val="24"/>
          <w:szCs w:val="24"/>
          <w:highlight w:val="none"/>
        </w:rPr>
        <w:t>严格执行国家相关法律法规的要求。采购</w:t>
      </w:r>
      <w:r>
        <w:rPr>
          <w:spacing w:val="-3"/>
          <w:sz w:val="24"/>
          <w:szCs w:val="24"/>
          <w:highlight w:val="none"/>
        </w:rPr>
        <w:t>人、中标(成交)人双方签订合同及验收环节，应包含上述市场准入类资质要求的条款。</w:t>
      </w:r>
    </w:p>
    <w:p w14:paraId="5388A9D4">
      <w:pPr>
        <w:pStyle w:val="6"/>
        <w:spacing w:before="1" w:line="222" w:lineRule="auto"/>
        <w:ind w:left="39"/>
        <w:outlineLvl w:val="3"/>
        <w:rPr>
          <w:sz w:val="24"/>
          <w:szCs w:val="24"/>
          <w:highlight w:val="none"/>
        </w:rPr>
      </w:pPr>
      <w:r>
        <w:rPr>
          <w:b/>
          <w:bCs/>
          <w:spacing w:val="-5"/>
          <w:sz w:val="24"/>
          <w:szCs w:val="24"/>
          <w:highlight w:val="none"/>
        </w:rPr>
        <w:t>46.采购需求标准</w:t>
      </w:r>
    </w:p>
    <w:p w14:paraId="1378FC98">
      <w:pPr>
        <w:pStyle w:val="6"/>
        <w:spacing w:before="176" w:line="221" w:lineRule="auto"/>
        <w:ind w:left="39"/>
        <w:rPr>
          <w:sz w:val="24"/>
          <w:szCs w:val="24"/>
          <w:highlight w:val="none"/>
        </w:rPr>
      </w:pPr>
      <w:r>
        <w:rPr>
          <w:spacing w:val="-1"/>
          <w:sz w:val="24"/>
          <w:szCs w:val="24"/>
          <w:highlight w:val="none"/>
        </w:rPr>
        <w:t>46.1 商品包装、快递包装政府采购需</w:t>
      </w:r>
      <w:r>
        <w:rPr>
          <w:spacing w:val="-2"/>
          <w:sz w:val="24"/>
          <w:szCs w:val="24"/>
          <w:highlight w:val="none"/>
        </w:rPr>
        <w:t>求标准（试行）</w:t>
      </w:r>
    </w:p>
    <w:p w14:paraId="2C3BC856">
      <w:pPr>
        <w:pStyle w:val="6"/>
        <w:spacing w:before="181" w:line="359" w:lineRule="auto"/>
        <w:ind w:left="42" w:right="54" w:firstLine="471"/>
        <w:jc w:val="both"/>
        <w:rPr>
          <w:sz w:val="24"/>
          <w:szCs w:val="24"/>
          <w:highlight w:val="none"/>
        </w:rPr>
      </w:pPr>
      <w:r>
        <w:rPr>
          <w:spacing w:val="-4"/>
          <w:sz w:val="24"/>
          <w:szCs w:val="24"/>
          <w:highlight w:val="none"/>
        </w:rPr>
        <w:t>为助力打好污染防治攻坚战，推广使用绿色包装，根据财政部关于印发《商品包装政</w:t>
      </w:r>
      <w:r>
        <w:rPr>
          <w:spacing w:val="-3"/>
          <w:sz w:val="24"/>
          <w:szCs w:val="24"/>
          <w:highlight w:val="none"/>
        </w:rPr>
        <w:t>府采购需求标准（试行）》、《快递包装政府采购需求标准（试行）》的通知（财办库〔</w:t>
      </w:r>
      <w:r>
        <w:rPr>
          <w:spacing w:val="18"/>
          <w:sz w:val="24"/>
          <w:szCs w:val="24"/>
          <w:highlight w:val="none"/>
        </w:rPr>
        <w:t xml:space="preserve"> </w:t>
      </w:r>
      <w:r>
        <w:rPr>
          <w:spacing w:val="-3"/>
          <w:sz w:val="24"/>
          <w:szCs w:val="24"/>
          <w:highlight w:val="none"/>
        </w:rPr>
        <w:t>2020〕123 号</w:t>
      </w:r>
      <w:r>
        <w:rPr>
          <w:spacing w:val="2"/>
          <w:sz w:val="24"/>
          <w:szCs w:val="24"/>
          <w:highlight w:val="none"/>
        </w:rPr>
        <w:t>），</w:t>
      </w:r>
      <w:r>
        <w:rPr>
          <w:spacing w:val="-3"/>
          <w:sz w:val="24"/>
          <w:szCs w:val="24"/>
          <w:highlight w:val="none"/>
        </w:rPr>
        <w:t>本项目如涉及商品包装和快递包装的，则其具体要求见第三章《采购需</w:t>
      </w:r>
      <w:r>
        <w:rPr>
          <w:spacing w:val="-4"/>
          <w:sz w:val="24"/>
          <w:szCs w:val="24"/>
          <w:highlight w:val="none"/>
        </w:rPr>
        <w:t>求》。</w:t>
      </w:r>
    </w:p>
    <w:p w14:paraId="550846BE">
      <w:pPr>
        <w:pStyle w:val="6"/>
        <w:spacing w:before="1" w:line="220" w:lineRule="auto"/>
        <w:ind w:left="39"/>
        <w:rPr>
          <w:sz w:val="24"/>
          <w:szCs w:val="24"/>
          <w:highlight w:val="none"/>
        </w:rPr>
      </w:pPr>
      <w:r>
        <w:rPr>
          <w:spacing w:val="-2"/>
          <w:sz w:val="24"/>
          <w:szCs w:val="24"/>
          <w:highlight w:val="none"/>
        </w:rPr>
        <w:t>46.2 绿色数据中心政府采购需求标准（试行）</w:t>
      </w:r>
    </w:p>
    <w:p w14:paraId="24DEF85C">
      <w:pPr>
        <w:pStyle w:val="6"/>
        <w:spacing w:before="180" w:line="359" w:lineRule="auto"/>
        <w:ind w:left="46" w:right="45" w:firstLine="467"/>
        <w:jc w:val="both"/>
        <w:rPr>
          <w:sz w:val="24"/>
          <w:szCs w:val="24"/>
          <w:highlight w:val="none"/>
        </w:rPr>
      </w:pPr>
      <w:r>
        <w:rPr>
          <w:spacing w:val="-3"/>
          <w:sz w:val="24"/>
          <w:szCs w:val="24"/>
          <w:highlight w:val="none"/>
        </w:rPr>
        <w:t>为加快数据中心绿色转型，根据财政部 生态</w:t>
      </w:r>
      <w:r>
        <w:rPr>
          <w:spacing w:val="-4"/>
          <w:sz w:val="24"/>
          <w:szCs w:val="24"/>
          <w:highlight w:val="none"/>
        </w:rPr>
        <w:t>环境部 工业和信息化部关于印发《绿色</w:t>
      </w:r>
      <w:r>
        <w:rPr>
          <w:spacing w:val="-1"/>
          <w:sz w:val="24"/>
          <w:szCs w:val="24"/>
          <w:highlight w:val="none"/>
        </w:rPr>
        <w:t>数据中心政府采购需求标准（试行）》的通知（财库〔2023〕7</w:t>
      </w:r>
      <w:r>
        <w:rPr>
          <w:spacing w:val="-2"/>
          <w:sz w:val="24"/>
          <w:szCs w:val="24"/>
          <w:highlight w:val="none"/>
        </w:rPr>
        <w:t xml:space="preserve"> 号</w:t>
      </w:r>
      <w:r>
        <w:rPr>
          <w:spacing w:val="-22"/>
          <w:sz w:val="24"/>
          <w:szCs w:val="24"/>
          <w:highlight w:val="none"/>
        </w:rPr>
        <w:t>），</w:t>
      </w:r>
      <w:r>
        <w:rPr>
          <w:spacing w:val="-2"/>
          <w:sz w:val="24"/>
          <w:szCs w:val="24"/>
          <w:highlight w:val="none"/>
        </w:rPr>
        <w:t>本项目如涉及绿色数据中心，则具体要求见第三章《采购需求》。</w:t>
      </w:r>
    </w:p>
    <w:p w14:paraId="387D6FE2">
      <w:pPr>
        <w:pStyle w:val="6"/>
        <w:spacing w:before="1" w:line="220" w:lineRule="auto"/>
        <w:ind w:left="39"/>
        <w:rPr>
          <w:sz w:val="24"/>
          <w:szCs w:val="24"/>
          <w:highlight w:val="none"/>
        </w:rPr>
      </w:pPr>
      <w:r>
        <w:rPr>
          <w:spacing w:val="-4"/>
          <w:sz w:val="24"/>
          <w:szCs w:val="24"/>
          <w:highlight w:val="none"/>
        </w:rPr>
        <w:t>46.3台式计算机政府采购需求标准</w:t>
      </w:r>
    </w:p>
    <w:p w14:paraId="18441E53">
      <w:pPr>
        <w:pStyle w:val="6"/>
        <w:spacing w:before="176" w:line="360" w:lineRule="auto"/>
        <w:ind w:left="47" w:firstLine="467"/>
        <w:jc w:val="both"/>
        <w:rPr>
          <w:sz w:val="24"/>
          <w:szCs w:val="24"/>
          <w:highlight w:val="none"/>
        </w:rPr>
      </w:pPr>
      <w:r>
        <w:rPr>
          <w:spacing w:val="-4"/>
          <w:sz w:val="24"/>
          <w:szCs w:val="24"/>
          <w:highlight w:val="none"/>
        </w:rPr>
        <w:t>为提高台式计算机政府采购需求管理的科学化、规范化水平，进一步落实政府采购公</w:t>
      </w:r>
      <w:r>
        <w:rPr>
          <w:spacing w:val="-1"/>
          <w:sz w:val="24"/>
          <w:szCs w:val="24"/>
          <w:highlight w:val="none"/>
        </w:rPr>
        <w:t>平竞争原则，优化营商环境，营造良好的产业</w:t>
      </w:r>
      <w:r>
        <w:rPr>
          <w:spacing w:val="-2"/>
          <w:sz w:val="24"/>
          <w:szCs w:val="24"/>
          <w:highlight w:val="none"/>
        </w:rPr>
        <w:t>生态，财政部 工业和信息化部关于印发《台式计算机政府采购需求标准（2023年版）》的通知（财库〔2023〕29号</w:t>
      </w:r>
      <w:r>
        <w:rPr>
          <w:spacing w:val="17"/>
          <w:sz w:val="24"/>
          <w:szCs w:val="24"/>
          <w:highlight w:val="none"/>
        </w:rPr>
        <w:t>），</w:t>
      </w:r>
      <w:r>
        <w:rPr>
          <w:spacing w:val="-2"/>
          <w:sz w:val="24"/>
          <w:szCs w:val="24"/>
          <w:highlight w:val="none"/>
        </w:rPr>
        <w:t>本项目如涉及台式计算机采购，则具体要求见第三章《采购需求》。</w:t>
      </w:r>
    </w:p>
    <w:p w14:paraId="11B65064">
      <w:pPr>
        <w:pStyle w:val="6"/>
        <w:spacing w:before="45" w:line="359" w:lineRule="auto"/>
        <w:ind w:left="46" w:right="95" w:firstLine="467"/>
        <w:jc w:val="both"/>
        <w:rPr>
          <w:sz w:val="24"/>
          <w:szCs w:val="24"/>
          <w:highlight w:val="none"/>
        </w:rPr>
      </w:pPr>
      <w:r>
        <w:rPr>
          <w:spacing w:val="-3"/>
          <w:sz w:val="24"/>
          <w:szCs w:val="24"/>
          <w:highlight w:val="none"/>
        </w:rPr>
        <w:t>46.4便携式计算机政府采购需求标准</w:t>
      </w:r>
      <w:r>
        <w:rPr>
          <w:spacing w:val="-4"/>
          <w:sz w:val="24"/>
          <w:szCs w:val="24"/>
          <w:highlight w:val="none"/>
        </w:rPr>
        <w:t>为提高便携式计算机政府采购需求管理的科学化、规范化水平，进一步落实政府采购</w:t>
      </w:r>
      <w:r>
        <w:rPr>
          <w:spacing w:val="-2"/>
          <w:sz w:val="24"/>
          <w:szCs w:val="24"/>
          <w:highlight w:val="none"/>
        </w:rPr>
        <w:t>公平竞争原则，优化营商环境，营造良好的产业生态，财政部 工业和信息化部关于印发</w:t>
      </w:r>
      <w:r>
        <w:rPr>
          <w:spacing w:val="-5"/>
          <w:sz w:val="24"/>
          <w:szCs w:val="24"/>
          <w:highlight w:val="none"/>
        </w:rPr>
        <w:t>《便携式计算机政府采购需求标准（2023年版）》的通知（财库〔</w:t>
      </w:r>
      <w:r>
        <w:rPr>
          <w:spacing w:val="-6"/>
          <w:sz w:val="24"/>
          <w:szCs w:val="24"/>
          <w:highlight w:val="none"/>
        </w:rPr>
        <w:t>2023〕30号</w:t>
      </w:r>
      <w:r>
        <w:rPr>
          <w:spacing w:val="-12"/>
          <w:sz w:val="24"/>
          <w:szCs w:val="24"/>
          <w:highlight w:val="none"/>
        </w:rPr>
        <w:t>），</w:t>
      </w:r>
      <w:r>
        <w:rPr>
          <w:spacing w:val="-6"/>
          <w:sz w:val="24"/>
          <w:szCs w:val="24"/>
          <w:highlight w:val="none"/>
        </w:rPr>
        <w:t>本项目</w:t>
      </w:r>
      <w:r>
        <w:rPr>
          <w:spacing w:val="-4"/>
          <w:sz w:val="24"/>
          <w:szCs w:val="24"/>
          <w:highlight w:val="none"/>
        </w:rPr>
        <w:t>如涉及便携式计算机采购，则具体要求见第三章《采购需</w:t>
      </w:r>
      <w:r>
        <w:rPr>
          <w:spacing w:val="-5"/>
          <w:sz w:val="24"/>
          <w:szCs w:val="24"/>
          <w:highlight w:val="none"/>
        </w:rPr>
        <w:t>求》。</w:t>
      </w:r>
    </w:p>
    <w:p w14:paraId="67C63C1B">
      <w:pPr>
        <w:pStyle w:val="6"/>
        <w:spacing w:line="221" w:lineRule="auto"/>
        <w:ind w:left="39"/>
        <w:rPr>
          <w:sz w:val="24"/>
          <w:szCs w:val="24"/>
          <w:highlight w:val="none"/>
        </w:rPr>
      </w:pPr>
      <w:r>
        <w:rPr>
          <w:spacing w:val="-3"/>
          <w:sz w:val="24"/>
          <w:szCs w:val="24"/>
          <w:highlight w:val="none"/>
        </w:rPr>
        <w:t>46.5一体式计算机政府采购需求标准</w:t>
      </w:r>
    </w:p>
    <w:p w14:paraId="7BA3830B">
      <w:pPr>
        <w:pStyle w:val="6"/>
        <w:spacing w:before="180" w:line="359" w:lineRule="auto"/>
        <w:ind w:left="46" w:right="95" w:firstLine="467"/>
        <w:jc w:val="both"/>
        <w:rPr>
          <w:sz w:val="24"/>
          <w:szCs w:val="24"/>
          <w:highlight w:val="none"/>
        </w:rPr>
      </w:pPr>
      <w:r>
        <w:rPr>
          <w:spacing w:val="-4"/>
          <w:sz w:val="24"/>
          <w:szCs w:val="24"/>
          <w:highlight w:val="none"/>
        </w:rPr>
        <w:t>为提高一体式计算机政府采购需求管理的科学化、规范化水平，进一步落实政府采购</w:t>
      </w:r>
      <w:r>
        <w:rPr>
          <w:spacing w:val="-2"/>
          <w:sz w:val="24"/>
          <w:szCs w:val="24"/>
          <w:highlight w:val="none"/>
        </w:rPr>
        <w:t>公平竞争原则，优化营商环境，营造良好的产业生态，财政部 工业和信息化部关于印发</w:t>
      </w:r>
      <w:r>
        <w:rPr>
          <w:spacing w:val="-5"/>
          <w:sz w:val="24"/>
          <w:szCs w:val="24"/>
          <w:highlight w:val="none"/>
        </w:rPr>
        <w:t>《一体式计算机政府采购需求标准（2023年版）》的通知（财库〔</w:t>
      </w:r>
      <w:r>
        <w:rPr>
          <w:spacing w:val="-6"/>
          <w:sz w:val="24"/>
          <w:szCs w:val="24"/>
          <w:highlight w:val="none"/>
        </w:rPr>
        <w:t>2023〕31号</w:t>
      </w:r>
      <w:r>
        <w:rPr>
          <w:spacing w:val="-12"/>
          <w:sz w:val="24"/>
          <w:szCs w:val="24"/>
          <w:highlight w:val="none"/>
        </w:rPr>
        <w:t>），</w:t>
      </w:r>
      <w:r>
        <w:rPr>
          <w:spacing w:val="-6"/>
          <w:sz w:val="24"/>
          <w:szCs w:val="24"/>
          <w:highlight w:val="none"/>
        </w:rPr>
        <w:t>本项目</w:t>
      </w:r>
      <w:r>
        <w:rPr>
          <w:spacing w:val="-4"/>
          <w:sz w:val="24"/>
          <w:szCs w:val="24"/>
          <w:highlight w:val="none"/>
        </w:rPr>
        <w:t>如涉及一体式计算机采购，则具体要求见第三章《采购需</w:t>
      </w:r>
      <w:r>
        <w:rPr>
          <w:spacing w:val="-5"/>
          <w:sz w:val="24"/>
          <w:szCs w:val="24"/>
          <w:highlight w:val="none"/>
        </w:rPr>
        <w:t>求》。</w:t>
      </w:r>
    </w:p>
    <w:p w14:paraId="6FB8184F">
      <w:pPr>
        <w:pStyle w:val="6"/>
        <w:spacing w:line="220" w:lineRule="auto"/>
        <w:ind w:left="39"/>
        <w:rPr>
          <w:sz w:val="24"/>
          <w:szCs w:val="24"/>
          <w:highlight w:val="none"/>
        </w:rPr>
      </w:pPr>
      <w:r>
        <w:rPr>
          <w:spacing w:val="-3"/>
          <w:sz w:val="24"/>
          <w:szCs w:val="24"/>
          <w:highlight w:val="none"/>
        </w:rPr>
        <w:t>46.6工作站政府采购需求标准</w:t>
      </w:r>
    </w:p>
    <w:p w14:paraId="0C60E335">
      <w:pPr>
        <w:pStyle w:val="6"/>
        <w:spacing w:before="177" w:line="360" w:lineRule="auto"/>
        <w:ind w:left="49" w:right="11" w:firstLine="465"/>
        <w:jc w:val="both"/>
        <w:rPr>
          <w:sz w:val="24"/>
          <w:szCs w:val="24"/>
          <w:highlight w:val="none"/>
        </w:rPr>
      </w:pPr>
      <w:r>
        <w:rPr>
          <w:spacing w:val="-4"/>
          <w:sz w:val="24"/>
          <w:szCs w:val="24"/>
          <w:highlight w:val="none"/>
        </w:rPr>
        <w:t>为提高工作站政府采购需求管理的科学化、规范化水平，进一步落实政府采购公平竞</w:t>
      </w:r>
      <w:r>
        <w:rPr>
          <w:spacing w:val="-1"/>
          <w:sz w:val="24"/>
          <w:szCs w:val="24"/>
          <w:highlight w:val="none"/>
        </w:rPr>
        <w:t>争原则，优化营商环境，营造良好的产业生态，财政部 工业和信息化部关于印发《工作</w:t>
      </w:r>
      <w:r>
        <w:rPr>
          <w:spacing w:val="-2"/>
          <w:sz w:val="24"/>
          <w:szCs w:val="24"/>
          <w:highlight w:val="none"/>
        </w:rPr>
        <w:t>站政府采购需求标准（2023年版）》的通知（财库〔2023〕32号</w:t>
      </w:r>
      <w:r>
        <w:rPr>
          <w:spacing w:val="13"/>
          <w:sz w:val="24"/>
          <w:szCs w:val="24"/>
          <w:highlight w:val="none"/>
        </w:rPr>
        <w:t>），</w:t>
      </w:r>
      <w:r>
        <w:rPr>
          <w:spacing w:val="-2"/>
          <w:sz w:val="24"/>
          <w:szCs w:val="24"/>
          <w:highlight w:val="none"/>
        </w:rPr>
        <w:t>本项目如</w:t>
      </w:r>
      <w:r>
        <w:rPr>
          <w:spacing w:val="-3"/>
          <w:sz w:val="24"/>
          <w:szCs w:val="24"/>
          <w:highlight w:val="none"/>
        </w:rPr>
        <w:t>涉及工作站</w:t>
      </w:r>
      <w:r>
        <w:rPr>
          <w:spacing w:val="-2"/>
          <w:sz w:val="24"/>
          <w:szCs w:val="24"/>
          <w:highlight w:val="none"/>
        </w:rPr>
        <w:t>采购，则具体要求见第三章《采购需求》。</w:t>
      </w:r>
    </w:p>
    <w:p w14:paraId="37A391F8">
      <w:pPr>
        <w:pStyle w:val="6"/>
        <w:spacing w:line="222" w:lineRule="auto"/>
        <w:ind w:left="39"/>
        <w:rPr>
          <w:sz w:val="24"/>
          <w:szCs w:val="24"/>
          <w:highlight w:val="none"/>
        </w:rPr>
      </w:pPr>
      <w:r>
        <w:rPr>
          <w:spacing w:val="-3"/>
          <w:sz w:val="24"/>
          <w:szCs w:val="24"/>
          <w:highlight w:val="none"/>
        </w:rPr>
        <w:t>46.7通用服务器政府采购需求标准</w:t>
      </w:r>
    </w:p>
    <w:p w14:paraId="0A9C5F9D">
      <w:pPr>
        <w:pStyle w:val="6"/>
        <w:spacing w:before="177" w:line="359" w:lineRule="auto"/>
        <w:ind w:left="47" w:firstLine="467"/>
        <w:jc w:val="both"/>
        <w:rPr>
          <w:sz w:val="24"/>
          <w:szCs w:val="24"/>
          <w:highlight w:val="none"/>
        </w:rPr>
      </w:pPr>
      <w:r>
        <w:rPr>
          <w:spacing w:val="-4"/>
          <w:sz w:val="24"/>
          <w:szCs w:val="24"/>
          <w:highlight w:val="none"/>
        </w:rPr>
        <w:t>为提高通用服务器政府采购需求管理的科学化、规范化水平，进一步落实政府采购公</w:t>
      </w:r>
      <w:r>
        <w:rPr>
          <w:spacing w:val="-1"/>
          <w:sz w:val="24"/>
          <w:szCs w:val="24"/>
          <w:highlight w:val="none"/>
        </w:rPr>
        <w:t>平竞争原则，优化营商环境，营造良好的产业</w:t>
      </w:r>
      <w:r>
        <w:rPr>
          <w:spacing w:val="-2"/>
          <w:sz w:val="24"/>
          <w:szCs w:val="24"/>
          <w:highlight w:val="none"/>
        </w:rPr>
        <w:t>生态，财政部 工业和信息化部关于印发《通用服务器政府采购需求标准（2023年版）》的通知（财库〔2023〕33号</w:t>
      </w:r>
      <w:r>
        <w:rPr>
          <w:spacing w:val="17"/>
          <w:sz w:val="24"/>
          <w:szCs w:val="24"/>
          <w:highlight w:val="none"/>
        </w:rPr>
        <w:t>），</w:t>
      </w:r>
      <w:r>
        <w:rPr>
          <w:spacing w:val="-2"/>
          <w:sz w:val="24"/>
          <w:szCs w:val="24"/>
          <w:highlight w:val="none"/>
        </w:rPr>
        <w:t>本项目如涉及通用服务器采购，则具体要求见第三章《采购需求》。</w:t>
      </w:r>
    </w:p>
    <w:p w14:paraId="60E22319">
      <w:pPr>
        <w:pStyle w:val="6"/>
        <w:spacing w:line="220" w:lineRule="auto"/>
        <w:ind w:left="39"/>
        <w:rPr>
          <w:sz w:val="24"/>
          <w:szCs w:val="24"/>
          <w:highlight w:val="none"/>
        </w:rPr>
      </w:pPr>
      <w:r>
        <w:rPr>
          <w:spacing w:val="-3"/>
          <w:sz w:val="24"/>
          <w:szCs w:val="24"/>
          <w:highlight w:val="none"/>
        </w:rPr>
        <w:t>46.8操作系统政府采购需求标准</w:t>
      </w:r>
    </w:p>
    <w:p w14:paraId="7B7AD795">
      <w:pPr>
        <w:pStyle w:val="6"/>
        <w:spacing w:before="182" w:line="359" w:lineRule="auto"/>
        <w:ind w:left="51" w:right="26" w:firstLine="463"/>
        <w:jc w:val="both"/>
        <w:rPr>
          <w:sz w:val="24"/>
          <w:szCs w:val="24"/>
          <w:highlight w:val="none"/>
        </w:rPr>
      </w:pPr>
      <w:r>
        <w:rPr>
          <w:spacing w:val="-4"/>
          <w:sz w:val="24"/>
          <w:szCs w:val="24"/>
          <w:highlight w:val="none"/>
        </w:rPr>
        <w:t>为提高操作系统政府采购需求管理的科学化、规范化水平，进一步落实政府采购公平</w:t>
      </w:r>
      <w:r>
        <w:rPr>
          <w:spacing w:val="-1"/>
          <w:sz w:val="24"/>
          <w:szCs w:val="24"/>
          <w:highlight w:val="none"/>
        </w:rPr>
        <w:t>竞争原则，优化营商环境，营造良好的产业生态，财政部 工业和信息化部关于印发《操</w:t>
      </w:r>
      <w:r>
        <w:rPr>
          <w:spacing w:val="-2"/>
          <w:sz w:val="24"/>
          <w:szCs w:val="24"/>
          <w:highlight w:val="none"/>
        </w:rPr>
        <w:t>作系统政府采购需求标准（2023年版）》的通知</w:t>
      </w:r>
      <w:r>
        <w:rPr>
          <w:spacing w:val="-3"/>
          <w:sz w:val="24"/>
          <w:szCs w:val="24"/>
          <w:highlight w:val="none"/>
        </w:rPr>
        <w:t>（财库〔2023〕34号</w:t>
      </w:r>
      <w:r>
        <w:rPr>
          <w:spacing w:val="12"/>
          <w:sz w:val="24"/>
          <w:szCs w:val="24"/>
          <w:highlight w:val="none"/>
        </w:rPr>
        <w:t>），</w:t>
      </w:r>
      <w:r>
        <w:rPr>
          <w:spacing w:val="-3"/>
          <w:sz w:val="24"/>
          <w:szCs w:val="24"/>
          <w:highlight w:val="none"/>
        </w:rPr>
        <w:t>本项目如涉及操作系统采购，则具体要求见第三章《采购需求》。</w:t>
      </w:r>
    </w:p>
    <w:p w14:paraId="5453ECC5">
      <w:pPr>
        <w:pStyle w:val="6"/>
        <w:spacing w:before="1" w:line="222" w:lineRule="auto"/>
        <w:ind w:left="39"/>
        <w:rPr>
          <w:sz w:val="24"/>
          <w:szCs w:val="24"/>
          <w:highlight w:val="none"/>
        </w:rPr>
      </w:pPr>
      <w:r>
        <w:rPr>
          <w:spacing w:val="-3"/>
          <w:sz w:val="24"/>
          <w:szCs w:val="24"/>
          <w:highlight w:val="none"/>
        </w:rPr>
        <w:t>46.9数据库政府采购需求标准</w:t>
      </w:r>
    </w:p>
    <w:p w14:paraId="26B23529">
      <w:pPr>
        <w:pStyle w:val="6"/>
        <w:spacing w:before="174" w:line="360" w:lineRule="auto"/>
        <w:ind w:left="49" w:right="11" w:firstLine="465"/>
        <w:jc w:val="both"/>
        <w:rPr>
          <w:sz w:val="24"/>
          <w:szCs w:val="24"/>
          <w:highlight w:val="none"/>
        </w:rPr>
      </w:pPr>
      <w:r>
        <w:rPr>
          <w:spacing w:val="-4"/>
          <w:sz w:val="24"/>
          <w:szCs w:val="24"/>
          <w:highlight w:val="none"/>
        </w:rPr>
        <w:t>为提高数据库政府采购需求管理的科学化、规范化水平，进一步落实政府采购公平竞</w:t>
      </w:r>
      <w:r>
        <w:rPr>
          <w:spacing w:val="-1"/>
          <w:sz w:val="24"/>
          <w:szCs w:val="24"/>
          <w:highlight w:val="none"/>
        </w:rPr>
        <w:t>争原则，优化营商环境，营造良好的产业生态，财政部 工业和信息化部关于印发《数据</w:t>
      </w:r>
      <w:r>
        <w:rPr>
          <w:spacing w:val="-2"/>
          <w:sz w:val="24"/>
          <w:szCs w:val="24"/>
          <w:highlight w:val="none"/>
        </w:rPr>
        <w:t>库政府采购需求标准（2023年版）》的通知（财库〔2023〕35号</w:t>
      </w:r>
      <w:r>
        <w:rPr>
          <w:spacing w:val="13"/>
          <w:sz w:val="24"/>
          <w:szCs w:val="24"/>
          <w:highlight w:val="none"/>
        </w:rPr>
        <w:t>），</w:t>
      </w:r>
      <w:r>
        <w:rPr>
          <w:spacing w:val="-2"/>
          <w:sz w:val="24"/>
          <w:szCs w:val="24"/>
          <w:highlight w:val="none"/>
        </w:rPr>
        <w:t>本项目如</w:t>
      </w:r>
      <w:r>
        <w:rPr>
          <w:spacing w:val="-3"/>
          <w:sz w:val="24"/>
          <w:szCs w:val="24"/>
          <w:highlight w:val="none"/>
        </w:rPr>
        <w:t>涉及数据库</w:t>
      </w:r>
      <w:r>
        <w:rPr>
          <w:spacing w:val="-2"/>
          <w:sz w:val="24"/>
          <w:szCs w:val="24"/>
          <w:highlight w:val="none"/>
        </w:rPr>
        <w:t>采购，则具体要求见第三章《采购需求》。</w:t>
      </w:r>
    </w:p>
    <w:p w14:paraId="2BB7ADC8">
      <w:pPr>
        <w:pStyle w:val="6"/>
        <w:spacing w:before="45" w:line="359" w:lineRule="auto"/>
        <w:ind w:left="46" w:right="177" w:firstLine="467"/>
        <w:jc w:val="both"/>
        <w:rPr>
          <w:sz w:val="24"/>
          <w:szCs w:val="24"/>
          <w:highlight w:val="none"/>
        </w:rPr>
      </w:pPr>
      <w:r>
        <w:rPr>
          <w:sz w:val="24"/>
          <w:szCs w:val="24"/>
          <w:highlight w:val="none"/>
        </w:rPr>
        <w:t>46.10物业管理服务政府采购需求标准（办公场所类</w:t>
      </w:r>
      <w:r>
        <w:rPr>
          <w:spacing w:val="-16"/>
          <w:sz w:val="24"/>
          <w:szCs w:val="24"/>
          <w:highlight w:val="none"/>
        </w:rPr>
        <w:t>）（</w:t>
      </w:r>
      <w:r>
        <w:rPr>
          <w:sz w:val="24"/>
          <w:szCs w:val="24"/>
          <w:highlight w:val="none"/>
        </w:rPr>
        <w:t>试行）</w:t>
      </w:r>
    </w:p>
    <w:p w14:paraId="22634A89">
      <w:pPr>
        <w:pStyle w:val="6"/>
        <w:spacing w:before="45" w:line="359" w:lineRule="auto"/>
        <w:ind w:right="177" w:firstLine="480" w:firstLineChars="200"/>
        <w:jc w:val="both"/>
        <w:rPr>
          <w:sz w:val="24"/>
          <w:szCs w:val="24"/>
          <w:highlight w:val="none"/>
        </w:rPr>
      </w:pPr>
      <w:r>
        <w:rPr>
          <w:sz w:val="24"/>
          <w:szCs w:val="24"/>
          <w:highlight w:val="none"/>
        </w:rPr>
        <w:t>为贯彻落实中央全面深化改革委员会审议通过的《深化政</w:t>
      </w:r>
      <w:r>
        <w:rPr>
          <w:spacing w:val="-1"/>
          <w:sz w:val="24"/>
          <w:szCs w:val="24"/>
          <w:highlight w:val="none"/>
        </w:rPr>
        <w:t>府采购制度改革方案》有关要求，推动政府采购需求标准建设，财政部办公厅关于印发《物业管理服务政府采购需求</w:t>
      </w:r>
      <w:r>
        <w:rPr>
          <w:spacing w:val="3"/>
          <w:sz w:val="24"/>
          <w:szCs w:val="24"/>
          <w:highlight w:val="none"/>
        </w:rPr>
        <w:t>标准（办公场所类</w:t>
      </w:r>
      <w:r>
        <w:rPr>
          <w:spacing w:val="-13"/>
          <w:sz w:val="24"/>
          <w:szCs w:val="24"/>
          <w:highlight w:val="none"/>
        </w:rPr>
        <w:t>）（</w:t>
      </w:r>
      <w:r>
        <w:rPr>
          <w:spacing w:val="3"/>
          <w:sz w:val="24"/>
          <w:szCs w:val="24"/>
          <w:highlight w:val="none"/>
        </w:rPr>
        <w:t>试行）》的通知（财办库</w:t>
      </w:r>
      <w:r>
        <w:rPr>
          <w:spacing w:val="2"/>
          <w:sz w:val="24"/>
          <w:szCs w:val="24"/>
          <w:highlight w:val="none"/>
        </w:rPr>
        <w:t>〔2024〕113号</w:t>
      </w:r>
      <w:r>
        <w:rPr>
          <w:spacing w:val="-13"/>
          <w:sz w:val="24"/>
          <w:szCs w:val="24"/>
          <w:highlight w:val="none"/>
        </w:rPr>
        <w:t>）</w:t>
      </w:r>
      <w:r>
        <w:rPr>
          <w:spacing w:val="-69"/>
          <w:sz w:val="24"/>
          <w:szCs w:val="24"/>
          <w:highlight w:val="none"/>
        </w:rPr>
        <w:t xml:space="preserve"> </w:t>
      </w:r>
      <w:r>
        <w:rPr>
          <w:spacing w:val="-13"/>
          <w:sz w:val="24"/>
          <w:szCs w:val="24"/>
          <w:highlight w:val="none"/>
        </w:rPr>
        <w:t>，</w:t>
      </w:r>
      <w:r>
        <w:rPr>
          <w:spacing w:val="2"/>
          <w:sz w:val="24"/>
          <w:szCs w:val="24"/>
          <w:highlight w:val="none"/>
        </w:rPr>
        <w:t>本项目如涉及物业管</w:t>
      </w:r>
      <w:r>
        <w:rPr>
          <w:spacing w:val="-2"/>
          <w:sz w:val="24"/>
          <w:szCs w:val="24"/>
          <w:highlight w:val="none"/>
        </w:rPr>
        <w:t>理服务采购，则具体要求见第三章《采购需求》。</w:t>
      </w:r>
    </w:p>
    <w:p w14:paraId="749E1C2C">
      <w:pPr>
        <w:pStyle w:val="6"/>
        <w:spacing w:line="222" w:lineRule="auto"/>
        <w:ind w:left="52"/>
        <w:outlineLvl w:val="2"/>
        <w:rPr>
          <w:sz w:val="24"/>
          <w:szCs w:val="24"/>
          <w:highlight w:val="none"/>
        </w:rPr>
      </w:pPr>
      <w:r>
        <w:rPr>
          <w:b/>
          <w:bCs/>
          <w:spacing w:val="-7"/>
          <w:sz w:val="24"/>
          <w:szCs w:val="24"/>
          <w:highlight w:val="none"/>
        </w:rPr>
        <w:t>（十四）政府采购合同融资政策：/</w:t>
      </w:r>
    </w:p>
    <w:p w14:paraId="44CC5273">
      <w:pPr>
        <w:pStyle w:val="6"/>
        <w:spacing w:before="179" w:line="222" w:lineRule="auto"/>
        <w:ind w:left="39"/>
        <w:outlineLvl w:val="2"/>
        <w:rPr>
          <w:sz w:val="24"/>
          <w:szCs w:val="24"/>
          <w:highlight w:val="none"/>
        </w:rPr>
      </w:pPr>
      <w:r>
        <w:rPr>
          <w:b/>
          <w:bCs/>
          <w:spacing w:val="-5"/>
          <w:sz w:val="24"/>
          <w:szCs w:val="24"/>
          <w:highlight w:val="none"/>
        </w:rPr>
        <w:t>47.政府采购合同融资政策</w:t>
      </w:r>
    </w:p>
    <w:p w14:paraId="5B8E6B8C">
      <w:pPr>
        <w:pStyle w:val="6"/>
        <w:spacing w:before="176" w:line="222" w:lineRule="auto"/>
        <w:ind w:left="39"/>
        <w:rPr>
          <w:sz w:val="24"/>
          <w:szCs w:val="24"/>
          <w:highlight w:val="none"/>
        </w:rPr>
      </w:pPr>
      <w:r>
        <w:rPr>
          <w:spacing w:val="-2"/>
          <w:sz w:val="24"/>
          <w:szCs w:val="24"/>
          <w:highlight w:val="none"/>
        </w:rPr>
        <w:t>47.1政府采购合同融资政策：见投标人须知前附表。</w:t>
      </w:r>
    </w:p>
    <w:p w14:paraId="5A5C9A62">
      <w:pPr>
        <w:pStyle w:val="6"/>
        <w:spacing w:before="179" w:line="222" w:lineRule="auto"/>
        <w:ind w:left="52"/>
        <w:outlineLvl w:val="2"/>
        <w:rPr>
          <w:sz w:val="24"/>
          <w:szCs w:val="24"/>
          <w:highlight w:val="none"/>
        </w:rPr>
      </w:pPr>
      <w:r>
        <w:rPr>
          <w:b/>
          <w:bCs/>
          <w:spacing w:val="-10"/>
          <w:sz w:val="24"/>
          <w:szCs w:val="24"/>
          <w:highlight w:val="none"/>
        </w:rPr>
        <w:t>（十五）其他</w:t>
      </w:r>
    </w:p>
    <w:p w14:paraId="6C9F6B12">
      <w:pPr>
        <w:pStyle w:val="6"/>
        <w:spacing w:before="179" w:line="222" w:lineRule="auto"/>
        <w:ind w:left="39"/>
        <w:outlineLvl w:val="2"/>
        <w:rPr>
          <w:sz w:val="24"/>
          <w:szCs w:val="24"/>
          <w:highlight w:val="none"/>
        </w:rPr>
      </w:pPr>
      <w:r>
        <w:rPr>
          <w:b/>
          <w:bCs/>
          <w:spacing w:val="-5"/>
          <w:sz w:val="24"/>
          <w:szCs w:val="24"/>
          <w:highlight w:val="none"/>
        </w:rPr>
        <w:t>48.需要补充的其他内容</w:t>
      </w:r>
    </w:p>
    <w:p w14:paraId="268FC6AE">
      <w:pPr>
        <w:pStyle w:val="6"/>
        <w:spacing w:before="177" w:line="222" w:lineRule="auto"/>
        <w:ind w:left="39"/>
        <w:rPr>
          <w:sz w:val="24"/>
          <w:szCs w:val="24"/>
          <w:highlight w:val="none"/>
        </w:rPr>
      </w:pPr>
      <w:r>
        <w:rPr>
          <w:spacing w:val="-3"/>
          <w:sz w:val="24"/>
          <w:szCs w:val="24"/>
          <w:highlight w:val="none"/>
        </w:rPr>
        <w:t>48.1需要补充的其他内容：见投标人须知前附表。</w:t>
      </w:r>
    </w:p>
    <w:p w14:paraId="12E61200">
      <w:pPr>
        <w:pStyle w:val="6"/>
        <w:spacing w:before="178" w:line="222" w:lineRule="auto"/>
        <w:ind w:left="39"/>
        <w:outlineLvl w:val="2"/>
        <w:rPr>
          <w:sz w:val="24"/>
          <w:szCs w:val="24"/>
          <w:highlight w:val="none"/>
        </w:rPr>
      </w:pPr>
      <w:r>
        <w:rPr>
          <w:b/>
          <w:bCs/>
          <w:spacing w:val="-6"/>
          <w:sz w:val="24"/>
          <w:szCs w:val="24"/>
          <w:highlight w:val="none"/>
        </w:rPr>
        <w:t>49.适用法律</w:t>
      </w:r>
    </w:p>
    <w:p w14:paraId="619B2F3F">
      <w:pPr>
        <w:pStyle w:val="6"/>
        <w:spacing w:before="177" w:line="360" w:lineRule="auto"/>
        <w:ind w:left="49" w:right="11" w:firstLine="465"/>
        <w:jc w:val="both"/>
        <w:rPr>
          <w:spacing w:val="-1"/>
          <w:sz w:val="24"/>
          <w:szCs w:val="24"/>
          <w:highlight w:val="none"/>
        </w:rPr>
      </w:pPr>
      <w:r>
        <w:rPr>
          <w:spacing w:val="-1"/>
          <w:sz w:val="24"/>
          <w:szCs w:val="24"/>
          <w:highlight w:val="none"/>
        </w:rPr>
        <w:t>49.1采购人、采购代理机构及投标人的一切采购活动均适用《中华人民共和国政府采购法》 、《中华人民共和国政府采购法实施条例》、《政府采购货物和服务招标投标管理办法》 （财政部令第87号）及相关法律法规。</w:t>
      </w:r>
    </w:p>
    <w:p w14:paraId="168FB309">
      <w:pPr>
        <w:pStyle w:val="6"/>
        <w:spacing w:before="177" w:line="360" w:lineRule="auto"/>
        <w:ind w:left="49" w:right="11" w:firstLine="465"/>
        <w:jc w:val="both"/>
        <w:rPr>
          <w:spacing w:val="-3"/>
          <w:sz w:val="24"/>
          <w:szCs w:val="24"/>
          <w:highlight w:val="none"/>
        </w:rPr>
      </w:pPr>
      <w:r>
        <w:rPr>
          <w:spacing w:val="-1"/>
          <w:sz w:val="24"/>
          <w:szCs w:val="24"/>
          <w:highlight w:val="none"/>
        </w:rPr>
        <w:t>49.2政府采购合同的履行、违约责任和解决争议的方法等适用《中华人民共和国民法典》。</w:t>
      </w:r>
    </w:p>
    <w:p w14:paraId="40EDA0A5">
      <w:pPr>
        <w:pStyle w:val="6"/>
        <w:spacing w:before="178" w:line="222" w:lineRule="auto"/>
        <w:ind w:left="44"/>
        <w:outlineLvl w:val="2"/>
        <w:rPr>
          <w:sz w:val="24"/>
          <w:szCs w:val="24"/>
          <w:highlight w:val="none"/>
        </w:rPr>
      </w:pPr>
      <w:r>
        <w:rPr>
          <w:b/>
          <w:bCs/>
          <w:spacing w:val="-8"/>
          <w:sz w:val="24"/>
          <w:szCs w:val="24"/>
          <w:highlight w:val="none"/>
        </w:rPr>
        <w:t>50.解释权</w:t>
      </w:r>
    </w:p>
    <w:p w14:paraId="2E34158D">
      <w:pPr>
        <w:pStyle w:val="6"/>
        <w:spacing w:before="180" w:line="222" w:lineRule="auto"/>
        <w:ind w:left="44"/>
        <w:rPr>
          <w:sz w:val="24"/>
          <w:szCs w:val="24"/>
          <w:highlight w:val="none"/>
        </w:rPr>
      </w:pPr>
      <w:r>
        <w:rPr>
          <w:spacing w:val="-2"/>
          <w:sz w:val="24"/>
          <w:szCs w:val="24"/>
          <w:highlight w:val="none"/>
        </w:rPr>
        <w:t>50.1本招标文件最终解释权归采购人或采购代理机构所有。</w:t>
      </w:r>
    </w:p>
    <w:p w14:paraId="6ADCF88C">
      <w:pPr>
        <w:spacing w:before="48"/>
        <w:rPr>
          <w:sz w:val="24"/>
          <w:szCs w:val="24"/>
          <w:highlight w:val="none"/>
        </w:rPr>
      </w:pPr>
      <w:r>
        <w:rPr>
          <w:rFonts w:hint="eastAsia" w:ascii="Arial" w:eastAsia="宋体"/>
          <w:sz w:val="21"/>
          <w:highlight w:val="none"/>
          <w:lang w:eastAsia="zh-CN"/>
        </w:rPr>
        <w:br w:type="page"/>
      </w:r>
    </w:p>
    <w:p w14:paraId="4C6E7D65">
      <w:pPr>
        <w:pStyle w:val="6"/>
        <w:spacing w:before="60" w:line="222" w:lineRule="auto"/>
        <w:jc w:val="center"/>
        <w:outlineLvl w:val="0"/>
        <w:rPr>
          <w:highlight w:val="none"/>
        </w:rPr>
      </w:pPr>
      <w:r>
        <w:rPr>
          <w:b/>
          <w:bCs/>
          <w:spacing w:val="-4"/>
          <w:highlight w:val="none"/>
        </w:rPr>
        <w:t>第三章采购需求</w:t>
      </w:r>
    </w:p>
    <w:p w14:paraId="7DDF3C66">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bookmarkStart w:id="7" w:name="bookmark7"/>
      <w:bookmarkEnd w:id="7"/>
      <w:bookmarkStart w:id="8" w:name="bookmark6"/>
      <w:bookmarkEnd w:id="8"/>
      <w:r>
        <w:rPr>
          <w:rFonts w:hint="eastAsia" w:ascii="仿宋" w:hAnsi="仿宋" w:eastAsia="仿宋" w:cs="仿宋"/>
          <w:spacing w:val="-4"/>
          <w:sz w:val="31"/>
          <w:szCs w:val="31"/>
          <w:highlight w:val="none"/>
          <w:lang w:val="en-US" w:eastAsia="zh-CN"/>
        </w:rPr>
        <w:t>一、基本情况</w:t>
      </w:r>
    </w:p>
    <w:p w14:paraId="5E14B275">
      <w:pPr>
        <w:keepNext w:val="0"/>
        <w:keepLines w:val="0"/>
        <w:pageBreakBefore w:val="0"/>
        <w:widowControl/>
        <w:kinsoku/>
        <w:wordWrap/>
        <w:overflowPunct/>
        <w:topLinePunct w:val="0"/>
        <w:autoSpaceDE w:val="0"/>
        <w:autoSpaceDN w:val="0"/>
        <w:bidi w:val="0"/>
        <w:adjustRightInd w:val="0"/>
        <w:snapToGrid w:val="0"/>
        <w:spacing w:before="1" w:line="374" w:lineRule="auto"/>
        <w:ind w:left="16" w:firstLine="475"/>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本次采购主要包括各类办公设备，包括平板电脑、U盘、移动硬盘、移动固态硬盘、Type-C扩展坞、USB-C扩展坞、DVD+R光盘、无线键盘鼠标套装、无线鼠标、智能录音笔、IP电话机、外置DVD刻录机及其他相关辅助设备。</w:t>
      </w:r>
    </w:p>
    <w:p w14:paraId="6FBA6AF3">
      <w:pPr>
        <w:keepNext w:val="0"/>
        <w:keepLines w:val="0"/>
        <w:pageBreakBefore w:val="0"/>
        <w:widowControl/>
        <w:kinsoku/>
        <w:wordWrap/>
        <w:overflowPunct/>
        <w:topLinePunct w:val="0"/>
        <w:autoSpaceDE w:val="0"/>
        <w:autoSpaceDN w:val="0"/>
        <w:bidi w:val="0"/>
        <w:adjustRightInd w:val="0"/>
        <w:snapToGrid w:val="0"/>
        <w:spacing w:before="1" w:line="374" w:lineRule="auto"/>
        <w:ind w:left="16" w:firstLine="475"/>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本采购项目按实际需求实施，供应商应在招标人下单后在规定时间内容供货，双方按实际供货情况进行结算。设备规格及技术要求中的预计数量作为报价依据。</w:t>
      </w:r>
    </w:p>
    <w:p w14:paraId="35B8E06B">
      <w:pPr>
        <w:keepNext w:val="0"/>
        <w:keepLines w:val="0"/>
        <w:pageBreakBefore w:val="0"/>
        <w:widowControl/>
        <w:kinsoku/>
        <w:wordWrap/>
        <w:overflowPunct/>
        <w:topLinePunct w:val="0"/>
        <w:autoSpaceDE w:val="0"/>
        <w:autoSpaceDN w:val="0"/>
        <w:bidi w:val="0"/>
        <w:adjustRightInd w:val="0"/>
        <w:snapToGrid w:val="0"/>
        <w:spacing w:before="1" w:line="374" w:lineRule="auto"/>
        <w:ind w:left="16" w:firstLine="475"/>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核心标的：平板电脑、硬盘</w:t>
      </w:r>
    </w:p>
    <w:p w14:paraId="53779E04">
      <w:pPr>
        <w:keepNext w:val="0"/>
        <w:keepLines w:val="0"/>
        <w:pageBreakBefore w:val="0"/>
        <w:widowControl/>
        <w:kinsoku/>
        <w:wordWrap/>
        <w:overflowPunct/>
        <w:topLinePunct w:val="0"/>
        <w:autoSpaceDE w:val="0"/>
        <w:autoSpaceDN w:val="0"/>
        <w:bidi w:val="0"/>
        <w:adjustRightInd w:val="0"/>
        <w:snapToGrid w:val="0"/>
        <w:spacing w:before="1" w:line="374" w:lineRule="auto"/>
        <w:ind w:left="16" w:firstLine="475"/>
        <w:rPr>
          <w:rFonts w:hint="eastAsia" w:ascii="仿宋" w:hAnsi="仿宋" w:eastAsia="仿宋" w:cs="仿宋"/>
          <w:spacing w:val="12"/>
          <w:sz w:val="23"/>
          <w:szCs w:val="23"/>
          <w:highlight w:val="none"/>
          <w:lang w:val="en-US" w:eastAsia="zh-CN"/>
        </w:rPr>
      </w:pPr>
    </w:p>
    <w:p w14:paraId="24C600EE">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r>
        <w:rPr>
          <w:rFonts w:hint="eastAsia" w:ascii="仿宋" w:hAnsi="仿宋" w:eastAsia="仿宋" w:cs="仿宋"/>
          <w:spacing w:val="-4"/>
          <w:sz w:val="31"/>
          <w:szCs w:val="31"/>
          <w:highlight w:val="none"/>
          <w:lang w:val="en-US" w:eastAsia="zh-CN"/>
        </w:rPr>
        <w:t>二、设备规格及技术要求（下表）</w:t>
      </w:r>
    </w:p>
    <w:tbl>
      <w:tblPr>
        <w:tblStyle w:val="10"/>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080"/>
        <w:gridCol w:w="5215"/>
        <w:gridCol w:w="876"/>
        <w:gridCol w:w="876"/>
      </w:tblGrid>
      <w:tr w14:paraId="5E0D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0" w:type="auto"/>
            <w:vMerge w:val="restart"/>
            <w:noWrap w:val="0"/>
            <w:tcMar>
              <w:left w:w="108" w:type="dxa"/>
              <w:right w:w="108" w:type="dxa"/>
            </w:tcMar>
            <w:vAlign w:val="center"/>
          </w:tcPr>
          <w:p w14:paraId="74E26A2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bookmarkStart w:id="9" w:name="heading_3"/>
            <w:r>
              <w:rPr>
                <w:rFonts w:hint="eastAsia" w:ascii="仿宋" w:hAnsi="仿宋" w:eastAsia="仿宋" w:cs="仿宋"/>
                <w:b/>
                <w:bCs/>
                <w:i w:val="0"/>
                <w:iCs w:val="0"/>
                <w:color w:val="000000"/>
                <w:kern w:val="0"/>
                <w:sz w:val="24"/>
                <w:szCs w:val="24"/>
                <w:highlight w:val="none"/>
                <w:u w:val="none"/>
                <w:lang w:val="en-US" w:eastAsia="zh-CN" w:bidi="ar"/>
              </w:rPr>
              <w:t>序号</w:t>
            </w:r>
          </w:p>
        </w:tc>
        <w:tc>
          <w:tcPr>
            <w:tcW w:w="0" w:type="auto"/>
            <w:vMerge w:val="restart"/>
            <w:noWrap w:val="0"/>
            <w:tcMar>
              <w:left w:w="108" w:type="dxa"/>
              <w:right w:w="108" w:type="dxa"/>
            </w:tcMar>
            <w:vAlign w:val="center"/>
          </w:tcPr>
          <w:p w14:paraId="6CC4FD7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采购内容</w:t>
            </w:r>
          </w:p>
        </w:tc>
        <w:tc>
          <w:tcPr>
            <w:tcW w:w="5215" w:type="dxa"/>
            <w:vMerge w:val="restart"/>
            <w:noWrap w:val="0"/>
            <w:tcMar>
              <w:left w:w="108" w:type="dxa"/>
              <w:right w:w="108" w:type="dxa"/>
            </w:tcMar>
            <w:vAlign w:val="center"/>
          </w:tcPr>
          <w:p w14:paraId="1F2EBC4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规格、技术要求</w:t>
            </w:r>
          </w:p>
        </w:tc>
        <w:tc>
          <w:tcPr>
            <w:tcW w:w="0" w:type="auto"/>
            <w:vMerge w:val="restart"/>
            <w:noWrap w:val="0"/>
            <w:tcMar>
              <w:left w:w="108" w:type="dxa"/>
              <w:right w:w="108" w:type="dxa"/>
            </w:tcMar>
            <w:vAlign w:val="center"/>
          </w:tcPr>
          <w:p w14:paraId="272E8C1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预计数量</w:t>
            </w:r>
          </w:p>
        </w:tc>
        <w:tc>
          <w:tcPr>
            <w:tcW w:w="876" w:type="dxa"/>
            <w:vMerge w:val="restart"/>
            <w:noWrap w:val="0"/>
            <w:tcMar>
              <w:left w:w="108" w:type="dxa"/>
              <w:right w:w="108" w:type="dxa"/>
            </w:tcMar>
            <w:vAlign w:val="center"/>
          </w:tcPr>
          <w:p w14:paraId="5C52D3B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计量单位</w:t>
            </w:r>
          </w:p>
        </w:tc>
      </w:tr>
      <w:tr w14:paraId="3F5A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0" w:type="auto"/>
            <w:vMerge w:val="continue"/>
            <w:noWrap w:val="0"/>
            <w:tcMar>
              <w:left w:w="108" w:type="dxa"/>
              <w:right w:w="108" w:type="dxa"/>
            </w:tcMar>
            <w:vAlign w:val="center"/>
          </w:tcPr>
          <w:p w14:paraId="297F75EF">
            <w:pPr>
              <w:keepNext/>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0" w:type="auto"/>
            <w:vMerge w:val="continue"/>
            <w:noWrap w:val="0"/>
            <w:tcMar>
              <w:left w:w="108" w:type="dxa"/>
              <w:right w:w="108" w:type="dxa"/>
            </w:tcMar>
            <w:vAlign w:val="center"/>
          </w:tcPr>
          <w:p w14:paraId="67C75153">
            <w:pPr>
              <w:keepNext/>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5215" w:type="dxa"/>
            <w:vMerge w:val="continue"/>
            <w:noWrap w:val="0"/>
            <w:tcMar>
              <w:left w:w="108" w:type="dxa"/>
              <w:right w:w="108" w:type="dxa"/>
            </w:tcMar>
            <w:vAlign w:val="center"/>
          </w:tcPr>
          <w:p w14:paraId="2BDC097D">
            <w:pPr>
              <w:keepNext/>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0" w:type="auto"/>
            <w:vMerge w:val="continue"/>
            <w:noWrap w:val="0"/>
            <w:tcMar>
              <w:left w:w="108" w:type="dxa"/>
              <w:right w:w="108" w:type="dxa"/>
            </w:tcMar>
            <w:vAlign w:val="center"/>
          </w:tcPr>
          <w:p w14:paraId="299B44C2">
            <w:pPr>
              <w:keepNext/>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876" w:type="dxa"/>
            <w:vMerge w:val="continue"/>
            <w:noWrap w:val="0"/>
            <w:tcMar>
              <w:left w:w="108" w:type="dxa"/>
              <w:right w:w="108" w:type="dxa"/>
            </w:tcMar>
            <w:vAlign w:val="center"/>
          </w:tcPr>
          <w:p w14:paraId="78D95F8E">
            <w:pPr>
              <w:keepNext/>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r>
      <w:tr w14:paraId="2810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055326B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noWrap w:val="0"/>
            <w:tcMar>
              <w:left w:w="108" w:type="dxa"/>
              <w:right w:w="108" w:type="dxa"/>
            </w:tcMar>
            <w:vAlign w:val="center"/>
          </w:tcPr>
          <w:p w14:paraId="2C26E8E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平板电脑</w:t>
            </w:r>
          </w:p>
        </w:tc>
        <w:tc>
          <w:tcPr>
            <w:tcW w:w="5215" w:type="dxa"/>
            <w:noWrap w:val="0"/>
            <w:tcMar>
              <w:left w:w="108" w:type="dxa"/>
              <w:right w:w="108" w:type="dxa"/>
            </w:tcMar>
            <w:vAlign w:val="center"/>
          </w:tcPr>
          <w:p w14:paraId="19FFF5F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1</w:t>
            </w:r>
            <w:r>
              <w:rPr>
                <w:rFonts w:hint="eastAsia" w:ascii="仿宋" w:hAnsi="仿宋" w:eastAsia="仿宋" w:cs="仿宋"/>
                <w:i w:val="0"/>
                <w:iCs w:val="0"/>
                <w:color w:val="000000"/>
                <w:sz w:val="21"/>
                <w:szCs w:val="21"/>
                <w:highlight w:val="none"/>
                <w:u w:val="none"/>
              </w:rPr>
              <w:t xml:space="preserve">.存储容量：内存≥8GB,存储≥256GB▲ </w:t>
            </w:r>
          </w:p>
          <w:p w14:paraId="4D507BE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2</w:t>
            </w:r>
            <w:r>
              <w:rPr>
                <w:rFonts w:hint="eastAsia" w:ascii="仿宋" w:hAnsi="仿宋" w:eastAsia="仿宋" w:cs="仿宋"/>
                <w:i w:val="0"/>
                <w:iCs w:val="0"/>
                <w:color w:val="000000"/>
                <w:sz w:val="21"/>
                <w:szCs w:val="21"/>
                <w:highlight w:val="none"/>
                <w:u w:val="none"/>
              </w:rPr>
              <w:t xml:space="preserve">.屏幕尺寸：≥11.5英寸▲ </w:t>
            </w:r>
          </w:p>
          <w:p w14:paraId="53FDF59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3</w:t>
            </w:r>
            <w:r>
              <w:rPr>
                <w:rFonts w:hint="eastAsia" w:ascii="仿宋" w:hAnsi="仿宋" w:eastAsia="仿宋" w:cs="仿宋"/>
                <w:i w:val="0"/>
                <w:iCs w:val="0"/>
                <w:color w:val="000000"/>
                <w:sz w:val="21"/>
                <w:szCs w:val="21"/>
                <w:highlight w:val="none"/>
                <w:u w:val="none"/>
              </w:rPr>
              <w:t xml:space="preserve">.屏幕分辨率：≥2200*1440▲ </w:t>
            </w:r>
          </w:p>
          <w:p w14:paraId="25EC1F2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4</w:t>
            </w:r>
            <w:r>
              <w:rPr>
                <w:rFonts w:hint="eastAsia" w:ascii="仿宋" w:hAnsi="仿宋" w:eastAsia="仿宋" w:cs="仿宋"/>
                <w:i w:val="0"/>
                <w:iCs w:val="0"/>
                <w:color w:val="000000"/>
                <w:sz w:val="21"/>
                <w:szCs w:val="21"/>
                <w:highlight w:val="none"/>
                <w:u w:val="none"/>
              </w:rPr>
              <w:t xml:space="preserve">.屏幕刷新率：≥120Hz▲ </w:t>
            </w:r>
          </w:p>
          <w:p w14:paraId="77C9089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5</w:t>
            </w:r>
            <w:r>
              <w:rPr>
                <w:rFonts w:hint="eastAsia" w:ascii="仿宋" w:hAnsi="仿宋" w:eastAsia="仿宋" w:cs="仿宋"/>
                <w:i w:val="0"/>
                <w:iCs w:val="0"/>
                <w:color w:val="000000"/>
                <w:sz w:val="21"/>
                <w:szCs w:val="21"/>
                <w:highlight w:val="none"/>
                <w:u w:val="none"/>
              </w:rPr>
              <w:t xml:space="preserve">.屏幕类型：LCD屏或OLED屏▲ </w:t>
            </w:r>
          </w:p>
          <w:p w14:paraId="514C46B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6</w:t>
            </w:r>
            <w:r>
              <w:rPr>
                <w:rFonts w:hint="eastAsia" w:ascii="仿宋" w:hAnsi="仿宋" w:eastAsia="仿宋" w:cs="仿宋"/>
                <w:i w:val="0"/>
                <w:iCs w:val="0"/>
                <w:color w:val="000000"/>
                <w:sz w:val="21"/>
                <w:szCs w:val="21"/>
                <w:highlight w:val="none"/>
                <w:u w:val="none"/>
              </w:rPr>
              <w:t xml:space="preserve">.电池容量：≥10000mAh（典型值）▲ </w:t>
            </w:r>
          </w:p>
          <w:p w14:paraId="55181AD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7</w:t>
            </w:r>
            <w:r>
              <w:rPr>
                <w:rFonts w:hint="eastAsia" w:ascii="仿宋" w:hAnsi="仿宋" w:eastAsia="仿宋" w:cs="仿宋"/>
                <w:i w:val="0"/>
                <w:iCs w:val="0"/>
                <w:color w:val="000000"/>
                <w:sz w:val="21"/>
                <w:szCs w:val="21"/>
                <w:highlight w:val="none"/>
                <w:u w:val="none"/>
              </w:rPr>
              <w:t xml:space="preserve">.电源：支持快冲▲ </w:t>
            </w:r>
          </w:p>
          <w:p w14:paraId="07E2E13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8</w:t>
            </w:r>
            <w:r>
              <w:rPr>
                <w:rFonts w:hint="eastAsia" w:ascii="仿宋" w:hAnsi="仿宋" w:eastAsia="仿宋" w:cs="仿宋"/>
                <w:i w:val="0"/>
                <w:iCs w:val="0"/>
                <w:color w:val="000000"/>
                <w:sz w:val="21"/>
                <w:szCs w:val="21"/>
                <w:highlight w:val="none"/>
                <w:u w:val="none"/>
              </w:rPr>
              <w:t xml:space="preserve">.前置摄像头≥800万像素▲ </w:t>
            </w:r>
          </w:p>
          <w:p w14:paraId="3333102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9</w:t>
            </w:r>
            <w:r>
              <w:rPr>
                <w:rFonts w:hint="eastAsia" w:ascii="仿宋" w:hAnsi="仿宋" w:eastAsia="仿宋" w:cs="仿宋"/>
                <w:i w:val="0"/>
                <w:iCs w:val="0"/>
                <w:color w:val="000000"/>
                <w:sz w:val="21"/>
                <w:szCs w:val="21"/>
                <w:highlight w:val="none"/>
                <w:u w:val="none"/>
              </w:rPr>
              <w:t xml:space="preserve">.后置摄像头≥1300万像素▲ </w:t>
            </w:r>
          </w:p>
          <w:p w14:paraId="43F5FD0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lang w:val="en-US" w:eastAsia="zh-CN"/>
              </w:rPr>
              <w:t>10</w:t>
            </w:r>
            <w:r>
              <w:rPr>
                <w:rFonts w:hint="eastAsia" w:ascii="仿宋" w:hAnsi="仿宋" w:eastAsia="仿宋" w:cs="仿宋"/>
                <w:i w:val="0"/>
                <w:iCs w:val="0"/>
                <w:color w:val="000000"/>
                <w:sz w:val="21"/>
                <w:szCs w:val="21"/>
                <w:highlight w:val="none"/>
                <w:u w:val="none"/>
              </w:rPr>
              <w:t xml:space="preserve">.接口：Type-C接口▲ </w:t>
            </w:r>
          </w:p>
          <w:p w14:paraId="56533FE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w:t>
            </w:r>
            <w:r>
              <w:rPr>
                <w:rFonts w:hint="eastAsia" w:ascii="仿宋" w:hAnsi="仿宋" w:eastAsia="仿宋" w:cs="仿宋"/>
                <w:i w:val="0"/>
                <w:iCs w:val="0"/>
                <w:color w:val="000000"/>
                <w:sz w:val="21"/>
                <w:szCs w:val="21"/>
                <w:highlight w:val="none"/>
                <w:u w:val="none"/>
                <w:lang w:val="en-US" w:eastAsia="zh-CN"/>
              </w:rPr>
              <w:t>1</w:t>
            </w:r>
            <w:r>
              <w:rPr>
                <w:rFonts w:hint="eastAsia" w:ascii="仿宋" w:hAnsi="仿宋" w:eastAsia="仿宋" w:cs="仿宋"/>
                <w:i w:val="0"/>
                <w:iCs w:val="0"/>
                <w:color w:val="000000"/>
                <w:sz w:val="21"/>
                <w:szCs w:val="21"/>
                <w:highlight w:val="none"/>
                <w:u w:val="none"/>
              </w:rPr>
              <w:t xml:space="preserve">.WIFI：支持IEEE802.11a/b/g/n/ac/ax，2.4 GHz/5GHz▲ </w:t>
            </w:r>
          </w:p>
          <w:p w14:paraId="6D23695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1"/>
                <w:szCs w:val="21"/>
                <w:highlight w:val="none"/>
                <w:u w:val="none"/>
              </w:rPr>
              <w:t>1</w:t>
            </w:r>
            <w:r>
              <w:rPr>
                <w:rFonts w:hint="eastAsia" w:ascii="仿宋" w:hAnsi="仿宋" w:eastAsia="仿宋" w:cs="仿宋"/>
                <w:i w:val="0"/>
                <w:iCs w:val="0"/>
                <w:color w:val="000000"/>
                <w:sz w:val="21"/>
                <w:szCs w:val="21"/>
                <w:highlight w:val="none"/>
                <w:u w:val="none"/>
                <w:lang w:val="en-US" w:eastAsia="zh-CN"/>
              </w:rPr>
              <w:t>2</w:t>
            </w:r>
            <w:r>
              <w:rPr>
                <w:rFonts w:hint="eastAsia" w:ascii="仿宋" w:hAnsi="仿宋" w:eastAsia="仿宋" w:cs="仿宋"/>
                <w:i w:val="0"/>
                <w:iCs w:val="0"/>
                <w:color w:val="000000"/>
                <w:sz w:val="21"/>
                <w:szCs w:val="21"/>
                <w:highlight w:val="none"/>
                <w:u w:val="none"/>
              </w:rPr>
              <w:t>.蓝牙：支持蓝牙5.2▲</w:t>
            </w:r>
          </w:p>
        </w:tc>
        <w:tc>
          <w:tcPr>
            <w:tcW w:w="0" w:type="auto"/>
            <w:noWrap w:val="0"/>
            <w:tcMar>
              <w:left w:w="108" w:type="dxa"/>
              <w:right w:w="108" w:type="dxa"/>
            </w:tcMar>
            <w:vAlign w:val="center"/>
          </w:tcPr>
          <w:p w14:paraId="4FBE84D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noWrap w:val="0"/>
            <w:tcMar>
              <w:left w:w="108" w:type="dxa"/>
              <w:right w:w="108" w:type="dxa"/>
            </w:tcMar>
            <w:vAlign w:val="center"/>
          </w:tcPr>
          <w:p w14:paraId="54A7102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045B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505579C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noWrap w:val="0"/>
            <w:tcMar>
              <w:left w:w="108" w:type="dxa"/>
              <w:right w:w="108" w:type="dxa"/>
            </w:tcMar>
            <w:vAlign w:val="center"/>
          </w:tcPr>
          <w:p w14:paraId="2CA3337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平板电脑（低配）</w:t>
            </w:r>
          </w:p>
        </w:tc>
        <w:tc>
          <w:tcPr>
            <w:tcW w:w="5215" w:type="dxa"/>
            <w:noWrap w:val="0"/>
            <w:tcMar>
              <w:left w:w="108" w:type="dxa"/>
              <w:right w:w="108" w:type="dxa"/>
            </w:tcMar>
            <w:vAlign w:val="center"/>
          </w:tcPr>
          <w:p w14:paraId="6A2F752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w:t>
            </w:r>
            <w:r>
              <w:rPr>
                <w:rFonts w:hint="eastAsia" w:ascii="仿宋" w:hAnsi="仿宋" w:eastAsia="仿宋" w:cs="仿宋"/>
                <w:i w:val="0"/>
                <w:iCs w:val="0"/>
                <w:color w:val="000000"/>
                <w:sz w:val="24"/>
                <w:szCs w:val="24"/>
                <w:highlight w:val="none"/>
                <w:u w:val="none"/>
              </w:rPr>
              <w:t xml:space="preserve">.存储容量：内存≥8GB；存储≥128GB▲ </w:t>
            </w:r>
          </w:p>
          <w:p w14:paraId="00409F6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 xml:space="preserve">.屏幕尺寸：≥11英寸▲ </w:t>
            </w:r>
          </w:p>
          <w:p w14:paraId="36E6BA8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3</w:t>
            </w:r>
            <w:r>
              <w:rPr>
                <w:rFonts w:hint="eastAsia" w:ascii="仿宋" w:hAnsi="仿宋" w:eastAsia="仿宋" w:cs="仿宋"/>
                <w:i w:val="0"/>
                <w:iCs w:val="0"/>
                <w:color w:val="000000"/>
                <w:sz w:val="24"/>
                <w:szCs w:val="24"/>
                <w:highlight w:val="none"/>
                <w:u w:val="none"/>
              </w:rPr>
              <w:t xml:space="preserve">.屏幕分辨率：≥1920*1200▲ </w:t>
            </w:r>
          </w:p>
          <w:p w14:paraId="10679FA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4</w:t>
            </w:r>
            <w:r>
              <w:rPr>
                <w:rFonts w:hint="eastAsia" w:ascii="仿宋" w:hAnsi="仿宋" w:eastAsia="仿宋" w:cs="仿宋"/>
                <w:i w:val="0"/>
                <w:iCs w:val="0"/>
                <w:color w:val="000000"/>
                <w:sz w:val="24"/>
                <w:szCs w:val="24"/>
                <w:highlight w:val="none"/>
                <w:u w:val="none"/>
              </w:rPr>
              <w:t xml:space="preserve">.屏幕刷新率：≥60Hz▲ </w:t>
            </w:r>
          </w:p>
          <w:p w14:paraId="5A6643D9">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5</w:t>
            </w:r>
            <w:r>
              <w:rPr>
                <w:rFonts w:hint="eastAsia" w:ascii="仿宋" w:hAnsi="仿宋" w:eastAsia="仿宋" w:cs="仿宋"/>
                <w:i w:val="0"/>
                <w:iCs w:val="0"/>
                <w:color w:val="000000"/>
                <w:sz w:val="24"/>
                <w:szCs w:val="24"/>
                <w:highlight w:val="none"/>
                <w:u w:val="none"/>
              </w:rPr>
              <w:t xml:space="preserve">.屏幕类型：LCD屏或OLED屏▲ </w:t>
            </w:r>
          </w:p>
          <w:p w14:paraId="666237A7">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6</w:t>
            </w:r>
            <w:r>
              <w:rPr>
                <w:rFonts w:hint="eastAsia" w:ascii="仿宋" w:hAnsi="仿宋" w:eastAsia="仿宋" w:cs="仿宋"/>
                <w:i w:val="0"/>
                <w:iCs w:val="0"/>
                <w:color w:val="000000"/>
                <w:sz w:val="24"/>
                <w:szCs w:val="24"/>
                <w:highlight w:val="none"/>
                <w:u w:val="none"/>
              </w:rPr>
              <w:t xml:space="preserve">.电池容量：电池典型值容量≥7500mAh▲ </w:t>
            </w:r>
          </w:p>
          <w:p w14:paraId="2194C14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7</w:t>
            </w:r>
            <w:r>
              <w:rPr>
                <w:rFonts w:hint="eastAsia" w:ascii="仿宋" w:hAnsi="仿宋" w:eastAsia="仿宋" w:cs="仿宋"/>
                <w:i w:val="0"/>
                <w:iCs w:val="0"/>
                <w:color w:val="000000"/>
                <w:sz w:val="24"/>
                <w:szCs w:val="24"/>
                <w:highlight w:val="none"/>
                <w:u w:val="none"/>
              </w:rPr>
              <w:t xml:space="preserve">.电源：支持快冲▲ </w:t>
            </w:r>
          </w:p>
          <w:p w14:paraId="71FBC1D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8</w:t>
            </w:r>
            <w:r>
              <w:rPr>
                <w:rFonts w:hint="eastAsia" w:ascii="仿宋" w:hAnsi="仿宋" w:eastAsia="仿宋" w:cs="仿宋"/>
                <w:i w:val="0"/>
                <w:iCs w:val="0"/>
                <w:color w:val="000000"/>
                <w:sz w:val="24"/>
                <w:szCs w:val="24"/>
                <w:highlight w:val="none"/>
                <w:u w:val="none"/>
              </w:rPr>
              <w:t xml:space="preserve">.前置摄像头≥500万像素▲ </w:t>
            </w:r>
          </w:p>
          <w:p w14:paraId="2DAA4D2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9</w:t>
            </w:r>
            <w:r>
              <w:rPr>
                <w:rFonts w:hint="eastAsia" w:ascii="仿宋" w:hAnsi="仿宋" w:eastAsia="仿宋" w:cs="仿宋"/>
                <w:i w:val="0"/>
                <w:iCs w:val="0"/>
                <w:color w:val="000000"/>
                <w:sz w:val="24"/>
                <w:szCs w:val="24"/>
                <w:highlight w:val="none"/>
                <w:u w:val="none"/>
              </w:rPr>
              <w:t xml:space="preserve">.后置摄像头≥800万像素▲ </w:t>
            </w:r>
          </w:p>
          <w:p w14:paraId="11A6F17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10</w:t>
            </w:r>
            <w:r>
              <w:rPr>
                <w:rFonts w:hint="eastAsia" w:ascii="仿宋" w:hAnsi="仿宋" w:eastAsia="仿宋" w:cs="仿宋"/>
                <w:i w:val="0"/>
                <w:iCs w:val="0"/>
                <w:color w:val="000000"/>
                <w:sz w:val="24"/>
                <w:szCs w:val="24"/>
                <w:highlight w:val="none"/>
                <w:u w:val="none"/>
              </w:rPr>
              <w:t xml:space="preserve">.接口：Type-C接口▲ </w:t>
            </w:r>
          </w:p>
          <w:p w14:paraId="7F41A4D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11</w:t>
            </w:r>
            <w:r>
              <w:rPr>
                <w:rFonts w:hint="eastAsia" w:ascii="仿宋" w:hAnsi="仿宋" w:eastAsia="仿宋" w:cs="仿宋"/>
                <w:i w:val="0"/>
                <w:iCs w:val="0"/>
                <w:color w:val="000000"/>
                <w:sz w:val="24"/>
                <w:szCs w:val="24"/>
                <w:highlight w:val="none"/>
                <w:u w:val="none"/>
              </w:rPr>
              <w:t xml:space="preserve">.WIFI：支持IEEE802.11a/b/g/n/ac， 2.4GHz/5GHz▲ </w:t>
            </w:r>
          </w:p>
          <w:p w14:paraId="4EA577B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12</w:t>
            </w:r>
            <w:r>
              <w:rPr>
                <w:rFonts w:hint="eastAsia" w:ascii="仿宋" w:hAnsi="仿宋" w:eastAsia="仿宋" w:cs="仿宋"/>
                <w:i w:val="0"/>
                <w:iCs w:val="0"/>
                <w:color w:val="000000"/>
                <w:sz w:val="24"/>
                <w:szCs w:val="24"/>
                <w:highlight w:val="none"/>
                <w:u w:val="none"/>
              </w:rPr>
              <w:t>.蓝牙：支持蓝牙5.1向下兼容▲</w:t>
            </w:r>
          </w:p>
        </w:tc>
        <w:tc>
          <w:tcPr>
            <w:tcW w:w="0" w:type="auto"/>
            <w:noWrap w:val="0"/>
            <w:tcMar>
              <w:left w:w="108" w:type="dxa"/>
              <w:right w:w="108" w:type="dxa"/>
            </w:tcMar>
            <w:vAlign w:val="center"/>
          </w:tcPr>
          <w:p w14:paraId="0FDE0527">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noWrap w:val="0"/>
            <w:tcMar>
              <w:left w:w="108" w:type="dxa"/>
              <w:right w:w="108" w:type="dxa"/>
            </w:tcMar>
            <w:vAlign w:val="center"/>
          </w:tcPr>
          <w:p w14:paraId="37E5149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37E6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3A1A88A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noWrap w:val="0"/>
            <w:tcMar>
              <w:left w:w="108" w:type="dxa"/>
              <w:right w:w="108" w:type="dxa"/>
            </w:tcMar>
            <w:vAlign w:val="center"/>
          </w:tcPr>
          <w:p w14:paraId="136B24A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平板电脑（零售型号）</w:t>
            </w:r>
          </w:p>
        </w:tc>
        <w:tc>
          <w:tcPr>
            <w:tcW w:w="5215" w:type="dxa"/>
            <w:noWrap w:val="0"/>
            <w:tcMar>
              <w:left w:w="108" w:type="dxa"/>
              <w:right w:w="108" w:type="dxa"/>
            </w:tcMar>
            <w:vAlign w:val="center"/>
          </w:tcPr>
          <w:p w14:paraId="20787A4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w:t>
            </w:r>
            <w:r>
              <w:rPr>
                <w:rFonts w:hint="eastAsia" w:ascii="仿宋" w:hAnsi="仿宋" w:eastAsia="仿宋" w:cs="仿宋"/>
                <w:i w:val="0"/>
                <w:iCs w:val="0"/>
                <w:color w:val="000000"/>
                <w:sz w:val="24"/>
                <w:szCs w:val="24"/>
                <w:highlight w:val="none"/>
                <w:u w:val="none"/>
              </w:rPr>
              <w:t xml:space="preserve">.存储容量：内存≥12GB,存储≥256GB▲ </w:t>
            </w:r>
          </w:p>
          <w:p w14:paraId="77155DF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 xml:space="preserve">.屏幕尺寸：≥11.5英寸▲ </w:t>
            </w:r>
          </w:p>
          <w:p w14:paraId="6CAF644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3</w:t>
            </w:r>
            <w:r>
              <w:rPr>
                <w:rFonts w:hint="eastAsia" w:ascii="仿宋" w:hAnsi="仿宋" w:eastAsia="仿宋" w:cs="仿宋"/>
                <w:i w:val="0"/>
                <w:iCs w:val="0"/>
                <w:color w:val="000000"/>
                <w:sz w:val="24"/>
                <w:szCs w:val="24"/>
                <w:highlight w:val="none"/>
                <w:u w:val="none"/>
              </w:rPr>
              <w:t xml:space="preserve">.屏幕分辨率：≥2800*1840▲ </w:t>
            </w:r>
          </w:p>
          <w:p w14:paraId="1D1A594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4</w:t>
            </w:r>
            <w:r>
              <w:rPr>
                <w:rFonts w:hint="eastAsia" w:ascii="仿宋" w:hAnsi="仿宋" w:eastAsia="仿宋" w:cs="仿宋"/>
                <w:i w:val="0"/>
                <w:iCs w:val="0"/>
                <w:color w:val="000000"/>
                <w:sz w:val="24"/>
                <w:szCs w:val="24"/>
                <w:highlight w:val="none"/>
                <w:u w:val="none"/>
              </w:rPr>
              <w:t xml:space="preserve">.屏幕刷新率：≥140Hz▲ </w:t>
            </w:r>
          </w:p>
          <w:p w14:paraId="4F6C67E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5</w:t>
            </w:r>
            <w:r>
              <w:rPr>
                <w:rFonts w:hint="eastAsia" w:ascii="仿宋" w:hAnsi="仿宋" w:eastAsia="仿宋" w:cs="仿宋"/>
                <w:i w:val="0"/>
                <w:iCs w:val="0"/>
                <w:color w:val="000000"/>
                <w:sz w:val="24"/>
                <w:szCs w:val="24"/>
                <w:highlight w:val="none"/>
                <w:u w:val="none"/>
              </w:rPr>
              <w:t xml:space="preserve">.屏幕类型：LCD屏或OLED屏▲ </w:t>
            </w:r>
          </w:p>
          <w:p w14:paraId="1DEAF67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6</w:t>
            </w:r>
            <w:r>
              <w:rPr>
                <w:rFonts w:hint="eastAsia" w:ascii="仿宋" w:hAnsi="仿宋" w:eastAsia="仿宋" w:cs="仿宋"/>
                <w:i w:val="0"/>
                <w:iCs w:val="0"/>
                <w:color w:val="000000"/>
                <w:sz w:val="24"/>
                <w:szCs w:val="24"/>
                <w:highlight w:val="none"/>
                <w:u w:val="none"/>
              </w:rPr>
              <w:t xml:space="preserve">.电池容量：电池典型值容量≥8800mAh▲ </w:t>
            </w:r>
          </w:p>
          <w:p w14:paraId="79C32B4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7</w:t>
            </w:r>
            <w:r>
              <w:rPr>
                <w:rFonts w:hint="eastAsia" w:ascii="仿宋" w:hAnsi="仿宋" w:eastAsia="仿宋" w:cs="仿宋"/>
                <w:i w:val="0"/>
                <w:iCs w:val="0"/>
                <w:color w:val="000000"/>
                <w:sz w:val="24"/>
                <w:szCs w:val="24"/>
                <w:highlight w:val="none"/>
                <w:u w:val="none"/>
              </w:rPr>
              <w:t xml:space="preserve">.电源：支持快冲▲ </w:t>
            </w:r>
          </w:p>
          <w:p w14:paraId="0E7CF52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8</w:t>
            </w:r>
            <w:r>
              <w:rPr>
                <w:rFonts w:hint="eastAsia" w:ascii="仿宋" w:hAnsi="仿宋" w:eastAsia="仿宋" w:cs="仿宋"/>
                <w:i w:val="0"/>
                <w:iCs w:val="0"/>
                <w:color w:val="000000"/>
                <w:sz w:val="24"/>
                <w:szCs w:val="24"/>
                <w:highlight w:val="none"/>
                <w:u w:val="none"/>
              </w:rPr>
              <w:t xml:space="preserve">.前置摄像头≥800万像素▲ </w:t>
            </w:r>
          </w:p>
          <w:p w14:paraId="56A08B0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9</w:t>
            </w:r>
            <w:r>
              <w:rPr>
                <w:rFonts w:hint="eastAsia" w:ascii="仿宋" w:hAnsi="仿宋" w:eastAsia="仿宋" w:cs="仿宋"/>
                <w:i w:val="0"/>
                <w:iCs w:val="0"/>
                <w:color w:val="000000"/>
                <w:sz w:val="24"/>
                <w:szCs w:val="24"/>
                <w:highlight w:val="none"/>
                <w:u w:val="none"/>
              </w:rPr>
              <w:t xml:space="preserve">.后置摄像头≥1300万像素▲ </w:t>
            </w:r>
          </w:p>
          <w:p w14:paraId="74DC183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10</w:t>
            </w:r>
            <w:r>
              <w:rPr>
                <w:rFonts w:hint="eastAsia" w:ascii="仿宋" w:hAnsi="仿宋" w:eastAsia="仿宋" w:cs="仿宋"/>
                <w:i w:val="0"/>
                <w:iCs w:val="0"/>
                <w:color w:val="000000"/>
                <w:sz w:val="24"/>
                <w:szCs w:val="24"/>
                <w:highlight w:val="none"/>
                <w:u w:val="none"/>
              </w:rPr>
              <w:t xml:space="preserve">.接口：Type-C接口▲ </w:t>
            </w:r>
          </w:p>
          <w:p w14:paraId="3B96F4D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w:t>
            </w: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.WIFI：支持IEEE802.11▲a/</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b</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g</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n</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ac</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ax</w:t>
            </w: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rPr>
              <w:t>,2.4GHz/5GHz▲</w:t>
            </w:r>
          </w:p>
          <w:p w14:paraId="7735B26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w:t>
            </w:r>
            <w:r>
              <w:rPr>
                <w:rFonts w:hint="eastAsia" w:ascii="仿宋" w:hAnsi="仿宋" w:eastAsia="仿宋" w:cs="仿宋"/>
                <w:i w:val="0"/>
                <w:iCs w:val="0"/>
                <w:color w:val="000000"/>
                <w:sz w:val="24"/>
                <w:szCs w:val="24"/>
                <w:highlight w:val="none"/>
                <w:u w:val="none"/>
                <w:lang w:val="en-US" w:eastAsia="zh-CN"/>
              </w:rPr>
              <w:t>3</w:t>
            </w:r>
            <w:r>
              <w:rPr>
                <w:rFonts w:hint="eastAsia" w:ascii="仿宋" w:hAnsi="仿宋" w:eastAsia="仿宋" w:cs="仿宋"/>
                <w:i w:val="0"/>
                <w:iCs w:val="0"/>
                <w:color w:val="000000"/>
                <w:sz w:val="24"/>
                <w:szCs w:val="24"/>
                <w:highlight w:val="none"/>
                <w:u w:val="none"/>
              </w:rPr>
              <w:t>.蓝牙：支持蓝牙5.2▲</w:t>
            </w:r>
          </w:p>
        </w:tc>
        <w:tc>
          <w:tcPr>
            <w:tcW w:w="0" w:type="auto"/>
            <w:noWrap w:val="0"/>
            <w:tcMar>
              <w:left w:w="108" w:type="dxa"/>
              <w:right w:w="108" w:type="dxa"/>
            </w:tcMar>
            <w:vAlign w:val="center"/>
          </w:tcPr>
          <w:p w14:paraId="1FC9924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6" w:type="dxa"/>
            <w:noWrap w:val="0"/>
            <w:tcMar>
              <w:left w:w="108" w:type="dxa"/>
              <w:right w:w="108" w:type="dxa"/>
            </w:tcMar>
            <w:vAlign w:val="center"/>
          </w:tcPr>
          <w:p w14:paraId="45BDE1E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73BE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357E306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noWrap w:val="0"/>
            <w:tcMar>
              <w:left w:w="108" w:type="dxa"/>
              <w:right w:w="108" w:type="dxa"/>
            </w:tcMar>
            <w:vAlign w:val="center"/>
          </w:tcPr>
          <w:p w14:paraId="5149F5D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U盘 128G</w:t>
            </w:r>
          </w:p>
        </w:tc>
        <w:tc>
          <w:tcPr>
            <w:tcW w:w="5215" w:type="dxa"/>
            <w:noWrap w:val="0"/>
            <w:tcMar>
              <w:left w:w="108" w:type="dxa"/>
              <w:right w:w="108" w:type="dxa"/>
            </w:tcMar>
            <w:vAlign w:val="center"/>
          </w:tcPr>
          <w:p w14:paraId="3A43D3DC">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1.存储容量：128GB及以上；</w:t>
            </w:r>
          </w:p>
          <w:p w14:paraId="569270AF">
            <w:pPr>
              <w:keepNext/>
              <w:keepLines w:val="0"/>
              <w:widowControl/>
              <w:numPr>
                <w:ilvl w:val="0"/>
                <w:numId w:val="1"/>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接口类型：Type-C + USB3.0双接口，支持手机电脑两用；</w:t>
            </w:r>
            <w:r>
              <w:rPr>
                <w:rFonts w:hint="eastAsia" w:ascii="仿宋" w:hAnsi="仿宋" w:eastAsia="仿宋" w:cs="仿宋"/>
                <w:color w:val="000000"/>
                <w:kern w:val="2"/>
                <w:sz w:val="24"/>
                <w:szCs w:val="24"/>
                <w:highlight w:val="none"/>
                <w:lang w:val="en-US" w:eastAsia="zh-CN"/>
              </w:rPr>
              <w:t>▲</w:t>
            </w:r>
          </w:p>
          <w:p w14:paraId="1469E2EB">
            <w:pPr>
              <w:keepNext/>
              <w:keepLines w:val="0"/>
              <w:widowControl/>
              <w:numPr>
                <w:ilvl w:val="0"/>
                <w:numId w:val="1"/>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传输速度：读取速度≥400MB/s，写入速度≥80MB/s；</w:t>
            </w:r>
            <w:r>
              <w:rPr>
                <w:rFonts w:hint="eastAsia" w:ascii="仿宋" w:hAnsi="仿宋" w:eastAsia="仿宋" w:cs="仿宋"/>
                <w:color w:val="000000"/>
                <w:kern w:val="2"/>
                <w:sz w:val="24"/>
                <w:szCs w:val="24"/>
                <w:highlight w:val="none"/>
                <w:lang w:val="en-US" w:eastAsia="zh-CN"/>
              </w:rPr>
              <w:t>▲</w:t>
            </w:r>
          </w:p>
          <w:p w14:paraId="59997D37">
            <w:pPr>
              <w:keepNext/>
              <w:keepLines w:val="0"/>
              <w:widowControl/>
              <w:numPr>
                <w:ilvl w:val="0"/>
                <w:numId w:val="1"/>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材质：金属外壳，防水防尘；</w:t>
            </w:r>
            <w:r>
              <w:rPr>
                <w:rFonts w:hint="eastAsia" w:ascii="仿宋" w:hAnsi="仿宋" w:eastAsia="仿宋" w:cs="仿宋"/>
                <w:color w:val="000000"/>
                <w:kern w:val="2"/>
                <w:sz w:val="24"/>
                <w:szCs w:val="24"/>
                <w:highlight w:val="none"/>
                <w:lang w:val="en-US" w:eastAsia="zh-CN"/>
              </w:rPr>
              <w:t>▲</w:t>
            </w:r>
          </w:p>
          <w:p w14:paraId="0D4D45E0">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 兼容性：支持Windows、Mac OS、Android系统、Linux系统；</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5E8A9EA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876" w:type="dxa"/>
            <w:noWrap w:val="0"/>
            <w:tcMar>
              <w:left w:w="108" w:type="dxa"/>
              <w:right w:w="108" w:type="dxa"/>
            </w:tcMar>
            <w:vAlign w:val="center"/>
          </w:tcPr>
          <w:p w14:paraId="440677D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14FB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273D88A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noWrap w:val="0"/>
            <w:tcMar>
              <w:left w:w="108" w:type="dxa"/>
              <w:right w:w="108" w:type="dxa"/>
            </w:tcMar>
            <w:vAlign w:val="center"/>
          </w:tcPr>
          <w:p w14:paraId="2987634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U盘256G</w:t>
            </w:r>
          </w:p>
        </w:tc>
        <w:tc>
          <w:tcPr>
            <w:tcW w:w="5215" w:type="dxa"/>
            <w:noWrap w:val="0"/>
            <w:tcMar>
              <w:left w:w="108" w:type="dxa"/>
              <w:right w:w="108" w:type="dxa"/>
            </w:tcMar>
            <w:vAlign w:val="center"/>
          </w:tcPr>
          <w:p w14:paraId="1034853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1.存储容量：256GB及以上；</w:t>
            </w:r>
          </w:p>
          <w:p w14:paraId="45385D39">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color w:val="000000"/>
                <w:kern w:val="2"/>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接口类型：Type-C + USB3.0双接口，支持手机电脑两用；</w:t>
            </w:r>
            <w:r>
              <w:rPr>
                <w:rFonts w:hint="eastAsia" w:ascii="仿宋" w:hAnsi="仿宋" w:eastAsia="仿宋" w:cs="仿宋"/>
                <w:color w:val="000000"/>
                <w:kern w:val="2"/>
                <w:sz w:val="24"/>
                <w:szCs w:val="24"/>
                <w:highlight w:val="none"/>
                <w:lang w:val="en-US" w:eastAsia="zh-CN"/>
              </w:rPr>
              <w:t>▲</w:t>
            </w:r>
          </w:p>
          <w:p w14:paraId="7A191847">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2.传输速度：读取速度≥400MB/s，写入速度≥80MB/s；</w:t>
            </w:r>
            <w:r>
              <w:rPr>
                <w:rFonts w:hint="eastAsia" w:ascii="仿宋" w:hAnsi="仿宋" w:eastAsia="仿宋" w:cs="仿宋"/>
                <w:color w:val="000000"/>
                <w:kern w:val="2"/>
                <w:sz w:val="24"/>
                <w:szCs w:val="24"/>
                <w:highlight w:val="none"/>
                <w:lang w:val="en-US" w:eastAsia="zh-CN"/>
              </w:rPr>
              <w:t>▲</w:t>
            </w:r>
          </w:p>
          <w:p w14:paraId="09729E83">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3.材质：金属外壳，防水防尘；</w:t>
            </w:r>
            <w:r>
              <w:rPr>
                <w:rFonts w:hint="eastAsia" w:ascii="仿宋" w:hAnsi="仿宋" w:eastAsia="仿宋" w:cs="仿宋"/>
                <w:color w:val="000000"/>
                <w:kern w:val="2"/>
                <w:sz w:val="24"/>
                <w:szCs w:val="24"/>
                <w:highlight w:val="none"/>
                <w:lang w:val="en-US" w:eastAsia="zh-CN"/>
              </w:rPr>
              <w:t>▲</w:t>
            </w:r>
          </w:p>
          <w:p w14:paraId="5EBC6BB7">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 兼容性：支持Windows、Mac OS、Android系统、Linux系统；</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45FFB52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876" w:type="dxa"/>
            <w:noWrap w:val="0"/>
            <w:tcMar>
              <w:left w:w="108" w:type="dxa"/>
              <w:right w:w="108" w:type="dxa"/>
            </w:tcMar>
            <w:vAlign w:val="center"/>
          </w:tcPr>
          <w:p w14:paraId="21B8EA2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2F88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118F8BC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0" w:type="auto"/>
            <w:noWrap w:val="0"/>
            <w:tcMar>
              <w:left w:w="108" w:type="dxa"/>
              <w:right w:w="108" w:type="dxa"/>
            </w:tcMar>
            <w:vAlign w:val="center"/>
          </w:tcPr>
          <w:p w14:paraId="3595D23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移动硬盘 1T</w:t>
            </w:r>
          </w:p>
        </w:tc>
        <w:tc>
          <w:tcPr>
            <w:tcW w:w="5215" w:type="dxa"/>
            <w:noWrap w:val="0"/>
            <w:tcMar>
              <w:left w:w="108" w:type="dxa"/>
              <w:right w:w="108" w:type="dxa"/>
            </w:tcMar>
            <w:vAlign w:val="center"/>
          </w:tcPr>
          <w:p w14:paraId="037CB28B">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1.存储容量：1TB及以上；</w:t>
            </w:r>
          </w:p>
          <w:p w14:paraId="49DD89EA">
            <w:pPr>
              <w:keepNext/>
              <w:keepLines w:val="0"/>
              <w:widowControl/>
              <w:numPr>
                <w:ilvl w:val="0"/>
                <w:numId w:val="2"/>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接口类型：USB3.0及以上，支持Type-C；</w:t>
            </w:r>
            <w:r>
              <w:rPr>
                <w:rFonts w:hint="eastAsia" w:ascii="仿宋" w:hAnsi="仿宋" w:eastAsia="仿宋" w:cs="仿宋"/>
                <w:color w:val="000000"/>
                <w:kern w:val="2"/>
                <w:sz w:val="24"/>
                <w:szCs w:val="24"/>
                <w:highlight w:val="none"/>
                <w:lang w:val="en-US" w:eastAsia="zh-CN"/>
              </w:rPr>
              <w:t>▲</w:t>
            </w:r>
          </w:p>
          <w:p w14:paraId="5C8BDB9E">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3.传输速度：读取速度≥120MB/s，写入速度≥100MB/s；</w:t>
            </w:r>
            <w:r>
              <w:rPr>
                <w:rFonts w:hint="eastAsia" w:ascii="仿宋" w:hAnsi="仿宋" w:eastAsia="仿宋" w:cs="仿宋"/>
                <w:color w:val="000000"/>
                <w:kern w:val="2"/>
                <w:sz w:val="24"/>
                <w:szCs w:val="24"/>
                <w:highlight w:val="none"/>
                <w:lang w:val="en-US" w:eastAsia="zh-CN"/>
              </w:rPr>
              <w:t>▲</w:t>
            </w:r>
          </w:p>
          <w:p w14:paraId="69DDD880">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4.材质：防震设计，金属或高强度塑料外壳；</w:t>
            </w:r>
          </w:p>
          <w:p w14:paraId="77501F0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5.兼容性：支持Windows、Mac OS系统、Android系统、Linux系统；</w:t>
            </w:r>
            <w:r>
              <w:rPr>
                <w:rFonts w:hint="eastAsia" w:ascii="仿宋" w:hAnsi="仿宋" w:eastAsia="仿宋" w:cs="仿宋"/>
                <w:color w:val="000000"/>
                <w:kern w:val="2"/>
                <w:sz w:val="24"/>
                <w:szCs w:val="24"/>
                <w:highlight w:val="none"/>
                <w:lang w:val="en-US" w:eastAsia="zh-CN"/>
              </w:rPr>
              <w:t>▲</w:t>
            </w:r>
          </w:p>
          <w:p w14:paraId="4C21B04C">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 安全功能：支持硬件加密，密码保护；</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615DA18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w:t>
            </w:r>
          </w:p>
        </w:tc>
        <w:tc>
          <w:tcPr>
            <w:tcW w:w="876" w:type="dxa"/>
            <w:noWrap w:val="0"/>
            <w:tcMar>
              <w:left w:w="108" w:type="dxa"/>
              <w:right w:w="108" w:type="dxa"/>
            </w:tcMar>
            <w:vAlign w:val="center"/>
          </w:tcPr>
          <w:p w14:paraId="61E729A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7A44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0C2768D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0" w:type="auto"/>
            <w:noWrap w:val="0"/>
            <w:tcMar>
              <w:left w:w="108" w:type="dxa"/>
              <w:right w:w="108" w:type="dxa"/>
            </w:tcMar>
            <w:vAlign w:val="center"/>
          </w:tcPr>
          <w:p w14:paraId="2F6105E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移动固态硬盘 1T</w:t>
            </w:r>
          </w:p>
        </w:tc>
        <w:tc>
          <w:tcPr>
            <w:tcW w:w="5215" w:type="dxa"/>
            <w:noWrap w:val="0"/>
            <w:tcMar>
              <w:left w:w="108" w:type="dxa"/>
              <w:right w:w="108" w:type="dxa"/>
            </w:tcMar>
            <w:vAlign w:val="center"/>
          </w:tcPr>
          <w:p w14:paraId="178838E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1.存储容量：1TB及以上；</w:t>
            </w:r>
          </w:p>
          <w:p w14:paraId="54AD8092">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 接口类型：USB3.2 Gen2或Thunderbolt 3/4；</w:t>
            </w:r>
            <w:r>
              <w:rPr>
                <w:rFonts w:hint="eastAsia" w:ascii="仿宋" w:hAnsi="仿宋" w:eastAsia="仿宋" w:cs="仿宋"/>
                <w:color w:val="000000"/>
                <w:kern w:val="2"/>
                <w:sz w:val="24"/>
                <w:szCs w:val="24"/>
                <w:highlight w:val="none"/>
                <w:lang w:val="en-US" w:eastAsia="zh-CN"/>
              </w:rPr>
              <w:t>▲</w:t>
            </w:r>
          </w:p>
          <w:p w14:paraId="10099AD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 传输速度：读取速度≥1000MB/s，写入速度≥900MB/s；</w:t>
            </w:r>
            <w:r>
              <w:rPr>
                <w:rFonts w:hint="eastAsia" w:ascii="仿宋" w:hAnsi="仿宋" w:eastAsia="仿宋" w:cs="仿宋"/>
                <w:color w:val="000000"/>
                <w:kern w:val="2"/>
                <w:sz w:val="24"/>
                <w:szCs w:val="24"/>
                <w:highlight w:val="none"/>
                <w:lang w:val="en-US" w:eastAsia="zh-CN"/>
              </w:rPr>
              <w:t>▲</w:t>
            </w:r>
          </w:p>
          <w:p w14:paraId="103B65C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 材质：金属外壳，防水防尘，防震；</w:t>
            </w:r>
          </w:p>
          <w:p w14:paraId="1D8DA900">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 兼容性：支持Windows、Mac OS、Android系统、Linux系统；</w:t>
            </w:r>
            <w:r>
              <w:rPr>
                <w:rFonts w:hint="eastAsia" w:ascii="仿宋" w:hAnsi="仿宋" w:eastAsia="仿宋" w:cs="仿宋"/>
                <w:color w:val="000000"/>
                <w:kern w:val="2"/>
                <w:sz w:val="24"/>
                <w:szCs w:val="24"/>
                <w:highlight w:val="none"/>
                <w:lang w:val="en-US" w:eastAsia="zh-CN"/>
              </w:rPr>
              <w:t>▲</w:t>
            </w:r>
          </w:p>
          <w:p w14:paraId="4DE9E07F">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 安全功能：支持硬件加密，密码保护；</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4C71DBA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876" w:type="dxa"/>
            <w:noWrap w:val="0"/>
            <w:tcMar>
              <w:left w:w="108" w:type="dxa"/>
              <w:right w:w="108" w:type="dxa"/>
            </w:tcMar>
            <w:vAlign w:val="center"/>
          </w:tcPr>
          <w:p w14:paraId="70CC2AD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2B2E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7C95AE1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noWrap w:val="0"/>
            <w:tcMar>
              <w:left w:w="108" w:type="dxa"/>
              <w:right w:w="108" w:type="dxa"/>
            </w:tcMar>
            <w:vAlign w:val="center"/>
          </w:tcPr>
          <w:p w14:paraId="6C9712F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移动固态硬盘 2T</w:t>
            </w:r>
          </w:p>
        </w:tc>
        <w:tc>
          <w:tcPr>
            <w:tcW w:w="5215" w:type="dxa"/>
            <w:noWrap w:val="0"/>
            <w:tcMar>
              <w:left w:w="108" w:type="dxa"/>
              <w:right w:w="108" w:type="dxa"/>
            </w:tcMar>
            <w:vAlign w:val="center"/>
          </w:tcPr>
          <w:p w14:paraId="12A6C56B">
            <w:pPr>
              <w:keepNext/>
              <w:keepLines w:val="0"/>
              <w:widowControl/>
              <w:numPr>
                <w:ilvl w:val="0"/>
                <w:numId w:val="3"/>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存储容量：2TB及以上；</w:t>
            </w:r>
            <w:r>
              <w:rPr>
                <w:rFonts w:hint="eastAsia" w:ascii="仿宋" w:hAnsi="仿宋" w:eastAsia="仿宋" w:cs="仿宋"/>
                <w:color w:val="000000"/>
                <w:kern w:val="2"/>
                <w:sz w:val="24"/>
                <w:szCs w:val="24"/>
                <w:highlight w:val="none"/>
                <w:lang w:eastAsia="zh-CN"/>
              </w:rPr>
              <w:t>★</w:t>
            </w:r>
          </w:p>
          <w:p w14:paraId="13D9624C">
            <w:pPr>
              <w:keepNext/>
              <w:keepLines w:val="0"/>
              <w:widowControl/>
              <w:numPr>
                <w:ilvl w:val="0"/>
                <w:numId w:val="3"/>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接口类型：USB3.2 Gen2或Thunderbolt 3/4；</w:t>
            </w:r>
            <w:r>
              <w:rPr>
                <w:rFonts w:hint="eastAsia" w:ascii="仿宋" w:hAnsi="仿宋" w:eastAsia="仿宋" w:cs="仿宋"/>
                <w:color w:val="000000"/>
                <w:kern w:val="2"/>
                <w:sz w:val="24"/>
                <w:szCs w:val="24"/>
                <w:highlight w:val="none"/>
                <w:lang w:val="en-US" w:eastAsia="zh-CN"/>
              </w:rPr>
              <w:t>▲</w:t>
            </w:r>
          </w:p>
          <w:p w14:paraId="3A515825">
            <w:pPr>
              <w:keepNext/>
              <w:keepLines w:val="0"/>
              <w:widowControl/>
              <w:numPr>
                <w:ilvl w:val="0"/>
                <w:numId w:val="3"/>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传输速度：读取速度≥1000MB/s，写入速度≥900MB/s；</w:t>
            </w:r>
            <w:r>
              <w:rPr>
                <w:rFonts w:hint="eastAsia" w:ascii="仿宋" w:hAnsi="仿宋" w:eastAsia="仿宋" w:cs="仿宋"/>
                <w:color w:val="000000"/>
                <w:kern w:val="2"/>
                <w:sz w:val="24"/>
                <w:szCs w:val="24"/>
                <w:highlight w:val="none"/>
                <w:lang w:val="en-US" w:eastAsia="zh-CN"/>
              </w:rPr>
              <w:t>▲</w:t>
            </w:r>
          </w:p>
          <w:p w14:paraId="602AB074">
            <w:pPr>
              <w:keepNext/>
              <w:keepLines w:val="0"/>
              <w:widowControl/>
              <w:numPr>
                <w:ilvl w:val="0"/>
                <w:numId w:val="3"/>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材质：金属外壳，防水防尘，防震；</w:t>
            </w:r>
          </w:p>
          <w:p w14:paraId="4A78BF1D">
            <w:pPr>
              <w:keepNext/>
              <w:keepLines w:val="0"/>
              <w:widowControl/>
              <w:numPr>
                <w:ilvl w:val="0"/>
                <w:numId w:val="3"/>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兼容性：支持Windows、Mac OS、Android系统、Linux系统；</w:t>
            </w:r>
            <w:r>
              <w:rPr>
                <w:rFonts w:hint="eastAsia" w:ascii="仿宋" w:hAnsi="仿宋" w:eastAsia="仿宋" w:cs="仿宋"/>
                <w:color w:val="000000"/>
                <w:kern w:val="2"/>
                <w:sz w:val="24"/>
                <w:szCs w:val="24"/>
                <w:highlight w:val="none"/>
                <w:lang w:val="en-US" w:eastAsia="zh-CN"/>
              </w:rPr>
              <w:t>▲</w:t>
            </w:r>
          </w:p>
          <w:p w14:paraId="6863AD39">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 安全功能：支持硬件加密，密码保护；</w:t>
            </w:r>
          </w:p>
        </w:tc>
        <w:tc>
          <w:tcPr>
            <w:tcW w:w="0" w:type="auto"/>
            <w:noWrap w:val="0"/>
            <w:tcMar>
              <w:left w:w="108" w:type="dxa"/>
              <w:right w:w="108" w:type="dxa"/>
            </w:tcMar>
            <w:vAlign w:val="center"/>
          </w:tcPr>
          <w:p w14:paraId="15B0FC8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876" w:type="dxa"/>
            <w:noWrap w:val="0"/>
            <w:tcMar>
              <w:left w:w="108" w:type="dxa"/>
              <w:right w:w="108" w:type="dxa"/>
            </w:tcMar>
            <w:vAlign w:val="center"/>
          </w:tcPr>
          <w:p w14:paraId="4E8B462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7CDD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6DB3BFA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0" w:type="auto"/>
            <w:noWrap w:val="0"/>
            <w:tcMar>
              <w:left w:w="108" w:type="dxa"/>
              <w:right w:w="108" w:type="dxa"/>
            </w:tcMar>
            <w:vAlign w:val="center"/>
          </w:tcPr>
          <w:p w14:paraId="1C679B3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Type-C扩展坞</w:t>
            </w:r>
          </w:p>
        </w:tc>
        <w:tc>
          <w:tcPr>
            <w:tcW w:w="5215" w:type="dxa"/>
            <w:noWrap w:val="0"/>
            <w:tcMar>
              <w:left w:w="108" w:type="dxa"/>
              <w:right w:w="108" w:type="dxa"/>
            </w:tcMar>
            <w:vAlign w:val="center"/>
          </w:tcPr>
          <w:p w14:paraId="423538A0">
            <w:pPr>
              <w:keepNext/>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接口：至少包含HDMI、USB3.0×2、RJ45网口、SD卡槽、PD充电口；</w:t>
            </w:r>
            <w:r>
              <w:rPr>
                <w:rFonts w:hint="eastAsia" w:ascii="仿宋" w:hAnsi="仿宋" w:eastAsia="仿宋" w:cs="仿宋"/>
                <w:color w:val="000000"/>
                <w:kern w:val="2"/>
                <w:sz w:val="24"/>
                <w:szCs w:val="24"/>
                <w:highlight w:val="none"/>
                <w:lang w:eastAsia="zh-CN"/>
              </w:rPr>
              <w:t>★</w:t>
            </w:r>
          </w:p>
          <w:p w14:paraId="7917A619">
            <w:pPr>
              <w:keepNext/>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视频输出：支持4K@60Hz分辨率；</w:t>
            </w:r>
            <w:r>
              <w:rPr>
                <w:rFonts w:hint="eastAsia" w:ascii="仿宋" w:hAnsi="仿宋" w:eastAsia="仿宋" w:cs="仿宋"/>
                <w:color w:val="000000"/>
                <w:kern w:val="2"/>
                <w:sz w:val="24"/>
                <w:szCs w:val="24"/>
                <w:highlight w:val="none"/>
                <w:lang w:val="en-US" w:eastAsia="zh-CN"/>
              </w:rPr>
              <w:t>▲</w:t>
            </w:r>
          </w:p>
          <w:p w14:paraId="55FC40A1">
            <w:pPr>
              <w:keepNext/>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网络：千兆以太网（1000Mbps）；</w:t>
            </w:r>
            <w:r>
              <w:rPr>
                <w:rFonts w:hint="eastAsia" w:ascii="仿宋" w:hAnsi="仿宋" w:eastAsia="仿宋" w:cs="仿宋"/>
                <w:color w:val="000000"/>
                <w:kern w:val="2"/>
                <w:sz w:val="24"/>
                <w:szCs w:val="24"/>
                <w:highlight w:val="none"/>
                <w:lang w:val="en-US" w:eastAsia="zh-CN"/>
              </w:rPr>
              <w:t>▲</w:t>
            </w:r>
          </w:p>
          <w:p w14:paraId="0CA4F53A">
            <w:pPr>
              <w:keepNext/>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传输速度：USB3.0接口传输速度≥5Gbps；</w:t>
            </w:r>
            <w:r>
              <w:rPr>
                <w:rFonts w:hint="eastAsia" w:ascii="仿宋" w:hAnsi="仿宋" w:eastAsia="仿宋" w:cs="仿宋"/>
                <w:color w:val="000000"/>
                <w:kern w:val="2"/>
                <w:sz w:val="24"/>
                <w:szCs w:val="24"/>
                <w:highlight w:val="none"/>
                <w:lang w:val="en-US" w:eastAsia="zh-CN"/>
              </w:rPr>
              <w:t>▲</w:t>
            </w:r>
          </w:p>
          <w:p w14:paraId="1ACE0C1F">
            <w:pPr>
              <w:keepNext/>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兼容性：支持笔记本电脑、平板等Type-C设备；</w:t>
            </w:r>
            <w:r>
              <w:rPr>
                <w:rFonts w:hint="eastAsia" w:ascii="仿宋" w:hAnsi="仿宋" w:eastAsia="仿宋" w:cs="仿宋"/>
                <w:color w:val="000000"/>
                <w:kern w:val="2"/>
                <w:sz w:val="24"/>
                <w:szCs w:val="24"/>
                <w:highlight w:val="none"/>
                <w:lang w:val="en-US" w:eastAsia="zh-CN"/>
              </w:rPr>
              <w:t>▲</w:t>
            </w:r>
          </w:p>
          <w:p w14:paraId="72B5EF1C">
            <w:pPr>
              <w:keepNext/>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材质：铝合金外壳，散热良好；</w:t>
            </w:r>
          </w:p>
          <w:p w14:paraId="76C38A22">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 供电：支持PD反向充电（≥60W）；</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75432F6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876" w:type="dxa"/>
            <w:noWrap w:val="0"/>
            <w:tcMar>
              <w:left w:w="108" w:type="dxa"/>
              <w:right w:w="108" w:type="dxa"/>
            </w:tcMar>
            <w:vAlign w:val="center"/>
          </w:tcPr>
          <w:p w14:paraId="5B5CDC5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4C97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3FD6329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0" w:type="auto"/>
            <w:noWrap w:val="0"/>
            <w:tcMar>
              <w:left w:w="108" w:type="dxa"/>
              <w:right w:w="108" w:type="dxa"/>
            </w:tcMar>
            <w:vAlign w:val="center"/>
          </w:tcPr>
          <w:p w14:paraId="318B7F0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USB-C扩展坞</w:t>
            </w:r>
          </w:p>
        </w:tc>
        <w:tc>
          <w:tcPr>
            <w:tcW w:w="5215" w:type="dxa"/>
            <w:noWrap w:val="0"/>
            <w:tcMar>
              <w:left w:w="108" w:type="dxa"/>
              <w:right w:w="108" w:type="dxa"/>
            </w:tcMar>
            <w:vAlign w:val="center"/>
          </w:tcPr>
          <w:p w14:paraId="4BA4D656">
            <w:pPr>
              <w:keepNext/>
              <w:keepLines w:val="0"/>
              <w:widowControl/>
              <w:numPr>
                <w:ilvl w:val="0"/>
                <w:numId w:val="5"/>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接口：至少包含HDMI、USB3.0×3、VGA、音频接口、SD卡槽；</w:t>
            </w:r>
            <w:r>
              <w:rPr>
                <w:rFonts w:hint="eastAsia" w:ascii="仿宋" w:hAnsi="仿宋" w:eastAsia="仿宋" w:cs="仿宋"/>
                <w:color w:val="000000"/>
                <w:kern w:val="2"/>
                <w:sz w:val="24"/>
                <w:szCs w:val="24"/>
                <w:highlight w:val="none"/>
                <w:lang w:eastAsia="zh-CN"/>
              </w:rPr>
              <w:t>★</w:t>
            </w:r>
          </w:p>
          <w:p w14:paraId="397D5C58">
            <w:pPr>
              <w:keepNext/>
              <w:keepLines w:val="0"/>
              <w:widowControl/>
              <w:numPr>
                <w:ilvl w:val="0"/>
                <w:numId w:val="5"/>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视频输出：支持4K@30Hz分辨率；</w:t>
            </w:r>
            <w:r>
              <w:rPr>
                <w:rFonts w:hint="eastAsia" w:ascii="仿宋" w:hAnsi="仿宋" w:eastAsia="仿宋" w:cs="仿宋"/>
                <w:color w:val="000000"/>
                <w:kern w:val="2"/>
                <w:sz w:val="24"/>
                <w:szCs w:val="24"/>
                <w:highlight w:val="none"/>
                <w:lang w:val="en-US" w:eastAsia="zh-CN"/>
              </w:rPr>
              <w:t>▲</w:t>
            </w:r>
          </w:p>
          <w:p w14:paraId="23CD3D99">
            <w:pPr>
              <w:keepNext/>
              <w:keepLines w:val="0"/>
              <w:widowControl/>
              <w:numPr>
                <w:ilvl w:val="0"/>
                <w:numId w:val="5"/>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传输速度：USB3.0接口传输速度≥5Gbps；</w:t>
            </w:r>
            <w:r>
              <w:rPr>
                <w:rFonts w:hint="eastAsia" w:ascii="仿宋" w:hAnsi="仿宋" w:eastAsia="仿宋" w:cs="仿宋"/>
                <w:color w:val="000000"/>
                <w:kern w:val="2"/>
                <w:sz w:val="24"/>
                <w:szCs w:val="24"/>
                <w:highlight w:val="none"/>
                <w:lang w:val="en-US" w:eastAsia="zh-CN"/>
              </w:rPr>
              <w:t>▲</w:t>
            </w:r>
          </w:p>
          <w:p w14:paraId="1978F6DC">
            <w:pPr>
              <w:keepNext/>
              <w:keepLines w:val="0"/>
              <w:widowControl/>
              <w:numPr>
                <w:ilvl w:val="0"/>
                <w:numId w:val="5"/>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兼容性：支持笔记本电脑、平板等USB-C设备；</w:t>
            </w:r>
            <w:r>
              <w:rPr>
                <w:rFonts w:hint="eastAsia" w:ascii="仿宋" w:hAnsi="仿宋" w:eastAsia="仿宋" w:cs="仿宋"/>
                <w:color w:val="000000"/>
                <w:kern w:val="2"/>
                <w:sz w:val="24"/>
                <w:szCs w:val="24"/>
                <w:highlight w:val="none"/>
                <w:lang w:val="en-US" w:eastAsia="zh-CN"/>
              </w:rPr>
              <w:t>▲</w:t>
            </w:r>
          </w:p>
          <w:p w14:paraId="3136D0C3">
            <w:pPr>
              <w:keepNext/>
              <w:keepLines w:val="0"/>
              <w:widowControl/>
              <w:numPr>
                <w:ilvl w:val="0"/>
                <w:numId w:val="5"/>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材质：ABS+金属材质，耐用性好；</w:t>
            </w:r>
          </w:p>
          <w:p w14:paraId="2D04AA54">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 即插即用：无需安装驱动；</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2D6C031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876" w:type="dxa"/>
            <w:noWrap w:val="0"/>
            <w:tcMar>
              <w:left w:w="108" w:type="dxa"/>
              <w:right w:w="108" w:type="dxa"/>
            </w:tcMar>
            <w:vAlign w:val="center"/>
          </w:tcPr>
          <w:p w14:paraId="44E7609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1D3D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2A85DC9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0" w:type="auto"/>
            <w:noWrap w:val="0"/>
            <w:tcMar>
              <w:left w:w="108" w:type="dxa"/>
              <w:right w:w="108" w:type="dxa"/>
            </w:tcMar>
            <w:vAlign w:val="center"/>
          </w:tcPr>
          <w:p w14:paraId="0F221A0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DVD+R光盘（50片装）</w:t>
            </w:r>
          </w:p>
        </w:tc>
        <w:tc>
          <w:tcPr>
            <w:tcW w:w="5215" w:type="dxa"/>
            <w:noWrap w:val="0"/>
            <w:tcMar>
              <w:left w:w="108" w:type="dxa"/>
              <w:right w:w="108" w:type="dxa"/>
            </w:tcMar>
            <w:vAlign w:val="center"/>
          </w:tcPr>
          <w:p w14:paraId="7B40F6C8">
            <w:pPr>
              <w:keepNext/>
              <w:keepLines w:val="0"/>
              <w:widowControl/>
              <w:numPr>
                <w:ilvl w:val="0"/>
                <w:numId w:val="6"/>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类型：DVD+R空白光盘；</w:t>
            </w:r>
            <w:r>
              <w:rPr>
                <w:rFonts w:hint="eastAsia" w:ascii="仿宋" w:hAnsi="仿宋" w:eastAsia="仿宋" w:cs="仿宋"/>
                <w:color w:val="000000"/>
                <w:kern w:val="2"/>
                <w:sz w:val="24"/>
                <w:szCs w:val="24"/>
                <w:highlight w:val="none"/>
                <w:lang w:eastAsia="zh-CN"/>
              </w:rPr>
              <w:t>★</w:t>
            </w:r>
          </w:p>
          <w:p w14:paraId="2A44514C">
            <w:pPr>
              <w:keepNext/>
              <w:keepLines w:val="0"/>
              <w:widowControl/>
              <w:numPr>
                <w:ilvl w:val="0"/>
                <w:numId w:val="6"/>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容量：4.7GB/8.5GB；</w:t>
            </w:r>
            <w:r>
              <w:rPr>
                <w:rFonts w:hint="eastAsia" w:ascii="仿宋" w:hAnsi="仿宋" w:eastAsia="仿宋" w:cs="仿宋"/>
                <w:color w:val="000000"/>
                <w:kern w:val="2"/>
                <w:sz w:val="24"/>
                <w:szCs w:val="24"/>
                <w:highlight w:val="none"/>
                <w:lang w:eastAsia="zh-CN"/>
              </w:rPr>
              <w:t>★</w:t>
            </w:r>
          </w:p>
          <w:p w14:paraId="3A580158">
            <w:pPr>
              <w:keepNext/>
              <w:keepLines w:val="0"/>
              <w:widowControl/>
              <w:numPr>
                <w:ilvl w:val="0"/>
                <w:numId w:val="6"/>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速度：16X刻录速度；</w:t>
            </w:r>
            <w:r>
              <w:rPr>
                <w:rFonts w:hint="eastAsia" w:ascii="仿宋" w:hAnsi="仿宋" w:eastAsia="仿宋" w:cs="仿宋"/>
                <w:color w:val="000000"/>
                <w:kern w:val="2"/>
                <w:sz w:val="24"/>
                <w:szCs w:val="24"/>
                <w:highlight w:val="none"/>
                <w:lang w:val="en-US" w:eastAsia="zh-CN"/>
              </w:rPr>
              <w:t>▲</w:t>
            </w:r>
          </w:p>
          <w:p w14:paraId="574E0B57">
            <w:pPr>
              <w:keepNext/>
              <w:keepLines w:val="0"/>
              <w:widowControl/>
              <w:numPr>
                <w:ilvl w:val="0"/>
                <w:numId w:val="6"/>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包装：50片桶装；</w:t>
            </w:r>
          </w:p>
          <w:p w14:paraId="0214CBF0">
            <w:pPr>
              <w:keepNext/>
              <w:keepLines w:val="0"/>
              <w:widowControl/>
              <w:numPr>
                <w:ilvl w:val="0"/>
                <w:numId w:val="6"/>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质量：支持长期保存，防刮伤涂层；</w:t>
            </w:r>
          </w:p>
          <w:p w14:paraId="562FF52B">
            <w:pPr>
              <w:keepNext/>
              <w:keepLines w:val="0"/>
              <w:widowControl/>
              <w:numPr>
                <w:ilvl w:val="0"/>
                <w:numId w:val="6"/>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兼容性：支持主流品牌刻录机；</w:t>
            </w:r>
          </w:p>
          <w:p w14:paraId="35E24753">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 盘面支持打印，兼容性好，保存年限不低于10年</w:t>
            </w:r>
          </w:p>
        </w:tc>
        <w:tc>
          <w:tcPr>
            <w:tcW w:w="0" w:type="auto"/>
            <w:noWrap w:val="0"/>
            <w:tcMar>
              <w:left w:w="108" w:type="dxa"/>
              <w:right w:w="108" w:type="dxa"/>
            </w:tcMar>
            <w:vAlign w:val="center"/>
          </w:tcPr>
          <w:p w14:paraId="14A094B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c>
          <w:tcPr>
            <w:tcW w:w="876" w:type="dxa"/>
            <w:noWrap w:val="0"/>
            <w:tcMar>
              <w:left w:w="108" w:type="dxa"/>
              <w:right w:w="108" w:type="dxa"/>
            </w:tcMar>
            <w:vAlign w:val="center"/>
          </w:tcPr>
          <w:p w14:paraId="6D2225C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桶</w:t>
            </w:r>
          </w:p>
        </w:tc>
      </w:tr>
      <w:tr w14:paraId="4D68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5476291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shd w:val="clear" w:color="auto" w:fill="auto"/>
            <w:noWrap w:val="0"/>
            <w:tcMar>
              <w:left w:w="108" w:type="dxa"/>
              <w:right w:w="108" w:type="dxa"/>
            </w:tcMar>
            <w:vAlign w:val="center"/>
          </w:tcPr>
          <w:p w14:paraId="4D04291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显示器23.8寸</w:t>
            </w:r>
          </w:p>
        </w:tc>
        <w:tc>
          <w:tcPr>
            <w:tcW w:w="5215" w:type="dxa"/>
            <w:shd w:val="clear" w:color="auto" w:fill="auto"/>
            <w:noWrap w:val="0"/>
            <w:tcMar>
              <w:left w:w="108" w:type="dxa"/>
              <w:right w:w="108" w:type="dxa"/>
            </w:tcMar>
            <w:vAlign w:val="center"/>
          </w:tcPr>
          <w:p w14:paraId="30016E0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屏幕尺寸：≥23.8英寸；</w:t>
            </w:r>
            <w:r>
              <w:rPr>
                <w:rFonts w:hint="eastAsia" w:ascii="仿宋" w:hAnsi="仿宋" w:eastAsia="仿宋" w:cs="仿宋"/>
                <w:i w:val="0"/>
                <w:iCs w:val="0"/>
                <w:color w:val="000000"/>
                <w:kern w:val="0"/>
                <w:sz w:val="24"/>
                <w:szCs w:val="24"/>
                <w:highlight w:val="none"/>
                <w:u w:val="none"/>
                <w:lang w:val="en-US" w:eastAsia="zh-CN" w:bidi="ar"/>
              </w:rPr>
              <w:t>★</w:t>
            </w:r>
          </w:p>
          <w:p w14:paraId="3DA5130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分辨率≥1920×1080；</w:t>
            </w:r>
            <w:r>
              <w:rPr>
                <w:rFonts w:hint="eastAsia" w:ascii="仿宋" w:hAnsi="仿宋" w:eastAsia="仿宋" w:cs="仿宋"/>
                <w:i w:val="0"/>
                <w:iCs w:val="0"/>
                <w:color w:val="000000"/>
                <w:kern w:val="0"/>
                <w:sz w:val="24"/>
                <w:szCs w:val="24"/>
                <w:highlight w:val="none"/>
                <w:u w:val="none"/>
                <w:lang w:val="en-US" w:eastAsia="zh-CN" w:bidi="ar"/>
              </w:rPr>
              <w:t>▲</w:t>
            </w:r>
          </w:p>
          <w:p w14:paraId="62CC425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面板类型：IPS面板，广视角≥178°；</w:t>
            </w:r>
            <w:r>
              <w:rPr>
                <w:rFonts w:hint="eastAsia" w:ascii="仿宋" w:hAnsi="仿宋" w:eastAsia="仿宋" w:cs="仿宋"/>
                <w:i w:val="0"/>
                <w:iCs w:val="0"/>
                <w:color w:val="000000"/>
                <w:kern w:val="0"/>
                <w:sz w:val="24"/>
                <w:szCs w:val="24"/>
                <w:highlight w:val="none"/>
                <w:u w:val="none"/>
                <w:lang w:val="en-US" w:eastAsia="zh-CN" w:bidi="ar"/>
              </w:rPr>
              <w:t>▲</w:t>
            </w:r>
          </w:p>
          <w:p w14:paraId="337048A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刷新率：100Hz及以上；</w:t>
            </w:r>
            <w:r>
              <w:rPr>
                <w:rFonts w:hint="eastAsia" w:ascii="仿宋" w:hAnsi="仿宋" w:eastAsia="仿宋" w:cs="仿宋"/>
                <w:i w:val="0"/>
                <w:iCs w:val="0"/>
                <w:color w:val="000000"/>
                <w:kern w:val="0"/>
                <w:sz w:val="24"/>
                <w:szCs w:val="24"/>
                <w:highlight w:val="none"/>
                <w:u w:val="none"/>
                <w:lang w:val="en-US" w:eastAsia="zh-CN" w:bidi="ar"/>
              </w:rPr>
              <w:t>▲</w:t>
            </w:r>
          </w:p>
          <w:p w14:paraId="6B91931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亮度：≥250尼特</w:t>
            </w:r>
            <w:r>
              <w:rPr>
                <w:rFonts w:hint="eastAsia" w:ascii="仿宋" w:hAnsi="仿宋" w:eastAsia="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w:t>
            </w:r>
          </w:p>
          <w:p w14:paraId="7892B9C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对比度：≥1000:1；</w:t>
            </w:r>
            <w:r>
              <w:rPr>
                <w:rFonts w:hint="eastAsia" w:ascii="仿宋" w:hAnsi="仿宋" w:eastAsia="仿宋" w:cs="仿宋"/>
                <w:i w:val="0"/>
                <w:iCs w:val="0"/>
                <w:color w:val="000000"/>
                <w:kern w:val="0"/>
                <w:sz w:val="24"/>
                <w:szCs w:val="24"/>
                <w:highlight w:val="none"/>
                <w:u w:val="none"/>
                <w:lang w:val="en-US" w:eastAsia="zh-CN" w:bidi="ar"/>
              </w:rPr>
              <w:t>▲</w:t>
            </w:r>
          </w:p>
          <w:p w14:paraId="2ADE364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接口：HDMI、VGA、DP；</w:t>
            </w:r>
            <w:r>
              <w:rPr>
                <w:rFonts w:hint="eastAsia" w:ascii="仿宋" w:hAnsi="仿宋" w:eastAsia="仿宋" w:cs="仿宋"/>
                <w:i w:val="0"/>
                <w:iCs w:val="0"/>
                <w:color w:val="000000"/>
                <w:kern w:val="0"/>
                <w:sz w:val="24"/>
                <w:szCs w:val="24"/>
                <w:highlight w:val="none"/>
                <w:u w:val="none"/>
                <w:lang w:val="en-US" w:eastAsia="zh-CN" w:bidi="ar"/>
              </w:rPr>
              <w:t>▲</w:t>
            </w:r>
          </w:p>
          <w:p w14:paraId="6F0655D7">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8. 功能：低蓝光护眼模式；</w:t>
            </w:r>
          </w:p>
        </w:tc>
        <w:tc>
          <w:tcPr>
            <w:tcW w:w="0" w:type="auto"/>
            <w:shd w:val="clear" w:color="auto" w:fill="auto"/>
            <w:noWrap w:val="0"/>
            <w:tcMar>
              <w:left w:w="108" w:type="dxa"/>
              <w:right w:w="108" w:type="dxa"/>
            </w:tcMar>
            <w:vAlign w:val="center"/>
          </w:tcPr>
          <w:p w14:paraId="5C891BD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90</w:t>
            </w:r>
          </w:p>
        </w:tc>
        <w:tc>
          <w:tcPr>
            <w:tcW w:w="876" w:type="dxa"/>
            <w:shd w:val="clear" w:color="auto" w:fill="auto"/>
            <w:noWrap w:val="0"/>
            <w:tcMar>
              <w:left w:w="108" w:type="dxa"/>
              <w:right w:w="108" w:type="dxa"/>
            </w:tcMar>
            <w:vAlign w:val="center"/>
          </w:tcPr>
          <w:p w14:paraId="00D051C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台</w:t>
            </w:r>
          </w:p>
        </w:tc>
      </w:tr>
      <w:tr w14:paraId="1E58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2B85D4E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shd w:val="clear" w:color="auto" w:fill="auto"/>
            <w:noWrap w:val="0"/>
            <w:tcMar>
              <w:left w:w="108" w:type="dxa"/>
              <w:right w:w="108" w:type="dxa"/>
            </w:tcMar>
            <w:vAlign w:val="center"/>
          </w:tcPr>
          <w:p w14:paraId="34E6FB1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显示器27寸（低配）</w:t>
            </w:r>
          </w:p>
        </w:tc>
        <w:tc>
          <w:tcPr>
            <w:tcW w:w="5215" w:type="dxa"/>
            <w:shd w:val="clear" w:color="auto" w:fill="auto"/>
            <w:noWrap w:val="0"/>
            <w:tcMar>
              <w:left w:w="108" w:type="dxa"/>
              <w:right w:w="108" w:type="dxa"/>
            </w:tcMar>
            <w:vAlign w:val="center"/>
          </w:tcPr>
          <w:p w14:paraId="2CC629C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屏幕尺寸：27英寸；</w:t>
            </w:r>
            <w:r>
              <w:rPr>
                <w:rFonts w:hint="eastAsia" w:ascii="仿宋" w:hAnsi="仿宋" w:eastAsia="仿宋" w:cs="仿宋"/>
                <w:i w:val="0"/>
                <w:iCs w:val="0"/>
                <w:color w:val="000000"/>
                <w:kern w:val="0"/>
                <w:sz w:val="24"/>
                <w:szCs w:val="24"/>
                <w:highlight w:val="none"/>
                <w:u w:val="none"/>
                <w:lang w:val="en-US" w:eastAsia="zh-CN" w:bidi="ar"/>
              </w:rPr>
              <w:t>★</w:t>
            </w:r>
          </w:p>
          <w:p w14:paraId="141D41E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分辨率≥1920×1080；</w:t>
            </w:r>
            <w:r>
              <w:rPr>
                <w:rFonts w:hint="eastAsia" w:ascii="仿宋" w:hAnsi="仿宋" w:eastAsia="仿宋" w:cs="仿宋"/>
                <w:i w:val="0"/>
                <w:iCs w:val="0"/>
                <w:color w:val="000000"/>
                <w:kern w:val="0"/>
                <w:sz w:val="24"/>
                <w:szCs w:val="24"/>
                <w:highlight w:val="none"/>
                <w:u w:val="none"/>
                <w:lang w:val="en-US" w:eastAsia="zh-CN" w:bidi="ar"/>
              </w:rPr>
              <w:t>▲</w:t>
            </w:r>
          </w:p>
          <w:p w14:paraId="010A7E5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面板类型：IPS面板，广视角≥178°；</w:t>
            </w:r>
            <w:r>
              <w:rPr>
                <w:rFonts w:hint="eastAsia" w:ascii="仿宋" w:hAnsi="仿宋" w:eastAsia="仿宋" w:cs="仿宋"/>
                <w:i w:val="0"/>
                <w:iCs w:val="0"/>
                <w:color w:val="000000"/>
                <w:kern w:val="0"/>
                <w:sz w:val="24"/>
                <w:szCs w:val="24"/>
                <w:highlight w:val="none"/>
                <w:u w:val="none"/>
                <w:lang w:val="en-US" w:eastAsia="zh-CN" w:bidi="ar"/>
              </w:rPr>
              <w:t>▲</w:t>
            </w:r>
          </w:p>
          <w:p w14:paraId="08D9AD6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刷新率：≥60Hz；</w:t>
            </w:r>
            <w:r>
              <w:rPr>
                <w:rFonts w:hint="eastAsia" w:ascii="仿宋" w:hAnsi="仿宋" w:eastAsia="仿宋" w:cs="仿宋"/>
                <w:i w:val="0"/>
                <w:iCs w:val="0"/>
                <w:color w:val="000000"/>
                <w:kern w:val="0"/>
                <w:sz w:val="24"/>
                <w:szCs w:val="24"/>
                <w:highlight w:val="none"/>
                <w:u w:val="none"/>
                <w:lang w:val="en-US" w:eastAsia="zh-CN" w:bidi="ar"/>
              </w:rPr>
              <w:t>▲</w:t>
            </w:r>
          </w:p>
          <w:p w14:paraId="79F2D99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亮度：≥300尼特；</w:t>
            </w:r>
            <w:r>
              <w:rPr>
                <w:rFonts w:hint="eastAsia" w:ascii="仿宋" w:hAnsi="仿宋" w:eastAsia="仿宋" w:cs="仿宋"/>
                <w:i w:val="0"/>
                <w:iCs w:val="0"/>
                <w:color w:val="000000"/>
                <w:kern w:val="0"/>
                <w:sz w:val="24"/>
                <w:szCs w:val="24"/>
                <w:highlight w:val="none"/>
                <w:u w:val="none"/>
                <w:lang w:val="en-US" w:eastAsia="zh-CN" w:bidi="ar"/>
              </w:rPr>
              <w:t>▲</w:t>
            </w:r>
          </w:p>
          <w:p w14:paraId="0784614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对比度：≥1000:1；</w:t>
            </w:r>
            <w:r>
              <w:rPr>
                <w:rFonts w:hint="eastAsia" w:ascii="仿宋" w:hAnsi="仿宋" w:eastAsia="仿宋" w:cs="仿宋"/>
                <w:i w:val="0"/>
                <w:iCs w:val="0"/>
                <w:color w:val="000000"/>
                <w:kern w:val="0"/>
                <w:sz w:val="24"/>
                <w:szCs w:val="24"/>
                <w:highlight w:val="none"/>
                <w:u w:val="none"/>
                <w:lang w:val="en-US" w:eastAsia="zh-CN" w:bidi="ar"/>
              </w:rPr>
              <w:t>▲</w:t>
            </w:r>
          </w:p>
          <w:p w14:paraId="36DFB20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接口： HDMI、VGA、DP；</w:t>
            </w:r>
            <w:r>
              <w:rPr>
                <w:rFonts w:hint="eastAsia" w:ascii="仿宋" w:hAnsi="仿宋" w:eastAsia="仿宋" w:cs="仿宋"/>
                <w:i w:val="0"/>
                <w:iCs w:val="0"/>
                <w:color w:val="000000"/>
                <w:kern w:val="0"/>
                <w:sz w:val="24"/>
                <w:szCs w:val="24"/>
                <w:highlight w:val="none"/>
                <w:u w:val="none"/>
                <w:lang w:val="en-US" w:eastAsia="zh-CN" w:bidi="ar"/>
              </w:rPr>
              <w:t>▲</w:t>
            </w:r>
          </w:p>
          <w:p w14:paraId="345D8B3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8. 功能：支持挂壁，低蓝光护眼模式，色彩准确度ΔE&lt;2；</w:t>
            </w:r>
          </w:p>
        </w:tc>
        <w:tc>
          <w:tcPr>
            <w:tcW w:w="0" w:type="auto"/>
            <w:shd w:val="clear" w:color="auto" w:fill="auto"/>
            <w:noWrap w:val="0"/>
            <w:tcMar>
              <w:left w:w="108" w:type="dxa"/>
              <w:right w:w="108" w:type="dxa"/>
            </w:tcMar>
            <w:vAlign w:val="center"/>
          </w:tcPr>
          <w:p w14:paraId="4E51977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30</w:t>
            </w:r>
          </w:p>
        </w:tc>
        <w:tc>
          <w:tcPr>
            <w:tcW w:w="876" w:type="dxa"/>
            <w:shd w:val="clear" w:color="auto" w:fill="auto"/>
            <w:noWrap w:val="0"/>
            <w:tcMar>
              <w:left w:w="108" w:type="dxa"/>
              <w:right w:w="108" w:type="dxa"/>
            </w:tcMar>
            <w:vAlign w:val="center"/>
          </w:tcPr>
          <w:p w14:paraId="0C05250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台</w:t>
            </w:r>
          </w:p>
        </w:tc>
      </w:tr>
      <w:tr w14:paraId="4D9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178DB0A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shd w:val="clear" w:color="auto" w:fill="auto"/>
            <w:noWrap w:val="0"/>
            <w:tcMar>
              <w:left w:w="108" w:type="dxa"/>
              <w:right w:w="108" w:type="dxa"/>
            </w:tcMar>
            <w:vAlign w:val="center"/>
          </w:tcPr>
          <w:p w14:paraId="2252A4D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显示器27寸（高配）</w:t>
            </w:r>
          </w:p>
        </w:tc>
        <w:tc>
          <w:tcPr>
            <w:tcW w:w="5215" w:type="dxa"/>
            <w:shd w:val="clear" w:color="auto" w:fill="auto"/>
            <w:noWrap w:val="0"/>
            <w:tcMar>
              <w:left w:w="108" w:type="dxa"/>
              <w:right w:w="108" w:type="dxa"/>
            </w:tcMar>
            <w:vAlign w:val="center"/>
          </w:tcPr>
          <w:p w14:paraId="7947D22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屏幕尺寸：27英寸；</w:t>
            </w:r>
            <w:r>
              <w:rPr>
                <w:rFonts w:hint="eastAsia" w:ascii="仿宋" w:hAnsi="仿宋" w:eastAsia="仿宋" w:cs="仿宋"/>
                <w:i w:val="0"/>
                <w:iCs w:val="0"/>
                <w:color w:val="000000"/>
                <w:kern w:val="0"/>
                <w:sz w:val="24"/>
                <w:szCs w:val="24"/>
                <w:highlight w:val="none"/>
                <w:u w:val="none"/>
                <w:lang w:val="en-US" w:eastAsia="zh-CN" w:bidi="ar"/>
              </w:rPr>
              <w:t>★</w:t>
            </w:r>
          </w:p>
          <w:p w14:paraId="6D18729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分辨率≥2560×1440；</w:t>
            </w:r>
            <w:r>
              <w:rPr>
                <w:rFonts w:hint="eastAsia" w:ascii="仿宋" w:hAnsi="仿宋" w:eastAsia="仿宋" w:cs="仿宋"/>
                <w:i w:val="0"/>
                <w:iCs w:val="0"/>
                <w:color w:val="000000"/>
                <w:kern w:val="0"/>
                <w:sz w:val="24"/>
                <w:szCs w:val="24"/>
                <w:highlight w:val="none"/>
                <w:u w:val="none"/>
                <w:lang w:val="en-US" w:eastAsia="zh-CN" w:bidi="ar"/>
              </w:rPr>
              <w:t>▲</w:t>
            </w:r>
          </w:p>
          <w:p w14:paraId="112A5EB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面板类型：IPS面板，广视角≥178°；</w:t>
            </w:r>
            <w:r>
              <w:rPr>
                <w:rFonts w:hint="eastAsia" w:ascii="仿宋" w:hAnsi="仿宋" w:eastAsia="仿宋" w:cs="仿宋"/>
                <w:i w:val="0"/>
                <w:iCs w:val="0"/>
                <w:color w:val="000000"/>
                <w:kern w:val="0"/>
                <w:sz w:val="24"/>
                <w:szCs w:val="24"/>
                <w:highlight w:val="none"/>
                <w:u w:val="none"/>
                <w:lang w:val="en-US" w:eastAsia="zh-CN" w:bidi="ar"/>
              </w:rPr>
              <w:t>▲</w:t>
            </w:r>
          </w:p>
          <w:p w14:paraId="53EB9009">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刷新率：≥100Hz；</w:t>
            </w:r>
            <w:r>
              <w:rPr>
                <w:rFonts w:hint="eastAsia" w:ascii="仿宋" w:hAnsi="仿宋" w:eastAsia="仿宋" w:cs="仿宋"/>
                <w:i w:val="0"/>
                <w:iCs w:val="0"/>
                <w:color w:val="000000"/>
                <w:kern w:val="0"/>
                <w:sz w:val="24"/>
                <w:szCs w:val="24"/>
                <w:highlight w:val="none"/>
                <w:u w:val="none"/>
                <w:lang w:val="en-US" w:eastAsia="zh-CN" w:bidi="ar"/>
              </w:rPr>
              <w:t>▲</w:t>
            </w:r>
          </w:p>
          <w:p w14:paraId="1F11CFF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亮度：≥300尼特；</w:t>
            </w:r>
            <w:r>
              <w:rPr>
                <w:rFonts w:hint="eastAsia" w:ascii="仿宋" w:hAnsi="仿宋" w:eastAsia="仿宋" w:cs="仿宋"/>
                <w:i w:val="0"/>
                <w:iCs w:val="0"/>
                <w:color w:val="000000"/>
                <w:kern w:val="0"/>
                <w:sz w:val="24"/>
                <w:szCs w:val="24"/>
                <w:highlight w:val="none"/>
                <w:u w:val="none"/>
                <w:lang w:val="en-US" w:eastAsia="zh-CN" w:bidi="ar"/>
              </w:rPr>
              <w:t>▲</w:t>
            </w:r>
          </w:p>
          <w:p w14:paraId="20ACD3E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对比度：≥1000:1；</w:t>
            </w:r>
            <w:r>
              <w:rPr>
                <w:rFonts w:hint="eastAsia" w:ascii="仿宋" w:hAnsi="仿宋" w:eastAsia="仿宋" w:cs="仿宋"/>
                <w:i w:val="0"/>
                <w:iCs w:val="0"/>
                <w:color w:val="000000"/>
                <w:kern w:val="0"/>
                <w:sz w:val="24"/>
                <w:szCs w:val="24"/>
                <w:highlight w:val="none"/>
                <w:u w:val="none"/>
                <w:lang w:val="en-US" w:eastAsia="zh-CN" w:bidi="ar"/>
              </w:rPr>
              <w:t>▲</w:t>
            </w:r>
          </w:p>
          <w:p w14:paraId="2CD1C5B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接口：HDMI、DP、电源接口；</w:t>
            </w:r>
            <w:r>
              <w:rPr>
                <w:rFonts w:hint="eastAsia" w:ascii="仿宋" w:hAnsi="仿宋" w:eastAsia="仿宋" w:cs="仿宋"/>
                <w:i w:val="0"/>
                <w:iCs w:val="0"/>
                <w:color w:val="000000"/>
                <w:kern w:val="0"/>
                <w:sz w:val="24"/>
                <w:szCs w:val="24"/>
                <w:highlight w:val="none"/>
                <w:u w:val="none"/>
                <w:lang w:val="en-US" w:eastAsia="zh-CN" w:bidi="ar"/>
              </w:rPr>
              <w:t>▲</w:t>
            </w:r>
          </w:p>
          <w:p w14:paraId="25216AF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8. 功能：支持壁挂，低蓝光护眼模式，色彩准确度ΔE&lt;2；</w:t>
            </w:r>
          </w:p>
        </w:tc>
        <w:tc>
          <w:tcPr>
            <w:tcW w:w="0" w:type="auto"/>
            <w:shd w:val="clear" w:color="auto" w:fill="auto"/>
            <w:noWrap w:val="0"/>
            <w:tcMar>
              <w:left w:w="108" w:type="dxa"/>
              <w:right w:w="108" w:type="dxa"/>
            </w:tcMar>
            <w:vAlign w:val="center"/>
          </w:tcPr>
          <w:p w14:paraId="183ACF2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shd w:val="clear" w:color="auto" w:fill="auto"/>
            <w:noWrap w:val="0"/>
            <w:tcMar>
              <w:left w:w="108" w:type="dxa"/>
              <w:right w:w="108" w:type="dxa"/>
            </w:tcMar>
            <w:vAlign w:val="center"/>
          </w:tcPr>
          <w:p w14:paraId="54AF328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台</w:t>
            </w:r>
          </w:p>
        </w:tc>
      </w:tr>
      <w:tr w14:paraId="1C10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1709A77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noWrap w:val="0"/>
            <w:tcMar>
              <w:left w:w="108" w:type="dxa"/>
              <w:right w:w="108" w:type="dxa"/>
            </w:tcMar>
            <w:vAlign w:val="center"/>
          </w:tcPr>
          <w:p w14:paraId="243A16E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无线键盘鼠标套装</w:t>
            </w:r>
          </w:p>
        </w:tc>
        <w:tc>
          <w:tcPr>
            <w:tcW w:w="5215" w:type="dxa"/>
            <w:noWrap w:val="0"/>
            <w:tcMar>
              <w:left w:w="108" w:type="dxa"/>
              <w:right w:w="108" w:type="dxa"/>
            </w:tcMar>
            <w:vAlign w:val="center"/>
          </w:tcPr>
          <w:p w14:paraId="0F938CE3">
            <w:pPr>
              <w:keepNext/>
              <w:keepLines w:val="0"/>
              <w:widowControl/>
              <w:numPr>
                <w:ilvl w:val="0"/>
                <w:numId w:val="7"/>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连接方式：2.4GHz无线，有效距离≥10米；</w:t>
            </w:r>
            <w:r>
              <w:rPr>
                <w:rFonts w:hint="eastAsia" w:ascii="仿宋" w:hAnsi="仿宋" w:eastAsia="仿宋" w:cs="仿宋"/>
                <w:color w:val="000000"/>
                <w:kern w:val="2"/>
                <w:sz w:val="24"/>
                <w:szCs w:val="24"/>
                <w:highlight w:val="none"/>
                <w:lang w:eastAsia="zh-CN"/>
              </w:rPr>
              <w:t>★</w:t>
            </w:r>
          </w:p>
          <w:p w14:paraId="0AE2F620">
            <w:pPr>
              <w:keepNext/>
              <w:keepLines w:val="0"/>
              <w:widowControl/>
              <w:numPr>
                <w:ilvl w:val="0"/>
                <w:numId w:val="7"/>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键盘：全尺寸布局，带数字小键盘，按键寿命≥1000万次；</w:t>
            </w:r>
            <w:r>
              <w:rPr>
                <w:rFonts w:hint="eastAsia" w:ascii="仿宋" w:hAnsi="仿宋" w:eastAsia="仿宋" w:cs="仿宋"/>
                <w:color w:val="000000"/>
                <w:kern w:val="2"/>
                <w:sz w:val="24"/>
                <w:szCs w:val="24"/>
                <w:highlight w:val="none"/>
                <w:lang w:val="en-US" w:eastAsia="zh-CN"/>
              </w:rPr>
              <w:t>▲</w:t>
            </w:r>
          </w:p>
          <w:p w14:paraId="775C62E9">
            <w:pPr>
              <w:keepNext/>
              <w:keepLines w:val="0"/>
              <w:widowControl/>
              <w:numPr>
                <w:ilvl w:val="0"/>
                <w:numId w:val="7"/>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鼠标：光学传感器，分辨率≥1000DPI，支持多档调节；</w:t>
            </w:r>
            <w:r>
              <w:rPr>
                <w:rFonts w:hint="eastAsia" w:ascii="仿宋" w:hAnsi="仿宋" w:eastAsia="仿宋" w:cs="仿宋"/>
                <w:color w:val="000000"/>
                <w:kern w:val="2"/>
                <w:sz w:val="24"/>
                <w:szCs w:val="24"/>
                <w:highlight w:val="none"/>
                <w:lang w:val="en-US" w:eastAsia="zh-CN"/>
              </w:rPr>
              <w:t>▲</w:t>
            </w:r>
          </w:p>
          <w:p w14:paraId="513A8D8A">
            <w:pPr>
              <w:keepNext/>
              <w:keepLines w:val="0"/>
              <w:widowControl/>
              <w:numPr>
                <w:ilvl w:val="0"/>
                <w:numId w:val="7"/>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续航：键盘续航≥12个月，鼠标续航≥6个月（正常使用）；</w:t>
            </w:r>
            <w:r>
              <w:rPr>
                <w:rFonts w:hint="eastAsia" w:ascii="仿宋" w:hAnsi="仿宋" w:eastAsia="仿宋" w:cs="仿宋"/>
                <w:color w:val="000000"/>
                <w:kern w:val="2"/>
                <w:sz w:val="24"/>
                <w:szCs w:val="24"/>
                <w:highlight w:val="none"/>
                <w:lang w:val="en-US" w:eastAsia="zh-CN"/>
              </w:rPr>
              <w:t>▲</w:t>
            </w:r>
          </w:p>
          <w:p w14:paraId="1BD204DC">
            <w:pPr>
              <w:keepNext/>
              <w:keepLines w:val="0"/>
              <w:widowControl/>
              <w:numPr>
                <w:ilvl w:val="0"/>
                <w:numId w:val="7"/>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兼容性：支持Windows、Mac OS系统；</w:t>
            </w:r>
            <w:r>
              <w:rPr>
                <w:rFonts w:hint="eastAsia" w:ascii="仿宋" w:hAnsi="仿宋" w:eastAsia="仿宋" w:cs="仿宋"/>
                <w:color w:val="000000"/>
                <w:kern w:val="2"/>
                <w:sz w:val="24"/>
                <w:szCs w:val="24"/>
                <w:highlight w:val="none"/>
                <w:lang w:val="en-US" w:eastAsia="zh-CN"/>
              </w:rPr>
              <w:t>▲</w:t>
            </w:r>
          </w:p>
          <w:p w14:paraId="66C0900C">
            <w:pPr>
              <w:keepNext/>
              <w:keepLines w:val="0"/>
              <w:widowControl/>
              <w:numPr>
                <w:ilvl w:val="0"/>
                <w:numId w:val="7"/>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 材质：环保ABS材质，防泼溅设计；</w:t>
            </w:r>
          </w:p>
        </w:tc>
        <w:tc>
          <w:tcPr>
            <w:tcW w:w="0" w:type="auto"/>
            <w:noWrap w:val="0"/>
            <w:tcMar>
              <w:left w:w="108" w:type="dxa"/>
              <w:right w:w="108" w:type="dxa"/>
            </w:tcMar>
            <w:vAlign w:val="center"/>
          </w:tcPr>
          <w:p w14:paraId="02B5CBC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876" w:type="dxa"/>
            <w:noWrap w:val="0"/>
            <w:tcMar>
              <w:left w:w="108" w:type="dxa"/>
              <w:right w:w="108" w:type="dxa"/>
            </w:tcMar>
            <w:vAlign w:val="center"/>
          </w:tcPr>
          <w:p w14:paraId="5B281B5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26A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024F510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13</w:t>
            </w:r>
          </w:p>
        </w:tc>
        <w:tc>
          <w:tcPr>
            <w:tcW w:w="0" w:type="auto"/>
            <w:noWrap w:val="0"/>
            <w:tcMar>
              <w:left w:w="108" w:type="dxa"/>
              <w:right w:w="108" w:type="dxa"/>
            </w:tcMar>
            <w:vAlign w:val="center"/>
          </w:tcPr>
          <w:p w14:paraId="75EFF57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无线鼠标</w:t>
            </w:r>
          </w:p>
        </w:tc>
        <w:tc>
          <w:tcPr>
            <w:tcW w:w="5215" w:type="dxa"/>
            <w:noWrap w:val="0"/>
            <w:tcMar>
              <w:left w:w="108" w:type="dxa"/>
              <w:right w:w="108" w:type="dxa"/>
            </w:tcMar>
            <w:vAlign w:val="center"/>
          </w:tcPr>
          <w:p w14:paraId="7926B4A2">
            <w:pPr>
              <w:keepNext/>
              <w:keepLines w:val="0"/>
              <w:widowControl/>
              <w:numPr>
                <w:ilvl w:val="0"/>
                <w:numId w:val="8"/>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连接方式：2.4GHz无线，有效距离≥10米；</w:t>
            </w:r>
            <w:r>
              <w:rPr>
                <w:rFonts w:hint="eastAsia" w:ascii="仿宋" w:hAnsi="仿宋" w:eastAsia="仿宋" w:cs="仿宋"/>
                <w:color w:val="000000"/>
                <w:kern w:val="2"/>
                <w:sz w:val="24"/>
                <w:szCs w:val="24"/>
                <w:highlight w:val="none"/>
                <w:lang w:eastAsia="zh-CN"/>
              </w:rPr>
              <w:t>★</w:t>
            </w:r>
          </w:p>
          <w:p w14:paraId="2E40E818">
            <w:pPr>
              <w:keepNext/>
              <w:keepLines w:val="0"/>
              <w:widowControl/>
              <w:numPr>
                <w:ilvl w:val="0"/>
                <w:numId w:val="8"/>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鼠标：光学传感器，分辨率≥1000DPI，支持多档调节；</w:t>
            </w:r>
            <w:r>
              <w:rPr>
                <w:rFonts w:hint="eastAsia" w:ascii="仿宋" w:hAnsi="仿宋" w:eastAsia="仿宋" w:cs="仿宋"/>
                <w:color w:val="000000"/>
                <w:kern w:val="2"/>
                <w:sz w:val="24"/>
                <w:szCs w:val="24"/>
                <w:highlight w:val="none"/>
                <w:lang w:val="en-US" w:eastAsia="zh-CN"/>
              </w:rPr>
              <w:t>▲</w:t>
            </w:r>
          </w:p>
          <w:p w14:paraId="493E169D">
            <w:pPr>
              <w:keepNext/>
              <w:keepLines w:val="0"/>
              <w:widowControl/>
              <w:numPr>
                <w:ilvl w:val="0"/>
                <w:numId w:val="8"/>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color w:val="000000"/>
                <w:kern w:val="2"/>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续航：鼠标续航≥6个月（正常使用）；</w:t>
            </w:r>
            <w:r>
              <w:rPr>
                <w:rFonts w:hint="eastAsia" w:ascii="仿宋" w:hAnsi="仿宋" w:eastAsia="仿宋" w:cs="仿宋"/>
                <w:color w:val="000000"/>
                <w:kern w:val="2"/>
                <w:sz w:val="24"/>
                <w:szCs w:val="24"/>
                <w:highlight w:val="none"/>
                <w:lang w:val="en-US" w:eastAsia="zh-CN"/>
              </w:rPr>
              <w:t>▲</w:t>
            </w:r>
          </w:p>
          <w:p w14:paraId="423D06B9">
            <w:pPr>
              <w:keepNext/>
              <w:keepLines w:val="0"/>
              <w:widowControl/>
              <w:numPr>
                <w:ilvl w:val="0"/>
                <w:numId w:val="8"/>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color w:val="000000"/>
                <w:kern w:val="2"/>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兼容性：支持Windows、Mac OS系统；</w:t>
            </w:r>
            <w:r>
              <w:rPr>
                <w:rFonts w:hint="eastAsia" w:ascii="仿宋" w:hAnsi="仿宋" w:eastAsia="仿宋" w:cs="仿宋"/>
                <w:color w:val="000000"/>
                <w:kern w:val="2"/>
                <w:sz w:val="24"/>
                <w:szCs w:val="24"/>
                <w:highlight w:val="none"/>
                <w:lang w:val="en-US" w:eastAsia="zh-CN"/>
              </w:rPr>
              <w:t>▲</w:t>
            </w:r>
          </w:p>
          <w:p w14:paraId="66B83D35">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 材质：环保ABS材质，防泼溅设计；</w:t>
            </w:r>
          </w:p>
        </w:tc>
        <w:tc>
          <w:tcPr>
            <w:tcW w:w="0" w:type="auto"/>
            <w:noWrap w:val="0"/>
            <w:tcMar>
              <w:left w:w="108" w:type="dxa"/>
              <w:right w:w="108" w:type="dxa"/>
            </w:tcMar>
            <w:vAlign w:val="center"/>
          </w:tcPr>
          <w:p w14:paraId="77BD1EE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w:t>
            </w:r>
          </w:p>
        </w:tc>
        <w:tc>
          <w:tcPr>
            <w:tcW w:w="876" w:type="dxa"/>
            <w:noWrap w:val="0"/>
            <w:tcMar>
              <w:left w:w="108" w:type="dxa"/>
              <w:right w:w="108" w:type="dxa"/>
            </w:tcMar>
            <w:vAlign w:val="center"/>
          </w:tcPr>
          <w:p w14:paraId="2773990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7F7C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67E3817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14</w:t>
            </w:r>
          </w:p>
        </w:tc>
        <w:tc>
          <w:tcPr>
            <w:tcW w:w="0" w:type="auto"/>
            <w:noWrap w:val="0"/>
            <w:tcMar>
              <w:left w:w="108" w:type="dxa"/>
              <w:right w:w="108" w:type="dxa"/>
            </w:tcMar>
            <w:vAlign w:val="center"/>
          </w:tcPr>
          <w:p w14:paraId="58DD784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智能录音笔</w:t>
            </w:r>
          </w:p>
        </w:tc>
        <w:tc>
          <w:tcPr>
            <w:tcW w:w="5215" w:type="dxa"/>
            <w:noWrap w:val="0"/>
            <w:tcMar>
              <w:left w:w="108" w:type="dxa"/>
              <w:right w:w="108" w:type="dxa"/>
            </w:tcMar>
            <w:vAlign w:val="center"/>
          </w:tcPr>
          <w:p w14:paraId="2915DF95">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录音格式：支持MP3、WAV、FLAC等格式；</w:t>
            </w:r>
            <w:r>
              <w:rPr>
                <w:rFonts w:hint="eastAsia" w:ascii="仿宋" w:hAnsi="仿宋" w:eastAsia="仿宋" w:cs="仿宋"/>
                <w:color w:val="000000"/>
                <w:kern w:val="2"/>
                <w:sz w:val="24"/>
                <w:szCs w:val="24"/>
                <w:highlight w:val="none"/>
                <w:lang w:val="en-US" w:eastAsia="zh-CN"/>
              </w:rPr>
              <w:t>▲</w:t>
            </w:r>
          </w:p>
          <w:p w14:paraId="7CE3AE1F">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采样率：≥48kHz，比特率≥192kbps；</w:t>
            </w:r>
            <w:r>
              <w:rPr>
                <w:rFonts w:hint="eastAsia" w:ascii="仿宋" w:hAnsi="仿宋" w:eastAsia="仿宋" w:cs="仿宋"/>
                <w:color w:val="000000"/>
                <w:kern w:val="2"/>
                <w:sz w:val="24"/>
                <w:szCs w:val="24"/>
                <w:highlight w:val="none"/>
                <w:lang w:val="en-US" w:eastAsia="zh-CN"/>
              </w:rPr>
              <w:t>▲</w:t>
            </w:r>
          </w:p>
          <w:p w14:paraId="1B4DA969">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降噪：支持AI智能降噪，人声增强；</w:t>
            </w:r>
            <w:r>
              <w:rPr>
                <w:rFonts w:hint="eastAsia" w:ascii="仿宋" w:hAnsi="仿宋" w:eastAsia="仿宋" w:cs="仿宋"/>
                <w:color w:val="000000"/>
                <w:kern w:val="2"/>
                <w:sz w:val="24"/>
                <w:szCs w:val="24"/>
                <w:highlight w:val="none"/>
                <w:lang w:val="en-US" w:eastAsia="zh-CN"/>
              </w:rPr>
              <w:t>▲</w:t>
            </w:r>
          </w:p>
          <w:p w14:paraId="095B6F42">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转写：支持实时语音转文字，准确率≥98%；</w:t>
            </w:r>
            <w:r>
              <w:rPr>
                <w:rFonts w:hint="eastAsia" w:ascii="仿宋" w:hAnsi="仿宋" w:eastAsia="仿宋" w:cs="仿宋"/>
                <w:color w:val="000000"/>
                <w:kern w:val="2"/>
                <w:sz w:val="24"/>
                <w:szCs w:val="24"/>
                <w:highlight w:val="none"/>
                <w:lang w:val="en-US" w:eastAsia="zh-CN"/>
              </w:rPr>
              <w:t>▲</w:t>
            </w:r>
          </w:p>
          <w:p w14:paraId="26BB558D">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存储：内置存储≥16GB，支持扩展；</w:t>
            </w:r>
            <w:r>
              <w:rPr>
                <w:rFonts w:hint="eastAsia" w:ascii="仿宋" w:hAnsi="仿宋" w:eastAsia="仿宋" w:cs="仿宋"/>
                <w:color w:val="000000"/>
                <w:kern w:val="2"/>
                <w:sz w:val="24"/>
                <w:szCs w:val="24"/>
                <w:highlight w:val="none"/>
                <w:lang w:val="en-US" w:eastAsia="zh-CN"/>
              </w:rPr>
              <w:t>▲</w:t>
            </w:r>
          </w:p>
          <w:p w14:paraId="16D6FF9A">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续航：连续录音≥10小时；</w:t>
            </w:r>
          </w:p>
          <w:p w14:paraId="0E2329B3">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屏幕：≥2.0英寸触控屏；</w:t>
            </w:r>
          </w:p>
          <w:p w14:paraId="3B4DD9FC">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 功能：支持多语言识别，会议模式，电话录音；</w:t>
            </w:r>
          </w:p>
        </w:tc>
        <w:tc>
          <w:tcPr>
            <w:tcW w:w="0" w:type="auto"/>
            <w:noWrap w:val="0"/>
            <w:tcMar>
              <w:left w:w="108" w:type="dxa"/>
              <w:right w:w="108" w:type="dxa"/>
            </w:tcMar>
            <w:vAlign w:val="center"/>
          </w:tcPr>
          <w:p w14:paraId="2EE55A1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876" w:type="dxa"/>
            <w:noWrap w:val="0"/>
            <w:tcMar>
              <w:left w:w="108" w:type="dxa"/>
              <w:right w:w="108" w:type="dxa"/>
            </w:tcMar>
            <w:vAlign w:val="center"/>
          </w:tcPr>
          <w:p w14:paraId="1E6DEE7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5F87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48EBD41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15</w:t>
            </w:r>
          </w:p>
        </w:tc>
        <w:tc>
          <w:tcPr>
            <w:tcW w:w="0" w:type="auto"/>
            <w:noWrap w:val="0"/>
            <w:tcMar>
              <w:left w:w="108" w:type="dxa"/>
              <w:right w:w="108" w:type="dxa"/>
            </w:tcMar>
            <w:vAlign w:val="center"/>
          </w:tcPr>
          <w:p w14:paraId="15E9D6D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IP电话机</w:t>
            </w:r>
          </w:p>
        </w:tc>
        <w:tc>
          <w:tcPr>
            <w:tcW w:w="5215" w:type="dxa"/>
            <w:noWrap w:val="0"/>
            <w:tcMar>
              <w:left w:w="108" w:type="dxa"/>
              <w:right w:w="108" w:type="dxa"/>
            </w:tcMar>
            <w:vAlign w:val="center"/>
          </w:tcPr>
          <w:p w14:paraId="254A788C">
            <w:pPr>
              <w:keepNext/>
              <w:keepLines w:val="0"/>
              <w:widowControl/>
              <w:numPr>
                <w:ilvl w:val="0"/>
                <w:numId w:val="1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类型：SIP协议IP电话机；</w:t>
            </w:r>
            <w:r>
              <w:rPr>
                <w:rFonts w:hint="eastAsia" w:ascii="仿宋" w:hAnsi="仿宋" w:eastAsia="仿宋" w:cs="仿宋"/>
                <w:color w:val="000000"/>
                <w:kern w:val="2"/>
                <w:sz w:val="24"/>
                <w:szCs w:val="24"/>
                <w:highlight w:val="none"/>
                <w:lang w:eastAsia="zh-CN"/>
              </w:rPr>
              <w:t>★</w:t>
            </w:r>
          </w:p>
          <w:p w14:paraId="77520FEF">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 显示：≥2.4英寸彩色液晶屏；</w:t>
            </w:r>
            <w:r>
              <w:rPr>
                <w:rFonts w:hint="eastAsia" w:ascii="仿宋" w:hAnsi="仿宋" w:eastAsia="仿宋" w:cs="仿宋"/>
                <w:color w:val="000000"/>
                <w:kern w:val="2"/>
                <w:sz w:val="24"/>
                <w:szCs w:val="24"/>
                <w:highlight w:val="none"/>
                <w:lang w:val="en-US" w:eastAsia="zh-CN"/>
              </w:rPr>
              <w:t>▲</w:t>
            </w:r>
          </w:p>
          <w:p w14:paraId="174F74A1">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 按键：支持可编程按键，导航键；</w:t>
            </w:r>
            <w:r>
              <w:rPr>
                <w:rFonts w:hint="eastAsia" w:ascii="仿宋" w:hAnsi="仿宋" w:eastAsia="仿宋" w:cs="仿宋"/>
                <w:color w:val="000000"/>
                <w:kern w:val="2"/>
                <w:sz w:val="24"/>
                <w:szCs w:val="24"/>
                <w:highlight w:val="none"/>
                <w:lang w:val="en-US" w:eastAsia="zh-CN"/>
              </w:rPr>
              <w:t>▲</w:t>
            </w:r>
          </w:p>
          <w:p w14:paraId="79C77132">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 网络：支持千兆以太网，PoE供电；</w:t>
            </w:r>
            <w:r>
              <w:rPr>
                <w:rFonts w:hint="eastAsia" w:ascii="仿宋" w:hAnsi="仿宋" w:eastAsia="仿宋" w:cs="仿宋"/>
                <w:color w:val="000000"/>
                <w:kern w:val="2"/>
                <w:sz w:val="24"/>
                <w:szCs w:val="24"/>
                <w:highlight w:val="none"/>
                <w:lang w:val="en-US" w:eastAsia="zh-CN"/>
              </w:rPr>
              <w:t>▲</w:t>
            </w:r>
          </w:p>
          <w:p w14:paraId="1E2B7D17">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 音频：支持HD高清语音，回声消除；</w:t>
            </w:r>
            <w:r>
              <w:rPr>
                <w:rFonts w:hint="eastAsia" w:ascii="仿宋" w:hAnsi="仿宋" w:eastAsia="仿宋" w:cs="仿宋"/>
                <w:color w:val="000000"/>
                <w:kern w:val="2"/>
                <w:sz w:val="24"/>
                <w:szCs w:val="24"/>
                <w:highlight w:val="none"/>
                <w:lang w:val="en-US" w:eastAsia="zh-CN"/>
              </w:rPr>
              <w:t>▲</w:t>
            </w:r>
          </w:p>
          <w:p w14:paraId="7012C11C">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 功能：支持三方通话，呼叫转移，语音信箱；</w:t>
            </w:r>
            <w:r>
              <w:rPr>
                <w:rFonts w:hint="eastAsia" w:ascii="仿宋" w:hAnsi="仿宋" w:eastAsia="仿宋" w:cs="仿宋"/>
                <w:color w:val="000000"/>
                <w:kern w:val="2"/>
                <w:sz w:val="24"/>
                <w:szCs w:val="24"/>
                <w:highlight w:val="none"/>
                <w:lang w:val="en-US" w:eastAsia="zh-CN"/>
              </w:rPr>
              <w:t>▲</w:t>
            </w:r>
          </w:p>
          <w:p w14:paraId="326DC84A">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 兼容性：支持主流IP PBX系统；</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16D1458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876" w:type="dxa"/>
            <w:noWrap w:val="0"/>
            <w:tcMar>
              <w:left w:w="108" w:type="dxa"/>
              <w:right w:w="108" w:type="dxa"/>
            </w:tcMar>
            <w:vAlign w:val="center"/>
          </w:tcPr>
          <w:p w14:paraId="5537BB4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1DC6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4A52F71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16</w:t>
            </w:r>
          </w:p>
        </w:tc>
        <w:tc>
          <w:tcPr>
            <w:tcW w:w="0" w:type="auto"/>
            <w:noWrap w:val="0"/>
            <w:tcMar>
              <w:left w:w="108" w:type="dxa"/>
              <w:right w:w="108" w:type="dxa"/>
            </w:tcMar>
            <w:vAlign w:val="center"/>
          </w:tcPr>
          <w:p w14:paraId="030DBA1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外置DVD刻录机</w:t>
            </w:r>
          </w:p>
        </w:tc>
        <w:tc>
          <w:tcPr>
            <w:tcW w:w="5215" w:type="dxa"/>
            <w:noWrap w:val="0"/>
            <w:tcMar>
              <w:left w:w="108" w:type="dxa"/>
              <w:right w:w="108" w:type="dxa"/>
            </w:tcMar>
            <w:vAlign w:val="center"/>
          </w:tcPr>
          <w:p w14:paraId="01B6F6B7">
            <w:pPr>
              <w:keepNext/>
              <w:keepLines w:val="0"/>
              <w:widowControl/>
              <w:numPr>
                <w:ilvl w:val="0"/>
                <w:numId w:val="11"/>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类型：外置USB3.0 DVD刻录机；</w:t>
            </w:r>
            <w:r>
              <w:rPr>
                <w:rFonts w:hint="eastAsia" w:ascii="仿宋" w:hAnsi="仿宋" w:eastAsia="仿宋" w:cs="仿宋"/>
                <w:color w:val="000000"/>
                <w:kern w:val="2"/>
                <w:sz w:val="24"/>
                <w:szCs w:val="24"/>
                <w:highlight w:val="none"/>
                <w:lang w:eastAsia="zh-CN"/>
              </w:rPr>
              <w:t>★</w:t>
            </w:r>
          </w:p>
          <w:p w14:paraId="00B57714">
            <w:pPr>
              <w:keepNext/>
              <w:keepLines w:val="0"/>
              <w:widowControl/>
              <w:numPr>
                <w:ilvl w:val="0"/>
                <w:numId w:val="11"/>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支持格式：DVD±R/RW、CD-R/RW；</w:t>
            </w:r>
            <w:r>
              <w:rPr>
                <w:rFonts w:hint="eastAsia" w:ascii="仿宋" w:hAnsi="仿宋" w:eastAsia="仿宋" w:cs="仿宋"/>
                <w:color w:val="000000"/>
                <w:kern w:val="2"/>
                <w:sz w:val="24"/>
                <w:szCs w:val="24"/>
                <w:highlight w:val="none"/>
                <w:lang w:val="en-US" w:eastAsia="zh-CN"/>
              </w:rPr>
              <w:t>▲</w:t>
            </w:r>
          </w:p>
          <w:p w14:paraId="17C4204A">
            <w:pPr>
              <w:keepNext/>
              <w:keepLines w:val="0"/>
              <w:widowControl/>
              <w:numPr>
                <w:ilvl w:val="0"/>
                <w:numId w:val="11"/>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速度：DVD刻录≥8X，CD刻录≥24X；</w:t>
            </w:r>
            <w:r>
              <w:rPr>
                <w:rFonts w:hint="eastAsia" w:ascii="仿宋" w:hAnsi="仿宋" w:eastAsia="仿宋" w:cs="仿宋"/>
                <w:color w:val="000000"/>
                <w:kern w:val="2"/>
                <w:sz w:val="24"/>
                <w:szCs w:val="24"/>
                <w:highlight w:val="none"/>
                <w:lang w:val="en-US" w:eastAsia="zh-CN"/>
              </w:rPr>
              <w:t>▲</w:t>
            </w:r>
          </w:p>
          <w:p w14:paraId="45F26065">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 接口：USB3.0，兼容USB2.0；</w:t>
            </w:r>
            <w:r>
              <w:rPr>
                <w:rFonts w:hint="eastAsia" w:ascii="仿宋" w:hAnsi="仿宋" w:eastAsia="仿宋" w:cs="仿宋"/>
                <w:color w:val="000000"/>
                <w:kern w:val="2"/>
                <w:sz w:val="24"/>
                <w:szCs w:val="24"/>
                <w:highlight w:val="none"/>
                <w:lang w:val="en-US" w:eastAsia="zh-CN"/>
              </w:rPr>
              <w:t>▲</w:t>
            </w:r>
          </w:p>
          <w:p w14:paraId="6DA92EE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color w:val="000000"/>
                <w:kern w:val="2"/>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 兼容性：支持Windows、Mac OS系统；</w:t>
            </w:r>
            <w:r>
              <w:rPr>
                <w:rFonts w:hint="eastAsia" w:ascii="仿宋" w:hAnsi="仿宋" w:eastAsia="仿宋" w:cs="仿宋"/>
                <w:color w:val="000000"/>
                <w:kern w:val="2"/>
                <w:sz w:val="24"/>
                <w:szCs w:val="24"/>
                <w:highlight w:val="none"/>
                <w:lang w:val="en-US" w:eastAsia="zh-CN"/>
              </w:rPr>
              <w:t>▲</w:t>
            </w:r>
          </w:p>
          <w:p w14:paraId="44F59E6F">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 设计：便携超薄，重量≤300g；</w:t>
            </w:r>
          </w:p>
          <w:p w14:paraId="5B786C78">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 功能：支持即插即用，无需外接电源；</w:t>
            </w:r>
            <w:r>
              <w:rPr>
                <w:rFonts w:hint="eastAsia" w:ascii="仿宋" w:hAnsi="仿宋" w:eastAsia="仿宋" w:cs="仿宋"/>
                <w:color w:val="000000"/>
                <w:kern w:val="2"/>
                <w:sz w:val="24"/>
                <w:szCs w:val="24"/>
                <w:highlight w:val="none"/>
                <w:lang w:val="en-US" w:eastAsia="zh-CN"/>
              </w:rPr>
              <w:t>▲</w:t>
            </w:r>
          </w:p>
        </w:tc>
        <w:tc>
          <w:tcPr>
            <w:tcW w:w="0" w:type="auto"/>
            <w:noWrap w:val="0"/>
            <w:tcMar>
              <w:left w:w="108" w:type="dxa"/>
              <w:right w:w="108" w:type="dxa"/>
            </w:tcMar>
            <w:vAlign w:val="center"/>
          </w:tcPr>
          <w:p w14:paraId="63DCA94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876" w:type="dxa"/>
            <w:noWrap w:val="0"/>
            <w:tcMar>
              <w:left w:w="108" w:type="dxa"/>
              <w:right w:w="108" w:type="dxa"/>
            </w:tcMar>
            <w:vAlign w:val="center"/>
          </w:tcPr>
          <w:p w14:paraId="1D40165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57C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27A6383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17</w:t>
            </w:r>
          </w:p>
        </w:tc>
        <w:tc>
          <w:tcPr>
            <w:tcW w:w="0" w:type="auto"/>
            <w:noWrap w:val="0"/>
            <w:tcMar>
              <w:left w:w="108" w:type="dxa"/>
              <w:right w:w="108" w:type="dxa"/>
            </w:tcMar>
            <w:vAlign w:val="center"/>
          </w:tcPr>
          <w:p w14:paraId="7A0A47A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智能办公本</w:t>
            </w:r>
          </w:p>
        </w:tc>
        <w:tc>
          <w:tcPr>
            <w:tcW w:w="5215" w:type="dxa"/>
            <w:noWrap w:val="0"/>
            <w:tcMar>
              <w:left w:w="108" w:type="dxa"/>
              <w:right w:w="108" w:type="dxa"/>
            </w:tcMar>
            <w:vAlign w:val="center"/>
          </w:tcPr>
          <w:p w14:paraId="2BDE4947">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1.屏幕：</w:t>
            </w:r>
            <w:r>
              <w:rPr>
                <w:rFonts w:hint="eastAsia" w:ascii="仿宋" w:hAnsi="仿宋" w:eastAsia="仿宋" w:cs="仿宋"/>
                <w:i w:val="0"/>
                <w:iCs w:val="0"/>
                <w:color w:val="000000"/>
                <w:sz w:val="24"/>
                <w:szCs w:val="24"/>
                <w:highlight w:val="none"/>
                <w:u w:val="none"/>
                <w:lang w:val="en-US" w:eastAsia="zh-CN"/>
              </w:rPr>
              <w:t>9.7-</w:t>
            </w:r>
            <w:r>
              <w:rPr>
                <w:rFonts w:hint="eastAsia" w:ascii="仿宋" w:hAnsi="仿宋" w:eastAsia="仿宋" w:cs="仿宋"/>
                <w:i w:val="0"/>
                <w:iCs w:val="0"/>
                <w:color w:val="000000"/>
                <w:sz w:val="24"/>
                <w:szCs w:val="24"/>
                <w:highlight w:val="none"/>
                <w:u w:val="none"/>
              </w:rPr>
              <w:t xml:space="preserve">10.3英寸，支持压感笔； ★ </w:t>
            </w:r>
          </w:p>
          <w:p w14:paraId="7C95F9F1">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2.分辨率：≥1872×1404；▲ </w:t>
            </w:r>
          </w:p>
          <w:p w14:paraId="224C8CEC">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3.存储：RAM≥4GB，ROM≥64GB；▲ </w:t>
            </w:r>
          </w:p>
          <w:p w14:paraId="0F7813EC">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4.处理器：四核处理器，主频≥1.8GHz；▲ </w:t>
            </w:r>
          </w:p>
          <w:p w14:paraId="4F9352FF">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5.续航：单次充电使用≥14天；▲ </w:t>
            </w:r>
          </w:p>
          <w:p w14:paraId="3446B7AD">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6.功能：支持手写转文字，PDF批注，语音转文 字；拍照▲ </w:t>
            </w:r>
          </w:p>
          <w:p w14:paraId="290A1A32">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7.连接：支持Wi-Fi、蓝牙5.0；▲ </w:t>
            </w:r>
          </w:p>
          <w:p w14:paraId="1C05E8D4">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8.系统：定制化系统，支持第三方应用；</w:t>
            </w:r>
          </w:p>
        </w:tc>
        <w:tc>
          <w:tcPr>
            <w:tcW w:w="0" w:type="auto"/>
            <w:noWrap w:val="0"/>
            <w:tcMar>
              <w:left w:w="108" w:type="dxa"/>
              <w:right w:w="108" w:type="dxa"/>
            </w:tcMar>
            <w:vAlign w:val="center"/>
          </w:tcPr>
          <w:p w14:paraId="74219DC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noWrap w:val="0"/>
            <w:tcMar>
              <w:left w:w="108" w:type="dxa"/>
              <w:right w:w="108" w:type="dxa"/>
            </w:tcMar>
            <w:vAlign w:val="center"/>
          </w:tcPr>
          <w:p w14:paraId="0197001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7074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635842D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w:t>
            </w:r>
          </w:p>
        </w:tc>
        <w:tc>
          <w:tcPr>
            <w:tcW w:w="0" w:type="auto"/>
            <w:noWrap w:val="0"/>
            <w:tcMar>
              <w:left w:w="108" w:type="dxa"/>
              <w:right w:w="108" w:type="dxa"/>
            </w:tcMar>
            <w:vAlign w:val="center"/>
          </w:tcPr>
          <w:p w14:paraId="1B8DDF7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鞍式分页装订处理器</w:t>
            </w:r>
          </w:p>
        </w:tc>
        <w:tc>
          <w:tcPr>
            <w:tcW w:w="5215" w:type="dxa"/>
            <w:noWrap w:val="0"/>
            <w:tcMar>
              <w:left w:w="108" w:type="dxa"/>
              <w:right w:w="108" w:type="dxa"/>
            </w:tcMar>
            <w:vAlign w:val="center"/>
          </w:tcPr>
          <w:p w14:paraId="73B51C7B">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1.托盘数 3个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2.托盘容量：3,250张（可移动托盘3,000张、固定托盘250张）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3.装订位置：角钉、双钉、骑马钉、无钉装订、手动装订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4.最大装订数：角钉/双钉: 50 张（80 g/m²）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5.无钉装订: 8张（80 g/m²）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6.手动装订: 50 张（80 g/m²）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7.鞍式装订: 20张（包括最多一张256g/m²封面）8.双纸盒组件-AY1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9.纸张容量 550张×2（80g/m²)</w:t>
            </w:r>
          </w:p>
        </w:tc>
        <w:tc>
          <w:tcPr>
            <w:tcW w:w="0" w:type="auto"/>
            <w:noWrap w:val="0"/>
            <w:tcMar>
              <w:left w:w="108" w:type="dxa"/>
              <w:right w:w="108" w:type="dxa"/>
            </w:tcMar>
            <w:vAlign w:val="center"/>
          </w:tcPr>
          <w:p w14:paraId="0F23716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noWrap w:val="0"/>
            <w:tcMar>
              <w:left w:w="108" w:type="dxa"/>
              <w:right w:w="108" w:type="dxa"/>
            </w:tcMar>
            <w:vAlign w:val="center"/>
          </w:tcPr>
          <w:p w14:paraId="26AE776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14:paraId="0FF4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tcMar>
              <w:left w:w="108" w:type="dxa"/>
              <w:right w:w="108" w:type="dxa"/>
            </w:tcMar>
            <w:vAlign w:val="center"/>
          </w:tcPr>
          <w:p w14:paraId="5BAF455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19</w:t>
            </w:r>
          </w:p>
        </w:tc>
        <w:tc>
          <w:tcPr>
            <w:tcW w:w="0" w:type="auto"/>
            <w:noWrap w:val="0"/>
            <w:tcMar>
              <w:left w:w="108" w:type="dxa"/>
              <w:right w:w="108" w:type="dxa"/>
            </w:tcMar>
            <w:vAlign w:val="center"/>
          </w:tcPr>
          <w:p w14:paraId="619DEC7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鞍式装订器</w:t>
            </w:r>
          </w:p>
        </w:tc>
        <w:tc>
          <w:tcPr>
            <w:tcW w:w="5215" w:type="dxa"/>
            <w:noWrap w:val="0"/>
            <w:tcMar>
              <w:left w:w="108" w:type="dxa"/>
              <w:right w:w="108" w:type="dxa"/>
            </w:tcMar>
            <w:vAlign w:val="center"/>
          </w:tcPr>
          <w:p w14:paraId="62673C84">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1.偏移堆叠, 装订, 打孔, 小册子折叠和鞍式装订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2.适配机型.CM9105DN/CM9705DN/M9105DN/M9705DN</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3.仅支持普通纸、厚纸1（91 ~ 120gsm）、厚纸2（121 ~ 157gsm）、厚纸3（158 ~ 209gsm）、厚纸4（210 ~ 256gsm）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4.有3层接纸架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上层：支持最多 200 页打孔的纸张，有已满传感器；中层：支持最多 3200 页装订、打孔和偏移堆叠的纸张，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每个装订组可以包含最多 50 页 4 个位置装订（5,000 个订书钉容量），有已满传感器；最下层：此接纸架支持最多 18 组的鞍式装订，以及每组折叠 15 页 20 磅 （75 gsm）的纸张</w:t>
            </w:r>
            <w:r>
              <w:rPr>
                <w:rFonts w:hint="eastAsia" w:ascii="仿宋" w:hAnsi="仿宋" w:eastAsia="仿宋" w:cs="仿宋"/>
                <w:i w:val="0"/>
                <w:iCs w:val="0"/>
                <w:color w:val="000000"/>
                <w:kern w:val="0"/>
                <w:sz w:val="24"/>
                <w:szCs w:val="24"/>
                <w:highlight w:val="none"/>
                <w:u w:val="none"/>
                <w:lang w:val="en-US" w:eastAsia="zh-CN" w:bidi="ar"/>
              </w:rPr>
              <w:br w:type="textWrapping"/>
            </w:r>
          </w:p>
        </w:tc>
        <w:tc>
          <w:tcPr>
            <w:tcW w:w="0" w:type="auto"/>
            <w:noWrap w:val="0"/>
            <w:tcMar>
              <w:left w:w="108" w:type="dxa"/>
              <w:right w:w="108" w:type="dxa"/>
            </w:tcMar>
            <w:vAlign w:val="center"/>
          </w:tcPr>
          <w:p w14:paraId="5530DC0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noWrap w:val="0"/>
            <w:tcMar>
              <w:left w:w="108" w:type="dxa"/>
              <w:right w:w="108" w:type="dxa"/>
            </w:tcMar>
            <w:vAlign w:val="center"/>
          </w:tcPr>
          <w:p w14:paraId="5005F7B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14:paraId="54A6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5" w:type="dxa"/>
            <w:noWrap w:val="0"/>
            <w:tcMar>
              <w:left w:w="108" w:type="dxa"/>
              <w:right w:w="108" w:type="dxa"/>
            </w:tcMar>
            <w:vAlign w:val="center"/>
          </w:tcPr>
          <w:p w14:paraId="1254913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1080" w:type="dxa"/>
            <w:noWrap w:val="0"/>
            <w:tcMar>
              <w:left w:w="108" w:type="dxa"/>
              <w:right w:w="108" w:type="dxa"/>
            </w:tcMar>
            <w:vAlign w:val="center"/>
          </w:tcPr>
          <w:p w14:paraId="7B5EADA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进纸盒</w:t>
            </w:r>
          </w:p>
        </w:tc>
        <w:tc>
          <w:tcPr>
            <w:tcW w:w="5215" w:type="dxa"/>
            <w:noWrap w:val="0"/>
            <w:tcMar>
              <w:left w:w="108" w:type="dxa"/>
              <w:right w:w="108" w:type="dxa"/>
            </w:tcMar>
            <w:vAlign w:val="center"/>
          </w:tcPr>
          <w:p w14:paraId="5B19B73A">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1.使用机型：CM9105DN/CM9705DN/M9105DN/M9705DN</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2.纸盒容量：2x500页，共1000页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3.大小：304 x 615 x 561 毫米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4.支持进纸匣存在、纸张尺寸、纸张存在和纸张不足检测。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5.可安装在多功能数码复合机或打印机下方，并将其升高至正确的高度以便与装订器和3000页选配进纸盒一起使用。</w:t>
            </w:r>
          </w:p>
        </w:tc>
        <w:tc>
          <w:tcPr>
            <w:tcW w:w="876" w:type="dxa"/>
            <w:noWrap w:val="0"/>
            <w:tcMar>
              <w:left w:w="108" w:type="dxa"/>
              <w:right w:w="108" w:type="dxa"/>
            </w:tcMar>
            <w:vAlign w:val="center"/>
          </w:tcPr>
          <w:p w14:paraId="71F1903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876" w:type="dxa"/>
            <w:noWrap w:val="0"/>
            <w:tcMar>
              <w:left w:w="108" w:type="dxa"/>
              <w:right w:w="108" w:type="dxa"/>
            </w:tcMar>
            <w:vAlign w:val="center"/>
          </w:tcPr>
          <w:p w14:paraId="06FE11B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bookmarkEnd w:id="9"/>
    </w:tbl>
    <w:p w14:paraId="27A7D38C">
      <w:pPr>
        <w:rPr>
          <w:highlight w:val="none"/>
        </w:rPr>
      </w:pPr>
      <w:r>
        <w:rPr>
          <w:highlight w:val="none"/>
        </w:rPr>
        <w:br w:type="page"/>
      </w:r>
    </w:p>
    <w:p w14:paraId="6C6A4A78">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（二）报价要求</w:t>
      </w:r>
    </w:p>
    <w:p w14:paraId="2661726E">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outlineLvl w:val="9"/>
        <w:rPr>
          <w:rFonts w:hint="eastAsia" w:ascii="仿宋" w:hAnsi="仿宋" w:eastAsia="仿宋" w:cs="仿宋"/>
          <w:b w:val="0"/>
          <w:bCs/>
          <w:color w:val="000000"/>
          <w:kern w:val="2"/>
          <w:sz w:val="22"/>
          <w:szCs w:val="22"/>
          <w:highlight w:val="none"/>
          <w:lang w:val="en-US" w:eastAsia="zh-CN" w:bidi="ar-SA"/>
        </w:rPr>
      </w:pPr>
      <w:r>
        <w:rPr>
          <w:rFonts w:hint="eastAsia" w:ascii="仿宋" w:hAnsi="仿宋" w:eastAsia="仿宋" w:cs="仿宋"/>
          <w:b w:val="0"/>
          <w:bCs/>
          <w:color w:val="000000"/>
          <w:kern w:val="2"/>
          <w:sz w:val="22"/>
          <w:szCs w:val="22"/>
          <w:highlight w:val="none"/>
          <w:lang w:val="en-US" w:eastAsia="zh-CN" w:bidi="ar-SA"/>
        </w:rPr>
        <w:t>1.报价方式：</w:t>
      </w:r>
      <w:r>
        <w:rPr>
          <w:rFonts w:hint="eastAsia" w:ascii="仿宋" w:hAnsi="仿宋" w:eastAsia="仿宋" w:cs="仿宋"/>
          <w:b/>
          <w:bCs w:val="0"/>
          <w:color w:val="000000"/>
          <w:kern w:val="2"/>
          <w:sz w:val="22"/>
          <w:szCs w:val="22"/>
          <w:highlight w:val="none"/>
          <w:lang w:val="en-US" w:eastAsia="zh-CN" w:bidi="ar-SA"/>
        </w:rPr>
        <w:t>按预计采购数量报总价（明确单项价格，含税费、运输费、服务费等全部费用），报价需在本报告规定的含税最高限价范围内，超出限价的投标文件按无效处理。</w:t>
      </w:r>
    </w:p>
    <w:p w14:paraId="0AE193D7">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outlineLvl w:val="9"/>
        <w:rPr>
          <w:rFonts w:hint="eastAsia" w:ascii="仿宋" w:hAnsi="仿宋" w:eastAsia="仿宋" w:cs="仿宋"/>
          <w:b w:val="0"/>
          <w:bCs/>
          <w:color w:val="000000"/>
          <w:kern w:val="2"/>
          <w:sz w:val="22"/>
          <w:szCs w:val="22"/>
          <w:highlight w:val="none"/>
          <w:lang w:val="en-US" w:eastAsia="zh-CN" w:bidi="ar-SA"/>
        </w:rPr>
      </w:pPr>
      <w:r>
        <w:rPr>
          <w:rFonts w:hint="eastAsia" w:ascii="仿宋" w:hAnsi="仿宋" w:eastAsia="仿宋" w:cs="仿宋"/>
          <w:b w:val="0"/>
          <w:bCs/>
          <w:color w:val="000000"/>
          <w:kern w:val="2"/>
          <w:sz w:val="22"/>
          <w:szCs w:val="22"/>
          <w:highlight w:val="none"/>
          <w:lang w:val="en-US" w:eastAsia="zh-CN" w:bidi="ar-SA"/>
        </w:rPr>
        <w:t>2.报价有效期：自投标截止之日起90天内有效，期间报价不得调整。</w:t>
      </w:r>
    </w:p>
    <w:p w14:paraId="005F8C7B">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bookmarkStart w:id="10" w:name="_Toc7343"/>
      <w:bookmarkStart w:id="11" w:name="_Toc27420"/>
      <w:bookmarkStart w:id="12" w:name="heading_4"/>
      <w:bookmarkStart w:id="13" w:name="_Toc7835"/>
      <w:r>
        <w:rPr>
          <w:rFonts w:hint="eastAsia" w:ascii="仿宋" w:hAnsi="仿宋" w:eastAsia="仿宋" w:cs="仿宋"/>
          <w:spacing w:val="-4"/>
          <w:sz w:val="31"/>
          <w:szCs w:val="31"/>
          <w:highlight w:val="none"/>
          <w:lang w:val="en-US" w:eastAsia="zh-CN"/>
        </w:rPr>
        <w:t>三、服务要求</w:t>
      </w:r>
      <w:bookmarkEnd w:id="10"/>
      <w:bookmarkEnd w:id="11"/>
      <w:bookmarkEnd w:id="12"/>
      <w:bookmarkEnd w:id="13"/>
    </w:p>
    <w:p w14:paraId="54280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outlineLvl w:val="9"/>
        <w:rPr>
          <w:rFonts w:hint="eastAsia" w:ascii="仿宋" w:hAnsi="仿宋" w:eastAsia="仿宋" w:cs="仿宋"/>
          <w:b w:val="0"/>
          <w:bCs/>
          <w:color w:val="000000"/>
          <w:kern w:val="2"/>
          <w:sz w:val="22"/>
          <w:szCs w:val="22"/>
          <w:highlight w:val="none"/>
          <w:lang w:val="en-US" w:eastAsia="zh-CN" w:bidi="ar-SA"/>
        </w:rPr>
      </w:pPr>
      <w:r>
        <w:rPr>
          <w:rFonts w:hint="eastAsia" w:ascii="仿宋" w:hAnsi="仿宋" w:eastAsia="仿宋" w:cs="仿宋"/>
          <w:b w:val="0"/>
          <w:bCs/>
          <w:color w:val="000000"/>
          <w:kern w:val="2"/>
          <w:sz w:val="22"/>
          <w:szCs w:val="22"/>
          <w:highlight w:val="none"/>
          <w:lang w:val="en-US" w:eastAsia="zh-CN" w:bidi="ar-SA"/>
        </w:rPr>
        <w:t>1.交付要求：在招标人确认订单后7个工作日内完成所有物资的交付，确保送货上门至乌鲁木齐市指定地点。负责安装调试到位。</w:t>
      </w:r>
    </w:p>
    <w:p w14:paraId="175F5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outlineLvl w:val="9"/>
        <w:rPr>
          <w:rFonts w:hint="eastAsia" w:ascii="仿宋" w:hAnsi="仿宋" w:eastAsia="仿宋" w:cs="仿宋"/>
          <w:b w:val="0"/>
          <w:bCs/>
          <w:color w:val="000000"/>
          <w:kern w:val="2"/>
          <w:sz w:val="22"/>
          <w:szCs w:val="22"/>
          <w:highlight w:val="none"/>
          <w:lang w:val="en-US" w:eastAsia="zh-CN" w:bidi="ar-SA"/>
        </w:rPr>
      </w:pPr>
      <w:r>
        <w:rPr>
          <w:rFonts w:hint="eastAsia" w:ascii="仿宋" w:hAnsi="仿宋" w:eastAsia="仿宋" w:cs="仿宋"/>
          <w:b w:val="0"/>
          <w:bCs/>
          <w:color w:val="000000"/>
          <w:kern w:val="2"/>
          <w:sz w:val="22"/>
          <w:szCs w:val="22"/>
          <w:highlight w:val="none"/>
          <w:lang w:val="en-US" w:eastAsia="zh-CN" w:bidi="ar-SA"/>
        </w:rPr>
        <w:t>2.售后服务：供应商需提供不少于1年的产品质保期，质保期内免费提供维修、更换等服务；建立24小时售后服务响应机制，接到故障通知后48小时内派员到场处理。</w:t>
      </w:r>
    </w:p>
    <w:p w14:paraId="77974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outlineLvl w:val="9"/>
        <w:rPr>
          <w:rFonts w:hint="eastAsia" w:ascii="仿宋" w:hAnsi="仿宋" w:eastAsia="仿宋" w:cs="仿宋"/>
          <w:b w:val="0"/>
          <w:bCs/>
          <w:color w:val="000000"/>
          <w:kern w:val="2"/>
          <w:sz w:val="22"/>
          <w:szCs w:val="22"/>
          <w:highlight w:val="none"/>
          <w:lang w:val="en-US" w:eastAsia="zh-CN" w:bidi="ar-SA"/>
        </w:rPr>
      </w:pPr>
      <w:r>
        <w:rPr>
          <w:rFonts w:hint="eastAsia" w:ascii="仿宋" w:hAnsi="仿宋" w:eastAsia="仿宋" w:cs="仿宋"/>
          <w:b w:val="0"/>
          <w:bCs/>
          <w:color w:val="000000"/>
          <w:kern w:val="2"/>
          <w:sz w:val="22"/>
          <w:szCs w:val="22"/>
          <w:highlight w:val="none"/>
          <w:lang w:val="en-US" w:eastAsia="zh-CN" w:bidi="ar-SA"/>
        </w:rPr>
        <w:t>3.培训支持：对于专用设备，供应商需提供免费的操作培训服务，确保员工能够熟练使用。</w:t>
      </w:r>
    </w:p>
    <w:p w14:paraId="2A987F85">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bookmarkStart w:id="14" w:name="heading_12"/>
      <w:bookmarkStart w:id="15" w:name="_Toc5317"/>
      <w:r>
        <w:rPr>
          <w:rFonts w:hint="eastAsia" w:ascii="仿宋" w:hAnsi="仿宋" w:eastAsia="仿宋" w:cs="仿宋"/>
          <w:spacing w:val="-4"/>
          <w:sz w:val="31"/>
          <w:szCs w:val="31"/>
          <w:highlight w:val="none"/>
          <w:lang w:val="en-US" w:eastAsia="zh-CN"/>
        </w:rPr>
        <w:t>四、结算方式</w:t>
      </w:r>
      <w:bookmarkEnd w:id="14"/>
      <w:bookmarkEnd w:id="15"/>
    </w:p>
    <w:p w14:paraId="27DC9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b w:val="0"/>
          <w:bCs w:val="0"/>
          <w:color w:val="auto"/>
          <w:kern w:val="0"/>
          <w:sz w:val="22"/>
          <w:szCs w:val="22"/>
          <w:highlight w:val="none"/>
          <w:lang w:val="en-US" w:eastAsia="zh-CN" w:bidi="ar-SA"/>
        </w:rPr>
      </w:pPr>
      <w:bookmarkStart w:id="16" w:name="_Toc6568"/>
      <w:bookmarkStart w:id="17" w:name="_Toc31705"/>
      <w:bookmarkStart w:id="18" w:name="_Toc18081"/>
      <w:bookmarkStart w:id="19" w:name="heading_13"/>
      <w:r>
        <w:rPr>
          <w:rFonts w:hint="eastAsia" w:ascii="仿宋" w:hAnsi="仿宋" w:eastAsia="仿宋" w:cs="仿宋"/>
          <w:b w:val="0"/>
          <w:bCs w:val="0"/>
          <w:color w:val="auto"/>
          <w:kern w:val="0"/>
          <w:sz w:val="22"/>
          <w:szCs w:val="22"/>
          <w:highlight w:val="none"/>
          <w:lang w:val="en-US" w:eastAsia="zh-CN" w:bidi="ar-SA"/>
        </w:rPr>
        <w:t>1.发票要求：按适用税率开具增值税发票，发票税率按国家现行政策执行。</w:t>
      </w:r>
    </w:p>
    <w:p w14:paraId="29EDB1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2.付款流程：合同签订30日内，支付30%合同总额的预付款，合同签订每半年结算一次。结算时，供应商须向本单位提供供货清单、验收资料及发票，本单位在收到合格材料后10个工作日内完成审核，审核无误后20个工作日内通过银行转账支付。</w:t>
      </w:r>
    </w:p>
    <w:p w14:paraId="1F3E40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3.付款方式：支付至供应商对公账户，账户信息需在合同中明确；</w:t>
      </w:r>
    </w:p>
    <w:bookmarkEnd w:id="16"/>
    <w:bookmarkEnd w:id="17"/>
    <w:bookmarkEnd w:id="18"/>
    <w:bookmarkEnd w:id="19"/>
    <w:p w14:paraId="3ACADBC4">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bookmarkStart w:id="20" w:name="heading_14"/>
      <w:bookmarkStart w:id="21" w:name="_Toc663"/>
      <w:bookmarkStart w:id="22" w:name="_Toc24944"/>
      <w:bookmarkStart w:id="23" w:name="_Toc29182"/>
      <w:r>
        <w:rPr>
          <w:rFonts w:hint="eastAsia" w:ascii="仿宋" w:hAnsi="仿宋" w:eastAsia="仿宋" w:cs="仿宋"/>
          <w:spacing w:val="-4"/>
          <w:sz w:val="31"/>
          <w:szCs w:val="31"/>
          <w:highlight w:val="none"/>
          <w:lang w:val="en-US" w:eastAsia="zh-CN"/>
        </w:rPr>
        <w:t>五、商务及其他条款</w:t>
      </w:r>
      <w:bookmarkEnd w:id="20"/>
      <w:bookmarkEnd w:id="21"/>
      <w:bookmarkEnd w:id="22"/>
      <w:bookmarkEnd w:id="23"/>
    </w:p>
    <w:p w14:paraId="4635DA72">
      <w:pPr>
        <w:keepNext w:val="0"/>
        <w:keepLines w:val="0"/>
        <w:pageBreakBefore w:val="0"/>
        <w:widowControl/>
        <w:tabs>
          <w:tab w:val="left" w:pos="3348"/>
        </w:tabs>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bookmarkStart w:id="24" w:name="_Toc2753"/>
      <w:bookmarkStart w:id="25" w:name="heading_15"/>
      <w:r>
        <w:rPr>
          <w:rFonts w:hint="eastAsia" w:ascii="仿宋" w:hAnsi="仿宋" w:eastAsia="仿宋" w:cs="仿宋"/>
          <w:spacing w:val="-4"/>
          <w:sz w:val="24"/>
          <w:szCs w:val="24"/>
          <w:highlight w:val="none"/>
          <w:lang w:val="en-US" w:eastAsia="zh-CN"/>
        </w:rPr>
        <w:t>（一）</w:t>
      </w:r>
      <w:bookmarkEnd w:id="24"/>
      <w:bookmarkEnd w:id="25"/>
      <w:bookmarkStart w:id="26" w:name="_Toc11966"/>
      <w:bookmarkStart w:id="27" w:name="heading_16"/>
      <w:r>
        <w:rPr>
          <w:rFonts w:hint="eastAsia" w:ascii="仿宋" w:hAnsi="仿宋" w:eastAsia="仿宋" w:cs="仿宋"/>
          <w:spacing w:val="-4"/>
          <w:sz w:val="24"/>
          <w:szCs w:val="24"/>
          <w:highlight w:val="none"/>
          <w:lang w:val="en-US" w:eastAsia="zh-CN"/>
        </w:rPr>
        <w:t>履约保障</w:t>
      </w:r>
      <w:bookmarkEnd w:id="26"/>
      <w:bookmarkEnd w:id="27"/>
      <w:r>
        <w:rPr>
          <w:rFonts w:hint="eastAsia" w:ascii="仿宋" w:hAnsi="仿宋" w:eastAsia="仿宋" w:cs="仿宋"/>
          <w:spacing w:val="-4"/>
          <w:sz w:val="24"/>
          <w:szCs w:val="24"/>
          <w:highlight w:val="none"/>
          <w:lang w:val="en-US" w:eastAsia="zh-CN"/>
        </w:rPr>
        <w:tab/>
      </w:r>
    </w:p>
    <w:p w14:paraId="7812F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rPr>
      </w:pPr>
      <w:bookmarkStart w:id="28" w:name="heading_17"/>
      <w:bookmarkStart w:id="29" w:name="_Toc6251"/>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违约责任：供应商未按要求提供</w:t>
      </w:r>
      <w:r>
        <w:rPr>
          <w:rFonts w:hint="eastAsia" w:ascii="仿宋" w:hAnsi="仿宋" w:eastAsia="仿宋" w:cs="仿宋"/>
          <w:sz w:val="22"/>
          <w:szCs w:val="22"/>
          <w:highlight w:val="none"/>
          <w:lang w:val="en-US" w:eastAsia="zh-CN"/>
        </w:rPr>
        <w:t>货物</w:t>
      </w:r>
      <w:r>
        <w:rPr>
          <w:rFonts w:hint="eastAsia" w:ascii="仿宋" w:hAnsi="仿宋" w:eastAsia="仿宋" w:cs="仿宋"/>
          <w:sz w:val="22"/>
          <w:szCs w:val="22"/>
          <w:highlight w:val="none"/>
        </w:rPr>
        <w:t>的，按</w:t>
      </w:r>
      <w:r>
        <w:rPr>
          <w:rFonts w:hint="eastAsia" w:ascii="仿宋" w:hAnsi="仿宋" w:eastAsia="仿宋" w:cs="仿宋"/>
          <w:sz w:val="22"/>
          <w:szCs w:val="22"/>
          <w:highlight w:val="none"/>
          <w:lang w:val="en-US" w:eastAsia="zh-CN"/>
        </w:rPr>
        <w:t>当次到货总</w:t>
      </w:r>
      <w:r>
        <w:rPr>
          <w:rFonts w:hint="eastAsia" w:ascii="仿宋" w:hAnsi="仿宋" w:eastAsia="仿宋" w:cs="仿宋"/>
          <w:sz w:val="22"/>
          <w:szCs w:val="22"/>
          <w:highlight w:val="none"/>
        </w:rPr>
        <w:t>额的10％支付违约金；</w:t>
      </w:r>
    </w:p>
    <w:p w14:paraId="17B5389C">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（二）保密条款</w:t>
      </w:r>
      <w:bookmarkEnd w:id="28"/>
      <w:bookmarkEnd w:id="29"/>
    </w:p>
    <w:p w14:paraId="35379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rPr>
      </w:pPr>
      <w:bookmarkStart w:id="30" w:name="_Toc31270"/>
      <w:bookmarkStart w:id="31" w:name="heading_18"/>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供应商对</w:t>
      </w:r>
      <w:r>
        <w:rPr>
          <w:rFonts w:hint="eastAsia" w:ascii="仿宋" w:hAnsi="仿宋" w:eastAsia="仿宋" w:cs="仿宋"/>
          <w:sz w:val="22"/>
          <w:szCs w:val="22"/>
          <w:highlight w:val="none"/>
          <w:lang w:val="en-US" w:eastAsia="zh-CN"/>
        </w:rPr>
        <w:t>供货</w:t>
      </w:r>
      <w:r>
        <w:rPr>
          <w:rFonts w:hint="eastAsia" w:ascii="仿宋" w:hAnsi="仿宋" w:eastAsia="仿宋" w:cs="仿宋"/>
          <w:sz w:val="22"/>
          <w:szCs w:val="22"/>
          <w:highlight w:val="none"/>
        </w:rPr>
        <w:t>过程中知悉的采购单位信息（如</w:t>
      </w:r>
      <w:r>
        <w:rPr>
          <w:rFonts w:hint="eastAsia" w:ascii="仿宋" w:hAnsi="仿宋" w:eastAsia="仿宋" w:cs="仿宋"/>
          <w:sz w:val="22"/>
          <w:szCs w:val="22"/>
          <w:highlight w:val="none"/>
          <w:lang w:val="en-US" w:eastAsia="zh-CN"/>
        </w:rPr>
        <w:t>供货</w:t>
      </w:r>
      <w:r>
        <w:rPr>
          <w:rFonts w:hint="eastAsia" w:ascii="仿宋" w:hAnsi="仿宋" w:eastAsia="仿宋" w:cs="仿宋"/>
          <w:sz w:val="22"/>
          <w:szCs w:val="22"/>
          <w:highlight w:val="none"/>
        </w:rPr>
        <w:t>计划、内部管理制度、公务活动内容等）承担保密义务，不得向第三方泄露。</w:t>
      </w:r>
    </w:p>
    <w:p w14:paraId="39D07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rPr>
      </w:pPr>
      <w:r>
        <w:rPr>
          <w:rFonts w:hint="eastAsia" w:ascii="仿宋" w:hAnsi="仿宋" w:eastAsia="仿宋" w:cs="仿宋"/>
          <w:sz w:val="22"/>
          <w:szCs w:val="22"/>
          <w:highlight w:val="none"/>
        </w:rPr>
        <w:t>2</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保密义务期限：合同履行期间及合同终止后2年内持续有效。</w:t>
      </w:r>
    </w:p>
    <w:p w14:paraId="32479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rPr>
      </w:pPr>
      <w:r>
        <w:rPr>
          <w:rFonts w:hint="eastAsia" w:ascii="仿宋" w:hAnsi="仿宋" w:eastAsia="仿宋" w:cs="仿宋"/>
          <w:sz w:val="22"/>
          <w:szCs w:val="22"/>
          <w:highlight w:val="none"/>
        </w:rPr>
        <w:t>3</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若违反保密约定，供应商需承担由此造成的全部损失，采购单位有权解除合同。</w:t>
      </w:r>
    </w:p>
    <w:bookmarkEnd w:id="30"/>
    <w:bookmarkEnd w:id="31"/>
    <w:p w14:paraId="0B164B86">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bookmarkStart w:id="32" w:name="_Toc22939"/>
      <w:bookmarkStart w:id="33" w:name="heading_19"/>
      <w:r>
        <w:rPr>
          <w:rFonts w:hint="eastAsia" w:ascii="仿宋" w:hAnsi="仿宋" w:eastAsia="仿宋" w:cs="仿宋"/>
          <w:spacing w:val="-4"/>
          <w:sz w:val="24"/>
          <w:szCs w:val="24"/>
          <w:highlight w:val="none"/>
          <w:lang w:val="en-US" w:eastAsia="zh-CN"/>
        </w:rPr>
        <w:t>（三）运维与履约</w:t>
      </w:r>
      <w:bookmarkEnd w:id="32"/>
      <w:bookmarkEnd w:id="33"/>
    </w:p>
    <w:p w14:paraId="2C4A9CD5">
      <w:pPr>
        <w:keepNext w:val="0"/>
        <w:keepLines w:val="0"/>
        <w:pageBreakBefore w:val="0"/>
        <w:widowControl w:val="0"/>
        <w:kinsoku/>
        <w:wordWrap/>
        <w:overflowPunct/>
        <w:topLinePunct w:val="0"/>
        <w:autoSpaceDE/>
        <w:autoSpaceDN/>
        <w:bidi w:val="0"/>
        <w:adjustRightInd/>
        <w:snapToGrid/>
        <w:spacing w:line="560" w:lineRule="exact"/>
        <w:ind w:left="0" w:firstLine="440" w:firstLineChars="200"/>
        <w:jc w:val="left"/>
        <w:textAlignment w:val="auto"/>
        <w:outlineLvl w:val="9"/>
        <w:rPr>
          <w:rFonts w:hint="eastAsia" w:ascii="仿宋" w:hAnsi="仿宋" w:eastAsia="仿宋" w:cs="仿宋"/>
          <w:b w:val="0"/>
          <w:bCs/>
          <w:sz w:val="22"/>
          <w:szCs w:val="22"/>
          <w:highlight w:val="none"/>
        </w:rPr>
      </w:pPr>
      <w:bookmarkStart w:id="34" w:name="heading_22"/>
      <w:bookmarkStart w:id="35" w:name="heading_21"/>
      <w:bookmarkStart w:id="36" w:name="_Toc12938"/>
      <w:r>
        <w:rPr>
          <w:rFonts w:hint="eastAsia" w:ascii="仿宋" w:hAnsi="仿宋" w:eastAsia="仿宋" w:cs="仿宋"/>
          <w:b w:val="0"/>
          <w:bCs/>
          <w:sz w:val="22"/>
          <w:szCs w:val="22"/>
          <w:highlight w:val="none"/>
          <w:lang w:val="en-US" w:eastAsia="zh-CN"/>
        </w:rPr>
        <w:t>1.</w:t>
      </w:r>
      <w:r>
        <w:rPr>
          <w:rFonts w:hint="eastAsia" w:ascii="仿宋" w:hAnsi="仿宋" w:eastAsia="仿宋" w:cs="仿宋"/>
          <w:b w:val="0"/>
          <w:bCs/>
          <w:sz w:val="22"/>
          <w:szCs w:val="22"/>
          <w:highlight w:val="none"/>
        </w:rPr>
        <w:t>运行维护：部分办公设备在使用过程中可能出现故障，影响正常办公。需要求供应商建立完善的运行维护体系，提供及时的技术支持和维修服务。</w:t>
      </w:r>
    </w:p>
    <w:p w14:paraId="691E12F7">
      <w:pPr>
        <w:keepNext w:val="0"/>
        <w:keepLines w:val="0"/>
        <w:pageBreakBefore w:val="0"/>
        <w:widowControl w:val="0"/>
        <w:kinsoku/>
        <w:wordWrap/>
        <w:overflowPunct/>
        <w:topLinePunct w:val="0"/>
        <w:autoSpaceDE/>
        <w:autoSpaceDN/>
        <w:bidi w:val="0"/>
        <w:adjustRightInd/>
        <w:snapToGrid/>
        <w:spacing w:line="560" w:lineRule="exact"/>
        <w:ind w:left="0" w:firstLine="440" w:firstLineChars="200"/>
        <w:jc w:val="left"/>
        <w:textAlignment w:val="auto"/>
        <w:outlineLvl w:val="9"/>
        <w:rPr>
          <w:rFonts w:hint="eastAsia" w:ascii="仿宋" w:hAnsi="仿宋" w:eastAsia="仿宋" w:cs="仿宋"/>
          <w:b w:val="0"/>
          <w:bCs/>
          <w:sz w:val="22"/>
          <w:szCs w:val="22"/>
          <w:highlight w:val="none"/>
        </w:rPr>
      </w:pPr>
      <w:r>
        <w:rPr>
          <w:rFonts w:hint="eastAsia" w:ascii="仿宋" w:hAnsi="仿宋" w:eastAsia="仿宋" w:cs="仿宋"/>
          <w:b w:val="0"/>
          <w:bCs/>
          <w:sz w:val="22"/>
          <w:szCs w:val="22"/>
          <w:highlight w:val="none"/>
          <w:lang w:val="en-US" w:eastAsia="zh-CN"/>
        </w:rPr>
        <w:t>2.</w:t>
      </w:r>
      <w:r>
        <w:rPr>
          <w:rFonts w:hint="eastAsia" w:ascii="仿宋" w:hAnsi="仿宋" w:eastAsia="仿宋" w:cs="仿宋"/>
          <w:b w:val="0"/>
          <w:bCs/>
          <w:sz w:val="22"/>
          <w:szCs w:val="22"/>
          <w:highlight w:val="none"/>
        </w:rPr>
        <w:t>履约防控：在合同中明确双方的权利义务，加强对供应商履约过程的监督管理；定期与供应商沟通，及时掌握物资生产、运输进度，确保项目顺利推进。</w:t>
      </w:r>
    </w:p>
    <w:p w14:paraId="656EBDEA">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（四）合同安排</w:t>
      </w:r>
      <w:bookmarkEnd w:id="34"/>
    </w:p>
    <w:p w14:paraId="2146421A">
      <w:pPr>
        <w:keepNext w:val="0"/>
        <w:keepLines w:val="0"/>
        <w:pageBreakBefore w:val="0"/>
        <w:widowControl w:val="0"/>
        <w:kinsoku/>
        <w:wordWrap/>
        <w:overflowPunct/>
        <w:topLinePunct w:val="0"/>
        <w:autoSpaceDE/>
        <w:autoSpaceDN/>
        <w:bidi w:val="0"/>
        <w:adjustRightInd/>
        <w:snapToGrid/>
        <w:spacing w:line="560" w:lineRule="exact"/>
        <w:ind w:left="0" w:firstLine="440" w:firstLineChars="200"/>
        <w:jc w:val="left"/>
        <w:textAlignment w:val="auto"/>
        <w:outlineLvl w:val="9"/>
        <w:rPr>
          <w:rFonts w:hint="eastAsia" w:ascii="仿宋" w:hAnsi="仿宋" w:eastAsia="仿宋" w:cs="仿宋"/>
          <w:b w:val="0"/>
          <w:bCs/>
          <w:sz w:val="22"/>
          <w:szCs w:val="22"/>
          <w:highlight w:val="none"/>
        </w:rPr>
      </w:pPr>
      <w:r>
        <w:rPr>
          <w:rFonts w:hint="eastAsia" w:ascii="仿宋" w:hAnsi="仿宋" w:eastAsia="仿宋" w:cs="仿宋"/>
          <w:b w:val="0"/>
          <w:bCs/>
          <w:sz w:val="22"/>
          <w:szCs w:val="22"/>
          <w:highlight w:val="none"/>
          <w:lang w:val="en-US" w:eastAsia="zh-CN"/>
        </w:rPr>
        <w:t>1.</w:t>
      </w:r>
      <w:r>
        <w:rPr>
          <w:rFonts w:hint="eastAsia" w:ascii="仿宋" w:hAnsi="仿宋" w:eastAsia="仿宋" w:cs="仿宋"/>
          <w:b w:val="0"/>
          <w:bCs/>
          <w:sz w:val="22"/>
          <w:szCs w:val="22"/>
          <w:highlight w:val="none"/>
        </w:rPr>
        <w:t>定价方式：采用固定</w:t>
      </w:r>
      <w:r>
        <w:rPr>
          <w:rFonts w:hint="eastAsia" w:ascii="仿宋" w:hAnsi="仿宋" w:eastAsia="仿宋" w:cs="仿宋"/>
          <w:b w:val="0"/>
          <w:bCs/>
          <w:sz w:val="22"/>
          <w:szCs w:val="22"/>
          <w:highlight w:val="none"/>
          <w:lang w:val="en-US" w:eastAsia="zh-CN"/>
        </w:rPr>
        <w:t>单</w:t>
      </w:r>
      <w:r>
        <w:rPr>
          <w:rFonts w:hint="eastAsia" w:ascii="仿宋" w:hAnsi="仿宋" w:eastAsia="仿宋" w:cs="仿宋"/>
          <w:b w:val="0"/>
          <w:bCs/>
          <w:sz w:val="22"/>
          <w:szCs w:val="22"/>
          <w:highlight w:val="none"/>
        </w:rPr>
        <w:t>价方式定价，报价包含产品价款、运输费、安装调试费、税费等所有相关费用，合同履行期间价格不作调整。</w:t>
      </w:r>
    </w:p>
    <w:p w14:paraId="77AEB5FD">
      <w:pPr>
        <w:keepNext w:val="0"/>
        <w:keepLines w:val="0"/>
        <w:pageBreakBefore w:val="0"/>
        <w:widowControl w:val="0"/>
        <w:kinsoku/>
        <w:wordWrap/>
        <w:overflowPunct/>
        <w:topLinePunct w:val="0"/>
        <w:autoSpaceDE/>
        <w:autoSpaceDN/>
        <w:bidi w:val="0"/>
        <w:adjustRightInd/>
        <w:snapToGrid/>
        <w:spacing w:line="560" w:lineRule="exact"/>
        <w:ind w:left="0" w:firstLine="440" w:firstLineChars="200"/>
        <w:jc w:val="left"/>
        <w:textAlignment w:val="auto"/>
        <w:outlineLvl w:val="9"/>
        <w:rPr>
          <w:rFonts w:hint="eastAsia" w:ascii="仿宋" w:hAnsi="仿宋" w:eastAsia="仿宋" w:cs="仿宋"/>
          <w:b w:val="0"/>
          <w:bCs/>
          <w:sz w:val="22"/>
          <w:szCs w:val="22"/>
          <w:highlight w:val="none"/>
        </w:rPr>
      </w:pPr>
      <w:r>
        <w:rPr>
          <w:rFonts w:hint="eastAsia" w:ascii="仿宋" w:hAnsi="仿宋" w:eastAsia="仿宋" w:cs="仿宋"/>
          <w:b w:val="0"/>
          <w:bCs/>
          <w:sz w:val="22"/>
          <w:szCs w:val="22"/>
          <w:highlight w:val="none"/>
          <w:lang w:val="en-US" w:eastAsia="zh-CN"/>
        </w:rPr>
        <w:t>2.</w:t>
      </w:r>
      <w:r>
        <w:rPr>
          <w:rFonts w:hint="eastAsia" w:ascii="仿宋" w:hAnsi="仿宋" w:eastAsia="仿宋" w:cs="仿宋"/>
          <w:b w:val="0"/>
          <w:bCs/>
          <w:sz w:val="22"/>
          <w:szCs w:val="22"/>
          <w:highlight w:val="none"/>
        </w:rPr>
        <w:t>核心条款：明确物资的名称、规格、数量、质量标准、交付时间、交付地点、售后服务、质保期、付款方式等关键内容；约定违约责任，若供应商未按约定交付或产品质量不达标，需承担相应的赔偿责任。</w:t>
      </w:r>
    </w:p>
    <w:p w14:paraId="3BFD58EC">
      <w:pPr>
        <w:keepNext w:val="0"/>
        <w:keepLines w:val="0"/>
        <w:pageBreakBefore w:val="0"/>
        <w:widowControl w:val="0"/>
        <w:kinsoku/>
        <w:wordWrap/>
        <w:overflowPunct/>
        <w:topLinePunct w:val="0"/>
        <w:autoSpaceDE/>
        <w:autoSpaceDN/>
        <w:bidi w:val="0"/>
        <w:adjustRightInd/>
        <w:snapToGrid/>
        <w:spacing w:line="560" w:lineRule="exact"/>
        <w:ind w:left="0" w:firstLine="440" w:firstLineChars="200"/>
        <w:jc w:val="left"/>
        <w:textAlignment w:val="auto"/>
        <w:outlineLvl w:val="9"/>
        <w:rPr>
          <w:rFonts w:hint="eastAsia" w:ascii="仿宋" w:hAnsi="仿宋" w:eastAsia="仿宋" w:cs="仿宋"/>
          <w:b w:val="0"/>
          <w:bCs/>
          <w:sz w:val="22"/>
          <w:szCs w:val="22"/>
          <w:highlight w:val="none"/>
        </w:rPr>
      </w:pPr>
      <w:r>
        <w:rPr>
          <w:rFonts w:hint="eastAsia" w:ascii="仿宋" w:hAnsi="仿宋" w:eastAsia="仿宋" w:cs="仿宋"/>
          <w:b w:val="0"/>
          <w:bCs/>
          <w:sz w:val="22"/>
          <w:szCs w:val="22"/>
          <w:highlight w:val="none"/>
          <w:lang w:val="en-US" w:eastAsia="zh-CN"/>
        </w:rPr>
        <w:t>3.</w:t>
      </w:r>
      <w:r>
        <w:rPr>
          <w:rFonts w:hint="eastAsia" w:ascii="仿宋" w:hAnsi="仿宋" w:eastAsia="仿宋" w:cs="仿宋"/>
          <w:b w:val="0"/>
          <w:bCs/>
          <w:sz w:val="22"/>
          <w:szCs w:val="22"/>
          <w:highlight w:val="none"/>
        </w:rPr>
        <w:t>履约验收方案及标准：成立专项验收小组，按照招标文件、投标文件及合同约定的标准进行验收；核对物资的数量、规格、型号是否与合同一致，检测产品质量是否符合国家相关标准及技术参数要求，验收合格后签署验收报告。</w:t>
      </w:r>
    </w:p>
    <w:p w14:paraId="118B9416">
      <w:pPr>
        <w:keepNext w:val="0"/>
        <w:keepLines w:val="0"/>
        <w:pageBreakBefore w:val="0"/>
        <w:widowControl w:val="0"/>
        <w:kinsoku/>
        <w:wordWrap/>
        <w:overflowPunct/>
        <w:topLinePunct w:val="0"/>
        <w:autoSpaceDE/>
        <w:autoSpaceDN/>
        <w:bidi w:val="0"/>
        <w:adjustRightInd/>
        <w:snapToGrid/>
        <w:spacing w:line="560" w:lineRule="exact"/>
        <w:ind w:left="0" w:firstLine="440" w:firstLineChars="200"/>
        <w:jc w:val="left"/>
        <w:textAlignment w:val="auto"/>
        <w:outlineLvl w:val="9"/>
        <w:rPr>
          <w:rFonts w:hint="eastAsia" w:ascii="仿宋" w:hAnsi="仿宋" w:eastAsia="仿宋" w:cs="仿宋"/>
          <w:b w:val="0"/>
          <w:bCs/>
          <w:sz w:val="22"/>
          <w:szCs w:val="22"/>
          <w:highlight w:val="none"/>
        </w:rPr>
      </w:pPr>
      <w:r>
        <w:rPr>
          <w:rFonts w:hint="eastAsia" w:ascii="仿宋" w:hAnsi="仿宋" w:eastAsia="仿宋" w:cs="仿宋"/>
          <w:b w:val="0"/>
          <w:bCs/>
          <w:sz w:val="22"/>
          <w:szCs w:val="22"/>
          <w:highlight w:val="none"/>
          <w:lang w:val="en-US" w:eastAsia="zh-CN"/>
        </w:rPr>
        <w:t>4.</w:t>
      </w:r>
      <w:r>
        <w:rPr>
          <w:rFonts w:hint="eastAsia" w:ascii="仿宋" w:hAnsi="仿宋" w:eastAsia="仿宋" w:cs="仿宋"/>
          <w:b w:val="0"/>
          <w:bCs/>
          <w:sz w:val="22"/>
          <w:szCs w:val="22"/>
          <w:highlight w:val="none"/>
        </w:rPr>
        <w:t>风险管控措施：针对交付延迟风险，约定延迟交付的违约金条款；针对质量风险，明确质量不合格的处理方式及赔偿标准；要求供应商缴纳一定金额的履约保证金，保障合同顺利履行。</w:t>
      </w:r>
    </w:p>
    <w:bookmarkEnd w:id="35"/>
    <w:bookmarkEnd w:id="36"/>
    <w:p w14:paraId="2DD0C025">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bookmarkStart w:id="37" w:name="_Toc10613"/>
      <w:bookmarkStart w:id="38" w:name="_Toc8416"/>
      <w:r>
        <w:rPr>
          <w:rFonts w:hint="eastAsia" w:ascii="仿宋" w:hAnsi="仿宋" w:eastAsia="仿宋" w:cs="仿宋"/>
          <w:spacing w:val="-4"/>
          <w:sz w:val="31"/>
          <w:szCs w:val="31"/>
          <w:highlight w:val="none"/>
          <w:lang w:val="en-US" w:eastAsia="zh-CN"/>
        </w:rPr>
        <w:t>六、技术及标准要求</w:t>
      </w:r>
      <w:bookmarkEnd w:id="37"/>
      <w:bookmarkEnd w:id="38"/>
    </w:p>
    <w:p w14:paraId="1FBC84B3">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（一）技术要求</w:t>
      </w:r>
    </w:p>
    <w:p w14:paraId="501B3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1.投标单位必须提供售后服务承诺函；</w:t>
      </w:r>
    </w:p>
    <w:p w14:paraId="6F7ED1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2.投标单位需具有设备安装调试经验；</w:t>
      </w:r>
    </w:p>
    <w:p w14:paraId="748E7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3.所提供产品必须全部达到上述技术参数要求。</w:t>
      </w:r>
    </w:p>
    <w:p w14:paraId="0A9B2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4.投标中需对所供产品主要功能及附件进行详细说明。</w:t>
      </w:r>
    </w:p>
    <w:p w14:paraId="2EF39B0F">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bookmarkStart w:id="39" w:name="_Toc20595"/>
      <w:r>
        <w:rPr>
          <w:rFonts w:hint="eastAsia" w:ascii="仿宋" w:hAnsi="仿宋" w:eastAsia="仿宋" w:cs="仿宋"/>
          <w:spacing w:val="-4"/>
          <w:sz w:val="24"/>
          <w:szCs w:val="24"/>
          <w:highlight w:val="none"/>
          <w:lang w:val="en-US" w:eastAsia="zh-CN"/>
        </w:rPr>
        <w:t>（二）交付及验收要求</w:t>
      </w:r>
      <w:bookmarkEnd w:id="39"/>
    </w:p>
    <w:p w14:paraId="3ABF46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产品到达指定地点后，由供应商和买方有关人员共同对主副设备、资料等的内、外观进行验收；由供应商派人员参加拆箱验收并负责处理设备出现验收不合格事宜如质量问题和数量短缺问题。验收合格后由买方代表、供货商签字确认。</w:t>
      </w:r>
    </w:p>
    <w:p w14:paraId="2D7BBA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2.供应商向买方技术人员讲解并演示系统的各项技术指标，以达到本技术规格要求。</w:t>
      </w:r>
    </w:p>
    <w:p w14:paraId="468A6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3.对所供设备进行安装或上电测试，进行性能、系统运行验收，验收合格后买方签署安装调试验收证明，并进入质保期内。质保期为产品交付验收合格后12个月。</w:t>
      </w:r>
    </w:p>
    <w:p w14:paraId="3E9C9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4.有关技术方面未尽事宜，双方协商解决。</w:t>
      </w:r>
    </w:p>
    <w:p w14:paraId="4D0ED976">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bookmarkStart w:id="40" w:name="_Toc30277"/>
      <w:r>
        <w:rPr>
          <w:rFonts w:hint="eastAsia" w:ascii="仿宋" w:hAnsi="仿宋" w:eastAsia="仿宋" w:cs="仿宋"/>
          <w:spacing w:val="-4"/>
          <w:sz w:val="24"/>
          <w:szCs w:val="24"/>
          <w:highlight w:val="none"/>
          <w:lang w:val="en-US" w:eastAsia="zh-CN"/>
        </w:rPr>
        <w:t>（三）售后服务及质保</w:t>
      </w:r>
      <w:bookmarkEnd w:id="40"/>
    </w:p>
    <w:p w14:paraId="0C5EC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设备组装、调试、试运转以及整机质量保证期内，供应商应派遣有资格、有经验、有技术、健康、能胜任工作的技术人员到买方现场从事技术指导服务工作，在正确安装维修、故障排除及操作使用等方面为买方提供技术上的帮助和支持，以保证设备能顺利投入使用。</w:t>
      </w:r>
    </w:p>
    <w:p w14:paraId="67D47F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2.购货合同生效后，卖方在技术服务期间要为买方人员在买方现场提供必要的技术培训，培训费用由卖方承担。</w:t>
      </w:r>
    </w:p>
    <w:p w14:paraId="5223F14B">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jc w:val="center"/>
        <w:textAlignment w:val="baseline"/>
        <w:rPr>
          <w:rFonts w:hint="eastAsia" w:ascii="仿宋" w:hAnsi="仿宋" w:eastAsia="仿宋" w:cs="仿宋"/>
          <w:spacing w:val="-4"/>
          <w:sz w:val="31"/>
          <w:szCs w:val="31"/>
          <w:highlight w:val="none"/>
          <w:lang w:val="en-US" w:eastAsia="zh-CN"/>
        </w:rPr>
      </w:pPr>
      <w:bookmarkStart w:id="41" w:name="_Toc2587"/>
      <w:bookmarkStart w:id="42" w:name="_Toc30349"/>
      <w:r>
        <w:rPr>
          <w:rFonts w:hint="eastAsia" w:ascii="仿宋" w:hAnsi="仿宋" w:eastAsia="仿宋" w:cs="仿宋"/>
          <w:spacing w:val="-4"/>
          <w:sz w:val="31"/>
          <w:szCs w:val="31"/>
          <w:highlight w:val="none"/>
          <w:lang w:val="en-US" w:eastAsia="zh-CN"/>
        </w:rPr>
        <w:t>七、其他要求</w:t>
      </w:r>
      <w:bookmarkEnd w:id="41"/>
      <w:bookmarkEnd w:id="42"/>
    </w:p>
    <w:p w14:paraId="4A73AFF0">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（一）货物运输包装要求</w:t>
      </w:r>
    </w:p>
    <w:p w14:paraId="2330F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交付的所有货物要符合包装储运指示标志的规定，并具有适合长途运输多次搬运、装卸的坚固包装，不能造成运输过程中箱件破损，设备和零部件散失。根据设备本身和施工现场的特点，在包装上应分别具有防雨、防潮、防冻、防霉、防锈、防腐蚀的保护措施。设备运抵现场时，应包装和防护完好，表面清洁，内无异物，零部件、装箱单和技术资料齐全。</w:t>
      </w:r>
    </w:p>
    <w:p w14:paraId="30F40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2.供应商负责所有设备的包装，各类设备要单独包装。</w:t>
      </w:r>
    </w:p>
    <w:p w14:paraId="6496E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3.具体运输方式和交货地点在双方签合同时确定。</w:t>
      </w:r>
    </w:p>
    <w:p w14:paraId="273BE726">
      <w:pPr>
        <w:keepNext w:val="0"/>
        <w:keepLines w:val="0"/>
        <w:pageBreakBefore w:val="0"/>
        <w:widowControl/>
        <w:kinsoku/>
        <w:wordWrap/>
        <w:overflowPunct/>
        <w:topLinePunct w:val="0"/>
        <w:autoSpaceDE w:val="0"/>
        <w:autoSpaceDN w:val="0"/>
        <w:bidi w:val="0"/>
        <w:adjustRightInd w:val="0"/>
        <w:snapToGrid w:val="0"/>
        <w:spacing w:before="313" w:beforeLines="100" w:line="375" w:lineRule="auto"/>
        <w:ind w:left="17" w:firstLine="476"/>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（二）其他补充要求</w:t>
      </w:r>
    </w:p>
    <w:p w14:paraId="64497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本项目不分包采购，因采购内容需统一调度、统一服务标准、统一考核管理，分包可能导致服务衔接不畅、责任划分不清，整体采购更利于保障服务质量及管理效率。</w:t>
      </w:r>
    </w:p>
    <w:p w14:paraId="610E7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rPr>
      </w:pPr>
      <w:r>
        <w:rPr>
          <w:rFonts w:hint="eastAsia" w:ascii="仿宋" w:hAnsi="仿宋" w:eastAsia="仿宋" w:cs="仿宋"/>
          <w:sz w:val="22"/>
          <w:szCs w:val="22"/>
          <w:highlight w:val="none"/>
        </w:rPr>
        <w:t>2</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供应商需配合采购单位开展服务质量检查、考核评估等工作，提供相关资料及数据。</w:t>
      </w:r>
    </w:p>
    <w:p w14:paraId="6EA64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3</w:t>
      </w:r>
      <w:r>
        <w:rPr>
          <w:rFonts w:hint="eastAsia" w:ascii="仿宋" w:hAnsi="仿宋" w:eastAsia="仿宋" w:cs="仿宋"/>
          <w:sz w:val="22"/>
          <w:szCs w:val="22"/>
          <w:highlight w:val="none"/>
          <w:lang w:val="en-US" w:eastAsia="zh-CN"/>
        </w:rPr>
        <w:t>.采购设备不得擅自更换配置或调整技术参数，如需替换设备，需提前15个工作日书面告知采购单位，经确认后方可执行。</w:t>
      </w:r>
    </w:p>
    <w:p w14:paraId="11E7E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未尽事宜，按国家相关法律法规及双方签订的采购合同执行。</w:t>
      </w:r>
    </w:p>
    <w:p w14:paraId="71A8794A">
      <w:pPr>
        <w:rPr>
          <w:b/>
          <w:bCs/>
          <w:spacing w:val="-4"/>
          <w:highlight w:val="none"/>
        </w:rPr>
      </w:pPr>
      <w:r>
        <w:rPr>
          <w:rFonts w:ascii="Arial"/>
          <w:sz w:val="21"/>
          <w:highlight w:val="none"/>
        </w:rPr>
        <w:br w:type="page"/>
      </w:r>
    </w:p>
    <w:p w14:paraId="18FE2D5C">
      <w:pPr>
        <w:pStyle w:val="6"/>
        <w:spacing w:before="98" w:line="222" w:lineRule="auto"/>
        <w:outlineLvl w:val="0"/>
        <w:rPr>
          <w:b/>
          <w:bCs/>
          <w:spacing w:val="-4"/>
          <w:highlight w:val="none"/>
        </w:rPr>
      </w:pPr>
    </w:p>
    <w:p w14:paraId="62B6FA8B">
      <w:pPr>
        <w:pStyle w:val="6"/>
        <w:spacing w:before="98" w:line="222" w:lineRule="auto"/>
        <w:ind w:left="3751"/>
        <w:outlineLvl w:val="0"/>
        <w:rPr>
          <w:highlight w:val="none"/>
        </w:rPr>
      </w:pPr>
      <w:r>
        <w:rPr>
          <w:b/>
          <w:bCs/>
          <w:spacing w:val="-4"/>
          <w:highlight w:val="none"/>
        </w:rPr>
        <w:t>第四章资格审查</w:t>
      </w:r>
    </w:p>
    <w:p w14:paraId="2D2B81E5">
      <w:pPr>
        <w:pStyle w:val="6"/>
        <w:spacing w:before="14" w:line="222" w:lineRule="auto"/>
        <w:ind w:left="678"/>
        <w:outlineLvl w:val="1"/>
        <w:rPr>
          <w:sz w:val="24"/>
          <w:szCs w:val="24"/>
          <w:highlight w:val="none"/>
        </w:rPr>
      </w:pPr>
      <w:bookmarkStart w:id="43" w:name="bookmark19"/>
      <w:bookmarkEnd w:id="43"/>
      <w:r>
        <w:rPr>
          <w:b/>
          <w:bCs/>
          <w:sz w:val="24"/>
          <w:szCs w:val="24"/>
          <w:highlight w:val="none"/>
        </w:rPr>
        <w:t>一、资格审查程序</w:t>
      </w:r>
    </w:p>
    <w:p w14:paraId="1CCEAE63">
      <w:pPr>
        <w:pStyle w:val="6"/>
        <w:spacing w:before="176" w:line="359" w:lineRule="auto"/>
        <w:ind w:left="126" w:right="175" w:firstLine="510"/>
        <w:rPr>
          <w:sz w:val="24"/>
          <w:szCs w:val="24"/>
          <w:highlight w:val="none"/>
        </w:rPr>
      </w:pPr>
      <w:r>
        <w:rPr>
          <w:spacing w:val="-3"/>
          <w:sz w:val="24"/>
          <w:szCs w:val="24"/>
          <w:highlight w:val="none"/>
        </w:rPr>
        <w:t>1 开标结束后，采购人或采购代理机构将</w:t>
      </w:r>
      <w:r>
        <w:rPr>
          <w:spacing w:val="-4"/>
          <w:sz w:val="24"/>
          <w:szCs w:val="24"/>
          <w:highlight w:val="none"/>
        </w:rPr>
        <w:t>根据《资格审查要求》中的规定，对投标人</w:t>
      </w:r>
      <w:r>
        <w:rPr>
          <w:spacing w:val="-2"/>
          <w:sz w:val="24"/>
          <w:szCs w:val="24"/>
          <w:highlight w:val="none"/>
        </w:rPr>
        <w:t>进行资格审查，并形成资格审查结果。</w:t>
      </w:r>
    </w:p>
    <w:p w14:paraId="45DF0060">
      <w:pPr>
        <w:pStyle w:val="6"/>
        <w:spacing w:line="359" w:lineRule="auto"/>
        <w:ind w:left="126" w:firstLine="495"/>
        <w:rPr>
          <w:sz w:val="24"/>
          <w:szCs w:val="24"/>
          <w:highlight w:val="none"/>
        </w:rPr>
      </w:pPr>
      <w:r>
        <w:rPr>
          <w:spacing w:val="-5"/>
          <w:sz w:val="24"/>
          <w:szCs w:val="24"/>
          <w:highlight w:val="none"/>
        </w:rPr>
        <w:t>2 投标人《资格证明文件》有任何一项不符合《资格审查要求》的，资格审查不合格，</w:t>
      </w:r>
      <w:r>
        <w:rPr>
          <w:spacing w:val="-7"/>
          <w:sz w:val="24"/>
          <w:szCs w:val="24"/>
          <w:highlight w:val="none"/>
        </w:rPr>
        <w:t>其</w:t>
      </w:r>
      <w:r>
        <w:rPr>
          <w:b/>
          <w:bCs/>
          <w:spacing w:val="-7"/>
          <w:sz w:val="24"/>
          <w:szCs w:val="24"/>
          <w:highlight w:val="none"/>
        </w:rPr>
        <w:t>投标无效</w:t>
      </w:r>
      <w:r>
        <w:rPr>
          <w:spacing w:val="-7"/>
          <w:sz w:val="24"/>
          <w:szCs w:val="24"/>
          <w:highlight w:val="none"/>
        </w:rPr>
        <w:t>。</w:t>
      </w:r>
    </w:p>
    <w:p w14:paraId="4ADB311E">
      <w:pPr>
        <w:pStyle w:val="6"/>
        <w:spacing w:before="1" w:line="220" w:lineRule="auto"/>
        <w:ind w:left="623"/>
        <w:rPr>
          <w:sz w:val="24"/>
          <w:szCs w:val="24"/>
          <w:highlight w:val="none"/>
        </w:rPr>
      </w:pPr>
      <w:r>
        <w:rPr>
          <w:spacing w:val="-4"/>
          <w:sz w:val="24"/>
          <w:szCs w:val="24"/>
          <w:highlight w:val="none"/>
        </w:rPr>
        <w:t>3 资格审查合格的投标人不足 3 家的，不进行评标。</w:t>
      </w:r>
    </w:p>
    <w:p w14:paraId="70FF6F1A">
      <w:pPr>
        <w:pStyle w:val="6"/>
        <w:spacing w:before="181" w:line="222" w:lineRule="auto"/>
        <w:ind w:left="681"/>
        <w:outlineLvl w:val="1"/>
        <w:rPr>
          <w:sz w:val="24"/>
          <w:szCs w:val="24"/>
          <w:highlight w:val="none"/>
        </w:rPr>
      </w:pPr>
      <w:bookmarkStart w:id="44" w:name="bookmark8"/>
      <w:bookmarkEnd w:id="44"/>
      <w:r>
        <w:rPr>
          <w:b/>
          <w:bCs/>
          <w:spacing w:val="-1"/>
          <w:sz w:val="24"/>
          <w:szCs w:val="24"/>
          <w:highlight w:val="none"/>
        </w:rPr>
        <w:t>二、资格审查要求</w:t>
      </w:r>
    </w:p>
    <w:p w14:paraId="0F302701">
      <w:pPr>
        <w:spacing w:line="142" w:lineRule="exact"/>
        <w:rPr>
          <w:highlight w:val="none"/>
        </w:rPr>
      </w:pPr>
    </w:p>
    <w:tbl>
      <w:tblPr>
        <w:tblStyle w:val="13"/>
        <w:tblW w:w="8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7"/>
        <w:gridCol w:w="1666"/>
        <w:gridCol w:w="4152"/>
        <w:gridCol w:w="2512"/>
      </w:tblGrid>
      <w:tr w14:paraId="0BE2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617" w:type="dxa"/>
            <w:shd w:val="clear" w:color="auto" w:fill="D8D8D8"/>
            <w:vAlign w:val="center"/>
          </w:tcPr>
          <w:p w14:paraId="64AAD5E2">
            <w:pPr>
              <w:pStyle w:val="14"/>
              <w:snapToGrid w:val="0"/>
              <w:spacing w:before="169" w:line="240" w:lineRule="auto"/>
              <w:ind w:left="0" w:leftChars="0" w:right="0" w:rightChars="0" w:firstLine="0" w:firstLineChars="0"/>
              <w:jc w:val="center"/>
              <w:rPr>
                <w:b/>
                <w:highlight w:val="none"/>
              </w:rPr>
            </w:pPr>
            <w:r>
              <w:rPr>
                <w:b/>
                <w:bCs/>
                <w:spacing w:val="-9"/>
                <w:highlight w:val="none"/>
              </w:rPr>
              <w:t>序号</w:t>
            </w:r>
          </w:p>
        </w:tc>
        <w:tc>
          <w:tcPr>
            <w:tcW w:w="0" w:type="auto"/>
            <w:shd w:val="clear" w:color="auto" w:fill="D8D8D8"/>
            <w:vAlign w:val="center"/>
          </w:tcPr>
          <w:p w14:paraId="1C259685">
            <w:pPr>
              <w:pStyle w:val="14"/>
              <w:snapToGrid w:val="0"/>
              <w:spacing w:before="169" w:line="240" w:lineRule="auto"/>
              <w:ind w:left="0" w:leftChars="0" w:right="0" w:rightChars="0" w:firstLine="0" w:firstLineChars="0"/>
              <w:jc w:val="center"/>
              <w:rPr>
                <w:b/>
                <w:highlight w:val="none"/>
              </w:rPr>
            </w:pPr>
            <w:r>
              <w:rPr>
                <w:b/>
                <w:bCs/>
                <w:spacing w:val="-9"/>
                <w:highlight w:val="none"/>
              </w:rPr>
              <w:t>审查因素</w:t>
            </w:r>
          </w:p>
        </w:tc>
        <w:tc>
          <w:tcPr>
            <w:tcW w:w="4152" w:type="dxa"/>
            <w:shd w:val="clear" w:color="auto" w:fill="D8D8D8"/>
            <w:vAlign w:val="center"/>
          </w:tcPr>
          <w:p w14:paraId="6051F634">
            <w:pPr>
              <w:pStyle w:val="14"/>
              <w:snapToGrid w:val="0"/>
              <w:spacing w:before="169" w:line="240" w:lineRule="auto"/>
              <w:ind w:left="0" w:leftChars="0" w:right="0" w:rightChars="0" w:firstLine="0" w:firstLineChars="0"/>
              <w:jc w:val="center"/>
              <w:rPr>
                <w:b/>
                <w:highlight w:val="none"/>
              </w:rPr>
            </w:pPr>
            <w:r>
              <w:rPr>
                <w:b/>
                <w:bCs/>
                <w:spacing w:val="-9"/>
                <w:highlight w:val="none"/>
              </w:rPr>
              <w:t>审查内容</w:t>
            </w:r>
          </w:p>
        </w:tc>
        <w:tc>
          <w:tcPr>
            <w:tcW w:w="2512" w:type="dxa"/>
            <w:shd w:val="clear" w:color="auto" w:fill="D8D8D8"/>
            <w:vAlign w:val="center"/>
          </w:tcPr>
          <w:p w14:paraId="56FD925D">
            <w:pPr>
              <w:pStyle w:val="14"/>
              <w:snapToGrid w:val="0"/>
              <w:spacing w:before="169" w:line="240" w:lineRule="auto"/>
              <w:ind w:left="0" w:leftChars="0" w:right="0" w:rightChars="0" w:firstLine="0" w:firstLineChars="0"/>
              <w:jc w:val="center"/>
              <w:rPr>
                <w:b/>
                <w:highlight w:val="none"/>
              </w:rPr>
            </w:pPr>
            <w:r>
              <w:rPr>
                <w:b/>
                <w:bCs/>
                <w:spacing w:val="-1"/>
                <w:highlight w:val="none"/>
              </w:rPr>
              <w:t>格式要求</w:t>
            </w:r>
          </w:p>
        </w:tc>
      </w:tr>
      <w:tr w14:paraId="59058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7" w:type="dxa"/>
            <w:vAlign w:val="center"/>
          </w:tcPr>
          <w:p w14:paraId="545BEFE4">
            <w:pPr>
              <w:pStyle w:val="14"/>
              <w:snapToGrid w:val="0"/>
              <w:spacing w:before="78" w:line="240" w:lineRule="auto"/>
              <w:ind w:left="0" w:leftChars="0" w:right="0" w:rightChars="0" w:firstLine="0" w:firstLineChars="0"/>
              <w:jc w:val="center"/>
              <w:rPr>
                <w:rFonts w:ascii="仿宋" w:eastAsia="仿宋"/>
                <w:sz w:val="24"/>
                <w:highlight w:val="none"/>
              </w:rPr>
            </w:pPr>
            <w:r>
              <w:rPr>
                <w:rFonts w:ascii="仿宋" w:eastAsia="仿宋"/>
                <w:position w:val="1"/>
                <w:sz w:val="24"/>
                <w:highlight w:val="none"/>
              </w:rPr>
              <w:t>1</w:t>
            </w:r>
          </w:p>
        </w:tc>
        <w:tc>
          <w:tcPr>
            <w:tcW w:w="0" w:type="auto"/>
            <w:vAlign w:val="center"/>
          </w:tcPr>
          <w:p w14:paraId="215F8DFA">
            <w:pPr>
              <w:pStyle w:val="14"/>
              <w:snapToGrid w:val="0"/>
              <w:spacing w:before="32" w:line="240" w:lineRule="auto"/>
              <w:ind w:left="0" w:leftChars="0" w:right="0" w:rightChars="0" w:firstLine="0" w:firstLineChars="0"/>
              <w:jc w:val="center"/>
              <w:rPr>
                <w:rFonts w:ascii="仿宋" w:eastAsia="仿宋"/>
                <w:sz w:val="24"/>
                <w:highlight w:val="none"/>
              </w:rPr>
            </w:pPr>
            <w:r>
              <w:rPr>
                <w:rFonts w:ascii="仿宋" w:eastAsia="仿宋"/>
                <w:spacing w:val="3"/>
                <w:sz w:val="24"/>
                <w:highlight w:val="none"/>
              </w:rPr>
              <w:t>满足《中华人民共和国政府采购法》第二</w:t>
            </w:r>
            <w:r>
              <w:rPr>
                <w:rFonts w:ascii="仿宋" w:eastAsia="仿宋"/>
                <w:spacing w:val="27"/>
                <w:sz w:val="24"/>
                <w:highlight w:val="none"/>
              </w:rPr>
              <w:t>十二条规定</w:t>
            </w:r>
          </w:p>
        </w:tc>
        <w:tc>
          <w:tcPr>
            <w:tcW w:w="4152" w:type="dxa"/>
            <w:vAlign w:val="center"/>
          </w:tcPr>
          <w:p w14:paraId="3CDA12DC">
            <w:pPr>
              <w:pStyle w:val="14"/>
              <w:snapToGrid w:val="0"/>
              <w:spacing w:before="78" w:line="240" w:lineRule="auto"/>
              <w:ind w:left="0" w:leftChars="0" w:right="0" w:rightChars="0" w:firstLine="0" w:firstLineChars="0"/>
              <w:jc w:val="left"/>
              <w:rPr>
                <w:rFonts w:ascii="仿宋" w:eastAsia="仿宋"/>
                <w:sz w:val="24"/>
                <w:highlight w:val="none"/>
              </w:rPr>
            </w:pPr>
            <w:r>
              <w:rPr>
                <w:rFonts w:ascii="仿宋" w:eastAsia="仿宋"/>
                <w:spacing w:val="10"/>
                <w:sz w:val="24"/>
                <w:highlight w:val="none"/>
              </w:rPr>
              <w:t>具体规定见“</w:t>
            </w:r>
            <w:r>
              <w:rPr>
                <w:rFonts w:ascii="仿宋" w:eastAsia="仿宋"/>
                <w:spacing w:val="-71"/>
                <w:sz w:val="24"/>
                <w:highlight w:val="none"/>
              </w:rPr>
              <w:t xml:space="preserve"> </w:t>
            </w:r>
            <w:r>
              <w:rPr>
                <w:rFonts w:ascii="仿宋" w:eastAsia="仿宋"/>
                <w:spacing w:val="10"/>
                <w:sz w:val="24"/>
                <w:highlight w:val="none"/>
              </w:rPr>
              <w:t>第一章</w:t>
            </w:r>
            <w:r>
              <w:rPr>
                <w:rFonts w:ascii="仿宋" w:eastAsia="仿宋"/>
                <w:spacing w:val="42"/>
                <w:sz w:val="24"/>
                <w:highlight w:val="none"/>
              </w:rPr>
              <w:t xml:space="preserve"> </w:t>
            </w:r>
            <w:r>
              <w:rPr>
                <w:rFonts w:ascii="仿宋" w:eastAsia="仿宋"/>
                <w:spacing w:val="10"/>
                <w:sz w:val="24"/>
                <w:highlight w:val="none"/>
              </w:rPr>
              <w:t>招标公告</w:t>
            </w:r>
            <w:r>
              <w:rPr>
                <w:rFonts w:ascii="仿宋" w:eastAsia="仿宋"/>
                <w:spacing w:val="-74"/>
                <w:sz w:val="24"/>
                <w:highlight w:val="none"/>
              </w:rPr>
              <w:t xml:space="preserve"> </w:t>
            </w:r>
            <w:r>
              <w:rPr>
                <w:rFonts w:ascii="仿宋" w:eastAsia="仿宋"/>
                <w:spacing w:val="10"/>
                <w:sz w:val="24"/>
                <w:highlight w:val="none"/>
              </w:rPr>
              <w:t>”</w:t>
            </w:r>
          </w:p>
        </w:tc>
        <w:tc>
          <w:tcPr>
            <w:tcW w:w="2512" w:type="dxa"/>
            <w:vAlign w:val="center"/>
          </w:tcPr>
          <w:p w14:paraId="084FAF43">
            <w:pPr>
              <w:snapToGrid w:val="0"/>
              <w:ind w:left="0" w:leftChars="0" w:right="0" w:rightChars="0" w:firstLine="0" w:firstLineChars="0"/>
              <w:jc w:val="left"/>
              <w:rPr>
                <w:rFonts w:ascii="仿宋" w:eastAsia="仿宋"/>
                <w:sz w:val="24"/>
                <w:highlight w:val="none"/>
              </w:rPr>
            </w:pPr>
          </w:p>
        </w:tc>
      </w:tr>
      <w:tr w14:paraId="7807D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7" w:type="dxa"/>
            <w:vAlign w:val="center"/>
          </w:tcPr>
          <w:p w14:paraId="0EFA3D11">
            <w:pPr>
              <w:pStyle w:val="14"/>
              <w:snapToGrid w:val="0"/>
              <w:spacing w:before="78" w:line="240" w:lineRule="auto"/>
              <w:ind w:left="0" w:leftChars="0" w:right="0" w:rightChars="0" w:firstLine="0" w:firstLineChars="0"/>
              <w:jc w:val="center"/>
              <w:rPr>
                <w:rFonts w:ascii="仿宋" w:eastAsia="仿宋"/>
                <w:sz w:val="24"/>
                <w:highlight w:val="none"/>
              </w:rPr>
            </w:pPr>
            <w:r>
              <w:rPr>
                <w:rFonts w:ascii="仿宋" w:eastAsia="仿宋"/>
                <w:spacing w:val="-10"/>
                <w:position w:val="1"/>
                <w:sz w:val="24"/>
                <w:highlight w:val="none"/>
              </w:rPr>
              <w:t>1-1</w:t>
            </w:r>
          </w:p>
        </w:tc>
        <w:tc>
          <w:tcPr>
            <w:tcW w:w="0" w:type="auto"/>
            <w:vAlign w:val="center"/>
          </w:tcPr>
          <w:p w14:paraId="57090628">
            <w:pPr>
              <w:pStyle w:val="14"/>
              <w:snapToGrid w:val="0"/>
              <w:spacing w:before="78" w:line="240" w:lineRule="auto"/>
              <w:ind w:left="0" w:leftChars="0" w:right="0" w:rightChars="0" w:firstLine="0" w:firstLineChars="0"/>
              <w:jc w:val="center"/>
              <w:rPr>
                <w:rFonts w:ascii="仿宋" w:eastAsia="仿宋"/>
                <w:sz w:val="24"/>
                <w:highlight w:val="none"/>
              </w:rPr>
            </w:pPr>
            <w:r>
              <w:rPr>
                <w:rFonts w:ascii="仿宋" w:eastAsia="仿宋"/>
                <w:spacing w:val="22"/>
                <w:sz w:val="24"/>
                <w:highlight w:val="none"/>
              </w:rPr>
              <w:t>营业执照等</w:t>
            </w:r>
            <w:r>
              <w:rPr>
                <w:rFonts w:ascii="仿宋" w:eastAsia="仿宋"/>
                <w:spacing w:val="-15"/>
                <w:sz w:val="24"/>
                <w:highlight w:val="none"/>
              </w:rPr>
              <w:t>证</w:t>
            </w:r>
            <w:r>
              <w:rPr>
                <w:rFonts w:ascii="仿宋" w:eastAsia="仿宋"/>
                <w:spacing w:val="-56"/>
                <w:sz w:val="24"/>
                <w:highlight w:val="none"/>
              </w:rPr>
              <w:t xml:space="preserve"> </w:t>
            </w:r>
            <w:r>
              <w:rPr>
                <w:rFonts w:ascii="仿宋" w:eastAsia="仿宋"/>
                <w:spacing w:val="-15"/>
                <w:sz w:val="24"/>
                <w:highlight w:val="none"/>
              </w:rPr>
              <w:t>明</w:t>
            </w:r>
            <w:r>
              <w:rPr>
                <w:rFonts w:ascii="仿宋" w:eastAsia="仿宋"/>
                <w:spacing w:val="-69"/>
                <w:sz w:val="24"/>
                <w:highlight w:val="none"/>
              </w:rPr>
              <w:t xml:space="preserve"> </w:t>
            </w:r>
            <w:r>
              <w:rPr>
                <w:rFonts w:ascii="仿宋" w:eastAsia="仿宋"/>
                <w:spacing w:val="-15"/>
                <w:sz w:val="24"/>
                <w:highlight w:val="none"/>
              </w:rPr>
              <w:t>文件</w:t>
            </w:r>
          </w:p>
        </w:tc>
        <w:tc>
          <w:tcPr>
            <w:tcW w:w="4152" w:type="dxa"/>
            <w:vAlign w:val="center"/>
          </w:tcPr>
          <w:p w14:paraId="5BDF209C">
            <w:pPr>
              <w:pStyle w:val="14"/>
              <w:snapToGrid w:val="0"/>
              <w:spacing w:before="34" w:line="240" w:lineRule="auto"/>
              <w:ind w:left="0" w:leftChars="0" w:right="0" w:rightChars="0" w:firstLine="0" w:firstLineChars="0"/>
              <w:jc w:val="left"/>
              <w:rPr>
                <w:rFonts w:ascii="仿宋" w:eastAsia="仿宋"/>
                <w:sz w:val="24"/>
                <w:highlight w:val="none"/>
              </w:rPr>
            </w:pPr>
            <w:r>
              <w:rPr>
                <w:rFonts w:ascii="仿宋" w:eastAsia="仿宋"/>
                <w:spacing w:val="4"/>
                <w:sz w:val="24"/>
                <w:highlight w:val="none"/>
              </w:rPr>
              <w:t>投标人为企业（包括合伙企业）</w:t>
            </w:r>
            <w:r>
              <w:rPr>
                <w:rFonts w:ascii="仿宋" w:eastAsia="仿宋"/>
                <w:spacing w:val="-61"/>
                <w:sz w:val="24"/>
                <w:highlight w:val="none"/>
              </w:rPr>
              <w:t xml:space="preserve"> </w:t>
            </w:r>
            <w:r>
              <w:rPr>
                <w:rFonts w:ascii="仿宋" w:eastAsia="仿宋"/>
                <w:spacing w:val="4"/>
                <w:sz w:val="24"/>
                <w:highlight w:val="none"/>
              </w:rPr>
              <w:t>的，</w:t>
            </w:r>
            <w:r>
              <w:rPr>
                <w:rFonts w:ascii="仿宋" w:eastAsia="仿宋"/>
                <w:spacing w:val="7"/>
                <w:sz w:val="24"/>
                <w:highlight w:val="none"/>
              </w:rPr>
              <w:t>应提供有效的“</w:t>
            </w:r>
            <w:r>
              <w:rPr>
                <w:rFonts w:ascii="仿宋" w:eastAsia="仿宋"/>
                <w:spacing w:val="-83"/>
                <w:sz w:val="24"/>
                <w:highlight w:val="none"/>
              </w:rPr>
              <w:t xml:space="preserve"> </w:t>
            </w:r>
            <w:r>
              <w:rPr>
                <w:rFonts w:ascii="仿宋" w:eastAsia="仿宋"/>
                <w:spacing w:val="7"/>
                <w:sz w:val="24"/>
                <w:highlight w:val="none"/>
              </w:rPr>
              <w:t>营业执照</w:t>
            </w:r>
            <w:r>
              <w:rPr>
                <w:rFonts w:ascii="仿宋" w:eastAsia="仿宋"/>
                <w:spacing w:val="-76"/>
                <w:sz w:val="24"/>
                <w:highlight w:val="none"/>
              </w:rPr>
              <w:t xml:space="preserve"> </w:t>
            </w:r>
            <w:r>
              <w:rPr>
                <w:rFonts w:ascii="仿宋" w:eastAsia="仿宋"/>
                <w:spacing w:val="7"/>
                <w:sz w:val="24"/>
                <w:highlight w:val="none"/>
              </w:rPr>
              <w:t>”；</w:t>
            </w:r>
          </w:p>
          <w:p w14:paraId="15186D6B">
            <w:pPr>
              <w:pStyle w:val="14"/>
              <w:snapToGrid w:val="0"/>
              <w:ind w:left="0" w:leftChars="0" w:right="0" w:rightChars="0" w:firstLine="0" w:firstLineChars="0"/>
              <w:jc w:val="left"/>
              <w:rPr>
                <w:rFonts w:ascii="仿宋" w:eastAsia="仿宋"/>
                <w:sz w:val="24"/>
                <w:highlight w:val="none"/>
              </w:rPr>
            </w:pPr>
            <w:r>
              <w:rPr>
                <w:rFonts w:ascii="仿宋" w:eastAsia="仿宋"/>
                <w:spacing w:val="11"/>
                <w:sz w:val="24"/>
                <w:highlight w:val="none"/>
              </w:rPr>
              <w:t>投标人为事业单位的，应提供有效的“事业单位法人证书</w:t>
            </w:r>
            <w:r>
              <w:rPr>
                <w:rFonts w:ascii="仿宋" w:eastAsia="仿宋"/>
                <w:spacing w:val="-76"/>
                <w:sz w:val="24"/>
                <w:highlight w:val="none"/>
              </w:rPr>
              <w:t xml:space="preserve"> </w:t>
            </w:r>
            <w:r>
              <w:rPr>
                <w:rFonts w:ascii="仿宋" w:eastAsia="仿宋"/>
                <w:spacing w:val="11"/>
                <w:sz w:val="24"/>
                <w:highlight w:val="none"/>
              </w:rPr>
              <w:t>”；</w:t>
            </w:r>
          </w:p>
          <w:p w14:paraId="193A4764">
            <w:pPr>
              <w:pStyle w:val="14"/>
              <w:snapToGrid w:val="0"/>
              <w:spacing w:before="1" w:line="240" w:lineRule="auto"/>
              <w:ind w:left="0" w:leftChars="0" w:right="0" w:rightChars="0" w:firstLine="0" w:firstLineChars="0"/>
              <w:jc w:val="left"/>
              <w:rPr>
                <w:rFonts w:ascii="仿宋" w:eastAsia="仿宋"/>
                <w:sz w:val="24"/>
                <w:highlight w:val="none"/>
              </w:rPr>
            </w:pPr>
            <w:r>
              <w:rPr>
                <w:rFonts w:ascii="仿宋" w:eastAsia="仿宋"/>
                <w:spacing w:val="11"/>
                <w:sz w:val="24"/>
                <w:highlight w:val="none"/>
              </w:rPr>
              <w:t>投标人是非企业机构的，应提供有效</w:t>
            </w:r>
            <w:r>
              <w:rPr>
                <w:rFonts w:ascii="仿宋" w:eastAsia="仿宋"/>
                <w:spacing w:val="1"/>
                <w:sz w:val="24"/>
                <w:highlight w:val="none"/>
              </w:rPr>
              <w:t>的“</w:t>
            </w:r>
            <w:r>
              <w:rPr>
                <w:rFonts w:ascii="仿宋" w:eastAsia="仿宋"/>
                <w:spacing w:val="-84"/>
                <w:sz w:val="24"/>
                <w:highlight w:val="none"/>
              </w:rPr>
              <w:t xml:space="preserve"> </w:t>
            </w:r>
            <w:r>
              <w:rPr>
                <w:rFonts w:ascii="仿宋" w:eastAsia="仿宋"/>
                <w:spacing w:val="1"/>
                <w:sz w:val="24"/>
                <w:highlight w:val="none"/>
              </w:rPr>
              <w:t>执业许可证</w:t>
            </w:r>
            <w:r>
              <w:rPr>
                <w:rFonts w:ascii="仿宋" w:eastAsia="仿宋"/>
                <w:spacing w:val="-76"/>
                <w:sz w:val="24"/>
                <w:highlight w:val="none"/>
              </w:rPr>
              <w:t xml:space="preserve"> </w:t>
            </w:r>
            <w:r>
              <w:rPr>
                <w:rFonts w:ascii="仿宋" w:eastAsia="仿宋"/>
                <w:spacing w:val="1"/>
                <w:sz w:val="24"/>
                <w:highlight w:val="none"/>
              </w:rPr>
              <w:t>”、“</w:t>
            </w:r>
            <w:r>
              <w:rPr>
                <w:rFonts w:ascii="仿宋" w:eastAsia="仿宋"/>
                <w:spacing w:val="-85"/>
                <w:sz w:val="24"/>
                <w:highlight w:val="none"/>
              </w:rPr>
              <w:t xml:space="preserve"> </w:t>
            </w:r>
            <w:r>
              <w:rPr>
                <w:rFonts w:ascii="仿宋" w:eastAsia="仿宋"/>
                <w:spacing w:val="1"/>
                <w:sz w:val="24"/>
                <w:highlight w:val="none"/>
              </w:rPr>
              <w:t>登记证书</w:t>
            </w:r>
            <w:r>
              <w:rPr>
                <w:rFonts w:ascii="仿宋" w:eastAsia="仿宋"/>
                <w:spacing w:val="-73"/>
                <w:sz w:val="24"/>
                <w:highlight w:val="none"/>
              </w:rPr>
              <w:t xml:space="preserve"> </w:t>
            </w:r>
            <w:r>
              <w:rPr>
                <w:rFonts w:ascii="仿宋" w:eastAsia="仿宋"/>
                <w:spacing w:val="1"/>
                <w:sz w:val="24"/>
                <w:highlight w:val="none"/>
              </w:rPr>
              <w:t>”等</w:t>
            </w:r>
            <w:r>
              <w:rPr>
                <w:rFonts w:ascii="仿宋" w:eastAsia="仿宋"/>
                <w:spacing w:val="4"/>
                <w:sz w:val="24"/>
                <w:highlight w:val="none"/>
              </w:rPr>
              <w:t>证明文件；</w:t>
            </w:r>
          </w:p>
          <w:p w14:paraId="2C67CC75">
            <w:pPr>
              <w:pStyle w:val="14"/>
              <w:snapToGrid w:val="0"/>
              <w:spacing w:line="240" w:lineRule="auto"/>
              <w:ind w:left="0" w:leftChars="0" w:right="0" w:rightChars="0" w:firstLine="0" w:firstLineChars="0"/>
              <w:jc w:val="left"/>
              <w:rPr>
                <w:rFonts w:ascii="仿宋" w:eastAsia="仿宋"/>
                <w:sz w:val="24"/>
                <w:highlight w:val="none"/>
              </w:rPr>
            </w:pPr>
            <w:r>
              <w:rPr>
                <w:rFonts w:ascii="仿宋" w:eastAsia="仿宋"/>
                <w:spacing w:val="11"/>
                <w:sz w:val="24"/>
                <w:highlight w:val="none"/>
              </w:rPr>
              <w:t>投标人是个体工商户的，应提供有效的</w:t>
            </w:r>
            <w:r>
              <w:rPr>
                <w:rFonts w:ascii="仿宋" w:eastAsia="仿宋"/>
                <w:spacing w:val="8"/>
                <w:sz w:val="24"/>
                <w:highlight w:val="none"/>
              </w:rPr>
              <w:t>“</w:t>
            </w:r>
            <w:r>
              <w:rPr>
                <w:rFonts w:ascii="仿宋" w:eastAsia="仿宋"/>
                <w:spacing w:val="-85"/>
                <w:sz w:val="24"/>
                <w:highlight w:val="none"/>
              </w:rPr>
              <w:t xml:space="preserve"> </w:t>
            </w:r>
            <w:r>
              <w:rPr>
                <w:rFonts w:ascii="仿宋" w:eastAsia="仿宋"/>
                <w:spacing w:val="8"/>
                <w:sz w:val="24"/>
                <w:highlight w:val="none"/>
              </w:rPr>
              <w:t>个体工商户营业执照</w:t>
            </w:r>
            <w:r>
              <w:rPr>
                <w:rFonts w:ascii="仿宋" w:eastAsia="仿宋"/>
                <w:spacing w:val="-74"/>
                <w:sz w:val="24"/>
                <w:highlight w:val="none"/>
              </w:rPr>
              <w:t xml:space="preserve"> </w:t>
            </w:r>
            <w:r>
              <w:rPr>
                <w:rFonts w:ascii="仿宋" w:eastAsia="仿宋"/>
                <w:spacing w:val="8"/>
                <w:sz w:val="24"/>
                <w:highlight w:val="none"/>
              </w:rPr>
              <w:t>”；</w:t>
            </w:r>
          </w:p>
          <w:p w14:paraId="483483E9">
            <w:pPr>
              <w:pStyle w:val="14"/>
              <w:snapToGrid w:val="0"/>
              <w:spacing w:before="2" w:line="240" w:lineRule="auto"/>
              <w:ind w:left="0" w:leftChars="0" w:right="0" w:rightChars="0" w:firstLine="0" w:firstLineChars="0"/>
              <w:jc w:val="left"/>
              <w:rPr>
                <w:rFonts w:ascii="仿宋" w:eastAsia="仿宋"/>
                <w:sz w:val="24"/>
                <w:highlight w:val="none"/>
              </w:rPr>
            </w:pPr>
            <w:r>
              <w:rPr>
                <w:rFonts w:ascii="仿宋" w:eastAsia="仿宋"/>
                <w:spacing w:val="6"/>
                <w:sz w:val="24"/>
                <w:highlight w:val="none"/>
              </w:rPr>
              <w:t>投标人是</w:t>
            </w:r>
            <w:r>
              <w:rPr>
                <w:rFonts w:ascii="仿宋" w:eastAsia="仿宋"/>
                <w:spacing w:val="-38"/>
                <w:sz w:val="24"/>
                <w:highlight w:val="none"/>
              </w:rPr>
              <w:t xml:space="preserve"> </w:t>
            </w:r>
            <w:r>
              <w:rPr>
                <w:rFonts w:ascii="仿宋" w:eastAsia="仿宋"/>
                <w:spacing w:val="6"/>
                <w:sz w:val="24"/>
                <w:highlight w:val="none"/>
              </w:rPr>
              <w:t>自然人的，应提供有效的自</w:t>
            </w:r>
            <w:r>
              <w:rPr>
                <w:rFonts w:ascii="仿宋" w:eastAsia="仿宋"/>
                <w:spacing w:val="5"/>
                <w:sz w:val="24"/>
                <w:highlight w:val="none"/>
              </w:rPr>
              <w:t>然人身份证明。</w:t>
            </w:r>
          </w:p>
        </w:tc>
        <w:tc>
          <w:tcPr>
            <w:tcW w:w="2512" w:type="dxa"/>
            <w:vAlign w:val="center"/>
          </w:tcPr>
          <w:p w14:paraId="1A1EE5D8">
            <w:pPr>
              <w:pStyle w:val="14"/>
              <w:snapToGrid w:val="0"/>
              <w:spacing w:before="78" w:line="240" w:lineRule="auto"/>
              <w:ind w:left="0" w:leftChars="0" w:right="0" w:rightChars="0" w:firstLine="0" w:firstLineChars="0"/>
              <w:jc w:val="left"/>
              <w:rPr>
                <w:rFonts w:ascii="仿宋" w:eastAsia="仿宋"/>
                <w:sz w:val="24"/>
                <w:highlight w:val="none"/>
              </w:rPr>
            </w:pPr>
            <w:r>
              <w:rPr>
                <w:rFonts w:ascii="仿宋" w:eastAsia="仿宋"/>
                <w:spacing w:val="-6"/>
                <w:sz w:val="24"/>
                <w:highlight w:val="none"/>
              </w:rPr>
              <w:t>提供证明文件的电</w:t>
            </w:r>
            <w:r>
              <w:rPr>
                <w:rFonts w:ascii="仿宋" w:eastAsia="仿宋"/>
                <w:spacing w:val="-7"/>
                <w:sz w:val="24"/>
                <w:highlight w:val="none"/>
              </w:rPr>
              <w:t>子件或电子证照</w:t>
            </w:r>
          </w:p>
        </w:tc>
      </w:tr>
      <w:tr w14:paraId="5239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7" w:type="dxa"/>
            <w:vAlign w:val="center"/>
          </w:tcPr>
          <w:p w14:paraId="54C3ADDD">
            <w:pPr>
              <w:pStyle w:val="14"/>
              <w:snapToGrid w:val="0"/>
              <w:spacing w:before="78" w:line="240" w:lineRule="auto"/>
              <w:ind w:left="0" w:leftChars="0" w:right="0" w:rightChars="0" w:firstLine="0" w:firstLineChars="0"/>
              <w:jc w:val="center"/>
              <w:rPr>
                <w:rFonts w:ascii="仿宋" w:eastAsia="仿宋"/>
                <w:sz w:val="24"/>
                <w:highlight w:val="none"/>
              </w:rPr>
            </w:pPr>
            <w:r>
              <w:rPr>
                <w:rFonts w:ascii="仿宋" w:eastAsia="仿宋"/>
                <w:spacing w:val="-10"/>
                <w:position w:val="1"/>
                <w:sz w:val="24"/>
                <w:highlight w:val="none"/>
              </w:rPr>
              <w:t>1-2</w:t>
            </w:r>
          </w:p>
        </w:tc>
        <w:tc>
          <w:tcPr>
            <w:tcW w:w="0" w:type="auto"/>
            <w:vAlign w:val="center"/>
          </w:tcPr>
          <w:p w14:paraId="6A26825D">
            <w:pPr>
              <w:pStyle w:val="14"/>
              <w:snapToGrid w:val="0"/>
              <w:spacing w:before="78" w:line="240" w:lineRule="auto"/>
              <w:ind w:left="0" w:leftChars="0" w:right="0" w:rightChars="0" w:firstLine="0" w:firstLineChars="0"/>
              <w:jc w:val="center"/>
              <w:rPr>
                <w:rFonts w:ascii="仿宋" w:eastAsia="仿宋"/>
                <w:sz w:val="24"/>
                <w:highlight w:val="none"/>
              </w:rPr>
            </w:pPr>
            <w:r>
              <w:rPr>
                <w:rFonts w:ascii="仿宋" w:eastAsia="仿宋"/>
                <w:spacing w:val="4"/>
                <w:sz w:val="24"/>
                <w:highlight w:val="none"/>
              </w:rPr>
              <w:t>信</w:t>
            </w:r>
            <w:r>
              <w:rPr>
                <w:rFonts w:ascii="仿宋" w:eastAsia="仿宋"/>
                <w:spacing w:val="-69"/>
                <w:sz w:val="24"/>
                <w:highlight w:val="none"/>
              </w:rPr>
              <w:t xml:space="preserve"> </w:t>
            </w:r>
            <w:r>
              <w:rPr>
                <w:rFonts w:ascii="仿宋" w:eastAsia="仿宋"/>
                <w:spacing w:val="4"/>
                <w:sz w:val="24"/>
                <w:highlight w:val="none"/>
              </w:rPr>
              <w:t>用承</w:t>
            </w:r>
            <w:r>
              <w:rPr>
                <w:rFonts w:ascii="仿宋" w:eastAsia="仿宋"/>
                <w:spacing w:val="-72"/>
                <w:sz w:val="24"/>
                <w:highlight w:val="none"/>
              </w:rPr>
              <w:t xml:space="preserve"> </w:t>
            </w:r>
            <w:r>
              <w:rPr>
                <w:rFonts w:ascii="仿宋" w:eastAsia="仿宋"/>
                <w:spacing w:val="4"/>
                <w:sz w:val="24"/>
                <w:highlight w:val="none"/>
              </w:rPr>
              <w:t>诺函</w:t>
            </w:r>
          </w:p>
        </w:tc>
        <w:tc>
          <w:tcPr>
            <w:tcW w:w="4152" w:type="dxa"/>
            <w:vAlign w:val="center"/>
          </w:tcPr>
          <w:p w14:paraId="03DFA467">
            <w:pPr>
              <w:pStyle w:val="14"/>
              <w:snapToGrid w:val="0"/>
              <w:spacing w:before="252" w:line="240" w:lineRule="auto"/>
              <w:ind w:left="0" w:leftChars="0" w:right="0" w:rightChars="0" w:firstLine="0" w:firstLineChars="0"/>
              <w:jc w:val="left"/>
              <w:rPr>
                <w:rFonts w:ascii="仿宋" w:eastAsia="仿宋"/>
                <w:sz w:val="24"/>
                <w:highlight w:val="none"/>
              </w:rPr>
            </w:pPr>
            <w:r>
              <w:rPr>
                <w:rFonts w:ascii="仿宋" w:eastAsia="仿宋"/>
                <w:spacing w:val="11"/>
                <w:sz w:val="24"/>
                <w:highlight w:val="none"/>
              </w:rPr>
              <w:t>提供了符合招标文件要求的《政府采</w:t>
            </w:r>
            <w:r>
              <w:rPr>
                <w:rFonts w:ascii="仿宋" w:eastAsia="仿宋"/>
                <w:spacing w:val="10"/>
                <w:sz w:val="24"/>
                <w:highlight w:val="none"/>
              </w:rPr>
              <w:t>购供应商信用承诺函》。</w:t>
            </w:r>
          </w:p>
        </w:tc>
        <w:tc>
          <w:tcPr>
            <w:tcW w:w="2512" w:type="dxa"/>
            <w:vAlign w:val="center"/>
          </w:tcPr>
          <w:p w14:paraId="000816F9">
            <w:pPr>
              <w:pStyle w:val="14"/>
              <w:snapToGrid w:val="0"/>
              <w:spacing w:before="97" w:line="240" w:lineRule="auto"/>
              <w:ind w:left="0" w:leftChars="0" w:right="0" w:rightChars="0" w:firstLine="0" w:firstLineChars="0"/>
              <w:jc w:val="left"/>
              <w:rPr>
                <w:rFonts w:ascii="仿宋" w:eastAsia="仿宋"/>
                <w:sz w:val="24"/>
                <w:highlight w:val="none"/>
              </w:rPr>
            </w:pPr>
            <w:r>
              <w:rPr>
                <w:rFonts w:ascii="仿宋" w:eastAsia="仿宋"/>
                <w:spacing w:val="-5"/>
                <w:sz w:val="24"/>
                <w:highlight w:val="none"/>
              </w:rPr>
              <w:t>格式见招标文件《</w:t>
            </w:r>
          </w:p>
          <w:p w14:paraId="27D3B47C">
            <w:pPr>
              <w:pStyle w:val="14"/>
              <w:snapToGrid w:val="0"/>
              <w:spacing w:before="23" w:line="240" w:lineRule="auto"/>
              <w:ind w:left="0" w:leftChars="0" w:right="0" w:rightChars="0" w:firstLine="0" w:firstLineChars="0"/>
              <w:jc w:val="left"/>
              <w:rPr>
                <w:rFonts w:ascii="仿宋" w:eastAsia="仿宋"/>
                <w:sz w:val="24"/>
                <w:highlight w:val="none"/>
              </w:rPr>
            </w:pPr>
            <w:r>
              <w:rPr>
                <w:rFonts w:ascii="仿宋" w:eastAsia="仿宋"/>
                <w:spacing w:val="-7"/>
                <w:sz w:val="24"/>
                <w:highlight w:val="none"/>
              </w:rPr>
              <w:t>第七章投标文件格</w:t>
            </w:r>
          </w:p>
          <w:p w14:paraId="730E0390">
            <w:pPr>
              <w:pStyle w:val="14"/>
              <w:snapToGrid w:val="0"/>
              <w:spacing w:before="20" w:line="240" w:lineRule="auto"/>
              <w:ind w:left="0" w:leftChars="0" w:right="0" w:rightChars="0" w:firstLine="0" w:firstLineChars="0"/>
              <w:jc w:val="left"/>
              <w:rPr>
                <w:rFonts w:ascii="仿宋" w:eastAsia="仿宋"/>
                <w:sz w:val="24"/>
                <w:highlight w:val="none"/>
              </w:rPr>
            </w:pPr>
            <w:r>
              <w:rPr>
                <w:rFonts w:ascii="仿宋" w:eastAsia="仿宋"/>
                <w:spacing w:val="-11"/>
                <w:sz w:val="24"/>
                <w:highlight w:val="none"/>
              </w:rPr>
              <w:t>式》</w:t>
            </w:r>
          </w:p>
        </w:tc>
      </w:tr>
      <w:tr w14:paraId="6CD6D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7" w:type="dxa"/>
            <w:vAlign w:val="center"/>
          </w:tcPr>
          <w:p w14:paraId="5C489E60">
            <w:pPr>
              <w:pStyle w:val="14"/>
              <w:snapToGrid w:val="0"/>
              <w:spacing w:before="78" w:line="240" w:lineRule="auto"/>
              <w:ind w:left="0" w:leftChars="0" w:right="0" w:rightChars="0" w:firstLine="0" w:firstLineChars="0"/>
              <w:jc w:val="center"/>
              <w:rPr>
                <w:rFonts w:ascii="仿宋" w:eastAsia="仿宋"/>
                <w:sz w:val="24"/>
                <w:highlight w:val="none"/>
              </w:rPr>
            </w:pPr>
            <w:r>
              <w:rPr>
                <w:rFonts w:ascii="仿宋" w:eastAsia="仿宋"/>
                <w:spacing w:val="-10"/>
                <w:sz w:val="24"/>
                <w:highlight w:val="none"/>
              </w:rPr>
              <w:t>1-3</w:t>
            </w:r>
          </w:p>
        </w:tc>
        <w:tc>
          <w:tcPr>
            <w:tcW w:w="1666" w:type="dxa"/>
            <w:vAlign w:val="center"/>
          </w:tcPr>
          <w:p w14:paraId="6E5983DB">
            <w:pPr>
              <w:pStyle w:val="14"/>
              <w:snapToGrid w:val="0"/>
              <w:spacing w:before="78"/>
              <w:ind w:left="0" w:leftChars="0" w:right="0" w:rightChars="0" w:firstLine="0" w:firstLineChars="0"/>
              <w:jc w:val="center"/>
              <w:rPr>
                <w:rFonts w:ascii="仿宋" w:eastAsia="仿宋"/>
                <w:sz w:val="24"/>
                <w:highlight w:val="none"/>
              </w:rPr>
            </w:pPr>
            <w:r>
              <w:rPr>
                <w:rFonts w:ascii="仿宋" w:eastAsia="仿宋"/>
                <w:spacing w:val="4"/>
                <w:sz w:val="24"/>
                <w:highlight w:val="none"/>
              </w:rPr>
              <w:t>投标人信用记</w:t>
            </w:r>
            <w:r>
              <w:rPr>
                <w:rFonts w:ascii="仿宋" w:eastAsia="仿宋"/>
                <w:sz w:val="24"/>
                <w:highlight w:val="none"/>
              </w:rPr>
              <w:t>录</w:t>
            </w:r>
          </w:p>
        </w:tc>
        <w:tc>
          <w:tcPr>
            <w:tcW w:w="4152" w:type="dxa"/>
            <w:vAlign w:val="center"/>
          </w:tcPr>
          <w:p w14:paraId="36DF9B39">
            <w:pPr>
              <w:pStyle w:val="14"/>
              <w:snapToGrid w:val="0"/>
              <w:spacing w:before="38" w:line="240" w:lineRule="auto"/>
              <w:ind w:left="0" w:leftChars="0" w:right="0" w:rightChars="0" w:firstLine="0" w:firstLineChars="0"/>
              <w:jc w:val="left"/>
              <w:rPr>
                <w:rFonts w:ascii="仿宋" w:eastAsia="仿宋"/>
                <w:sz w:val="24"/>
                <w:highlight w:val="none"/>
              </w:rPr>
            </w:pPr>
            <w:r>
              <w:rPr>
                <w:rFonts w:ascii="仿宋" w:eastAsia="仿宋"/>
                <w:spacing w:val="7"/>
                <w:sz w:val="24"/>
                <w:highlight w:val="none"/>
              </w:rPr>
              <w:t>查询渠道：信用中</w:t>
            </w:r>
            <w:r>
              <w:rPr>
                <w:rFonts w:ascii="仿宋" w:eastAsia="仿宋"/>
                <w:spacing w:val="-57"/>
                <w:sz w:val="24"/>
                <w:highlight w:val="none"/>
              </w:rPr>
              <w:t xml:space="preserve"> </w:t>
            </w:r>
            <w:r>
              <w:rPr>
                <w:rFonts w:ascii="仿宋" w:eastAsia="仿宋"/>
                <w:spacing w:val="7"/>
                <w:sz w:val="24"/>
                <w:highlight w:val="none"/>
              </w:rPr>
              <w:t>国网站和中国政府</w:t>
            </w:r>
            <w:r>
              <w:rPr>
                <w:rFonts w:ascii="仿宋" w:eastAsia="仿宋"/>
                <w:spacing w:val="34"/>
                <w:sz w:val="24"/>
                <w:highlight w:val="none"/>
              </w:rPr>
              <w:t>采购网</w:t>
            </w:r>
            <w:r>
              <w:rPr>
                <w:rFonts w:ascii="仿宋" w:eastAsia="仿宋"/>
                <w:spacing w:val="76"/>
                <w:sz w:val="24"/>
                <w:highlight w:val="none"/>
              </w:rPr>
              <w:t xml:space="preserve"> </w:t>
            </w:r>
            <w:r>
              <w:rPr>
                <w:rFonts w:ascii="仿宋" w:eastAsia="仿宋"/>
                <w:spacing w:val="34"/>
                <w:sz w:val="24"/>
                <w:highlight w:val="none"/>
              </w:rPr>
              <w:t>(</w:t>
            </w:r>
            <w:r>
              <w:rPr>
                <w:rFonts w:ascii="仿宋" w:eastAsia="仿宋"/>
                <w:sz w:val="24"/>
                <w:highlight w:val="none"/>
              </w:rPr>
              <w:fldChar w:fldCharType="begin"/>
            </w:r>
            <w:r>
              <w:rPr>
                <w:rFonts w:ascii="仿宋" w:eastAsia="仿宋"/>
                <w:sz w:val="24"/>
                <w:highlight w:val="none"/>
              </w:rPr>
              <w:instrText xml:space="preserve"> HYPERLINK "https://www.creditchina.gov.cn" </w:instrText>
            </w:r>
            <w:r>
              <w:rPr>
                <w:rFonts w:ascii="仿宋" w:eastAsia="仿宋"/>
                <w:sz w:val="24"/>
                <w:highlight w:val="none"/>
              </w:rPr>
              <w:fldChar w:fldCharType="separate"/>
            </w:r>
            <w:r>
              <w:rPr>
                <w:rFonts w:ascii="仿宋" w:eastAsia="仿宋"/>
                <w:sz w:val="24"/>
                <w:highlight w:val="none"/>
              </w:rPr>
              <w:t>www</w:t>
            </w:r>
            <w:r>
              <w:rPr>
                <w:rFonts w:ascii="仿宋" w:eastAsia="仿宋"/>
                <w:spacing w:val="34"/>
                <w:sz w:val="24"/>
                <w:highlight w:val="none"/>
              </w:rPr>
              <w:t>.</w:t>
            </w:r>
            <w:r>
              <w:rPr>
                <w:rFonts w:ascii="仿宋" w:eastAsia="仿宋"/>
                <w:sz w:val="24"/>
                <w:highlight w:val="none"/>
              </w:rPr>
              <w:t>creditchina</w:t>
            </w:r>
            <w:r>
              <w:rPr>
                <w:rFonts w:ascii="仿宋" w:eastAsia="仿宋"/>
                <w:spacing w:val="34"/>
                <w:sz w:val="24"/>
                <w:highlight w:val="none"/>
              </w:rPr>
              <w:t>.</w:t>
            </w:r>
            <w:r>
              <w:rPr>
                <w:rFonts w:ascii="仿宋" w:eastAsia="仿宋"/>
                <w:sz w:val="24"/>
                <w:highlight w:val="none"/>
              </w:rPr>
              <w:t>gov</w:t>
            </w:r>
            <w:r>
              <w:rPr>
                <w:rFonts w:ascii="仿宋" w:eastAsia="仿宋"/>
                <w:spacing w:val="34"/>
                <w:sz w:val="24"/>
                <w:highlight w:val="none"/>
              </w:rPr>
              <w:t>.</w:t>
            </w:r>
            <w:r>
              <w:rPr>
                <w:rFonts w:ascii="仿宋" w:eastAsia="仿宋"/>
                <w:sz w:val="24"/>
                <w:highlight w:val="none"/>
              </w:rPr>
              <w:t>cn</w:t>
            </w:r>
            <w:r>
              <w:rPr>
                <w:rFonts w:ascii="仿宋" w:eastAsia="仿宋"/>
                <w:sz w:val="24"/>
                <w:highlight w:val="none"/>
              </w:rPr>
              <w:fldChar w:fldCharType="end"/>
            </w:r>
            <w:r>
              <w:rPr>
                <w:rFonts w:ascii="仿宋" w:eastAsia="仿宋"/>
                <w:sz w:val="24"/>
                <w:highlight w:val="none"/>
              </w:rPr>
              <w:t xml:space="preserve">  </w:t>
            </w:r>
            <w:r>
              <w:rPr>
                <w:rFonts w:ascii="仿宋" w:eastAsia="仿宋"/>
                <w:spacing w:val="42"/>
                <w:sz w:val="24"/>
                <w:highlight w:val="none"/>
              </w:rPr>
              <w:t>、</w:t>
            </w:r>
            <w:r>
              <w:rPr>
                <w:rFonts w:ascii="仿宋" w:eastAsia="仿宋"/>
                <w:sz w:val="24"/>
                <w:highlight w:val="none"/>
              </w:rPr>
              <w:fldChar w:fldCharType="begin"/>
            </w:r>
            <w:r>
              <w:rPr>
                <w:rFonts w:ascii="仿宋" w:eastAsia="仿宋"/>
                <w:sz w:val="24"/>
                <w:highlight w:val="none"/>
              </w:rPr>
              <w:instrText xml:space="preserve"> HYPERLINK "https://www.ccgp.gov.cn" </w:instrText>
            </w:r>
            <w:r>
              <w:rPr>
                <w:rFonts w:ascii="仿宋" w:eastAsia="仿宋"/>
                <w:sz w:val="24"/>
                <w:highlight w:val="none"/>
              </w:rPr>
              <w:fldChar w:fldCharType="separate"/>
            </w:r>
            <w:r>
              <w:rPr>
                <w:rFonts w:ascii="仿宋" w:eastAsia="仿宋"/>
                <w:sz w:val="24"/>
                <w:highlight w:val="none"/>
              </w:rPr>
              <w:t>www</w:t>
            </w:r>
            <w:r>
              <w:rPr>
                <w:rFonts w:ascii="仿宋" w:eastAsia="仿宋"/>
                <w:spacing w:val="42"/>
                <w:sz w:val="24"/>
                <w:highlight w:val="none"/>
              </w:rPr>
              <w:t>.</w:t>
            </w:r>
            <w:r>
              <w:rPr>
                <w:rFonts w:ascii="仿宋" w:eastAsia="仿宋"/>
                <w:sz w:val="24"/>
                <w:highlight w:val="none"/>
              </w:rPr>
              <w:t>ccgp</w:t>
            </w:r>
            <w:r>
              <w:rPr>
                <w:rFonts w:ascii="仿宋" w:eastAsia="仿宋"/>
                <w:spacing w:val="42"/>
                <w:sz w:val="24"/>
                <w:highlight w:val="none"/>
              </w:rPr>
              <w:t>.</w:t>
            </w:r>
            <w:r>
              <w:rPr>
                <w:rFonts w:ascii="仿宋" w:eastAsia="仿宋"/>
                <w:sz w:val="24"/>
                <w:highlight w:val="none"/>
              </w:rPr>
              <w:t>gov</w:t>
            </w:r>
            <w:r>
              <w:rPr>
                <w:rFonts w:ascii="仿宋" w:eastAsia="仿宋"/>
                <w:spacing w:val="42"/>
                <w:sz w:val="24"/>
                <w:highlight w:val="none"/>
              </w:rPr>
              <w:t>.</w:t>
            </w:r>
            <w:r>
              <w:rPr>
                <w:rFonts w:ascii="仿宋" w:eastAsia="仿宋"/>
                <w:sz w:val="24"/>
                <w:highlight w:val="none"/>
              </w:rPr>
              <w:t>cn</w:t>
            </w:r>
            <w:r>
              <w:rPr>
                <w:rFonts w:ascii="仿宋" w:eastAsia="仿宋"/>
                <w:sz w:val="24"/>
                <w:highlight w:val="none"/>
              </w:rPr>
              <w:fldChar w:fldCharType="end"/>
            </w:r>
            <w:r>
              <w:rPr>
                <w:rFonts w:ascii="仿宋" w:eastAsia="仿宋"/>
                <w:spacing w:val="-69"/>
                <w:sz w:val="24"/>
                <w:highlight w:val="none"/>
              </w:rPr>
              <w:t xml:space="preserve"> </w:t>
            </w:r>
            <w:r>
              <w:rPr>
                <w:rFonts w:ascii="仿宋" w:eastAsia="仿宋"/>
                <w:spacing w:val="-16"/>
                <w:sz w:val="24"/>
                <w:highlight w:val="none"/>
              </w:rPr>
              <w:t>）；</w:t>
            </w:r>
          </w:p>
          <w:p w14:paraId="48F8FA33">
            <w:pPr>
              <w:pStyle w:val="14"/>
              <w:snapToGrid w:val="0"/>
              <w:spacing w:before="9" w:line="240" w:lineRule="auto"/>
              <w:ind w:left="0" w:leftChars="0" w:right="0" w:rightChars="0" w:firstLine="0" w:firstLineChars="0"/>
              <w:jc w:val="left"/>
              <w:rPr>
                <w:rFonts w:ascii="仿宋" w:eastAsia="仿宋"/>
                <w:sz w:val="24"/>
                <w:highlight w:val="none"/>
              </w:rPr>
            </w:pPr>
            <w:r>
              <w:rPr>
                <w:rFonts w:ascii="仿宋" w:eastAsia="仿宋"/>
                <w:spacing w:val="8"/>
                <w:sz w:val="24"/>
                <w:highlight w:val="none"/>
              </w:rPr>
              <w:t>截止时间：投标截止时间</w:t>
            </w:r>
            <w:r>
              <w:rPr>
                <w:rFonts w:hint="eastAsia" w:ascii="仿宋" w:eastAsia="仿宋"/>
                <w:spacing w:val="8"/>
                <w:sz w:val="24"/>
                <w:highlight w:val="none"/>
                <w:lang w:val="en-US" w:eastAsia="zh-CN"/>
              </w:rPr>
              <w:t>以前</w:t>
            </w:r>
            <w:r>
              <w:rPr>
                <w:rFonts w:ascii="仿宋" w:eastAsia="仿宋"/>
                <w:spacing w:val="4"/>
                <w:sz w:val="24"/>
                <w:highlight w:val="none"/>
              </w:rPr>
              <w:t>；</w:t>
            </w:r>
          </w:p>
          <w:p w14:paraId="64E26119">
            <w:pPr>
              <w:pStyle w:val="14"/>
              <w:snapToGrid w:val="0"/>
              <w:spacing w:before="2" w:line="240" w:lineRule="auto"/>
              <w:ind w:left="0" w:leftChars="0" w:right="0" w:rightChars="0" w:firstLine="0" w:firstLineChars="0"/>
              <w:jc w:val="left"/>
              <w:rPr>
                <w:rFonts w:ascii="仿宋" w:eastAsia="仿宋"/>
                <w:sz w:val="24"/>
                <w:highlight w:val="none"/>
              </w:rPr>
            </w:pPr>
            <w:r>
              <w:rPr>
                <w:rFonts w:ascii="仿宋" w:eastAsia="仿宋"/>
                <w:spacing w:val="11"/>
                <w:sz w:val="24"/>
                <w:highlight w:val="none"/>
              </w:rPr>
              <w:t>信用信息查询记录和证据留存具体方</w:t>
            </w:r>
            <w:r>
              <w:rPr>
                <w:rFonts w:ascii="仿宋" w:eastAsia="仿宋"/>
                <w:spacing w:val="10"/>
                <w:sz w:val="24"/>
                <w:highlight w:val="none"/>
              </w:rPr>
              <w:t>式：查询结果网页打印页作为查询记</w:t>
            </w:r>
          </w:p>
          <w:p w14:paraId="0D5875A3">
            <w:pPr>
              <w:pStyle w:val="14"/>
              <w:snapToGrid w:val="0"/>
              <w:spacing w:line="240" w:lineRule="auto"/>
              <w:ind w:left="0" w:leftChars="0" w:right="0" w:rightChars="0" w:firstLine="0" w:firstLineChars="0"/>
              <w:jc w:val="left"/>
              <w:rPr>
                <w:rFonts w:ascii="仿宋" w:eastAsia="仿宋"/>
                <w:sz w:val="24"/>
                <w:highlight w:val="none"/>
              </w:rPr>
            </w:pPr>
            <w:r>
              <w:rPr>
                <w:rFonts w:ascii="仿宋" w:eastAsia="仿宋"/>
                <w:spacing w:val="10"/>
                <w:sz w:val="24"/>
                <w:highlight w:val="none"/>
              </w:rPr>
              <w:t>录和证据，与其他采购文件一并保存</w:t>
            </w:r>
            <w:r>
              <w:rPr>
                <w:rFonts w:ascii="仿宋" w:eastAsia="仿宋"/>
                <w:spacing w:val="8"/>
                <w:sz w:val="24"/>
                <w:highlight w:val="none"/>
              </w:rPr>
              <w:t xml:space="preserve"> </w:t>
            </w:r>
            <w:r>
              <w:rPr>
                <w:rFonts w:ascii="仿宋" w:eastAsia="仿宋"/>
                <w:sz w:val="24"/>
                <w:highlight w:val="none"/>
              </w:rPr>
              <w:t>;</w:t>
            </w:r>
          </w:p>
          <w:p w14:paraId="2331887B">
            <w:pPr>
              <w:pStyle w:val="14"/>
              <w:snapToGrid w:val="0"/>
              <w:spacing w:before="1" w:line="240" w:lineRule="auto"/>
              <w:ind w:left="0" w:leftChars="0" w:right="0" w:rightChars="0" w:firstLine="0" w:firstLineChars="0"/>
              <w:jc w:val="left"/>
              <w:rPr>
                <w:rFonts w:ascii="仿宋" w:eastAsia="仿宋"/>
                <w:sz w:val="24"/>
                <w:highlight w:val="none"/>
              </w:rPr>
            </w:pPr>
            <w:r>
              <w:rPr>
                <w:rFonts w:ascii="仿宋" w:eastAsia="仿宋"/>
                <w:spacing w:val="11"/>
                <w:sz w:val="24"/>
                <w:highlight w:val="none"/>
              </w:rPr>
              <w:t>信用信息的使用原则：经认定的被列</w:t>
            </w:r>
            <w:r>
              <w:rPr>
                <w:rFonts w:ascii="仿宋" w:eastAsia="仿宋"/>
                <w:spacing w:val="8"/>
                <w:sz w:val="24"/>
                <w:highlight w:val="none"/>
              </w:rPr>
              <w:t>入失信被执行人</w:t>
            </w:r>
            <w:r>
              <w:rPr>
                <w:rFonts w:ascii="仿宋" w:eastAsia="仿宋"/>
                <w:spacing w:val="-71"/>
                <w:sz w:val="24"/>
                <w:highlight w:val="none"/>
              </w:rPr>
              <w:t xml:space="preserve"> </w:t>
            </w:r>
            <w:r>
              <w:rPr>
                <w:rFonts w:ascii="仿宋" w:eastAsia="仿宋"/>
                <w:spacing w:val="8"/>
                <w:sz w:val="24"/>
                <w:highlight w:val="none"/>
              </w:rPr>
              <w:t>、重大税收违法失信</w:t>
            </w:r>
            <w:r>
              <w:rPr>
                <w:rFonts w:ascii="仿宋" w:eastAsia="仿宋"/>
                <w:spacing w:val="7"/>
                <w:sz w:val="24"/>
                <w:highlight w:val="none"/>
              </w:rPr>
              <w:t>主体</w:t>
            </w:r>
            <w:r>
              <w:rPr>
                <w:rFonts w:ascii="仿宋" w:eastAsia="仿宋"/>
                <w:spacing w:val="-62"/>
                <w:sz w:val="24"/>
                <w:highlight w:val="none"/>
              </w:rPr>
              <w:t xml:space="preserve"> </w:t>
            </w:r>
            <w:r>
              <w:rPr>
                <w:rFonts w:ascii="仿宋" w:eastAsia="仿宋"/>
                <w:spacing w:val="7"/>
                <w:sz w:val="24"/>
                <w:highlight w:val="none"/>
              </w:rPr>
              <w:t>、政府采购严重违法失信行为记</w:t>
            </w:r>
            <w:r>
              <w:rPr>
                <w:rFonts w:ascii="仿宋" w:eastAsia="仿宋"/>
                <w:spacing w:val="9"/>
                <w:sz w:val="24"/>
                <w:highlight w:val="none"/>
              </w:rPr>
              <w:t>录名单的投标人，其投标无效。</w:t>
            </w:r>
          </w:p>
        </w:tc>
        <w:tc>
          <w:tcPr>
            <w:tcW w:w="2512" w:type="dxa"/>
            <w:vAlign w:val="center"/>
          </w:tcPr>
          <w:p w14:paraId="269C4526">
            <w:pPr>
              <w:pStyle w:val="14"/>
              <w:snapToGrid w:val="0"/>
              <w:spacing w:before="23" w:line="240" w:lineRule="auto"/>
              <w:ind w:left="0" w:leftChars="0" w:right="0" w:rightChars="0" w:firstLine="0" w:firstLineChars="0"/>
              <w:jc w:val="left"/>
              <w:rPr>
                <w:rFonts w:ascii="仿宋" w:eastAsia="仿宋"/>
                <w:sz w:val="24"/>
                <w:highlight w:val="none"/>
              </w:rPr>
            </w:pPr>
            <w:r>
              <w:rPr>
                <w:rFonts w:hint="eastAsia" w:ascii="仿宋" w:eastAsia="仿宋"/>
                <w:spacing w:val="-6"/>
                <w:sz w:val="24"/>
                <w:highlight w:val="none"/>
                <w:lang w:val="en-US" w:eastAsia="zh-CN"/>
              </w:rPr>
              <w:t>提交相应截图证明</w:t>
            </w:r>
            <w:r>
              <w:rPr>
                <w:rFonts w:ascii="仿宋" w:eastAsia="仿宋"/>
                <w:spacing w:val="-6"/>
                <w:sz w:val="24"/>
                <w:highlight w:val="none"/>
              </w:rPr>
              <w:t>。</w:t>
            </w:r>
          </w:p>
        </w:tc>
      </w:tr>
    </w:tbl>
    <w:p w14:paraId="37CF9672">
      <w:pPr>
        <w:spacing w:line="110" w:lineRule="auto"/>
        <w:rPr>
          <w:rFonts w:hint="eastAsia" w:ascii="Arial" w:eastAsia="宋体"/>
          <w:sz w:val="2"/>
          <w:highlight w:val="none"/>
          <w:lang w:eastAsia="zh-CN"/>
        </w:rPr>
      </w:pPr>
      <w:r>
        <w:rPr>
          <w:rFonts w:hint="eastAsia" w:ascii="Arial" w:eastAsia="宋体"/>
          <w:sz w:val="2"/>
          <w:highlight w:val="none"/>
          <w:lang w:eastAsia="zh-CN"/>
        </w:rPr>
        <w:br w:type="page"/>
      </w:r>
    </w:p>
    <w:tbl>
      <w:tblPr>
        <w:tblStyle w:val="13"/>
        <w:tblW w:w="9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881"/>
        <w:gridCol w:w="4439"/>
        <w:gridCol w:w="2182"/>
      </w:tblGrid>
      <w:tr w14:paraId="649D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17" w:type="dxa"/>
            <w:vAlign w:val="top"/>
          </w:tcPr>
          <w:p w14:paraId="41C06BE4">
            <w:pPr>
              <w:spacing w:line="289" w:lineRule="auto"/>
              <w:rPr>
                <w:rFonts w:ascii="Arial"/>
                <w:sz w:val="21"/>
                <w:highlight w:val="none"/>
              </w:rPr>
            </w:pPr>
          </w:p>
          <w:p w14:paraId="42EEF2A5">
            <w:pPr>
              <w:pStyle w:val="14"/>
              <w:spacing w:before="78" w:line="315" w:lineRule="exact"/>
              <w:ind w:left="304"/>
              <w:rPr>
                <w:highlight w:val="none"/>
              </w:rPr>
            </w:pPr>
            <w:r>
              <w:rPr>
                <w:position w:val="1"/>
                <w:highlight w:val="none"/>
              </w:rPr>
              <w:t>2</w:t>
            </w:r>
          </w:p>
        </w:tc>
        <w:tc>
          <w:tcPr>
            <w:tcW w:w="1881" w:type="dxa"/>
            <w:vAlign w:val="top"/>
          </w:tcPr>
          <w:p w14:paraId="44BC9E28">
            <w:pPr>
              <w:pStyle w:val="14"/>
              <w:spacing w:before="60" w:line="222" w:lineRule="auto"/>
              <w:ind w:left="204"/>
              <w:rPr>
                <w:highlight w:val="none"/>
              </w:rPr>
            </w:pPr>
            <w:r>
              <w:rPr>
                <w:spacing w:val="-8"/>
                <w:highlight w:val="none"/>
              </w:rPr>
              <w:t>落实政府采购</w:t>
            </w:r>
          </w:p>
          <w:p w14:paraId="40383DCC">
            <w:pPr>
              <w:pStyle w:val="14"/>
              <w:spacing w:before="21" w:line="222" w:lineRule="auto"/>
              <w:ind w:left="194"/>
              <w:rPr>
                <w:highlight w:val="none"/>
              </w:rPr>
            </w:pPr>
            <w:r>
              <w:rPr>
                <w:spacing w:val="-7"/>
                <w:highlight w:val="none"/>
              </w:rPr>
              <w:t>政策需满足的</w:t>
            </w:r>
          </w:p>
          <w:p w14:paraId="412EBBAA">
            <w:pPr>
              <w:pStyle w:val="14"/>
              <w:spacing w:before="23" w:line="222" w:lineRule="auto"/>
              <w:ind w:left="440"/>
              <w:rPr>
                <w:highlight w:val="none"/>
              </w:rPr>
            </w:pPr>
            <w:r>
              <w:rPr>
                <w:spacing w:val="-10"/>
                <w:highlight w:val="none"/>
              </w:rPr>
              <w:t>资格要求</w:t>
            </w:r>
          </w:p>
        </w:tc>
        <w:tc>
          <w:tcPr>
            <w:tcW w:w="4439" w:type="dxa"/>
            <w:vAlign w:val="top"/>
          </w:tcPr>
          <w:p w14:paraId="398FB0DF">
            <w:pPr>
              <w:spacing w:line="290" w:lineRule="auto"/>
              <w:rPr>
                <w:rFonts w:ascii="Arial"/>
                <w:sz w:val="21"/>
                <w:highlight w:val="none"/>
              </w:rPr>
            </w:pPr>
          </w:p>
          <w:p w14:paraId="1B79C212">
            <w:pPr>
              <w:pStyle w:val="14"/>
              <w:spacing w:before="78" w:line="222" w:lineRule="auto"/>
              <w:ind w:left="121"/>
              <w:rPr>
                <w:highlight w:val="none"/>
              </w:rPr>
            </w:pPr>
            <w:r>
              <w:rPr>
                <w:spacing w:val="2"/>
                <w:highlight w:val="none"/>
              </w:rPr>
              <w:t>见“第一章 招标公告</w:t>
            </w:r>
            <w:r>
              <w:rPr>
                <w:spacing w:val="-85"/>
                <w:highlight w:val="none"/>
              </w:rPr>
              <w:t xml:space="preserve"> </w:t>
            </w:r>
            <w:r>
              <w:rPr>
                <w:spacing w:val="2"/>
                <w:highlight w:val="none"/>
              </w:rPr>
              <w:t>”</w:t>
            </w:r>
          </w:p>
        </w:tc>
        <w:tc>
          <w:tcPr>
            <w:tcW w:w="2182" w:type="dxa"/>
            <w:vAlign w:val="top"/>
          </w:tcPr>
          <w:p w14:paraId="6D21B2D5">
            <w:pPr>
              <w:rPr>
                <w:rFonts w:ascii="Arial"/>
                <w:sz w:val="21"/>
                <w:highlight w:val="none"/>
              </w:rPr>
            </w:pPr>
          </w:p>
        </w:tc>
      </w:tr>
      <w:tr w14:paraId="7631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0" w:hRule="atLeast"/>
        </w:trPr>
        <w:tc>
          <w:tcPr>
            <w:tcW w:w="817" w:type="dxa"/>
            <w:vAlign w:val="top"/>
          </w:tcPr>
          <w:p w14:paraId="73849AF8">
            <w:pPr>
              <w:spacing w:line="250" w:lineRule="auto"/>
              <w:rPr>
                <w:rFonts w:ascii="Arial"/>
                <w:sz w:val="21"/>
                <w:highlight w:val="none"/>
              </w:rPr>
            </w:pPr>
          </w:p>
          <w:p w14:paraId="703C251D">
            <w:pPr>
              <w:spacing w:line="250" w:lineRule="auto"/>
              <w:rPr>
                <w:rFonts w:ascii="Arial"/>
                <w:sz w:val="21"/>
                <w:highlight w:val="none"/>
              </w:rPr>
            </w:pPr>
          </w:p>
          <w:p w14:paraId="35FEBF48">
            <w:pPr>
              <w:spacing w:line="250" w:lineRule="auto"/>
              <w:rPr>
                <w:rFonts w:ascii="Arial"/>
                <w:sz w:val="21"/>
                <w:highlight w:val="none"/>
              </w:rPr>
            </w:pPr>
          </w:p>
          <w:p w14:paraId="2EF7B65A">
            <w:pPr>
              <w:spacing w:line="250" w:lineRule="auto"/>
              <w:rPr>
                <w:rFonts w:ascii="Arial"/>
                <w:sz w:val="21"/>
                <w:highlight w:val="none"/>
              </w:rPr>
            </w:pPr>
          </w:p>
          <w:p w14:paraId="3DEC4D87">
            <w:pPr>
              <w:spacing w:line="251" w:lineRule="auto"/>
              <w:rPr>
                <w:rFonts w:ascii="Arial"/>
                <w:sz w:val="21"/>
                <w:highlight w:val="none"/>
              </w:rPr>
            </w:pPr>
          </w:p>
          <w:p w14:paraId="46FFA977">
            <w:pPr>
              <w:spacing w:line="251" w:lineRule="auto"/>
              <w:rPr>
                <w:rFonts w:ascii="Arial"/>
                <w:sz w:val="21"/>
                <w:highlight w:val="none"/>
              </w:rPr>
            </w:pPr>
          </w:p>
          <w:p w14:paraId="4E1310E2">
            <w:pPr>
              <w:pStyle w:val="14"/>
              <w:spacing w:before="78" w:line="315" w:lineRule="exact"/>
              <w:ind w:left="187"/>
              <w:rPr>
                <w:highlight w:val="none"/>
              </w:rPr>
            </w:pPr>
            <w:r>
              <w:rPr>
                <w:spacing w:val="-5"/>
                <w:position w:val="1"/>
                <w:highlight w:val="none"/>
              </w:rPr>
              <w:t>2-1</w:t>
            </w:r>
          </w:p>
        </w:tc>
        <w:tc>
          <w:tcPr>
            <w:tcW w:w="1881" w:type="dxa"/>
            <w:vAlign w:val="top"/>
          </w:tcPr>
          <w:p w14:paraId="7FB47644">
            <w:pPr>
              <w:spacing w:line="250" w:lineRule="auto"/>
              <w:rPr>
                <w:rFonts w:ascii="Arial"/>
                <w:sz w:val="21"/>
                <w:highlight w:val="none"/>
              </w:rPr>
            </w:pPr>
          </w:p>
          <w:p w14:paraId="040D1B7A">
            <w:pPr>
              <w:spacing w:line="250" w:lineRule="auto"/>
              <w:rPr>
                <w:rFonts w:ascii="Arial"/>
                <w:sz w:val="21"/>
                <w:highlight w:val="none"/>
              </w:rPr>
            </w:pPr>
          </w:p>
          <w:p w14:paraId="72D5C416">
            <w:pPr>
              <w:spacing w:line="250" w:lineRule="auto"/>
              <w:rPr>
                <w:rFonts w:ascii="Arial"/>
                <w:sz w:val="21"/>
                <w:highlight w:val="none"/>
              </w:rPr>
            </w:pPr>
          </w:p>
          <w:p w14:paraId="4C6F7A6C">
            <w:pPr>
              <w:spacing w:line="250" w:lineRule="auto"/>
              <w:rPr>
                <w:rFonts w:ascii="Arial"/>
                <w:sz w:val="21"/>
                <w:highlight w:val="none"/>
              </w:rPr>
            </w:pPr>
          </w:p>
          <w:p w14:paraId="7225DC9D">
            <w:pPr>
              <w:spacing w:line="251" w:lineRule="auto"/>
              <w:rPr>
                <w:rFonts w:ascii="Arial"/>
                <w:sz w:val="21"/>
                <w:highlight w:val="none"/>
              </w:rPr>
            </w:pPr>
          </w:p>
          <w:p w14:paraId="7CAF559A">
            <w:pPr>
              <w:spacing w:line="251" w:lineRule="auto"/>
              <w:rPr>
                <w:rFonts w:ascii="Arial"/>
                <w:sz w:val="21"/>
                <w:highlight w:val="none"/>
              </w:rPr>
            </w:pPr>
          </w:p>
          <w:p w14:paraId="26EDAF69">
            <w:pPr>
              <w:pStyle w:val="14"/>
              <w:spacing w:before="79" w:line="222" w:lineRule="auto"/>
              <w:ind w:left="427"/>
              <w:rPr>
                <w:highlight w:val="none"/>
              </w:rPr>
            </w:pPr>
            <w:r>
              <w:rPr>
                <w:spacing w:val="-7"/>
                <w:highlight w:val="none"/>
              </w:rPr>
              <w:t>采购政策</w:t>
            </w:r>
          </w:p>
        </w:tc>
        <w:tc>
          <w:tcPr>
            <w:tcW w:w="4439" w:type="dxa"/>
            <w:vAlign w:val="top"/>
          </w:tcPr>
          <w:p w14:paraId="15ACE07C">
            <w:pPr>
              <w:spacing w:line="298" w:lineRule="auto"/>
              <w:rPr>
                <w:rFonts w:ascii="Arial"/>
                <w:sz w:val="21"/>
                <w:highlight w:val="none"/>
              </w:rPr>
            </w:pPr>
          </w:p>
          <w:p w14:paraId="1E934B2E">
            <w:pPr>
              <w:spacing w:line="298" w:lineRule="auto"/>
              <w:rPr>
                <w:rFonts w:ascii="Arial"/>
                <w:sz w:val="21"/>
                <w:highlight w:val="none"/>
              </w:rPr>
            </w:pPr>
          </w:p>
          <w:p w14:paraId="45B82AB6">
            <w:pPr>
              <w:spacing w:line="298" w:lineRule="auto"/>
              <w:rPr>
                <w:rFonts w:ascii="Arial"/>
                <w:sz w:val="21"/>
                <w:highlight w:val="none"/>
              </w:rPr>
            </w:pPr>
          </w:p>
          <w:p w14:paraId="75BC4919">
            <w:pPr>
              <w:spacing w:line="298" w:lineRule="auto"/>
              <w:rPr>
                <w:rFonts w:ascii="Arial"/>
                <w:sz w:val="21"/>
                <w:highlight w:val="none"/>
              </w:rPr>
            </w:pPr>
          </w:p>
          <w:p w14:paraId="3E00F2C9">
            <w:pPr>
              <w:pStyle w:val="14"/>
              <w:spacing w:before="78" w:line="239" w:lineRule="auto"/>
              <w:ind w:left="120" w:right="104"/>
              <w:jc w:val="both"/>
              <w:rPr>
                <w:highlight w:val="none"/>
              </w:rPr>
            </w:pPr>
            <w:r>
              <w:rPr>
                <w:spacing w:val="7"/>
                <w:highlight w:val="none"/>
              </w:rPr>
              <w:t>本项目专门面向中小企业采购。投标人所投货物制造商须均为中小企业或残疾</w:t>
            </w:r>
            <w:r>
              <w:rPr>
                <w:spacing w:val="-2"/>
                <w:highlight w:val="none"/>
              </w:rPr>
              <w:t>人福利性单位或监狱企业。</w:t>
            </w:r>
          </w:p>
        </w:tc>
        <w:tc>
          <w:tcPr>
            <w:tcW w:w="2182" w:type="dxa"/>
            <w:vAlign w:val="top"/>
          </w:tcPr>
          <w:p w14:paraId="77565FF2">
            <w:pPr>
              <w:pStyle w:val="14"/>
              <w:spacing w:before="34" w:line="221" w:lineRule="auto"/>
              <w:ind w:left="117"/>
              <w:rPr>
                <w:highlight w:val="none"/>
              </w:rPr>
            </w:pPr>
            <w:r>
              <w:rPr>
                <w:spacing w:val="-5"/>
                <w:highlight w:val="none"/>
              </w:rPr>
              <w:t>投标人所投货物制</w:t>
            </w:r>
          </w:p>
          <w:p w14:paraId="64B52C2C">
            <w:pPr>
              <w:pStyle w:val="14"/>
              <w:spacing w:before="22" w:line="222" w:lineRule="auto"/>
              <w:ind w:left="117"/>
              <w:rPr>
                <w:highlight w:val="none"/>
              </w:rPr>
            </w:pPr>
            <w:r>
              <w:rPr>
                <w:spacing w:val="-5"/>
                <w:highlight w:val="none"/>
              </w:rPr>
              <w:t>造商为中小企业或</w:t>
            </w:r>
          </w:p>
          <w:p w14:paraId="1C9F88AD">
            <w:pPr>
              <w:pStyle w:val="14"/>
              <w:spacing w:before="23" w:line="220" w:lineRule="auto"/>
              <w:ind w:left="118"/>
              <w:rPr>
                <w:highlight w:val="none"/>
              </w:rPr>
            </w:pPr>
            <w:r>
              <w:rPr>
                <w:spacing w:val="-6"/>
                <w:highlight w:val="none"/>
              </w:rPr>
              <w:t>残疾人福利性单位</w:t>
            </w:r>
          </w:p>
          <w:p w14:paraId="40270458">
            <w:pPr>
              <w:pStyle w:val="14"/>
              <w:spacing w:before="23" w:line="223" w:lineRule="auto"/>
              <w:ind w:left="131"/>
              <w:rPr>
                <w:highlight w:val="none"/>
              </w:rPr>
            </w:pPr>
            <w:r>
              <w:rPr>
                <w:spacing w:val="-7"/>
                <w:highlight w:val="none"/>
              </w:rPr>
              <w:t>的须提供声明函，</w:t>
            </w:r>
          </w:p>
          <w:p w14:paraId="5FE8222C">
            <w:pPr>
              <w:pStyle w:val="14"/>
              <w:spacing w:before="22" w:line="223" w:lineRule="auto"/>
              <w:ind w:left="126"/>
              <w:rPr>
                <w:highlight w:val="none"/>
              </w:rPr>
            </w:pPr>
            <w:r>
              <w:rPr>
                <w:spacing w:val="-7"/>
                <w:highlight w:val="none"/>
              </w:rPr>
              <w:t>为监狱企业的须提</w:t>
            </w:r>
          </w:p>
          <w:p w14:paraId="39ED2C16">
            <w:pPr>
              <w:pStyle w:val="14"/>
              <w:spacing w:before="22" w:line="223" w:lineRule="auto"/>
              <w:ind w:left="118"/>
              <w:rPr>
                <w:highlight w:val="none"/>
              </w:rPr>
            </w:pPr>
            <w:r>
              <w:rPr>
                <w:spacing w:val="-6"/>
                <w:highlight w:val="none"/>
              </w:rPr>
              <w:t>供由省级以上监狱</w:t>
            </w:r>
          </w:p>
          <w:p w14:paraId="44BBCC0E">
            <w:pPr>
              <w:pStyle w:val="14"/>
              <w:spacing w:before="22" w:line="223" w:lineRule="auto"/>
              <w:ind w:left="131"/>
              <w:rPr>
                <w:highlight w:val="none"/>
              </w:rPr>
            </w:pPr>
            <w:r>
              <w:rPr>
                <w:spacing w:val="-7"/>
                <w:highlight w:val="none"/>
              </w:rPr>
              <w:t>管理局、戒毒管理</w:t>
            </w:r>
          </w:p>
          <w:p w14:paraId="2DADA782">
            <w:pPr>
              <w:pStyle w:val="14"/>
              <w:spacing w:before="20" w:line="222" w:lineRule="auto"/>
              <w:ind w:left="121"/>
              <w:rPr>
                <w:highlight w:val="none"/>
              </w:rPr>
            </w:pPr>
            <w:r>
              <w:rPr>
                <w:spacing w:val="-6"/>
                <w:highlight w:val="none"/>
              </w:rPr>
              <w:t>局（含新疆生产建</w:t>
            </w:r>
          </w:p>
          <w:p w14:paraId="5415ACD4">
            <w:pPr>
              <w:pStyle w:val="14"/>
              <w:spacing w:before="23" w:line="223" w:lineRule="auto"/>
              <w:ind w:left="117"/>
              <w:rPr>
                <w:highlight w:val="none"/>
              </w:rPr>
            </w:pPr>
            <w:r>
              <w:rPr>
                <w:spacing w:val="-5"/>
                <w:highlight w:val="none"/>
              </w:rPr>
              <w:t>设兵团）出具的属</w:t>
            </w:r>
          </w:p>
          <w:p w14:paraId="32DB6B6F">
            <w:pPr>
              <w:pStyle w:val="14"/>
              <w:spacing w:before="22" w:line="223" w:lineRule="auto"/>
              <w:ind w:left="122"/>
              <w:rPr>
                <w:highlight w:val="none"/>
              </w:rPr>
            </w:pPr>
            <w:r>
              <w:rPr>
                <w:spacing w:val="-6"/>
                <w:highlight w:val="none"/>
              </w:rPr>
              <w:t>于监狱企业的证明</w:t>
            </w:r>
          </w:p>
          <w:p w14:paraId="5128E434">
            <w:pPr>
              <w:pStyle w:val="14"/>
              <w:spacing w:before="19" w:line="204" w:lineRule="auto"/>
              <w:ind w:left="708"/>
              <w:rPr>
                <w:highlight w:val="none"/>
              </w:rPr>
            </w:pPr>
            <w:r>
              <w:rPr>
                <w:spacing w:val="-7"/>
                <w:highlight w:val="none"/>
              </w:rPr>
              <w:t>文件。</w:t>
            </w:r>
          </w:p>
        </w:tc>
      </w:tr>
      <w:tr w14:paraId="01D7C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17" w:type="dxa"/>
            <w:vAlign w:val="top"/>
          </w:tcPr>
          <w:p w14:paraId="23199A0E">
            <w:pPr>
              <w:spacing w:line="295" w:lineRule="auto"/>
              <w:rPr>
                <w:rFonts w:ascii="Arial"/>
                <w:sz w:val="21"/>
                <w:highlight w:val="none"/>
              </w:rPr>
            </w:pPr>
          </w:p>
          <w:p w14:paraId="0AC47EA7">
            <w:pPr>
              <w:pStyle w:val="14"/>
              <w:spacing w:before="78" w:line="241" w:lineRule="auto"/>
              <w:ind w:left="306"/>
              <w:rPr>
                <w:highlight w:val="none"/>
              </w:rPr>
            </w:pPr>
            <w:r>
              <w:rPr>
                <w:highlight w:val="none"/>
              </w:rPr>
              <w:t>3</w:t>
            </w:r>
          </w:p>
        </w:tc>
        <w:tc>
          <w:tcPr>
            <w:tcW w:w="1881" w:type="dxa"/>
            <w:vAlign w:val="top"/>
          </w:tcPr>
          <w:p w14:paraId="54963476">
            <w:pPr>
              <w:pStyle w:val="14"/>
              <w:spacing w:before="219" w:line="239" w:lineRule="auto"/>
              <w:ind w:left="437" w:right="280" w:hanging="246"/>
              <w:rPr>
                <w:highlight w:val="none"/>
              </w:rPr>
            </w:pPr>
            <w:r>
              <w:rPr>
                <w:spacing w:val="-7"/>
                <w:highlight w:val="none"/>
              </w:rPr>
              <w:t>本项目的特定</w:t>
            </w:r>
            <w:r>
              <w:rPr>
                <w:spacing w:val="-9"/>
                <w:highlight w:val="none"/>
              </w:rPr>
              <w:t>资格要求</w:t>
            </w:r>
          </w:p>
        </w:tc>
        <w:tc>
          <w:tcPr>
            <w:tcW w:w="4439" w:type="dxa"/>
            <w:vAlign w:val="top"/>
          </w:tcPr>
          <w:p w14:paraId="16701536">
            <w:pPr>
              <w:spacing w:line="295" w:lineRule="auto"/>
              <w:rPr>
                <w:rFonts w:ascii="Arial"/>
                <w:sz w:val="21"/>
                <w:highlight w:val="none"/>
              </w:rPr>
            </w:pPr>
          </w:p>
          <w:p w14:paraId="078C3463">
            <w:pPr>
              <w:pStyle w:val="14"/>
              <w:spacing w:before="78" w:line="222" w:lineRule="auto"/>
              <w:ind w:left="121"/>
              <w:rPr>
                <w:highlight w:val="none"/>
              </w:rPr>
            </w:pPr>
            <w:r>
              <w:rPr>
                <w:spacing w:val="1"/>
                <w:highlight w:val="none"/>
              </w:rPr>
              <w:t>如有，见“第一章 招标公告</w:t>
            </w:r>
            <w:r>
              <w:rPr>
                <w:spacing w:val="-89"/>
                <w:highlight w:val="none"/>
              </w:rPr>
              <w:t xml:space="preserve"> </w:t>
            </w:r>
            <w:r>
              <w:rPr>
                <w:spacing w:val="1"/>
                <w:highlight w:val="none"/>
              </w:rPr>
              <w:t>”</w:t>
            </w:r>
          </w:p>
        </w:tc>
        <w:tc>
          <w:tcPr>
            <w:tcW w:w="2182" w:type="dxa"/>
            <w:vAlign w:val="top"/>
          </w:tcPr>
          <w:p w14:paraId="7B0F0F09">
            <w:pPr>
              <w:spacing w:line="295" w:lineRule="auto"/>
              <w:rPr>
                <w:rFonts w:ascii="Arial"/>
                <w:sz w:val="21"/>
                <w:highlight w:val="none"/>
              </w:rPr>
            </w:pPr>
          </w:p>
          <w:p w14:paraId="730F7AC8">
            <w:pPr>
              <w:pStyle w:val="14"/>
              <w:spacing w:before="78" w:line="225" w:lineRule="auto"/>
              <w:ind w:left="946"/>
              <w:rPr>
                <w:highlight w:val="none"/>
              </w:rPr>
            </w:pPr>
            <w:r>
              <w:rPr>
                <w:highlight w:val="none"/>
              </w:rPr>
              <w:t>无</w:t>
            </w:r>
          </w:p>
        </w:tc>
      </w:tr>
    </w:tbl>
    <w:p w14:paraId="037E35C4">
      <w:pPr>
        <w:pStyle w:val="6"/>
        <w:spacing w:before="35" w:line="224" w:lineRule="auto"/>
        <w:ind w:left="594"/>
        <w:rPr>
          <w:sz w:val="24"/>
          <w:szCs w:val="24"/>
          <w:highlight w:val="none"/>
        </w:rPr>
      </w:pPr>
      <w:bookmarkStart w:id="45" w:name="bookmark9"/>
      <w:bookmarkEnd w:id="45"/>
      <w:r>
        <w:rPr>
          <w:spacing w:val="-7"/>
          <w:sz w:val="24"/>
          <w:szCs w:val="24"/>
          <w:highlight w:val="none"/>
        </w:rPr>
        <w:t>备注：</w:t>
      </w:r>
    </w:p>
    <w:p w14:paraId="27408E5E">
      <w:pPr>
        <w:pStyle w:val="6"/>
        <w:spacing w:before="21" w:line="239" w:lineRule="auto"/>
        <w:ind w:left="126" w:right="110" w:firstLine="476"/>
        <w:rPr>
          <w:sz w:val="24"/>
          <w:szCs w:val="24"/>
          <w:highlight w:val="none"/>
        </w:rPr>
      </w:pPr>
      <w:r>
        <w:rPr>
          <w:spacing w:val="-4"/>
          <w:sz w:val="24"/>
          <w:szCs w:val="24"/>
          <w:highlight w:val="none"/>
        </w:rPr>
        <w:t>1.投标人须按上表格式要求提供相关证明文件，投标文件中须编入清晰的扫描件或网</w:t>
      </w:r>
      <w:r>
        <w:rPr>
          <w:spacing w:val="-3"/>
          <w:sz w:val="24"/>
          <w:szCs w:val="24"/>
          <w:highlight w:val="none"/>
        </w:rPr>
        <w:t>页截图。所有证明材料须清晰可辨认，如因证明</w:t>
      </w:r>
      <w:r>
        <w:rPr>
          <w:spacing w:val="-4"/>
          <w:sz w:val="24"/>
          <w:szCs w:val="24"/>
          <w:highlight w:val="none"/>
        </w:rPr>
        <w:t>材料模糊无法辨认，缺页、漏页导致无法进行评审认定的，责任由投标人承担。</w:t>
      </w:r>
    </w:p>
    <w:p w14:paraId="3ED08CA5">
      <w:pPr>
        <w:pStyle w:val="6"/>
        <w:spacing w:before="1" w:line="221" w:lineRule="auto"/>
        <w:ind w:left="588"/>
        <w:rPr>
          <w:sz w:val="24"/>
          <w:szCs w:val="24"/>
          <w:highlight w:val="none"/>
        </w:rPr>
      </w:pPr>
      <w:r>
        <w:rPr>
          <w:spacing w:val="-4"/>
          <w:sz w:val="24"/>
          <w:szCs w:val="24"/>
          <w:highlight w:val="none"/>
        </w:rPr>
        <w:t>2.信用信息核查</w:t>
      </w:r>
    </w:p>
    <w:p w14:paraId="7DF12F41">
      <w:pPr>
        <w:pStyle w:val="6"/>
        <w:spacing w:before="24" w:line="238" w:lineRule="auto"/>
        <w:ind w:left="132" w:right="1" w:firstLine="455"/>
        <w:rPr>
          <w:sz w:val="24"/>
          <w:szCs w:val="24"/>
          <w:highlight w:val="none"/>
        </w:rPr>
      </w:pPr>
      <w:r>
        <w:rPr>
          <w:spacing w:val="-3"/>
          <w:sz w:val="24"/>
          <w:szCs w:val="24"/>
          <w:highlight w:val="none"/>
        </w:rPr>
        <w:t>2.1资格审查阶段应当核查供应商信用记录，投标人被列入失</w:t>
      </w:r>
      <w:r>
        <w:rPr>
          <w:spacing w:val="-4"/>
          <w:sz w:val="24"/>
          <w:szCs w:val="24"/>
          <w:highlight w:val="none"/>
        </w:rPr>
        <w:t>信被执行人、重大税收违</w:t>
      </w:r>
      <w:r>
        <w:rPr>
          <w:spacing w:val="-3"/>
          <w:sz w:val="24"/>
          <w:szCs w:val="24"/>
          <w:highlight w:val="none"/>
        </w:rPr>
        <w:t>法失信主体、政府采购严重违法失信行为记录</w:t>
      </w:r>
      <w:r>
        <w:rPr>
          <w:spacing w:val="-4"/>
          <w:sz w:val="24"/>
          <w:szCs w:val="24"/>
          <w:highlight w:val="none"/>
        </w:rPr>
        <w:t>名单的，采购人拒绝其参与政府采购活动。</w:t>
      </w:r>
    </w:p>
    <w:p w14:paraId="7608889F">
      <w:pPr>
        <w:pStyle w:val="6"/>
        <w:spacing w:before="2" w:line="239" w:lineRule="auto"/>
        <w:ind w:left="130" w:right="2" w:firstLine="457"/>
        <w:rPr>
          <w:sz w:val="24"/>
          <w:szCs w:val="24"/>
          <w:highlight w:val="none"/>
        </w:rPr>
      </w:pPr>
      <w:r>
        <w:rPr>
          <w:spacing w:val="-3"/>
          <w:sz w:val="24"/>
          <w:szCs w:val="24"/>
          <w:highlight w:val="none"/>
        </w:rPr>
        <w:t>2.2以联合体形式参与磋商的，应当核查联合体所有成员和信</w:t>
      </w:r>
      <w:r>
        <w:rPr>
          <w:spacing w:val="-4"/>
          <w:sz w:val="24"/>
          <w:szCs w:val="24"/>
          <w:highlight w:val="none"/>
        </w:rPr>
        <w:t>用记录，联合体成员存在不良信用记录的，视同联合体存在不良信用信息。</w:t>
      </w:r>
    </w:p>
    <w:p w14:paraId="1383DB9B">
      <w:pPr>
        <w:pStyle w:val="6"/>
        <w:spacing w:before="2"/>
        <w:ind w:left="125" w:right="117" w:firstLine="464"/>
        <w:rPr>
          <w:sz w:val="24"/>
          <w:szCs w:val="24"/>
          <w:highlight w:val="none"/>
        </w:rPr>
      </w:pPr>
      <w:r>
        <w:rPr>
          <w:spacing w:val="-3"/>
          <w:sz w:val="24"/>
          <w:szCs w:val="24"/>
          <w:highlight w:val="none"/>
        </w:rPr>
        <w:t>3.对于投标文件中有任意一条不满足上表要求的，将导致其</w:t>
      </w:r>
      <w:r>
        <w:rPr>
          <w:spacing w:val="-4"/>
          <w:sz w:val="24"/>
          <w:szCs w:val="24"/>
          <w:highlight w:val="none"/>
        </w:rPr>
        <w:t>投标无效，不得进入下一</w:t>
      </w:r>
      <w:r>
        <w:rPr>
          <w:spacing w:val="-7"/>
          <w:sz w:val="24"/>
          <w:szCs w:val="24"/>
          <w:highlight w:val="none"/>
        </w:rPr>
        <w:t>项评审。</w:t>
      </w:r>
    </w:p>
    <w:p w14:paraId="3E761D3B">
      <w:pPr>
        <w:spacing w:line="269" w:lineRule="auto"/>
        <w:rPr>
          <w:rFonts w:hint="eastAsia" w:ascii="Arial" w:eastAsia="宋体"/>
          <w:sz w:val="21"/>
          <w:highlight w:val="none"/>
          <w:lang w:eastAsia="zh-CN"/>
        </w:rPr>
      </w:pPr>
      <w:r>
        <w:rPr>
          <w:rFonts w:hint="eastAsia" w:ascii="Arial" w:eastAsia="宋体"/>
          <w:sz w:val="21"/>
          <w:highlight w:val="none"/>
          <w:lang w:eastAsia="zh-CN"/>
        </w:rPr>
        <w:br w:type="page"/>
      </w:r>
    </w:p>
    <w:p w14:paraId="2D1DE22C">
      <w:pPr>
        <w:pStyle w:val="6"/>
        <w:spacing w:before="98" w:line="222" w:lineRule="auto"/>
        <w:ind w:left="2257"/>
        <w:outlineLvl w:val="0"/>
        <w:rPr>
          <w:highlight w:val="none"/>
        </w:rPr>
      </w:pPr>
      <w:r>
        <w:rPr>
          <w:b/>
          <w:bCs/>
          <w:highlight w:val="none"/>
        </w:rPr>
        <w:t>第五章评标方法及标准(综合评分法)</w:t>
      </w:r>
    </w:p>
    <w:p w14:paraId="0D4451F8">
      <w:pPr>
        <w:pStyle w:val="6"/>
        <w:spacing w:before="213" w:line="221" w:lineRule="auto"/>
        <w:ind w:left="518"/>
        <w:rPr>
          <w:spacing w:val="-4"/>
          <w:sz w:val="24"/>
          <w:szCs w:val="24"/>
          <w:highlight w:val="none"/>
        </w:rPr>
      </w:pPr>
      <w:r>
        <w:rPr>
          <w:spacing w:val="-3"/>
          <w:sz w:val="24"/>
          <w:szCs w:val="24"/>
          <w:highlight w:val="none"/>
        </w:rPr>
        <w:t>根据《中华人民共和国政府采购法》及其实施条例、《</w:t>
      </w:r>
      <w:r>
        <w:rPr>
          <w:spacing w:val="-4"/>
          <w:sz w:val="24"/>
          <w:szCs w:val="24"/>
          <w:highlight w:val="none"/>
        </w:rPr>
        <w:t>政府采购货物和服务招</w:t>
      </w:r>
    </w:p>
    <w:p w14:paraId="755A8EDC">
      <w:pPr>
        <w:pStyle w:val="6"/>
        <w:spacing w:before="213" w:line="221" w:lineRule="auto"/>
        <w:rPr>
          <w:sz w:val="24"/>
          <w:szCs w:val="24"/>
          <w:highlight w:val="none"/>
        </w:rPr>
      </w:pPr>
      <w:r>
        <w:rPr>
          <w:spacing w:val="-4"/>
          <w:sz w:val="24"/>
          <w:szCs w:val="24"/>
          <w:highlight w:val="none"/>
        </w:rPr>
        <w:t>标投标</w:t>
      </w:r>
      <w:r>
        <w:rPr>
          <w:spacing w:val="-2"/>
          <w:sz w:val="24"/>
          <w:szCs w:val="24"/>
          <w:highlight w:val="none"/>
        </w:rPr>
        <w:t>管理办法》及相关法律法规确定以下评标方法</w:t>
      </w:r>
      <w:r>
        <w:rPr>
          <w:spacing w:val="-3"/>
          <w:sz w:val="24"/>
          <w:szCs w:val="24"/>
          <w:highlight w:val="none"/>
        </w:rPr>
        <w:t>及标准。</w:t>
      </w:r>
    </w:p>
    <w:p w14:paraId="207A341C">
      <w:pPr>
        <w:pStyle w:val="6"/>
        <w:spacing w:before="180" w:line="222" w:lineRule="auto"/>
        <w:ind w:left="51"/>
        <w:outlineLvl w:val="1"/>
        <w:rPr>
          <w:sz w:val="24"/>
          <w:szCs w:val="24"/>
          <w:highlight w:val="none"/>
        </w:rPr>
      </w:pPr>
      <w:bookmarkStart w:id="46" w:name="bookmark10"/>
      <w:bookmarkEnd w:id="46"/>
      <w:r>
        <w:rPr>
          <w:b/>
          <w:bCs/>
          <w:spacing w:val="-2"/>
          <w:sz w:val="24"/>
          <w:szCs w:val="24"/>
          <w:highlight w:val="none"/>
        </w:rPr>
        <w:t>一、评标方法</w:t>
      </w:r>
    </w:p>
    <w:p w14:paraId="3D3F9569">
      <w:pPr>
        <w:pStyle w:val="6"/>
        <w:spacing w:before="176" w:line="359" w:lineRule="auto"/>
        <w:ind w:left="43" w:firstLine="501"/>
        <w:rPr>
          <w:sz w:val="24"/>
          <w:szCs w:val="24"/>
          <w:highlight w:val="none"/>
        </w:rPr>
      </w:pPr>
      <w:r>
        <w:rPr>
          <w:spacing w:val="-7"/>
          <w:sz w:val="24"/>
          <w:szCs w:val="24"/>
          <w:highlight w:val="none"/>
        </w:rPr>
        <w:t>1.</w:t>
      </w:r>
      <w:r>
        <w:rPr>
          <w:b/>
          <w:bCs/>
          <w:spacing w:val="-7"/>
          <w:sz w:val="24"/>
          <w:szCs w:val="24"/>
          <w:highlight w:val="none"/>
        </w:rPr>
        <w:t>本项目采用综合评分法</w:t>
      </w:r>
      <w:r>
        <w:rPr>
          <w:spacing w:val="-7"/>
          <w:sz w:val="24"/>
          <w:szCs w:val="24"/>
          <w:highlight w:val="none"/>
        </w:rPr>
        <w:t>。综合评分法，是指投标文件满足招标文件全部实质性要求，</w:t>
      </w:r>
      <w:r>
        <w:rPr>
          <w:spacing w:val="-3"/>
          <w:sz w:val="24"/>
          <w:szCs w:val="24"/>
          <w:highlight w:val="none"/>
        </w:rPr>
        <w:t>且按照评审因素的量化指标评审得分最高的投</w:t>
      </w:r>
      <w:r>
        <w:rPr>
          <w:spacing w:val="-4"/>
          <w:sz w:val="24"/>
          <w:szCs w:val="24"/>
          <w:highlight w:val="none"/>
        </w:rPr>
        <w:t>标人为中标候选人的评标方法。</w:t>
      </w:r>
    </w:p>
    <w:p w14:paraId="4ACB16EB">
      <w:pPr>
        <w:pStyle w:val="6"/>
        <w:spacing w:line="222" w:lineRule="auto"/>
        <w:ind w:left="55"/>
        <w:outlineLvl w:val="1"/>
        <w:rPr>
          <w:sz w:val="24"/>
          <w:szCs w:val="24"/>
          <w:highlight w:val="none"/>
        </w:rPr>
      </w:pPr>
      <w:bookmarkStart w:id="47" w:name="bookmark11"/>
      <w:bookmarkEnd w:id="47"/>
      <w:r>
        <w:rPr>
          <w:b/>
          <w:bCs/>
          <w:spacing w:val="-3"/>
          <w:sz w:val="24"/>
          <w:szCs w:val="24"/>
          <w:highlight w:val="none"/>
        </w:rPr>
        <w:t>二、评标程序</w:t>
      </w:r>
    </w:p>
    <w:p w14:paraId="1C45EAFA">
      <w:pPr>
        <w:pStyle w:val="6"/>
        <w:spacing w:before="180" w:line="220" w:lineRule="auto"/>
        <w:ind w:left="59"/>
        <w:outlineLvl w:val="2"/>
        <w:rPr>
          <w:sz w:val="24"/>
          <w:szCs w:val="24"/>
          <w:highlight w:val="none"/>
        </w:rPr>
      </w:pPr>
      <w:r>
        <w:rPr>
          <w:b/>
          <w:bCs/>
          <w:spacing w:val="-10"/>
          <w:sz w:val="24"/>
          <w:szCs w:val="24"/>
          <w:highlight w:val="none"/>
        </w:rPr>
        <w:t>（一）符合性审查</w:t>
      </w:r>
    </w:p>
    <w:p w14:paraId="34688FAF">
      <w:pPr>
        <w:pStyle w:val="6"/>
        <w:spacing w:before="181" w:line="359" w:lineRule="auto"/>
        <w:ind w:left="37" w:right="89" w:firstLine="477"/>
        <w:jc w:val="both"/>
        <w:rPr>
          <w:sz w:val="24"/>
          <w:szCs w:val="24"/>
          <w:highlight w:val="none"/>
        </w:rPr>
      </w:pPr>
      <w:r>
        <w:rPr>
          <w:spacing w:val="-1"/>
          <w:sz w:val="24"/>
          <w:szCs w:val="24"/>
          <w:highlight w:val="none"/>
        </w:rPr>
        <w:t>2.评标委员会应当对通过资格审查的投标人的投</w:t>
      </w:r>
      <w:r>
        <w:rPr>
          <w:spacing w:val="-2"/>
          <w:sz w:val="24"/>
          <w:szCs w:val="24"/>
          <w:highlight w:val="none"/>
        </w:rPr>
        <w:t>标文件进行符合性审查，以确定其是</w:t>
      </w:r>
      <w:r>
        <w:rPr>
          <w:spacing w:val="-1"/>
          <w:sz w:val="24"/>
          <w:szCs w:val="24"/>
          <w:highlight w:val="none"/>
        </w:rPr>
        <w:t>否满足招标文件的实质性要求。投标人必须通过符合性审</w:t>
      </w:r>
      <w:r>
        <w:rPr>
          <w:spacing w:val="-2"/>
          <w:sz w:val="24"/>
          <w:szCs w:val="24"/>
          <w:highlight w:val="none"/>
        </w:rPr>
        <w:t>查的全部评审指标，不满足招标</w:t>
      </w:r>
      <w:r>
        <w:rPr>
          <w:spacing w:val="-3"/>
          <w:sz w:val="24"/>
          <w:szCs w:val="24"/>
          <w:highlight w:val="none"/>
        </w:rPr>
        <w:t>文件的实质性要求的，其</w:t>
      </w:r>
      <w:r>
        <w:rPr>
          <w:b/>
          <w:bCs/>
          <w:spacing w:val="-3"/>
          <w:sz w:val="24"/>
          <w:szCs w:val="24"/>
          <w:highlight w:val="none"/>
        </w:rPr>
        <w:t>投标无效</w:t>
      </w:r>
      <w:r>
        <w:rPr>
          <w:spacing w:val="-3"/>
          <w:sz w:val="24"/>
          <w:szCs w:val="24"/>
          <w:highlight w:val="none"/>
        </w:rPr>
        <w:t>。具体内</w:t>
      </w:r>
      <w:r>
        <w:rPr>
          <w:spacing w:val="-4"/>
          <w:sz w:val="24"/>
          <w:szCs w:val="24"/>
          <w:highlight w:val="none"/>
        </w:rPr>
        <w:t>容详本章“</w:t>
      </w:r>
      <w:r>
        <w:rPr>
          <w:spacing w:val="-78"/>
          <w:sz w:val="24"/>
          <w:szCs w:val="24"/>
          <w:highlight w:val="none"/>
        </w:rPr>
        <w:t xml:space="preserve"> </w:t>
      </w:r>
      <w:r>
        <w:rPr>
          <w:spacing w:val="-4"/>
          <w:sz w:val="24"/>
          <w:szCs w:val="24"/>
          <w:highlight w:val="none"/>
        </w:rPr>
        <w:t>四、评标标准</w:t>
      </w:r>
      <w:r>
        <w:rPr>
          <w:spacing w:val="-88"/>
          <w:sz w:val="24"/>
          <w:szCs w:val="24"/>
          <w:highlight w:val="none"/>
        </w:rPr>
        <w:t xml:space="preserve"> </w:t>
      </w:r>
      <w:r>
        <w:rPr>
          <w:spacing w:val="-4"/>
          <w:sz w:val="24"/>
          <w:szCs w:val="24"/>
          <w:highlight w:val="none"/>
        </w:rPr>
        <w:t>”中的“（一）符合</w:t>
      </w:r>
      <w:r>
        <w:rPr>
          <w:spacing w:val="-6"/>
          <w:sz w:val="24"/>
          <w:szCs w:val="24"/>
          <w:highlight w:val="none"/>
        </w:rPr>
        <w:t>性审查</w:t>
      </w:r>
      <w:r>
        <w:rPr>
          <w:spacing w:val="-85"/>
          <w:sz w:val="24"/>
          <w:szCs w:val="24"/>
          <w:highlight w:val="none"/>
        </w:rPr>
        <w:t xml:space="preserve"> </w:t>
      </w:r>
      <w:r>
        <w:rPr>
          <w:spacing w:val="-6"/>
          <w:sz w:val="24"/>
          <w:szCs w:val="24"/>
          <w:highlight w:val="none"/>
        </w:rPr>
        <w:t>”。</w:t>
      </w:r>
    </w:p>
    <w:p w14:paraId="6B831674">
      <w:pPr>
        <w:pStyle w:val="6"/>
        <w:spacing w:before="1" w:line="222" w:lineRule="auto"/>
        <w:ind w:left="59"/>
        <w:outlineLvl w:val="2"/>
        <w:rPr>
          <w:sz w:val="24"/>
          <w:szCs w:val="24"/>
          <w:highlight w:val="none"/>
        </w:rPr>
      </w:pPr>
      <w:r>
        <w:rPr>
          <w:b/>
          <w:bCs/>
          <w:spacing w:val="-8"/>
          <w:sz w:val="24"/>
          <w:szCs w:val="24"/>
          <w:highlight w:val="none"/>
        </w:rPr>
        <w:t>（二）投标文件澄清及修正</w:t>
      </w:r>
    </w:p>
    <w:p w14:paraId="7A0A70DB">
      <w:pPr>
        <w:pStyle w:val="6"/>
        <w:spacing w:before="177" w:line="359" w:lineRule="auto"/>
        <w:ind w:left="37" w:right="89" w:firstLine="482"/>
        <w:rPr>
          <w:sz w:val="24"/>
          <w:szCs w:val="24"/>
          <w:highlight w:val="none"/>
        </w:rPr>
      </w:pPr>
      <w:r>
        <w:rPr>
          <w:spacing w:val="-2"/>
          <w:sz w:val="24"/>
          <w:szCs w:val="24"/>
          <w:highlight w:val="none"/>
        </w:rPr>
        <w:t>3.评标期间，对于投标文件中含义不明确、同类问题表述不一致或者有明显文字和计</w:t>
      </w:r>
      <w:r>
        <w:rPr>
          <w:spacing w:val="-1"/>
          <w:sz w:val="24"/>
          <w:szCs w:val="24"/>
          <w:highlight w:val="none"/>
        </w:rPr>
        <w:t>算错误的内容需要投标人作出必要的澄清、说明或者补正</w:t>
      </w:r>
      <w:r>
        <w:rPr>
          <w:spacing w:val="-2"/>
          <w:sz w:val="24"/>
          <w:szCs w:val="24"/>
          <w:highlight w:val="none"/>
        </w:rPr>
        <w:t>的，评标委员会应当在政采云平</w:t>
      </w:r>
      <w:r>
        <w:rPr>
          <w:spacing w:val="-3"/>
          <w:sz w:val="24"/>
          <w:szCs w:val="24"/>
          <w:highlight w:val="none"/>
        </w:rPr>
        <w:t>台评标系统中以书面形式要求投标人作出必要</w:t>
      </w:r>
      <w:r>
        <w:rPr>
          <w:spacing w:val="-4"/>
          <w:sz w:val="24"/>
          <w:szCs w:val="24"/>
          <w:highlight w:val="none"/>
        </w:rPr>
        <w:t>的澄清、说明或者补正。</w:t>
      </w:r>
    </w:p>
    <w:p w14:paraId="2E420778">
      <w:pPr>
        <w:pStyle w:val="6"/>
        <w:spacing w:before="1" w:line="358" w:lineRule="auto"/>
        <w:ind w:left="41" w:right="156" w:firstLine="467"/>
        <w:rPr>
          <w:sz w:val="24"/>
          <w:szCs w:val="24"/>
          <w:highlight w:val="none"/>
        </w:rPr>
      </w:pPr>
      <w:r>
        <w:rPr>
          <w:spacing w:val="-3"/>
          <w:sz w:val="24"/>
          <w:szCs w:val="24"/>
          <w:highlight w:val="none"/>
        </w:rPr>
        <w:t>4.投标人应按照评标委员会要求在规定时间内作出澄清、说明或者补正，澄清、说明</w:t>
      </w:r>
      <w:r>
        <w:rPr>
          <w:spacing w:val="-1"/>
          <w:sz w:val="24"/>
          <w:szCs w:val="24"/>
          <w:highlight w:val="none"/>
        </w:rPr>
        <w:t>或者补正不得超出投标文件的范围或者改变投标文件的实质性内容。</w:t>
      </w:r>
    </w:p>
    <w:p w14:paraId="4683D73F">
      <w:pPr>
        <w:pStyle w:val="6"/>
        <w:spacing w:before="2" w:line="358" w:lineRule="auto"/>
        <w:ind w:left="42" w:right="158" w:firstLine="477"/>
        <w:rPr>
          <w:sz w:val="24"/>
          <w:szCs w:val="24"/>
          <w:highlight w:val="none"/>
        </w:rPr>
      </w:pPr>
      <w:r>
        <w:rPr>
          <w:spacing w:val="-3"/>
          <w:sz w:val="24"/>
          <w:szCs w:val="24"/>
          <w:highlight w:val="none"/>
        </w:rPr>
        <w:t>5.投标人的澄清、说明或者补正是其投标文件的有效组成部</w:t>
      </w:r>
      <w:r>
        <w:rPr>
          <w:spacing w:val="-4"/>
          <w:sz w:val="24"/>
          <w:szCs w:val="24"/>
          <w:highlight w:val="none"/>
        </w:rPr>
        <w:t>分，澄清、说明或者补正</w:t>
      </w:r>
      <w:r>
        <w:rPr>
          <w:spacing w:val="-2"/>
          <w:sz w:val="24"/>
          <w:szCs w:val="24"/>
          <w:highlight w:val="none"/>
        </w:rPr>
        <w:t>应当在政采云平台评标系统中加盖电子印章后提交。</w:t>
      </w:r>
    </w:p>
    <w:p w14:paraId="0367A08C">
      <w:pPr>
        <w:pStyle w:val="6"/>
        <w:spacing w:before="4" w:line="222" w:lineRule="auto"/>
        <w:ind w:left="514"/>
        <w:rPr>
          <w:sz w:val="24"/>
          <w:szCs w:val="24"/>
          <w:highlight w:val="none"/>
        </w:rPr>
      </w:pPr>
      <w:r>
        <w:rPr>
          <w:spacing w:val="-4"/>
          <w:sz w:val="24"/>
          <w:szCs w:val="24"/>
          <w:highlight w:val="none"/>
        </w:rPr>
        <w:t>6.异常低价审查：</w:t>
      </w:r>
    </w:p>
    <w:p w14:paraId="6C28623A">
      <w:pPr>
        <w:pStyle w:val="6"/>
        <w:spacing w:before="180" w:line="358" w:lineRule="auto"/>
        <w:ind w:left="59" w:right="67" w:firstLine="455"/>
        <w:rPr>
          <w:sz w:val="24"/>
          <w:szCs w:val="24"/>
          <w:highlight w:val="none"/>
        </w:rPr>
      </w:pPr>
      <w:r>
        <w:rPr>
          <w:spacing w:val="-4"/>
          <w:sz w:val="24"/>
          <w:szCs w:val="24"/>
          <w:highlight w:val="none"/>
        </w:rPr>
        <w:t>6.1政府采购评审中出现下列情形之一的，评审委员会应当启动异常低价投标（响应）</w:t>
      </w:r>
      <w:r>
        <w:rPr>
          <w:spacing w:val="-9"/>
          <w:sz w:val="24"/>
          <w:szCs w:val="24"/>
          <w:highlight w:val="none"/>
        </w:rPr>
        <w:t>审查程序：</w:t>
      </w:r>
    </w:p>
    <w:p w14:paraId="1BE6D42D">
      <w:pPr>
        <w:pStyle w:val="6"/>
        <w:spacing w:line="359" w:lineRule="auto"/>
        <w:ind w:left="54" w:right="163" w:firstLine="470"/>
        <w:rPr>
          <w:sz w:val="24"/>
          <w:szCs w:val="24"/>
          <w:highlight w:val="none"/>
        </w:rPr>
      </w:pPr>
      <w:r>
        <w:rPr>
          <w:spacing w:val="-3"/>
          <w:sz w:val="24"/>
          <w:szCs w:val="24"/>
          <w:highlight w:val="none"/>
        </w:rPr>
        <w:t>（1）投标（响应）报价低于全部通过符合性审</w:t>
      </w:r>
      <w:r>
        <w:rPr>
          <w:spacing w:val="-4"/>
          <w:sz w:val="24"/>
          <w:szCs w:val="24"/>
          <w:highlight w:val="none"/>
        </w:rPr>
        <w:t>查供应商投标（响应）报价平均值50%的，即投标（响应）报价&lt;全部通过符合性审查供应商投标（响应）报价平均值×50%；</w:t>
      </w:r>
    </w:p>
    <w:p w14:paraId="6F12FE6B">
      <w:pPr>
        <w:pStyle w:val="6"/>
        <w:spacing w:before="2" w:line="359" w:lineRule="auto"/>
        <w:ind w:left="54" w:right="163" w:firstLine="470"/>
        <w:rPr>
          <w:sz w:val="24"/>
          <w:szCs w:val="24"/>
          <w:highlight w:val="none"/>
        </w:rPr>
      </w:pPr>
      <w:r>
        <w:rPr>
          <w:spacing w:val="-3"/>
          <w:sz w:val="24"/>
          <w:szCs w:val="24"/>
          <w:highlight w:val="none"/>
        </w:rPr>
        <w:t>（2）投标（响应）报价低于通过符合性审查的</w:t>
      </w:r>
      <w:r>
        <w:rPr>
          <w:spacing w:val="-4"/>
          <w:sz w:val="24"/>
          <w:szCs w:val="24"/>
          <w:highlight w:val="none"/>
        </w:rPr>
        <w:t>次低报价供应商投标（响应）报价50%的，即投标（响应）报价&lt;通过符合性审查的次低报价供应商投标（响应）报价×50%；</w:t>
      </w:r>
    </w:p>
    <w:p w14:paraId="42E8364C">
      <w:pPr>
        <w:pStyle w:val="6"/>
        <w:spacing w:before="45" w:line="359" w:lineRule="auto"/>
        <w:ind w:left="54" w:right="330" w:firstLine="470"/>
        <w:rPr>
          <w:spacing w:val="-8"/>
          <w:sz w:val="24"/>
          <w:szCs w:val="24"/>
          <w:highlight w:val="none"/>
        </w:rPr>
      </w:pPr>
      <w:r>
        <w:rPr>
          <w:spacing w:val="-4"/>
          <w:sz w:val="24"/>
          <w:szCs w:val="24"/>
          <w:highlight w:val="none"/>
        </w:rPr>
        <w:t>（3）投标（响应）报价低于采购项目最高限价45%的，即投标（响应）报价&lt;采购项</w:t>
      </w:r>
      <w:r>
        <w:rPr>
          <w:spacing w:val="-8"/>
          <w:sz w:val="24"/>
          <w:szCs w:val="24"/>
          <w:highlight w:val="none"/>
        </w:rPr>
        <w:t>目最高限价×45%；</w:t>
      </w:r>
    </w:p>
    <w:p w14:paraId="11E3A65E">
      <w:pPr>
        <w:pStyle w:val="6"/>
        <w:spacing w:before="45" w:line="359" w:lineRule="auto"/>
        <w:ind w:left="54" w:right="330" w:firstLine="470"/>
        <w:rPr>
          <w:sz w:val="24"/>
          <w:szCs w:val="24"/>
          <w:highlight w:val="none"/>
        </w:rPr>
      </w:pPr>
      <w:r>
        <w:rPr>
          <w:spacing w:val="-4"/>
          <w:sz w:val="24"/>
          <w:szCs w:val="24"/>
          <w:highlight w:val="none"/>
        </w:rPr>
        <w:t>（4）评审委员会基于专业判断，认为供应商报价过低，有可能影响产品质量或者不</w:t>
      </w:r>
      <w:r>
        <w:rPr>
          <w:spacing w:val="-6"/>
          <w:sz w:val="24"/>
          <w:szCs w:val="24"/>
          <w:highlight w:val="none"/>
        </w:rPr>
        <w:t>能诚信履约的其他情形。</w:t>
      </w:r>
    </w:p>
    <w:p w14:paraId="24BE10F8">
      <w:pPr>
        <w:pStyle w:val="6"/>
        <w:spacing w:before="1" w:line="359" w:lineRule="auto"/>
        <w:ind w:left="37" w:right="111" w:firstLine="501"/>
        <w:jc w:val="both"/>
        <w:rPr>
          <w:sz w:val="24"/>
          <w:szCs w:val="24"/>
          <w:highlight w:val="none"/>
        </w:rPr>
      </w:pPr>
      <w:r>
        <w:rPr>
          <w:spacing w:val="-2"/>
          <w:sz w:val="24"/>
          <w:szCs w:val="24"/>
          <w:highlight w:val="none"/>
        </w:rPr>
        <w:t>采购人可以结合具体项目实际情况，提高上述第（1）项至第（3）项中启动异常低价</w:t>
      </w:r>
      <w:r>
        <w:rPr>
          <w:spacing w:val="-4"/>
          <w:sz w:val="24"/>
          <w:szCs w:val="24"/>
          <w:highlight w:val="none"/>
        </w:rPr>
        <w:t>投标（响应）审查的数值标准，但是最高不得超过65</w:t>
      </w:r>
      <w:r>
        <w:rPr>
          <w:spacing w:val="-5"/>
          <w:sz w:val="24"/>
          <w:szCs w:val="24"/>
          <w:highlight w:val="none"/>
        </w:rPr>
        <w:t>%。</w:t>
      </w:r>
      <w:r>
        <w:rPr>
          <w:b/>
          <w:bCs/>
          <w:spacing w:val="-5"/>
          <w:sz w:val="24"/>
          <w:szCs w:val="24"/>
          <w:highlight w:val="none"/>
        </w:rPr>
        <w:t>本项目启动异常低价投标（响应）</w:t>
      </w:r>
      <w:r>
        <w:rPr>
          <w:b/>
          <w:bCs/>
          <w:spacing w:val="-6"/>
          <w:sz w:val="24"/>
          <w:szCs w:val="24"/>
          <w:highlight w:val="none"/>
        </w:rPr>
        <w:t>审查的数值为</w:t>
      </w:r>
      <w:r>
        <w:rPr>
          <w:rFonts w:hint="eastAsia"/>
          <w:b/>
          <w:bCs/>
          <w:spacing w:val="-6"/>
          <w:sz w:val="24"/>
          <w:szCs w:val="24"/>
          <w:highlight w:val="none"/>
          <w:lang w:val="en-US" w:eastAsia="zh-CN"/>
        </w:rPr>
        <w:t>50</w:t>
      </w:r>
      <w:r>
        <w:rPr>
          <w:b/>
          <w:bCs/>
          <w:spacing w:val="-6"/>
          <w:sz w:val="24"/>
          <w:szCs w:val="24"/>
          <w:highlight w:val="none"/>
        </w:rPr>
        <w:t>%。</w:t>
      </w:r>
    </w:p>
    <w:p w14:paraId="7EA09696">
      <w:pPr>
        <w:pStyle w:val="6"/>
        <w:spacing w:before="181" w:line="359" w:lineRule="auto"/>
        <w:ind w:left="37" w:right="89" w:firstLine="477"/>
        <w:jc w:val="both"/>
        <w:rPr>
          <w:spacing w:val="-1"/>
          <w:sz w:val="24"/>
          <w:szCs w:val="24"/>
          <w:highlight w:val="none"/>
        </w:rPr>
      </w:pPr>
      <w:r>
        <w:rPr>
          <w:spacing w:val="-1"/>
          <w:sz w:val="24"/>
          <w:szCs w:val="24"/>
          <w:highlight w:val="none"/>
        </w:rPr>
        <w:t>6.2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本项目给予相关供应商的合理时间为30分钟。其中，属于第3项情形，供应商已随投标（响应）文件一并 提交相关书面说明及必要的证明材料的，在评审现场可不再重复提交。</w:t>
      </w:r>
    </w:p>
    <w:p w14:paraId="49DBE906">
      <w:pPr>
        <w:pStyle w:val="6"/>
        <w:spacing w:before="181" w:line="359" w:lineRule="auto"/>
        <w:ind w:left="37" w:right="89" w:firstLine="477"/>
        <w:jc w:val="both"/>
        <w:rPr>
          <w:sz w:val="24"/>
          <w:szCs w:val="24"/>
          <w:highlight w:val="none"/>
        </w:rPr>
      </w:pPr>
      <w:r>
        <w:rPr>
          <w:spacing w:val="-1"/>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供应商也可以有预见性地准备好上述要求的书面说明和相关证明材料并加盖公章。</w:t>
      </w:r>
    </w:p>
    <w:p w14:paraId="2E881D4A">
      <w:pPr>
        <w:pStyle w:val="6"/>
        <w:spacing w:before="182" w:line="359" w:lineRule="auto"/>
        <w:ind w:left="38" w:right="337" w:firstLine="482"/>
        <w:rPr>
          <w:sz w:val="24"/>
          <w:szCs w:val="24"/>
          <w:highlight w:val="none"/>
        </w:rPr>
      </w:pPr>
      <w:r>
        <w:rPr>
          <w:sz w:val="24"/>
          <w:szCs w:val="24"/>
          <w:highlight w:val="none"/>
        </w:rPr>
        <w:t>7.投标报价须包含招标文件全部内容，如分项报价表</w:t>
      </w:r>
      <w:r>
        <w:rPr>
          <w:spacing w:val="-1"/>
          <w:sz w:val="24"/>
          <w:szCs w:val="24"/>
          <w:highlight w:val="none"/>
        </w:rPr>
        <w:t>有缺漏视为已含在其他各项报</w:t>
      </w:r>
      <w:r>
        <w:rPr>
          <w:sz w:val="24"/>
          <w:szCs w:val="24"/>
          <w:highlight w:val="none"/>
        </w:rPr>
        <w:t>价中，将不对投标总价进行调整。评标委员会有权要求投标人</w:t>
      </w:r>
      <w:r>
        <w:rPr>
          <w:spacing w:val="-1"/>
          <w:sz w:val="24"/>
          <w:szCs w:val="24"/>
          <w:highlight w:val="none"/>
        </w:rPr>
        <w:t>在评标现场合理的时间内</w:t>
      </w:r>
      <w:r>
        <w:rPr>
          <w:sz w:val="24"/>
          <w:szCs w:val="24"/>
          <w:highlight w:val="none"/>
        </w:rPr>
        <w:t>对此进行书面确认，投标人不确认的，视为</w:t>
      </w:r>
      <w:r>
        <w:rPr>
          <w:spacing w:val="-1"/>
          <w:sz w:val="24"/>
          <w:szCs w:val="24"/>
          <w:highlight w:val="none"/>
        </w:rPr>
        <w:t>将一个采购包中的内容拆分投标，其</w:t>
      </w:r>
      <w:r>
        <w:rPr>
          <w:b/>
          <w:bCs/>
          <w:spacing w:val="-1"/>
          <w:sz w:val="24"/>
          <w:szCs w:val="24"/>
          <w:highlight w:val="none"/>
        </w:rPr>
        <w:t>投标无</w:t>
      </w:r>
      <w:r>
        <w:rPr>
          <w:b/>
          <w:bCs/>
          <w:spacing w:val="-10"/>
          <w:sz w:val="24"/>
          <w:szCs w:val="24"/>
          <w:highlight w:val="none"/>
        </w:rPr>
        <w:t>效</w:t>
      </w:r>
      <w:r>
        <w:rPr>
          <w:spacing w:val="-10"/>
          <w:sz w:val="24"/>
          <w:szCs w:val="24"/>
          <w:highlight w:val="none"/>
        </w:rPr>
        <w:t>。</w:t>
      </w:r>
    </w:p>
    <w:p w14:paraId="0408C189">
      <w:pPr>
        <w:pStyle w:val="6"/>
        <w:spacing w:before="1" w:line="221" w:lineRule="auto"/>
        <w:ind w:left="511"/>
        <w:rPr>
          <w:sz w:val="24"/>
          <w:szCs w:val="24"/>
          <w:highlight w:val="none"/>
        </w:rPr>
      </w:pPr>
      <w:r>
        <w:rPr>
          <w:spacing w:val="-3"/>
          <w:sz w:val="24"/>
          <w:szCs w:val="24"/>
          <w:highlight w:val="none"/>
        </w:rPr>
        <w:t>8.投标文件报价出现前后不一致的，除招标文件另有规定外，按</w:t>
      </w:r>
      <w:r>
        <w:rPr>
          <w:spacing w:val="-4"/>
          <w:sz w:val="24"/>
          <w:szCs w:val="24"/>
          <w:highlight w:val="none"/>
        </w:rPr>
        <w:t>照下列规定修正：</w:t>
      </w:r>
    </w:p>
    <w:p w14:paraId="7E2F9376">
      <w:pPr>
        <w:pStyle w:val="6"/>
        <w:spacing w:before="178" w:line="360" w:lineRule="auto"/>
        <w:ind w:left="70" w:right="477" w:firstLine="440"/>
        <w:rPr>
          <w:sz w:val="24"/>
          <w:szCs w:val="24"/>
          <w:highlight w:val="none"/>
        </w:rPr>
      </w:pPr>
      <w:r>
        <w:rPr>
          <w:spacing w:val="-7"/>
          <w:sz w:val="24"/>
          <w:szCs w:val="24"/>
          <w:highlight w:val="none"/>
        </w:rPr>
        <w:t>8.1投标文件中开标一览表（报价表）内容与投标文件中相应内容不一致的，以开标</w:t>
      </w:r>
      <w:r>
        <w:rPr>
          <w:spacing w:val="-5"/>
          <w:sz w:val="24"/>
          <w:szCs w:val="24"/>
          <w:highlight w:val="none"/>
        </w:rPr>
        <w:t>一览表（报价表）为准；</w:t>
      </w:r>
    </w:p>
    <w:p w14:paraId="3F16B4EB">
      <w:pPr>
        <w:pStyle w:val="6"/>
        <w:spacing w:line="222" w:lineRule="auto"/>
        <w:ind w:left="513"/>
        <w:rPr>
          <w:sz w:val="24"/>
          <w:szCs w:val="24"/>
          <w:highlight w:val="none"/>
        </w:rPr>
      </w:pPr>
      <w:r>
        <w:rPr>
          <w:spacing w:val="-2"/>
          <w:sz w:val="24"/>
          <w:szCs w:val="24"/>
          <w:highlight w:val="none"/>
        </w:rPr>
        <w:t>8.2大写金额和小写金额不一致的，以大写金额为准；</w:t>
      </w:r>
    </w:p>
    <w:p w14:paraId="4CDF0885">
      <w:pPr>
        <w:pStyle w:val="6"/>
        <w:spacing w:before="180" w:line="359" w:lineRule="auto"/>
        <w:ind w:left="37" w:firstLine="507"/>
        <w:rPr>
          <w:spacing w:val="-4"/>
          <w:sz w:val="24"/>
          <w:szCs w:val="24"/>
          <w:highlight w:val="none"/>
        </w:rPr>
      </w:pPr>
      <w:r>
        <w:rPr>
          <w:spacing w:val="-4"/>
          <w:sz w:val="24"/>
          <w:szCs w:val="24"/>
          <w:highlight w:val="none"/>
        </w:rPr>
        <w:t>8.3单价金额小数点或者百分比有明显错位的，以开标一览表的总价为准，并修改单价；</w:t>
      </w:r>
    </w:p>
    <w:p w14:paraId="55DB19AB">
      <w:pPr>
        <w:pStyle w:val="6"/>
        <w:spacing w:before="180" w:line="359" w:lineRule="auto"/>
        <w:ind w:left="37" w:firstLine="507"/>
        <w:rPr>
          <w:spacing w:val="-4"/>
          <w:sz w:val="24"/>
          <w:szCs w:val="24"/>
          <w:highlight w:val="none"/>
        </w:rPr>
      </w:pPr>
      <w:r>
        <w:rPr>
          <w:spacing w:val="-4"/>
          <w:sz w:val="24"/>
          <w:szCs w:val="24"/>
          <w:highlight w:val="none"/>
        </w:rPr>
        <w:t>8.4总价金额与按单价汇总金额不一致的，以单价金额计算结果为准。</w:t>
      </w:r>
    </w:p>
    <w:p w14:paraId="3D990190">
      <w:pPr>
        <w:pStyle w:val="6"/>
        <w:spacing w:before="180" w:line="359" w:lineRule="auto"/>
        <w:ind w:left="37" w:firstLine="507"/>
        <w:rPr>
          <w:spacing w:val="-4"/>
          <w:sz w:val="24"/>
          <w:szCs w:val="24"/>
          <w:highlight w:val="none"/>
        </w:rPr>
      </w:pPr>
      <w:r>
        <w:rPr>
          <w:spacing w:val="-4"/>
          <w:sz w:val="24"/>
          <w:szCs w:val="24"/>
          <w:highlight w:val="none"/>
        </w:rPr>
        <w:t>同时出现两种以上不一致的，按照8.1—8.4的顺序修正。修正后的报价采用书面形式，并加盖公章，或者由法定代表人或其授权的代表签字，经投标人确认后产生约束力，投标人不确认的，其投标无效。</w:t>
      </w:r>
    </w:p>
    <w:p w14:paraId="38887589">
      <w:pPr>
        <w:pStyle w:val="6"/>
        <w:spacing w:before="180" w:line="359" w:lineRule="auto"/>
        <w:rPr>
          <w:spacing w:val="-4"/>
          <w:sz w:val="24"/>
          <w:szCs w:val="24"/>
          <w:highlight w:val="none"/>
        </w:rPr>
      </w:pPr>
      <w:r>
        <w:rPr>
          <w:spacing w:val="-4"/>
          <w:sz w:val="24"/>
          <w:szCs w:val="24"/>
          <w:highlight w:val="none"/>
        </w:rPr>
        <w:t>（三）比较与评价</w:t>
      </w:r>
    </w:p>
    <w:p w14:paraId="4781ACAC">
      <w:pPr>
        <w:pStyle w:val="6"/>
        <w:spacing w:before="180" w:line="359" w:lineRule="auto"/>
        <w:ind w:left="37" w:right="225" w:firstLine="474"/>
        <w:rPr>
          <w:sz w:val="24"/>
          <w:szCs w:val="24"/>
          <w:highlight w:val="none"/>
        </w:rPr>
      </w:pPr>
      <w:r>
        <w:rPr>
          <w:sz w:val="24"/>
          <w:szCs w:val="24"/>
          <w:highlight w:val="none"/>
        </w:rPr>
        <w:t>9.评标委员会应当按照招标文件中规定的评标方法和标准，对符合性审查</w:t>
      </w:r>
      <w:r>
        <w:rPr>
          <w:spacing w:val="-1"/>
          <w:sz w:val="24"/>
          <w:szCs w:val="24"/>
          <w:highlight w:val="none"/>
        </w:rPr>
        <w:t>合格的投</w:t>
      </w:r>
      <w:r>
        <w:rPr>
          <w:sz w:val="24"/>
          <w:szCs w:val="24"/>
          <w:highlight w:val="none"/>
        </w:rPr>
        <w:t>标文件进行商务和技术评估，综合比较与评价；未通过符合性审查</w:t>
      </w:r>
      <w:r>
        <w:rPr>
          <w:spacing w:val="-1"/>
          <w:sz w:val="24"/>
          <w:szCs w:val="24"/>
          <w:highlight w:val="none"/>
        </w:rPr>
        <w:t>的投标文件不得进入</w:t>
      </w:r>
      <w:r>
        <w:rPr>
          <w:sz w:val="24"/>
          <w:szCs w:val="24"/>
          <w:highlight w:val="none"/>
        </w:rPr>
        <w:t>比较与评价。评审因素包括投标报价、商务技术以及落实政府采购</w:t>
      </w:r>
      <w:r>
        <w:rPr>
          <w:spacing w:val="-1"/>
          <w:sz w:val="24"/>
          <w:szCs w:val="24"/>
          <w:highlight w:val="none"/>
        </w:rPr>
        <w:t>政策。评审因素及标</w:t>
      </w:r>
      <w:r>
        <w:rPr>
          <w:spacing w:val="-4"/>
          <w:sz w:val="24"/>
          <w:szCs w:val="24"/>
          <w:highlight w:val="none"/>
        </w:rPr>
        <w:t>准见本章“</w:t>
      </w:r>
      <w:r>
        <w:rPr>
          <w:spacing w:val="-75"/>
          <w:sz w:val="24"/>
          <w:szCs w:val="24"/>
          <w:highlight w:val="none"/>
        </w:rPr>
        <w:t xml:space="preserve"> </w:t>
      </w:r>
      <w:r>
        <w:rPr>
          <w:spacing w:val="-4"/>
          <w:sz w:val="24"/>
          <w:szCs w:val="24"/>
          <w:highlight w:val="none"/>
        </w:rPr>
        <w:t>四、评标标准”。</w:t>
      </w:r>
    </w:p>
    <w:p w14:paraId="2DD4B158">
      <w:pPr>
        <w:pStyle w:val="6"/>
        <w:spacing w:line="221" w:lineRule="auto"/>
        <w:ind w:left="547"/>
        <w:rPr>
          <w:sz w:val="24"/>
          <w:szCs w:val="24"/>
          <w:highlight w:val="none"/>
        </w:rPr>
      </w:pPr>
      <w:r>
        <w:rPr>
          <w:spacing w:val="-5"/>
          <w:sz w:val="24"/>
          <w:szCs w:val="24"/>
          <w:highlight w:val="none"/>
        </w:rPr>
        <w:t>10.相同品牌处理原则</w:t>
      </w:r>
    </w:p>
    <w:p w14:paraId="53301A71">
      <w:pPr>
        <w:pStyle w:val="6"/>
        <w:spacing w:before="177" w:line="360" w:lineRule="auto"/>
        <w:ind w:left="54" w:right="263" w:firstLine="490"/>
        <w:rPr>
          <w:sz w:val="24"/>
          <w:szCs w:val="24"/>
          <w:highlight w:val="none"/>
        </w:rPr>
      </w:pPr>
      <w:r>
        <w:rPr>
          <w:spacing w:val="-3"/>
          <w:sz w:val="24"/>
          <w:szCs w:val="24"/>
          <w:highlight w:val="none"/>
        </w:rPr>
        <w:t>10.1单一产品采购（或非单一产品采购中的核心产品</w:t>
      </w:r>
      <w:r>
        <w:rPr>
          <w:spacing w:val="21"/>
          <w:sz w:val="24"/>
          <w:szCs w:val="24"/>
          <w:highlight w:val="none"/>
        </w:rPr>
        <w:t>），</w:t>
      </w:r>
      <w:r>
        <w:rPr>
          <w:spacing w:val="-3"/>
          <w:sz w:val="24"/>
          <w:szCs w:val="24"/>
          <w:highlight w:val="none"/>
        </w:rPr>
        <w:t>提</w:t>
      </w:r>
      <w:r>
        <w:rPr>
          <w:spacing w:val="-4"/>
          <w:sz w:val="24"/>
          <w:szCs w:val="24"/>
          <w:highlight w:val="none"/>
        </w:rPr>
        <w:t>供相同品牌产品且通过资格审查、符合性审查的不同投标人参加同一合同项下投标的，按一家投标人计算。</w:t>
      </w:r>
    </w:p>
    <w:p w14:paraId="645578A1">
      <w:pPr>
        <w:pStyle w:val="6"/>
        <w:spacing w:line="359" w:lineRule="auto"/>
        <w:ind w:left="41" w:right="33" w:firstLine="503"/>
        <w:rPr>
          <w:sz w:val="24"/>
          <w:szCs w:val="24"/>
          <w:highlight w:val="none"/>
        </w:rPr>
      </w:pPr>
      <w:r>
        <w:rPr>
          <w:spacing w:val="-2"/>
          <w:sz w:val="24"/>
          <w:szCs w:val="24"/>
          <w:highlight w:val="none"/>
        </w:rPr>
        <w:t>10.2非单一产品采购项目，采购人应当根据采购项目技术构成、产品</w:t>
      </w:r>
      <w:r>
        <w:rPr>
          <w:spacing w:val="-3"/>
          <w:sz w:val="24"/>
          <w:szCs w:val="24"/>
          <w:highlight w:val="none"/>
        </w:rPr>
        <w:t>价格比重等合理</w:t>
      </w:r>
      <w:r>
        <w:rPr>
          <w:spacing w:val="-4"/>
          <w:sz w:val="24"/>
          <w:szCs w:val="24"/>
          <w:highlight w:val="none"/>
        </w:rPr>
        <w:t>确定核心产品（采购清单中作“与核心产品相同〈或同一〉品牌</w:t>
      </w:r>
      <w:r>
        <w:rPr>
          <w:spacing w:val="-90"/>
          <w:sz w:val="24"/>
          <w:szCs w:val="24"/>
          <w:highlight w:val="none"/>
        </w:rPr>
        <w:t xml:space="preserve"> </w:t>
      </w:r>
      <w:r>
        <w:rPr>
          <w:spacing w:val="-4"/>
          <w:sz w:val="24"/>
          <w:szCs w:val="24"/>
          <w:highlight w:val="none"/>
        </w:rPr>
        <w:t>”实质性要求</w:t>
      </w:r>
      <w:r>
        <w:rPr>
          <w:spacing w:val="-5"/>
          <w:sz w:val="24"/>
          <w:szCs w:val="24"/>
          <w:highlight w:val="none"/>
        </w:rPr>
        <w:t>的产品，视</w:t>
      </w:r>
      <w:r>
        <w:rPr>
          <w:spacing w:val="-3"/>
          <w:sz w:val="24"/>
          <w:szCs w:val="24"/>
          <w:highlight w:val="none"/>
        </w:rPr>
        <w:t>为核心产品</w:t>
      </w:r>
      <w:r>
        <w:rPr>
          <w:spacing w:val="21"/>
          <w:sz w:val="24"/>
          <w:szCs w:val="24"/>
          <w:highlight w:val="none"/>
        </w:rPr>
        <w:t>），</w:t>
      </w:r>
      <w:r>
        <w:rPr>
          <w:spacing w:val="-3"/>
          <w:sz w:val="24"/>
          <w:szCs w:val="24"/>
          <w:highlight w:val="none"/>
        </w:rPr>
        <w:t>并以“核心产品</w:t>
      </w:r>
      <w:r>
        <w:rPr>
          <w:spacing w:val="-84"/>
          <w:sz w:val="24"/>
          <w:szCs w:val="24"/>
          <w:highlight w:val="none"/>
        </w:rPr>
        <w:t xml:space="preserve"> </w:t>
      </w:r>
      <w:r>
        <w:rPr>
          <w:spacing w:val="-3"/>
          <w:sz w:val="24"/>
          <w:szCs w:val="24"/>
          <w:highlight w:val="none"/>
        </w:rPr>
        <w:t>”在“投标人须知前附表</w:t>
      </w:r>
      <w:r>
        <w:rPr>
          <w:spacing w:val="-89"/>
          <w:sz w:val="24"/>
          <w:szCs w:val="24"/>
          <w:highlight w:val="none"/>
        </w:rPr>
        <w:t xml:space="preserve"> </w:t>
      </w:r>
      <w:r>
        <w:rPr>
          <w:spacing w:val="-3"/>
          <w:sz w:val="24"/>
          <w:szCs w:val="24"/>
          <w:highlight w:val="none"/>
        </w:rPr>
        <w:t>” 中载明，评审时按前款规定</w:t>
      </w:r>
      <w:r>
        <w:rPr>
          <w:spacing w:val="-6"/>
          <w:sz w:val="24"/>
          <w:szCs w:val="24"/>
          <w:highlight w:val="none"/>
        </w:rPr>
        <w:t>处理。</w:t>
      </w:r>
    </w:p>
    <w:p w14:paraId="07684459">
      <w:pPr>
        <w:pStyle w:val="6"/>
        <w:spacing w:before="1" w:line="222" w:lineRule="auto"/>
        <w:ind w:left="547"/>
        <w:rPr>
          <w:sz w:val="24"/>
          <w:szCs w:val="24"/>
          <w:highlight w:val="none"/>
        </w:rPr>
      </w:pPr>
      <w:r>
        <w:rPr>
          <w:spacing w:val="-5"/>
          <w:sz w:val="24"/>
          <w:szCs w:val="24"/>
          <w:highlight w:val="none"/>
        </w:rPr>
        <w:t>10.3有效投标品牌不足3家的应按</w:t>
      </w:r>
      <w:r>
        <w:rPr>
          <w:b/>
          <w:bCs/>
          <w:spacing w:val="-5"/>
          <w:sz w:val="24"/>
          <w:szCs w:val="24"/>
          <w:highlight w:val="none"/>
        </w:rPr>
        <w:t>废标</w:t>
      </w:r>
      <w:r>
        <w:rPr>
          <w:spacing w:val="-5"/>
          <w:sz w:val="24"/>
          <w:szCs w:val="24"/>
          <w:highlight w:val="none"/>
        </w:rPr>
        <w:t>处理。</w:t>
      </w:r>
    </w:p>
    <w:p w14:paraId="69099E7D">
      <w:pPr>
        <w:pStyle w:val="6"/>
        <w:spacing w:before="177" w:line="222" w:lineRule="auto"/>
        <w:ind w:left="59"/>
        <w:outlineLvl w:val="2"/>
        <w:rPr>
          <w:sz w:val="24"/>
          <w:szCs w:val="24"/>
          <w:highlight w:val="none"/>
        </w:rPr>
      </w:pPr>
      <w:r>
        <w:rPr>
          <w:b/>
          <w:bCs/>
          <w:spacing w:val="-10"/>
          <w:sz w:val="24"/>
          <w:szCs w:val="24"/>
          <w:highlight w:val="none"/>
        </w:rPr>
        <w:t>（四）报价评审</w:t>
      </w:r>
    </w:p>
    <w:p w14:paraId="69961B5B">
      <w:pPr>
        <w:pStyle w:val="6"/>
        <w:spacing w:before="179" w:line="222" w:lineRule="auto"/>
        <w:ind w:left="547"/>
        <w:rPr>
          <w:sz w:val="24"/>
          <w:szCs w:val="24"/>
          <w:highlight w:val="none"/>
        </w:rPr>
      </w:pPr>
      <w:r>
        <w:rPr>
          <w:spacing w:val="-7"/>
          <w:sz w:val="24"/>
          <w:szCs w:val="24"/>
          <w:highlight w:val="none"/>
        </w:rPr>
        <w:t>11.投标报价评审</w:t>
      </w:r>
    </w:p>
    <w:p w14:paraId="6F66FBDB">
      <w:pPr>
        <w:pStyle w:val="6"/>
        <w:spacing w:before="177" w:line="359" w:lineRule="auto"/>
        <w:ind w:left="37" w:right="86" w:firstLine="507"/>
        <w:rPr>
          <w:sz w:val="24"/>
          <w:szCs w:val="24"/>
          <w:highlight w:val="none"/>
        </w:rPr>
      </w:pPr>
      <w:r>
        <w:rPr>
          <w:spacing w:val="-5"/>
          <w:sz w:val="24"/>
          <w:szCs w:val="24"/>
          <w:highlight w:val="none"/>
        </w:rPr>
        <w:t>11.1货物项目的价格分值占总分值的比重不得低于30%。执行国家统一定价标准和采</w:t>
      </w:r>
      <w:r>
        <w:rPr>
          <w:spacing w:val="-3"/>
          <w:sz w:val="24"/>
          <w:szCs w:val="24"/>
          <w:highlight w:val="none"/>
        </w:rPr>
        <w:t>用固定价格采购的项目，其价格不列为评审因素。价格</w:t>
      </w:r>
      <w:r>
        <w:rPr>
          <w:spacing w:val="-4"/>
          <w:sz w:val="24"/>
          <w:szCs w:val="24"/>
          <w:highlight w:val="none"/>
        </w:rPr>
        <w:t>分应当采用低价优先法计算，即满</w:t>
      </w:r>
      <w:r>
        <w:rPr>
          <w:spacing w:val="-3"/>
          <w:sz w:val="24"/>
          <w:szCs w:val="24"/>
          <w:highlight w:val="none"/>
        </w:rPr>
        <w:t>足招标文件要求且投标价格最低的投标报价为评标基准价，其价格分为满分。其他投标人</w:t>
      </w:r>
      <w:r>
        <w:rPr>
          <w:spacing w:val="-2"/>
          <w:sz w:val="24"/>
          <w:szCs w:val="24"/>
          <w:highlight w:val="none"/>
        </w:rPr>
        <w:t>的价格分统一按照下列公式计算：</w:t>
      </w:r>
    </w:p>
    <w:p w14:paraId="09AF6BD1">
      <w:pPr>
        <w:pStyle w:val="6"/>
        <w:spacing w:before="1" w:line="222" w:lineRule="auto"/>
        <w:ind w:left="519"/>
        <w:rPr>
          <w:sz w:val="24"/>
          <w:szCs w:val="24"/>
          <w:highlight w:val="none"/>
        </w:rPr>
      </w:pPr>
      <w:r>
        <w:rPr>
          <w:spacing w:val="-2"/>
          <w:sz w:val="24"/>
          <w:szCs w:val="24"/>
          <w:highlight w:val="none"/>
        </w:rPr>
        <w:t>投标报价得分=(评标基准价／投标报价)×价格分值</w:t>
      </w:r>
    </w:p>
    <w:p w14:paraId="79275442">
      <w:pPr>
        <w:pStyle w:val="6"/>
        <w:spacing w:before="179" w:line="222" w:lineRule="auto"/>
        <w:ind w:left="521"/>
        <w:rPr>
          <w:sz w:val="24"/>
          <w:szCs w:val="24"/>
          <w:highlight w:val="none"/>
        </w:rPr>
      </w:pPr>
      <w:r>
        <w:rPr>
          <w:spacing w:val="-3"/>
          <w:sz w:val="24"/>
          <w:szCs w:val="24"/>
          <w:highlight w:val="none"/>
        </w:rPr>
        <w:t>评标过程中，不得去掉报价中的最高报价和最低报价。</w:t>
      </w:r>
    </w:p>
    <w:p w14:paraId="13CF498C">
      <w:pPr>
        <w:pStyle w:val="6"/>
        <w:spacing w:before="176" w:line="221" w:lineRule="auto"/>
        <w:ind w:left="544"/>
        <w:rPr>
          <w:sz w:val="24"/>
          <w:szCs w:val="24"/>
          <w:highlight w:val="none"/>
        </w:rPr>
      </w:pPr>
      <w:r>
        <w:rPr>
          <w:spacing w:val="-5"/>
          <w:sz w:val="24"/>
          <w:szCs w:val="24"/>
          <w:highlight w:val="none"/>
        </w:rPr>
        <w:t>11.2除算术修正和落实政府采购政策的价格扣除外，不对投标报价进行调整；</w:t>
      </w:r>
    </w:p>
    <w:p w14:paraId="665C9AA9">
      <w:pPr>
        <w:pStyle w:val="6"/>
        <w:spacing w:before="182" w:line="222" w:lineRule="auto"/>
        <w:ind w:left="544"/>
        <w:rPr>
          <w:sz w:val="24"/>
          <w:szCs w:val="24"/>
          <w:highlight w:val="none"/>
        </w:rPr>
      </w:pPr>
      <w:r>
        <w:rPr>
          <w:spacing w:val="-6"/>
          <w:sz w:val="24"/>
          <w:szCs w:val="24"/>
          <w:highlight w:val="none"/>
        </w:rPr>
        <w:t>11.3价格分值见本章“</w:t>
      </w:r>
      <w:r>
        <w:rPr>
          <w:spacing w:val="-68"/>
          <w:sz w:val="24"/>
          <w:szCs w:val="24"/>
          <w:highlight w:val="none"/>
        </w:rPr>
        <w:t xml:space="preserve"> </w:t>
      </w:r>
      <w:r>
        <w:rPr>
          <w:spacing w:val="-6"/>
          <w:sz w:val="24"/>
          <w:szCs w:val="24"/>
          <w:highlight w:val="none"/>
        </w:rPr>
        <w:t>四、评标标准”。</w:t>
      </w:r>
    </w:p>
    <w:p w14:paraId="04FC5ED4">
      <w:pPr>
        <w:pStyle w:val="6"/>
        <w:spacing w:before="179" w:line="222" w:lineRule="auto"/>
        <w:ind w:left="547"/>
        <w:rPr>
          <w:sz w:val="24"/>
          <w:szCs w:val="24"/>
          <w:highlight w:val="none"/>
        </w:rPr>
      </w:pPr>
      <w:r>
        <w:rPr>
          <w:spacing w:val="-5"/>
          <w:sz w:val="24"/>
          <w:szCs w:val="24"/>
          <w:highlight w:val="none"/>
        </w:rPr>
        <w:t>12.政府采购政策评审</w:t>
      </w:r>
    </w:p>
    <w:p w14:paraId="07752724">
      <w:pPr>
        <w:pStyle w:val="6"/>
        <w:spacing w:before="180" w:line="359" w:lineRule="auto"/>
        <w:ind w:left="37" w:firstLine="507"/>
        <w:rPr>
          <w:spacing w:val="-4"/>
          <w:sz w:val="24"/>
          <w:szCs w:val="24"/>
          <w:highlight w:val="none"/>
        </w:rPr>
      </w:pPr>
      <w:r>
        <w:rPr>
          <w:spacing w:val="-7"/>
          <w:sz w:val="24"/>
          <w:szCs w:val="24"/>
          <w:highlight w:val="none"/>
        </w:rPr>
        <w:t>12.1非专门面向中小企业的采购项目或采购包，对符合规定</w:t>
      </w:r>
      <w:r>
        <w:rPr>
          <w:spacing w:val="-8"/>
          <w:sz w:val="24"/>
          <w:szCs w:val="24"/>
          <w:highlight w:val="none"/>
        </w:rPr>
        <w:t>的小微企业（含监狱企业、</w:t>
      </w:r>
      <w:r>
        <w:rPr>
          <w:spacing w:val="-3"/>
          <w:sz w:val="24"/>
          <w:szCs w:val="24"/>
          <w:highlight w:val="none"/>
        </w:rPr>
        <w:t>残疾人福利性单位、联合体各方均为小微企业的联合</w:t>
      </w:r>
      <w:r>
        <w:rPr>
          <w:spacing w:val="-4"/>
          <w:sz w:val="24"/>
          <w:szCs w:val="24"/>
          <w:highlight w:val="none"/>
        </w:rPr>
        <w:t>体、符合小微企业划分标准的个体工商户视同小微企业）报价按照本招标文件“投标人须知前附表”中的规定扣除，对小微企</w:t>
      </w:r>
      <w:r>
        <w:rPr>
          <w:spacing w:val="-3"/>
          <w:sz w:val="24"/>
          <w:szCs w:val="24"/>
          <w:highlight w:val="none"/>
        </w:rPr>
        <w:t>业中的监狱企业、残疾人福利性单位、采购产品纳入创新产品应用示范推荐目录内</w:t>
      </w:r>
      <w:r>
        <w:rPr>
          <w:spacing w:val="-4"/>
          <w:sz w:val="24"/>
          <w:szCs w:val="24"/>
          <w:highlight w:val="none"/>
        </w:rPr>
        <w:t>企业、采购产品获得节能产品或环境标志产品认证证书的企业报价按照本招标文件“投标人须知</w:t>
      </w:r>
      <w:r>
        <w:rPr>
          <w:spacing w:val="-3"/>
          <w:sz w:val="24"/>
          <w:szCs w:val="24"/>
          <w:highlight w:val="none"/>
        </w:rPr>
        <w:t>前附表”中的规定扣除，用扣除后的价格计算评审</w:t>
      </w:r>
      <w:r>
        <w:rPr>
          <w:spacing w:val="-4"/>
          <w:sz w:val="24"/>
          <w:szCs w:val="24"/>
          <w:highlight w:val="none"/>
        </w:rPr>
        <w:t>基准价。</w:t>
      </w:r>
    </w:p>
    <w:p w14:paraId="2755FAFA">
      <w:pPr>
        <w:pStyle w:val="6"/>
        <w:spacing w:before="180" w:line="359" w:lineRule="auto"/>
        <w:ind w:left="37" w:firstLine="507"/>
        <w:rPr>
          <w:sz w:val="24"/>
          <w:szCs w:val="24"/>
          <w:highlight w:val="none"/>
        </w:rPr>
      </w:pPr>
      <w:r>
        <w:rPr>
          <w:spacing w:val="-8"/>
          <w:sz w:val="24"/>
          <w:szCs w:val="24"/>
          <w:highlight w:val="none"/>
        </w:rPr>
        <w:t>12.2参加政府采购活动的小微企业（含节能环保、创新产品企业）未提供“</w:t>
      </w:r>
      <w:r>
        <w:rPr>
          <w:spacing w:val="-64"/>
          <w:sz w:val="24"/>
          <w:szCs w:val="24"/>
          <w:highlight w:val="none"/>
        </w:rPr>
        <w:t xml:space="preserve"> </w:t>
      </w:r>
      <w:r>
        <w:rPr>
          <w:spacing w:val="-8"/>
          <w:sz w:val="24"/>
          <w:szCs w:val="24"/>
          <w:highlight w:val="none"/>
        </w:rPr>
        <w:t>中小企业</w:t>
      </w:r>
      <w:r>
        <w:rPr>
          <w:spacing w:val="-6"/>
          <w:sz w:val="24"/>
          <w:szCs w:val="24"/>
          <w:highlight w:val="none"/>
        </w:rPr>
        <w:t>声明函”的；监狱企业未提供“监狱企业证明文件”的；残</w:t>
      </w:r>
      <w:r>
        <w:rPr>
          <w:spacing w:val="-7"/>
          <w:sz w:val="24"/>
          <w:szCs w:val="24"/>
          <w:highlight w:val="none"/>
        </w:rPr>
        <w:t>疾人福利性单位未提供“残疾</w:t>
      </w:r>
      <w:r>
        <w:rPr>
          <w:spacing w:val="-6"/>
          <w:sz w:val="24"/>
          <w:szCs w:val="24"/>
          <w:highlight w:val="none"/>
        </w:rPr>
        <w:t>人福利性单位声明函”的；不得享受相应的价格扣除优惠。组成</w:t>
      </w:r>
      <w:r>
        <w:rPr>
          <w:spacing w:val="-7"/>
          <w:sz w:val="24"/>
          <w:szCs w:val="24"/>
          <w:highlight w:val="none"/>
        </w:rPr>
        <w:t>联合体或者接受分包的小</w:t>
      </w:r>
      <w:r>
        <w:rPr>
          <w:spacing w:val="-6"/>
          <w:sz w:val="24"/>
          <w:szCs w:val="24"/>
          <w:highlight w:val="none"/>
        </w:rPr>
        <w:t>微企业与联合体内其他企业、分包企业之间存在直接控股、管理</w:t>
      </w:r>
      <w:r>
        <w:rPr>
          <w:spacing w:val="-7"/>
          <w:sz w:val="24"/>
          <w:szCs w:val="24"/>
          <w:highlight w:val="none"/>
        </w:rPr>
        <w:t>关系的，不得享受价格扣</w:t>
      </w:r>
      <w:r>
        <w:rPr>
          <w:spacing w:val="-6"/>
          <w:sz w:val="24"/>
          <w:szCs w:val="24"/>
          <w:highlight w:val="none"/>
        </w:rPr>
        <w:t>除优惠。若供应商同时属于小型或微型企业、监狱企业、残疾人</w:t>
      </w:r>
      <w:r>
        <w:rPr>
          <w:spacing w:val="-7"/>
          <w:sz w:val="24"/>
          <w:szCs w:val="24"/>
          <w:highlight w:val="none"/>
        </w:rPr>
        <w:t>福利性单位中的两种及以上，将不重复享受小微企业价格扣减的优惠政策。</w:t>
      </w:r>
    </w:p>
    <w:p w14:paraId="6D7C3526">
      <w:pPr>
        <w:pStyle w:val="6"/>
        <w:spacing w:line="360" w:lineRule="auto"/>
        <w:ind w:left="37" w:right="172" w:firstLine="497"/>
        <w:rPr>
          <w:sz w:val="24"/>
          <w:szCs w:val="24"/>
          <w:highlight w:val="none"/>
        </w:rPr>
      </w:pPr>
      <w:r>
        <w:rPr>
          <w:spacing w:val="-6"/>
          <w:sz w:val="24"/>
          <w:szCs w:val="24"/>
          <w:highlight w:val="none"/>
        </w:rPr>
        <w:t>组成联合体或者接受分包的小微企业与联合体内其他企</w:t>
      </w:r>
      <w:r>
        <w:rPr>
          <w:spacing w:val="-7"/>
          <w:sz w:val="24"/>
          <w:szCs w:val="24"/>
          <w:highlight w:val="none"/>
        </w:rPr>
        <w:t>业、分包企业之间存在直接控股、管理关系的，不享受价格扣除优惠政策。</w:t>
      </w:r>
    </w:p>
    <w:p w14:paraId="59EFF28E">
      <w:pPr>
        <w:pStyle w:val="6"/>
        <w:spacing w:line="220" w:lineRule="auto"/>
        <w:ind w:left="535"/>
        <w:rPr>
          <w:sz w:val="24"/>
          <w:szCs w:val="24"/>
          <w:highlight w:val="none"/>
        </w:rPr>
      </w:pPr>
      <w:r>
        <w:rPr>
          <w:spacing w:val="-6"/>
          <w:sz w:val="24"/>
          <w:szCs w:val="24"/>
          <w:highlight w:val="none"/>
        </w:rPr>
        <w:t>价格扣除比例对小型企业和微型企业同等对待</w:t>
      </w:r>
      <w:r>
        <w:rPr>
          <w:spacing w:val="-7"/>
          <w:sz w:val="24"/>
          <w:szCs w:val="24"/>
          <w:highlight w:val="none"/>
        </w:rPr>
        <w:t>，不作区分。</w:t>
      </w:r>
    </w:p>
    <w:p w14:paraId="5A639A31">
      <w:pPr>
        <w:pStyle w:val="6"/>
        <w:spacing w:before="180" w:line="358" w:lineRule="auto"/>
        <w:ind w:left="54" w:right="184" w:firstLine="490"/>
        <w:rPr>
          <w:sz w:val="24"/>
          <w:szCs w:val="24"/>
          <w:highlight w:val="none"/>
        </w:rPr>
      </w:pPr>
      <w:r>
        <w:rPr>
          <w:spacing w:val="-7"/>
          <w:sz w:val="24"/>
          <w:szCs w:val="24"/>
          <w:highlight w:val="none"/>
        </w:rPr>
        <w:t>12.3专门面向中小企业、预留部分采购份额面向中小企业采购的项目或采购包，评审</w:t>
      </w:r>
      <w:r>
        <w:rPr>
          <w:spacing w:val="-9"/>
          <w:sz w:val="24"/>
          <w:szCs w:val="24"/>
          <w:highlight w:val="none"/>
        </w:rPr>
        <w:t>时不再进行价格扣除。</w:t>
      </w:r>
    </w:p>
    <w:p w14:paraId="26EC5C4D">
      <w:pPr>
        <w:pStyle w:val="6"/>
        <w:spacing w:before="1" w:line="359" w:lineRule="auto"/>
        <w:ind w:left="37" w:right="9" w:firstLine="507"/>
        <w:rPr>
          <w:sz w:val="24"/>
          <w:szCs w:val="24"/>
          <w:highlight w:val="none"/>
        </w:rPr>
      </w:pPr>
      <w:r>
        <w:rPr>
          <w:spacing w:val="4"/>
          <w:sz w:val="24"/>
          <w:szCs w:val="24"/>
          <w:highlight w:val="none"/>
        </w:rPr>
        <w:t>12.4对于未预留份额专门面向中小企业的政府采购项目，以及预留份额政府采购项</w:t>
      </w:r>
      <w:r>
        <w:rPr>
          <w:sz w:val="24"/>
          <w:szCs w:val="24"/>
          <w:highlight w:val="none"/>
        </w:rPr>
        <w:t>目</w:t>
      </w:r>
      <w:r>
        <w:rPr>
          <w:spacing w:val="-53"/>
          <w:sz w:val="24"/>
          <w:szCs w:val="24"/>
          <w:highlight w:val="none"/>
        </w:rPr>
        <w:t xml:space="preserve"> </w:t>
      </w:r>
      <w:r>
        <w:rPr>
          <w:sz w:val="24"/>
          <w:szCs w:val="24"/>
          <w:highlight w:val="none"/>
        </w:rPr>
        <w:t>中的非预留部分标项，对小型和微型企业的投标报价给予10%-20%的扣除，用扣除后的</w:t>
      </w:r>
      <w:r>
        <w:rPr>
          <w:spacing w:val="-1"/>
          <w:sz w:val="24"/>
          <w:szCs w:val="24"/>
          <w:highlight w:val="none"/>
        </w:rPr>
        <w:t>价格参与评审。接受大中型企业与小微企业组成联合体或</w:t>
      </w:r>
      <w:r>
        <w:rPr>
          <w:spacing w:val="-2"/>
          <w:sz w:val="24"/>
          <w:szCs w:val="24"/>
          <w:highlight w:val="none"/>
        </w:rPr>
        <w:t>者允许大中型企业向一家或者多</w:t>
      </w:r>
      <w:r>
        <w:rPr>
          <w:spacing w:val="-1"/>
          <w:sz w:val="24"/>
          <w:szCs w:val="24"/>
          <w:highlight w:val="none"/>
        </w:rPr>
        <w:t>家小微企业分包的政府采购项目，对于联合体协议</w:t>
      </w:r>
      <w:r>
        <w:rPr>
          <w:spacing w:val="-2"/>
          <w:sz w:val="24"/>
          <w:szCs w:val="24"/>
          <w:highlight w:val="none"/>
        </w:rPr>
        <w:t>书或者分包意向协议书约定小微企业的</w:t>
      </w:r>
      <w:r>
        <w:rPr>
          <w:spacing w:val="-1"/>
          <w:sz w:val="24"/>
          <w:szCs w:val="24"/>
          <w:highlight w:val="none"/>
        </w:rPr>
        <w:t>合同份额占到合同总金额30%以上的，对联合体或者大中型企业的报价给</w:t>
      </w:r>
      <w:r>
        <w:rPr>
          <w:spacing w:val="-2"/>
          <w:sz w:val="24"/>
          <w:szCs w:val="24"/>
          <w:highlight w:val="none"/>
        </w:rPr>
        <w:t>予4%-6%的扣除，</w:t>
      </w:r>
      <w:r>
        <w:rPr>
          <w:spacing w:val="-1"/>
          <w:sz w:val="24"/>
          <w:szCs w:val="24"/>
          <w:highlight w:val="none"/>
        </w:rPr>
        <w:t>用扣除后的价格参加评审。组成联合体或者接受分包的小</w:t>
      </w:r>
      <w:r>
        <w:rPr>
          <w:spacing w:val="-2"/>
          <w:sz w:val="24"/>
          <w:szCs w:val="24"/>
          <w:highlight w:val="none"/>
        </w:rPr>
        <w:t>微企业与联合体内其他企业、分包企业之间存在直接控股、管理关系的，不享受价</w:t>
      </w:r>
      <w:r>
        <w:rPr>
          <w:spacing w:val="-3"/>
          <w:sz w:val="24"/>
          <w:szCs w:val="24"/>
          <w:highlight w:val="none"/>
        </w:rPr>
        <w:t>格扣除优惠政策。</w:t>
      </w:r>
    </w:p>
    <w:p w14:paraId="2AD9C7C3">
      <w:pPr>
        <w:pStyle w:val="6"/>
        <w:spacing w:before="1" w:line="359" w:lineRule="auto"/>
        <w:ind w:left="37" w:right="11" w:firstLine="507"/>
        <w:rPr>
          <w:sz w:val="24"/>
          <w:szCs w:val="24"/>
          <w:highlight w:val="none"/>
        </w:rPr>
      </w:pPr>
      <w:r>
        <w:rPr>
          <w:spacing w:val="4"/>
          <w:sz w:val="24"/>
          <w:szCs w:val="24"/>
          <w:highlight w:val="none"/>
        </w:rPr>
        <w:t>12.5评标委员会将根据《国务院办公厅关于在政府采购中实施本国产品标准及相关</w:t>
      </w:r>
      <w:r>
        <w:rPr>
          <w:spacing w:val="5"/>
          <w:sz w:val="24"/>
          <w:szCs w:val="24"/>
          <w:highlight w:val="none"/>
        </w:rPr>
        <w:t>政策的通知》三、对本国产品的支持政策：政府采购活动中既有本国产品</w:t>
      </w:r>
      <w:r>
        <w:rPr>
          <w:spacing w:val="4"/>
          <w:sz w:val="24"/>
          <w:szCs w:val="24"/>
          <w:highlight w:val="none"/>
        </w:rPr>
        <w:t>又有非本国产</w:t>
      </w:r>
      <w:r>
        <w:rPr>
          <w:spacing w:val="2"/>
          <w:sz w:val="24"/>
          <w:szCs w:val="24"/>
          <w:highlight w:val="none"/>
        </w:rPr>
        <w:t>品参与竞争的，依法对本国产品给予价格评审优惠，对</w:t>
      </w:r>
      <w:r>
        <w:rPr>
          <w:spacing w:val="1"/>
          <w:sz w:val="24"/>
          <w:szCs w:val="24"/>
          <w:highlight w:val="none"/>
        </w:rPr>
        <w:t>本国产品的报价给予20%的价格扣</w:t>
      </w:r>
      <w:r>
        <w:rPr>
          <w:spacing w:val="4"/>
          <w:sz w:val="24"/>
          <w:szCs w:val="24"/>
          <w:highlight w:val="none"/>
        </w:rPr>
        <w:t>除，用扣除后的价格参与评审。</w:t>
      </w:r>
      <w:r>
        <w:rPr>
          <w:spacing w:val="-72"/>
          <w:sz w:val="24"/>
          <w:szCs w:val="24"/>
          <w:highlight w:val="none"/>
        </w:rPr>
        <w:t xml:space="preserve"> </w:t>
      </w:r>
      <w:r>
        <w:rPr>
          <w:spacing w:val="4"/>
          <w:sz w:val="24"/>
          <w:szCs w:val="24"/>
          <w:highlight w:val="none"/>
        </w:rPr>
        <w:t>当采购项目或者采</w:t>
      </w:r>
      <w:r>
        <w:rPr>
          <w:spacing w:val="3"/>
          <w:sz w:val="24"/>
          <w:szCs w:val="24"/>
          <w:highlight w:val="none"/>
        </w:rPr>
        <w:t>购包中含有多种产品，供应商为该采</w:t>
      </w:r>
      <w:r>
        <w:rPr>
          <w:spacing w:val="5"/>
          <w:sz w:val="24"/>
          <w:szCs w:val="24"/>
          <w:highlight w:val="none"/>
        </w:rPr>
        <w:t>购项目或者采购包提供的符合本国产品标准的产品成本之和占该供应商提</w:t>
      </w:r>
      <w:r>
        <w:rPr>
          <w:spacing w:val="4"/>
          <w:sz w:val="24"/>
          <w:szCs w:val="24"/>
          <w:highlight w:val="none"/>
        </w:rPr>
        <w:t>供的全部产品</w:t>
      </w:r>
      <w:r>
        <w:rPr>
          <w:spacing w:val="-1"/>
          <w:sz w:val="24"/>
          <w:szCs w:val="24"/>
          <w:highlight w:val="none"/>
        </w:rPr>
        <w:t>成本之和的比例达到 80%以上时，依法对该供应商提供</w:t>
      </w:r>
      <w:r>
        <w:rPr>
          <w:spacing w:val="-2"/>
          <w:sz w:val="24"/>
          <w:szCs w:val="24"/>
          <w:highlight w:val="none"/>
        </w:rPr>
        <w:t>的全部产品给予价格评审优惠，即</w:t>
      </w:r>
      <w:r>
        <w:rPr>
          <w:spacing w:val="-1"/>
          <w:sz w:val="24"/>
          <w:szCs w:val="24"/>
          <w:highlight w:val="none"/>
        </w:rPr>
        <w:t>对该供应商提供的全部产品的总报价给予20%的</w:t>
      </w:r>
      <w:r>
        <w:rPr>
          <w:spacing w:val="-2"/>
          <w:sz w:val="24"/>
          <w:szCs w:val="24"/>
          <w:highlight w:val="none"/>
        </w:rPr>
        <w:t>价格扣除，用扣除后的价格参与评审。</w:t>
      </w:r>
    </w:p>
    <w:p w14:paraId="13AC62FB">
      <w:pPr>
        <w:pStyle w:val="6"/>
        <w:spacing w:line="222" w:lineRule="auto"/>
        <w:ind w:left="59"/>
        <w:outlineLvl w:val="2"/>
        <w:rPr>
          <w:sz w:val="24"/>
          <w:szCs w:val="24"/>
          <w:highlight w:val="none"/>
        </w:rPr>
      </w:pPr>
      <w:r>
        <w:rPr>
          <w:b/>
          <w:bCs/>
          <w:spacing w:val="-8"/>
          <w:sz w:val="24"/>
          <w:szCs w:val="24"/>
          <w:highlight w:val="none"/>
        </w:rPr>
        <w:t>（五）评标得分及复核</w:t>
      </w:r>
    </w:p>
    <w:p w14:paraId="4E415C0B">
      <w:pPr>
        <w:pStyle w:val="6"/>
        <w:spacing w:before="1" w:line="359" w:lineRule="auto"/>
        <w:ind w:left="37" w:right="11" w:firstLine="507"/>
        <w:rPr>
          <w:spacing w:val="5"/>
          <w:sz w:val="24"/>
          <w:szCs w:val="24"/>
          <w:highlight w:val="none"/>
        </w:rPr>
      </w:pPr>
      <w:r>
        <w:rPr>
          <w:spacing w:val="5"/>
          <w:sz w:val="24"/>
          <w:szCs w:val="24"/>
          <w:highlight w:val="none"/>
        </w:rPr>
        <w:t>13.评标过程中，各项分值一般精确到小数点后两位，评标得分应为商务评分、技术评分、报价评分之和。评标委员会各成员应汇总每个投标人的得分。</w:t>
      </w:r>
    </w:p>
    <w:p w14:paraId="351484CC">
      <w:pPr>
        <w:pStyle w:val="6"/>
        <w:spacing w:before="1" w:line="359" w:lineRule="auto"/>
        <w:ind w:left="37" w:right="11" w:firstLine="507"/>
        <w:rPr>
          <w:spacing w:val="5"/>
          <w:sz w:val="24"/>
          <w:szCs w:val="24"/>
          <w:highlight w:val="none"/>
        </w:rPr>
      </w:pPr>
      <w:r>
        <w:rPr>
          <w:spacing w:val="5"/>
          <w:sz w:val="24"/>
          <w:szCs w:val="24"/>
          <w:highlight w:val="none"/>
        </w:rPr>
        <w:t>14.评标结果汇总完成后，采购代理机构应对评标结果进行复核。经复核发现存在以下情形之一的，评标委员会应当当场修改评标结果，并在评标报告中记载：14.1分值汇总计算错误的；</w:t>
      </w:r>
    </w:p>
    <w:p w14:paraId="17BCBF50">
      <w:pPr>
        <w:pStyle w:val="6"/>
        <w:spacing w:before="1" w:line="359" w:lineRule="auto"/>
        <w:ind w:left="37" w:right="11" w:firstLine="507"/>
        <w:rPr>
          <w:spacing w:val="5"/>
          <w:sz w:val="24"/>
          <w:szCs w:val="24"/>
          <w:highlight w:val="none"/>
        </w:rPr>
      </w:pPr>
      <w:r>
        <w:rPr>
          <w:spacing w:val="5"/>
          <w:sz w:val="24"/>
          <w:szCs w:val="24"/>
          <w:highlight w:val="none"/>
        </w:rPr>
        <w:t>14.2分项评分超出评分标准范围的；</w:t>
      </w:r>
    </w:p>
    <w:p w14:paraId="4643D735">
      <w:pPr>
        <w:pStyle w:val="6"/>
        <w:spacing w:before="1" w:line="359" w:lineRule="auto"/>
        <w:ind w:left="37" w:right="11" w:firstLine="507"/>
        <w:rPr>
          <w:spacing w:val="5"/>
          <w:sz w:val="24"/>
          <w:szCs w:val="24"/>
          <w:highlight w:val="none"/>
        </w:rPr>
      </w:pPr>
      <w:r>
        <w:rPr>
          <w:spacing w:val="5"/>
          <w:sz w:val="24"/>
          <w:szCs w:val="24"/>
          <w:highlight w:val="none"/>
        </w:rPr>
        <w:t>14.3评标委员会成员对客观评审因素评分不一致的；</w:t>
      </w:r>
    </w:p>
    <w:p w14:paraId="69689CAF">
      <w:pPr>
        <w:pStyle w:val="6"/>
        <w:spacing w:before="1" w:line="359" w:lineRule="auto"/>
        <w:ind w:left="37" w:right="11" w:firstLine="507"/>
        <w:rPr>
          <w:spacing w:val="5"/>
          <w:sz w:val="24"/>
          <w:szCs w:val="24"/>
          <w:highlight w:val="none"/>
        </w:rPr>
      </w:pPr>
      <w:r>
        <w:rPr>
          <w:spacing w:val="5"/>
          <w:sz w:val="24"/>
          <w:szCs w:val="24"/>
          <w:highlight w:val="none"/>
        </w:rPr>
        <w:t>14.4经评标委员会认定评分畸高、畸低的。</w:t>
      </w:r>
    </w:p>
    <w:p w14:paraId="3CFEFC0E">
      <w:pPr>
        <w:pStyle w:val="6"/>
        <w:spacing w:before="1" w:line="359" w:lineRule="auto"/>
        <w:ind w:left="37" w:right="11" w:firstLine="507"/>
        <w:rPr>
          <w:sz w:val="24"/>
          <w:szCs w:val="24"/>
          <w:highlight w:val="none"/>
        </w:rPr>
      </w:pPr>
      <w:r>
        <w:rPr>
          <w:spacing w:val="5"/>
          <w:sz w:val="24"/>
          <w:szCs w:val="24"/>
          <w:highlight w:val="none"/>
        </w:rPr>
        <w:t>15.各投标人的最终得分为评标委员会所有成员对各投标人评标得分汇总后的算术平均值。</w:t>
      </w:r>
    </w:p>
    <w:p w14:paraId="0C90C66E">
      <w:pPr>
        <w:pStyle w:val="6"/>
        <w:spacing w:line="359" w:lineRule="auto"/>
        <w:ind w:left="37" w:right="40" w:firstLine="507"/>
        <w:rPr>
          <w:sz w:val="24"/>
          <w:szCs w:val="24"/>
          <w:highlight w:val="none"/>
        </w:rPr>
      </w:pPr>
      <w:r>
        <w:rPr>
          <w:spacing w:val="-3"/>
          <w:sz w:val="24"/>
          <w:szCs w:val="24"/>
          <w:highlight w:val="none"/>
        </w:rPr>
        <w:t>15.1除资格性检查认定错误、分值汇总计算错误、分项评分超出评分标准范围、客观分评分不一致、经评标委员会一致认定评分畸高、畸低</w:t>
      </w:r>
      <w:r>
        <w:rPr>
          <w:spacing w:val="-4"/>
          <w:sz w:val="24"/>
          <w:szCs w:val="24"/>
          <w:highlight w:val="none"/>
        </w:rPr>
        <w:t>的情形外，采购人或者采购代理机</w:t>
      </w:r>
      <w:r>
        <w:rPr>
          <w:spacing w:val="-3"/>
          <w:sz w:val="24"/>
          <w:szCs w:val="24"/>
          <w:highlight w:val="none"/>
        </w:rPr>
        <w:t>构不得以任何理由组织重新评审。采购人、采购代理机</w:t>
      </w:r>
      <w:r>
        <w:rPr>
          <w:spacing w:val="-4"/>
          <w:sz w:val="24"/>
          <w:szCs w:val="24"/>
          <w:highlight w:val="none"/>
        </w:rPr>
        <w:t>构发现评标委员会未按照招标文件</w:t>
      </w:r>
      <w:r>
        <w:rPr>
          <w:spacing w:val="-3"/>
          <w:sz w:val="24"/>
          <w:szCs w:val="24"/>
          <w:highlight w:val="none"/>
        </w:rPr>
        <w:t>规定的评审标准进行评审的，应当重新开展采购活动，并同时书面报告本级财政部门。</w:t>
      </w:r>
    </w:p>
    <w:p w14:paraId="33F87995">
      <w:pPr>
        <w:pStyle w:val="6"/>
        <w:spacing w:line="360" w:lineRule="auto"/>
        <w:ind w:left="55" w:right="242" w:firstLine="489"/>
        <w:rPr>
          <w:sz w:val="24"/>
          <w:szCs w:val="24"/>
          <w:highlight w:val="none"/>
        </w:rPr>
      </w:pPr>
      <w:r>
        <w:rPr>
          <w:spacing w:val="-2"/>
          <w:sz w:val="24"/>
          <w:szCs w:val="24"/>
          <w:highlight w:val="none"/>
        </w:rPr>
        <w:t>15.2采购人或者采购代理机构不得通过对样品进行检测、对投标人进行考察等方式</w:t>
      </w:r>
      <w:r>
        <w:rPr>
          <w:spacing w:val="-6"/>
          <w:sz w:val="24"/>
          <w:szCs w:val="24"/>
          <w:highlight w:val="none"/>
        </w:rPr>
        <w:t>改变评审结果。</w:t>
      </w:r>
    </w:p>
    <w:p w14:paraId="28D0AD6A">
      <w:pPr>
        <w:pStyle w:val="6"/>
        <w:spacing w:before="1" w:line="222" w:lineRule="auto"/>
        <w:ind w:left="59"/>
        <w:outlineLvl w:val="2"/>
        <w:rPr>
          <w:sz w:val="24"/>
          <w:szCs w:val="24"/>
          <w:highlight w:val="none"/>
        </w:rPr>
      </w:pPr>
      <w:r>
        <w:rPr>
          <w:b/>
          <w:bCs/>
          <w:spacing w:val="-10"/>
          <w:sz w:val="24"/>
          <w:szCs w:val="24"/>
          <w:highlight w:val="none"/>
        </w:rPr>
        <w:t>（六）排序与推荐</w:t>
      </w:r>
    </w:p>
    <w:p w14:paraId="653662C8">
      <w:pPr>
        <w:pStyle w:val="6"/>
        <w:spacing w:before="178" w:line="359" w:lineRule="auto"/>
        <w:ind w:left="46" w:firstLine="498"/>
        <w:rPr>
          <w:sz w:val="24"/>
          <w:szCs w:val="24"/>
          <w:highlight w:val="none"/>
        </w:rPr>
      </w:pPr>
      <w:r>
        <w:rPr>
          <w:spacing w:val="1"/>
          <w:sz w:val="24"/>
          <w:szCs w:val="24"/>
          <w:highlight w:val="none"/>
        </w:rPr>
        <w:t>16.评标结果按评审后得分由高到低顺序排列。投标文件满足招标文件全部实质性要</w:t>
      </w:r>
      <w:r>
        <w:rPr>
          <w:spacing w:val="-1"/>
          <w:sz w:val="24"/>
          <w:szCs w:val="24"/>
          <w:highlight w:val="none"/>
        </w:rPr>
        <w:t>求，且按照评审因素的量化指标评审得分最高的投标人为排名第一的</w:t>
      </w:r>
      <w:r>
        <w:rPr>
          <w:spacing w:val="-2"/>
          <w:sz w:val="24"/>
          <w:szCs w:val="24"/>
          <w:highlight w:val="none"/>
        </w:rPr>
        <w:t>中标候选人。得分相</w:t>
      </w:r>
      <w:r>
        <w:rPr>
          <w:spacing w:val="-7"/>
          <w:sz w:val="24"/>
          <w:szCs w:val="24"/>
          <w:highlight w:val="none"/>
        </w:rPr>
        <w:t>同的，按投标报价由低到高顺序排列。得分且投标报价相同</w:t>
      </w:r>
      <w:r>
        <w:rPr>
          <w:spacing w:val="-8"/>
          <w:sz w:val="24"/>
          <w:szCs w:val="24"/>
          <w:highlight w:val="none"/>
        </w:rPr>
        <w:t>的，按技术指标优劣顺序排列。</w:t>
      </w:r>
    </w:p>
    <w:p w14:paraId="15AABA66">
      <w:pPr>
        <w:pStyle w:val="6"/>
        <w:spacing w:line="359" w:lineRule="auto"/>
        <w:ind w:left="37" w:right="62" w:firstLine="507"/>
        <w:rPr>
          <w:sz w:val="24"/>
          <w:szCs w:val="24"/>
          <w:highlight w:val="none"/>
        </w:rPr>
      </w:pPr>
      <w:r>
        <w:rPr>
          <w:sz w:val="24"/>
          <w:szCs w:val="24"/>
          <w:highlight w:val="none"/>
        </w:rPr>
        <w:t>17.提供相同品牌产品（单一产品采购项目中的该产品或者</w:t>
      </w:r>
      <w:r>
        <w:rPr>
          <w:spacing w:val="-1"/>
          <w:sz w:val="24"/>
          <w:szCs w:val="24"/>
          <w:highlight w:val="none"/>
        </w:rPr>
        <w:t>非单一产品采购项目的核</w:t>
      </w:r>
      <w:r>
        <w:rPr>
          <w:spacing w:val="-3"/>
          <w:sz w:val="24"/>
          <w:szCs w:val="24"/>
          <w:highlight w:val="none"/>
        </w:rPr>
        <w:t>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w:t>
      </w:r>
      <w:r>
        <w:rPr>
          <w:spacing w:val="-91"/>
          <w:sz w:val="24"/>
          <w:szCs w:val="24"/>
          <w:highlight w:val="none"/>
        </w:rPr>
        <w:t xml:space="preserve"> </w:t>
      </w:r>
      <w:r>
        <w:rPr>
          <w:spacing w:val="-3"/>
          <w:sz w:val="24"/>
          <w:szCs w:val="24"/>
          <w:highlight w:val="none"/>
        </w:rPr>
        <w:t>”</w:t>
      </w:r>
      <w:r>
        <w:rPr>
          <w:spacing w:val="-4"/>
          <w:sz w:val="24"/>
          <w:szCs w:val="24"/>
          <w:highlight w:val="none"/>
        </w:rPr>
        <w:t>规定的方式确定一个投标人获</w:t>
      </w:r>
      <w:r>
        <w:rPr>
          <w:spacing w:val="-3"/>
          <w:sz w:val="24"/>
          <w:szCs w:val="24"/>
          <w:highlight w:val="none"/>
        </w:rPr>
        <w:t>得中标人推荐资格，招标文件未规定的采取随机抽取方式确定，其他同品牌投标人不作为</w:t>
      </w:r>
      <w:r>
        <w:rPr>
          <w:spacing w:val="-4"/>
          <w:sz w:val="24"/>
          <w:szCs w:val="24"/>
          <w:highlight w:val="none"/>
        </w:rPr>
        <w:t>中标候选人。</w:t>
      </w:r>
    </w:p>
    <w:p w14:paraId="13E68F46">
      <w:pPr>
        <w:pStyle w:val="6"/>
        <w:spacing w:before="2" w:line="220" w:lineRule="auto"/>
        <w:ind w:left="547"/>
        <w:rPr>
          <w:sz w:val="24"/>
          <w:szCs w:val="24"/>
          <w:highlight w:val="none"/>
        </w:rPr>
      </w:pPr>
      <w:r>
        <w:rPr>
          <w:spacing w:val="-1"/>
          <w:sz w:val="24"/>
          <w:szCs w:val="24"/>
          <w:highlight w:val="none"/>
        </w:rPr>
        <w:t>18.中标候选人推荐家数详见“投标人须知前附表”。</w:t>
      </w:r>
    </w:p>
    <w:p w14:paraId="264B1CC5">
      <w:pPr>
        <w:pStyle w:val="6"/>
        <w:spacing w:before="181" w:line="222" w:lineRule="auto"/>
        <w:ind w:left="59"/>
        <w:outlineLvl w:val="2"/>
        <w:rPr>
          <w:sz w:val="24"/>
          <w:szCs w:val="24"/>
          <w:highlight w:val="none"/>
        </w:rPr>
      </w:pPr>
      <w:r>
        <w:rPr>
          <w:b/>
          <w:bCs/>
          <w:spacing w:val="-9"/>
          <w:sz w:val="24"/>
          <w:szCs w:val="24"/>
          <w:highlight w:val="none"/>
        </w:rPr>
        <w:t>（七）编写评标报告</w:t>
      </w:r>
    </w:p>
    <w:p w14:paraId="25BC942E">
      <w:pPr>
        <w:pStyle w:val="6"/>
        <w:spacing w:before="174" w:line="359" w:lineRule="auto"/>
        <w:ind w:left="37" w:right="62" w:firstLine="507"/>
        <w:jc w:val="both"/>
        <w:rPr>
          <w:sz w:val="24"/>
          <w:szCs w:val="24"/>
          <w:highlight w:val="none"/>
        </w:rPr>
      </w:pPr>
      <w:r>
        <w:rPr>
          <w:sz w:val="24"/>
          <w:szCs w:val="24"/>
          <w:highlight w:val="none"/>
        </w:rPr>
        <w:t>19.评标委员会根据全体评标成员签字的原始评标记录和评</w:t>
      </w:r>
      <w:r>
        <w:rPr>
          <w:spacing w:val="-1"/>
          <w:sz w:val="24"/>
          <w:szCs w:val="24"/>
          <w:highlight w:val="none"/>
        </w:rPr>
        <w:t>标结果编写评标报告。评</w:t>
      </w:r>
      <w:r>
        <w:rPr>
          <w:spacing w:val="-3"/>
          <w:sz w:val="24"/>
          <w:szCs w:val="24"/>
          <w:highlight w:val="none"/>
        </w:rPr>
        <w:t>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C21B27A">
      <w:pPr>
        <w:pStyle w:val="6"/>
        <w:spacing w:before="3" w:line="222" w:lineRule="auto"/>
        <w:ind w:left="59"/>
        <w:outlineLvl w:val="2"/>
        <w:rPr>
          <w:sz w:val="24"/>
          <w:szCs w:val="24"/>
          <w:highlight w:val="none"/>
        </w:rPr>
      </w:pPr>
      <w:r>
        <w:rPr>
          <w:b/>
          <w:bCs/>
          <w:spacing w:val="-7"/>
          <w:sz w:val="24"/>
          <w:szCs w:val="24"/>
          <w:highlight w:val="none"/>
        </w:rPr>
        <w:t>（八）投标无效及应予废标的情形</w:t>
      </w:r>
    </w:p>
    <w:p w14:paraId="26942713">
      <w:pPr>
        <w:pStyle w:val="6"/>
        <w:spacing w:before="44" w:line="222" w:lineRule="auto"/>
        <w:ind w:left="518"/>
        <w:rPr>
          <w:spacing w:val="-2"/>
          <w:sz w:val="24"/>
          <w:szCs w:val="24"/>
          <w:highlight w:val="none"/>
        </w:rPr>
      </w:pPr>
      <w:r>
        <w:rPr>
          <w:spacing w:val="-2"/>
          <w:sz w:val="24"/>
          <w:szCs w:val="24"/>
          <w:highlight w:val="none"/>
        </w:rPr>
        <w:t>20.投标人存在下列情形之一的，</w:t>
      </w:r>
      <w:r>
        <w:rPr>
          <w:b/>
          <w:bCs/>
          <w:spacing w:val="-2"/>
          <w:sz w:val="24"/>
          <w:szCs w:val="24"/>
          <w:highlight w:val="none"/>
        </w:rPr>
        <w:t>投标无效</w:t>
      </w:r>
      <w:r>
        <w:rPr>
          <w:spacing w:val="-2"/>
          <w:sz w:val="24"/>
          <w:szCs w:val="24"/>
          <w:highlight w:val="none"/>
        </w:rPr>
        <w:t>：</w:t>
      </w:r>
    </w:p>
    <w:p w14:paraId="11A9DE85">
      <w:pPr>
        <w:pStyle w:val="6"/>
        <w:spacing w:before="44" w:line="222" w:lineRule="auto"/>
        <w:ind w:left="518"/>
        <w:rPr>
          <w:sz w:val="24"/>
          <w:szCs w:val="24"/>
          <w:highlight w:val="none"/>
        </w:rPr>
      </w:pPr>
      <w:r>
        <w:rPr>
          <w:spacing w:val="-1"/>
          <w:sz w:val="24"/>
          <w:szCs w:val="24"/>
          <w:highlight w:val="none"/>
        </w:rPr>
        <w:t>20.1投标人不具备《中华人民共和国政府采购</w:t>
      </w:r>
      <w:r>
        <w:rPr>
          <w:spacing w:val="-2"/>
          <w:sz w:val="24"/>
          <w:szCs w:val="24"/>
          <w:highlight w:val="none"/>
        </w:rPr>
        <w:t>法》第二十二条规定条件；</w:t>
      </w:r>
    </w:p>
    <w:p w14:paraId="7616B156">
      <w:pPr>
        <w:pStyle w:val="6"/>
        <w:spacing w:before="180" w:line="222" w:lineRule="auto"/>
        <w:ind w:left="518"/>
        <w:rPr>
          <w:sz w:val="24"/>
          <w:szCs w:val="24"/>
          <w:highlight w:val="none"/>
        </w:rPr>
      </w:pPr>
      <w:r>
        <w:rPr>
          <w:spacing w:val="-2"/>
          <w:sz w:val="24"/>
          <w:szCs w:val="24"/>
          <w:highlight w:val="none"/>
        </w:rPr>
        <w:t>20.2投标文件未按招标文件要求签署、盖章的；</w:t>
      </w:r>
    </w:p>
    <w:p w14:paraId="772D5B69">
      <w:pPr>
        <w:pStyle w:val="6"/>
        <w:spacing w:before="176" w:line="359" w:lineRule="auto"/>
        <w:ind w:left="41" w:right="129" w:firstLine="473"/>
        <w:rPr>
          <w:sz w:val="24"/>
          <w:szCs w:val="24"/>
          <w:highlight w:val="none"/>
        </w:rPr>
      </w:pPr>
      <w:r>
        <w:rPr>
          <w:spacing w:val="-3"/>
          <w:sz w:val="24"/>
          <w:szCs w:val="24"/>
          <w:highlight w:val="none"/>
        </w:rPr>
        <w:t>20.3不具备招标文件中规定的资格要求的（投标</w:t>
      </w:r>
      <w:r>
        <w:rPr>
          <w:spacing w:val="-4"/>
          <w:sz w:val="24"/>
          <w:szCs w:val="24"/>
          <w:highlight w:val="none"/>
        </w:rPr>
        <w:t>人未提供有效资格文件的，视为投标</w:t>
      </w:r>
      <w:r>
        <w:rPr>
          <w:spacing w:val="-3"/>
          <w:sz w:val="24"/>
          <w:szCs w:val="24"/>
          <w:highlight w:val="none"/>
        </w:rPr>
        <w:t>人不具备招标文件中规定的资格要求</w:t>
      </w:r>
      <w:r>
        <w:rPr>
          <w:spacing w:val="5"/>
          <w:sz w:val="24"/>
          <w:szCs w:val="24"/>
          <w:highlight w:val="none"/>
        </w:rPr>
        <w:t>）；</w:t>
      </w:r>
    </w:p>
    <w:p w14:paraId="5A584F4C">
      <w:pPr>
        <w:pStyle w:val="6"/>
        <w:spacing w:line="220" w:lineRule="auto"/>
        <w:ind w:left="518"/>
        <w:rPr>
          <w:sz w:val="24"/>
          <w:szCs w:val="24"/>
          <w:highlight w:val="none"/>
        </w:rPr>
      </w:pPr>
      <w:r>
        <w:rPr>
          <w:spacing w:val="-3"/>
          <w:sz w:val="24"/>
          <w:szCs w:val="24"/>
          <w:highlight w:val="none"/>
        </w:rPr>
        <w:t>20.4投标文件提供虚假材料的；</w:t>
      </w:r>
    </w:p>
    <w:p w14:paraId="3BFF4924">
      <w:pPr>
        <w:pStyle w:val="6"/>
        <w:spacing w:before="182" w:line="220" w:lineRule="auto"/>
        <w:ind w:left="515"/>
        <w:rPr>
          <w:sz w:val="24"/>
          <w:szCs w:val="24"/>
          <w:highlight w:val="none"/>
        </w:rPr>
      </w:pPr>
      <w:r>
        <w:rPr>
          <w:spacing w:val="-3"/>
          <w:sz w:val="24"/>
          <w:szCs w:val="24"/>
          <w:highlight w:val="none"/>
        </w:rPr>
        <w:t>20.5投标文件不满足招标文件中标注“★</w:t>
      </w:r>
      <w:r>
        <w:rPr>
          <w:spacing w:val="-91"/>
          <w:sz w:val="24"/>
          <w:szCs w:val="24"/>
          <w:highlight w:val="none"/>
        </w:rPr>
        <w:t xml:space="preserve"> </w:t>
      </w:r>
      <w:r>
        <w:rPr>
          <w:spacing w:val="-3"/>
          <w:sz w:val="24"/>
          <w:szCs w:val="24"/>
          <w:highlight w:val="none"/>
        </w:rPr>
        <w:t>”号的实质性条款（或指标）要</w:t>
      </w:r>
      <w:r>
        <w:rPr>
          <w:spacing w:val="-4"/>
          <w:sz w:val="24"/>
          <w:szCs w:val="24"/>
          <w:highlight w:val="none"/>
        </w:rPr>
        <w:t>求的；</w:t>
      </w:r>
    </w:p>
    <w:p w14:paraId="2B174D67">
      <w:pPr>
        <w:pStyle w:val="6"/>
        <w:spacing w:before="179" w:line="222" w:lineRule="auto"/>
        <w:ind w:left="518"/>
        <w:rPr>
          <w:sz w:val="24"/>
          <w:szCs w:val="24"/>
          <w:highlight w:val="none"/>
        </w:rPr>
      </w:pPr>
      <w:r>
        <w:rPr>
          <w:spacing w:val="-1"/>
          <w:sz w:val="24"/>
          <w:szCs w:val="24"/>
          <w:highlight w:val="none"/>
        </w:rPr>
        <w:t>20.6投标人报价超过招标文件中规定的最</w:t>
      </w:r>
      <w:r>
        <w:rPr>
          <w:spacing w:val="-2"/>
          <w:sz w:val="24"/>
          <w:szCs w:val="24"/>
          <w:highlight w:val="none"/>
        </w:rPr>
        <w:t>高限价或者预算金额的；</w:t>
      </w:r>
    </w:p>
    <w:p w14:paraId="05000167">
      <w:pPr>
        <w:pStyle w:val="6"/>
        <w:spacing w:before="180" w:line="222" w:lineRule="auto"/>
        <w:ind w:left="518"/>
        <w:rPr>
          <w:sz w:val="24"/>
          <w:szCs w:val="24"/>
          <w:highlight w:val="none"/>
        </w:rPr>
      </w:pPr>
      <w:r>
        <w:rPr>
          <w:spacing w:val="-2"/>
          <w:sz w:val="24"/>
          <w:szCs w:val="24"/>
          <w:highlight w:val="none"/>
        </w:rPr>
        <w:t>20.7联合体的供应商未提交各方共同签署的联合体协议的；</w:t>
      </w:r>
    </w:p>
    <w:p w14:paraId="47BE7398">
      <w:pPr>
        <w:pStyle w:val="6"/>
        <w:spacing w:before="179" w:line="221" w:lineRule="auto"/>
        <w:ind w:left="518"/>
        <w:rPr>
          <w:sz w:val="24"/>
          <w:szCs w:val="24"/>
          <w:highlight w:val="none"/>
        </w:rPr>
      </w:pPr>
      <w:r>
        <w:rPr>
          <w:spacing w:val="-2"/>
          <w:sz w:val="24"/>
          <w:szCs w:val="24"/>
          <w:highlight w:val="none"/>
        </w:rPr>
        <w:t>20.8投标人未按招标文件的规定交纳投标保证金的；</w:t>
      </w:r>
    </w:p>
    <w:p w14:paraId="6C76D81F">
      <w:pPr>
        <w:pStyle w:val="6"/>
        <w:spacing w:before="178" w:line="358" w:lineRule="auto"/>
        <w:ind w:left="41" w:right="211" w:firstLine="473"/>
        <w:rPr>
          <w:sz w:val="24"/>
          <w:szCs w:val="24"/>
          <w:highlight w:val="none"/>
        </w:rPr>
      </w:pPr>
      <w:r>
        <w:rPr>
          <w:spacing w:val="-2"/>
          <w:sz w:val="24"/>
          <w:szCs w:val="24"/>
          <w:highlight w:val="none"/>
        </w:rPr>
        <w:t>20.9评审期间,投标人没有按评标委员会的要</w:t>
      </w:r>
      <w:r>
        <w:rPr>
          <w:spacing w:val="-3"/>
          <w:sz w:val="24"/>
          <w:szCs w:val="24"/>
          <w:highlight w:val="none"/>
        </w:rPr>
        <w:t>求提交经授权代表签字的澄清、说明、补正或改变了投标文件的实质性内容的；</w:t>
      </w:r>
    </w:p>
    <w:p w14:paraId="4E3720C6">
      <w:pPr>
        <w:pStyle w:val="6"/>
        <w:spacing w:before="3" w:line="359" w:lineRule="auto"/>
        <w:ind w:left="45" w:firstLine="470"/>
        <w:rPr>
          <w:sz w:val="24"/>
          <w:szCs w:val="24"/>
          <w:highlight w:val="none"/>
        </w:rPr>
      </w:pPr>
      <w:r>
        <w:rPr>
          <w:spacing w:val="-6"/>
          <w:sz w:val="24"/>
          <w:szCs w:val="24"/>
          <w:highlight w:val="none"/>
        </w:rPr>
        <w:t>20.10投标人对采购人、采购代理机构、评标委员会及其工作人员施加影响,有碍公平、</w:t>
      </w:r>
      <w:r>
        <w:rPr>
          <w:spacing w:val="-7"/>
          <w:sz w:val="24"/>
          <w:szCs w:val="24"/>
          <w:highlight w:val="none"/>
        </w:rPr>
        <w:t>公正的；</w:t>
      </w:r>
    </w:p>
    <w:p w14:paraId="53D2269E">
      <w:pPr>
        <w:pStyle w:val="6"/>
        <w:spacing w:before="1" w:line="221" w:lineRule="auto"/>
        <w:ind w:left="518"/>
        <w:rPr>
          <w:sz w:val="24"/>
          <w:szCs w:val="24"/>
          <w:highlight w:val="none"/>
        </w:rPr>
      </w:pPr>
      <w:r>
        <w:rPr>
          <w:spacing w:val="-2"/>
          <w:sz w:val="24"/>
          <w:szCs w:val="24"/>
          <w:highlight w:val="none"/>
        </w:rPr>
        <w:t>20.11投标文件含有采购人不能接受的附加条件的；</w:t>
      </w:r>
    </w:p>
    <w:p w14:paraId="68435A51">
      <w:pPr>
        <w:pStyle w:val="6"/>
        <w:spacing w:before="179" w:line="222" w:lineRule="auto"/>
        <w:ind w:left="518"/>
        <w:rPr>
          <w:sz w:val="24"/>
          <w:szCs w:val="24"/>
          <w:highlight w:val="none"/>
        </w:rPr>
      </w:pPr>
      <w:r>
        <w:rPr>
          <w:spacing w:val="-2"/>
          <w:sz w:val="24"/>
          <w:szCs w:val="24"/>
          <w:highlight w:val="none"/>
        </w:rPr>
        <w:t>20.12法律、法规、规章规定属于投标无效的其他情形。</w:t>
      </w:r>
    </w:p>
    <w:p w14:paraId="3559FD58">
      <w:pPr>
        <w:pStyle w:val="6"/>
        <w:spacing w:before="178" w:line="219" w:lineRule="auto"/>
        <w:ind w:left="518"/>
        <w:rPr>
          <w:sz w:val="24"/>
          <w:szCs w:val="24"/>
          <w:highlight w:val="none"/>
        </w:rPr>
      </w:pPr>
      <w:r>
        <w:rPr>
          <w:spacing w:val="-2"/>
          <w:sz w:val="24"/>
          <w:szCs w:val="24"/>
          <w:highlight w:val="none"/>
        </w:rPr>
        <w:t>21.有下列情形之一的，视为投标人串通投标，其</w:t>
      </w:r>
      <w:r>
        <w:rPr>
          <w:b/>
          <w:bCs/>
          <w:spacing w:val="-2"/>
          <w:sz w:val="24"/>
          <w:szCs w:val="24"/>
          <w:highlight w:val="none"/>
        </w:rPr>
        <w:t>投标无效</w:t>
      </w:r>
      <w:r>
        <w:rPr>
          <w:spacing w:val="-2"/>
          <w:sz w:val="24"/>
          <w:szCs w:val="24"/>
          <w:highlight w:val="none"/>
        </w:rPr>
        <w:t>：</w:t>
      </w:r>
    </w:p>
    <w:p w14:paraId="188C01D1">
      <w:pPr>
        <w:pStyle w:val="6"/>
        <w:spacing w:before="183" w:line="221" w:lineRule="auto"/>
        <w:ind w:left="518"/>
        <w:rPr>
          <w:sz w:val="24"/>
          <w:szCs w:val="24"/>
          <w:highlight w:val="none"/>
        </w:rPr>
      </w:pPr>
      <w:r>
        <w:rPr>
          <w:spacing w:val="-2"/>
          <w:sz w:val="24"/>
          <w:szCs w:val="24"/>
          <w:highlight w:val="none"/>
        </w:rPr>
        <w:t>21.1不同投标人的投标文件由同一单位或者个人编制；</w:t>
      </w:r>
    </w:p>
    <w:p w14:paraId="4261CF6A">
      <w:pPr>
        <w:pStyle w:val="6"/>
        <w:spacing w:before="178" w:line="221" w:lineRule="auto"/>
        <w:ind w:left="518"/>
        <w:rPr>
          <w:sz w:val="24"/>
          <w:szCs w:val="24"/>
          <w:highlight w:val="none"/>
        </w:rPr>
      </w:pPr>
      <w:r>
        <w:rPr>
          <w:spacing w:val="-2"/>
          <w:sz w:val="24"/>
          <w:szCs w:val="24"/>
          <w:highlight w:val="none"/>
        </w:rPr>
        <w:t>21.2不同投标人委托同一单位或者个人办理投标事宜；</w:t>
      </w:r>
    </w:p>
    <w:p w14:paraId="3FC28774">
      <w:pPr>
        <w:pStyle w:val="6"/>
        <w:spacing w:before="182" w:line="222" w:lineRule="auto"/>
        <w:ind w:left="518"/>
        <w:rPr>
          <w:sz w:val="24"/>
          <w:szCs w:val="24"/>
          <w:highlight w:val="none"/>
        </w:rPr>
      </w:pPr>
      <w:r>
        <w:rPr>
          <w:spacing w:val="-1"/>
          <w:sz w:val="24"/>
          <w:szCs w:val="24"/>
          <w:highlight w:val="none"/>
        </w:rPr>
        <w:t>21.3不同投标人的投标文件载明的项目管理成</w:t>
      </w:r>
      <w:r>
        <w:rPr>
          <w:spacing w:val="-2"/>
          <w:sz w:val="24"/>
          <w:szCs w:val="24"/>
          <w:highlight w:val="none"/>
        </w:rPr>
        <w:t>员或者联系人员为同一人；</w:t>
      </w:r>
    </w:p>
    <w:p w14:paraId="297B3B7A">
      <w:pPr>
        <w:pStyle w:val="6"/>
        <w:spacing w:before="176" w:line="220" w:lineRule="auto"/>
        <w:ind w:left="518"/>
        <w:rPr>
          <w:sz w:val="24"/>
          <w:szCs w:val="24"/>
          <w:highlight w:val="none"/>
        </w:rPr>
      </w:pPr>
      <w:r>
        <w:rPr>
          <w:spacing w:val="-1"/>
          <w:sz w:val="24"/>
          <w:szCs w:val="24"/>
          <w:highlight w:val="none"/>
        </w:rPr>
        <w:t>21.4不同投标人的投标文件异常一致或者</w:t>
      </w:r>
      <w:r>
        <w:rPr>
          <w:spacing w:val="-2"/>
          <w:sz w:val="24"/>
          <w:szCs w:val="24"/>
          <w:highlight w:val="none"/>
        </w:rPr>
        <w:t>投标报价呈规律性差异；</w:t>
      </w:r>
    </w:p>
    <w:p w14:paraId="16151B79">
      <w:pPr>
        <w:pStyle w:val="6"/>
        <w:spacing w:before="182" w:line="222" w:lineRule="auto"/>
        <w:ind w:left="518"/>
        <w:rPr>
          <w:sz w:val="24"/>
          <w:szCs w:val="24"/>
          <w:highlight w:val="none"/>
        </w:rPr>
      </w:pPr>
      <w:r>
        <w:rPr>
          <w:spacing w:val="-3"/>
          <w:sz w:val="24"/>
          <w:szCs w:val="24"/>
          <w:highlight w:val="none"/>
        </w:rPr>
        <w:t>21.5不同投标人的投标文件相互混装；</w:t>
      </w:r>
    </w:p>
    <w:p w14:paraId="5AE64C4A">
      <w:pPr>
        <w:pStyle w:val="6"/>
        <w:spacing w:before="177" w:line="219" w:lineRule="auto"/>
        <w:ind w:left="518"/>
        <w:rPr>
          <w:sz w:val="24"/>
          <w:szCs w:val="24"/>
          <w:highlight w:val="none"/>
        </w:rPr>
      </w:pPr>
      <w:r>
        <w:rPr>
          <w:spacing w:val="-2"/>
          <w:sz w:val="24"/>
          <w:szCs w:val="24"/>
          <w:highlight w:val="none"/>
        </w:rPr>
        <w:t>21.6不同投标人的投标保证金从同一单位或者个人的账户转出；</w:t>
      </w:r>
    </w:p>
    <w:p w14:paraId="63B23F4A">
      <w:pPr>
        <w:pStyle w:val="6"/>
        <w:spacing w:before="184" w:line="359" w:lineRule="auto"/>
        <w:ind w:left="63" w:right="175" w:firstLine="451"/>
        <w:rPr>
          <w:sz w:val="24"/>
          <w:szCs w:val="24"/>
          <w:highlight w:val="none"/>
        </w:rPr>
      </w:pPr>
      <w:r>
        <w:rPr>
          <w:spacing w:val="-1"/>
          <w:sz w:val="24"/>
          <w:szCs w:val="24"/>
          <w:highlight w:val="none"/>
        </w:rPr>
        <w:t>21.7不同投标人使用同一电脑（机器特征值一</w:t>
      </w:r>
      <w:r>
        <w:rPr>
          <w:spacing w:val="-2"/>
          <w:sz w:val="24"/>
          <w:szCs w:val="24"/>
          <w:highlight w:val="none"/>
        </w:rPr>
        <w:t>致：如MAC地址等）或使用同一电子密</w:t>
      </w:r>
      <w:r>
        <w:rPr>
          <w:spacing w:val="-3"/>
          <w:sz w:val="24"/>
          <w:szCs w:val="24"/>
          <w:highlight w:val="none"/>
        </w:rPr>
        <w:t>钥，编制或上传电子投标文件；</w:t>
      </w:r>
    </w:p>
    <w:p w14:paraId="75D8DD00">
      <w:pPr>
        <w:pStyle w:val="6"/>
        <w:spacing w:before="182" w:line="222" w:lineRule="auto"/>
        <w:ind w:left="518"/>
        <w:rPr>
          <w:spacing w:val="-1"/>
          <w:sz w:val="24"/>
          <w:szCs w:val="24"/>
          <w:highlight w:val="none"/>
        </w:rPr>
      </w:pPr>
      <w:r>
        <w:rPr>
          <w:spacing w:val="-1"/>
          <w:sz w:val="24"/>
          <w:szCs w:val="24"/>
          <w:highlight w:val="none"/>
        </w:rPr>
        <w:t>21.8法律、法规、规章规定属于投标人串通投标的其他情形。</w:t>
      </w:r>
    </w:p>
    <w:p w14:paraId="0A8C6231">
      <w:pPr>
        <w:pStyle w:val="6"/>
        <w:spacing w:before="182" w:line="222" w:lineRule="auto"/>
        <w:ind w:left="518"/>
        <w:rPr>
          <w:spacing w:val="-1"/>
          <w:sz w:val="24"/>
          <w:szCs w:val="24"/>
          <w:highlight w:val="none"/>
        </w:rPr>
      </w:pPr>
      <w:r>
        <w:rPr>
          <w:spacing w:val="-1"/>
          <w:sz w:val="24"/>
          <w:szCs w:val="24"/>
          <w:highlight w:val="none"/>
        </w:rPr>
        <w:t>22.根据《中华人民共和国政府采购法》第三十六条之规定，在招标采购过程中，出现下列情形之一的，应予废标：</w:t>
      </w:r>
    </w:p>
    <w:p w14:paraId="0CFB4D5C">
      <w:pPr>
        <w:pStyle w:val="6"/>
        <w:spacing w:before="182" w:line="222" w:lineRule="auto"/>
        <w:ind w:left="518"/>
        <w:rPr>
          <w:spacing w:val="-1"/>
          <w:sz w:val="24"/>
          <w:szCs w:val="24"/>
          <w:highlight w:val="none"/>
        </w:rPr>
      </w:pPr>
      <w:r>
        <w:rPr>
          <w:spacing w:val="-1"/>
          <w:sz w:val="24"/>
          <w:szCs w:val="24"/>
          <w:highlight w:val="none"/>
        </w:rPr>
        <w:t>22.1符合专业条件的供应商或者对招标文件作实质响应的供应商不足3家的；</w:t>
      </w:r>
    </w:p>
    <w:p w14:paraId="6A990489">
      <w:pPr>
        <w:pStyle w:val="6"/>
        <w:spacing w:before="182" w:line="222" w:lineRule="auto"/>
        <w:ind w:left="518"/>
        <w:rPr>
          <w:spacing w:val="-1"/>
          <w:sz w:val="24"/>
          <w:szCs w:val="24"/>
          <w:highlight w:val="none"/>
        </w:rPr>
      </w:pPr>
      <w:r>
        <w:rPr>
          <w:spacing w:val="-1"/>
          <w:sz w:val="24"/>
          <w:szCs w:val="24"/>
          <w:highlight w:val="none"/>
        </w:rPr>
        <w:t>22.2出现影响采购公正的违法、违规行为的；</w:t>
      </w:r>
    </w:p>
    <w:p w14:paraId="08FDC125">
      <w:pPr>
        <w:pStyle w:val="6"/>
        <w:spacing w:before="182" w:line="222" w:lineRule="auto"/>
        <w:ind w:left="518"/>
        <w:rPr>
          <w:spacing w:val="-1"/>
          <w:sz w:val="24"/>
          <w:szCs w:val="24"/>
          <w:highlight w:val="none"/>
        </w:rPr>
      </w:pPr>
      <w:r>
        <w:rPr>
          <w:spacing w:val="-1"/>
          <w:sz w:val="24"/>
          <w:szCs w:val="24"/>
          <w:highlight w:val="none"/>
        </w:rPr>
        <w:t>22.3投标人的报价均超过了采购预算，采购人不能支付的；</w:t>
      </w:r>
    </w:p>
    <w:p w14:paraId="6C1257C6">
      <w:pPr>
        <w:pStyle w:val="6"/>
        <w:spacing w:before="182" w:line="222" w:lineRule="auto"/>
        <w:ind w:left="518"/>
        <w:rPr>
          <w:spacing w:val="-1"/>
          <w:sz w:val="24"/>
          <w:szCs w:val="24"/>
          <w:highlight w:val="none"/>
        </w:rPr>
      </w:pPr>
      <w:r>
        <w:rPr>
          <w:spacing w:val="-1"/>
          <w:sz w:val="24"/>
          <w:szCs w:val="24"/>
          <w:highlight w:val="none"/>
        </w:rPr>
        <w:t>22.4因重大变故，采购任务取消的；</w:t>
      </w:r>
    </w:p>
    <w:p w14:paraId="172D4754">
      <w:pPr>
        <w:pStyle w:val="6"/>
        <w:spacing w:before="182" w:line="222" w:lineRule="auto"/>
        <w:ind w:left="518"/>
        <w:rPr>
          <w:spacing w:val="-1"/>
          <w:sz w:val="24"/>
          <w:szCs w:val="24"/>
          <w:highlight w:val="none"/>
        </w:rPr>
      </w:pPr>
      <w:r>
        <w:rPr>
          <w:spacing w:val="-1"/>
          <w:sz w:val="24"/>
          <w:szCs w:val="24"/>
          <w:highlight w:val="none"/>
        </w:rPr>
        <w:t>22.5 法律、法规、规章规定属于废标的其他情形。</w:t>
      </w:r>
    </w:p>
    <w:p w14:paraId="4BD7959F">
      <w:pPr>
        <w:pStyle w:val="6"/>
        <w:spacing w:before="182" w:line="222" w:lineRule="auto"/>
        <w:ind w:left="518"/>
        <w:rPr>
          <w:spacing w:val="-1"/>
          <w:sz w:val="24"/>
          <w:szCs w:val="24"/>
          <w:highlight w:val="none"/>
        </w:rPr>
      </w:pPr>
      <w:r>
        <w:rPr>
          <w:spacing w:val="-1"/>
          <w:sz w:val="24"/>
          <w:szCs w:val="24"/>
          <w:highlight w:val="none"/>
        </w:rPr>
        <w:t>23.废标后，采购人应当将废标理由通知所有投标人。</w:t>
      </w:r>
    </w:p>
    <w:p w14:paraId="776904A1">
      <w:pPr>
        <w:pStyle w:val="6"/>
        <w:spacing w:before="180" w:line="222" w:lineRule="auto"/>
        <w:ind w:left="59"/>
        <w:outlineLvl w:val="2"/>
        <w:rPr>
          <w:sz w:val="24"/>
          <w:szCs w:val="24"/>
          <w:highlight w:val="none"/>
        </w:rPr>
      </w:pPr>
      <w:r>
        <w:rPr>
          <w:b/>
          <w:bCs/>
          <w:spacing w:val="-8"/>
          <w:sz w:val="24"/>
          <w:szCs w:val="24"/>
          <w:highlight w:val="none"/>
        </w:rPr>
        <w:t>（九）停止评标的情形</w:t>
      </w:r>
    </w:p>
    <w:p w14:paraId="6B02C3BD">
      <w:pPr>
        <w:pStyle w:val="6"/>
        <w:spacing w:before="174" w:line="360" w:lineRule="auto"/>
        <w:ind w:left="42" w:right="139" w:firstLine="475"/>
        <w:jc w:val="both"/>
        <w:rPr>
          <w:sz w:val="24"/>
          <w:szCs w:val="24"/>
          <w:highlight w:val="none"/>
        </w:rPr>
      </w:pPr>
      <w:r>
        <w:rPr>
          <w:spacing w:val="-1"/>
          <w:sz w:val="24"/>
          <w:szCs w:val="24"/>
          <w:highlight w:val="none"/>
        </w:rPr>
        <w:t>24.评标委员会发现招标文件存在歧义、重大缺陷导致评标工作无法进行，或者招标</w:t>
      </w:r>
      <w:r>
        <w:rPr>
          <w:spacing w:val="-3"/>
          <w:sz w:val="24"/>
          <w:szCs w:val="24"/>
          <w:highlight w:val="none"/>
        </w:rPr>
        <w:t>文件内容违反国家有关强制性规定的，应当停止</w:t>
      </w:r>
      <w:r>
        <w:rPr>
          <w:spacing w:val="-4"/>
          <w:sz w:val="24"/>
          <w:szCs w:val="24"/>
          <w:highlight w:val="none"/>
        </w:rPr>
        <w:t>评标工作，与采购人或者采购代理机构沟</w:t>
      </w:r>
      <w:r>
        <w:rPr>
          <w:spacing w:val="-3"/>
          <w:sz w:val="24"/>
          <w:szCs w:val="24"/>
          <w:highlight w:val="none"/>
        </w:rPr>
        <w:t>通并作书面记录。采购人或者采购代理机构确认后，应当修改招标文件，重新组织采购活</w:t>
      </w:r>
      <w:r>
        <w:rPr>
          <w:spacing w:val="-8"/>
          <w:sz w:val="24"/>
          <w:szCs w:val="24"/>
          <w:highlight w:val="none"/>
        </w:rPr>
        <w:t>动。</w:t>
      </w:r>
    </w:p>
    <w:p w14:paraId="2841B2B0">
      <w:pPr>
        <w:pStyle w:val="6"/>
        <w:spacing w:before="1" w:line="222" w:lineRule="auto"/>
        <w:ind w:left="59"/>
        <w:outlineLvl w:val="2"/>
        <w:rPr>
          <w:sz w:val="24"/>
          <w:szCs w:val="24"/>
          <w:highlight w:val="none"/>
        </w:rPr>
      </w:pPr>
      <w:r>
        <w:rPr>
          <w:b/>
          <w:bCs/>
          <w:spacing w:val="-9"/>
          <w:sz w:val="24"/>
          <w:szCs w:val="24"/>
          <w:highlight w:val="none"/>
        </w:rPr>
        <w:t>（十）重新开展采购</w:t>
      </w:r>
    </w:p>
    <w:p w14:paraId="595B2D3B">
      <w:pPr>
        <w:pStyle w:val="6"/>
        <w:spacing w:before="176" w:line="359" w:lineRule="auto"/>
        <w:ind w:left="45" w:firstLine="472"/>
        <w:rPr>
          <w:sz w:val="24"/>
          <w:szCs w:val="24"/>
          <w:highlight w:val="none"/>
        </w:rPr>
      </w:pPr>
      <w:r>
        <w:rPr>
          <w:spacing w:val="-2"/>
          <w:sz w:val="24"/>
          <w:szCs w:val="24"/>
          <w:highlight w:val="none"/>
        </w:rPr>
        <w:t>25.有《中华人民共和国政府采购法》第七十一条、第七十二条规</w:t>
      </w:r>
      <w:r>
        <w:rPr>
          <w:spacing w:val="-3"/>
          <w:sz w:val="24"/>
          <w:szCs w:val="24"/>
          <w:highlight w:val="none"/>
        </w:rPr>
        <w:t>定的违法行为之一，</w:t>
      </w:r>
      <w:r>
        <w:rPr>
          <w:spacing w:val="-2"/>
          <w:sz w:val="24"/>
          <w:szCs w:val="24"/>
          <w:highlight w:val="none"/>
        </w:rPr>
        <w:t>影响或者可能影响中标结果的，依照下列规定处理：</w:t>
      </w:r>
    </w:p>
    <w:p w14:paraId="5E12EF7F">
      <w:pPr>
        <w:pStyle w:val="6"/>
        <w:spacing w:before="1" w:line="222" w:lineRule="auto"/>
        <w:ind w:left="515"/>
        <w:rPr>
          <w:sz w:val="24"/>
          <w:szCs w:val="24"/>
          <w:highlight w:val="none"/>
        </w:rPr>
      </w:pPr>
      <w:r>
        <w:rPr>
          <w:spacing w:val="-1"/>
          <w:sz w:val="24"/>
          <w:szCs w:val="24"/>
          <w:highlight w:val="none"/>
        </w:rPr>
        <w:t>25.1未确定中标供应商的，终止本次政府采购活动，重</w:t>
      </w:r>
      <w:r>
        <w:rPr>
          <w:spacing w:val="-2"/>
          <w:sz w:val="24"/>
          <w:szCs w:val="24"/>
          <w:highlight w:val="none"/>
        </w:rPr>
        <w:t>新开展政府采购活动。</w:t>
      </w:r>
    </w:p>
    <w:p w14:paraId="3D12E626">
      <w:pPr>
        <w:pStyle w:val="6"/>
        <w:spacing w:before="180" w:line="358" w:lineRule="auto"/>
        <w:ind w:left="40" w:right="108" w:firstLine="474"/>
        <w:rPr>
          <w:sz w:val="24"/>
          <w:szCs w:val="24"/>
          <w:highlight w:val="none"/>
        </w:rPr>
      </w:pPr>
      <w:r>
        <w:rPr>
          <w:spacing w:val="-2"/>
          <w:sz w:val="24"/>
          <w:szCs w:val="24"/>
          <w:highlight w:val="none"/>
        </w:rPr>
        <w:t>25.2已确定中标供应商但尚未签订政府采购合同的，中标结果无效，从合格的中标候</w:t>
      </w:r>
      <w:r>
        <w:rPr>
          <w:spacing w:val="-3"/>
          <w:sz w:val="24"/>
          <w:szCs w:val="24"/>
          <w:highlight w:val="none"/>
        </w:rPr>
        <w:t>选人中另行确定中标供应商；没有合格的中标候选人的，</w:t>
      </w:r>
      <w:r>
        <w:rPr>
          <w:spacing w:val="-4"/>
          <w:sz w:val="24"/>
          <w:szCs w:val="24"/>
          <w:highlight w:val="none"/>
        </w:rPr>
        <w:t>重新开展政府采购活动。</w:t>
      </w:r>
    </w:p>
    <w:p w14:paraId="4937E4FC">
      <w:pPr>
        <w:pStyle w:val="6"/>
        <w:spacing w:before="1" w:line="359" w:lineRule="auto"/>
        <w:ind w:left="66" w:right="324" w:firstLine="451"/>
        <w:rPr>
          <w:sz w:val="24"/>
          <w:szCs w:val="24"/>
          <w:highlight w:val="none"/>
        </w:rPr>
      </w:pPr>
      <w:r>
        <w:rPr>
          <w:spacing w:val="-1"/>
          <w:sz w:val="24"/>
          <w:szCs w:val="24"/>
          <w:highlight w:val="none"/>
        </w:rPr>
        <w:t>25.3政府采购合同已签订但尚未履行的，撤销合同，</w:t>
      </w:r>
      <w:r>
        <w:rPr>
          <w:spacing w:val="-2"/>
          <w:sz w:val="24"/>
          <w:szCs w:val="24"/>
          <w:highlight w:val="none"/>
        </w:rPr>
        <w:t>从合格的中标候选人中另行确定中标供应商；没有合格的中标候选人的，重新开展政府采购活动。</w:t>
      </w:r>
    </w:p>
    <w:p w14:paraId="49E9F04E">
      <w:pPr>
        <w:pStyle w:val="6"/>
        <w:spacing w:before="1" w:line="359" w:lineRule="auto"/>
        <w:ind w:left="40" w:right="329" w:firstLine="475"/>
        <w:rPr>
          <w:sz w:val="24"/>
          <w:szCs w:val="24"/>
          <w:highlight w:val="none"/>
        </w:rPr>
      </w:pPr>
      <w:r>
        <w:rPr>
          <w:spacing w:val="-1"/>
          <w:sz w:val="24"/>
          <w:szCs w:val="24"/>
          <w:highlight w:val="none"/>
        </w:rPr>
        <w:t>25.4政府采购合同已经履行，给采购人、供应</w:t>
      </w:r>
      <w:r>
        <w:rPr>
          <w:spacing w:val="-2"/>
          <w:sz w:val="24"/>
          <w:szCs w:val="24"/>
          <w:highlight w:val="none"/>
        </w:rPr>
        <w:t>商造成损失的，由责任人承担赔偿责</w:t>
      </w:r>
      <w:r>
        <w:rPr>
          <w:spacing w:val="-8"/>
          <w:sz w:val="24"/>
          <w:szCs w:val="24"/>
          <w:highlight w:val="none"/>
        </w:rPr>
        <w:t>任。</w:t>
      </w:r>
    </w:p>
    <w:p w14:paraId="4A0BD9B7">
      <w:pPr>
        <w:pStyle w:val="6"/>
        <w:spacing w:before="3" w:line="358" w:lineRule="auto"/>
        <w:ind w:left="42" w:right="94" w:firstLine="473"/>
        <w:rPr>
          <w:sz w:val="24"/>
          <w:szCs w:val="24"/>
          <w:highlight w:val="none"/>
        </w:rPr>
      </w:pPr>
      <w:r>
        <w:rPr>
          <w:spacing w:val="-1"/>
          <w:sz w:val="24"/>
          <w:szCs w:val="24"/>
          <w:highlight w:val="none"/>
        </w:rPr>
        <w:t>25.5政府采购当事人有其他违反《中华人</w:t>
      </w:r>
      <w:r>
        <w:rPr>
          <w:spacing w:val="-2"/>
          <w:sz w:val="24"/>
          <w:szCs w:val="24"/>
          <w:highlight w:val="none"/>
        </w:rPr>
        <w:t>民共和国政府采购法》或者《中华人民共和</w:t>
      </w:r>
      <w:r>
        <w:rPr>
          <w:spacing w:val="-3"/>
          <w:sz w:val="24"/>
          <w:szCs w:val="24"/>
          <w:highlight w:val="none"/>
        </w:rPr>
        <w:t>国政府采购法实施条例》等法律法规规定的行为，经改正后仍然影响或者可能影响中标结</w:t>
      </w:r>
      <w:r>
        <w:rPr>
          <w:spacing w:val="-2"/>
          <w:sz w:val="24"/>
          <w:szCs w:val="24"/>
          <w:highlight w:val="none"/>
        </w:rPr>
        <w:t>果或者依法被认定为中标无效的，依照24.1—24.4规定处理。</w:t>
      </w:r>
    </w:p>
    <w:p w14:paraId="285B1CB5">
      <w:pPr>
        <w:pStyle w:val="6"/>
        <w:spacing w:before="45" w:line="222" w:lineRule="auto"/>
        <w:ind w:left="305"/>
        <w:outlineLvl w:val="1"/>
        <w:rPr>
          <w:b/>
          <w:bCs/>
          <w:spacing w:val="1"/>
          <w:sz w:val="24"/>
          <w:szCs w:val="24"/>
          <w:highlight w:val="none"/>
        </w:rPr>
      </w:pPr>
      <w:bookmarkStart w:id="48" w:name="bookmark12"/>
      <w:bookmarkEnd w:id="48"/>
      <w:bookmarkStart w:id="49" w:name="bookmark13"/>
      <w:bookmarkEnd w:id="49"/>
      <w:r>
        <w:rPr>
          <w:b/>
          <w:bCs/>
          <w:spacing w:val="1"/>
          <w:sz w:val="24"/>
          <w:szCs w:val="24"/>
          <w:highlight w:val="none"/>
        </w:rPr>
        <w:t>三、评标其他要求：/</w:t>
      </w:r>
    </w:p>
    <w:p w14:paraId="3EE9DD28">
      <w:pPr>
        <w:pStyle w:val="6"/>
        <w:spacing w:before="45" w:line="222" w:lineRule="auto"/>
        <w:ind w:left="305"/>
        <w:outlineLvl w:val="1"/>
        <w:rPr>
          <w:sz w:val="24"/>
          <w:szCs w:val="24"/>
          <w:highlight w:val="none"/>
        </w:rPr>
      </w:pPr>
      <w:r>
        <w:rPr>
          <w:b/>
          <w:bCs/>
          <w:spacing w:val="-10"/>
          <w:sz w:val="24"/>
          <w:szCs w:val="24"/>
          <w:highlight w:val="none"/>
        </w:rPr>
        <w:t>四、评标标准</w:t>
      </w:r>
    </w:p>
    <w:p w14:paraId="61D588FA">
      <w:pPr>
        <w:pStyle w:val="6"/>
        <w:spacing w:before="179" w:line="220" w:lineRule="auto"/>
        <w:ind w:left="282"/>
        <w:outlineLvl w:val="1"/>
        <w:rPr>
          <w:sz w:val="24"/>
          <w:szCs w:val="24"/>
          <w:highlight w:val="none"/>
        </w:rPr>
      </w:pPr>
      <w:r>
        <w:rPr>
          <w:b/>
          <w:bCs/>
          <w:spacing w:val="-9"/>
          <w:sz w:val="24"/>
          <w:szCs w:val="24"/>
          <w:highlight w:val="none"/>
        </w:rPr>
        <w:t>（一）符合性审查表</w:t>
      </w:r>
    </w:p>
    <w:p w14:paraId="013425DE">
      <w:pPr>
        <w:spacing w:line="144" w:lineRule="exact"/>
        <w:rPr>
          <w:highlight w:val="none"/>
        </w:rPr>
      </w:pPr>
    </w:p>
    <w:tbl>
      <w:tblPr>
        <w:tblStyle w:val="13"/>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1677"/>
        <w:gridCol w:w="6034"/>
        <w:gridCol w:w="702"/>
        <w:gridCol w:w="902"/>
      </w:tblGrid>
      <w:tr w14:paraId="0B0D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80" w:type="dxa"/>
            <w:vMerge w:val="restart"/>
            <w:tcBorders>
              <w:bottom w:val="nil"/>
            </w:tcBorders>
            <w:shd w:val="clear" w:color="auto" w:fill="D8D8D8"/>
            <w:textDirection w:val="tbRlV"/>
            <w:vAlign w:val="top"/>
          </w:tcPr>
          <w:p w14:paraId="73323E0E">
            <w:pPr>
              <w:pStyle w:val="14"/>
              <w:spacing w:before="161" w:line="187" w:lineRule="auto"/>
              <w:ind w:left="477"/>
              <w:rPr>
                <w:highlight w:val="none"/>
              </w:rPr>
            </w:pPr>
            <w:r>
              <w:rPr>
                <w:b/>
                <w:bCs/>
                <w:spacing w:val="-1"/>
                <w:highlight w:val="none"/>
              </w:rPr>
              <w:t>序号</w:t>
            </w:r>
          </w:p>
        </w:tc>
        <w:tc>
          <w:tcPr>
            <w:tcW w:w="1677" w:type="dxa"/>
            <w:vMerge w:val="restart"/>
            <w:tcBorders>
              <w:bottom w:val="nil"/>
            </w:tcBorders>
            <w:shd w:val="clear" w:color="auto" w:fill="D8D8D8"/>
            <w:vAlign w:val="top"/>
          </w:tcPr>
          <w:p w14:paraId="55253450">
            <w:pPr>
              <w:spacing w:line="361" w:lineRule="auto"/>
              <w:rPr>
                <w:rFonts w:ascii="Arial"/>
                <w:sz w:val="21"/>
                <w:highlight w:val="none"/>
              </w:rPr>
            </w:pPr>
          </w:p>
          <w:p w14:paraId="542E8321">
            <w:pPr>
              <w:pStyle w:val="14"/>
              <w:spacing w:before="78" w:line="221" w:lineRule="auto"/>
              <w:ind w:left="255"/>
              <w:rPr>
                <w:highlight w:val="none"/>
              </w:rPr>
            </w:pPr>
            <w:r>
              <w:rPr>
                <w:b/>
                <w:bCs/>
                <w:spacing w:val="-6"/>
                <w:highlight w:val="none"/>
              </w:rPr>
              <w:t>审查项名称</w:t>
            </w:r>
          </w:p>
        </w:tc>
        <w:tc>
          <w:tcPr>
            <w:tcW w:w="6034" w:type="dxa"/>
            <w:vMerge w:val="restart"/>
            <w:tcBorders>
              <w:bottom w:val="nil"/>
            </w:tcBorders>
            <w:shd w:val="clear" w:color="auto" w:fill="D8D8D8"/>
            <w:vAlign w:val="top"/>
          </w:tcPr>
          <w:p w14:paraId="73A15E1E">
            <w:pPr>
              <w:spacing w:line="362" w:lineRule="auto"/>
              <w:rPr>
                <w:rFonts w:ascii="Arial"/>
                <w:sz w:val="21"/>
                <w:highlight w:val="none"/>
              </w:rPr>
            </w:pPr>
          </w:p>
          <w:p w14:paraId="3AE67DCC">
            <w:pPr>
              <w:pStyle w:val="14"/>
              <w:spacing w:before="78" w:line="222" w:lineRule="auto"/>
              <w:ind w:left="2562"/>
              <w:rPr>
                <w:highlight w:val="none"/>
              </w:rPr>
            </w:pPr>
            <w:r>
              <w:rPr>
                <w:b/>
                <w:bCs/>
                <w:spacing w:val="-9"/>
                <w:highlight w:val="none"/>
              </w:rPr>
              <w:t>审查内容</w:t>
            </w:r>
          </w:p>
        </w:tc>
        <w:tc>
          <w:tcPr>
            <w:tcW w:w="1604" w:type="dxa"/>
            <w:gridSpan w:val="2"/>
            <w:shd w:val="clear" w:color="auto" w:fill="D8D8D8"/>
            <w:vAlign w:val="top"/>
          </w:tcPr>
          <w:p w14:paraId="3F365A37">
            <w:pPr>
              <w:pStyle w:val="14"/>
              <w:spacing w:before="176" w:line="222" w:lineRule="auto"/>
              <w:ind w:left="315"/>
              <w:rPr>
                <w:highlight w:val="none"/>
              </w:rPr>
            </w:pPr>
            <w:r>
              <w:rPr>
                <w:b/>
                <w:bCs/>
                <w:spacing w:val="-9"/>
                <w:highlight w:val="none"/>
              </w:rPr>
              <w:t>审查结果</w:t>
            </w:r>
          </w:p>
        </w:tc>
      </w:tr>
      <w:tr w14:paraId="0181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480" w:type="dxa"/>
            <w:vMerge w:val="continue"/>
            <w:tcBorders>
              <w:top w:val="nil"/>
            </w:tcBorders>
            <w:textDirection w:val="tbRlV"/>
            <w:vAlign w:val="top"/>
          </w:tcPr>
          <w:p w14:paraId="5065BCCE">
            <w:pPr>
              <w:rPr>
                <w:rFonts w:ascii="Arial"/>
                <w:sz w:val="21"/>
                <w:highlight w:val="none"/>
              </w:rPr>
            </w:pPr>
          </w:p>
        </w:tc>
        <w:tc>
          <w:tcPr>
            <w:tcW w:w="1677" w:type="dxa"/>
            <w:vMerge w:val="continue"/>
            <w:tcBorders>
              <w:top w:val="nil"/>
            </w:tcBorders>
            <w:vAlign w:val="top"/>
          </w:tcPr>
          <w:p w14:paraId="4ED63496">
            <w:pPr>
              <w:rPr>
                <w:rFonts w:ascii="Arial"/>
                <w:sz w:val="21"/>
                <w:highlight w:val="none"/>
              </w:rPr>
            </w:pPr>
          </w:p>
        </w:tc>
        <w:tc>
          <w:tcPr>
            <w:tcW w:w="6034" w:type="dxa"/>
            <w:vMerge w:val="continue"/>
            <w:tcBorders>
              <w:top w:val="nil"/>
            </w:tcBorders>
            <w:vAlign w:val="top"/>
          </w:tcPr>
          <w:p w14:paraId="25234FD4">
            <w:pPr>
              <w:rPr>
                <w:rFonts w:ascii="Arial"/>
                <w:sz w:val="21"/>
                <w:highlight w:val="none"/>
              </w:rPr>
            </w:pPr>
          </w:p>
        </w:tc>
        <w:tc>
          <w:tcPr>
            <w:tcW w:w="702" w:type="dxa"/>
            <w:shd w:val="clear" w:color="auto" w:fill="D8D8D8"/>
            <w:vAlign w:val="top"/>
          </w:tcPr>
          <w:p w14:paraId="25926D71">
            <w:pPr>
              <w:pStyle w:val="14"/>
              <w:spacing w:before="169" w:line="221" w:lineRule="auto"/>
              <w:ind w:left="95"/>
              <w:rPr>
                <w:highlight w:val="none"/>
              </w:rPr>
            </w:pPr>
            <w:r>
              <w:rPr>
                <w:b/>
                <w:bCs/>
                <w:spacing w:val="-11"/>
                <w:highlight w:val="none"/>
              </w:rPr>
              <w:t>符合</w:t>
            </w:r>
          </w:p>
        </w:tc>
        <w:tc>
          <w:tcPr>
            <w:tcW w:w="902" w:type="dxa"/>
            <w:shd w:val="clear" w:color="auto" w:fill="D8D8D8"/>
            <w:vAlign w:val="top"/>
          </w:tcPr>
          <w:p w14:paraId="4E073C25">
            <w:pPr>
              <w:pStyle w:val="14"/>
              <w:spacing w:before="169" w:line="221" w:lineRule="auto"/>
              <w:ind w:left="68"/>
              <w:rPr>
                <w:highlight w:val="none"/>
              </w:rPr>
            </w:pPr>
            <w:r>
              <w:rPr>
                <w:b/>
                <w:bCs/>
                <w:spacing w:val="-7"/>
                <w:highlight w:val="none"/>
              </w:rPr>
              <w:t>不符合</w:t>
            </w:r>
          </w:p>
        </w:tc>
      </w:tr>
      <w:tr w14:paraId="7117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0" w:type="dxa"/>
            <w:vAlign w:val="top"/>
          </w:tcPr>
          <w:p w14:paraId="23B004AD">
            <w:pPr>
              <w:pStyle w:val="14"/>
              <w:spacing w:before="51" w:line="315" w:lineRule="exact"/>
              <w:ind w:left="263"/>
              <w:rPr>
                <w:highlight w:val="none"/>
              </w:rPr>
            </w:pPr>
            <w:r>
              <w:rPr>
                <w:position w:val="1"/>
                <w:highlight w:val="none"/>
              </w:rPr>
              <w:t>1</w:t>
            </w:r>
          </w:p>
        </w:tc>
        <w:tc>
          <w:tcPr>
            <w:tcW w:w="1677" w:type="dxa"/>
            <w:vAlign w:val="top"/>
          </w:tcPr>
          <w:p w14:paraId="470F51E0">
            <w:pPr>
              <w:pStyle w:val="14"/>
              <w:spacing w:before="51" w:line="222" w:lineRule="auto"/>
              <w:ind w:left="115"/>
              <w:rPr>
                <w:highlight w:val="none"/>
              </w:rPr>
            </w:pPr>
            <w:r>
              <w:rPr>
                <w:spacing w:val="3"/>
                <w:highlight w:val="none"/>
              </w:rPr>
              <w:t>投标文件签署</w:t>
            </w:r>
          </w:p>
        </w:tc>
        <w:tc>
          <w:tcPr>
            <w:tcW w:w="6034" w:type="dxa"/>
            <w:vAlign w:val="top"/>
          </w:tcPr>
          <w:p w14:paraId="67C4CAF6">
            <w:pPr>
              <w:pStyle w:val="14"/>
              <w:spacing w:before="51" w:line="222" w:lineRule="auto"/>
              <w:ind w:left="142"/>
              <w:rPr>
                <w:highlight w:val="none"/>
              </w:rPr>
            </w:pPr>
            <w:r>
              <w:rPr>
                <w:spacing w:val="7"/>
                <w:highlight w:val="none"/>
              </w:rPr>
              <w:t>投标文件按招标文件要求签署、盖章。</w:t>
            </w:r>
          </w:p>
        </w:tc>
        <w:tc>
          <w:tcPr>
            <w:tcW w:w="702" w:type="dxa"/>
            <w:vAlign w:val="top"/>
          </w:tcPr>
          <w:p w14:paraId="38711B53">
            <w:pPr>
              <w:rPr>
                <w:rFonts w:ascii="Arial"/>
                <w:sz w:val="21"/>
                <w:highlight w:val="none"/>
              </w:rPr>
            </w:pPr>
          </w:p>
        </w:tc>
        <w:tc>
          <w:tcPr>
            <w:tcW w:w="902" w:type="dxa"/>
            <w:vAlign w:val="top"/>
          </w:tcPr>
          <w:p w14:paraId="442998EA">
            <w:pPr>
              <w:rPr>
                <w:rFonts w:ascii="Arial"/>
                <w:sz w:val="21"/>
                <w:highlight w:val="none"/>
              </w:rPr>
            </w:pPr>
          </w:p>
        </w:tc>
      </w:tr>
      <w:tr w14:paraId="0231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0" w:type="dxa"/>
            <w:vAlign w:val="top"/>
          </w:tcPr>
          <w:p w14:paraId="7C59C5B7">
            <w:pPr>
              <w:pStyle w:val="14"/>
              <w:spacing w:before="50" w:line="316" w:lineRule="exact"/>
              <w:ind w:left="248"/>
              <w:rPr>
                <w:highlight w:val="none"/>
              </w:rPr>
            </w:pPr>
            <w:r>
              <w:rPr>
                <w:position w:val="1"/>
                <w:highlight w:val="none"/>
              </w:rPr>
              <w:t>2</w:t>
            </w:r>
          </w:p>
        </w:tc>
        <w:tc>
          <w:tcPr>
            <w:tcW w:w="1677" w:type="dxa"/>
            <w:vAlign w:val="top"/>
          </w:tcPr>
          <w:p w14:paraId="6168C745">
            <w:pPr>
              <w:pStyle w:val="14"/>
              <w:spacing w:before="51" w:line="222" w:lineRule="auto"/>
              <w:ind w:left="113"/>
              <w:rPr>
                <w:highlight w:val="none"/>
              </w:rPr>
            </w:pPr>
            <w:r>
              <w:rPr>
                <w:spacing w:val="3"/>
                <w:highlight w:val="none"/>
              </w:rPr>
              <w:t>投标文件格式</w:t>
            </w:r>
          </w:p>
        </w:tc>
        <w:tc>
          <w:tcPr>
            <w:tcW w:w="6034" w:type="dxa"/>
            <w:vAlign w:val="top"/>
          </w:tcPr>
          <w:p w14:paraId="79BFE230">
            <w:pPr>
              <w:pStyle w:val="14"/>
              <w:spacing w:before="51" w:line="222" w:lineRule="auto"/>
              <w:ind w:left="142"/>
              <w:rPr>
                <w:highlight w:val="none"/>
              </w:rPr>
            </w:pPr>
            <w:r>
              <w:rPr>
                <w:spacing w:val="7"/>
                <w:highlight w:val="none"/>
              </w:rPr>
              <w:t>投标文件按照招标文件要求完整提供。</w:t>
            </w:r>
          </w:p>
        </w:tc>
        <w:tc>
          <w:tcPr>
            <w:tcW w:w="702" w:type="dxa"/>
            <w:vAlign w:val="top"/>
          </w:tcPr>
          <w:p w14:paraId="58DAFFDA">
            <w:pPr>
              <w:rPr>
                <w:rFonts w:ascii="Arial"/>
                <w:sz w:val="21"/>
                <w:highlight w:val="none"/>
              </w:rPr>
            </w:pPr>
          </w:p>
        </w:tc>
        <w:tc>
          <w:tcPr>
            <w:tcW w:w="902" w:type="dxa"/>
            <w:vAlign w:val="top"/>
          </w:tcPr>
          <w:p w14:paraId="539B57AA">
            <w:pPr>
              <w:rPr>
                <w:rFonts w:ascii="Arial"/>
                <w:sz w:val="21"/>
                <w:highlight w:val="none"/>
              </w:rPr>
            </w:pPr>
          </w:p>
        </w:tc>
      </w:tr>
      <w:tr w14:paraId="29E1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80" w:type="dxa"/>
            <w:tcBorders>
              <w:bottom w:val="nil"/>
            </w:tcBorders>
            <w:vAlign w:val="top"/>
          </w:tcPr>
          <w:p w14:paraId="0B536867">
            <w:pPr>
              <w:pStyle w:val="14"/>
              <w:spacing w:before="78" w:line="241" w:lineRule="auto"/>
              <w:ind w:left="250"/>
              <w:rPr>
                <w:highlight w:val="none"/>
              </w:rPr>
            </w:pPr>
          </w:p>
          <w:p w14:paraId="12433B60">
            <w:pPr>
              <w:pStyle w:val="14"/>
              <w:spacing w:before="78" w:line="241" w:lineRule="auto"/>
              <w:ind w:left="250"/>
              <w:rPr>
                <w:highlight w:val="none"/>
              </w:rPr>
            </w:pPr>
            <w:r>
              <w:rPr>
                <w:highlight w:val="none"/>
              </w:rPr>
              <w:t>3</w:t>
            </w:r>
          </w:p>
        </w:tc>
        <w:tc>
          <w:tcPr>
            <w:tcW w:w="1677" w:type="dxa"/>
            <w:tcBorders>
              <w:bottom w:val="nil"/>
            </w:tcBorders>
            <w:vAlign w:val="top"/>
          </w:tcPr>
          <w:p w14:paraId="2A0B561C">
            <w:pPr>
              <w:spacing w:line="339" w:lineRule="auto"/>
              <w:rPr>
                <w:rFonts w:ascii="Arial"/>
                <w:sz w:val="21"/>
                <w:highlight w:val="none"/>
              </w:rPr>
            </w:pPr>
          </w:p>
          <w:p w14:paraId="37EFA636">
            <w:pPr>
              <w:pStyle w:val="14"/>
              <w:spacing w:before="78" w:line="220" w:lineRule="auto"/>
              <w:ind w:left="241"/>
              <w:rPr>
                <w:highlight w:val="none"/>
              </w:rPr>
            </w:pPr>
            <w:r>
              <w:rPr>
                <w:spacing w:val="1"/>
                <w:highlight w:val="none"/>
              </w:rPr>
              <w:t>实质性要求</w:t>
            </w:r>
          </w:p>
        </w:tc>
        <w:tc>
          <w:tcPr>
            <w:tcW w:w="6034" w:type="dxa"/>
            <w:vAlign w:val="top"/>
          </w:tcPr>
          <w:p w14:paraId="683ACDED">
            <w:pPr>
              <w:pStyle w:val="14"/>
              <w:spacing w:before="32" w:line="342" w:lineRule="auto"/>
              <w:ind w:left="144" w:right="100" w:hanging="2"/>
              <w:rPr>
                <w:highlight w:val="none"/>
              </w:rPr>
            </w:pPr>
            <w:r>
              <w:rPr>
                <w:spacing w:val="11"/>
                <w:highlight w:val="none"/>
              </w:rPr>
              <w:t>投标文件满足招标文件规定的合同履约期限、合同履</w:t>
            </w:r>
            <w:r>
              <w:rPr>
                <w:spacing w:val="6"/>
                <w:highlight w:val="none"/>
              </w:rPr>
              <w:t>约地点、质量要求、投标有效期。</w:t>
            </w:r>
          </w:p>
        </w:tc>
        <w:tc>
          <w:tcPr>
            <w:tcW w:w="702" w:type="dxa"/>
            <w:vAlign w:val="top"/>
          </w:tcPr>
          <w:p w14:paraId="393CBFF2">
            <w:pPr>
              <w:rPr>
                <w:rFonts w:ascii="Arial"/>
                <w:sz w:val="21"/>
                <w:highlight w:val="none"/>
              </w:rPr>
            </w:pPr>
          </w:p>
        </w:tc>
        <w:tc>
          <w:tcPr>
            <w:tcW w:w="902" w:type="dxa"/>
            <w:vAlign w:val="top"/>
          </w:tcPr>
          <w:p w14:paraId="20ADD9BE">
            <w:pPr>
              <w:rPr>
                <w:rFonts w:ascii="Arial"/>
                <w:sz w:val="21"/>
                <w:highlight w:val="none"/>
              </w:rPr>
            </w:pPr>
          </w:p>
        </w:tc>
      </w:tr>
      <w:tr w14:paraId="771D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480" w:type="dxa"/>
            <w:vAlign w:val="top"/>
          </w:tcPr>
          <w:p w14:paraId="285F7759">
            <w:pPr>
              <w:spacing w:line="420" w:lineRule="auto"/>
              <w:rPr>
                <w:rFonts w:ascii="Arial"/>
                <w:sz w:val="21"/>
                <w:highlight w:val="none"/>
              </w:rPr>
            </w:pPr>
          </w:p>
          <w:p w14:paraId="6A2ED8C9">
            <w:pPr>
              <w:pStyle w:val="14"/>
              <w:spacing w:before="78" w:line="315" w:lineRule="exact"/>
              <w:ind w:left="244"/>
              <w:rPr>
                <w:highlight w:val="none"/>
              </w:rPr>
            </w:pPr>
            <w:r>
              <w:rPr>
                <w:position w:val="1"/>
                <w:highlight w:val="none"/>
              </w:rPr>
              <w:t>4</w:t>
            </w:r>
          </w:p>
        </w:tc>
        <w:tc>
          <w:tcPr>
            <w:tcW w:w="1677" w:type="dxa"/>
            <w:vAlign w:val="top"/>
          </w:tcPr>
          <w:p w14:paraId="28C7C6BB">
            <w:pPr>
              <w:spacing w:line="447" w:lineRule="auto"/>
              <w:rPr>
                <w:rFonts w:ascii="Arial"/>
                <w:sz w:val="21"/>
                <w:highlight w:val="none"/>
              </w:rPr>
            </w:pPr>
          </w:p>
          <w:p w14:paraId="659EA118">
            <w:pPr>
              <w:pStyle w:val="14"/>
              <w:spacing w:before="78" w:line="222" w:lineRule="auto"/>
              <w:ind w:left="360"/>
              <w:rPr>
                <w:highlight w:val="none"/>
              </w:rPr>
            </w:pPr>
            <w:r>
              <w:rPr>
                <w:spacing w:val="1"/>
                <w:highlight w:val="none"/>
              </w:rPr>
              <w:t>投标报价</w:t>
            </w:r>
          </w:p>
        </w:tc>
        <w:tc>
          <w:tcPr>
            <w:tcW w:w="6034" w:type="dxa"/>
            <w:vAlign w:val="top"/>
          </w:tcPr>
          <w:p w14:paraId="51D7B64F">
            <w:pPr>
              <w:pStyle w:val="14"/>
              <w:spacing w:before="36" w:line="347" w:lineRule="auto"/>
              <w:ind w:left="144" w:right="103"/>
              <w:jc w:val="both"/>
              <w:rPr>
                <w:highlight w:val="none"/>
              </w:rPr>
            </w:pPr>
            <w:bookmarkStart w:id="50" w:name="OLE_LINK19"/>
            <w:r>
              <w:rPr>
                <w:b/>
                <w:bCs/>
                <w:spacing w:val="5"/>
                <w:highlight w:val="none"/>
              </w:rPr>
              <w:t>投标报价具有唯一性，未超过采购项目</w:t>
            </w:r>
            <w:r>
              <w:rPr>
                <w:rFonts w:hint="eastAsia"/>
                <w:b/>
                <w:bCs/>
                <w:spacing w:val="5"/>
                <w:highlight w:val="none"/>
              </w:rPr>
              <w:t>最高限价</w:t>
            </w:r>
            <w:r>
              <w:rPr>
                <w:b/>
                <w:bCs/>
                <w:spacing w:val="5"/>
                <w:highlight w:val="none"/>
              </w:rPr>
              <w:t>，本项目不接受选择性报价，对于出现的政采云平台开标唱标环节经</w:t>
            </w:r>
            <w:r>
              <w:rPr>
                <w:rFonts w:hint="eastAsia"/>
                <w:b/>
                <w:bCs/>
                <w:spacing w:val="5"/>
                <w:highlight w:val="none"/>
              </w:rPr>
              <w:t>投标人</w:t>
            </w:r>
            <w:r>
              <w:rPr>
                <w:b/>
                <w:bCs/>
                <w:spacing w:val="5"/>
                <w:highlight w:val="none"/>
              </w:rPr>
              <w:t>确认的投标报价与投标文件中开标一览表的报价不一致的现象，视作选择性报价，将被作为无效投标处理</w:t>
            </w:r>
            <w:bookmarkEnd w:id="50"/>
            <w:r>
              <w:rPr>
                <w:b/>
                <w:bCs/>
                <w:spacing w:val="5"/>
                <w:highlight w:val="none"/>
              </w:rPr>
              <w:t>。</w:t>
            </w:r>
          </w:p>
        </w:tc>
        <w:tc>
          <w:tcPr>
            <w:tcW w:w="702" w:type="dxa"/>
            <w:vAlign w:val="top"/>
          </w:tcPr>
          <w:p w14:paraId="04616E54">
            <w:pPr>
              <w:rPr>
                <w:rFonts w:ascii="Arial"/>
                <w:sz w:val="21"/>
                <w:highlight w:val="none"/>
              </w:rPr>
            </w:pPr>
          </w:p>
        </w:tc>
        <w:tc>
          <w:tcPr>
            <w:tcW w:w="902" w:type="dxa"/>
            <w:vAlign w:val="top"/>
          </w:tcPr>
          <w:p w14:paraId="07A022D3">
            <w:pPr>
              <w:rPr>
                <w:rFonts w:ascii="Arial"/>
                <w:sz w:val="21"/>
                <w:highlight w:val="none"/>
              </w:rPr>
            </w:pPr>
          </w:p>
        </w:tc>
      </w:tr>
      <w:tr w14:paraId="0CFB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80" w:type="dxa"/>
            <w:vAlign w:val="top"/>
          </w:tcPr>
          <w:p w14:paraId="15FF4ED5">
            <w:pPr>
              <w:pStyle w:val="14"/>
              <w:spacing w:before="61" w:line="241" w:lineRule="auto"/>
              <w:ind w:left="250"/>
              <w:rPr>
                <w:highlight w:val="none"/>
              </w:rPr>
            </w:pPr>
            <w:r>
              <w:rPr>
                <w:highlight w:val="none"/>
              </w:rPr>
              <w:t>5</w:t>
            </w:r>
          </w:p>
        </w:tc>
        <w:tc>
          <w:tcPr>
            <w:tcW w:w="1677" w:type="dxa"/>
            <w:vAlign w:val="top"/>
          </w:tcPr>
          <w:p w14:paraId="65FE767F">
            <w:pPr>
              <w:pStyle w:val="14"/>
              <w:spacing w:before="87" w:line="221" w:lineRule="auto"/>
              <w:ind w:left="235"/>
              <w:rPr>
                <w:highlight w:val="none"/>
              </w:rPr>
            </w:pPr>
            <w:r>
              <w:rPr>
                <w:spacing w:val="2"/>
                <w:highlight w:val="none"/>
              </w:rPr>
              <w:t>投标保证金</w:t>
            </w:r>
          </w:p>
        </w:tc>
        <w:tc>
          <w:tcPr>
            <w:tcW w:w="6034" w:type="dxa"/>
            <w:vAlign w:val="top"/>
          </w:tcPr>
          <w:p w14:paraId="4A42A8DA">
            <w:pPr>
              <w:pStyle w:val="14"/>
              <w:spacing w:before="60" w:line="221" w:lineRule="auto"/>
              <w:ind w:left="142"/>
              <w:rPr>
                <w:highlight w:val="none"/>
              </w:rPr>
            </w:pPr>
            <w:r>
              <w:rPr>
                <w:spacing w:val="7"/>
                <w:highlight w:val="none"/>
              </w:rPr>
              <w:t>投标人按招标文件的规定交纳投标保证金的。</w:t>
            </w:r>
          </w:p>
        </w:tc>
        <w:tc>
          <w:tcPr>
            <w:tcW w:w="702" w:type="dxa"/>
            <w:vAlign w:val="top"/>
          </w:tcPr>
          <w:p w14:paraId="274DDDF3">
            <w:pPr>
              <w:rPr>
                <w:rFonts w:ascii="Arial"/>
                <w:sz w:val="21"/>
                <w:highlight w:val="none"/>
              </w:rPr>
            </w:pPr>
          </w:p>
        </w:tc>
        <w:tc>
          <w:tcPr>
            <w:tcW w:w="902" w:type="dxa"/>
            <w:vAlign w:val="top"/>
          </w:tcPr>
          <w:p w14:paraId="618DAE98">
            <w:pPr>
              <w:rPr>
                <w:rFonts w:ascii="Arial"/>
                <w:sz w:val="21"/>
                <w:highlight w:val="none"/>
              </w:rPr>
            </w:pPr>
          </w:p>
        </w:tc>
      </w:tr>
      <w:tr w14:paraId="1F57D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480" w:type="dxa"/>
            <w:vAlign w:val="top"/>
          </w:tcPr>
          <w:p w14:paraId="47A37896">
            <w:pPr>
              <w:spacing w:line="446" w:lineRule="auto"/>
              <w:rPr>
                <w:rFonts w:ascii="Arial"/>
                <w:sz w:val="21"/>
                <w:highlight w:val="none"/>
              </w:rPr>
            </w:pPr>
          </w:p>
          <w:p w14:paraId="4A2FE708">
            <w:pPr>
              <w:pStyle w:val="14"/>
              <w:spacing w:before="78" w:line="241" w:lineRule="auto"/>
              <w:ind w:left="247"/>
              <w:rPr>
                <w:highlight w:val="none"/>
              </w:rPr>
            </w:pPr>
            <w:r>
              <w:rPr>
                <w:highlight w:val="none"/>
              </w:rPr>
              <w:t>6</w:t>
            </w:r>
          </w:p>
        </w:tc>
        <w:tc>
          <w:tcPr>
            <w:tcW w:w="1677" w:type="dxa"/>
            <w:vAlign w:val="top"/>
          </w:tcPr>
          <w:p w14:paraId="0AEC940D">
            <w:pPr>
              <w:pStyle w:val="14"/>
              <w:spacing w:before="88" w:line="222" w:lineRule="auto"/>
              <w:ind w:left="113"/>
              <w:rPr>
                <w:highlight w:val="none"/>
              </w:rPr>
            </w:pPr>
            <w:r>
              <w:rPr>
                <w:spacing w:val="3"/>
                <w:highlight w:val="none"/>
              </w:rPr>
              <w:t>投标文件的澄</w:t>
            </w:r>
          </w:p>
          <w:p w14:paraId="23A3863F">
            <w:pPr>
              <w:pStyle w:val="14"/>
              <w:spacing w:before="176" w:line="222" w:lineRule="auto"/>
              <w:ind w:left="114"/>
              <w:rPr>
                <w:highlight w:val="none"/>
              </w:rPr>
            </w:pPr>
            <w:r>
              <w:rPr>
                <w:spacing w:val="6"/>
                <w:highlight w:val="none"/>
              </w:rPr>
              <w:t>清、说明、补</w:t>
            </w:r>
          </w:p>
          <w:p w14:paraId="67F74B60">
            <w:pPr>
              <w:pStyle w:val="14"/>
              <w:spacing w:before="177" w:line="239" w:lineRule="auto"/>
              <w:ind w:left="731"/>
              <w:rPr>
                <w:highlight w:val="none"/>
              </w:rPr>
            </w:pPr>
            <w:r>
              <w:rPr>
                <w:highlight w:val="none"/>
              </w:rPr>
              <w:t>正</w:t>
            </w:r>
          </w:p>
        </w:tc>
        <w:tc>
          <w:tcPr>
            <w:tcW w:w="6034" w:type="dxa"/>
            <w:vAlign w:val="top"/>
          </w:tcPr>
          <w:p w14:paraId="00EB5879">
            <w:pPr>
              <w:pStyle w:val="14"/>
              <w:spacing w:before="59" w:line="354" w:lineRule="auto"/>
              <w:ind w:left="144" w:right="103"/>
              <w:jc w:val="both"/>
              <w:rPr>
                <w:highlight w:val="none"/>
              </w:rPr>
            </w:pPr>
            <w:r>
              <w:rPr>
                <w:spacing w:val="14"/>
                <w:highlight w:val="none"/>
              </w:rPr>
              <w:t>评审期间</w:t>
            </w:r>
            <w:r>
              <w:rPr>
                <w:spacing w:val="-62"/>
                <w:highlight w:val="none"/>
              </w:rPr>
              <w:t xml:space="preserve"> </w:t>
            </w:r>
            <w:r>
              <w:rPr>
                <w:spacing w:val="14"/>
                <w:highlight w:val="none"/>
              </w:rPr>
              <w:t>,投标人按评标委员会的要求提交经授权代</w:t>
            </w:r>
            <w:r>
              <w:rPr>
                <w:spacing w:val="7"/>
                <w:highlight w:val="none"/>
              </w:rPr>
              <w:t>表签字的澄清</w:t>
            </w:r>
            <w:r>
              <w:rPr>
                <w:spacing w:val="-70"/>
                <w:highlight w:val="none"/>
              </w:rPr>
              <w:t xml:space="preserve"> </w:t>
            </w:r>
            <w:r>
              <w:rPr>
                <w:spacing w:val="7"/>
                <w:highlight w:val="none"/>
              </w:rPr>
              <w:t>、说明</w:t>
            </w:r>
            <w:r>
              <w:rPr>
                <w:spacing w:val="-72"/>
                <w:highlight w:val="none"/>
              </w:rPr>
              <w:t xml:space="preserve"> </w:t>
            </w:r>
            <w:r>
              <w:rPr>
                <w:spacing w:val="7"/>
                <w:highlight w:val="none"/>
              </w:rPr>
              <w:t>、补正或未改变投标文件的实质</w:t>
            </w:r>
            <w:r>
              <w:rPr>
                <w:spacing w:val="-1"/>
                <w:highlight w:val="none"/>
              </w:rPr>
              <w:t>性内容。</w:t>
            </w:r>
          </w:p>
        </w:tc>
        <w:tc>
          <w:tcPr>
            <w:tcW w:w="702" w:type="dxa"/>
            <w:vAlign w:val="top"/>
          </w:tcPr>
          <w:p w14:paraId="2B64F985">
            <w:pPr>
              <w:rPr>
                <w:rFonts w:ascii="Arial"/>
                <w:sz w:val="21"/>
                <w:highlight w:val="none"/>
              </w:rPr>
            </w:pPr>
          </w:p>
        </w:tc>
        <w:tc>
          <w:tcPr>
            <w:tcW w:w="902" w:type="dxa"/>
            <w:vAlign w:val="top"/>
          </w:tcPr>
          <w:p w14:paraId="009599BA">
            <w:pPr>
              <w:rPr>
                <w:rFonts w:ascii="Arial"/>
                <w:sz w:val="21"/>
                <w:highlight w:val="none"/>
              </w:rPr>
            </w:pPr>
          </w:p>
        </w:tc>
      </w:tr>
      <w:tr w14:paraId="020C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480" w:type="dxa"/>
            <w:vAlign w:val="top"/>
          </w:tcPr>
          <w:p w14:paraId="42D79B50">
            <w:pPr>
              <w:pStyle w:val="14"/>
              <w:spacing w:before="209" w:line="241" w:lineRule="auto"/>
              <w:ind w:left="251"/>
              <w:rPr>
                <w:highlight w:val="none"/>
              </w:rPr>
            </w:pPr>
            <w:r>
              <w:rPr>
                <w:highlight w:val="none"/>
              </w:rPr>
              <w:t>7</w:t>
            </w:r>
          </w:p>
        </w:tc>
        <w:tc>
          <w:tcPr>
            <w:tcW w:w="1677" w:type="dxa"/>
            <w:vAlign w:val="top"/>
          </w:tcPr>
          <w:p w14:paraId="38DC269F">
            <w:pPr>
              <w:pStyle w:val="14"/>
              <w:spacing w:before="265" w:line="222" w:lineRule="auto"/>
              <w:ind w:left="113"/>
              <w:rPr>
                <w:highlight w:val="none"/>
              </w:rPr>
            </w:pPr>
            <w:r>
              <w:rPr>
                <w:spacing w:val="3"/>
                <w:highlight w:val="none"/>
              </w:rPr>
              <w:t>投标无效情形</w:t>
            </w:r>
          </w:p>
        </w:tc>
        <w:tc>
          <w:tcPr>
            <w:tcW w:w="6034" w:type="dxa"/>
            <w:vAlign w:val="top"/>
          </w:tcPr>
          <w:p w14:paraId="4530ACCF">
            <w:pPr>
              <w:pStyle w:val="14"/>
              <w:spacing w:before="37" w:line="222" w:lineRule="auto"/>
              <w:ind w:left="146"/>
              <w:rPr>
                <w:highlight w:val="none"/>
              </w:rPr>
            </w:pPr>
            <w:r>
              <w:rPr>
                <w:spacing w:val="10"/>
                <w:highlight w:val="none"/>
              </w:rPr>
              <w:t>没有“</w:t>
            </w:r>
            <w:r>
              <w:rPr>
                <w:spacing w:val="-73"/>
                <w:highlight w:val="none"/>
              </w:rPr>
              <w:t xml:space="preserve"> </w:t>
            </w:r>
            <w:r>
              <w:rPr>
                <w:spacing w:val="10"/>
                <w:highlight w:val="none"/>
              </w:rPr>
              <w:t>第五章</w:t>
            </w:r>
            <w:r>
              <w:rPr>
                <w:spacing w:val="52"/>
                <w:highlight w:val="none"/>
              </w:rPr>
              <w:t xml:space="preserve"> </w:t>
            </w:r>
            <w:r>
              <w:rPr>
                <w:spacing w:val="10"/>
                <w:highlight w:val="none"/>
              </w:rPr>
              <w:t>评标方法及标准</w:t>
            </w:r>
            <w:r>
              <w:rPr>
                <w:spacing w:val="-68"/>
                <w:highlight w:val="none"/>
              </w:rPr>
              <w:t xml:space="preserve"> </w:t>
            </w:r>
            <w:r>
              <w:rPr>
                <w:spacing w:val="10"/>
                <w:highlight w:val="none"/>
              </w:rPr>
              <w:t>”第21条情形之一的</w:t>
            </w:r>
          </w:p>
          <w:p w14:paraId="3E54B889">
            <w:pPr>
              <w:pStyle w:val="14"/>
              <w:spacing w:before="277" w:line="115" w:lineRule="exact"/>
              <w:ind w:left="161"/>
              <w:rPr>
                <w:highlight w:val="none"/>
              </w:rPr>
            </w:pPr>
            <w:r>
              <w:rPr>
                <w:position w:val="2"/>
                <w:highlight w:val="none"/>
              </w:rPr>
              <w:t>。</w:t>
            </w:r>
          </w:p>
        </w:tc>
        <w:tc>
          <w:tcPr>
            <w:tcW w:w="702" w:type="dxa"/>
            <w:vAlign w:val="top"/>
          </w:tcPr>
          <w:p w14:paraId="5B4A8659">
            <w:pPr>
              <w:rPr>
                <w:rFonts w:ascii="Arial"/>
                <w:sz w:val="21"/>
                <w:highlight w:val="none"/>
              </w:rPr>
            </w:pPr>
          </w:p>
        </w:tc>
        <w:tc>
          <w:tcPr>
            <w:tcW w:w="902" w:type="dxa"/>
            <w:vAlign w:val="top"/>
          </w:tcPr>
          <w:p w14:paraId="7C99105A">
            <w:pPr>
              <w:rPr>
                <w:rFonts w:ascii="Arial"/>
                <w:sz w:val="21"/>
                <w:highlight w:val="none"/>
              </w:rPr>
            </w:pPr>
          </w:p>
        </w:tc>
      </w:tr>
      <w:tr w14:paraId="5627C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80" w:type="dxa"/>
            <w:vAlign w:val="top"/>
          </w:tcPr>
          <w:p w14:paraId="7EDFDF59">
            <w:pPr>
              <w:pStyle w:val="14"/>
              <w:spacing w:before="63" w:line="241" w:lineRule="auto"/>
              <w:ind w:left="246"/>
              <w:rPr>
                <w:highlight w:val="none"/>
              </w:rPr>
            </w:pPr>
            <w:r>
              <w:rPr>
                <w:highlight w:val="none"/>
              </w:rPr>
              <w:t>8</w:t>
            </w:r>
          </w:p>
        </w:tc>
        <w:tc>
          <w:tcPr>
            <w:tcW w:w="1677" w:type="dxa"/>
            <w:vAlign w:val="top"/>
          </w:tcPr>
          <w:p w14:paraId="2BEC970C">
            <w:pPr>
              <w:pStyle w:val="14"/>
              <w:spacing w:before="90" w:line="222" w:lineRule="auto"/>
              <w:ind w:left="371"/>
              <w:rPr>
                <w:highlight w:val="none"/>
              </w:rPr>
            </w:pPr>
            <w:r>
              <w:rPr>
                <w:spacing w:val="-2"/>
                <w:highlight w:val="none"/>
              </w:rPr>
              <w:t>附加条件</w:t>
            </w:r>
          </w:p>
        </w:tc>
        <w:tc>
          <w:tcPr>
            <w:tcW w:w="6034" w:type="dxa"/>
            <w:vAlign w:val="top"/>
          </w:tcPr>
          <w:p w14:paraId="184E1626">
            <w:pPr>
              <w:pStyle w:val="14"/>
              <w:spacing w:before="63" w:line="222" w:lineRule="auto"/>
              <w:ind w:left="142"/>
              <w:rPr>
                <w:highlight w:val="none"/>
              </w:rPr>
            </w:pPr>
            <w:r>
              <w:rPr>
                <w:spacing w:val="7"/>
                <w:highlight w:val="none"/>
              </w:rPr>
              <w:t>投标文件没有采购人不能接受的附加条件的。</w:t>
            </w:r>
          </w:p>
        </w:tc>
        <w:tc>
          <w:tcPr>
            <w:tcW w:w="702" w:type="dxa"/>
            <w:vAlign w:val="top"/>
          </w:tcPr>
          <w:p w14:paraId="1D915498">
            <w:pPr>
              <w:rPr>
                <w:rFonts w:ascii="Arial"/>
                <w:sz w:val="21"/>
                <w:highlight w:val="none"/>
              </w:rPr>
            </w:pPr>
          </w:p>
        </w:tc>
        <w:tc>
          <w:tcPr>
            <w:tcW w:w="902" w:type="dxa"/>
            <w:vAlign w:val="top"/>
          </w:tcPr>
          <w:p w14:paraId="74B335D5">
            <w:pPr>
              <w:rPr>
                <w:rFonts w:ascii="Arial"/>
                <w:sz w:val="21"/>
                <w:highlight w:val="none"/>
              </w:rPr>
            </w:pPr>
          </w:p>
        </w:tc>
      </w:tr>
      <w:tr w14:paraId="5FB0F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0" w:type="dxa"/>
            <w:vAlign w:val="top"/>
          </w:tcPr>
          <w:p w14:paraId="61289305">
            <w:pPr>
              <w:pStyle w:val="14"/>
              <w:spacing w:before="272" w:line="241" w:lineRule="auto"/>
              <w:ind w:left="246"/>
              <w:rPr>
                <w:highlight w:val="none"/>
              </w:rPr>
            </w:pPr>
            <w:r>
              <w:rPr>
                <w:highlight w:val="none"/>
              </w:rPr>
              <w:t>9</w:t>
            </w:r>
          </w:p>
        </w:tc>
        <w:tc>
          <w:tcPr>
            <w:tcW w:w="1677" w:type="dxa"/>
            <w:vAlign w:val="top"/>
          </w:tcPr>
          <w:p w14:paraId="5030D010">
            <w:pPr>
              <w:pStyle w:val="14"/>
              <w:spacing w:before="296" w:line="222" w:lineRule="auto"/>
              <w:ind w:left="115"/>
              <w:rPr>
                <w:highlight w:val="none"/>
              </w:rPr>
            </w:pPr>
            <w:r>
              <w:rPr>
                <w:spacing w:val="3"/>
                <w:highlight w:val="none"/>
              </w:rPr>
              <w:t>其他无效情形</w:t>
            </w:r>
          </w:p>
        </w:tc>
        <w:tc>
          <w:tcPr>
            <w:tcW w:w="6034" w:type="dxa"/>
            <w:vAlign w:val="top"/>
          </w:tcPr>
          <w:p w14:paraId="505EAE94">
            <w:pPr>
              <w:pStyle w:val="14"/>
              <w:spacing w:before="39" w:line="222" w:lineRule="auto"/>
              <w:ind w:left="146"/>
              <w:rPr>
                <w:highlight w:val="none"/>
              </w:rPr>
            </w:pPr>
            <w:r>
              <w:rPr>
                <w:spacing w:val="11"/>
                <w:highlight w:val="none"/>
              </w:rPr>
              <w:t>没有法律、法规、规章规定属于投标无效的其他情形</w:t>
            </w:r>
          </w:p>
          <w:p w14:paraId="01AD5941">
            <w:pPr>
              <w:spacing w:line="258" w:lineRule="auto"/>
              <w:rPr>
                <w:rFonts w:ascii="Arial"/>
                <w:sz w:val="21"/>
                <w:highlight w:val="none"/>
              </w:rPr>
            </w:pPr>
          </w:p>
          <w:p w14:paraId="6C0DE52C">
            <w:pPr>
              <w:pStyle w:val="14"/>
              <w:spacing w:before="78" w:line="115" w:lineRule="exact"/>
              <w:ind w:left="161"/>
              <w:rPr>
                <w:highlight w:val="none"/>
              </w:rPr>
            </w:pPr>
            <w:r>
              <w:rPr>
                <w:position w:val="2"/>
                <w:highlight w:val="none"/>
              </w:rPr>
              <w:t>。</w:t>
            </w:r>
          </w:p>
        </w:tc>
        <w:tc>
          <w:tcPr>
            <w:tcW w:w="702" w:type="dxa"/>
            <w:vAlign w:val="top"/>
          </w:tcPr>
          <w:p w14:paraId="4CB0AE5A">
            <w:pPr>
              <w:rPr>
                <w:rFonts w:ascii="Arial"/>
                <w:sz w:val="21"/>
                <w:highlight w:val="none"/>
              </w:rPr>
            </w:pPr>
          </w:p>
        </w:tc>
        <w:tc>
          <w:tcPr>
            <w:tcW w:w="902" w:type="dxa"/>
            <w:vAlign w:val="top"/>
          </w:tcPr>
          <w:p w14:paraId="7CF7EE25">
            <w:pPr>
              <w:rPr>
                <w:rFonts w:ascii="Arial"/>
                <w:sz w:val="21"/>
                <w:highlight w:val="none"/>
              </w:rPr>
            </w:pPr>
          </w:p>
        </w:tc>
      </w:tr>
    </w:tbl>
    <w:p w14:paraId="1F3A8CF8">
      <w:pPr>
        <w:rPr>
          <w:rFonts w:ascii="Arial"/>
          <w:sz w:val="21"/>
          <w:highlight w:val="none"/>
        </w:rPr>
      </w:pPr>
    </w:p>
    <w:p w14:paraId="2E96D3D7">
      <w:pPr>
        <w:pStyle w:val="6"/>
        <w:spacing w:before="45" w:line="204" w:lineRule="auto"/>
        <w:ind w:left="389"/>
        <w:outlineLvl w:val="2"/>
        <w:rPr>
          <w:sz w:val="24"/>
          <w:szCs w:val="24"/>
          <w:highlight w:val="none"/>
        </w:rPr>
      </w:pPr>
      <w:r>
        <w:rPr>
          <w:b/>
          <w:bCs/>
          <w:spacing w:val="-10"/>
          <w:sz w:val="24"/>
          <w:szCs w:val="24"/>
          <w:highlight w:val="none"/>
        </w:rPr>
        <w:br w:type="page"/>
      </w:r>
      <w:r>
        <w:rPr>
          <w:b/>
          <w:bCs/>
          <w:spacing w:val="-10"/>
          <w:sz w:val="24"/>
          <w:szCs w:val="24"/>
          <w:highlight w:val="none"/>
        </w:rPr>
        <w:t>（二）评分标准</w:t>
      </w:r>
    </w:p>
    <w:p w14:paraId="34D075FF">
      <w:pPr>
        <w:spacing w:line="110" w:lineRule="auto"/>
        <w:rPr>
          <w:rFonts w:hint="eastAsia" w:ascii="Arial" w:eastAsia="宋体"/>
          <w:sz w:val="2"/>
          <w:highlight w:val="none"/>
          <w:lang w:eastAsia="zh-CN"/>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44"/>
        <w:gridCol w:w="1124"/>
        <w:gridCol w:w="879"/>
        <w:gridCol w:w="5156"/>
      </w:tblGrid>
      <w:tr w14:paraId="477E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4" w:type="pct"/>
            <w:shd w:val="clear" w:color="auto" w:fill="D8D8D8"/>
            <w:noWrap/>
            <w:vAlign w:val="center"/>
          </w:tcPr>
          <w:p w14:paraId="33196109">
            <w:pPr>
              <w:jc w:val="center"/>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序号</w:t>
            </w:r>
          </w:p>
        </w:tc>
        <w:tc>
          <w:tcPr>
            <w:tcW w:w="695" w:type="pct"/>
            <w:shd w:val="clear" w:color="auto" w:fill="D8D8D8"/>
            <w:noWrap/>
            <w:vAlign w:val="center"/>
          </w:tcPr>
          <w:p w14:paraId="0BA8BB6C">
            <w:pPr>
              <w:jc w:val="center"/>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评分项目</w:t>
            </w:r>
          </w:p>
        </w:tc>
        <w:tc>
          <w:tcPr>
            <w:tcW w:w="628" w:type="pct"/>
            <w:shd w:val="clear" w:color="auto" w:fill="D8D8D8"/>
            <w:noWrap/>
            <w:vAlign w:val="center"/>
          </w:tcPr>
          <w:p w14:paraId="57BC6AFF">
            <w:pPr>
              <w:jc w:val="center"/>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评分因素</w:t>
            </w:r>
          </w:p>
        </w:tc>
        <w:tc>
          <w:tcPr>
            <w:tcW w:w="491" w:type="pct"/>
            <w:shd w:val="clear" w:color="auto" w:fill="D8D8D8"/>
            <w:noWrap w:val="0"/>
            <w:vAlign w:val="center"/>
          </w:tcPr>
          <w:p w14:paraId="17162477">
            <w:pPr>
              <w:jc w:val="center"/>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分值（100分）</w:t>
            </w:r>
          </w:p>
        </w:tc>
        <w:tc>
          <w:tcPr>
            <w:tcW w:w="2880" w:type="pct"/>
            <w:shd w:val="clear" w:color="auto" w:fill="D8D8D8"/>
            <w:noWrap w:val="0"/>
            <w:vAlign w:val="center"/>
          </w:tcPr>
          <w:p w14:paraId="151164A3">
            <w:pPr>
              <w:jc w:val="center"/>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评审标准</w:t>
            </w:r>
          </w:p>
        </w:tc>
      </w:tr>
      <w:tr w14:paraId="6258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4" w:type="pct"/>
            <w:shd w:val="clear" w:color="auto" w:fill="auto"/>
            <w:noWrap w:val="0"/>
            <w:vAlign w:val="center"/>
          </w:tcPr>
          <w:p w14:paraId="7D3A6A4A">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95" w:type="pct"/>
            <w:shd w:val="clear" w:color="auto" w:fill="auto"/>
            <w:noWrap w:val="0"/>
            <w:vAlign w:val="center"/>
          </w:tcPr>
          <w:p w14:paraId="5C85EA72">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价格部分（30分）</w:t>
            </w:r>
          </w:p>
        </w:tc>
        <w:tc>
          <w:tcPr>
            <w:tcW w:w="628" w:type="pct"/>
            <w:shd w:val="clear" w:color="auto" w:fill="auto"/>
            <w:noWrap w:val="0"/>
            <w:vAlign w:val="center"/>
          </w:tcPr>
          <w:p w14:paraId="1F9A5175">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投标报价</w:t>
            </w:r>
          </w:p>
        </w:tc>
        <w:tc>
          <w:tcPr>
            <w:tcW w:w="491" w:type="pct"/>
            <w:shd w:val="clear" w:color="auto" w:fill="auto"/>
            <w:noWrap/>
            <w:vAlign w:val="center"/>
          </w:tcPr>
          <w:p w14:paraId="05EF1B39">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30分</w:t>
            </w:r>
          </w:p>
        </w:tc>
        <w:tc>
          <w:tcPr>
            <w:tcW w:w="2880" w:type="pct"/>
            <w:shd w:val="clear" w:color="auto" w:fill="FFFFFF"/>
            <w:noWrap w:val="0"/>
            <w:vAlign w:val="top"/>
          </w:tcPr>
          <w:p w14:paraId="15ABDD8F">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价格分采用低价优先法计算，即满足本招标文件要求的最低投标报价为评标基准价，其价格分为满分，其他投标人的价格分统一按照下列公式计算：</w:t>
            </w:r>
          </w:p>
          <w:p w14:paraId="6F5A7A29">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投标报价得分=（评标基准价／投标报价）×价格分分值（精确到小数点后两位）。</w:t>
            </w:r>
          </w:p>
          <w:p w14:paraId="7ACA45EA">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超过了采购项目预算或最高限价的，为无效投标。</w:t>
            </w:r>
          </w:p>
        </w:tc>
      </w:tr>
      <w:tr w14:paraId="413C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04" w:type="pct"/>
            <w:shd w:val="clear" w:color="auto" w:fill="auto"/>
            <w:noWrap w:val="0"/>
            <w:vAlign w:val="center"/>
          </w:tcPr>
          <w:p w14:paraId="058E90D3">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95" w:type="pct"/>
            <w:shd w:val="clear" w:color="auto" w:fill="auto"/>
            <w:noWrap w:val="0"/>
            <w:vAlign w:val="center"/>
          </w:tcPr>
          <w:p w14:paraId="4F187E2F">
            <w:pPr>
              <w:ind w:left="210" w:hanging="240" w:hanging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商务部分</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(10分)</w:t>
            </w:r>
          </w:p>
        </w:tc>
        <w:tc>
          <w:tcPr>
            <w:tcW w:w="628" w:type="pct"/>
            <w:shd w:val="clear" w:color="auto" w:fill="auto"/>
            <w:noWrap w:val="0"/>
            <w:vAlign w:val="center"/>
          </w:tcPr>
          <w:p w14:paraId="52DB24CF">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案例经验</w:t>
            </w:r>
          </w:p>
        </w:tc>
        <w:tc>
          <w:tcPr>
            <w:tcW w:w="491" w:type="pct"/>
            <w:shd w:val="clear" w:color="auto" w:fill="FFFFFF"/>
            <w:noWrap/>
            <w:vAlign w:val="center"/>
          </w:tcPr>
          <w:p w14:paraId="0877B7A9">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2880" w:type="pct"/>
            <w:shd w:val="clear" w:color="auto" w:fill="FFFFFF"/>
            <w:noWrap w:val="0"/>
            <w:vAlign w:val="center"/>
          </w:tcPr>
          <w:p w14:paraId="72CB0CF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近三年（2023年3月1日－至今）类似项目业绩，提供1项得2分，最多得10分（须提供采购合同复印件和验收报告（如验收结果为不合格或不通过等表述则不得对应分值）并加盖公章。有效业绩认定以合同签订或中标（成交）通知书时间为准）。</w:t>
            </w:r>
          </w:p>
        </w:tc>
      </w:tr>
      <w:tr w14:paraId="2981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304" w:type="pct"/>
            <w:vMerge w:val="restart"/>
            <w:noWrap w:val="0"/>
            <w:vAlign w:val="center"/>
          </w:tcPr>
          <w:p w14:paraId="293C65EE">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95" w:type="pct"/>
            <w:vMerge w:val="restart"/>
            <w:noWrap w:val="0"/>
            <w:vAlign w:val="center"/>
          </w:tcPr>
          <w:p w14:paraId="4884AC50">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技术部分(60分)</w:t>
            </w:r>
          </w:p>
        </w:tc>
        <w:tc>
          <w:tcPr>
            <w:tcW w:w="628" w:type="pct"/>
            <w:noWrap w:val="0"/>
            <w:vAlign w:val="center"/>
          </w:tcPr>
          <w:p w14:paraId="57D52DA9">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对投标文件技术规格要求的响应程度</w:t>
            </w:r>
          </w:p>
        </w:tc>
        <w:tc>
          <w:tcPr>
            <w:tcW w:w="491" w:type="pct"/>
            <w:noWrap w:val="0"/>
            <w:vAlign w:val="center"/>
          </w:tcPr>
          <w:p w14:paraId="2B80A1B7">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20分</w:t>
            </w:r>
          </w:p>
        </w:tc>
        <w:tc>
          <w:tcPr>
            <w:tcW w:w="2880" w:type="pct"/>
            <w:noWrap w:val="0"/>
            <w:vAlign w:val="center"/>
          </w:tcPr>
          <w:p w14:paraId="74A2EA0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2"/>
                <w:sz w:val="24"/>
                <w:szCs w:val="24"/>
                <w:highlight w:val="none"/>
                <w:lang w:val="en-US" w:eastAsia="zh-CN" w:bidi="ar-SA"/>
              </w:rPr>
            </w:pPr>
            <w:r>
              <w:rPr>
                <w:rFonts w:hint="eastAsia" w:ascii="仿宋" w:hAnsi="仿宋" w:eastAsia="仿宋" w:cs="仿宋"/>
                <w:snapToGrid w:val="0"/>
                <w:color w:val="000000"/>
                <w:kern w:val="2"/>
                <w:sz w:val="24"/>
                <w:szCs w:val="24"/>
                <w:highlight w:val="none"/>
                <w:lang w:val="en-US" w:eastAsia="zh-CN" w:bidi="ar-SA"/>
              </w:rPr>
              <w:t>所投货物的性能、特点满足采购需求，技术参数全部满足得20分，标★为实质性要求，标▲技术指标为重要参数，未标▲为一般参数，重要参数每出现 1 项负偏离扣 1分；≥8项及以上，本项直接计 0 分；一般参数每出现 1项负偏离扣 0.5分，负偏离≥10项，本项直接计 0 分；</w:t>
            </w:r>
          </w:p>
          <w:p w14:paraId="04E5992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2"/>
                <w:sz w:val="24"/>
                <w:szCs w:val="24"/>
                <w:highlight w:val="none"/>
                <w:lang w:val="en-US" w:eastAsia="zh-CN" w:bidi="ar-SA"/>
              </w:rPr>
            </w:pPr>
            <w:r>
              <w:rPr>
                <w:rFonts w:hint="eastAsia" w:ascii="仿宋" w:hAnsi="仿宋" w:eastAsia="仿宋" w:cs="仿宋"/>
                <w:snapToGrid w:val="0"/>
                <w:color w:val="000000"/>
                <w:kern w:val="2"/>
                <w:sz w:val="24"/>
                <w:szCs w:val="24"/>
                <w:highlight w:val="none"/>
                <w:lang w:val="en-US" w:eastAsia="zh-CN" w:bidi="ar-SA"/>
              </w:rPr>
              <w:t>注：投标人须对本招标文件技术要求进行点对点应答，必须在引用本招标文件技术参数的基础上，进行逐条逐项答复、说明和解释。采购需求中要求提供</w:t>
            </w:r>
            <w:bookmarkStart w:id="53" w:name="_GoBack"/>
            <w:bookmarkEnd w:id="53"/>
            <w:r>
              <w:rPr>
                <w:rFonts w:hint="eastAsia" w:ascii="仿宋" w:hAnsi="仿宋" w:eastAsia="仿宋" w:cs="仿宋"/>
                <w:snapToGrid w:val="0"/>
                <w:color w:val="000000"/>
                <w:kern w:val="2"/>
                <w:sz w:val="24"/>
                <w:szCs w:val="24"/>
                <w:highlight w:val="none"/>
                <w:lang w:val="en-US" w:eastAsia="zh-CN" w:bidi="ar-SA"/>
              </w:rPr>
              <w:t>检测报告的，投标人必须提供所投货物对应的证明材料及质量检测报告，若未提供有效证明材料则该参数将被视为负偏离。</w:t>
            </w:r>
          </w:p>
        </w:tc>
      </w:tr>
      <w:tr w14:paraId="7DA1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304" w:type="pct"/>
            <w:vMerge w:val="continue"/>
            <w:noWrap w:val="0"/>
            <w:vAlign w:val="center"/>
          </w:tcPr>
          <w:p w14:paraId="7100A983">
            <w:pPr>
              <w:rPr>
                <w:rFonts w:hint="eastAsia" w:ascii="仿宋" w:hAnsi="仿宋" w:eastAsia="仿宋" w:cs="仿宋"/>
                <w:kern w:val="2"/>
                <w:sz w:val="24"/>
                <w:szCs w:val="24"/>
                <w:highlight w:val="none"/>
                <w:lang w:val="en-US" w:eastAsia="zh-CN" w:bidi="ar-SA"/>
              </w:rPr>
            </w:pPr>
          </w:p>
        </w:tc>
        <w:tc>
          <w:tcPr>
            <w:tcW w:w="695" w:type="pct"/>
            <w:vMerge w:val="continue"/>
            <w:noWrap w:val="0"/>
            <w:vAlign w:val="center"/>
          </w:tcPr>
          <w:p w14:paraId="5E6A4D4E">
            <w:pPr>
              <w:rPr>
                <w:rFonts w:hint="eastAsia" w:ascii="仿宋" w:hAnsi="仿宋" w:eastAsia="仿宋" w:cs="仿宋"/>
                <w:kern w:val="2"/>
                <w:sz w:val="24"/>
                <w:szCs w:val="24"/>
                <w:highlight w:val="none"/>
                <w:lang w:val="en-US" w:eastAsia="zh-CN" w:bidi="ar-SA"/>
              </w:rPr>
            </w:pPr>
          </w:p>
        </w:tc>
        <w:tc>
          <w:tcPr>
            <w:tcW w:w="628" w:type="pct"/>
            <w:noWrap w:val="0"/>
            <w:vAlign w:val="center"/>
          </w:tcPr>
          <w:p w14:paraId="779AA384">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项目管理方案</w:t>
            </w:r>
          </w:p>
        </w:tc>
        <w:tc>
          <w:tcPr>
            <w:tcW w:w="491" w:type="pct"/>
            <w:noWrap w:val="0"/>
            <w:vAlign w:val="center"/>
          </w:tcPr>
          <w:p w14:paraId="11FC5641">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2880" w:type="pct"/>
            <w:noWrap w:val="0"/>
            <w:vAlign w:val="center"/>
          </w:tcPr>
          <w:p w14:paraId="7E1AEFD6">
            <w:pPr>
              <w:keepNext w:val="0"/>
              <w:keepLines w:val="0"/>
              <w:widowControl/>
              <w:suppressLineNumbers w:val="0"/>
              <w:spacing w:line="240" w:lineRule="auto"/>
              <w:jc w:val="left"/>
              <w:rPr>
                <w:rFonts w:hint="eastAsia" w:ascii="仿宋" w:hAnsi="仿宋" w:eastAsia="仿宋" w:cs="仿宋"/>
                <w:snapToGrid w:val="0"/>
                <w:color w:val="auto"/>
                <w:kern w:val="2"/>
                <w:sz w:val="24"/>
                <w:szCs w:val="24"/>
                <w:highlight w:val="none"/>
                <w:u w:val="none"/>
                <w:lang w:val="en-US" w:eastAsia="zh-CN" w:bidi="ar-SA"/>
              </w:rPr>
            </w:pPr>
            <w:r>
              <w:rPr>
                <w:rFonts w:hint="eastAsia" w:ascii="仿宋" w:hAnsi="仿宋" w:eastAsia="仿宋" w:cs="仿宋"/>
                <w:snapToGrid w:val="0"/>
                <w:color w:val="auto"/>
                <w:kern w:val="2"/>
                <w:sz w:val="24"/>
                <w:szCs w:val="24"/>
                <w:highlight w:val="none"/>
                <w:u w:val="none"/>
                <w:lang w:val="en-US" w:eastAsia="zh-CN" w:bidi="ar-SA"/>
              </w:rPr>
              <w:t>投标单位所提方案：1、项目可能出现的风险及解决措施方案，2、环境管理方案。</w:t>
            </w:r>
          </w:p>
          <w:p w14:paraId="4563EA6C">
            <w:pPr>
              <w:keepNext w:val="0"/>
              <w:keepLines w:val="0"/>
              <w:widowControl/>
              <w:suppressLineNumbers w:val="0"/>
              <w:spacing w:line="240" w:lineRule="auto"/>
              <w:jc w:val="left"/>
              <w:rPr>
                <w:rFonts w:hint="eastAsia" w:ascii="仿宋" w:hAnsi="仿宋" w:eastAsia="仿宋" w:cs="仿宋"/>
                <w:snapToGrid w:val="0"/>
                <w:color w:val="auto"/>
                <w:kern w:val="2"/>
                <w:sz w:val="24"/>
                <w:szCs w:val="24"/>
                <w:highlight w:val="none"/>
                <w:u w:val="none"/>
                <w:lang w:val="en-US" w:eastAsia="zh-CN" w:bidi="ar-SA"/>
              </w:rPr>
            </w:pPr>
            <w:r>
              <w:rPr>
                <w:rFonts w:hint="eastAsia" w:ascii="仿宋" w:hAnsi="仿宋" w:eastAsia="仿宋" w:cs="仿宋"/>
                <w:snapToGrid w:val="0"/>
                <w:color w:val="auto"/>
                <w:kern w:val="2"/>
                <w:sz w:val="24"/>
                <w:szCs w:val="24"/>
                <w:highlight w:val="none"/>
                <w:u w:val="none"/>
                <w:lang w:val="en-US" w:eastAsia="zh-CN" w:bidi="ar-SA"/>
              </w:rPr>
              <w:t xml:space="preserve">上述方案每项5分，方案均提供且无缺陷得10分；每缺一项扣5分；每有一处缺陷扣2.5分扣完为止（每小项最多扣5分）。 </w:t>
            </w:r>
          </w:p>
          <w:p w14:paraId="7A797FB3">
            <w:pPr>
              <w:keepNext w:val="0"/>
              <w:keepLines w:val="0"/>
              <w:widowControl/>
              <w:suppressLineNumbers w:val="0"/>
              <w:spacing w:line="240" w:lineRule="auto"/>
              <w:jc w:val="left"/>
              <w:rPr>
                <w:rFonts w:hint="eastAsia" w:ascii="仿宋" w:hAnsi="仿宋" w:eastAsia="仿宋" w:cs="仿宋"/>
                <w:snapToGrid w:val="0"/>
                <w:color w:val="000000"/>
                <w:kern w:val="2"/>
                <w:sz w:val="24"/>
                <w:szCs w:val="24"/>
                <w:highlight w:val="none"/>
                <w:lang w:val="en-US" w:eastAsia="zh-CN" w:bidi="ar-SA"/>
              </w:rPr>
            </w:pPr>
            <w:r>
              <w:rPr>
                <w:rFonts w:hint="eastAsia" w:ascii="仿宋" w:hAnsi="仿宋" w:eastAsia="仿宋" w:cs="仿宋"/>
                <w:snapToGrid w:val="0"/>
                <w:color w:val="auto"/>
                <w:kern w:val="2"/>
                <w:sz w:val="24"/>
                <w:szCs w:val="24"/>
                <w:highlight w:val="none"/>
                <w:u w:val="none"/>
                <w:lang w:val="en-US" w:eastAsia="zh-CN" w:bidi="ar-SA"/>
              </w:rPr>
              <w:t>备注：缺陷是指：“（1）内容仅有标题或框架缺乏具体说明阐述；（2）内容不符合国家、地方、行业标准以及项目特点或语言、项目名称、实施地点错误；（3）方案存在明显抄袭、套用其他地区及项目的内容；（4）方案存在不适用该项目实际情况的情形、存在凭空编造、内容前后不一致、前后逻辑错误、地点区域错误、内容不清晰粗糙笼统、无针对性或内容违反相关法律法规要求”的任意一种情形。</w:t>
            </w:r>
          </w:p>
        </w:tc>
      </w:tr>
      <w:tr w14:paraId="4D4F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04" w:type="pct"/>
            <w:vMerge w:val="continue"/>
            <w:noWrap w:val="0"/>
            <w:vAlign w:val="center"/>
          </w:tcPr>
          <w:p w14:paraId="7D614DCC">
            <w:pPr>
              <w:rPr>
                <w:rFonts w:hint="eastAsia" w:ascii="仿宋" w:hAnsi="仿宋" w:eastAsia="仿宋" w:cs="仿宋"/>
                <w:kern w:val="2"/>
                <w:sz w:val="24"/>
                <w:szCs w:val="24"/>
                <w:highlight w:val="none"/>
                <w:lang w:val="en-US" w:eastAsia="zh-CN" w:bidi="ar-SA"/>
              </w:rPr>
            </w:pPr>
          </w:p>
        </w:tc>
        <w:tc>
          <w:tcPr>
            <w:tcW w:w="695" w:type="pct"/>
            <w:vMerge w:val="continue"/>
            <w:noWrap w:val="0"/>
            <w:vAlign w:val="center"/>
          </w:tcPr>
          <w:p w14:paraId="7D3D52C6">
            <w:pPr>
              <w:rPr>
                <w:rFonts w:hint="eastAsia" w:ascii="仿宋" w:hAnsi="仿宋" w:eastAsia="仿宋" w:cs="仿宋"/>
                <w:kern w:val="2"/>
                <w:sz w:val="24"/>
                <w:szCs w:val="24"/>
                <w:highlight w:val="none"/>
                <w:lang w:val="en-US" w:eastAsia="zh-CN" w:bidi="ar-SA"/>
              </w:rPr>
            </w:pPr>
          </w:p>
        </w:tc>
        <w:tc>
          <w:tcPr>
            <w:tcW w:w="628" w:type="pct"/>
            <w:noWrap w:val="0"/>
            <w:vAlign w:val="center"/>
          </w:tcPr>
          <w:p w14:paraId="5309A9DF">
            <w:pPr>
              <w:keepNext w:val="0"/>
              <w:keepLines w:val="0"/>
              <w:widowControl/>
              <w:suppressLineNumbers w:val="0"/>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产品质量保证方案</w:t>
            </w:r>
          </w:p>
        </w:tc>
        <w:tc>
          <w:tcPr>
            <w:tcW w:w="491" w:type="pct"/>
            <w:noWrap w:val="0"/>
            <w:vAlign w:val="center"/>
          </w:tcPr>
          <w:p w14:paraId="021FA5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15分</w:t>
            </w:r>
          </w:p>
        </w:tc>
        <w:tc>
          <w:tcPr>
            <w:tcW w:w="2880" w:type="pct"/>
            <w:noWrap w:val="0"/>
            <w:vAlign w:val="center"/>
          </w:tcPr>
          <w:p w14:paraId="249C951E">
            <w:pPr>
              <w:keepNext w:val="0"/>
              <w:keepLines w:val="0"/>
              <w:widowControl/>
              <w:suppressLineNumbers w:val="0"/>
              <w:spacing w:line="240" w:lineRule="auto"/>
              <w:jc w:val="left"/>
              <w:rPr>
                <w:rFonts w:hint="eastAsia" w:ascii="仿宋" w:hAnsi="仿宋" w:eastAsia="仿宋" w:cs="仿宋"/>
                <w:snapToGrid w:val="0"/>
                <w:color w:val="auto"/>
                <w:kern w:val="2"/>
                <w:sz w:val="24"/>
                <w:szCs w:val="24"/>
                <w:highlight w:val="none"/>
                <w:u w:val="none"/>
                <w:lang w:val="en-US" w:eastAsia="zh-CN" w:bidi="ar-SA"/>
              </w:rPr>
            </w:pPr>
            <w:r>
              <w:rPr>
                <w:rFonts w:hint="eastAsia" w:ascii="仿宋" w:hAnsi="仿宋" w:eastAsia="仿宋" w:cs="仿宋"/>
                <w:snapToGrid w:val="0"/>
                <w:color w:val="auto"/>
                <w:kern w:val="2"/>
                <w:sz w:val="24"/>
                <w:szCs w:val="24"/>
                <w:highlight w:val="none"/>
                <w:u w:val="none"/>
                <w:lang w:val="zh-CN" w:eastAsia="zh-CN" w:bidi="ar-SA"/>
              </w:rPr>
              <w:t>针对本项目所供</w:t>
            </w:r>
            <w:r>
              <w:rPr>
                <w:rFonts w:hint="eastAsia" w:ascii="仿宋" w:hAnsi="仿宋" w:eastAsia="仿宋" w:cs="仿宋"/>
                <w:snapToGrid w:val="0"/>
                <w:color w:val="auto"/>
                <w:kern w:val="2"/>
                <w:sz w:val="24"/>
                <w:szCs w:val="24"/>
                <w:highlight w:val="none"/>
                <w:u w:val="none"/>
                <w:lang w:val="en-US" w:eastAsia="zh-CN" w:bidi="ar-SA"/>
              </w:rPr>
              <w:t>货物</w:t>
            </w:r>
            <w:r>
              <w:rPr>
                <w:rFonts w:hint="eastAsia" w:ascii="仿宋" w:hAnsi="仿宋" w:eastAsia="仿宋" w:cs="仿宋"/>
                <w:snapToGrid w:val="0"/>
                <w:color w:val="auto"/>
                <w:kern w:val="2"/>
                <w:sz w:val="24"/>
                <w:szCs w:val="24"/>
                <w:highlight w:val="none"/>
                <w:u w:val="none"/>
                <w:lang w:val="zh-CN" w:eastAsia="zh-CN" w:bidi="ar-SA"/>
              </w:rPr>
              <w:t>在，</w:t>
            </w:r>
            <w:r>
              <w:rPr>
                <w:rFonts w:hint="eastAsia" w:ascii="仿宋" w:hAnsi="仿宋" w:eastAsia="仿宋" w:cs="仿宋"/>
                <w:snapToGrid w:val="0"/>
                <w:color w:val="auto"/>
                <w:kern w:val="2"/>
                <w:sz w:val="24"/>
                <w:szCs w:val="24"/>
                <w:highlight w:val="none"/>
                <w:u w:val="none"/>
                <w:lang w:val="en-US" w:eastAsia="zh-CN" w:bidi="ar-SA"/>
              </w:rPr>
              <w:t>1</w:t>
            </w:r>
            <w:r>
              <w:rPr>
                <w:rFonts w:hint="eastAsia" w:ascii="仿宋" w:hAnsi="仿宋" w:eastAsia="仿宋" w:cs="仿宋"/>
                <w:snapToGrid w:val="0"/>
                <w:color w:val="auto"/>
                <w:kern w:val="2"/>
                <w:sz w:val="24"/>
                <w:szCs w:val="24"/>
                <w:highlight w:val="none"/>
                <w:u w:val="none"/>
                <w:lang w:val="zh-CN" w:eastAsia="zh-CN" w:bidi="ar-SA"/>
              </w:rPr>
              <w:t>、备品、备件</w:t>
            </w:r>
            <w:r>
              <w:rPr>
                <w:rFonts w:hint="eastAsia" w:ascii="仿宋" w:hAnsi="仿宋" w:eastAsia="仿宋" w:cs="仿宋"/>
                <w:snapToGrid w:val="0"/>
                <w:color w:val="auto"/>
                <w:kern w:val="2"/>
                <w:sz w:val="24"/>
                <w:szCs w:val="24"/>
                <w:highlight w:val="none"/>
                <w:u w:val="none"/>
                <w:lang w:val="en-US" w:eastAsia="zh-CN" w:bidi="ar-SA"/>
              </w:rPr>
              <w:t>保障方案</w:t>
            </w:r>
            <w:r>
              <w:rPr>
                <w:rFonts w:hint="eastAsia" w:ascii="仿宋" w:hAnsi="仿宋" w:eastAsia="仿宋" w:cs="仿宋"/>
                <w:snapToGrid w:val="0"/>
                <w:color w:val="auto"/>
                <w:kern w:val="2"/>
                <w:sz w:val="24"/>
                <w:szCs w:val="24"/>
                <w:highlight w:val="none"/>
                <w:u w:val="none"/>
                <w:lang w:val="zh-CN" w:eastAsia="zh-CN" w:bidi="ar-SA"/>
              </w:rPr>
              <w:t>；</w:t>
            </w:r>
            <w:r>
              <w:rPr>
                <w:rFonts w:hint="eastAsia" w:ascii="仿宋" w:hAnsi="仿宋" w:eastAsia="仿宋" w:cs="仿宋"/>
                <w:snapToGrid w:val="0"/>
                <w:color w:val="auto"/>
                <w:kern w:val="2"/>
                <w:sz w:val="24"/>
                <w:szCs w:val="24"/>
                <w:highlight w:val="none"/>
                <w:u w:val="none"/>
                <w:lang w:val="en-US" w:eastAsia="zh-CN" w:bidi="ar-SA"/>
              </w:rPr>
              <w:t>2、</w:t>
            </w:r>
            <w:r>
              <w:rPr>
                <w:rFonts w:hint="eastAsia" w:ascii="仿宋" w:hAnsi="仿宋" w:eastAsia="仿宋" w:cs="仿宋"/>
                <w:snapToGrid w:val="0"/>
                <w:color w:val="auto"/>
                <w:kern w:val="2"/>
                <w:sz w:val="24"/>
                <w:szCs w:val="24"/>
                <w:highlight w:val="none"/>
                <w:u w:val="none"/>
                <w:lang w:val="zh-CN" w:eastAsia="zh-CN" w:bidi="ar-SA"/>
              </w:rPr>
              <w:t>品控检测方案；</w:t>
            </w:r>
            <w:r>
              <w:rPr>
                <w:rFonts w:hint="eastAsia" w:ascii="仿宋" w:hAnsi="仿宋" w:eastAsia="仿宋" w:cs="仿宋"/>
                <w:snapToGrid w:val="0"/>
                <w:color w:val="auto"/>
                <w:kern w:val="2"/>
                <w:sz w:val="24"/>
                <w:szCs w:val="24"/>
                <w:highlight w:val="none"/>
                <w:u w:val="none"/>
                <w:lang w:val="en-US" w:eastAsia="zh-CN" w:bidi="ar-SA"/>
              </w:rPr>
              <w:t>3、</w:t>
            </w:r>
            <w:r>
              <w:rPr>
                <w:rFonts w:hint="eastAsia" w:ascii="仿宋" w:hAnsi="仿宋" w:eastAsia="仿宋" w:cs="仿宋"/>
                <w:snapToGrid w:val="0"/>
                <w:color w:val="auto"/>
                <w:kern w:val="2"/>
                <w:sz w:val="24"/>
                <w:szCs w:val="24"/>
                <w:highlight w:val="none"/>
                <w:u w:val="none"/>
                <w:lang w:val="zh-CN" w:eastAsia="zh-CN" w:bidi="ar-SA"/>
              </w:rPr>
              <w:t>工人安装规范操作方案。</w:t>
            </w:r>
          </w:p>
          <w:p w14:paraId="67D02205">
            <w:pPr>
              <w:keepNext w:val="0"/>
              <w:keepLines w:val="0"/>
              <w:widowControl/>
              <w:suppressLineNumbers w:val="0"/>
              <w:spacing w:line="240" w:lineRule="auto"/>
              <w:jc w:val="left"/>
              <w:rPr>
                <w:rFonts w:hint="eastAsia" w:ascii="仿宋" w:hAnsi="仿宋" w:eastAsia="仿宋" w:cs="仿宋"/>
                <w:snapToGrid w:val="0"/>
                <w:color w:val="auto"/>
                <w:kern w:val="2"/>
                <w:sz w:val="24"/>
                <w:szCs w:val="24"/>
                <w:highlight w:val="none"/>
                <w:u w:val="none"/>
                <w:lang w:val="zh-CN" w:eastAsia="zh-CN" w:bidi="ar-SA"/>
              </w:rPr>
            </w:pPr>
            <w:r>
              <w:rPr>
                <w:rFonts w:hint="eastAsia" w:ascii="仿宋" w:hAnsi="仿宋" w:eastAsia="仿宋" w:cs="仿宋"/>
                <w:snapToGrid w:val="0"/>
                <w:color w:val="auto"/>
                <w:kern w:val="2"/>
                <w:sz w:val="24"/>
                <w:szCs w:val="24"/>
                <w:highlight w:val="none"/>
                <w:u w:val="none"/>
                <w:lang w:val="zh-CN" w:eastAsia="zh-CN" w:bidi="ar-SA"/>
              </w:rPr>
              <w:t>上述方案每项</w:t>
            </w:r>
            <w:r>
              <w:rPr>
                <w:rFonts w:hint="eastAsia" w:ascii="仿宋" w:hAnsi="仿宋" w:eastAsia="仿宋" w:cs="仿宋"/>
                <w:snapToGrid w:val="0"/>
                <w:color w:val="auto"/>
                <w:kern w:val="2"/>
                <w:sz w:val="24"/>
                <w:szCs w:val="24"/>
                <w:highlight w:val="none"/>
                <w:u w:val="none"/>
                <w:lang w:val="en-US" w:eastAsia="zh-CN" w:bidi="ar-SA"/>
              </w:rPr>
              <w:t>得5</w:t>
            </w:r>
            <w:r>
              <w:rPr>
                <w:rFonts w:hint="eastAsia" w:ascii="仿宋" w:hAnsi="仿宋" w:eastAsia="仿宋" w:cs="仿宋"/>
                <w:snapToGrid w:val="0"/>
                <w:color w:val="auto"/>
                <w:kern w:val="2"/>
                <w:sz w:val="24"/>
                <w:szCs w:val="24"/>
                <w:highlight w:val="none"/>
                <w:u w:val="none"/>
                <w:lang w:val="zh-CN" w:eastAsia="zh-CN" w:bidi="ar-SA"/>
              </w:rPr>
              <w:t>分，方案均提供且无缺陷得</w:t>
            </w:r>
            <w:r>
              <w:rPr>
                <w:rFonts w:hint="eastAsia" w:ascii="仿宋" w:hAnsi="仿宋" w:eastAsia="仿宋" w:cs="仿宋"/>
                <w:snapToGrid w:val="0"/>
                <w:color w:val="auto"/>
                <w:kern w:val="2"/>
                <w:sz w:val="24"/>
                <w:szCs w:val="24"/>
                <w:highlight w:val="none"/>
                <w:u w:val="none"/>
                <w:lang w:val="en-US" w:eastAsia="zh-CN" w:bidi="ar-SA"/>
              </w:rPr>
              <w:t>15</w:t>
            </w:r>
            <w:r>
              <w:rPr>
                <w:rFonts w:hint="eastAsia" w:ascii="仿宋" w:hAnsi="仿宋" w:eastAsia="仿宋" w:cs="仿宋"/>
                <w:snapToGrid w:val="0"/>
                <w:color w:val="auto"/>
                <w:kern w:val="2"/>
                <w:sz w:val="24"/>
                <w:szCs w:val="24"/>
                <w:highlight w:val="none"/>
                <w:u w:val="none"/>
                <w:lang w:val="zh-CN" w:eastAsia="zh-CN" w:bidi="ar-SA"/>
              </w:rPr>
              <w:t>分；每缺一项扣</w:t>
            </w:r>
            <w:r>
              <w:rPr>
                <w:rFonts w:hint="eastAsia" w:ascii="仿宋" w:hAnsi="仿宋" w:eastAsia="仿宋" w:cs="仿宋"/>
                <w:snapToGrid w:val="0"/>
                <w:color w:val="auto"/>
                <w:kern w:val="2"/>
                <w:sz w:val="24"/>
                <w:szCs w:val="24"/>
                <w:highlight w:val="none"/>
                <w:u w:val="none"/>
                <w:lang w:val="en-US" w:eastAsia="zh-CN" w:bidi="ar-SA"/>
              </w:rPr>
              <w:t>5.</w:t>
            </w:r>
            <w:r>
              <w:rPr>
                <w:rFonts w:hint="eastAsia" w:ascii="仿宋" w:hAnsi="仿宋" w:eastAsia="仿宋" w:cs="仿宋"/>
                <w:snapToGrid w:val="0"/>
                <w:color w:val="auto"/>
                <w:kern w:val="2"/>
                <w:sz w:val="24"/>
                <w:szCs w:val="24"/>
                <w:highlight w:val="none"/>
                <w:u w:val="none"/>
                <w:lang w:val="zh-CN" w:eastAsia="zh-CN" w:bidi="ar-SA"/>
              </w:rPr>
              <w:t>分；每有一处缺陷扣</w:t>
            </w:r>
            <w:r>
              <w:rPr>
                <w:rFonts w:hint="eastAsia" w:ascii="仿宋" w:hAnsi="仿宋" w:eastAsia="仿宋" w:cs="仿宋"/>
                <w:snapToGrid w:val="0"/>
                <w:color w:val="auto"/>
                <w:kern w:val="2"/>
                <w:sz w:val="24"/>
                <w:szCs w:val="24"/>
                <w:highlight w:val="none"/>
                <w:u w:val="none"/>
                <w:lang w:val="en-US" w:eastAsia="zh-CN" w:bidi="ar-SA"/>
              </w:rPr>
              <w:t>2.5</w:t>
            </w:r>
            <w:r>
              <w:rPr>
                <w:rFonts w:hint="eastAsia" w:ascii="仿宋" w:hAnsi="仿宋" w:eastAsia="仿宋" w:cs="仿宋"/>
                <w:snapToGrid w:val="0"/>
                <w:color w:val="auto"/>
                <w:kern w:val="2"/>
                <w:sz w:val="24"/>
                <w:szCs w:val="24"/>
                <w:highlight w:val="none"/>
                <w:u w:val="none"/>
                <w:lang w:val="zh-CN" w:eastAsia="zh-CN" w:bidi="ar-SA"/>
              </w:rPr>
              <w:t>分扣完为止（每小项最多扣</w:t>
            </w:r>
            <w:r>
              <w:rPr>
                <w:rFonts w:hint="eastAsia" w:ascii="仿宋" w:hAnsi="仿宋" w:eastAsia="仿宋" w:cs="仿宋"/>
                <w:snapToGrid w:val="0"/>
                <w:color w:val="auto"/>
                <w:kern w:val="2"/>
                <w:sz w:val="24"/>
                <w:szCs w:val="24"/>
                <w:highlight w:val="none"/>
                <w:u w:val="none"/>
                <w:lang w:val="en-US" w:eastAsia="zh-CN" w:bidi="ar-SA"/>
              </w:rPr>
              <w:t>5</w:t>
            </w:r>
            <w:r>
              <w:rPr>
                <w:rFonts w:hint="eastAsia" w:ascii="仿宋" w:hAnsi="仿宋" w:eastAsia="仿宋" w:cs="仿宋"/>
                <w:snapToGrid w:val="0"/>
                <w:color w:val="auto"/>
                <w:kern w:val="2"/>
                <w:sz w:val="24"/>
                <w:szCs w:val="24"/>
                <w:highlight w:val="none"/>
                <w:u w:val="none"/>
                <w:lang w:val="zh-CN" w:eastAsia="zh-CN" w:bidi="ar-SA"/>
              </w:rPr>
              <w:t xml:space="preserve">分）。 </w:t>
            </w:r>
          </w:p>
          <w:p w14:paraId="114D7B8F">
            <w:pPr>
              <w:keepNext w:val="0"/>
              <w:keepLines w:val="0"/>
              <w:widowControl/>
              <w:suppressLineNumbers w:val="0"/>
              <w:spacing w:line="240" w:lineRule="auto"/>
              <w:jc w:val="left"/>
              <w:rPr>
                <w:rFonts w:hint="eastAsia" w:ascii="仿宋" w:hAnsi="仿宋" w:eastAsia="仿宋" w:cs="仿宋"/>
                <w:snapToGrid w:val="0"/>
                <w:color w:val="000000"/>
                <w:kern w:val="2"/>
                <w:sz w:val="24"/>
                <w:szCs w:val="24"/>
                <w:highlight w:val="none"/>
                <w:lang w:val="en-US" w:eastAsia="zh-CN" w:bidi="ar-SA"/>
              </w:rPr>
            </w:pPr>
            <w:r>
              <w:rPr>
                <w:rFonts w:hint="eastAsia" w:ascii="仿宋" w:hAnsi="仿宋" w:eastAsia="仿宋" w:cs="仿宋"/>
                <w:snapToGrid w:val="0"/>
                <w:color w:val="auto"/>
                <w:kern w:val="2"/>
                <w:sz w:val="24"/>
                <w:szCs w:val="24"/>
                <w:highlight w:val="none"/>
                <w:u w:val="none"/>
                <w:lang w:val="zh-CN" w:eastAsia="zh-CN" w:bidi="ar-SA"/>
              </w:rPr>
              <w:t>备注：</w:t>
            </w:r>
            <w:r>
              <w:rPr>
                <w:rFonts w:hint="eastAsia" w:ascii="仿宋" w:hAnsi="仿宋" w:eastAsia="仿宋" w:cs="仿宋"/>
                <w:snapToGrid w:val="0"/>
                <w:color w:val="auto"/>
                <w:kern w:val="2"/>
                <w:sz w:val="24"/>
                <w:szCs w:val="24"/>
                <w:highlight w:val="none"/>
                <w:u w:val="none"/>
                <w:lang w:val="en-US" w:eastAsia="zh-CN" w:bidi="ar-SA"/>
              </w:rPr>
              <w:t>缺陷是指：“（1）内容仅有标题或框架缺乏具体说明阐述；（2）内容不符合国家、地方、行业标准以及项目特点或语言、项目名称、实施地点错误；（3）方案存在明显抄袭、套用其他地区及项目的内容；（4）方案存在不适用该项目实际情况的情形、存在凭空编造、内容前后不一致、前后逻辑错误、地点区域错误、内容不清晰粗糙笼统、无针对性或内容违反相关法律法规要求”的任意一种情形。</w:t>
            </w:r>
          </w:p>
        </w:tc>
      </w:tr>
      <w:tr w14:paraId="3D0B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304" w:type="pct"/>
            <w:vMerge w:val="continue"/>
            <w:noWrap w:val="0"/>
            <w:vAlign w:val="center"/>
          </w:tcPr>
          <w:p w14:paraId="284389E4">
            <w:pPr>
              <w:rPr>
                <w:rFonts w:hint="eastAsia" w:ascii="仿宋" w:hAnsi="仿宋" w:eastAsia="仿宋" w:cs="仿宋"/>
                <w:kern w:val="2"/>
                <w:sz w:val="24"/>
                <w:szCs w:val="24"/>
                <w:highlight w:val="none"/>
                <w:lang w:val="en-US" w:eastAsia="zh-CN" w:bidi="ar-SA"/>
              </w:rPr>
            </w:pPr>
          </w:p>
        </w:tc>
        <w:tc>
          <w:tcPr>
            <w:tcW w:w="695" w:type="pct"/>
            <w:vMerge w:val="continue"/>
            <w:noWrap w:val="0"/>
            <w:vAlign w:val="center"/>
          </w:tcPr>
          <w:p w14:paraId="45793C8D">
            <w:pPr>
              <w:rPr>
                <w:rFonts w:hint="eastAsia" w:ascii="仿宋" w:hAnsi="仿宋" w:eastAsia="仿宋" w:cs="仿宋"/>
                <w:kern w:val="2"/>
                <w:sz w:val="24"/>
                <w:szCs w:val="24"/>
                <w:highlight w:val="none"/>
                <w:lang w:val="en-US" w:eastAsia="zh-CN" w:bidi="ar-SA"/>
              </w:rPr>
            </w:pPr>
          </w:p>
        </w:tc>
        <w:tc>
          <w:tcPr>
            <w:tcW w:w="628" w:type="pct"/>
            <w:noWrap w:val="0"/>
            <w:vAlign w:val="center"/>
          </w:tcPr>
          <w:p w14:paraId="5216A000">
            <w:pPr>
              <w:keepNext w:val="0"/>
              <w:keepLines w:val="0"/>
              <w:widowControl/>
              <w:suppressLineNumbers w:val="0"/>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售后服务</w:t>
            </w:r>
          </w:p>
        </w:tc>
        <w:tc>
          <w:tcPr>
            <w:tcW w:w="491" w:type="pct"/>
            <w:noWrap w:val="0"/>
            <w:vAlign w:val="center"/>
          </w:tcPr>
          <w:p w14:paraId="6710A711">
            <w:pPr>
              <w:keepNext w:val="0"/>
              <w:keepLines w:val="0"/>
              <w:widowControl/>
              <w:suppressLineNumbers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15分</w:t>
            </w:r>
          </w:p>
        </w:tc>
        <w:tc>
          <w:tcPr>
            <w:tcW w:w="2880" w:type="pct"/>
            <w:noWrap w:val="0"/>
            <w:vAlign w:val="center"/>
          </w:tcPr>
          <w:p w14:paraId="07CE11A9">
            <w:pPr>
              <w:keepNext w:val="0"/>
              <w:keepLines w:val="0"/>
              <w:widowControl/>
              <w:suppressLineNumbers w:val="0"/>
              <w:spacing w:line="240" w:lineRule="auto"/>
              <w:jc w:val="left"/>
              <w:rPr>
                <w:rFonts w:hint="eastAsia" w:ascii="仿宋" w:hAnsi="仿宋" w:eastAsia="仿宋" w:cs="仿宋"/>
                <w:snapToGrid w:val="0"/>
                <w:color w:val="auto"/>
                <w:kern w:val="2"/>
                <w:sz w:val="24"/>
                <w:szCs w:val="24"/>
                <w:highlight w:val="none"/>
                <w:u w:val="none"/>
                <w:lang w:val="en-US" w:eastAsia="zh-CN" w:bidi="ar-SA"/>
              </w:rPr>
            </w:pPr>
            <w:r>
              <w:rPr>
                <w:rFonts w:hint="eastAsia" w:ascii="仿宋" w:hAnsi="仿宋" w:eastAsia="仿宋" w:cs="仿宋"/>
                <w:snapToGrid w:val="0"/>
                <w:color w:val="auto"/>
                <w:kern w:val="2"/>
                <w:sz w:val="24"/>
                <w:szCs w:val="24"/>
                <w:highlight w:val="none"/>
                <w:u w:val="none"/>
                <w:lang w:val="en-US" w:eastAsia="zh-CN" w:bidi="ar-SA"/>
              </w:rPr>
              <w:t>根据供应商的售后服务方案进行评价,内容包括但不限于以下内容：</w:t>
            </w:r>
          </w:p>
          <w:p w14:paraId="40D562EC">
            <w:pPr>
              <w:keepNext w:val="0"/>
              <w:keepLines w:val="0"/>
              <w:widowControl/>
              <w:suppressLineNumbers w:val="0"/>
              <w:spacing w:line="240" w:lineRule="auto"/>
              <w:jc w:val="left"/>
              <w:rPr>
                <w:rFonts w:hint="default" w:ascii="仿宋" w:hAnsi="仿宋" w:eastAsia="仿宋" w:cs="仿宋"/>
                <w:snapToGrid w:val="0"/>
                <w:color w:val="auto"/>
                <w:kern w:val="2"/>
                <w:sz w:val="24"/>
                <w:szCs w:val="24"/>
                <w:highlight w:val="none"/>
                <w:u w:val="none"/>
                <w:lang w:val="en-US" w:eastAsia="zh-CN" w:bidi="ar-SA"/>
              </w:rPr>
            </w:pPr>
            <w:r>
              <w:rPr>
                <w:rFonts w:hint="eastAsia" w:ascii="仿宋" w:hAnsi="仿宋" w:eastAsia="仿宋" w:cs="仿宋"/>
                <w:snapToGrid w:val="0"/>
                <w:color w:val="auto"/>
                <w:kern w:val="2"/>
                <w:sz w:val="24"/>
                <w:szCs w:val="24"/>
                <w:highlight w:val="none"/>
                <w:u w:val="none"/>
                <w:lang w:val="en-US" w:eastAsia="zh-CN" w:bidi="ar-SA"/>
              </w:rPr>
              <w:t>售后服务承诺；1.完善的响应保障措施；2.质保期满后的维护、维修内容，费用和服务方式、范围；3.售后服务人员。</w:t>
            </w:r>
          </w:p>
          <w:p w14:paraId="7AA1A2FB">
            <w:pPr>
              <w:keepNext w:val="0"/>
              <w:keepLines w:val="0"/>
              <w:widowControl/>
              <w:suppressLineNumbers w:val="0"/>
              <w:spacing w:line="240" w:lineRule="auto"/>
              <w:jc w:val="left"/>
              <w:rPr>
                <w:rFonts w:hint="eastAsia" w:ascii="仿宋" w:hAnsi="仿宋" w:eastAsia="仿宋" w:cs="仿宋"/>
                <w:snapToGrid w:val="0"/>
                <w:color w:val="auto"/>
                <w:kern w:val="2"/>
                <w:sz w:val="24"/>
                <w:szCs w:val="24"/>
                <w:highlight w:val="none"/>
                <w:u w:val="none"/>
                <w:lang w:val="zh-CN" w:eastAsia="zh-CN" w:bidi="ar-SA"/>
              </w:rPr>
            </w:pPr>
            <w:r>
              <w:rPr>
                <w:rFonts w:hint="eastAsia" w:ascii="仿宋" w:hAnsi="仿宋" w:eastAsia="仿宋" w:cs="仿宋"/>
                <w:snapToGrid w:val="0"/>
                <w:color w:val="auto"/>
                <w:kern w:val="2"/>
                <w:sz w:val="24"/>
                <w:szCs w:val="24"/>
                <w:highlight w:val="none"/>
                <w:u w:val="none"/>
                <w:lang w:val="zh-CN" w:eastAsia="zh-CN" w:bidi="ar-SA"/>
              </w:rPr>
              <w:t>上述方案每项</w:t>
            </w:r>
            <w:r>
              <w:rPr>
                <w:rFonts w:hint="eastAsia" w:ascii="仿宋" w:hAnsi="仿宋" w:eastAsia="仿宋" w:cs="仿宋"/>
                <w:snapToGrid w:val="0"/>
                <w:color w:val="auto"/>
                <w:kern w:val="2"/>
                <w:sz w:val="24"/>
                <w:szCs w:val="24"/>
                <w:highlight w:val="none"/>
                <w:u w:val="none"/>
                <w:lang w:val="en-US" w:eastAsia="zh-CN" w:bidi="ar-SA"/>
              </w:rPr>
              <w:t>得5</w:t>
            </w:r>
            <w:r>
              <w:rPr>
                <w:rFonts w:hint="eastAsia" w:ascii="仿宋" w:hAnsi="仿宋" w:eastAsia="仿宋" w:cs="仿宋"/>
                <w:snapToGrid w:val="0"/>
                <w:color w:val="auto"/>
                <w:kern w:val="2"/>
                <w:sz w:val="24"/>
                <w:szCs w:val="24"/>
                <w:highlight w:val="none"/>
                <w:u w:val="none"/>
                <w:lang w:val="zh-CN" w:eastAsia="zh-CN" w:bidi="ar-SA"/>
              </w:rPr>
              <w:t>分，方案均提供且无缺陷得</w:t>
            </w:r>
            <w:r>
              <w:rPr>
                <w:rFonts w:hint="eastAsia" w:ascii="仿宋" w:hAnsi="仿宋" w:eastAsia="仿宋" w:cs="仿宋"/>
                <w:snapToGrid w:val="0"/>
                <w:color w:val="auto"/>
                <w:kern w:val="2"/>
                <w:sz w:val="24"/>
                <w:szCs w:val="24"/>
                <w:highlight w:val="none"/>
                <w:u w:val="none"/>
                <w:lang w:val="en-US" w:eastAsia="zh-CN" w:bidi="ar-SA"/>
              </w:rPr>
              <w:t>15</w:t>
            </w:r>
            <w:r>
              <w:rPr>
                <w:rFonts w:hint="eastAsia" w:ascii="仿宋" w:hAnsi="仿宋" w:eastAsia="仿宋" w:cs="仿宋"/>
                <w:snapToGrid w:val="0"/>
                <w:color w:val="auto"/>
                <w:kern w:val="2"/>
                <w:sz w:val="24"/>
                <w:szCs w:val="24"/>
                <w:highlight w:val="none"/>
                <w:u w:val="none"/>
                <w:lang w:val="zh-CN" w:eastAsia="zh-CN" w:bidi="ar-SA"/>
              </w:rPr>
              <w:t>分；每缺一项扣</w:t>
            </w:r>
            <w:r>
              <w:rPr>
                <w:rFonts w:hint="eastAsia" w:ascii="仿宋" w:hAnsi="仿宋" w:eastAsia="仿宋" w:cs="仿宋"/>
                <w:snapToGrid w:val="0"/>
                <w:color w:val="auto"/>
                <w:kern w:val="2"/>
                <w:sz w:val="24"/>
                <w:szCs w:val="24"/>
                <w:highlight w:val="none"/>
                <w:u w:val="none"/>
                <w:lang w:val="en-US" w:eastAsia="zh-CN" w:bidi="ar-SA"/>
              </w:rPr>
              <w:t>5</w:t>
            </w:r>
            <w:r>
              <w:rPr>
                <w:rFonts w:hint="eastAsia" w:ascii="仿宋" w:hAnsi="仿宋" w:eastAsia="仿宋" w:cs="仿宋"/>
                <w:snapToGrid w:val="0"/>
                <w:color w:val="auto"/>
                <w:kern w:val="2"/>
                <w:sz w:val="24"/>
                <w:szCs w:val="24"/>
                <w:highlight w:val="none"/>
                <w:u w:val="none"/>
                <w:lang w:val="zh-CN" w:eastAsia="zh-CN" w:bidi="ar-SA"/>
              </w:rPr>
              <w:t>分；每有一处缺陷扣</w:t>
            </w:r>
            <w:r>
              <w:rPr>
                <w:rFonts w:hint="eastAsia" w:ascii="仿宋" w:hAnsi="仿宋" w:eastAsia="仿宋" w:cs="仿宋"/>
                <w:snapToGrid w:val="0"/>
                <w:color w:val="auto"/>
                <w:kern w:val="2"/>
                <w:sz w:val="24"/>
                <w:szCs w:val="24"/>
                <w:highlight w:val="none"/>
                <w:u w:val="none"/>
                <w:lang w:val="en-US" w:eastAsia="zh-CN" w:bidi="ar-SA"/>
              </w:rPr>
              <w:t>2.5</w:t>
            </w:r>
            <w:r>
              <w:rPr>
                <w:rFonts w:hint="eastAsia" w:ascii="仿宋" w:hAnsi="仿宋" w:eastAsia="仿宋" w:cs="仿宋"/>
                <w:snapToGrid w:val="0"/>
                <w:color w:val="auto"/>
                <w:kern w:val="2"/>
                <w:sz w:val="24"/>
                <w:szCs w:val="24"/>
                <w:highlight w:val="none"/>
                <w:u w:val="none"/>
                <w:lang w:val="zh-CN" w:eastAsia="zh-CN" w:bidi="ar-SA"/>
              </w:rPr>
              <w:t>分扣完为止（每小项最多扣</w:t>
            </w:r>
            <w:r>
              <w:rPr>
                <w:rFonts w:hint="eastAsia" w:ascii="仿宋" w:hAnsi="仿宋" w:eastAsia="仿宋" w:cs="仿宋"/>
                <w:snapToGrid w:val="0"/>
                <w:color w:val="auto"/>
                <w:kern w:val="2"/>
                <w:sz w:val="24"/>
                <w:szCs w:val="24"/>
                <w:highlight w:val="none"/>
                <w:u w:val="none"/>
                <w:lang w:val="en-US" w:eastAsia="zh-CN" w:bidi="ar-SA"/>
              </w:rPr>
              <w:t>5</w:t>
            </w:r>
            <w:r>
              <w:rPr>
                <w:rFonts w:hint="eastAsia" w:ascii="仿宋" w:hAnsi="仿宋" w:eastAsia="仿宋" w:cs="仿宋"/>
                <w:snapToGrid w:val="0"/>
                <w:color w:val="auto"/>
                <w:kern w:val="2"/>
                <w:sz w:val="24"/>
                <w:szCs w:val="24"/>
                <w:highlight w:val="none"/>
                <w:u w:val="none"/>
                <w:lang w:val="zh-CN" w:eastAsia="zh-CN" w:bidi="ar-SA"/>
              </w:rPr>
              <w:t>分）。</w:t>
            </w:r>
          </w:p>
          <w:p w14:paraId="2A507792">
            <w:pPr>
              <w:keepNext w:val="0"/>
              <w:keepLines w:val="0"/>
              <w:widowControl/>
              <w:suppressLineNumbers w:val="0"/>
              <w:spacing w:line="240" w:lineRule="auto"/>
              <w:jc w:val="left"/>
              <w:rPr>
                <w:rFonts w:hint="eastAsia" w:ascii="仿宋" w:hAnsi="仿宋" w:eastAsia="仿宋" w:cs="仿宋"/>
                <w:snapToGrid w:val="0"/>
                <w:color w:val="000000"/>
                <w:kern w:val="2"/>
                <w:sz w:val="24"/>
                <w:szCs w:val="24"/>
                <w:highlight w:val="none"/>
                <w:lang w:val="en-US" w:eastAsia="zh-CN" w:bidi="ar-SA"/>
              </w:rPr>
            </w:pPr>
            <w:r>
              <w:rPr>
                <w:rFonts w:hint="eastAsia" w:ascii="仿宋" w:hAnsi="仿宋" w:eastAsia="仿宋" w:cs="仿宋"/>
                <w:snapToGrid w:val="0"/>
                <w:color w:val="auto"/>
                <w:kern w:val="2"/>
                <w:sz w:val="24"/>
                <w:szCs w:val="24"/>
                <w:highlight w:val="none"/>
                <w:u w:val="none"/>
                <w:lang w:val="zh-CN" w:eastAsia="zh-CN" w:bidi="ar-SA"/>
              </w:rPr>
              <w:t>备注：</w:t>
            </w:r>
            <w:r>
              <w:rPr>
                <w:rFonts w:hint="eastAsia" w:ascii="仿宋" w:hAnsi="仿宋" w:eastAsia="仿宋" w:cs="仿宋"/>
                <w:snapToGrid w:val="0"/>
                <w:color w:val="auto"/>
                <w:kern w:val="2"/>
                <w:sz w:val="24"/>
                <w:szCs w:val="24"/>
                <w:highlight w:val="none"/>
                <w:u w:val="none"/>
                <w:lang w:val="en-US" w:eastAsia="zh-CN" w:bidi="ar-SA"/>
              </w:rPr>
              <w:t>缺陷是指：“（1）内容仅有标题或框架缺乏具体说明阐述；（2）内容不符合国家、地方、行业标准以及项目特点或语言、项目名称、实施地点错误；（3）方案存在明显抄袭、套用其他地区及项目的内容；（4）方案存在不适用该项目实际情况的情形、存在凭空编造、内容前后不一致、前后逻辑错误、地点区域错误、内容不清晰粗糙笼统、无针对性或内容违反相关法律法规要求”的任意一种情形。</w:t>
            </w:r>
          </w:p>
        </w:tc>
      </w:tr>
    </w:tbl>
    <w:p w14:paraId="634B91D6">
      <w:pPr>
        <w:spacing w:line="266" w:lineRule="auto"/>
        <w:rPr>
          <w:rFonts w:ascii="Arial"/>
          <w:sz w:val="21"/>
          <w:highlight w:val="none"/>
        </w:rPr>
      </w:pPr>
    </w:p>
    <w:p w14:paraId="278B5390">
      <w:pPr>
        <w:pStyle w:val="6"/>
        <w:spacing w:before="65" w:line="229" w:lineRule="auto"/>
        <w:ind w:left="133"/>
        <w:outlineLvl w:val="2"/>
        <w:rPr>
          <w:sz w:val="20"/>
          <w:szCs w:val="20"/>
          <w:highlight w:val="none"/>
        </w:rPr>
      </w:pPr>
      <w:r>
        <w:rPr>
          <w:spacing w:val="8"/>
          <w:sz w:val="20"/>
          <w:szCs w:val="20"/>
          <w:highlight w:val="none"/>
        </w:rPr>
        <w:t>注：评分分值计算保留小数点后两位，小数点后第三</w:t>
      </w:r>
      <w:r>
        <w:rPr>
          <w:spacing w:val="7"/>
          <w:sz w:val="20"/>
          <w:szCs w:val="20"/>
          <w:highlight w:val="none"/>
        </w:rPr>
        <w:t>位“</w:t>
      </w:r>
      <w:r>
        <w:rPr>
          <w:spacing w:val="-62"/>
          <w:sz w:val="20"/>
          <w:szCs w:val="20"/>
          <w:highlight w:val="none"/>
        </w:rPr>
        <w:t xml:space="preserve"> </w:t>
      </w:r>
      <w:r>
        <w:rPr>
          <w:spacing w:val="7"/>
          <w:sz w:val="20"/>
          <w:szCs w:val="20"/>
          <w:highlight w:val="none"/>
        </w:rPr>
        <w:t>四舍五入</w:t>
      </w:r>
      <w:r>
        <w:rPr>
          <w:spacing w:val="-70"/>
          <w:sz w:val="20"/>
          <w:szCs w:val="20"/>
          <w:highlight w:val="none"/>
        </w:rPr>
        <w:t xml:space="preserve"> </w:t>
      </w:r>
      <w:r>
        <w:rPr>
          <w:spacing w:val="7"/>
          <w:sz w:val="20"/>
          <w:szCs w:val="20"/>
          <w:highlight w:val="none"/>
        </w:rPr>
        <w:t>”。</w:t>
      </w:r>
    </w:p>
    <w:p w14:paraId="4E34862C">
      <w:pPr>
        <w:pStyle w:val="6"/>
        <w:spacing w:before="175" w:line="223" w:lineRule="auto"/>
        <w:ind w:left="3710"/>
        <w:outlineLvl w:val="0"/>
        <w:rPr>
          <w:sz w:val="28"/>
          <w:szCs w:val="28"/>
          <w:highlight w:val="none"/>
        </w:rPr>
      </w:pPr>
      <w:bookmarkStart w:id="51" w:name="bookmark21"/>
      <w:bookmarkEnd w:id="51"/>
      <w:r>
        <w:rPr>
          <w:b/>
          <w:bCs/>
          <w:spacing w:val="-3"/>
          <w:sz w:val="28"/>
          <w:szCs w:val="28"/>
          <w:highlight w:val="none"/>
        </w:rPr>
        <w:br w:type="page"/>
      </w:r>
      <w:r>
        <w:rPr>
          <w:b/>
          <w:bCs/>
          <w:spacing w:val="-3"/>
          <w:sz w:val="28"/>
          <w:szCs w:val="28"/>
          <w:highlight w:val="none"/>
        </w:rPr>
        <w:t>第六章合同草案</w:t>
      </w:r>
    </w:p>
    <w:p w14:paraId="06237BAA">
      <w:pPr>
        <w:spacing w:line="475" w:lineRule="auto"/>
        <w:rPr>
          <w:rFonts w:ascii="Arial"/>
          <w:sz w:val="21"/>
          <w:highlight w:val="none"/>
        </w:rPr>
      </w:pPr>
    </w:p>
    <w:p w14:paraId="0721B164">
      <w:pPr>
        <w:pStyle w:val="6"/>
        <w:spacing w:before="91" w:line="223" w:lineRule="auto"/>
        <w:ind w:left="1322"/>
        <w:outlineLvl w:val="1"/>
        <w:rPr>
          <w:sz w:val="28"/>
          <w:szCs w:val="28"/>
          <w:highlight w:val="none"/>
        </w:rPr>
      </w:pPr>
      <w:r>
        <w:rPr>
          <w:b/>
          <w:bCs/>
          <w:spacing w:val="-3"/>
          <w:sz w:val="28"/>
          <w:szCs w:val="28"/>
          <w:highlight w:val="none"/>
        </w:rPr>
        <w:t>（提供的采购合同仅供参考，以最终签订的合同为准）</w:t>
      </w:r>
    </w:p>
    <w:p w14:paraId="2CB1D147">
      <w:pPr>
        <w:spacing w:line="327" w:lineRule="auto"/>
        <w:rPr>
          <w:rFonts w:ascii="Arial"/>
          <w:sz w:val="21"/>
          <w:highlight w:val="none"/>
        </w:rPr>
      </w:pPr>
    </w:p>
    <w:p w14:paraId="0EDAEFF8">
      <w:pPr>
        <w:spacing w:line="328" w:lineRule="auto"/>
        <w:rPr>
          <w:rFonts w:ascii="Arial"/>
          <w:sz w:val="21"/>
          <w:highlight w:val="none"/>
        </w:rPr>
      </w:pPr>
    </w:p>
    <w:p w14:paraId="550CCB88">
      <w:pPr>
        <w:spacing w:before="65" w:line="381" w:lineRule="auto"/>
        <w:ind w:left="13" w:right="85" w:firstLine="427"/>
        <w:rPr>
          <w:rFonts w:ascii="仿宋" w:hAnsi="仿宋" w:eastAsia="仿宋" w:cs="仿宋"/>
          <w:sz w:val="20"/>
          <w:szCs w:val="20"/>
          <w:highlight w:val="none"/>
        </w:rPr>
      </w:pPr>
      <w:r>
        <w:rPr>
          <w:rFonts w:ascii="仿宋" w:hAnsi="仿宋" w:eastAsia="仿宋" w:cs="仿宋"/>
          <w:spacing w:val="12"/>
          <w:sz w:val="20"/>
          <w:szCs w:val="20"/>
          <w:highlight w:val="none"/>
        </w:rPr>
        <w:t>合同将由</w:t>
      </w:r>
      <w:r>
        <w:rPr>
          <w:rFonts w:hint="eastAsia" w:ascii="仿宋" w:hAnsi="仿宋" w:eastAsia="仿宋" w:cs="仿宋"/>
          <w:spacing w:val="10"/>
          <w:sz w:val="20"/>
          <w:szCs w:val="20"/>
          <w:highlight w:val="none"/>
          <w:u w:val="single" w:color="auto"/>
          <w:lang w:eastAsia="zh-CN"/>
        </w:rPr>
        <w:t>怀柔实验室新疆研究院</w:t>
      </w:r>
      <w:r>
        <w:rPr>
          <w:rFonts w:ascii="仿宋" w:hAnsi="仿宋" w:eastAsia="仿宋" w:cs="仿宋"/>
          <w:spacing w:val="6"/>
          <w:sz w:val="20"/>
          <w:szCs w:val="20"/>
          <w:highlight w:val="none"/>
        </w:rPr>
        <w:t xml:space="preserve"> (以下简称甲方) 与经评审最终确定的中标人 (以下简称</w:t>
      </w:r>
      <w:r>
        <w:rPr>
          <w:rFonts w:ascii="仿宋" w:hAnsi="仿宋" w:eastAsia="仿宋" w:cs="仿宋"/>
          <w:sz w:val="20"/>
          <w:szCs w:val="20"/>
          <w:highlight w:val="none"/>
        </w:rPr>
        <w:t xml:space="preserve"> </w:t>
      </w:r>
      <w:r>
        <w:rPr>
          <w:rFonts w:ascii="仿宋" w:hAnsi="仿宋" w:eastAsia="仿宋" w:cs="仿宋"/>
          <w:spacing w:val="14"/>
          <w:sz w:val="20"/>
          <w:szCs w:val="20"/>
          <w:highlight w:val="none"/>
        </w:rPr>
        <w:t>乙</w:t>
      </w:r>
      <w:r>
        <w:rPr>
          <w:rFonts w:ascii="仿宋" w:hAnsi="仿宋" w:eastAsia="仿宋" w:cs="仿宋"/>
          <w:spacing w:val="13"/>
          <w:sz w:val="20"/>
          <w:szCs w:val="20"/>
          <w:highlight w:val="none"/>
        </w:rPr>
        <w:t>方</w:t>
      </w:r>
      <w:r>
        <w:rPr>
          <w:rFonts w:ascii="仿宋" w:hAnsi="仿宋" w:eastAsia="仿宋" w:cs="仿宋"/>
          <w:spacing w:val="7"/>
          <w:sz w:val="20"/>
          <w:szCs w:val="20"/>
          <w:highlight w:val="none"/>
        </w:rPr>
        <w:t>) 结合本项目具体情况协商后签订。以下为招标人提出涉及乙方的主要条款，投标人在投标</w:t>
      </w:r>
      <w:r>
        <w:rPr>
          <w:rFonts w:ascii="仿宋" w:hAnsi="仿宋" w:eastAsia="仿宋" w:cs="仿宋"/>
          <w:sz w:val="20"/>
          <w:szCs w:val="20"/>
          <w:highlight w:val="none"/>
        </w:rPr>
        <w:t xml:space="preserve"> </w:t>
      </w:r>
      <w:r>
        <w:rPr>
          <w:rFonts w:ascii="仿宋" w:hAnsi="仿宋" w:eastAsia="仿宋" w:cs="仿宋"/>
          <w:spacing w:val="14"/>
          <w:sz w:val="20"/>
          <w:szCs w:val="20"/>
          <w:highlight w:val="none"/>
        </w:rPr>
        <w:t>文件</w:t>
      </w:r>
      <w:r>
        <w:rPr>
          <w:rFonts w:ascii="仿宋" w:hAnsi="仿宋" w:eastAsia="仿宋" w:cs="仿宋"/>
          <w:spacing w:val="13"/>
          <w:sz w:val="20"/>
          <w:szCs w:val="20"/>
          <w:highlight w:val="none"/>
        </w:rPr>
        <w:t>中</w:t>
      </w:r>
      <w:r>
        <w:rPr>
          <w:rFonts w:ascii="仿宋" w:hAnsi="仿宋" w:eastAsia="仿宋" w:cs="仿宋"/>
          <w:spacing w:val="7"/>
          <w:sz w:val="20"/>
          <w:szCs w:val="20"/>
          <w:highlight w:val="none"/>
        </w:rPr>
        <w:t>应对其进行确认或拒绝。如投标人在其投标文件中未做拒绝或提出修改要求的，招标人将</w:t>
      </w:r>
      <w:r>
        <w:rPr>
          <w:rFonts w:ascii="仿宋" w:hAnsi="仿宋" w:eastAsia="仿宋" w:cs="仿宋"/>
          <w:sz w:val="20"/>
          <w:szCs w:val="20"/>
          <w:highlight w:val="none"/>
        </w:rPr>
        <w:t xml:space="preserve"> </w:t>
      </w:r>
      <w:r>
        <w:rPr>
          <w:rFonts w:ascii="仿宋" w:hAnsi="仿宋" w:eastAsia="仿宋" w:cs="仿宋"/>
          <w:spacing w:val="5"/>
          <w:sz w:val="20"/>
          <w:szCs w:val="20"/>
          <w:highlight w:val="none"/>
        </w:rPr>
        <w:t>视作认同。</w:t>
      </w:r>
    </w:p>
    <w:p w14:paraId="47441F2D">
      <w:pPr>
        <w:spacing w:line="282" w:lineRule="auto"/>
        <w:rPr>
          <w:rFonts w:ascii="Arial"/>
          <w:sz w:val="21"/>
          <w:highlight w:val="none"/>
        </w:rPr>
      </w:pPr>
    </w:p>
    <w:p w14:paraId="3B147A2F">
      <w:pPr>
        <w:spacing w:line="283" w:lineRule="auto"/>
        <w:rPr>
          <w:rFonts w:ascii="Arial"/>
          <w:sz w:val="21"/>
          <w:highlight w:val="none"/>
        </w:rPr>
      </w:pPr>
    </w:p>
    <w:p w14:paraId="4D66E58A">
      <w:pPr>
        <w:spacing w:before="91" w:line="222" w:lineRule="auto"/>
        <w:ind w:left="1571"/>
        <w:rPr>
          <w:rFonts w:ascii="仿宋" w:hAnsi="仿宋" w:eastAsia="仿宋" w:cs="仿宋"/>
          <w:sz w:val="28"/>
          <w:szCs w:val="28"/>
          <w:highlight w:val="none"/>
        </w:rPr>
      </w:pPr>
    </w:p>
    <w:p w14:paraId="7010830A">
      <w:pPr>
        <w:spacing w:line="250" w:lineRule="auto"/>
        <w:rPr>
          <w:rFonts w:ascii="Arial"/>
          <w:sz w:val="21"/>
          <w:highlight w:val="none"/>
        </w:rPr>
      </w:pPr>
    </w:p>
    <w:p w14:paraId="1E5340DB">
      <w:pPr>
        <w:spacing w:line="251" w:lineRule="auto"/>
        <w:rPr>
          <w:rFonts w:ascii="Arial"/>
          <w:sz w:val="21"/>
          <w:highlight w:val="none"/>
        </w:rPr>
      </w:pPr>
    </w:p>
    <w:p w14:paraId="48428691">
      <w:pPr>
        <w:spacing w:before="74" w:line="229" w:lineRule="auto"/>
        <w:ind w:left="17"/>
        <w:rPr>
          <w:rFonts w:ascii="仿宋" w:hAnsi="仿宋" w:eastAsia="仿宋" w:cs="仿宋"/>
          <w:sz w:val="23"/>
          <w:szCs w:val="23"/>
          <w:highlight w:val="none"/>
        </w:rPr>
      </w:pPr>
      <w:r>
        <w:rPr>
          <w:rFonts w:ascii="仿宋" w:hAnsi="仿宋" w:eastAsia="仿宋" w:cs="仿宋"/>
          <w:spacing w:val="-2"/>
          <w:sz w:val="23"/>
          <w:szCs w:val="23"/>
          <w:highlight w:val="none"/>
        </w:rPr>
        <w:t xml:space="preserve">项目名称：                    </w:t>
      </w:r>
      <w:r>
        <w:rPr>
          <w:rFonts w:ascii="仿宋" w:hAnsi="仿宋" w:eastAsia="仿宋" w:cs="仿宋"/>
          <w:spacing w:val="-1"/>
          <w:sz w:val="23"/>
          <w:szCs w:val="23"/>
          <w:highlight w:val="none"/>
        </w:rPr>
        <w:t xml:space="preserve">                      项目编号：</w:t>
      </w:r>
    </w:p>
    <w:p w14:paraId="5437F908">
      <w:pPr>
        <w:spacing w:line="269" w:lineRule="auto"/>
        <w:rPr>
          <w:rFonts w:ascii="Arial"/>
          <w:sz w:val="21"/>
          <w:highlight w:val="none"/>
        </w:rPr>
      </w:pPr>
    </w:p>
    <w:p w14:paraId="472BD3E4">
      <w:pPr>
        <w:spacing w:line="269" w:lineRule="auto"/>
        <w:rPr>
          <w:rFonts w:ascii="Arial"/>
          <w:sz w:val="21"/>
          <w:highlight w:val="none"/>
        </w:rPr>
      </w:pPr>
    </w:p>
    <w:p w14:paraId="6B551908">
      <w:pPr>
        <w:spacing w:line="270" w:lineRule="auto"/>
        <w:rPr>
          <w:rFonts w:ascii="Arial"/>
          <w:sz w:val="21"/>
          <w:highlight w:val="none"/>
        </w:rPr>
      </w:pPr>
    </w:p>
    <w:p w14:paraId="09BD68E4">
      <w:pPr>
        <w:spacing w:before="76" w:line="226" w:lineRule="auto"/>
        <w:ind w:left="48"/>
        <w:rPr>
          <w:rFonts w:ascii="仿宋" w:hAnsi="仿宋" w:eastAsia="仿宋" w:cs="仿宋"/>
          <w:sz w:val="23"/>
          <w:szCs w:val="23"/>
          <w:highlight w:val="none"/>
        </w:rPr>
      </w:pPr>
      <w:r>
        <w:rPr>
          <w:rFonts w:ascii="仿宋" w:hAnsi="仿宋" w:eastAsia="仿宋" w:cs="仿宋"/>
          <w:spacing w:val="-4"/>
          <w:sz w:val="23"/>
          <w:szCs w:val="23"/>
          <w:highlight w:val="none"/>
        </w:rPr>
        <w:t xml:space="preserve">甲方：  </w:t>
      </w:r>
      <w:r>
        <w:rPr>
          <w:rFonts w:ascii="仿宋" w:hAnsi="仿宋" w:eastAsia="仿宋" w:cs="仿宋"/>
          <w:spacing w:val="-2"/>
          <w:sz w:val="23"/>
          <w:szCs w:val="23"/>
          <w:highlight w:val="none"/>
        </w:rPr>
        <w:t>(买方) _________</w:t>
      </w:r>
    </w:p>
    <w:p w14:paraId="41C67377">
      <w:pPr>
        <w:spacing w:before="304" w:line="226" w:lineRule="auto"/>
        <w:ind w:left="33"/>
        <w:rPr>
          <w:rFonts w:ascii="仿宋" w:hAnsi="仿宋" w:eastAsia="仿宋" w:cs="仿宋"/>
          <w:sz w:val="23"/>
          <w:szCs w:val="23"/>
          <w:highlight w:val="none"/>
        </w:rPr>
      </w:pPr>
      <w:r>
        <w:rPr>
          <w:rFonts w:ascii="仿宋" w:hAnsi="仿宋" w:eastAsia="仿宋" w:cs="仿宋"/>
          <w:spacing w:val="-2"/>
          <w:sz w:val="23"/>
          <w:szCs w:val="23"/>
          <w:highlight w:val="none"/>
        </w:rPr>
        <w:t>乙方：  (卖方) ____</w:t>
      </w:r>
      <w:r>
        <w:rPr>
          <w:rFonts w:ascii="仿宋" w:hAnsi="仿宋" w:eastAsia="仿宋" w:cs="仿宋"/>
          <w:spacing w:val="-1"/>
          <w:sz w:val="23"/>
          <w:szCs w:val="23"/>
          <w:highlight w:val="none"/>
        </w:rPr>
        <w:t>_____</w:t>
      </w:r>
    </w:p>
    <w:p w14:paraId="3D660760">
      <w:pPr>
        <w:spacing w:before="303" w:line="231" w:lineRule="auto"/>
        <w:ind w:left="408"/>
        <w:rPr>
          <w:rFonts w:ascii="仿宋" w:hAnsi="仿宋" w:eastAsia="仿宋" w:cs="仿宋"/>
          <w:sz w:val="23"/>
          <w:szCs w:val="23"/>
          <w:highlight w:val="none"/>
        </w:rPr>
      </w:pPr>
      <w:r>
        <w:rPr>
          <w:rFonts w:ascii="仿宋" w:hAnsi="仿宋" w:eastAsia="仿宋" w:cs="仿宋"/>
          <w:spacing w:val="12"/>
          <w:sz w:val="23"/>
          <w:szCs w:val="23"/>
          <w:highlight w:val="none"/>
        </w:rPr>
        <w:t>甲、乙双</w:t>
      </w:r>
      <w:r>
        <w:rPr>
          <w:rFonts w:ascii="仿宋" w:hAnsi="仿宋" w:eastAsia="仿宋" w:cs="仿宋"/>
          <w:spacing w:val="6"/>
          <w:sz w:val="23"/>
          <w:szCs w:val="23"/>
          <w:highlight w:val="none"/>
        </w:rPr>
        <w:t>方根据</w:t>
      </w:r>
      <w:r>
        <w:rPr>
          <w:rFonts w:ascii="仿宋" w:hAnsi="仿宋" w:eastAsia="仿宋" w:cs="仿宋"/>
          <w:spacing w:val="6"/>
          <w:sz w:val="23"/>
          <w:szCs w:val="23"/>
          <w:highlight w:val="none"/>
          <w:u w:val="single" w:color="auto"/>
        </w:rPr>
        <w:t xml:space="preserve">          </w:t>
      </w:r>
      <w:r>
        <w:rPr>
          <w:rFonts w:ascii="仿宋" w:hAnsi="仿宋" w:eastAsia="仿宋" w:cs="仿宋"/>
          <w:spacing w:val="6"/>
          <w:sz w:val="23"/>
          <w:szCs w:val="23"/>
          <w:highlight w:val="none"/>
        </w:rPr>
        <w:t>项目公开招标的结果，签署本合同。</w:t>
      </w:r>
    </w:p>
    <w:p w14:paraId="58804C69">
      <w:pPr>
        <w:spacing w:before="301" w:line="391" w:lineRule="exact"/>
        <w:ind w:left="500"/>
        <w:rPr>
          <w:rFonts w:ascii="仿宋" w:hAnsi="仿宋" w:eastAsia="仿宋" w:cs="仿宋"/>
          <w:sz w:val="23"/>
          <w:szCs w:val="23"/>
          <w:highlight w:val="none"/>
        </w:rPr>
      </w:pPr>
      <w:r>
        <w:rPr>
          <w:rFonts w:ascii="仿宋" w:hAnsi="仿宋" w:eastAsia="仿宋" w:cs="仿宋"/>
          <w:spacing w:val="10"/>
          <w:position w:val="3"/>
          <w:sz w:val="23"/>
          <w:szCs w:val="23"/>
          <w:highlight w:val="none"/>
        </w:rPr>
        <w:t>一</w:t>
      </w:r>
      <w:r>
        <w:rPr>
          <w:rFonts w:ascii="仿宋" w:hAnsi="仿宋" w:eastAsia="仿宋" w:cs="仿宋"/>
          <w:spacing w:val="7"/>
          <w:position w:val="3"/>
          <w:sz w:val="23"/>
          <w:szCs w:val="23"/>
          <w:highlight w:val="none"/>
        </w:rPr>
        <w:t>、产品内容</w:t>
      </w:r>
    </w:p>
    <w:p w14:paraId="4A8062A0">
      <w:pPr>
        <w:spacing w:before="197" w:line="229" w:lineRule="auto"/>
        <w:ind w:left="506"/>
        <w:rPr>
          <w:rFonts w:ascii="仿宋" w:hAnsi="仿宋" w:eastAsia="仿宋" w:cs="仿宋"/>
          <w:sz w:val="23"/>
          <w:szCs w:val="23"/>
          <w:highlight w:val="none"/>
        </w:rPr>
      </w:pPr>
      <w:r>
        <w:rPr>
          <w:rFonts w:ascii="仿宋" w:hAnsi="仿宋" w:eastAsia="仿宋" w:cs="仿宋"/>
          <w:spacing w:val="6"/>
          <w:sz w:val="23"/>
          <w:szCs w:val="23"/>
          <w:highlight w:val="none"/>
        </w:rPr>
        <w:t>1.</w:t>
      </w:r>
      <w:r>
        <w:rPr>
          <w:rFonts w:ascii="仿宋" w:hAnsi="仿宋" w:eastAsia="仿宋" w:cs="仿宋"/>
          <w:spacing w:val="3"/>
          <w:sz w:val="23"/>
          <w:szCs w:val="23"/>
          <w:highlight w:val="none"/>
        </w:rPr>
        <w:t>1 产品名称：</w:t>
      </w:r>
    </w:p>
    <w:p w14:paraId="24052E61">
      <w:pPr>
        <w:spacing w:before="300" w:line="231" w:lineRule="auto"/>
        <w:ind w:left="506"/>
        <w:rPr>
          <w:rFonts w:ascii="仿宋" w:hAnsi="仿宋" w:eastAsia="仿宋" w:cs="仿宋"/>
          <w:sz w:val="23"/>
          <w:szCs w:val="23"/>
          <w:highlight w:val="none"/>
        </w:rPr>
      </w:pPr>
      <w:r>
        <w:rPr>
          <w:rFonts w:ascii="仿宋" w:hAnsi="仿宋" w:eastAsia="仿宋" w:cs="仿宋"/>
          <w:spacing w:val="6"/>
          <w:sz w:val="23"/>
          <w:szCs w:val="23"/>
          <w:highlight w:val="none"/>
        </w:rPr>
        <w:t>1.</w:t>
      </w:r>
      <w:r>
        <w:rPr>
          <w:rFonts w:ascii="仿宋" w:hAnsi="仿宋" w:eastAsia="仿宋" w:cs="仿宋"/>
          <w:spacing w:val="3"/>
          <w:sz w:val="23"/>
          <w:szCs w:val="23"/>
          <w:highlight w:val="none"/>
        </w:rPr>
        <w:t>2 型号规格：</w:t>
      </w:r>
    </w:p>
    <w:p w14:paraId="4A9840BC">
      <w:pPr>
        <w:spacing w:before="301" w:line="229" w:lineRule="auto"/>
        <w:ind w:left="506"/>
        <w:rPr>
          <w:rFonts w:ascii="仿宋" w:hAnsi="仿宋" w:eastAsia="仿宋" w:cs="仿宋"/>
          <w:sz w:val="23"/>
          <w:szCs w:val="23"/>
          <w:highlight w:val="none"/>
        </w:rPr>
      </w:pPr>
      <w:r>
        <w:rPr>
          <w:rFonts w:ascii="仿宋" w:hAnsi="仿宋" w:eastAsia="仿宋" w:cs="仿宋"/>
          <w:spacing w:val="7"/>
          <w:sz w:val="23"/>
          <w:szCs w:val="23"/>
          <w:highlight w:val="none"/>
        </w:rPr>
        <w:t>1</w:t>
      </w:r>
      <w:r>
        <w:rPr>
          <w:rFonts w:ascii="仿宋" w:hAnsi="仿宋" w:eastAsia="仿宋" w:cs="仿宋"/>
          <w:spacing w:val="4"/>
          <w:sz w:val="23"/>
          <w:szCs w:val="23"/>
          <w:highlight w:val="none"/>
        </w:rPr>
        <w:t>.3 数量 (单位) ：</w:t>
      </w:r>
    </w:p>
    <w:p w14:paraId="797D5125">
      <w:pPr>
        <w:spacing w:before="300" w:line="327" w:lineRule="exact"/>
        <w:ind w:left="504"/>
        <w:rPr>
          <w:rFonts w:ascii="仿宋" w:hAnsi="仿宋" w:eastAsia="仿宋" w:cs="仿宋"/>
          <w:sz w:val="23"/>
          <w:szCs w:val="23"/>
          <w:highlight w:val="none"/>
        </w:rPr>
      </w:pPr>
      <w:r>
        <w:rPr>
          <w:rFonts w:ascii="仿宋" w:hAnsi="仿宋" w:eastAsia="仿宋" w:cs="仿宋"/>
          <w:spacing w:val="7"/>
          <w:position w:val="2"/>
          <w:sz w:val="23"/>
          <w:szCs w:val="23"/>
          <w:highlight w:val="none"/>
        </w:rPr>
        <w:t>二、合同金</w:t>
      </w:r>
      <w:r>
        <w:rPr>
          <w:rFonts w:ascii="仿宋" w:hAnsi="仿宋" w:eastAsia="仿宋" w:cs="仿宋"/>
          <w:spacing w:val="6"/>
          <w:position w:val="2"/>
          <w:sz w:val="23"/>
          <w:szCs w:val="23"/>
          <w:highlight w:val="none"/>
        </w:rPr>
        <w:t>额</w:t>
      </w:r>
    </w:p>
    <w:p w14:paraId="5E6DF8DF">
      <w:pPr>
        <w:spacing w:before="261" w:line="229" w:lineRule="auto"/>
        <w:ind w:left="559"/>
        <w:rPr>
          <w:rFonts w:ascii="仿宋" w:hAnsi="仿宋" w:eastAsia="仿宋" w:cs="仿宋"/>
          <w:sz w:val="23"/>
          <w:szCs w:val="23"/>
          <w:highlight w:val="none"/>
        </w:rPr>
      </w:pPr>
      <w:r>
        <w:rPr>
          <w:rFonts w:ascii="仿宋" w:hAnsi="仿宋" w:eastAsia="仿宋" w:cs="仿宋"/>
          <w:spacing w:val="7"/>
          <w:sz w:val="23"/>
          <w:szCs w:val="23"/>
          <w:highlight w:val="none"/>
        </w:rPr>
        <w:t>2.1 本合同金额为 (大写) ：_____圆 (_____元) 人民币或其他币种</w:t>
      </w:r>
      <w:r>
        <w:rPr>
          <w:rFonts w:ascii="仿宋" w:hAnsi="仿宋" w:eastAsia="仿宋" w:cs="仿宋"/>
          <w:spacing w:val="1"/>
          <w:sz w:val="23"/>
          <w:szCs w:val="23"/>
          <w:highlight w:val="none"/>
        </w:rPr>
        <w:t>。</w:t>
      </w:r>
    </w:p>
    <w:p w14:paraId="0547D312">
      <w:pPr>
        <w:spacing w:before="302" w:line="312" w:lineRule="exact"/>
        <w:ind w:left="503"/>
        <w:rPr>
          <w:rFonts w:ascii="仿宋" w:hAnsi="仿宋" w:eastAsia="仿宋" w:cs="仿宋"/>
          <w:sz w:val="23"/>
          <w:szCs w:val="23"/>
          <w:highlight w:val="none"/>
        </w:rPr>
      </w:pPr>
      <w:r>
        <w:rPr>
          <w:rFonts w:ascii="仿宋" w:hAnsi="仿宋" w:eastAsia="仿宋" w:cs="仿宋"/>
          <w:spacing w:val="7"/>
          <w:position w:val="1"/>
          <w:sz w:val="23"/>
          <w:szCs w:val="23"/>
          <w:highlight w:val="none"/>
        </w:rPr>
        <w:t>三、技术资料</w:t>
      </w:r>
    </w:p>
    <w:p w14:paraId="41A919B6">
      <w:pPr>
        <w:spacing w:before="275" w:line="228" w:lineRule="auto"/>
        <w:ind w:left="561"/>
        <w:rPr>
          <w:rFonts w:ascii="仿宋" w:hAnsi="仿宋" w:eastAsia="仿宋" w:cs="仿宋"/>
          <w:sz w:val="23"/>
          <w:szCs w:val="23"/>
          <w:highlight w:val="none"/>
        </w:rPr>
      </w:pPr>
      <w:r>
        <w:rPr>
          <w:rFonts w:ascii="仿宋" w:hAnsi="仿宋" w:eastAsia="仿宋" w:cs="仿宋"/>
          <w:spacing w:val="7"/>
          <w:sz w:val="23"/>
          <w:szCs w:val="23"/>
          <w:highlight w:val="none"/>
        </w:rPr>
        <w:t>3.1 乙方应按招标文件规定的时间向甲方提供使用货物的有关技术资料</w:t>
      </w:r>
      <w:r>
        <w:rPr>
          <w:rFonts w:ascii="仿宋" w:hAnsi="仿宋" w:eastAsia="仿宋" w:cs="仿宋"/>
          <w:spacing w:val="5"/>
          <w:sz w:val="23"/>
          <w:szCs w:val="23"/>
          <w:highlight w:val="none"/>
        </w:rPr>
        <w:t>。</w:t>
      </w:r>
    </w:p>
    <w:p w14:paraId="22CED89B">
      <w:pPr>
        <w:spacing w:before="302" w:line="379" w:lineRule="auto"/>
        <w:ind w:left="494" w:firstLine="66"/>
        <w:rPr>
          <w:rFonts w:ascii="仿宋" w:hAnsi="仿宋" w:eastAsia="仿宋" w:cs="仿宋"/>
          <w:sz w:val="23"/>
          <w:szCs w:val="23"/>
          <w:highlight w:val="none"/>
        </w:rPr>
      </w:pPr>
      <w:r>
        <w:rPr>
          <w:rFonts w:ascii="仿宋" w:hAnsi="仿宋" w:eastAsia="仿宋" w:cs="仿宋"/>
          <w:spacing w:val="18"/>
          <w:sz w:val="23"/>
          <w:szCs w:val="23"/>
          <w:highlight w:val="none"/>
        </w:rPr>
        <w:t>3.</w:t>
      </w:r>
      <w:r>
        <w:rPr>
          <w:rFonts w:ascii="仿宋" w:hAnsi="仿宋" w:eastAsia="仿宋" w:cs="仿宋"/>
          <w:spacing w:val="12"/>
          <w:sz w:val="23"/>
          <w:szCs w:val="23"/>
          <w:highlight w:val="none"/>
        </w:rPr>
        <w:t>2</w:t>
      </w:r>
      <w:r>
        <w:rPr>
          <w:rFonts w:ascii="仿宋" w:hAnsi="仿宋" w:eastAsia="仿宋" w:cs="仿宋"/>
          <w:spacing w:val="9"/>
          <w:sz w:val="23"/>
          <w:szCs w:val="23"/>
          <w:highlight w:val="none"/>
        </w:rPr>
        <w:t xml:space="preserve"> 没有甲方事先书面同意，乙方不得将由甲方提供的有关合同或任何合同条</w:t>
      </w:r>
      <w:r>
        <w:rPr>
          <w:rFonts w:ascii="仿宋" w:hAnsi="仿宋" w:eastAsia="仿宋" w:cs="仿宋"/>
          <w:sz w:val="23"/>
          <w:szCs w:val="23"/>
          <w:highlight w:val="none"/>
        </w:rPr>
        <w:t xml:space="preserve"> </w:t>
      </w:r>
      <w:r>
        <w:rPr>
          <w:rFonts w:ascii="仿宋" w:hAnsi="仿宋" w:eastAsia="仿宋" w:cs="仿宋"/>
          <w:spacing w:val="17"/>
          <w:sz w:val="23"/>
          <w:szCs w:val="23"/>
          <w:highlight w:val="none"/>
        </w:rPr>
        <w:t>文</w:t>
      </w:r>
      <w:r>
        <w:rPr>
          <w:rFonts w:ascii="仿宋" w:hAnsi="仿宋" w:eastAsia="仿宋" w:cs="仿宋"/>
          <w:spacing w:val="9"/>
          <w:sz w:val="23"/>
          <w:szCs w:val="23"/>
          <w:highlight w:val="none"/>
        </w:rPr>
        <w:t>、规格、计划、 图纸、样品或资料提供给与履行本合同无关的任何其他人。</w:t>
      </w:r>
      <w:r>
        <w:rPr>
          <w:rFonts w:ascii="仿宋" w:hAnsi="仿宋" w:eastAsia="仿宋" w:cs="仿宋"/>
          <w:sz w:val="23"/>
          <w:szCs w:val="23"/>
          <w:highlight w:val="none"/>
        </w:rPr>
        <w:t xml:space="preserve"> </w:t>
      </w:r>
      <w:r>
        <w:rPr>
          <w:rFonts w:ascii="仿宋" w:hAnsi="仿宋" w:eastAsia="仿宋" w:cs="仿宋"/>
          <w:spacing w:val="14"/>
          <w:sz w:val="23"/>
          <w:szCs w:val="23"/>
          <w:highlight w:val="none"/>
        </w:rPr>
        <w:t>即使向</w:t>
      </w:r>
      <w:r>
        <w:rPr>
          <w:rFonts w:ascii="仿宋" w:hAnsi="仿宋" w:eastAsia="仿宋" w:cs="仿宋"/>
          <w:spacing w:val="9"/>
          <w:sz w:val="23"/>
          <w:szCs w:val="23"/>
          <w:highlight w:val="none"/>
        </w:rPr>
        <w:t>履</w:t>
      </w:r>
      <w:r>
        <w:rPr>
          <w:rFonts w:ascii="仿宋" w:hAnsi="仿宋" w:eastAsia="仿宋" w:cs="仿宋"/>
          <w:spacing w:val="7"/>
          <w:sz w:val="23"/>
          <w:szCs w:val="23"/>
          <w:highlight w:val="none"/>
        </w:rPr>
        <w:t>行本合同有关的人员提供，也应注意保密并限于履行合同的必需范围。</w:t>
      </w:r>
    </w:p>
    <w:p w14:paraId="7122479D">
      <w:pPr>
        <w:spacing w:before="104" w:line="302" w:lineRule="exact"/>
        <w:ind w:left="592"/>
        <w:rPr>
          <w:rFonts w:ascii="仿宋" w:hAnsi="仿宋" w:eastAsia="仿宋" w:cs="仿宋"/>
          <w:sz w:val="23"/>
          <w:szCs w:val="23"/>
          <w:highlight w:val="none"/>
        </w:rPr>
      </w:pPr>
      <w:r>
        <w:rPr>
          <w:rFonts w:ascii="仿宋" w:hAnsi="仿宋" w:eastAsia="仿宋" w:cs="仿宋"/>
          <w:spacing w:val="5"/>
          <w:position w:val="1"/>
          <w:sz w:val="23"/>
          <w:szCs w:val="23"/>
          <w:highlight w:val="none"/>
        </w:rPr>
        <w:t>四</w:t>
      </w:r>
      <w:r>
        <w:rPr>
          <w:rFonts w:ascii="仿宋" w:hAnsi="仿宋" w:eastAsia="仿宋" w:cs="仿宋"/>
          <w:spacing w:val="3"/>
          <w:position w:val="1"/>
          <w:sz w:val="23"/>
          <w:szCs w:val="23"/>
          <w:highlight w:val="none"/>
        </w:rPr>
        <w:t>、知识产权</w:t>
      </w:r>
    </w:p>
    <w:p w14:paraId="15425EE9">
      <w:pPr>
        <w:spacing w:before="285" w:line="228" w:lineRule="auto"/>
        <w:ind w:left="488"/>
        <w:rPr>
          <w:rFonts w:ascii="仿宋" w:hAnsi="仿宋" w:eastAsia="仿宋" w:cs="仿宋"/>
          <w:sz w:val="23"/>
          <w:szCs w:val="23"/>
          <w:highlight w:val="none"/>
        </w:rPr>
      </w:pPr>
      <w:r>
        <w:rPr>
          <w:rFonts w:ascii="仿宋" w:hAnsi="仿宋" w:eastAsia="仿宋" w:cs="仿宋"/>
          <w:spacing w:val="10"/>
          <w:sz w:val="23"/>
          <w:szCs w:val="23"/>
          <w:highlight w:val="none"/>
        </w:rPr>
        <w:t>4</w:t>
      </w:r>
      <w:r>
        <w:rPr>
          <w:rFonts w:ascii="仿宋" w:hAnsi="仿宋" w:eastAsia="仿宋" w:cs="仿宋"/>
          <w:spacing w:val="6"/>
          <w:sz w:val="23"/>
          <w:szCs w:val="23"/>
          <w:highlight w:val="none"/>
        </w:rPr>
        <w:t>.</w:t>
      </w:r>
      <w:r>
        <w:rPr>
          <w:rFonts w:ascii="仿宋" w:hAnsi="仿宋" w:eastAsia="仿宋" w:cs="仿宋"/>
          <w:spacing w:val="5"/>
          <w:sz w:val="23"/>
          <w:szCs w:val="23"/>
          <w:highlight w:val="none"/>
        </w:rPr>
        <w:t>1 乙方应保证甲方在使用、接受本合同货物和服务或其任何一部分时不受第三</w:t>
      </w:r>
    </w:p>
    <w:p w14:paraId="2B6BB7E8">
      <w:pPr>
        <w:spacing w:before="163" w:line="382" w:lineRule="auto"/>
        <w:ind w:left="15" w:right="61" w:firstLine="6"/>
        <w:rPr>
          <w:rFonts w:ascii="仿宋" w:hAnsi="仿宋" w:eastAsia="仿宋" w:cs="仿宋"/>
          <w:sz w:val="23"/>
          <w:szCs w:val="23"/>
          <w:highlight w:val="none"/>
        </w:rPr>
      </w:pPr>
      <w:r>
        <w:rPr>
          <w:rFonts w:ascii="仿宋" w:hAnsi="仿宋" w:eastAsia="仿宋" w:cs="仿宋"/>
          <w:spacing w:val="12"/>
          <w:sz w:val="23"/>
          <w:szCs w:val="23"/>
          <w:highlight w:val="none"/>
        </w:rPr>
        <w:t>方提出侵犯其专利权、版权、商标权和工业设计权等知识产权的起诉。一旦出现</w:t>
      </w:r>
      <w:r>
        <w:rPr>
          <w:rFonts w:ascii="仿宋" w:hAnsi="仿宋" w:eastAsia="仿宋" w:cs="仿宋"/>
          <w:spacing w:val="6"/>
          <w:sz w:val="23"/>
          <w:szCs w:val="23"/>
          <w:highlight w:val="none"/>
        </w:rPr>
        <w:t>侵</w:t>
      </w:r>
      <w:r>
        <w:rPr>
          <w:rFonts w:ascii="仿宋" w:hAnsi="仿宋" w:eastAsia="仿宋" w:cs="仿宋"/>
          <w:sz w:val="23"/>
          <w:szCs w:val="23"/>
          <w:highlight w:val="none"/>
        </w:rPr>
        <w:t xml:space="preserve"> </w:t>
      </w:r>
      <w:r>
        <w:rPr>
          <w:rFonts w:ascii="仿宋" w:hAnsi="仿宋" w:eastAsia="仿宋" w:cs="仿宋"/>
          <w:spacing w:val="-4"/>
          <w:sz w:val="23"/>
          <w:szCs w:val="23"/>
          <w:highlight w:val="none"/>
        </w:rPr>
        <w:t xml:space="preserve">权， </w:t>
      </w:r>
      <w:r>
        <w:rPr>
          <w:rFonts w:ascii="仿宋" w:hAnsi="仿宋" w:eastAsia="仿宋" w:cs="仿宋"/>
          <w:spacing w:val="-3"/>
          <w:sz w:val="23"/>
          <w:szCs w:val="23"/>
          <w:highlight w:val="none"/>
        </w:rPr>
        <w:t>由</w:t>
      </w:r>
      <w:r>
        <w:rPr>
          <w:rFonts w:ascii="仿宋" w:hAnsi="仿宋" w:eastAsia="仿宋" w:cs="仿宋"/>
          <w:spacing w:val="-2"/>
          <w:sz w:val="23"/>
          <w:szCs w:val="23"/>
          <w:highlight w:val="none"/>
        </w:rPr>
        <w:t>乙方负全部责任。</w:t>
      </w:r>
    </w:p>
    <w:p w14:paraId="020C2933">
      <w:pPr>
        <w:spacing w:before="102" w:line="318" w:lineRule="exact"/>
        <w:ind w:left="500"/>
        <w:rPr>
          <w:rFonts w:ascii="仿宋" w:hAnsi="仿宋" w:eastAsia="仿宋" w:cs="仿宋"/>
          <w:sz w:val="23"/>
          <w:szCs w:val="23"/>
          <w:highlight w:val="none"/>
        </w:rPr>
      </w:pPr>
      <w:r>
        <w:rPr>
          <w:rFonts w:ascii="仿宋" w:hAnsi="仿宋" w:eastAsia="仿宋" w:cs="仿宋"/>
          <w:spacing w:val="10"/>
          <w:position w:val="1"/>
          <w:sz w:val="23"/>
          <w:szCs w:val="23"/>
          <w:highlight w:val="none"/>
        </w:rPr>
        <w:t>五</w:t>
      </w:r>
      <w:r>
        <w:rPr>
          <w:rFonts w:ascii="仿宋" w:hAnsi="仿宋" w:eastAsia="仿宋" w:cs="仿宋"/>
          <w:spacing w:val="7"/>
          <w:position w:val="1"/>
          <w:sz w:val="23"/>
          <w:szCs w:val="23"/>
          <w:highlight w:val="none"/>
        </w:rPr>
        <w:t>、产权担保</w:t>
      </w:r>
    </w:p>
    <w:p w14:paraId="29BBD137">
      <w:pPr>
        <w:spacing w:before="267" w:line="384" w:lineRule="auto"/>
        <w:ind w:left="493" w:right="61" w:firstLine="70"/>
        <w:rPr>
          <w:rFonts w:ascii="仿宋" w:hAnsi="仿宋" w:eastAsia="仿宋" w:cs="仿宋"/>
          <w:sz w:val="23"/>
          <w:szCs w:val="23"/>
          <w:highlight w:val="none"/>
        </w:rPr>
      </w:pPr>
      <w:r>
        <w:rPr>
          <w:rFonts w:ascii="仿宋" w:hAnsi="仿宋" w:eastAsia="仿宋" w:cs="仿宋"/>
          <w:spacing w:val="18"/>
          <w:sz w:val="23"/>
          <w:szCs w:val="23"/>
          <w:highlight w:val="none"/>
        </w:rPr>
        <w:t>5.</w:t>
      </w:r>
      <w:r>
        <w:rPr>
          <w:rFonts w:ascii="仿宋" w:hAnsi="仿宋" w:eastAsia="仿宋" w:cs="仿宋"/>
          <w:spacing w:val="12"/>
          <w:sz w:val="23"/>
          <w:szCs w:val="23"/>
          <w:highlight w:val="none"/>
        </w:rPr>
        <w:t>1</w:t>
      </w:r>
      <w:r>
        <w:rPr>
          <w:rFonts w:ascii="仿宋" w:hAnsi="仿宋" w:eastAsia="仿宋" w:cs="仿宋"/>
          <w:spacing w:val="9"/>
          <w:sz w:val="23"/>
          <w:szCs w:val="23"/>
          <w:highlight w:val="none"/>
        </w:rPr>
        <w:t xml:space="preserve"> 乙方保证所交付的产品的所有权完全属于乙方且无任何抵押、查封等产权</w:t>
      </w:r>
      <w:r>
        <w:rPr>
          <w:rFonts w:ascii="仿宋" w:hAnsi="仿宋" w:eastAsia="仿宋" w:cs="仿宋"/>
          <w:sz w:val="23"/>
          <w:szCs w:val="23"/>
          <w:highlight w:val="none"/>
        </w:rPr>
        <w:t xml:space="preserve"> </w:t>
      </w:r>
      <w:r>
        <w:rPr>
          <w:rFonts w:ascii="仿宋" w:hAnsi="仿宋" w:eastAsia="仿宋" w:cs="仿宋"/>
          <w:spacing w:val="2"/>
          <w:sz w:val="23"/>
          <w:szCs w:val="23"/>
          <w:highlight w:val="none"/>
        </w:rPr>
        <w:t>瑕</w:t>
      </w:r>
      <w:r>
        <w:rPr>
          <w:rFonts w:ascii="仿宋" w:hAnsi="仿宋" w:eastAsia="仿宋" w:cs="仿宋"/>
          <w:spacing w:val="1"/>
          <w:sz w:val="23"/>
          <w:szCs w:val="23"/>
          <w:highlight w:val="none"/>
        </w:rPr>
        <w:t>疵。</w:t>
      </w:r>
    </w:p>
    <w:p w14:paraId="57FD5EB6">
      <w:pPr>
        <w:spacing w:before="97" w:line="239" w:lineRule="auto"/>
        <w:ind w:left="498"/>
        <w:rPr>
          <w:rFonts w:ascii="仿宋" w:hAnsi="仿宋" w:eastAsia="仿宋" w:cs="仿宋"/>
          <w:sz w:val="23"/>
          <w:szCs w:val="23"/>
          <w:highlight w:val="none"/>
        </w:rPr>
      </w:pPr>
      <w:r>
        <w:rPr>
          <w:rFonts w:ascii="仿宋" w:hAnsi="仿宋" w:eastAsia="仿宋" w:cs="仿宋"/>
          <w:spacing w:val="9"/>
          <w:sz w:val="23"/>
          <w:szCs w:val="23"/>
          <w:highlight w:val="none"/>
        </w:rPr>
        <w:t>六</w:t>
      </w:r>
      <w:r>
        <w:rPr>
          <w:rFonts w:ascii="仿宋" w:hAnsi="仿宋" w:eastAsia="仿宋" w:cs="仿宋"/>
          <w:spacing w:val="8"/>
          <w:sz w:val="23"/>
          <w:szCs w:val="23"/>
          <w:highlight w:val="none"/>
        </w:rPr>
        <w:t>、转包或分包</w:t>
      </w:r>
    </w:p>
    <w:p w14:paraId="1EC2DE5E">
      <w:pPr>
        <w:spacing w:before="289" w:line="231" w:lineRule="auto"/>
        <w:ind w:left="491"/>
        <w:rPr>
          <w:rFonts w:ascii="仿宋" w:hAnsi="仿宋" w:eastAsia="仿宋" w:cs="仿宋"/>
          <w:sz w:val="23"/>
          <w:szCs w:val="23"/>
          <w:highlight w:val="none"/>
        </w:rPr>
      </w:pPr>
      <w:r>
        <w:rPr>
          <w:rFonts w:ascii="仿宋" w:hAnsi="仿宋" w:eastAsia="仿宋" w:cs="仿宋"/>
          <w:spacing w:val="12"/>
          <w:sz w:val="23"/>
          <w:szCs w:val="23"/>
          <w:highlight w:val="none"/>
        </w:rPr>
        <w:t>6.1</w:t>
      </w:r>
      <w:r>
        <w:rPr>
          <w:rFonts w:ascii="仿宋" w:hAnsi="仿宋" w:eastAsia="仿宋" w:cs="仿宋"/>
          <w:spacing w:val="11"/>
          <w:sz w:val="23"/>
          <w:szCs w:val="23"/>
          <w:highlight w:val="none"/>
        </w:rPr>
        <w:t xml:space="preserve"> </w:t>
      </w:r>
      <w:r>
        <w:rPr>
          <w:rFonts w:ascii="仿宋" w:hAnsi="仿宋" w:eastAsia="仿宋" w:cs="仿宋"/>
          <w:spacing w:val="6"/>
          <w:sz w:val="23"/>
          <w:szCs w:val="23"/>
          <w:highlight w:val="none"/>
        </w:rPr>
        <w:t>本合同范围的产品，应由乙方直接供应，不得转让他人供应；</w:t>
      </w:r>
    </w:p>
    <w:p w14:paraId="25B6DA1E">
      <w:pPr>
        <w:spacing w:before="300" w:line="231" w:lineRule="auto"/>
        <w:ind w:left="491"/>
        <w:rPr>
          <w:rFonts w:ascii="仿宋" w:hAnsi="仿宋" w:eastAsia="仿宋" w:cs="仿宋"/>
          <w:sz w:val="23"/>
          <w:szCs w:val="23"/>
          <w:highlight w:val="none"/>
        </w:rPr>
      </w:pPr>
      <w:r>
        <w:rPr>
          <w:rFonts w:ascii="仿宋" w:hAnsi="仿宋" w:eastAsia="仿宋" w:cs="仿宋"/>
          <w:spacing w:val="16"/>
          <w:sz w:val="23"/>
          <w:szCs w:val="23"/>
          <w:highlight w:val="none"/>
        </w:rPr>
        <w:t>6.</w:t>
      </w:r>
      <w:r>
        <w:rPr>
          <w:rFonts w:ascii="仿宋" w:hAnsi="仿宋" w:eastAsia="仿宋" w:cs="仿宋"/>
          <w:spacing w:val="11"/>
          <w:sz w:val="23"/>
          <w:szCs w:val="23"/>
          <w:highlight w:val="none"/>
        </w:rPr>
        <w:t>2</w:t>
      </w:r>
      <w:r>
        <w:rPr>
          <w:rFonts w:ascii="仿宋" w:hAnsi="仿宋" w:eastAsia="仿宋" w:cs="仿宋"/>
          <w:spacing w:val="8"/>
          <w:sz w:val="23"/>
          <w:szCs w:val="23"/>
          <w:highlight w:val="none"/>
        </w:rPr>
        <w:t xml:space="preserve"> 除非得到甲方的书面同意，乙方不得部分分包给他人供应。</w:t>
      </w:r>
    </w:p>
    <w:p w14:paraId="1842191C">
      <w:pPr>
        <w:spacing w:before="298" w:line="227" w:lineRule="auto"/>
        <w:ind w:left="491"/>
        <w:rPr>
          <w:rFonts w:ascii="仿宋" w:hAnsi="仿宋" w:eastAsia="仿宋" w:cs="仿宋"/>
          <w:sz w:val="23"/>
          <w:szCs w:val="23"/>
          <w:highlight w:val="none"/>
        </w:rPr>
      </w:pPr>
      <w:r>
        <w:rPr>
          <w:rFonts w:ascii="仿宋" w:hAnsi="仿宋" w:eastAsia="仿宋" w:cs="仿宋"/>
          <w:spacing w:val="6"/>
          <w:sz w:val="23"/>
          <w:szCs w:val="23"/>
          <w:highlight w:val="none"/>
        </w:rPr>
        <w:t>6</w:t>
      </w:r>
      <w:r>
        <w:rPr>
          <w:rFonts w:ascii="仿宋" w:hAnsi="仿宋" w:eastAsia="仿宋" w:cs="仿宋"/>
          <w:spacing w:val="5"/>
          <w:sz w:val="23"/>
          <w:szCs w:val="23"/>
          <w:highlight w:val="none"/>
        </w:rPr>
        <w:t>.</w:t>
      </w:r>
      <w:r>
        <w:rPr>
          <w:rFonts w:ascii="仿宋" w:hAnsi="仿宋" w:eastAsia="仿宋" w:cs="仿宋"/>
          <w:spacing w:val="3"/>
          <w:sz w:val="23"/>
          <w:szCs w:val="23"/>
          <w:highlight w:val="none"/>
        </w:rPr>
        <w:t>3 如有转让和未经甲方同意的分包行为， 甲方有权给予终止合同。</w:t>
      </w:r>
    </w:p>
    <w:p w14:paraId="14ED55EB">
      <w:pPr>
        <w:spacing w:before="303" w:line="242" w:lineRule="auto"/>
        <w:ind w:left="501"/>
        <w:rPr>
          <w:rFonts w:ascii="仿宋" w:hAnsi="仿宋" w:eastAsia="仿宋" w:cs="仿宋"/>
          <w:sz w:val="23"/>
          <w:szCs w:val="23"/>
          <w:highlight w:val="none"/>
        </w:rPr>
      </w:pPr>
      <w:r>
        <w:rPr>
          <w:rFonts w:ascii="仿宋" w:hAnsi="仿宋" w:eastAsia="仿宋" w:cs="仿宋"/>
          <w:spacing w:val="7"/>
          <w:sz w:val="23"/>
          <w:szCs w:val="23"/>
          <w:highlight w:val="none"/>
        </w:rPr>
        <w:t>七</w:t>
      </w:r>
      <w:r>
        <w:rPr>
          <w:rFonts w:ascii="仿宋" w:hAnsi="仿宋" w:eastAsia="仿宋" w:cs="仿宋"/>
          <w:spacing w:val="6"/>
          <w:sz w:val="23"/>
          <w:szCs w:val="23"/>
          <w:highlight w:val="none"/>
        </w:rPr>
        <w:t>、质保期</w:t>
      </w:r>
    </w:p>
    <w:p w14:paraId="0C2F1903">
      <w:pPr>
        <w:spacing w:before="287" w:line="229" w:lineRule="auto"/>
        <w:ind w:left="490"/>
        <w:rPr>
          <w:rFonts w:ascii="仿宋" w:hAnsi="仿宋" w:eastAsia="仿宋" w:cs="仿宋"/>
          <w:sz w:val="23"/>
          <w:szCs w:val="23"/>
          <w:highlight w:val="none"/>
        </w:rPr>
      </w:pPr>
      <w:r>
        <w:rPr>
          <w:rFonts w:ascii="仿宋" w:hAnsi="仿宋" w:eastAsia="仿宋" w:cs="仿宋"/>
          <w:spacing w:val="-8"/>
          <w:sz w:val="23"/>
          <w:szCs w:val="23"/>
          <w:highlight w:val="none"/>
        </w:rPr>
        <w:t>8</w:t>
      </w:r>
      <w:r>
        <w:rPr>
          <w:rFonts w:ascii="仿宋" w:hAnsi="仿宋" w:eastAsia="仿宋" w:cs="仿宋"/>
          <w:spacing w:val="-7"/>
          <w:sz w:val="23"/>
          <w:szCs w:val="23"/>
          <w:highlight w:val="none"/>
        </w:rPr>
        <w:t>.</w:t>
      </w:r>
      <w:r>
        <w:rPr>
          <w:rFonts w:ascii="仿宋" w:hAnsi="仿宋" w:eastAsia="仿宋" w:cs="仿宋"/>
          <w:spacing w:val="-4"/>
          <w:sz w:val="23"/>
          <w:szCs w:val="23"/>
          <w:highlight w:val="none"/>
        </w:rPr>
        <w:t>1 质保期</w:t>
      </w:r>
      <w:r>
        <w:rPr>
          <w:rFonts w:ascii="仿宋" w:hAnsi="仿宋" w:eastAsia="仿宋" w:cs="仿宋"/>
          <w:spacing w:val="-4"/>
          <w:sz w:val="23"/>
          <w:szCs w:val="23"/>
          <w:highlight w:val="none"/>
          <w:u w:val="single" w:color="auto"/>
        </w:rPr>
        <w:t xml:space="preserve">      </w:t>
      </w:r>
      <w:r>
        <w:rPr>
          <w:rFonts w:ascii="仿宋" w:hAnsi="仿宋" w:eastAsia="仿宋" w:cs="仿宋"/>
          <w:spacing w:val="-4"/>
          <w:sz w:val="23"/>
          <w:szCs w:val="23"/>
          <w:highlight w:val="none"/>
        </w:rPr>
        <w:t xml:space="preserve"> 年。  ( 自交货验收合格之日起计)</w:t>
      </w:r>
    </w:p>
    <w:p w14:paraId="6A43032B">
      <w:pPr>
        <w:spacing w:before="303" w:line="241" w:lineRule="auto"/>
        <w:ind w:left="495"/>
        <w:rPr>
          <w:rFonts w:ascii="仿宋" w:hAnsi="仿宋" w:eastAsia="仿宋" w:cs="仿宋"/>
          <w:sz w:val="23"/>
          <w:szCs w:val="23"/>
          <w:highlight w:val="none"/>
        </w:rPr>
      </w:pPr>
      <w:r>
        <w:rPr>
          <w:rFonts w:ascii="仿宋" w:hAnsi="仿宋" w:eastAsia="仿宋" w:cs="仿宋"/>
          <w:spacing w:val="18"/>
          <w:sz w:val="23"/>
          <w:szCs w:val="23"/>
          <w:highlight w:val="none"/>
        </w:rPr>
        <w:t>八</w:t>
      </w:r>
      <w:r>
        <w:rPr>
          <w:rFonts w:ascii="仿宋" w:hAnsi="仿宋" w:eastAsia="仿宋" w:cs="仿宋"/>
          <w:spacing w:val="11"/>
          <w:sz w:val="23"/>
          <w:szCs w:val="23"/>
          <w:highlight w:val="none"/>
        </w:rPr>
        <w:t>、</w:t>
      </w:r>
      <w:r>
        <w:rPr>
          <w:rFonts w:ascii="仿宋" w:hAnsi="仿宋" w:eastAsia="仿宋" w:cs="仿宋"/>
          <w:spacing w:val="9"/>
          <w:sz w:val="23"/>
          <w:szCs w:val="23"/>
          <w:highlight w:val="none"/>
        </w:rPr>
        <w:t>交货期、交货方式及交货地点</w:t>
      </w:r>
    </w:p>
    <w:p w14:paraId="73A80BEB">
      <w:pPr>
        <w:spacing w:before="285" w:line="231" w:lineRule="auto"/>
        <w:ind w:left="430"/>
        <w:rPr>
          <w:rFonts w:ascii="仿宋" w:hAnsi="仿宋" w:eastAsia="仿宋" w:cs="仿宋"/>
          <w:sz w:val="23"/>
          <w:szCs w:val="23"/>
          <w:highlight w:val="none"/>
        </w:rPr>
      </w:pPr>
      <w:r>
        <w:rPr>
          <w:rFonts w:ascii="仿宋" w:hAnsi="仿宋" w:eastAsia="仿宋" w:cs="仿宋"/>
          <w:spacing w:val="10"/>
          <w:sz w:val="23"/>
          <w:szCs w:val="23"/>
          <w:highlight w:val="none"/>
        </w:rPr>
        <w:t>8.</w:t>
      </w:r>
      <w:r>
        <w:rPr>
          <w:rFonts w:ascii="仿宋" w:hAnsi="仿宋" w:eastAsia="仿宋" w:cs="仿宋"/>
          <w:spacing w:val="5"/>
          <w:sz w:val="23"/>
          <w:szCs w:val="23"/>
          <w:highlight w:val="none"/>
        </w:rPr>
        <w:t>1 交货期：______</w:t>
      </w:r>
    </w:p>
    <w:p w14:paraId="1B3C93CF">
      <w:pPr>
        <w:spacing w:before="300" w:line="231" w:lineRule="auto"/>
        <w:ind w:left="430"/>
        <w:rPr>
          <w:rFonts w:ascii="仿宋" w:hAnsi="仿宋" w:eastAsia="仿宋" w:cs="仿宋"/>
          <w:sz w:val="23"/>
          <w:szCs w:val="23"/>
          <w:highlight w:val="none"/>
        </w:rPr>
      </w:pPr>
      <w:r>
        <w:rPr>
          <w:rFonts w:ascii="仿宋" w:hAnsi="仿宋" w:eastAsia="仿宋" w:cs="仿宋"/>
          <w:spacing w:val="8"/>
          <w:sz w:val="23"/>
          <w:szCs w:val="23"/>
          <w:highlight w:val="none"/>
        </w:rPr>
        <w:t>8</w:t>
      </w:r>
      <w:r>
        <w:rPr>
          <w:rFonts w:ascii="仿宋" w:hAnsi="仿宋" w:eastAsia="仿宋" w:cs="仿宋"/>
          <w:spacing w:val="6"/>
          <w:sz w:val="23"/>
          <w:szCs w:val="23"/>
          <w:highlight w:val="none"/>
        </w:rPr>
        <w:t>.2 交货方式：____</w:t>
      </w:r>
    </w:p>
    <w:p w14:paraId="77817F34">
      <w:pPr>
        <w:spacing w:before="298" w:line="232" w:lineRule="auto"/>
        <w:ind w:left="430"/>
        <w:rPr>
          <w:rFonts w:ascii="仿宋" w:hAnsi="仿宋" w:eastAsia="仿宋" w:cs="仿宋"/>
          <w:sz w:val="23"/>
          <w:szCs w:val="23"/>
          <w:highlight w:val="none"/>
        </w:rPr>
      </w:pPr>
      <w:r>
        <w:rPr>
          <w:rFonts w:ascii="仿宋" w:hAnsi="仿宋" w:eastAsia="仿宋" w:cs="仿宋"/>
          <w:spacing w:val="8"/>
          <w:sz w:val="23"/>
          <w:szCs w:val="23"/>
          <w:highlight w:val="none"/>
        </w:rPr>
        <w:t>8</w:t>
      </w:r>
      <w:r>
        <w:rPr>
          <w:rFonts w:ascii="仿宋" w:hAnsi="仿宋" w:eastAsia="仿宋" w:cs="仿宋"/>
          <w:spacing w:val="6"/>
          <w:sz w:val="23"/>
          <w:szCs w:val="23"/>
          <w:highlight w:val="none"/>
        </w:rPr>
        <w:t>.3 交货地点：____</w:t>
      </w:r>
    </w:p>
    <w:p w14:paraId="5BBF2865">
      <w:pPr>
        <w:spacing w:before="298" w:line="233" w:lineRule="auto"/>
        <w:ind w:left="445"/>
        <w:rPr>
          <w:rFonts w:ascii="仿宋" w:hAnsi="仿宋" w:eastAsia="仿宋" w:cs="仿宋"/>
          <w:sz w:val="23"/>
          <w:szCs w:val="23"/>
          <w:highlight w:val="none"/>
        </w:rPr>
      </w:pPr>
      <w:r>
        <w:rPr>
          <w:rFonts w:ascii="仿宋" w:hAnsi="仿宋" w:eastAsia="仿宋" w:cs="仿宋"/>
          <w:spacing w:val="10"/>
          <w:sz w:val="23"/>
          <w:szCs w:val="23"/>
          <w:highlight w:val="none"/>
        </w:rPr>
        <w:t>九</w:t>
      </w:r>
      <w:r>
        <w:rPr>
          <w:rFonts w:ascii="仿宋" w:hAnsi="仿宋" w:eastAsia="仿宋" w:cs="仿宋"/>
          <w:spacing w:val="6"/>
          <w:sz w:val="23"/>
          <w:szCs w:val="23"/>
          <w:highlight w:val="none"/>
        </w:rPr>
        <w:t>、货款支付</w:t>
      </w:r>
    </w:p>
    <w:p w14:paraId="01954F25">
      <w:pPr>
        <w:spacing w:before="295" w:line="231" w:lineRule="auto"/>
        <w:ind w:left="430"/>
        <w:rPr>
          <w:rFonts w:ascii="仿宋" w:hAnsi="仿宋" w:eastAsia="仿宋" w:cs="仿宋"/>
          <w:sz w:val="23"/>
          <w:szCs w:val="23"/>
          <w:highlight w:val="none"/>
        </w:rPr>
      </w:pPr>
      <w:r>
        <w:rPr>
          <w:rFonts w:ascii="仿宋" w:hAnsi="仿宋" w:eastAsia="仿宋" w:cs="仿宋"/>
          <w:spacing w:val="14"/>
          <w:sz w:val="23"/>
          <w:szCs w:val="23"/>
          <w:highlight w:val="none"/>
        </w:rPr>
        <w:t>9</w:t>
      </w:r>
      <w:r>
        <w:rPr>
          <w:rFonts w:ascii="仿宋" w:hAnsi="仿宋" w:eastAsia="仿宋" w:cs="仿宋"/>
          <w:spacing w:val="12"/>
          <w:sz w:val="23"/>
          <w:szCs w:val="23"/>
          <w:highlight w:val="none"/>
        </w:rPr>
        <w:t>.</w:t>
      </w:r>
      <w:r>
        <w:rPr>
          <w:rFonts w:ascii="仿宋" w:hAnsi="仿宋" w:eastAsia="仿宋" w:cs="仿宋"/>
          <w:spacing w:val="7"/>
          <w:sz w:val="23"/>
          <w:szCs w:val="23"/>
          <w:highlight w:val="none"/>
        </w:rPr>
        <w:t>1 采购资金的支付方式、时间及条件：_________</w:t>
      </w:r>
    </w:p>
    <w:p w14:paraId="3961A629">
      <w:pPr>
        <w:spacing w:before="301" w:line="381" w:lineRule="auto"/>
        <w:ind w:left="23" w:right="61" w:firstLine="406"/>
        <w:rPr>
          <w:rFonts w:ascii="仿宋" w:hAnsi="仿宋" w:eastAsia="仿宋" w:cs="仿宋"/>
          <w:sz w:val="23"/>
          <w:szCs w:val="23"/>
          <w:highlight w:val="none"/>
        </w:rPr>
      </w:pPr>
      <w:r>
        <w:rPr>
          <w:rFonts w:ascii="仿宋" w:hAnsi="仿宋" w:eastAsia="仿宋" w:cs="仿宋"/>
          <w:spacing w:val="12"/>
          <w:sz w:val="23"/>
          <w:szCs w:val="23"/>
          <w:highlight w:val="none"/>
        </w:rPr>
        <w:t xml:space="preserve">9.2 </w:t>
      </w:r>
      <w:r>
        <w:rPr>
          <w:rFonts w:ascii="仿宋" w:hAnsi="仿宋" w:eastAsia="仿宋" w:cs="仿宋"/>
          <w:spacing w:val="9"/>
          <w:sz w:val="23"/>
          <w:szCs w:val="23"/>
          <w:highlight w:val="none"/>
        </w:rPr>
        <w:t>当</w:t>
      </w:r>
      <w:r>
        <w:rPr>
          <w:rFonts w:ascii="仿宋" w:hAnsi="仿宋" w:eastAsia="仿宋" w:cs="仿宋"/>
          <w:spacing w:val="6"/>
          <w:sz w:val="23"/>
          <w:szCs w:val="23"/>
          <w:highlight w:val="none"/>
        </w:rPr>
        <w:t>采购数量与实际使用数量不一致时，乙方应根据实际使用量供货，合同的</w:t>
      </w:r>
      <w:r>
        <w:rPr>
          <w:rFonts w:ascii="仿宋" w:hAnsi="仿宋" w:eastAsia="仿宋" w:cs="仿宋"/>
          <w:sz w:val="23"/>
          <w:szCs w:val="23"/>
          <w:highlight w:val="none"/>
        </w:rPr>
        <w:t xml:space="preserve"> </w:t>
      </w:r>
      <w:r>
        <w:rPr>
          <w:rFonts w:ascii="仿宋" w:hAnsi="仿宋" w:eastAsia="仿宋" w:cs="仿宋"/>
          <w:spacing w:val="16"/>
          <w:sz w:val="23"/>
          <w:szCs w:val="23"/>
          <w:highlight w:val="none"/>
        </w:rPr>
        <w:t>最</w:t>
      </w:r>
      <w:r>
        <w:rPr>
          <w:rFonts w:ascii="仿宋" w:hAnsi="仿宋" w:eastAsia="仿宋" w:cs="仿宋"/>
          <w:spacing w:val="13"/>
          <w:sz w:val="23"/>
          <w:szCs w:val="23"/>
          <w:highlight w:val="none"/>
        </w:rPr>
        <w:t>终</w:t>
      </w:r>
      <w:r>
        <w:rPr>
          <w:rFonts w:ascii="仿宋" w:hAnsi="仿宋" w:eastAsia="仿宋" w:cs="仿宋"/>
          <w:spacing w:val="8"/>
          <w:sz w:val="23"/>
          <w:szCs w:val="23"/>
          <w:highlight w:val="none"/>
        </w:rPr>
        <w:t>结算金额按实际使用量乘以成交单价进行计算。</w:t>
      </w:r>
    </w:p>
    <w:p w14:paraId="2F37199F">
      <w:pPr>
        <w:spacing w:before="104" w:line="231" w:lineRule="auto"/>
        <w:ind w:left="443"/>
        <w:rPr>
          <w:rFonts w:ascii="仿宋" w:hAnsi="仿宋" w:eastAsia="仿宋" w:cs="仿宋"/>
          <w:sz w:val="23"/>
          <w:szCs w:val="23"/>
          <w:highlight w:val="none"/>
        </w:rPr>
      </w:pPr>
      <w:r>
        <w:rPr>
          <w:rFonts w:ascii="仿宋" w:hAnsi="仿宋" w:eastAsia="仿宋" w:cs="仿宋"/>
          <w:spacing w:val="3"/>
          <w:sz w:val="23"/>
          <w:szCs w:val="23"/>
          <w:highlight w:val="none"/>
        </w:rPr>
        <w:t>十.税费</w:t>
      </w:r>
    </w:p>
    <w:p w14:paraId="2EC174B0">
      <w:pPr>
        <w:spacing w:before="298" w:line="229" w:lineRule="auto"/>
        <w:ind w:left="446"/>
        <w:rPr>
          <w:rFonts w:ascii="仿宋" w:hAnsi="仿宋" w:eastAsia="仿宋" w:cs="仿宋"/>
          <w:sz w:val="23"/>
          <w:szCs w:val="23"/>
          <w:highlight w:val="none"/>
        </w:rPr>
      </w:pPr>
      <w:r>
        <w:rPr>
          <w:rFonts w:ascii="仿宋" w:hAnsi="仿宋" w:eastAsia="仿宋" w:cs="仿宋"/>
          <w:spacing w:val="8"/>
          <w:sz w:val="23"/>
          <w:szCs w:val="23"/>
          <w:highlight w:val="none"/>
        </w:rPr>
        <w:t>1</w:t>
      </w:r>
      <w:r>
        <w:rPr>
          <w:rFonts w:ascii="仿宋" w:hAnsi="仿宋" w:eastAsia="仿宋" w:cs="仿宋"/>
          <w:spacing w:val="5"/>
          <w:sz w:val="23"/>
          <w:szCs w:val="23"/>
          <w:highlight w:val="none"/>
        </w:rPr>
        <w:t>0.1 本合同执行中相关的一切税费均由乙方负担。</w:t>
      </w:r>
    </w:p>
    <w:p w14:paraId="4BDB40DB">
      <w:pPr>
        <w:spacing w:before="302" w:line="231" w:lineRule="auto"/>
        <w:ind w:left="443"/>
        <w:rPr>
          <w:rFonts w:ascii="仿宋" w:hAnsi="仿宋" w:eastAsia="仿宋" w:cs="仿宋"/>
          <w:sz w:val="23"/>
          <w:szCs w:val="23"/>
          <w:highlight w:val="none"/>
        </w:rPr>
      </w:pPr>
      <w:r>
        <w:rPr>
          <w:rFonts w:ascii="仿宋" w:hAnsi="仿宋" w:eastAsia="仿宋" w:cs="仿宋"/>
          <w:spacing w:val="9"/>
          <w:sz w:val="23"/>
          <w:szCs w:val="23"/>
          <w:highlight w:val="none"/>
        </w:rPr>
        <w:t>十一、质量保证及售后服</w:t>
      </w:r>
      <w:r>
        <w:rPr>
          <w:rFonts w:ascii="仿宋" w:hAnsi="仿宋" w:eastAsia="仿宋" w:cs="仿宋"/>
          <w:spacing w:val="8"/>
          <w:sz w:val="23"/>
          <w:szCs w:val="23"/>
          <w:highlight w:val="none"/>
        </w:rPr>
        <w:t>务</w:t>
      </w:r>
    </w:p>
    <w:p w14:paraId="174F64DC">
      <w:pPr>
        <w:spacing w:before="300" w:line="382" w:lineRule="auto"/>
        <w:ind w:left="17" w:right="61" w:firstLine="429"/>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1</w:t>
      </w:r>
      <w:r>
        <w:rPr>
          <w:rFonts w:ascii="仿宋" w:hAnsi="仿宋" w:eastAsia="仿宋" w:cs="仿宋"/>
          <w:spacing w:val="9"/>
          <w:sz w:val="23"/>
          <w:szCs w:val="23"/>
          <w:highlight w:val="none"/>
        </w:rPr>
        <w:t>.1 乙方应按招标文件规定的货物性能、技术要求、质量标准向甲方提供未经</w:t>
      </w:r>
      <w:r>
        <w:rPr>
          <w:rFonts w:ascii="仿宋" w:hAnsi="仿宋" w:eastAsia="仿宋" w:cs="仿宋"/>
          <w:sz w:val="23"/>
          <w:szCs w:val="23"/>
          <w:highlight w:val="none"/>
        </w:rPr>
        <w:t xml:space="preserve"> </w:t>
      </w:r>
      <w:r>
        <w:rPr>
          <w:rFonts w:ascii="仿宋" w:hAnsi="仿宋" w:eastAsia="仿宋" w:cs="仿宋"/>
          <w:spacing w:val="11"/>
          <w:sz w:val="23"/>
          <w:szCs w:val="23"/>
          <w:highlight w:val="none"/>
        </w:rPr>
        <w:t>使</w:t>
      </w:r>
      <w:r>
        <w:rPr>
          <w:rFonts w:ascii="仿宋" w:hAnsi="仿宋" w:eastAsia="仿宋" w:cs="仿宋"/>
          <w:spacing w:val="6"/>
          <w:sz w:val="23"/>
          <w:szCs w:val="23"/>
          <w:highlight w:val="none"/>
        </w:rPr>
        <w:t>用的全新产品。</w:t>
      </w:r>
    </w:p>
    <w:p w14:paraId="287FD1E7">
      <w:pPr>
        <w:spacing w:before="103" w:line="466" w:lineRule="exact"/>
        <w:ind w:left="446"/>
        <w:rPr>
          <w:rFonts w:ascii="仿宋" w:hAnsi="仿宋" w:eastAsia="仿宋" w:cs="仿宋"/>
          <w:sz w:val="23"/>
          <w:szCs w:val="23"/>
          <w:highlight w:val="none"/>
        </w:rPr>
      </w:pPr>
      <w:r>
        <w:rPr>
          <w:rFonts w:ascii="仿宋" w:hAnsi="仿宋" w:eastAsia="仿宋" w:cs="仿宋"/>
          <w:spacing w:val="18"/>
          <w:position w:val="17"/>
          <w:sz w:val="23"/>
          <w:szCs w:val="23"/>
          <w:highlight w:val="none"/>
        </w:rPr>
        <w:t>1</w:t>
      </w:r>
      <w:r>
        <w:rPr>
          <w:rFonts w:ascii="仿宋" w:hAnsi="仿宋" w:eastAsia="仿宋" w:cs="仿宋"/>
          <w:spacing w:val="14"/>
          <w:position w:val="17"/>
          <w:sz w:val="23"/>
          <w:szCs w:val="23"/>
          <w:highlight w:val="none"/>
        </w:rPr>
        <w:t>1</w:t>
      </w:r>
      <w:r>
        <w:rPr>
          <w:rFonts w:ascii="仿宋" w:hAnsi="仿宋" w:eastAsia="仿宋" w:cs="仿宋"/>
          <w:spacing w:val="9"/>
          <w:position w:val="17"/>
          <w:sz w:val="23"/>
          <w:szCs w:val="23"/>
          <w:highlight w:val="none"/>
        </w:rPr>
        <w:t>.2 乙方提供的货物在质保期内因产品本身的质量问题发生故障，乙方应负责</w:t>
      </w:r>
    </w:p>
    <w:p w14:paraId="26E3981A">
      <w:pPr>
        <w:spacing w:before="1" w:line="231" w:lineRule="auto"/>
        <w:ind w:left="25"/>
        <w:rPr>
          <w:rFonts w:ascii="仿宋" w:hAnsi="仿宋" w:eastAsia="仿宋" w:cs="仿宋"/>
          <w:sz w:val="23"/>
          <w:szCs w:val="23"/>
          <w:highlight w:val="none"/>
        </w:rPr>
      </w:pPr>
      <w:r>
        <w:rPr>
          <w:rFonts w:ascii="仿宋" w:hAnsi="仿宋" w:eastAsia="仿宋" w:cs="仿宋"/>
          <w:spacing w:val="7"/>
          <w:sz w:val="23"/>
          <w:szCs w:val="23"/>
          <w:highlight w:val="none"/>
        </w:rPr>
        <w:t>免费更换。对达不到技术要求者，根据实际情况，经双方协商，可按以下办法处理</w:t>
      </w:r>
      <w:r>
        <w:rPr>
          <w:rFonts w:ascii="仿宋" w:hAnsi="仿宋" w:eastAsia="仿宋" w:cs="仿宋"/>
          <w:spacing w:val="3"/>
          <w:sz w:val="23"/>
          <w:szCs w:val="23"/>
          <w:highlight w:val="none"/>
        </w:rPr>
        <w:t>：</w:t>
      </w:r>
      <w:r>
        <w:rPr>
          <w:rFonts w:ascii="仿宋" w:hAnsi="仿宋" w:eastAsia="仿宋" w:cs="仿宋"/>
          <w:spacing w:val="4"/>
          <w:position w:val="26"/>
          <w:sz w:val="23"/>
          <w:szCs w:val="23"/>
          <w:highlight w:val="none"/>
        </w:rPr>
        <w:t>⑴更换</w:t>
      </w:r>
      <w:r>
        <w:rPr>
          <w:rFonts w:ascii="仿宋" w:hAnsi="仿宋" w:eastAsia="仿宋" w:cs="仿宋"/>
          <w:spacing w:val="3"/>
          <w:position w:val="26"/>
          <w:sz w:val="23"/>
          <w:szCs w:val="23"/>
          <w:highlight w:val="none"/>
        </w:rPr>
        <w:t>：</w:t>
      </w:r>
      <w:r>
        <w:rPr>
          <w:rFonts w:ascii="仿宋" w:hAnsi="仿宋" w:eastAsia="仿宋" w:cs="仿宋"/>
          <w:spacing w:val="2"/>
          <w:position w:val="26"/>
          <w:sz w:val="23"/>
          <w:szCs w:val="23"/>
          <w:highlight w:val="none"/>
        </w:rPr>
        <w:t xml:space="preserve"> 由乙方承担所发生的全部费用。</w:t>
      </w:r>
    </w:p>
    <w:p w14:paraId="43551DE0">
      <w:pPr>
        <w:spacing w:line="230" w:lineRule="auto"/>
        <w:ind w:left="430"/>
        <w:rPr>
          <w:rFonts w:ascii="仿宋" w:hAnsi="仿宋" w:eastAsia="仿宋" w:cs="仿宋"/>
          <w:sz w:val="23"/>
          <w:szCs w:val="23"/>
          <w:highlight w:val="none"/>
        </w:rPr>
      </w:pPr>
      <w:r>
        <w:rPr>
          <w:rFonts w:ascii="仿宋" w:hAnsi="仿宋" w:eastAsia="仿宋" w:cs="仿宋"/>
          <w:spacing w:val="2"/>
          <w:sz w:val="23"/>
          <w:szCs w:val="23"/>
          <w:highlight w:val="none"/>
        </w:rPr>
        <w:t>⑵贬值处理： 由</w:t>
      </w:r>
      <w:r>
        <w:rPr>
          <w:rFonts w:ascii="仿宋" w:hAnsi="仿宋" w:eastAsia="仿宋" w:cs="仿宋"/>
          <w:spacing w:val="1"/>
          <w:sz w:val="23"/>
          <w:szCs w:val="23"/>
          <w:highlight w:val="none"/>
        </w:rPr>
        <w:t>甲乙双方合议定价。</w:t>
      </w:r>
    </w:p>
    <w:p w14:paraId="5914A818">
      <w:pPr>
        <w:spacing w:before="301" w:line="382" w:lineRule="auto"/>
        <w:ind w:left="18" w:right="83" w:firstLine="411"/>
        <w:rPr>
          <w:rFonts w:ascii="仿宋" w:hAnsi="仿宋" w:eastAsia="仿宋" w:cs="仿宋"/>
          <w:sz w:val="23"/>
          <w:szCs w:val="23"/>
          <w:highlight w:val="none"/>
        </w:rPr>
      </w:pPr>
      <w:r>
        <w:rPr>
          <w:rFonts w:ascii="仿宋" w:hAnsi="仿宋" w:eastAsia="仿宋" w:cs="仿宋"/>
          <w:spacing w:val="7"/>
          <w:sz w:val="23"/>
          <w:szCs w:val="23"/>
          <w:highlight w:val="none"/>
        </w:rPr>
        <w:t>⑶退货处理：乙方应退还甲方支付的合同款，同时应承担该产品的直接费用 (</w:t>
      </w:r>
      <w:r>
        <w:rPr>
          <w:rFonts w:ascii="仿宋" w:hAnsi="仿宋" w:eastAsia="仿宋" w:cs="仿宋"/>
          <w:spacing w:val="4"/>
          <w:sz w:val="23"/>
          <w:szCs w:val="23"/>
          <w:highlight w:val="none"/>
        </w:rPr>
        <w:t>运</w:t>
      </w:r>
      <w:r>
        <w:rPr>
          <w:rFonts w:ascii="仿宋" w:hAnsi="仿宋" w:eastAsia="仿宋" w:cs="仿宋"/>
          <w:sz w:val="23"/>
          <w:szCs w:val="23"/>
          <w:highlight w:val="none"/>
        </w:rPr>
        <w:t xml:space="preserve"> </w:t>
      </w:r>
      <w:r>
        <w:rPr>
          <w:rFonts w:ascii="仿宋" w:hAnsi="仿宋" w:eastAsia="仿宋" w:cs="仿宋"/>
          <w:spacing w:val="15"/>
          <w:sz w:val="23"/>
          <w:szCs w:val="23"/>
          <w:highlight w:val="none"/>
        </w:rPr>
        <w:t>输</w:t>
      </w:r>
      <w:r>
        <w:rPr>
          <w:rFonts w:ascii="仿宋" w:hAnsi="仿宋" w:eastAsia="仿宋" w:cs="仿宋"/>
          <w:spacing w:val="8"/>
          <w:sz w:val="23"/>
          <w:szCs w:val="23"/>
          <w:highlight w:val="none"/>
        </w:rPr>
        <w:t>、保险、检验、货款利息及银行手续费等) 。</w:t>
      </w:r>
    </w:p>
    <w:p w14:paraId="51A2668F">
      <w:pPr>
        <w:spacing w:before="100" w:line="382" w:lineRule="auto"/>
        <w:ind w:left="48" w:right="83" w:firstLine="398"/>
        <w:rPr>
          <w:rFonts w:ascii="仿宋" w:hAnsi="仿宋" w:eastAsia="仿宋" w:cs="仿宋"/>
          <w:sz w:val="23"/>
          <w:szCs w:val="23"/>
          <w:highlight w:val="none"/>
        </w:rPr>
      </w:pPr>
      <w:r>
        <w:rPr>
          <w:rFonts w:ascii="仿宋" w:hAnsi="仿宋" w:eastAsia="仿宋" w:cs="仿宋"/>
          <w:spacing w:val="6"/>
          <w:sz w:val="23"/>
          <w:szCs w:val="23"/>
          <w:highlight w:val="none"/>
        </w:rPr>
        <w:t>11.3 如在使用过程中发生质量问题，乙方在接到甲方通知后在_____小时内</w:t>
      </w:r>
      <w:r>
        <w:rPr>
          <w:rFonts w:ascii="仿宋" w:hAnsi="仿宋" w:eastAsia="仿宋" w:cs="仿宋"/>
          <w:spacing w:val="4"/>
          <w:sz w:val="23"/>
          <w:szCs w:val="23"/>
          <w:highlight w:val="none"/>
        </w:rPr>
        <w:t>到</w:t>
      </w:r>
      <w:r>
        <w:rPr>
          <w:rFonts w:ascii="仿宋" w:hAnsi="仿宋" w:eastAsia="仿宋" w:cs="仿宋"/>
          <w:sz w:val="23"/>
          <w:szCs w:val="23"/>
          <w:highlight w:val="none"/>
        </w:rPr>
        <w:t xml:space="preserve">达 </w:t>
      </w:r>
      <w:r>
        <w:rPr>
          <w:rFonts w:ascii="仿宋" w:hAnsi="仿宋" w:eastAsia="仿宋" w:cs="仿宋"/>
          <w:spacing w:val="-2"/>
          <w:sz w:val="23"/>
          <w:szCs w:val="23"/>
          <w:highlight w:val="none"/>
        </w:rPr>
        <w:t>甲方现</w:t>
      </w:r>
      <w:r>
        <w:rPr>
          <w:rFonts w:ascii="仿宋" w:hAnsi="仿宋" w:eastAsia="仿宋" w:cs="仿宋"/>
          <w:spacing w:val="-1"/>
          <w:sz w:val="23"/>
          <w:szCs w:val="23"/>
          <w:highlight w:val="none"/>
        </w:rPr>
        <w:t>场。</w:t>
      </w:r>
    </w:p>
    <w:p w14:paraId="75872A78">
      <w:pPr>
        <w:spacing w:before="103" w:line="384" w:lineRule="auto"/>
        <w:ind w:left="15" w:right="83" w:firstLine="431"/>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1</w:t>
      </w:r>
      <w:r>
        <w:rPr>
          <w:rFonts w:ascii="仿宋" w:hAnsi="仿宋" w:eastAsia="仿宋" w:cs="仿宋"/>
          <w:spacing w:val="9"/>
          <w:sz w:val="23"/>
          <w:szCs w:val="23"/>
          <w:highlight w:val="none"/>
        </w:rPr>
        <w:t>.4 在质保期内，乙方应对产品出现的质量及安全问题负责处理解决并承担一</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切</w:t>
      </w:r>
      <w:r>
        <w:rPr>
          <w:rFonts w:ascii="仿宋" w:hAnsi="仿宋" w:eastAsia="仿宋" w:cs="仿宋"/>
          <w:spacing w:val="3"/>
          <w:sz w:val="23"/>
          <w:szCs w:val="23"/>
          <w:highlight w:val="none"/>
        </w:rPr>
        <w:t>费用。</w:t>
      </w:r>
    </w:p>
    <w:p w14:paraId="49E06C8E">
      <w:pPr>
        <w:spacing w:before="95" w:line="382" w:lineRule="auto"/>
        <w:ind w:left="29" w:right="83" w:firstLine="417"/>
        <w:rPr>
          <w:rFonts w:ascii="仿宋" w:hAnsi="仿宋" w:eastAsia="仿宋" w:cs="仿宋"/>
          <w:sz w:val="23"/>
          <w:szCs w:val="23"/>
          <w:highlight w:val="none"/>
        </w:rPr>
      </w:pPr>
      <w:r>
        <w:rPr>
          <w:rFonts w:ascii="仿宋" w:hAnsi="仿宋" w:eastAsia="仿宋" w:cs="仿宋"/>
          <w:spacing w:val="6"/>
          <w:sz w:val="23"/>
          <w:szCs w:val="23"/>
          <w:highlight w:val="none"/>
        </w:rPr>
        <w:t>11.5 上述的产品的免费保修期为</w:t>
      </w:r>
      <w:r>
        <w:rPr>
          <w:rFonts w:ascii="仿宋" w:hAnsi="仿宋" w:eastAsia="仿宋" w:cs="仿宋"/>
          <w:spacing w:val="6"/>
          <w:sz w:val="23"/>
          <w:szCs w:val="23"/>
          <w:highlight w:val="none"/>
          <w:u w:val="single" w:color="auto"/>
        </w:rPr>
        <w:t xml:space="preserve">    </w:t>
      </w:r>
      <w:r>
        <w:rPr>
          <w:rFonts w:ascii="仿宋" w:hAnsi="仿宋" w:eastAsia="仿宋" w:cs="仿宋"/>
          <w:spacing w:val="6"/>
          <w:sz w:val="23"/>
          <w:szCs w:val="23"/>
          <w:highlight w:val="none"/>
        </w:rPr>
        <w:t>年， 因人为因素出现的故障不在免费</w:t>
      </w:r>
      <w:r>
        <w:rPr>
          <w:rFonts w:ascii="仿宋" w:hAnsi="仿宋" w:eastAsia="仿宋" w:cs="仿宋"/>
          <w:spacing w:val="4"/>
          <w:sz w:val="23"/>
          <w:szCs w:val="23"/>
          <w:highlight w:val="none"/>
        </w:rPr>
        <w:t>保</w:t>
      </w:r>
      <w:r>
        <w:rPr>
          <w:rFonts w:ascii="仿宋" w:hAnsi="仿宋" w:eastAsia="仿宋" w:cs="仿宋"/>
          <w:sz w:val="23"/>
          <w:szCs w:val="23"/>
          <w:highlight w:val="none"/>
        </w:rPr>
        <w:t xml:space="preserve">修 </w:t>
      </w:r>
      <w:r>
        <w:rPr>
          <w:rFonts w:ascii="仿宋" w:hAnsi="仿宋" w:eastAsia="仿宋" w:cs="仿宋"/>
          <w:spacing w:val="16"/>
          <w:sz w:val="23"/>
          <w:szCs w:val="23"/>
          <w:highlight w:val="none"/>
        </w:rPr>
        <w:t>范</w:t>
      </w:r>
      <w:r>
        <w:rPr>
          <w:rFonts w:ascii="仿宋" w:hAnsi="仿宋" w:eastAsia="仿宋" w:cs="仿宋"/>
          <w:spacing w:val="14"/>
          <w:sz w:val="23"/>
          <w:szCs w:val="23"/>
          <w:highlight w:val="none"/>
        </w:rPr>
        <w:t>围</w:t>
      </w:r>
      <w:r>
        <w:rPr>
          <w:rFonts w:ascii="仿宋" w:hAnsi="仿宋" w:eastAsia="仿宋" w:cs="仿宋"/>
          <w:spacing w:val="8"/>
          <w:sz w:val="23"/>
          <w:szCs w:val="23"/>
          <w:highlight w:val="none"/>
        </w:rPr>
        <w:t>内。超过保修期后，终生维修，维修时只收部件成本费。</w:t>
      </w:r>
    </w:p>
    <w:p w14:paraId="13754285">
      <w:pPr>
        <w:spacing w:before="102" w:line="231" w:lineRule="auto"/>
        <w:ind w:left="443"/>
        <w:rPr>
          <w:rFonts w:ascii="仿宋" w:hAnsi="仿宋" w:eastAsia="仿宋" w:cs="仿宋"/>
          <w:sz w:val="23"/>
          <w:szCs w:val="23"/>
          <w:highlight w:val="none"/>
        </w:rPr>
      </w:pPr>
      <w:r>
        <w:rPr>
          <w:rFonts w:ascii="仿宋" w:hAnsi="仿宋" w:eastAsia="仿宋" w:cs="仿宋"/>
          <w:spacing w:val="13"/>
          <w:sz w:val="23"/>
          <w:szCs w:val="23"/>
          <w:highlight w:val="none"/>
        </w:rPr>
        <w:t>十</w:t>
      </w:r>
      <w:r>
        <w:rPr>
          <w:rFonts w:ascii="仿宋" w:hAnsi="仿宋" w:eastAsia="仿宋" w:cs="仿宋"/>
          <w:spacing w:val="7"/>
          <w:sz w:val="23"/>
          <w:szCs w:val="23"/>
          <w:highlight w:val="none"/>
        </w:rPr>
        <w:t>二、调试和验收</w:t>
      </w:r>
    </w:p>
    <w:p w14:paraId="2501AAF1">
      <w:pPr>
        <w:spacing w:before="300" w:line="379" w:lineRule="auto"/>
        <w:ind w:left="19" w:right="83" w:firstLine="427"/>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2</w:t>
      </w:r>
      <w:r>
        <w:rPr>
          <w:rFonts w:ascii="仿宋" w:hAnsi="仿宋" w:eastAsia="仿宋" w:cs="仿宋"/>
          <w:spacing w:val="9"/>
          <w:sz w:val="23"/>
          <w:szCs w:val="23"/>
          <w:highlight w:val="none"/>
        </w:rPr>
        <w:t>.1 甲方对乙方提交的货物依据招标文件上的技术规格要求和国家有关质量标</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准进行现场初步验收，外观、说明书符合招标文件技术要求的，给予签收，初步</w:t>
      </w:r>
      <w:r>
        <w:rPr>
          <w:rFonts w:ascii="仿宋" w:hAnsi="仿宋" w:eastAsia="仿宋" w:cs="仿宋"/>
          <w:spacing w:val="9"/>
          <w:sz w:val="23"/>
          <w:szCs w:val="23"/>
          <w:highlight w:val="none"/>
        </w:rPr>
        <w:t>验</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收不合</w:t>
      </w:r>
      <w:r>
        <w:rPr>
          <w:rFonts w:ascii="仿宋" w:hAnsi="仿宋" w:eastAsia="仿宋" w:cs="仿宋"/>
          <w:spacing w:val="6"/>
          <w:sz w:val="23"/>
          <w:szCs w:val="23"/>
          <w:highlight w:val="none"/>
        </w:rPr>
        <w:t>格</w:t>
      </w:r>
      <w:r>
        <w:rPr>
          <w:rFonts w:ascii="仿宋" w:hAnsi="仿宋" w:eastAsia="仿宋" w:cs="仿宋"/>
          <w:spacing w:val="4"/>
          <w:sz w:val="23"/>
          <w:szCs w:val="23"/>
          <w:highlight w:val="none"/>
        </w:rPr>
        <w:t>的不予签收。货到后， 甲方需在五个工作日内验收。</w:t>
      </w:r>
    </w:p>
    <w:p w14:paraId="790B347A">
      <w:pPr>
        <w:spacing w:before="104" w:line="382" w:lineRule="auto"/>
        <w:ind w:left="20" w:right="137" w:firstLine="426"/>
        <w:rPr>
          <w:rFonts w:ascii="仿宋" w:hAnsi="仿宋" w:eastAsia="仿宋" w:cs="仿宋"/>
          <w:sz w:val="23"/>
          <w:szCs w:val="23"/>
          <w:highlight w:val="none"/>
        </w:rPr>
      </w:pPr>
      <w:r>
        <w:rPr>
          <w:rFonts w:ascii="仿宋" w:hAnsi="仿宋" w:eastAsia="仿宋" w:cs="仿宋"/>
          <w:spacing w:val="8"/>
          <w:sz w:val="23"/>
          <w:szCs w:val="23"/>
          <w:highlight w:val="none"/>
        </w:rPr>
        <w:t>12.2 乙方交货前应对产品作出全面检查和对验收文件进行整理，并列出清单</w:t>
      </w:r>
      <w:r>
        <w:rPr>
          <w:rFonts w:ascii="仿宋" w:hAnsi="仿宋" w:eastAsia="仿宋" w:cs="仿宋"/>
          <w:spacing w:val="4"/>
          <w:sz w:val="23"/>
          <w:szCs w:val="23"/>
          <w:highlight w:val="none"/>
        </w:rPr>
        <w:t>，</w:t>
      </w:r>
      <w:r>
        <w:rPr>
          <w:rFonts w:ascii="仿宋" w:hAnsi="仿宋" w:eastAsia="仿宋" w:cs="仿宋"/>
          <w:sz w:val="23"/>
          <w:szCs w:val="23"/>
          <w:highlight w:val="none"/>
        </w:rPr>
        <w:t xml:space="preserve"> </w:t>
      </w:r>
      <w:r>
        <w:rPr>
          <w:rFonts w:ascii="仿宋" w:hAnsi="仿宋" w:eastAsia="仿宋" w:cs="仿宋"/>
          <w:spacing w:val="11"/>
          <w:sz w:val="23"/>
          <w:szCs w:val="23"/>
          <w:highlight w:val="none"/>
        </w:rPr>
        <w:t>作</w:t>
      </w:r>
      <w:r>
        <w:rPr>
          <w:rFonts w:ascii="仿宋" w:hAnsi="仿宋" w:eastAsia="仿宋" w:cs="仿宋"/>
          <w:spacing w:val="9"/>
          <w:sz w:val="23"/>
          <w:szCs w:val="23"/>
          <w:highlight w:val="none"/>
        </w:rPr>
        <w:t>为甲方收货验收和使用的技术条件依据，检验的结果应随货物交甲方。</w:t>
      </w:r>
    </w:p>
    <w:p w14:paraId="313136B3">
      <w:pPr>
        <w:spacing w:before="102" w:line="382" w:lineRule="auto"/>
        <w:ind w:left="30" w:right="83" w:firstLine="416"/>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2</w:t>
      </w:r>
      <w:r>
        <w:rPr>
          <w:rFonts w:ascii="仿宋" w:hAnsi="仿宋" w:eastAsia="仿宋" w:cs="仿宋"/>
          <w:spacing w:val="9"/>
          <w:sz w:val="23"/>
          <w:szCs w:val="23"/>
          <w:highlight w:val="none"/>
        </w:rPr>
        <w:t>.3 甲方对乙方提供的货物在使用前进行调试时，乙方需负责安装并培训甲方</w:t>
      </w:r>
      <w:r>
        <w:rPr>
          <w:rFonts w:ascii="仿宋" w:hAnsi="仿宋" w:eastAsia="仿宋" w:cs="仿宋"/>
          <w:sz w:val="23"/>
          <w:szCs w:val="23"/>
          <w:highlight w:val="none"/>
        </w:rPr>
        <w:t xml:space="preserve"> </w:t>
      </w:r>
      <w:r>
        <w:rPr>
          <w:rFonts w:ascii="仿宋" w:hAnsi="仿宋" w:eastAsia="仿宋" w:cs="仿宋"/>
          <w:spacing w:val="10"/>
          <w:sz w:val="23"/>
          <w:szCs w:val="23"/>
          <w:highlight w:val="none"/>
        </w:rPr>
        <w:t>的使用</w:t>
      </w:r>
      <w:r>
        <w:rPr>
          <w:rFonts w:ascii="仿宋" w:hAnsi="仿宋" w:eastAsia="仿宋" w:cs="仿宋"/>
          <w:spacing w:val="9"/>
          <w:sz w:val="23"/>
          <w:szCs w:val="23"/>
          <w:highlight w:val="none"/>
        </w:rPr>
        <w:t>操</w:t>
      </w:r>
      <w:r>
        <w:rPr>
          <w:rFonts w:ascii="仿宋" w:hAnsi="仿宋" w:eastAsia="仿宋" w:cs="仿宋"/>
          <w:spacing w:val="5"/>
          <w:sz w:val="23"/>
          <w:szCs w:val="23"/>
          <w:highlight w:val="none"/>
        </w:rPr>
        <w:t>作人员，并协助甲方一起调试，直到符合技术要求， 甲方才做最终验收。</w:t>
      </w:r>
    </w:p>
    <w:p w14:paraId="38A97A1D">
      <w:pPr>
        <w:spacing w:before="100" w:line="384" w:lineRule="auto"/>
        <w:ind w:left="17" w:right="83" w:firstLine="429"/>
        <w:rPr>
          <w:rFonts w:ascii="仿宋" w:hAnsi="仿宋" w:eastAsia="仿宋" w:cs="仿宋"/>
          <w:sz w:val="23"/>
          <w:szCs w:val="23"/>
          <w:highlight w:val="none"/>
        </w:rPr>
      </w:pPr>
      <w:r>
        <w:rPr>
          <w:rFonts w:ascii="仿宋" w:hAnsi="仿宋" w:eastAsia="仿宋" w:cs="仿宋"/>
          <w:spacing w:val="10"/>
          <w:sz w:val="23"/>
          <w:szCs w:val="23"/>
          <w:highlight w:val="none"/>
        </w:rPr>
        <w:t>1</w:t>
      </w:r>
      <w:r>
        <w:rPr>
          <w:rFonts w:ascii="仿宋" w:hAnsi="仿宋" w:eastAsia="仿宋" w:cs="仿宋"/>
          <w:spacing w:val="6"/>
          <w:sz w:val="23"/>
          <w:szCs w:val="23"/>
          <w:highlight w:val="none"/>
        </w:rPr>
        <w:t>2.4 对技术复杂的货物， 甲方可请国家认可的专业检测机构参与初步验收及最</w:t>
      </w:r>
      <w:r>
        <w:rPr>
          <w:rFonts w:ascii="仿宋" w:hAnsi="仿宋" w:eastAsia="仿宋" w:cs="仿宋"/>
          <w:sz w:val="23"/>
          <w:szCs w:val="23"/>
          <w:highlight w:val="none"/>
        </w:rPr>
        <w:t xml:space="preserve"> </w:t>
      </w:r>
      <w:r>
        <w:rPr>
          <w:rFonts w:ascii="仿宋" w:hAnsi="仿宋" w:eastAsia="仿宋" w:cs="仿宋"/>
          <w:spacing w:val="13"/>
          <w:sz w:val="23"/>
          <w:szCs w:val="23"/>
          <w:highlight w:val="none"/>
        </w:rPr>
        <w:t>终</w:t>
      </w:r>
      <w:r>
        <w:rPr>
          <w:rFonts w:ascii="仿宋" w:hAnsi="仿宋" w:eastAsia="仿宋" w:cs="仿宋"/>
          <w:spacing w:val="8"/>
          <w:sz w:val="23"/>
          <w:szCs w:val="23"/>
          <w:highlight w:val="none"/>
        </w:rPr>
        <w:t>验收，并由其出具质量检测报告。</w:t>
      </w:r>
    </w:p>
    <w:p w14:paraId="2A890C5D">
      <w:pPr>
        <w:spacing w:before="99" w:line="383" w:lineRule="auto"/>
        <w:ind w:left="15" w:right="83" w:firstLine="431"/>
        <w:rPr>
          <w:rFonts w:ascii="仿宋" w:hAnsi="仿宋" w:eastAsia="仿宋" w:cs="仿宋"/>
          <w:sz w:val="23"/>
          <w:szCs w:val="23"/>
          <w:highlight w:val="none"/>
        </w:rPr>
      </w:pPr>
      <w:r>
        <w:rPr>
          <w:rFonts w:ascii="仿宋" w:hAnsi="仿宋" w:eastAsia="仿宋" w:cs="仿宋"/>
          <w:spacing w:val="10"/>
          <w:sz w:val="23"/>
          <w:szCs w:val="23"/>
          <w:highlight w:val="none"/>
        </w:rPr>
        <w:t>1</w:t>
      </w:r>
      <w:r>
        <w:rPr>
          <w:rFonts w:ascii="仿宋" w:hAnsi="仿宋" w:eastAsia="仿宋" w:cs="仿宋"/>
          <w:spacing w:val="6"/>
          <w:sz w:val="23"/>
          <w:szCs w:val="23"/>
          <w:highlight w:val="none"/>
        </w:rPr>
        <w:t>2.5 验收时乙方必须在现场，验收完毕后作出验收结果报告；验收费用由 甲乙</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双</w:t>
      </w:r>
      <w:r>
        <w:rPr>
          <w:rFonts w:ascii="仿宋" w:hAnsi="仿宋" w:eastAsia="仿宋" w:cs="仿宋"/>
          <w:spacing w:val="6"/>
          <w:sz w:val="23"/>
          <w:szCs w:val="23"/>
          <w:highlight w:val="none"/>
        </w:rPr>
        <w:t>方协商解决。</w:t>
      </w:r>
    </w:p>
    <w:p w14:paraId="78A39718">
      <w:pPr>
        <w:spacing w:before="100" w:line="231" w:lineRule="auto"/>
        <w:ind w:left="443"/>
        <w:rPr>
          <w:rFonts w:ascii="仿宋" w:hAnsi="仿宋" w:eastAsia="仿宋" w:cs="仿宋"/>
          <w:sz w:val="23"/>
          <w:szCs w:val="23"/>
          <w:highlight w:val="none"/>
        </w:rPr>
      </w:pPr>
      <w:r>
        <w:rPr>
          <w:rFonts w:ascii="仿宋" w:hAnsi="仿宋" w:eastAsia="仿宋" w:cs="仿宋"/>
          <w:spacing w:val="9"/>
          <w:sz w:val="23"/>
          <w:szCs w:val="23"/>
          <w:highlight w:val="none"/>
        </w:rPr>
        <w:t>十三、产品包装、发运及运输</w:t>
      </w:r>
    </w:p>
    <w:p w14:paraId="18A52ED4">
      <w:pPr>
        <w:spacing w:before="297" w:line="383" w:lineRule="auto"/>
        <w:ind w:left="20" w:right="83" w:firstLine="426"/>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3</w:t>
      </w:r>
      <w:r>
        <w:rPr>
          <w:rFonts w:ascii="仿宋" w:hAnsi="仿宋" w:eastAsia="仿宋" w:cs="仿宋"/>
          <w:spacing w:val="9"/>
          <w:sz w:val="23"/>
          <w:szCs w:val="23"/>
          <w:highlight w:val="none"/>
        </w:rPr>
        <w:t>.1 乙方应在产品发运前对其进行满足运输距离、防潮、防震、防锈和防破损</w:t>
      </w:r>
      <w:r>
        <w:rPr>
          <w:rFonts w:ascii="仿宋" w:hAnsi="仿宋" w:eastAsia="仿宋" w:cs="仿宋"/>
          <w:sz w:val="23"/>
          <w:szCs w:val="23"/>
          <w:highlight w:val="none"/>
        </w:rPr>
        <w:t xml:space="preserve"> </w:t>
      </w:r>
      <w:r>
        <w:rPr>
          <w:rFonts w:ascii="仿宋" w:hAnsi="仿宋" w:eastAsia="仿宋" w:cs="仿宋"/>
          <w:spacing w:val="4"/>
          <w:sz w:val="23"/>
          <w:szCs w:val="23"/>
          <w:highlight w:val="none"/>
        </w:rPr>
        <w:t>装卸等要求包装， 以保证产品安全运达甲方指定地</w:t>
      </w:r>
      <w:r>
        <w:rPr>
          <w:rFonts w:ascii="仿宋" w:hAnsi="仿宋" w:eastAsia="仿宋" w:cs="仿宋"/>
          <w:spacing w:val="3"/>
          <w:sz w:val="23"/>
          <w:szCs w:val="23"/>
          <w:highlight w:val="none"/>
        </w:rPr>
        <w:t>点</w:t>
      </w:r>
      <w:r>
        <w:rPr>
          <w:rFonts w:ascii="仿宋" w:hAnsi="仿宋" w:eastAsia="仿宋" w:cs="仿宋"/>
          <w:sz w:val="23"/>
          <w:szCs w:val="23"/>
          <w:highlight w:val="none"/>
        </w:rPr>
        <w:t>。</w:t>
      </w:r>
    </w:p>
    <w:p w14:paraId="105D7808">
      <w:pPr>
        <w:spacing w:before="100" w:line="231" w:lineRule="auto"/>
        <w:ind w:left="446"/>
        <w:rPr>
          <w:rFonts w:ascii="仿宋" w:hAnsi="仿宋" w:eastAsia="仿宋" w:cs="仿宋"/>
          <w:sz w:val="23"/>
          <w:szCs w:val="23"/>
          <w:highlight w:val="none"/>
        </w:rPr>
      </w:pPr>
      <w:r>
        <w:rPr>
          <w:rFonts w:ascii="仿宋" w:hAnsi="仿宋" w:eastAsia="仿宋" w:cs="仿宋"/>
          <w:spacing w:val="10"/>
          <w:sz w:val="23"/>
          <w:szCs w:val="23"/>
          <w:highlight w:val="none"/>
        </w:rPr>
        <w:t>13</w:t>
      </w:r>
      <w:r>
        <w:rPr>
          <w:rFonts w:ascii="仿宋" w:hAnsi="仿宋" w:eastAsia="仿宋" w:cs="仿宋"/>
          <w:spacing w:val="5"/>
          <w:sz w:val="23"/>
          <w:szCs w:val="23"/>
          <w:highlight w:val="none"/>
        </w:rPr>
        <w:t>.2 使用说明书、质量检验证明书、随配附件和工具以及清单一并附于产品内。</w:t>
      </w:r>
    </w:p>
    <w:p w14:paraId="4708F971">
      <w:pPr>
        <w:spacing w:line="240" w:lineRule="auto"/>
        <w:ind w:left="0"/>
        <w:rPr>
          <w:rFonts w:ascii="仿宋" w:hAnsi="仿宋" w:eastAsia="仿宋" w:cs="仿宋"/>
          <w:sz w:val="23"/>
          <w:szCs w:val="23"/>
          <w:highlight w:val="none"/>
        </w:rPr>
      </w:pPr>
      <w:r>
        <w:rPr>
          <w:rFonts w:ascii="仿宋" w:hAnsi="仿宋" w:eastAsia="仿宋" w:cs="仿宋"/>
          <w:spacing w:val="2"/>
          <w:sz w:val="23"/>
          <w:szCs w:val="23"/>
          <w:highlight w:val="none"/>
        </w:rPr>
        <w:t>13.3 乙方在产品发运手续办理完毕后 24 小时</w:t>
      </w:r>
      <w:r>
        <w:rPr>
          <w:rFonts w:ascii="仿宋" w:hAnsi="仿宋" w:eastAsia="仿宋" w:cs="仿宋"/>
          <w:spacing w:val="1"/>
          <w:sz w:val="23"/>
          <w:szCs w:val="23"/>
          <w:highlight w:val="none"/>
        </w:rPr>
        <w:t>内或货到甲方48 小时前通知甲方，</w:t>
      </w:r>
    </w:p>
    <w:p w14:paraId="37FC46A8">
      <w:pPr>
        <w:spacing w:before="163" w:line="231" w:lineRule="auto"/>
        <w:ind w:left="41"/>
        <w:rPr>
          <w:rFonts w:ascii="仿宋" w:hAnsi="仿宋" w:eastAsia="仿宋" w:cs="仿宋"/>
          <w:sz w:val="23"/>
          <w:szCs w:val="23"/>
          <w:highlight w:val="none"/>
        </w:rPr>
      </w:pPr>
      <w:r>
        <w:rPr>
          <w:rFonts w:ascii="仿宋" w:hAnsi="仿宋" w:eastAsia="仿宋" w:cs="仿宋"/>
          <w:spacing w:val="2"/>
          <w:sz w:val="23"/>
          <w:szCs w:val="23"/>
          <w:highlight w:val="none"/>
        </w:rPr>
        <w:t>以准备</w:t>
      </w:r>
      <w:r>
        <w:rPr>
          <w:rFonts w:ascii="仿宋" w:hAnsi="仿宋" w:eastAsia="仿宋" w:cs="仿宋"/>
          <w:spacing w:val="1"/>
          <w:sz w:val="23"/>
          <w:szCs w:val="23"/>
          <w:highlight w:val="none"/>
        </w:rPr>
        <w:t>接货。</w:t>
      </w:r>
    </w:p>
    <w:p w14:paraId="7F844D54">
      <w:pPr>
        <w:spacing w:before="297" w:line="228" w:lineRule="auto"/>
        <w:ind w:left="446"/>
        <w:rPr>
          <w:rFonts w:ascii="仿宋" w:hAnsi="仿宋" w:eastAsia="仿宋" w:cs="仿宋"/>
          <w:sz w:val="23"/>
          <w:szCs w:val="23"/>
          <w:highlight w:val="none"/>
        </w:rPr>
      </w:pPr>
      <w:r>
        <w:rPr>
          <w:rFonts w:ascii="仿宋" w:hAnsi="仿宋" w:eastAsia="仿宋" w:cs="仿宋"/>
          <w:spacing w:val="14"/>
          <w:sz w:val="23"/>
          <w:szCs w:val="23"/>
          <w:highlight w:val="none"/>
        </w:rPr>
        <w:t>1</w:t>
      </w:r>
      <w:r>
        <w:rPr>
          <w:rFonts w:ascii="仿宋" w:hAnsi="仿宋" w:eastAsia="仿宋" w:cs="仿宋"/>
          <w:spacing w:val="13"/>
          <w:sz w:val="23"/>
          <w:szCs w:val="23"/>
          <w:highlight w:val="none"/>
        </w:rPr>
        <w:t>3</w:t>
      </w:r>
      <w:r>
        <w:rPr>
          <w:rFonts w:ascii="仿宋" w:hAnsi="仿宋" w:eastAsia="仿宋" w:cs="仿宋"/>
          <w:spacing w:val="7"/>
          <w:sz w:val="23"/>
          <w:szCs w:val="23"/>
          <w:highlight w:val="none"/>
        </w:rPr>
        <w:t>.4 产品在交付甲方前发生的风险均由乙方负责。</w:t>
      </w:r>
    </w:p>
    <w:p w14:paraId="2B333466">
      <w:pPr>
        <w:spacing w:line="263" w:lineRule="auto"/>
        <w:rPr>
          <w:rFonts w:ascii="Arial"/>
          <w:sz w:val="21"/>
          <w:highlight w:val="none"/>
        </w:rPr>
      </w:pPr>
    </w:p>
    <w:p w14:paraId="380EF1FE">
      <w:pPr>
        <w:spacing w:before="74" w:line="382" w:lineRule="auto"/>
        <w:ind w:left="26" w:right="107" w:firstLine="420"/>
        <w:rPr>
          <w:rFonts w:ascii="仿宋" w:hAnsi="仿宋" w:eastAsia="仿宋" w:cs="仿宋"/>
          <w:sz w:val="23"/>
          <w:szCs w:val="23"/>
          <w:highlight w:val="none"/>
        </w:rPr>
      </w:pPr>
      <w:r>
        <w:rPr>
          <w:rFonts w:ascii="仿宋" w:hAnsi="仿宋" w:eastAsia="仿宋" w:cs="仿宋"/>
          <w:spacing w:val="16"/>
          <w:sz w:val="23"/>
          <w:szCs w:val="23"/>
          <w:highlight w:val="none"/>
        </w:rPr>
        <w:t>13.</w:t>
      </w:r>
      <w:r>
        <w:rPr>
          <w:rFonts w:ascii="仿宋" w:hAnsi="仿宋" w:eastAsia="仿宋" w:cs="仿宋"/>
          <w:spacing w:val="11"/>
          <w:sz w:val="23"/>
          <w:szCs w:val="23"/>
          <w:highlight w:val="none"/>
        </w:rPr>
        <w:t>5</w:t>
      </w:r>
      <w:r>
        <w:rPr>
          <w:rFonts w:ascii="仿宋" w:hAnsi="仿宋" w:eastAsia="仿宋" w:cs="仿宋"/>
          <w:spacing w:val="8"/>
          <w:sz w:val="23"/>
          <w:szCs w:val="23"/>
          <w:highlight w:val="none"/>
        </w:rPr>
        <w:t xml:space="preserve"> 产品在规定的交付期限内由乙方送达甲方指定的地点视为交付，乙方同时</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需</w:t>
      </w:r>
      <w:r>
        <w:rPr>
          <w:rFonts w:ascii="仿宋" w:hAnsi="仿宋" w:eastAsia="仿宋" w:cs="仿宋"/>
          <w:spacing w:val="8"/>
          <w:sz w:val="23"/>
          <w:szCs w:val="23"/>
          <w:highlight w:val="none"/>
        </w:rPr>
        <w:t>通</w:t>
      </w:r>
      <w:r>
        <w:rPr>
          <w:rFonts w:ascii="仿宋" w:hAnsi="仿宋" w:eastAsia="仿宋" w:cs="仿宋"/>
          <w:spacing w:val="6"/>
          <w:sz w:val="23"/>
          <w:szCs w:val="23"/>
          <w:highlight w:val="none"/>
        </w:rPr>
        <w:t>知甲方产品已送达。</w:t>
      </w:r>
    </w:p>
    <w:p w14:paraId="027E0D3C">
      <w:pPr>
        <w:spacing w:before="138" w:line="231" w:lineRule="auto"/>
        <w:ind w:left="443"/>
        <w:rPr>
          <w:rFonts w:ascii="仿宋" w:hAnsi="仿宋" w:eastAsia="仿宋" w:cs="仿宋"/>
          <w:sz w:val="23"/>
          <w:szCs w:val="23"/>
          <w:highlight w:val="none"/>
        </w:rPr>
      </w:pPr>
      <w:r>
        <w:rPr>
          <w:rFonts w:ascii="仿宋" w:hAnsi="仿宋" w:eastAsia="仿宋" w:cs="仿宋"/>
          <w:spacing w:val="10"/>
          <w:sz w:val="23"/>
          <w:szCs w:val="23"/>
          <w:highlight w:val="none"/>
        </w:rPr>
        <w:t>十</w:t>
      </w:r>
      <w:r>
        <w:rPr>
          <w:rFonts w:ascii="仿宋" w:hAnsi="仿宋" w:eastAsia="仿宋" w:cs="仿宋"/>
          <w:spacing w:val="7"/>
          <w:sz w:val="23"/>
          <w:szCs w:val="23"/>
          <w:highlight w:val="none"/>
        </w:rPr>
        <w:t>四、违约责任</w:t>
      </w:r>
    </w:p>
    <w:p w14:paraId="6B53135E">
      <w:pPr>
        <w:spacing w:before="299" w:line="384" w:lineRule="auto"/>
        <w:ind w:left="18" w:right="83" w:firstLine="428"/>
        <w:rPr>
          <w:rFonts w:ascii="仿宋" w:hAnsi="仿宋" w:eastAsia="仿宋" w:cs="仿宋"/>
          <w:sz w:val="23"/>
          <w:szCs w:val="23"/>
          <w:highlight w:val="none"/>
        </w:rPr>
      </w:pPr>
      <w:r>
        <w:rPr>
          <w:rFonts w:ascii="仿宋" w:hAnsi="仿宋" w:eastAsia="仿宋" w:cs="仿宋"/>
          <w:spacing w:val="10"/>
          <w:sz w:val="23"/>
          <w:szCs w:val="23"/>
          <w:highlight w:val="none"/>
        </w:rPr>
        <w:t>1</w:t>
      </w:r>
      <w:r>
        <w:rPr>
          <w:rFonts w:ascii="仿宋" w:hAnsi="仿宋" w:eastAsia="仿宋" w:cs="仿宋"/>
          <w:spacing w:val="6"/>
          <w:sz w:val="23"/>
          <w:szCs w:val="23"/>
          <w:highlight w:val="none"/>
        </w:rPr>
        <w:t>4.1 甲方无正当理由拒收产品的， 甲方向乙方偿付拒收货款总值的百分之五违</w:t>
      </w:r>
      <w:r>
        <w:rPr>
          <w:rFonts w:ascii="仿宋" w:hAnsi="仿宋" w:eastAsia="仿宋" w:cs="仿宋"/>
          <w:sz w:val="23"/>
          <w:szCs w:val="23"/>
          <w:highlight w:val="none"/>
        </w:rPr>
        <w:t xml:space="preserve"> </w:t>
      </w:r>
      <w:r>
        <w:rPr>
          <w:rFonts w:ascii="仿宋" w:hAnsi="仿宋" w:eastAsia="仿宋" w:cs="仿宋"/>
          <w:spacing w:val="1"/>
          <w:sz w:val="23"/>
          <w:szCs w:val="23"/>
          <w:highlight w:val="none"/>
        </w:rPr>
        <w:t>约金</w:t>
      </w:r>
      <w:r>
        <w:rPr>
          <w:rFonts w:ascii="仿宋" w:hAnsi="仿宋" w:eastAsia="仿宋" w:cs="仿宋"/>
          <w:sz w:val="23"/>
          <w:szCs w:val="23"/>
          <w:highlight w:val="none"/>
        </w:rPr>
        <w:t>。</w:t>
      </w:r>
    </w:p>
    <w:p w14:paraId="5813FCD7">
      <w:pPr>
        <w:spacing w:before="100" w:line="382" w:lineRule="auto"/>
        <w:ind w:left="19" w:right="85" w:firstLine="427"/>
        <w:rPr>
          <w:rFonts w:ascii="仿宋" w:hAnsi="仿宋" w:eastAsia="仿宋" w:cs="仿宋"/>
          <w:sz w:val="23"/>
          <w:szCs w:val="23"/>
          <w:highlight w:val="none"/>
        </w:rPr>
      </w:pPr>
      <w:r>
        <w:rPr>
          <w:rFonts w:ascii="仿宋" w:hAnsi="仿宋" w:eastAsia="仿宋" w:cs="仿宋"/>
          <w:spacing w:val="12"/>
          <w:sz w:val="23"/>
          <w:szCs w:val="23"/>
          <w:highlight w:val="none"/>
        </w:rPr>
        <w:t>1</w:t>
      </w:r>
      <w:r>
        <w:rPr>
          <w:rFonts w:ascii="仿宋" w:hAnsi="仿宋" w:eastAsia="仿宋" w:cs="仿宋"/>
          <w:spacing w:val="9"/>
          <w:sz w:val="23"/>
          <w:szCs w:val="23"/>
          <w:highlight w:val="none"/>
        </w:rPr>
        <w:t>4.2 甲方无故逾期验收和办理货款支付手续的, 甲方应按逾期付款总额每日万</w:t>
      </w:r>
      <w:r>
        <w:rPr>
          <w:rFonts w:ascii="仿宋" w:hAnsi="仿宋" w:eastAsia="仿宋" w:cs="仿宋"/>
          <w:sz w:val="23"/>
          <w:szCs w:val="23"/>
          <w:highlight w:val="none"/>
        </w:rPr>
        <w:t xml:space="preserve"> </w:t>
      </w:r>
      <w:r>
        <w:rPr>
          <w:rFonts w:ascii="仿宋" w:hAnsi="仿宋" w:eastAsia="仿宋" w:cs="仿宋"/>
          <w:spacing w:val="14"/>
          <w:sz w:val="23"/>
          <w:szCs w:val="23"/>
          <w:highlight w:val="none"/>
        </w:rPr>
        <w:t>分</w:t>
      </w:r>
      <w:r>
        <w:rPr>
          <w:rFonts w:ascii="仿宋" w:hAnsi="仿宋" w:eastAsia="仿宋" w:cs="仿宋"/>
          <w:spacing w:val="7"/>
          <w:sz w:val="23"/>
          <w:szCs w:val="23"/>
          <w:highlight w:val="none"/>
        </w:rPr>
        <w:t>之五向乙方支付违约金。</w:t>
      </w:r>
    </w:p>
    <w:p w14:paraId="10FA0C01">
      <w:pPr>
        <w:spacing w:before="100" w:line="378" w:lineRule="auto"/>
        <w:ind w:left="16" w:right="83" w:firstLine="430"/>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4</w:t>
      </w:r>
      <w:r>
        <w:rPr>
          <w:rFonts w:ascii="仿宋" w:hAnsi="仿宋" w:eastAsia="仿宋" w:cs="仿宋"/>
          <w:spacing w:val="9"/>
          <w:sz w:val="23"/>
          <w:szCs w:val="23"/>
          <w:highlight w:val="none"/>
        </w:rPr>
        <w:t>.3 乙方逾期交付产品的，乙方应按逾期交货总额每日千分之六向甲方支付违</w:t>
      </w:r>
      <w:r>
        <w:rPr>
          <w:rFonts w:ascii="仿宋" w:hAnsi="仿宋" w:eastAsia="仿宋" w:cs="仿宋"/>
          <w:sz w:val="23"/>
          <w:szCs w:val="23"/>
          <w:highlight w:val="none"/>
        </w:rPr>
        <w:t xml:space="preserve"> </w:t>
      </w:r>
      <w:r>
        <w:rPr>
          <w:rFonts w:ascii="仿宋" w:hAnsi="仿宋" w:eastAsia="仿宋" w:cs="仿宋"/>
          <w:spacing w:val="10"/>
          <w:sz w:val="23"/>
          <w:szCs w:val="23"/>
          <w:highlight w:val="none"/>
        </w:rPr>
        <w:t>约</w:t>
      </w:r>
      <w:r>
        <w:rPr>
          <w:rFonts w:ascii="仿宋" w:hAnsi="仿宋" w:eastAsia="仿宋" w:cs="仿宋"/>
          <w:spacing w:val="7"/>
          <w:sz w:val="23"/>
          <w:szCs w:val="23"/>
          <w:highlight w:val="none"/>
        </w:rPr>
        <w:t>金</w:t>
      </w:r>
      <w:r>
        <w:rPr>
          <w:rFonts w:ascii="仿宋" w:hAnsi="仿宋" w:eastAsia="仿宋" w:cs="仿宋"/>
          <w:spacing w:val="5"/>
          <w:sz w:val="23"/>
          <w:szCs w:val="23"/>
          <w:highlight w:val="none"/>
        </w:rPr>
        <w:t>，由甲方从待付货款中扣除。逾期超过约定日期 10 个工作日不能交货的，甲方</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可解除本合同。乙方因逾期交货或因其他违约行为导致甲方解除合同的，乙方应向</w:t>
      </w:r>
      <w:r>
        <w:rPr>
          <w:rFonts w:ascii="仿宋" w:hAnsi="仿宋" w:eastAsia="仿宋" w:cs="仿宋"/>
          <w:sz w:val="23"/>
          <w:szCs w:val="23"/>
          <w:highlight w:val="none"/>
        </w:rPr>
        <w:t xml:space="preserve"> </w:t>
      </w:r>
      <w:r>
        <w:rPr>
          <w:rFonts w:ascii="仿宋" w:hAnsi="仿宋" w:eastAsia="仿宋" w:cs="仿宋"/>
          <w:spacing w:val="22"/>
          <w:sz w:val="23"/>
          <w:szCs w:val="23"/>
          <w:highlight w:val="none"/>
        </w:rPr>
        <w:t>甲方</w:t>
      </w:r>
      <w:r>
        <w:rPr>
          <w:rFonts w:ascii="仿宋" w:hAnsi="仿宋" w:eastAsia="仿宋" w:cs="仿宋"/>
          <w:spacing w:val="14"/>
          <w:sz w:val="23"/>
          <w:szCs w:val="23"/>
          <w:highlight w:val="none"/>
        </w:rPr>
        <w:t>支</w:t>
      </w:r>
      <w:r>
        <w:rPr>
          <w:rFonts w:ascii="仿宋" w:hAnsi="仿宋" w:eastAsia="仿宋" w:cs="仿宋"/>
          <w:spacing w:val="11"/>
          <w:sz w:val="23"/>
          <w:szCs w:val="23"/>
          <w:highlight w:val="none"/>
        </w:rPr>
        <w:t>付合同总值5%的违约金，如造成甲方损失超过违约金的，超出部分由乙方继</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续</w:t>
      </w:r>
      <w:r>
        <w:rPr>
          <w:rFonts w:ascii="仿宋" w:hAnsi="仿宋" w:eastAsia="仿宋" w:cs="仿宋"/>
          <w:spacing w:val="6"/>
          <w:sz w:val="23"/>
          <w:szCs w:val="23"/>
          <w:highlight w:val="none"/>
        </w:rPr>
        <w:t>承担赔偿责任。</w:t>
      </w:r>
    </w:p>
    <w:p w14:paraId="037413E6">
      <w:pPr>
        <w:spacing w:before="100" w:line="379" w:lineRule="auto"/>
        <w:ind w:left="15" w:right="83" w:firstLine="431"/>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4</w:t>
      </w:r>
      <w:r>
        <w:rPr>
          <w:rFonts w:ascii="仿宋" w:hAnsi="仿宋" w:eastAsia="仿宋" w:cs="仿宋"/>
          <w:spacing w:val="9"/>
          <w:sz w:val="23"/>
          <w:szCs w:val="23"/>
          <w:highlight w:val="none"/>
        </w:rPr>
        <w:t>.4 乙方所交的货物品种、型号、规格、技术参数、质量不符合合同规定及招</w:t>
      </w:r>
      <w:r>
        <w:rPr>
          <w:rFonts w:ascii="仿宋" w:hAnsi="仿宋" w:eastAsia="仿宋" w:cs="仿宋"/>
          <w:sz w:val="23"/>
          <w:szCs w:val="23"/>
          <w:highlight w:val="none"/>
        </w:rPr>
        <w:t xml:space="preserve"> </w:t>
      </w:r>
      <w:r>
        <w:rPr>
          <w:rFonts w:ascii="仿宋" w:hAnsi="仿宋" w:eastAsia="仿宋" w:cs="仿宋"/>
          <w:spacing w:val="16"/>
          <w:sz w:val="23"/>
          <w:szCs w:val="23"/>
          <w:highlight w:val="none"/>
        </w:rPr>
        <w:t>标文</w:t>
      </w:r>
      <w:r>
        <w:rPr>
          <w:rFonts w:ascii="仿宋" w:hAnsi="仿宋" w:eastAsia="仿宋" w:cs="仿宋"/>
          <w:spacing w:val="14"/>
          <w:sz w:val="23"/>
          <w:szCs w:val="23"/>
          <w:highlight w:val="none"/>
        </w:rPr>
        <w:t>件</w:t>
      </w:r>
      <w:r>
        <w:rPr>
          <w:rFonts w:ascii="仿宋" w:hAnsi="仿宋" w:eastAsia="仿宋" w:cs="仿宋"/>
          <w:spacing w:val="8"/>
          <w:sz w:val="23"/>
          <w:szCs w:val="23"/>
          <w:highlight w:val="none"/>
        </w:rPr>
        <w:t>规定标准的， 甲方有权拒收该货物，乙方愿意更换货物但逾期交货的，按乙</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方逾期交货处理。乙方拒绝更换产品的， 甲方可单方面解除合同</w:t>
      </w:r>
      <w:r>
        <w:rPr>
          <w:rFonts w:ascii="仿宋" w:hAnsi="仿宋" w:eastAsia="仿宋" w:cs="仿宋"/>
          <w:spacing w:val="4"/>
          <w:sz w:val="23"/>
          <w:szCs w:val="23"/>
          <w:highlight w:val="none"/>
        </w:rPr>
        <w:t>。</w:t>
      </w:r>
    </w:p>
    <w:p w14:paraId="05A34B09">
      <w:pPr>
        <w:spacing w:before="103" w:line="231" w:lineRule="auto"/>
        <w:ind w:left="443"/>
        <w:rPr>
          <w:rFonts w:ascii="仿宋" w:hAnsi="仿宋" w:eastAsia="仿宋" w:cs="仿宋"/>
          <w:sz w:val="23"/>
          <w:szCs w:val="23"/>
          <w:highlight w:val="none"/>
        </w:rPr>
      </w:pPr>
      <w:r>
        <w:rPr>
          <w:rFonts w:ascii="仿宋" w:hAnsi="仿宋" w:eastAsia="仿宋" w:cs="仿宋"/>
          <w:spacing w:val="14"/>
          <w:sz w:val="23"/>
          <w:szCs w:val="23"/>
          <w:highlight w:val="none"/>
        </w:rPr>
        <w:t>十</w:t>
      </w:r>
      <w:r>
        <w:rPr>
          <w:rFonts w:ascii="仿宋" w:hAnsi="仿宋" w:eastAsia="仿宋" w:cs="仿宋"/>
          <w:spacing w:val="8"/>
          <w:sz w:val="23"/>
          <w:szCs w:val="23"/>
          <w:highlight w:val="none"/>
        </w:rPr>
        <w:t>五、不可抗力事件处理</w:t>
      </w:r>
    </w:p>
    <w:p w14:paraId="0D65D05C">
      <w:pPr>
        <w:spacing w:before="298" w:line="383" w:lineRule="auto"/>
        <w:ind w:left="18" w:right="83" w:firstLine="428"/>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5</w:t>
      </w:r>
      <w:r>
        <w:rPr>
          <w:rFonts w:ascii="仿宋" w:hAnsi="仿宋" w:eastAsia="仿宋" w:cs="仿宋"/>
          <w:spacing w:val="9"/>
          <w:sz w:val="23"/>
          <w:szCs w:val="23"/>
          <w:highlight w:val="none"/>
        </w:rPr>
        <w:t>.1 在合同有效期内，任何一方因不可抗力事件导致不能履行合同，则合同履</w:t>
      </w:r>
      <w:r>
        <w:rPr>
          <w:rFonts w:ascii="仿宋" w:hAnsi="仿宋" w:eastAsia="仿宋" w:cs="仿宋"/>
          <w:sz w:val="23"/>
          <w:szCs w:val="23"/>
          <w:highlight w:val="none"/>
        </w:rPr>
        <w:t xml:space="preserve"> </w:t>
      </w:r>
      <w:r>
        <w:rPr>
          <w:rFonts w:ascii="仿宋" w:hAnsi="仿宋" w:eastAsia="仿宋" w:cs="仿宋"/>
          <w:spacing w:val="16"/>
          <w:sz w:val="23"/>
          <w:szCs w:val="23"/>
          <w:highlight w:val="none"/>
        </w:rPr>
        <w:t>行</w:t>
      </w:r>
      <w:r>
        <w:rPr>
          <w:rFonts w:ascii="仿宋" w:hAnsi="仿宋" w:eastAsia="仿宋" w:cs="仿宋"/>
          <w:spacing w:val="14"/>
          <w:sz w:val="23"/>
          <w:szCs w:val="23"/>
          <w:highlight w:val="none"/>
        </w:rPr>
        <w:t>期</w:t>
      </w:r>
      <w:r>
        <w:rPr>
          <w:rFonts w:ascii="仿宋" w:hAnsi="仿宋" w:eastAsia="仿宋" w:cs="仿宋"/>
          <w:spacing w:val="8"/>
          <w:sz w:val="23"/>
          <w:szCs w:val="23"/>
          <w:highlight w:val="none"/>
        </w:rPr>
        <w:t>可延长，其延长期与不可抗力影响期相同。</w:t>
      </w:r>
    </w:p>
    <w:p w14:paraId="4B251DF7">
      <w:pPr>
        <w:spacing w:before="99" w:line="231" w:lineRule="auto"/>
        <w:ind w:left="446"/>
        <w:rPr>
          <w:rFonts w:ascii="仿宋" w:hAnsi="仿宋" w:eastAsia="仿宋" w:cs="仿宋"/>
          <w:sz w:val="23"/>
          <w:szCs w:val="23"/>
          <w:highlight w:val="none"/>
        </w:rPr>
      </w:pPr>
      <w:r>
        <w:rPr>
          <w:rFonts w:ascii="仿宋" w:hAnsi="仿宋" w:eastAsia="仿宋" w:cs="仿宋"/>
          <w:spacing w:val="10"/>
          <w:sz w:val="23"/>
          <w:szCs w:val="23"/>
          <w:highlight w:val="none"/>
        </w:rPr>
        <w:t>15</w:t>
      </w:r>
      <w:r>
        <w:rPr>
          <w:rFonts w:ascii="仿宋" w:hAnsi="仿宋" w:eastAsia="仿宋" w:cs="仿宋"/>
          <w:spacing w:val="5"/>
          <w:sz w:val="23"/>
          <w:szCs w:val="23"/>
          <w:highlight w:val="none"/>
        </w:rPr>
        <w:t>.2 不可抗力事件发生后，应立即通知对方，并寄送有关权威机构出具的证明。</w:t>
      </w:r>
    </w:p>
    <w:p w14:paraId="63F58B63">
      <w:pPr>
        <w:spacing w:before="302" w:line="384" w:lineRule="auto"/>
        <w:ind w:left="23" w:right="85" w:firstLine="423"/>
        <w:rPr>
          <w:rFonts w:ascii="仿宋" w:hAnsi="仿宋" w:eastAsia="仿宋" w:cs="仿宋"/>
          <w:sz w:val="23"/>
          <w:szCs w:val="23"/>
          <w:highlight w:val="none"/>
        </w:rPr>
      </w:pPr>
      <w:r>
        <w:rPr>
          <w:rFonts w:ascii="仿宋" w:hAnsi="仿宋" w:eastAsia="仿宋" w:cs="仿宋"/>
          <w:spacing w:val="10"/>
          <w:sz w:val="23"/>
          <w:szCs w:val="23"/>
          <w:highlight w:val="none"/>
        </w:rPr>
        <w:t>15.3 不</w:t>
      </w:r>
      <w:r>
        <w:rPr>
          <w:rFonts w:ascii="仿宋" w:hAnsi="仿宋" w:eastAsia="仿宋" w:cs="仿宋"/>
          <w:spacing w:val="5"/>
          <w:sz w:val="23"/>
          <w:szCs w:val="23"/>
          <w:highlight w:val="none"/>
        </w:rPr>
        <w:t>可抗力事件延续 120 天以上，双方应通过友好协商，确定是否继续履行</w:t>
      </w:r>
      <w:r>
        <w:rPr>
          <w:rFonts w:ascii="仿宋" w:hAnsi="仿宋" w:eastAsia="仿宋" w:cs="仿宋"/>
          <w:sz w:val="23"/>
          <w:szCs w:val="23"/>
          <w:highlight w:val="none"/>
        </w:rPr>
        <w:t xml:space="preserve"> </w:t>
      </w:r>
      <w:r>
        <w:rPr>
          <w:rFonts w:ascii="仿宋" w:hAnsi="仿宋" w:eastAsia="仿宋" w:cs="仿宋"/>
          <w:spacing w:val="-1"/>
          <w:sz w:val="23"/>
          <w:szCs w:val="23"/>
          <w:highlight w:val="none"/>
        </w:rPr>
        <w:t>合同。</w:t>
      </w:r>
    </w:p>
    <w:p w14:paraId="1901162E">
      <w:pPr>
        <w:spacing w:before="95" w:line="231" w:lineRule="auto"/>
        <w:ind w:left="443"/>
        <w:rPr>
          <w:rFonts w:ascii="仿宋" w:hAnsi="仿宋" w:eastAsia="仿宋" w:cs="仿宋"/>
          <w:sz w:val="23"/>
          <w:szCs w:val="23"/>
          <w:highlight w:val="none"/>
        </w:rPr>
      </w:pPr>
      <w:r>
        <w:rPr>
          <w:rFonts w:ascii="仿宋" w:hAnsi="仿宋" w:eastAsia="仿宋" w:cs="仿宋"/>
          <w:spacing w:val="6"/>
          <w:sz w:val="23"/>
          <w:szCs w:val="23"/>
          <w:highlight w:val="none"/>
        </w:rPr>
        <w:t>十六、诉</w:t>
      </w:r>
      <w:r>
        <w:rPr>
          <w:rFonts w:ascii="仿宋" w:hAnsi="仿宋" w:eastAsia="仿宋" w:cs="仿宋"/>
          <w:spacing w:val="5"/>
          <w:sz w:val="23"/>
          <w:szCs w:val="23"/>
          <w:highlight w:val="none"/>
        </w:rPr>
        <w:t>讼</w:t>
      </w:r>
    </w:p>
    <w:p w14:paraId="37CC361B">
      <w:pPr>
        <w:spacing w:before="302" w:line="381" w:lineRule="auto"/>
        <w:ind w:left="47" w:right="83" w:firstLine="399"/>
        <w:rPr>
          <w:rFonts w:ascii="仿宋" w:hAnsi="仿宋" w:eastAsia="仿宋" w:cs="仿宋"/>
          <w:sz w:val="23"/>
          <w:szCs w:val="23"/>
          <w:highlight w:val="none"/>
        </w:rPr>
      </w:pPr>
      <w:r>
        <w:rPr>
          <w:rFonts w:ascii="仿宋" w:hAnsi="仿宋" w:eastAsia="仿宋" w:cs="仿宋"/>
          <w:spacing w:val="18"/>
          <w:sz w:val="23"/>
          <w:szCs w:val="23"/>
          <w:highlight w:val="none"/>
        </w:rPr>
        <w:t>1</w:t>
      </w:r>
      <w:r>
        <w:rPr>
          <w:rFonts w:ascii="仿宋" w:hAnsi="仿宋" w:eastAsia="仿宋" w:cs="仿宋"/>
          <w:spacing w:val="14"/>
          <w:sz w:val="23"/>
          <w:szCs w:val="23"/>
          <w:highlight w:val="none"/>
        </w:rPr>
        <w:t>6</w:t>
      </w:r>
      <w:r>
        <w:rPr>
          <w:rFonts w:ascii="仿宋" w:hAnsi="仿宋" w:eastAsia="仿宋" w:cs="仿宋"/>
          <w:spacing w:val="9"/>
          <w:sz w:val="23"/>
          <w:szCs w:val="23"/>
          <w:highlight w:val="none"/>
        </w:rPr>
        <w:t>.1 双方在执行合同中所发生的一切争议，应通过协商解决。如协商不成，可</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向合同签订地法院起诉，合同签订地在此约定为</w:t>
      </w:r>
      <w:r>
        <w:rPr>
          <w:rFonts w:ascii="仿宋" w:hAnsi="仿宋" w:eastAsia="仿宋" w:cs="仿宋"/>
          <w:spacing w:val="8"/>
          <w:sz w:val="23"/>
          <w:szCs w:val="23"/>
          <w:highlight w:val="none"/>
          <w:u w:val="single" w:color="auto"/>
        </w:rPr>
        <w:t>乌鲁木齐市</w:t>
      </w:r>
      <w:r>
        <w:rPr>
          <w:rFonts w:ascii="仿宋" w:hAnsi="仿宋" w:eastAsia="仿宋" w:cs="仿宋"/>
          <w:spacing w:val="5"/>
          <w:sz w:val="23"/>
          <w:szCs w:val="23"/>
          <w:highlight w:val="none"/>
        </w:rPr>
        <w:t>。</w:t>
      </w:r>
    </w:p>
    <w:p w14:paraId="4F1C2E0E">
      <w:pPr>
        <w:spacing w:before="101" w:line="231" w:lineRule="auto"/>
        <w:ind w:left="443"/>
        <w:rPr>
          <w:rFonts w:ascii="仿宋" w:hAnsi="仿宋" w:eastAsia="仿宋" w:cs="仿宋"/>
          <w:sz w:val="23"/>
          <w:szCs w:val="23"/>
          <w:highlight w:val="none"/>
        </w:rPr>
      </w:pPr>
      <w:r>
        <w:rPr>
          <w:rFonts w:ascii="仿宋" w:hAnsi="仿宋" w:eastAsia="仿宋" w:cs="仿宋"/>
          <w:spacing w:val="12"/>
          <w:sz w:val="23"/>
          <w:szCs w:val="23"/>
          <w:highlight w:val="none"/>
        </w:rPr>
        <w:t>十</w:t>
      </w:r>
      <w:r>
        <w:rPr>
          <w:rFonts w:ascii="仿宋" w:hAnsi="仿宋" w:eastAsia="仿宋" w:cs="仿宋"/>
          <w:spacing w:val="8"/>
          <w:sz w:val="23"/>
          <w:szCs w:val="23"/>
          <w:highlight w:val="none"/>
        </w:rPr>
        <w:t>七、合同生效及其它</w:t>
      </w:r>
    </w:p>
    <w:p w14:paraId="41D20566">
      <w:pPr>
        <w:spacing w:before="164" w:line="228" w:lineRule="auto"/>
        <w:ind w:left="446"/>
        <w:rPr>
          <w:rFonts w:ascii="仿宋" w:hAnsi="仿宋" w:eastAsia="仿宋" w:cs="仿宋"/>
          <w:sz w:val="23"/>
          <w:szCs w:val="23"/>
          <w:highlight w:val="none"/>
        </w:rPr>
      </w:pPr>
      <w:r>
        <w:rPr>
          <w:rFonts w:ascii="仿宋" w:hAnsi="仿宋" w:eastAsia="仿宋" w:cs="仿宋"/>
          <w:spacing w:val="12"/>
          <w:sz w:val="23"/>
          <w:szCs w:val="23"/>
          <w:highlight w:val="none"/>
        </w:rPr>
        <w:t>17.</w:t>
      </w:r>
      <w:r>
        <w:rPr>
          <w:rFonts w:ascii="仿宋" w:hAnsi="仿宋" w:eastAsia="仿宋" w:cs="仿宋"/>
          <w:spacing w:val="10"/>
          <w:sz w:val="23"/>
          <w:szCs w:val="23"/>
          <w:highlight w:val="none"/>
        </w:rPr>
        <w:t>1</w:t>
      </w:r>
      <w:r>
        <w:rPr>
          <w:rFonts w:ascii="仿宋" w:hAnsi="仿宋" w:eastAsia="仿宋" w:cs="仿宋"/>
          <w:spacing w:val="6"/>
          <w:sz w:val="23"/>
          <w:szCs w:val="23"/>
          <w:highlight w:val="none"/>
        </w:rPr>
        <w:t xml:space="preserve"> 合同经双方法定代表人或授权委托代表人签字并加盖单位公章后生效。</w:t>
      </w:r>
    </w:p>
    <w:p w14:paraId="4D234811">
      <w:pPr>
        <w:spacing w:before="300" w:line="231" w:lineRule="auto"/>
        <w:ind w:left="446"/>
        <w:rPr>
          <w:rFonts w:ascii="仿宋" w:hAnsi="仿宋" w:eastAsia="仿宋" w:cs="仿宋"/>
          <w:sz w:val="23"/>
          <w:szCs w:val="23"/>
          <w:highlight w:val="none"/>
        </w:rPr>
      </w:pPr>
      <w:r>
        <w:rPr>
          <w:rFonts w:ascii="仿宋" w:hAnsi="仿宋" w:eastAsia="仿宋" w:cs="仿宋"/>
          <w:spacing w:val="10"/>
          <w:sz w:val="23"/>
          <w:szCs w:val="23"/>
          <w:highlight w:val="none"/>
        </w:rPr>
        <w:t>17</w:t>
      </w:r>
      <w:r>
        <w:rPr>
          <w:rFonts w:ascii="仿宋" w:hAnsi="仿宋" w:eastAsia="仿宋" w:cs="仿宋"/>
          <w:spacing w:val="8"/>
          <w:sz w:val="23"/>
          <w:szCs w:val="23"/>
          <w:highlight w:val="none"/>
        </w:rPr>
        <w:t>.</w:t>
      </w:r>
      <w:r>
        <w:rPr>
          <w:rFonts w:ascii="仿宋" w:hAnsi="仿宋" w:eastAsia="仿宋" w:cs="仿宋"/>
          <w:spacing w:val="5"/>
          <w:sz w:val="23"/>
          <w:szCs w:val="23"/>
          <w:highlight w:val="none"/>
        </w:rPr>
        <w:t>2 本合同未尽事宜，遵照《民法典》有关条文执行。</w:t>
      </w:r>
    </w:p>
    <w:p w14:paraId="3FE96F48">
      <w:pPr>
        <w:spacing w:before="300" w:line="231" w:lineRule="auto"/>
        <w:ind w:left="446"/>
        <w:rPr>
          <w:rFonts w:ascii="仿宋" w:hAnsi="仿宋" w:eastAsia="仿宋" w:cs="仿宋"/>
          <w:sz w:val="23"/>
          <w:szCs w:val="23"/>
          <w:highlight w:val="none"/>
        </w:rPr>
      </w:pPr>
      <w:r>
        <w:rPr>
          <w:rFonts w:ascii="仿宋" w:hAnsi="仿宋" w:eastAsia="仿宋" w:cs="仿宋"/>
          <w:spacing w:val="7"/>
          <w:sz w:val="23"/>
          <w:szCs w:val="23"/>
          <w:highlight w:val="none"/>
        </w:rPr>
        <w:t>1</w:t>
      </w:r>
      <w:r>
        <w:rPr>
          <w:rFonts w:ascii="仿宋" w:hAnsi="仿宋" w:eastAsia="仿宋" w:cs="仿宋"/>
          <w:spacing w:val="6"/>
          <w:sz w:val="23"/>
          <w:szCs w:val="23"/>
          <w:highlight w:val="none"/>
        </w:rPr>
        <w:t>7.3 本合同正本一式三份，具有同等法律效力， 甲方、乙方及财政监管部门各</w:t>
      </w:r>
    </w:p>
    <w:p w14:paraId="328589C1">
      <w:pPr>
        <w:spacing w:before="178" w:line="232" w:lineRule="auto"/>
        <w:ind w:left="15"/>
        <w:rPr>
          <w:rFonts w:ascii="仿宋" w:hAnsi="仿宋" w:eastAsia="仿宋" w:cs="仿宋"/>
          <w:sz w:val="23"/>
          <w:szCs w:val="23"/>
          <w:highlight w:val="none"/>
        </w:rPr>
      </w:pPr>
      <w:r>
        <w:rPr>
          <w:rFonts w:ascii="仿宋" w:hAnsi="仿宋" w:eastAsia="仿宋" w:cs="仿宋"/>
          <w:spacing w:val="5"/>
          <w:sz w:val="23"/>
          <w:szCs w:val="23"/>
          <w:highlight w:val="none"/>
        </w:rPr>
        <w:t>执</w:t>
      </w:r>
      <w:r>
        <w:rPr>
          <w:rFonts w:ascii="仿宋" w:hAnsi="仿宋" w:eastAsia="仿宋" w:cs="仿宋"/>
          <w:spacing w:val="3"/>
          <w:sz w:val="23"/>
          <w:szCs w:val="23"/>
          <w:highlight w:val="none"/>
        </w:rPr>
        <w:t>一份。</w:t>
      </w:r>
    </w:p>
    <w:p w14:paraId="036C8BDA">
      <w:pPr>
        <w:spacing w:line="268" w:lineRule="auto"/>
        <w:rPr>
          <w:rFonts w:ascii="Arial"/>
          <w:sz w:val="21"/>
          <w:highlight w:val="none"/>
        </w:rPr>
      </w:pPr>
    </w:p>
    <w:p w14:paraId="4762BE68">
      <w:pPr>
        <w:spacing w:line="268" w:lineRule="auto"/>
        <w:rPr>
          <w:rFonts w:ascii="Arial"/>
          <w:sz w:val="21"/>
          <w:highlight w:val="none"/>
        </w:rPr>
      </w:pPr>
    </w:p>
    <w:p w14:paraId="43BC49F8">
      <w:pPr>
        <w:spacing w:line="268" w:lineRule="auto"/>
        <w:rPr>
          <w:rFonts w:ascii="Arial"/>
          <w:sz w:val="21"/>
          <w:highlight w:val="none"/>
        </w:rPr>
      </w:pPr>
    </w:p>
    <w:p w14:paraId="3A331F93">
      <w:pPr>
        <w:spacing w:before="75" w:line="231" w:lineRule="auto"/>
        <w:ind w:left="288"/>
        <w:rPr>
          <w:rFonts w:ascii="仿宋" w:hAnsi="仿宋" w:eastAsia="仿宋" w:cs="仿宋"/>
          <w:sz w:val="23"/>
          <w:szCs w:val="23"/>
          <w:highlight w:val="none"/>
        </w:rPr>
      </w:pPr>
      <w:r>
        <w:rPr>
          <w:rFonts w:ascii="仿宋" w:hAnsi="仿宋" w:eastAsia="仿宋" w:cs="仿宋"/>
          <w:spacing w:val="-6"/>
          <w:sz w:val="23"/>
          <w:szCs w:val="23"/>
          <w:highlight w:val="none"/>
        </w:rPr>
        <w:t xml:space="preserve">甲方： </w:t>
      </w:r>
      <w:r>
        <w:rPr>
          <w:rFonts w:ascii="仿宋" w:hAnsi="仿宋" w:eastAsia="仿宋" w:cs="仿宋"/>
          <w:spacing w:val="-3"/>
          <w:sz w:val="23"/>
          <w:szCs w:val="23"/>
          <w:highlight w:val="none"/>
        </w:rPr>
        <w:t xml:space="preserve">                         乙方：</w:t>
      </w:r>
    </w:p>
    <w:p w14:paraId="713ACC76">
      <w:pPr>
        <w:spacing w:before="300"/>
        <w:ind w:left="257"/>
        <w:rPr>
          <w:rFonts w:ascii="仿宋" w:hAnsi="仿宋" w:eastAsia="仿宋" w:cs="仿宋"/>
          <w:sz w:val="23"/>
          <w:szCs w:val="23"/>
          <w:highlight w:val="none"/>
        </w:rPr>
      </w:pPr>
      <w:r>
        <w:rPr>
          <w:rFonts w:ascii="仿宋" w:hAnsi="仿宋" w:eastAsia="仿宋" w:cs="仿宋"/>
          <w:spacing w:val="-4"/>
          <w:sz w:val="23"/>
          <w:szCs w:val="23"/>
          <w:highlight w:val="none"/>
        </w:rPr>
        <w:t xml:space="preserve">地址：   </w:t>
      </w:r>
      <w:r>
        <w:rPr>
          <w:rFonts w:ascii="仿宋" w:hAnsi="仿宋" w:eastAsia="仿宋" w:cs="仿宋"/>
          <w:spacing w:val="-3"/>
          <w:sz w:val="23"/>
          <w:szCs w:val="23"/>
          <w:highlight w:val="none"/>
        </w:rPr>
        <w:t xml:space="preserve"> </w:t>
      </w:r>
      <w:r>
        <w:rPr>
          <w:rFonts w:ascii="仿宋" w:hAnsi="仿宋" w:eastAsia="仿宋" w:cs="仿宋"/>
          <w:spacing w:val="-2"/>
          <w:sz w:val="23"/>
          <w:szCs w:val="23"/>
          <w:highlight w:val="none"/>
        </w:rPr>
        <w:t xml:space="preserve">                      地址：</w:t>
      </w:r>
    </w:p>
    <w:p w14:paraId="64DBC9B0">
      <w:pPr>
        <w:spacing w:before="289" w:line="231" w:lineRule="auto"/>
        <w:ind w:left="264"/>
        <w:rPr>
          <w:rFonts w:ascii="仿宋" w:hAnsi="仿宋" w:eastAsia="仿宋" w:cs="仿宋"/>
          <w:sz w:val="23"/>
          <w:szCs w:val="23"/>
          <w:highlight w:val="none"/>
        </w:rPr>
      </w:pPr>
      <w:r>
        <w:rPr>
          <w:rFonts w:ascii="仿宋" w:hAnsi="仿宋" w:eastAsia="仿宋" w:cs="仿宋"/>
          <w:spacing w:val="-1"/>
          <w:sz w:val="23"/>
          <w:szCs w:val="23"/>
          <w:highlight w:val="none"/>
        </w:rPr>
        <w:t>法定代表</w:t>
      </w:r>
      <w:r>
        <w:rPr>
          <w:rFonts w:ascii="仿宋" w:hAnsi="仿宋" w:eastAsia="仿宋" w:cs="仿宋"/>
          <w:sz w:val="23"/>
          <w:szCs w:val="23"/>
          <w:highlight w:val="none"/>
        </w:rPr>
        <w:t>人或授权代表：          法定代表人或授权代表：</w:t>
      </w:r>
    </w:p>
    <w:p w14:paraId="33E82268">
      <w:pPr>
        <w:spacing w:before="298" w:line="231" w:lineRule="auto"/>
        <w:ind w:left="254"/>
        <w:rPr>
          <w:rFonts w:ascii="仿宋" w:hAnsi="仿宋" w:eastAsia="仿宋" w:cs="仿宋"/>
          <w:sz w:val="23"/>
          <w:szCs w:val="23"/>
          <w:highlight w:val="none"/>
        </w:rPr>
      </w:pPr>
      <w:r>
        <w:rPr>
          <w:rFonts w:ascii="仿宋" w:hAnsi="仿宋" w:eastAsia="仿宋" w:cs="仿宋"/>
          <w:spacing w:val="-2"/>
          <w:sz w:val="23"/>
          <w:szCs w:val="23"/>
          <w:highlight w:val="none"/>
        </w:rPr>
        <w:t xml:space="preserve">联系电话：                 </w:t>
      </w:r>
      <w:r>
        <w:rPr>
          <w:rFonts w:ascii="仿宋" w:hAnsi="仿宋" w:eastAsia="仿宋" w:cs="仿宋"/>
          <w:spacing w:val="-1"/>
          <w:sz w:val="23"/>
          <w:szCs w:val="23"/>
          <w:highlight w:val="none"/>
        </w:rPr>
        <w:t xml:space="preserve">     联系电话：</w:t>
      </w:r>
    </w:p>
    <w:p w14:paraId="0B3D844E">
      <w:pPr>
        <w:spacing w:line="268" w:lineRule="auto"/>
        <w:rPr>
          <w:rFonts w:ascii="Arial"/>
          <w:sz w:val="21"/>
          <w:highlight w:val="none"/>
        </w:rPr>
      </w:pPr>
    </w:p>
    <w:p w14:paraId="6B4AFBBF">
      <w:pPr>
        <w:spacing w:line="268" w:lineRule="auto"/>
        <w:rPr>
          <w:rFonts w:ascii="Arial"/>
          <w:sz w:val="21"/>
          <w:highlight w:val="none"/>
        </w:rPr>
      </w:pPr>
    </w:p>
    <w:p w14:paraId="5CF2FD19">
      <w:pPr>
        <w:spacing w:line="269" w:lineRule="auto"/>
        <w:rPr>
          <w:rFonts w:ascii="Arial"/>
          <w:sz w:val="21"/>
          <w:highlight w:val="none"/>
        </w:rPr>
      </w:pPr>
    </w:p>
    <w:p w14:paraId="306D05D3">
      <w:pPr>
        <w:spacing w:before="75" w:line="231" w:lineRule="auto"/>
        <w:ind w:left="2885"/>
        <w:rPr>
          <w:rFonts w:ascii="仿宋" w:hAnsi="仿宋" w:eastAsia="仿宋" w:cs="仿宋"/>
          <w:sz w:val="23"/>
          <w:szCs w:val="23"/>
          <w:highlight w:val="none"/>
        </w:rPr>
      </w:pPr>
      <w:r>
        <w:rPr>
          <w:rFonts w:ascii="仿宋" w:hAnsi="仿宋" w:eastAsia="仿宋" w:cs="仿宋"/>
          <w:spacing w:val="4"/>
          <w:sz w:val="23"/>
          <w:szCs w:val="23"/>
          <w:highlight w:val="none"/>
        </w:rPr>
        <w:t>签订日期：</w:t>
      </w:r>
      <w:r>
        <w:rPr>
          <w:rFonts w:ascii="仿宋" w:hAnsi="仿宋" w:eastAsia="仿宋" w:cs="仿宋"/>
          <w:spacing w:val="3"/>
          <w:sz w:val="23"/>
          <w:szCs w:val="23"/>
          <w:highlight w:val="none"/>
        </w:rPr>
        <w:t xml:space="preserve"> </w:t>
      </w:r>
      <w:r>
        <w:rPr>
          <w:rFonts w:ascii="仿宋" w:hAnsi="仿宋" w:eastAsia="仿宋" w:cs="仿宋"/>
          <w:spacing w:val="2"/>
          <w:sz w:val="23"/>
          <w:szCs w:val="23"/>
          <w:highlight w:val="none"/>
        </w:rPr>
        <w:t xml:space="preserve">      年  月  日</w:t>
      </w:r>
    </w:p>
    <w:p w14:paraId="07885085">
      <w:pPr>
        <w:spacing w:line="251" w:lineRule="auto"/>
        <w:rPr>
          <w:rFonts w:ascii="Arial"/>
          <w:sz w:val="21"/>
          <w:highlight w:val="none"/>
        </w:rPr>
      </w:pPr>
    </w:p>
    <w:p w14:paraId="1EB23229">
      <w:pPr>
        <w:spacing w:line="251" w:lineRule="auto"/>
        <w:rPr>
          <w:rFonts w:ascii="Arial"/>
          <w:sz w:val="21"/>
          <w:highlight w:val="none"/>
        </w:rPr>
      </w:pPr>
    </w:p>
    <w:p w14:paraId="415FEBCA">
      <w:pPr>
        <w:spacing w:line="251" w:lineRule="auto"/>
        <w:rPr>
          <w:rFonts w:ascii="Arial"/>
          <w:sz w:val="21"/>
          <w:highlight w:val="none"/>
        </w:rPr>
      </w:pPr>
    </w:p>
    <w:p w14:paraId="36D95515">
      <w:pPr>
        <w:spacing w:line="251" w:lineRule="auto"/>
        <w:rPr>
          <w:rFonts w:ascii="Arial"/>
          <w:sz w:val="21"/>
          <w:highlight w:val="none"/>
        </w:rPr>
      </w:pPr>
    </w:p>
    <w:p w14:paraId="58FFDB14">
      <w:pPr>
        <w:spacing w:line="252" w:lineRule="auto"/>
        <w:rPr>
          <w:rFonts w:ascii="Arial"/>
          <w:sz w:val="21"/>
          <w:highlight w:val="none"/>
        </w:rPr>
      </w:pPr>
    </w:p>
    <w:p w14:paraId="39550F7E">
      <w:pPr>
        <w:spacing w:before="102" w:line="236" w:lineRule="auto"/>
        <w:ind w:left="30"/>
        <w:rPr>
          <w:highlight w:val="none"/>
        </w:rPr>
        <w:sectPr>
          <w:headerReference r:id="rId5" w:type="default"/>
          <w:footerReference r:id="rId6" w:type="default"/>
          <w:pgSz w:w="11906" w:h="16839"/>
          <w:pgMar w:top="1118" w:right="1587" w:bottom="1142" w:left="1588" w:header="878" w:footer="981" w:gutter="0"/>
          <w:pgNumType w:fmt="decimal"/>
          <w:cols w:space="720" w:num="1"/>
        </w:sectPr>
      </w:pPr>
      <w:r>
        <w:rPr>
          <w:rFonts w:ascii="仿宋" w:hAnsi="仿宋" w:eastAsia="仿宋" w:cs="仿宋"/>
          <w:spacing w:val="9"/>
          <w:sz w:val="31"/>
          <w:szCs w:val="31"/>
          <w:highlight w:val="none"/>
        </w:rPr>
        <w:t>注</w:t>
      </w:r>
      <w:r>
        <w:rPr>
          <w:rFonts w:ascii="仿宋" w:hAnsi="仿宋" w:eastAsia="仿宋" w:cs="仿宋"/>
          <w:spacing w:val="8"/>
          <w:sz w:val="31"/>
          <w:szCs w:val="31"/>
          <w:highlight w:val="none"/>
        </w:rPr>
        <w:t>：最终合同以实际签订为准。</w:t>
      </w:r>
    </w:p>
    <w:p w14:paraId="6FC10995">
      <w:pPr>
        <w:spacing w:line="240" w:lineRule="auto"/>
        <w:rPr>
          <w:rFonts w:ascii="Arial"/>
          <w:sz w:val="2"/>
          <w:highlight w:val="none"/>
        </w:rPr>
      </w:pPr>
    </w:p>
    <w:p w14:paraId="38FF9B4D">
      <w:pPr>
        <w:pStyle w:val="6"/>
        <w:spacing w:before="60" w:line="222" w:lineRule="auto"/>
        <w:jc w:val="center"/>
        <w:outlineLvl w:val="0"/>
        <w:rPr>
          <w:highlight w:val="none"/>
        </w:rPr>
      </w:pPr>
      <w:r>
        <w:rPr>
          <w:b/>
          <w:bCs/>
          <w:spacing w:val="-3"/>
          <w:highlight w:val="none"/>
        </w:rPr>
        <w:t>第七章投标文件格式</w:t>
      </w:r>
    </w:p>
    <w:p w14:paraId="1C87AE29">
      <w:pPr>
        <w:spacing w:line="276" w:lineRule="auto"/>
        <w:rPr>
          <w:rFonts w:hint="eastAsia" w:ascii="Arial" w:eastAsia="宋体"/>
          <w:sz w:val="21"/>
          <w:highlight w:val="none"/>
          <w:lang w:eastAsia="zh-CN"/>
        </w:rPr>
      </w:pPr>
      <w:r>
        <w:rPr>
          <w:rFonts w:hint="eastAsia" w:ascii="Arial" w:eastAsia="宋体"/>
          <w:sz w:val="21"/>
          <w:highlight w:val="none"/>
          <w:lang w:eastAsia="zh-CN"/>
        </w:rPr>
        <w:br w:type="page"/>
      </w:r>
    </w:p>
    <w:p w14:paraId="0ACABCB9">
      <w:pPr>
        <w:spacing w:line="276" w:lineRule="auto"/>
        <w:rPr>
          <w:rFonts w:ascii="Arial"/>
          <w:sz w:val="21"/>
          <w:highlight w:val="none"/>
        </w:rPr>
      </w:pPr>
    </w:p>
    <w:p w14:paraId="21DDA404">
      <w:pPr>
        <w:spacing w:line="277" w:lineRule="auto"/>
        <w:rPr>
          <w:rFonts w:ascii="Arial"/>
          <w:sz w:val="21"/>
          <w:highlight w:val="none"/>
        </w:rPr>
      </w:pPr>
    </w:p>
    <w:p w14:paraId="5D7CFB58">
      <w:pPr>
        <w:spacing w:line="277" w:lineRule="auto"/>
        <w:rPr>
          <w:rFonts w:ascii="Arial"/>
          <w:sz w:val="21"/>
          <w:highlight w:val="none"/>
        </w:rPr>
      </w:pPr>
    </w:p>
    <w:p w14:paraId="644BEAD8">
      <w:pPr>
        <w:spacing w:line="277" w:lineRule="auto"/>
        <w:rPr>
          <w:rFonts w:ascii="Arial"/>
          <w:sz w:val="21"/>
          <w:highlight w:val="none"/>
        </w:rPr>
      </w:pPr>
    </w:p>
    <w:p w14:paraId="02F0C74F">
      <w:pPr>
        <w:spacing w:line="277" w:lineRule="auto"/>
        <w:rPr>
          <w:rFonts w:ascii="Arial"/>
          <w:sz w:val="21"/>
          <w:highlight w:val="none"/>
        </w:rPr>
      </w:pPr>
    </w:p>
    <w:p w14:paraId="1642DEF4">
      <w:pPr>
        <w:pStyle w:val="6"/>
        <w:spacing w:before="267" w:line="225" w:lineRule="auto"/>
        <w:ind w:left="2922"/>
        <w:rPr>
          <w:sz w:val="82"/>
          <w:szCs w:val="82"/>
          <w:highlight w:val="none"/>
        </w:rPr>
      </w:pPr>
      <w:bookmarkStart w:id="52" w:name="bookmark15"/>
      <w:bookmarkEnd w:id="52"/>
      <w:r>
        <w:rPr>
          <w:b/>
          <w:bCs/>
          <w:spacing w:val="-31"/>
          <w:sz w:val="82"/>
          <w:szCs w:val="82"/>
          <w:highlight w:val="none"/>
        </w:rPr>
        <w:t>投标文件</w:t>
      </w:r>
    </w:p>
    <w:p w14:paraId="6F6AED1C">
      <w:pPr>
        <w:spacing w:line="255" w:lineRule="auto"/>
        <w:rPr>
          <w:rFonts w:ascii="Arial"/>
          <w:sz w:val="21"/>
          <w:highlight w:val="none"/>
        </w:rPr>
      </w:pPr>
    </w:p>
    <w:p w14:paraId="1CA08D37">
      <w:pPr>
        <w:pStyle w:val="6"/>
        <w:spacing w:before="179" w:line="225" w:lineRule="auto"/>
        <w:ind w:left="2952"/>
        <w:rPr>
          <w:sz w:val="55"/>
          <w:szCs w:val="55"/>
          <w:highlight w:val="none"/>
        </w:rPr>
      </w:pPr>
      <w:r>
        <w:rPr>
          <w:b/>
          <w:bCs/>
          <w:spacing w:val="-32"/>
          <w:sz w:val="55"/>
          <w:szCs w:val="55"/>
          <w:highlight w:val="none"/>
        </w:rPr>
        <w:t>资格证明文件</w:t>
      </w:r>
    </w:p>
    <w:p w14:paraId="32607B53">
      <w:pPr>
        <w:spacing w:line="302" w:lineRule="auto"/>
        <w:rPr>
          <w:rFonts w:ascii="Arial"/>
          <w:sz w:val="21"/>
          <w:highlight w:val="none"/>
        </w:rPr>
      </w:pPr>
    </w:p>
    <w:p w14:paraId="4751B8C1">
      <w:pPr>
        <w:spacing w:line="303" w:lineRule="auto"/>
        <w:rPr>
          <w:rFonts w:ascii="Arial"/>
          <w:sz w:val="21"/>
          <w:highlight w:val="none"/>
        </w:rPr>
      </w:pPr>
    </w:p>
    <w:p w14:paraId="59BE9AB9">
      <w:pPr>
        <w:pStyle w:val="6"/>
        <w:spacing w:before="111" w:line="226" w:lineRule="auto"/>
        <w:ind w:left="1160"/>
        <w:rPr>
          <w:sz w:val="34"/>
          <w:szCs w:val="34"/>
          <w:highlight w:val="none"/>
        </w:rPr>
      </w:pPr>
      <w:r>
        <w:rPr>
          <w:spacing w:val="14"/>
          <w:sz w:val="34"/>
          <w:szCs w:val="34"/>
          <w:highlight w:val="none"/>
        </w:rPr>
        <w:t>（第</w:t>
      </w:r>
      <w:r>
        <w:rPr>
          <w:sz w:val="34"/>
          <w:szCs w:val="34"/>
          <w:highlight w:val="none"/>
        </w:rPr>
        <w:t>XX</w:t>
      </w:r>
      <w:r>
        <w:rPr>
          <w:spacing w:val="14"/>
          <w:sz w:val="34"/>
          <w:szCs w:val="34"/>
          <w:highlight w:val="none"/>
        </w:rPr>
        <w:t>标项）</w:t>
      </w:r>
      <w:r>
        <w:rPr>
          <w:spacing w:val="-133"/>
          <w:sz w:val="34"/>
          <w:szCs w:val="34"/>
          <w:highlight w:val="none"/>
        </w:rPr>
        <w:t xml:space="preserve"> </w:t>
      </w:r>
      <w:r>
        <w:rPr>
          <w:spacing w:val="14"/>
          <w:sz w:val="34"/>
          <w:szCs w:val="34"/>
          <w:highlight w:val="none"/>
        </w:rPr>
        <w:t>【如不分标项，请删去本行】</w:t>
      </w:r>
    </w:p>
    <w:p w14:paraId="0C2238D1">
      <w:pPr>
        <w:spacing w:line="276" w:lineRule="auto"/>
        <w:rPr>
          <w:rFonts w:ascii="Arial"/>
          <w:sz w:val="21"/>
          <w:highlight w:val="none"/>
        </w:rPr>
      </w:pPr>
    </w:p>
    <w:p w14:paraId="14BA7C2E">
      <w:pPr>
        <w:spacing w:line="276" w:lineRule="auto"/>
        <w:rPr>
          <w:rFonts w:ascii="Arial"/>
          <w:sz w:val="21"/>
          <w:highlight w:val="none"/>
        </w:rPr>
      </w:pPr>
    </w:p>
    <w:p w14:paraId="349482E0">
      <w:pPr>
        <w:spacing w:line="276" w:lineRule="auto"/>
        <w:rPr>
          <w:rFonts w:ascii="Arial"/>
          <w:sz w:val="21"/>
          <w:highlight w:val="none"/>
        </w:rPr>
      </w:pPr>
    </w:p>
    <w:p w14:paraId="2C9181AA">
      <w:pPr>
        <w:spacing w:line="277" w:lineRule="auto"/>
        <w:rPr>
          <w:rFonts w:ascii="Arial"/>
          <w:sz w:val="21"/>
          <w:highlight w:val="none"/>
        </w:rPr>
      </w:pPr>
    </w:p>
    <w:p w14:paraId="62F590A5">
      <w:pPr>
        <w:spacing w:line="277" w:lineRule="auto"/>
        <w:rPr>
          <w:rFonts w:ascii="Arial"/>
          <w:sz w:val="21"/>
          <w:highlight w:val="none"/>
        </w:rPr>
      </w:pPr>
    </w:p>
    <w:p w14:paraId="689D7579">
      <w:pPr>
        <w:spacing w:line="277" w:lineRule="auto"/>
        <w:rPr>
          <w:rFonts w:ascii="Arial"/>
          <w:sz w:val="21"/>
          <w:highlight w:val="none"/>
        </w:rPr>
      </w:pPr>
    </w:p>
    <w:p w14:paraId="6DC5CB98">
      <w:pPr>
        <w:pStyle w:val="6"/>
        <w:spacing w:before="98" w:line="227" w:lineRule="auto"/>
        <w:ind w:left="465"/>
        <w:rPr>
          <w:highlight w:val="none"/>
        </w:rPr>
      </w:pPr>
      <w:r>
        <w:rPr>
          <w:spacing w:val="6"/>
          <w:highlight w:val="none"/>
        </w:rPr>
        <w:t>项目名称：</w:t>
      </w:r>
      <w:r>
        <w:rPr>
          <w:spacing w:val="-127"/>
          <w:highlight w:val="none"/>
        </w:rPr>
        <w:t xml:space="preserve"> </w:t>
      </w:r>
      <w:r>
        <w:rPr>
          <w:highlight w:val="none"/>
          <w:u w:val="single" w:color="auto"/>
        </w:rPr>
        <w:t xml:space="preserve">                                           </w:t>
      </w:r>
    </w:p>
    <w:p w14:paraId="605F2CBD">
      <w:pPr>
        <w:pStyle w:val="6"/>
        <w:spacing w:before="337" w:line="435" w:lineRule="auto"/>
        <w:ind w:left="463" w:right="565" w:firstLine="2"/>
        <w:rPr>
          <w:highlight w:val="none"/>
        </w:rPr>
      </w:pPr>
      <w:r>
        <w:rPr>
          <w:spacing w:val="6"/>
          <w:highlight w:val="none"/>
        </w:rPr>
        <w:t>项目编号：</w:t>
      </w:r>
      <w:r>
        <w:rPr>
          <w:spacing w:val="-127"/>
          <w:highlight w:val="none"/>
        </w:rPr>
        <w:t xml:space="preserve"> </w:t>
      </w:r>
      <w:r>
        <w:rPr>
          <w:spacing w:val="1"/>
          <w:highlight w:val="none"/>
          <w:u w:val="single" w:color="auto"/>
        </w:rPr>
        <w:t xml:space="preserve">                                          </w:t>
      </w:r>
      <w:r>
        <w:rPr>
          <w:spacing w:val="8"/>
          <w:highlight w:val="none"/>
        </w:rPr>
        <w:t>投标人：</w:t>
      </w:r>
      <w:r>
        <w:rPr>
          <w:highlight w:val="none"/>
          <w:u w:val="single" w:color="auto"/>
        </w:rPr>
        <w:t xml:space="preserve">                                             </w:t>
      </w:r>
    </w:p>
    <w:p w14:paraId="6F743309">
      <w:pPr>
        <w:spacing w:line="268" w:lineRule="auto"/>
        <w:rPr>
          <w:rFonts w:ascii="Arial"/>
          <w:sz w:val="21"/>
          <w:highlight w:val="none"/>
        </w:rPr>
      </w:pPr>
    </w:p>
    <w:p w14:paraId="7697FCF3">
      <w:pPr>
        <w:spacing w:line="269" w:lineRule="auto"/>
        <w:rPr>
          <w:rFonts w:ascii="Arial"/>
          <w:sz w:val="21"/>
          <w:highlight w:val="none"/>
        </w:rPr>
      </w:pPr>
    </w:p>
    <w:p w14:paraId="304BE3D7">
      <w:pPr>
        <w:spacing w:line="269" w:lineRule="auto"/>
        <w:rPr>
          <w:rFonts w:ascii="Arial"/>
          <w:sz w:val="21"/>
          <w:highlight w:val="none"/>
        </w:rPr>
      </w:pPr>
    </w:p>
    <w:p w14:paraId="1AA7C9F2">
      <w:pPr>
        <w:spacing w:line="269" w:lineRule="auto"/>
        <w:rPr>
          <w:rFonts w:ascii="Arial"/>
          <w:sz w:val="21"/>
          <w:highlight w:val="none"/>
        </w:rPr>
      </w:pPr>
    </w:p>
    <w:p w14:paraId="08C0277A">
      <w:pPr>
        <w:spacing w:line="269" w:lineRule="auto"/>
        <w:rPr>
          <w:rFonts w:ascii="Arial"/>
          <w:sz w:val="21"/>
          <w:highlight w:val="none"/>
        </w:rPr>
      </w:pPr>
    </w:p>
    <w:p w14:paraId="01E6AC75">
      <w:pPr>
        <w:pStyle w:val="6"/>
        <w:spacing w:before="99" w:line="195" w:lineRule="auto"/>
        <w:ind w:left="3463"/>
        <w:rPr>
          <w:highlight w:val="none"/>
        </w:rPr>
      </w:pPr>
      <w:r>
        <w:rPr>
          <w:spacing w:val="-14"/>
          <w:highlight w:val="none"/>
        </w:rPr>
        <w:t>年</w:t>
      </w:r>
      <w:r>
        <w:rPr>
          <w:spacing w:val="13"/>
          <w:highlight w:val="none"/>
        </w:rPr>
        <w:t xml:space="preserve">  </w:t>
      </w:r>
      <w:r>
        <w:rPr>
          <w:spacing w:val="-14"/>
          <w:highlight w:val="none"/>
        </w:rPr>
        <w:t>月</w:t>
      </w:r>
      <w:r>
        <w:rPr>
          <w:spacing w:val="39"/>
          <w:highlight w:val="none"/>
        </w:rPr>
        <w:t xml:space="preserve">  </w:t>
      </w:r>
      <w:r>
        <w:rPr>
          <w:spacing w:val="-14"/>
          <w:highlight w:val="none"/>
        </w:rPr>
        <w:t>日</w:t>
      </w:r>
    </w:p>
    <w:p w14:paraId="5FC657EE">
      <w:pPr>
        <w:spacing w:line="252" w:lineRule="auto"/>
        <w:rPr>
          <w:rFonts w:hint="eastAsia" w:ascii="Arial" w:eastAsia="宋体"/>
          <w:sz w:val="21"/>
          <w:highlight w:val="none"/>
          <w:lang w:eastAsia="zh-CN"/>
        </w:rPr>
      </w:pPr>
      <w:r>
        <w:rPr>
          <w:rFonts w:hint="eastAsia" w:ascii="Arial" w:eastAsia="宋体"/>
          <w:sz w:val="21"/>
          <w:highlight w:val="none"/>
          <w:lang w:eastAsia="zh-CN"/>
        </w:rPr>
        <w:br w:type="page"/>
      </w:r>
    </w:p>
    <w:p w14:paraId="5B254AD9">
      <w:pPr>
        <w:pStyle w:val="6"/>
        <w:spacing w:before="97" w:line="228" w:lineRule="auto"/>
        <w:ind w:left="54"/>
        <w:outlineLvl w:val="1"/>
        <w:rPr>
          <w:highlight w:val="none"/>
        </w:rPr>
      </w:pPr>
      <w:r>
        <w:rPr>
          <w:b/>
          <w:bCs/>
          <w:spacing w:val="11"/>
          <w:highlight w:val="none"/>
        </w:rPr>
        <w:t>一、满足《中华人民共和国政府采购法》</w:t>
      </w:r>
      <w:r>
        <w:rPr>
          <w:spacing w:val="-84"/>
          <w:highlight w:val="none"/>
        </w:rPr>
        <w:t xml:space="preserve"> </w:t>
      </w:r>
      <w:r>
        <w:rPr>
          <w:b/>
          <w:bCs/>
          <w:spacing w:val="11"/>
          <w:highlight w:val="none"/>
        </w:rPr>
        <w:t>第二十二条规定</w:t>
      </w:r>
    </w:p>
    <w:p w14:paraId="6338463A">
      <w:pPr>
        <w:spacing w:line="269" w:lineRule="auto"/>
        <w:rPr>
          <w:rFonts w:ascii="Arial"/>
          <w:sz w:val="21"/>
          <w:highlight w:val="none"/>
        </w:rPr>
      </w:pPr>
    </w:p>
    <w:p w14:paraId="3EB9948C">
      <w:pPr>
        <w:spacing w:line="270" w:lineRule="auto"/>
        <w:rPr>
          <w:rFonts w:ascii="Arial"/>
          <w:sz w:val="21"/>
          <w:highlight w:val="none"/>
        </w:rPr>
      </w:pPr>
    </w:p>
    <w:p w14:paraId="528AF1E5">
      <w:pPr>
        <w:pStyle w:val="6"/>
        <w:spacing w:before="97" w:line="228" w:lineRule="auto"/>
        <w:ind w:left="63"/>
        <w:outlineLvl w:val="2"/>
        <w:rPr>
          <w:highlight w:val="none"/>
        </w:rPr>
      </w:pPr>
      <w:r>
        <w:rPr>
          <w:b/>
          <w:bCs/>
          <w:spacing w:val="12"/>
          <w:highlight w:val="none"/>
        </w:rPr>
        <w:t>（一）法人、其他组织或者自然人的证明文件</w:t>
      </w:r>
    </w:p>
    <w:p w14:paraId="6081BA39">
      <w:pPr>
        <w:pStyle w:val="6"/>
        <w:spacing w:before="222" w:line="222" w:lineRule="auto"/>
        <w:ind w:left="546"/>
        <w:rPr>
          <w:sz w:val="24"/>
          <w:szCs w:val="24"/>
          <w:highlight w:val="none"/>
        </w:rPr>
      </w:pPr>
      <w:r>
        <w:rPr>
          <w:spacing w:val="-1"/>
          <w:sz w:val="24"/>
          <w:szCs w:val="24"/>
          <w:highlight w:val="none"/>
        </w:rPr>
        <w:t>1、投标人为企业（包括合伙企业）的，应提供有效的“营业执照”；</w:t>
      </w:r>
    </w:p>
    <w:p w14:paraId="6DD3EFC3">
      <w:pPr>
        <w:pStyle w:val="6"/>
        <w:spacing w:before="178" w:line="221" w:lineRule="auto"/>
        <w:ind w:left="517"/>
        <w:rPr>
          <w:sz w:val="24"/>
          <w:szCs w:val="24"/>
          <w:highlight w:val="none"/>
        </w:rPr>
      </w:pPr>
      <w:r>
        <w:rPr>
          <w:spacing w:val="-2"/>
          <w:sz w:val="24"/>
          <w:szCs w:val="24"/>
          <w:highlight w:val="none"/>
        </w:rPr>
        <w:t>2、投标人为事业单位的，应提供有效的“事业单位法人证书</w:t>
      </w:r>
      <w:r>
        <w:rPr>
          <w:spacing w:val="-71"/>
          <w:sz w:val="24"/>
          <w:szCs w:val="24"/>
          <w:highlight w:val="none"/>
        </w:rPr>
        <w:t xml:space="preserve"> </w:t>
      </w:r>
      <w:r>
        <w:rPr>
          <w:spacing w:val="-2"/>
          <w:sz w:val="24"/>
          <w:szCs w:val="24"/>
          <w:highlight w:val="none"/>
        </w:rPr>
        <w:t>”；</w:t>
      </w:r>
    </w:p>
    <w:p w14:paraId="6B106836">
      <w:pPr>
        <w:pStyle w:val="6"/>
        <w:spacing w:before="179" w:line="360" w:lineRule="auto"/>
        <w:ind w:left="54" w:right="112" w:firstLine="464"/>
        <w:rPr>
          <w:sz w:val="24"/>
          <w:szCs w:val="24"/>
          <w:highlight w:val="none"/>
        </w:rPr>
      </w:pPr>
      <w:r>
        <w:rPr>
          <w:spacing w:val="-1"/>
          <w:sz w:val="24"/>
          <w:szCs w:val="24"/>
          <w:highlight w:val="none"/>
        </w:rPr>
        <w:t>3、投标人为非企业机构的，应提供有效的“</w:t>
      </w:r>
      <w:r>
        <w:rPr>
          <w:spacing w:val="-2"/>
          <w:sz w:val="24"/>
          <w:szCs w:val="24"/>
          <w:highlight w:val="none"/>
        </w:rPr>
        <w:t>执业许可证</w:t>
      </w:r>
      <w:r>
        <w:rPr>
          <w:spacing w:val="-88"/>
          <w:sz w:val="24"/>
          <w:szCs w:val="24"/>
          <w:highlight w:val="none"/>
        </w:rPr>
        <w:t xml:space="preserve"> </w:t>
      </w:r>
      <w:r>
        <w:rPr>
          <w:spacing w:val="-2"/>
          <w:sz w:val="24"/>
          <w:szCs w:val="24"/>
          <w:highlight w:val="none"/>
        </w:rPr>
        <w:t>”、“登记证书</w:t>
      </w:r>
      <w:r>
        <w:rPr>
          <w:spacing w:val="-86"/>
          <w:sz w:val="24"/>
          <w:szCs w:val="24"/>
          <w:highlight w:val="none"/>
        </w:rPr>
        <w:t xml:space="preserve"> </w:t>
      </w:r>
      <w:r>
        <w:rPr>
          <w:spacing w:val="-2"/>
          <w:sz w:val="24"/>
          <w:szCs w:val="24"/>
          <w:highlight w:val="none"/>
        </w:rPr>
        <w:t>”等证</w:t>
      </w:r>
      <w:r>
        <w:rPr>
          <w:spacing w:val="-9"/>
          <w:sz w:val="24"/>
          <w:szCs w:val="24"/>
          <w:highlight w:val="none"/>
        </w:rPr>
        <w:t>明文件；</w:t>
      </w:r>
    </w:p>
    <w:p w14:paraId="1260A93D">
      <w:pPr>
        <w:pStyle w:val="6"/>
        <w:spacing w:line="222" w:lineRule="auto"/>
        <w:ind w:left="509"/>
        <w:rPr>
          <w:sz w:val="24"/>
          <w:szCs w:val="24"/>
          <w:highlight w:val="none"/>
        </w:rPr>
      </w:pPr>
      <w:r>
        <w:rPr>
          <w:sz w:val="24"/>
          <w:szCs w:val="24"/>
          <w:highlight w:val="none"/>
        </w:rPr>
        <w:t>4、投标人是个体工商户的，应提供有效的“个体工商户营业执照”；</w:t>
      </w:r>
    </w:p>
    <w:p w14:paraId="530F9478">
      <w:pPr>
        <w:pStyle w:val="6"/>
        <w:spacing w:before="177" w:line="222" w:lineRule="auto"/>
        <w:ind w:left="522"/>
        <w:rPr>
          <w:sz w:val="24"/>
          <w:szCs w:val="24"/>
          <w:highlight w:val="none"/>
        </w:rPr>
      </w:pPr>
      <w:r>
        <w:rPr>
          <w:spacing w:val="-2"/>
          <w:sz w:val="24"/>
          <w:szCs w:val="24"/>
          <w:highlight w:val="none"/>
        </w:rPr>
        <w:t>5、投标人是自然人的，应提供有效的自然人身份证明。</w:t>
      </w:r>
    </w:p>
    <w:p w14:paraId="114E0797">
      <w:pPr>
        <w:spacing w:line="279" w:lineRule="auto"/>
        <w:rPr>
          <w:rFonts w:hint="eastAsia" w:ascii="Arial" w:eastAsia="宋体"/>
          <w:sz w:val="21"/>
          <w:highlight w:val="none"/>
          <w:lang w:eastAsia="zh-CN"/>
        </w:rPr>
      </w:pPr>
      <w:r>
        <w:rPr>
          <w:rFonts w:hint="eastAsia" w:ascii="Arial" w:eastAsia="宋体"/>
          <w:sz w:val="21"/>
          <w:highlight w:val="none"/>
          <w:lang w:eastAsia="zh-CN"/>
        </w:rPr>
        <w:br w:type="page"/>
      </w:r>
    </w:p>
    <w:p w14:paraId="470520D1">
      <w:pPr>
        <w:spacing w:line="280" w:lineRule="auto"/>
        <w:rPr>
          <w:rFonts w:ascii="Arial"/>
          <w:sz w:val="21"/>
          <w:highlight w:val="none"/>
        </w:rPr>
      </w:pPr>
    </w:p>
    <w:p w14:paraId="575CF851">
      <w:pPr>
        <w:pStyle w:val="6"/>
        <w:spacing w:before="98" w:line="228" w:lineRule="auto"/>
        <w:ind w:left="63"/>
        <w:outlineLvl w:val="2"/>
        <w:rPr>
          <w:highlight w:val="none"/>
        </w:rPr>
      </w:pPr>
      <w:r>
        <w:rPr>
          <w:b/>
          <w:bCs/>
          <w:spacing w:val="11"/>
          <w:highlight w:val="none"/>
        </w:rPr>
        <w:t>（二）政府采购供应商信用承诺函</w:t>
      </w:r>
    </w:p>
    <w:p w14:paraId="2B88CA51">
      <w:pPr>
        <w:pStyle w:val="6"/>
        <w:spacing w:before="222" w:line="221" w:lineRule="auto"/>
        <w:ind w:left="59"/>
        <w:rPr>
          <w:sz w:val="24"/>
          <w:szCs w:val="24"/>
          <w:highlight w:val="none"/>
        </w:rPr>
      </w:pPr>
      <w:r>
        <w:rPr>
          <w:spacing w:val="-14"/>
          <w:sz w:val="24"/>
          <w:szCs w:val="24"/>
          <w:highlight w:val="none"/>
        </w:rPr>
        <w:t>单位名称（</w:t>
      </w:r>
      <w:r>
        <w:rPr>
          <w:spacing w:val="-25"/>
          <w:sz w:val="24"/>
          <w:szCs w:val="24"/>
          <w:highlight w:val="none"/>
        </w:rPr>
        <w:t xml:space="preserve"> </w:t>
      </w:r>
      <w:r>
        <w:rPr>
          <w:spacing w:val="-14"/>
          <w:sz w:val="24"/>
          <w:szCs w:val="24"/>
          <w:highlight w:val="none"/>
        </w:rPr>
        <w:t>自然人姓名</w:t>
      </w:r>
      <w:r>
        <w:rPr>
          <w:spacing w:val="2"/>
          <w:sz w:val="24"/>
          <w:szCs w:val="24"/>
          <w:highlight w:val="none"/>
        </w:rPr>
        <w:t>）：</w:t>
      </w:r>
    </w:p>
    <w:p w14:paraId="7EBC29CF">
      <w:pPr>
        <w:pStyle w:val="6"/>
        <w:spacing w:before="103" w:line="222" w:lineRule="auto"/>
        <w:ind w:left="59"/>
        <w:rPr>
          <w:sz w:val="24"/>
          <w:szCs w:val="24"/>
          <w:highlight w:val="none"/>
        </w:rPr>
      </w:pPr>
      <w:r>
        <w:rPr>
          <w:spacing w:val="-4"/>
          <w:sz w:val="24"/>
          <w:szCs w:val="24"/>
          <w:highlight w:val="none"/>
        </w:rPr>
        <w:t>统一社会信用代码（身份证号码</w:t>
      </w:r>
      <w:r>
        <w:rPr>
          <w:spacing w:val="8"/>
          <w:sz w:val="24"/>
          <w:szCs w:val="24"/>
          <w:highlight w:val="none"/>
        </w:rPr>
        <w:t>）：</w:t>
      </w:r>
    </w:p>
    <w:p w14:paraId="6EE6F7A2">
      <w:pPr>
        <w:pStyle w:val="6"/>
        <w:spacing w:before="100" w:line="223" w:lineRule="auto"/>
        <w:ind w:left="61"/>
        <w:rPr>
          <w:sz w:val="24"/>
          <w:szCs w:val="24"/>
          <w:highlight w:val="none"/>
        </w:rPr>
      </w:pPr>
      <w:r>
        <w:rPr>
          <w:spacing w:val="-5"/>
          <w:sz w:val="24"/>
          <w:szCs w:val="24"/>
          <w:highlight w:val="none"/>
        </w:rPr>
        <w:t>法定代表人（负责人</w:t>
      </w:r>
      <w:r>
        <w:rPr>
          <w:spacing w:val="1"/>
          <w:sz w:val="24"/>
          <w:szCs w:val="24"/>
          <w:highlight w:val="none"/>
        </w:rPr>
        <w:t>）：</w:t>
      </w:r>
    </w:p>
    <w:p w14:paraId="06915D8F">
      <w:pPr>
        <w:pStyle w:val="6"/>
        <w:spacing w:before="174" w:line="300" w:lineRule="auto"/>
        <w:ind w:left="58" w:right="278" w:firstLine="465"/>
        <w:jc w:val="both"/>
        <w:rPr>
          <w:sz w:val="24"/>
          <w:szCs w:val="24"/>
          <w:highlight w:val="none"/>
        </w:rPr>
      </w:pPr>
      <w:r>
        <w:rPr>
          <w:sz w:val="24"/>
          <w:szCs w:val="24"/>
          <w:highlight w:val="none"/>
        </w:rPr>
        <w:t>我单位（本人）</w:t>
      </w:r>
      <w:r>
        <w:rPr>
          <w:spacing w:val="-52"/>
          <w:sz w:val="24"/>
          <w:szCs w:val="24"/>
          <w:highlight w:val="none"/>
        </w:rPr>
        <w:t xml:space="preserve"> </w:t>
      </w:r>
      <w:r>
        <w:rPr>
          <w:sz w:val="24"/>
          <w:szCs w:val="24"/>
          <w:highlight w:val="none"/>
        </w:rPr>
        <w:t>自愿参加本次政府采购活动，严格遵守《中华人民共和</w:t>
      </w:r>
      <w:r>
        <w:rPr>
          <w:spacing w:val="-1"/>
          <w:sz w:val="24"/>
          <w:szCs w:val="24"/>
          <w:highlight w:val="none"/>
        </w:rPr>
        <w:t>国政府</w:t>
      </w:r>
      <w:r>
        <w:rPr>
          <w:spacing w:val="1"/>
          <w:sz w:val="24"/>
          <w:szCs w:val="24"/>
          <w:highlight w:val="none"/>
        </w:rPr>
        <w:t>采购法》及相关法律法规，坚守公开、公平、公正和诚实信用等原则，依法诚信经</w:t>
      </w:r>
      <w:r>
        <w:rPr>
          <w:spacing w:val="-4"/>
          <w:sz w:val="24"/>
          <w:szCs w:val="24"/>
          <w:highlight w:val="none"/>
        </w:rPr>
        <w:t>营，并郑重承诺：</w:t>
      </w:r>
    </w:p>
    <w:p w14:paraId="7FC1BDAD">
      <w:pPr>
        <w:pStyle w:val="6"/>
        <w:spacing w:before="1" w:line="220" w:lineRule="auto"/>
        <w:ind w:left="58"/>
        <w:rPr>
          <w:sz w:val="24"/>
          <w:szCs w:val="24"/>
          <w:highlight w:val="none"/>
        </w:rPr>
      </w:pPr>
      <w:r>
        <w:rPr>
          <w:spacing w:val="-3"/>
          <w:sz w:val="24"/>
          <w:szCs w:val="24"/>
          <w:highlight w:val="none"/>
        </w:rPr>
        <w:t>一、我单位（本人）符合《中华人民共和国政府采购法》第二十二条规定：</w:t>
      </w:r>
    </w:p>
    <w:p w14:paraId="006958E1">
      <w:pPr>
        <w:pStyle w:val="6"/>
        <w:spacing w:before="101" w:line="222" w:lineRule="auto"/>
        <w:ind w:left="59"/>
        <w:rPr>
          <w:sz w:val="24"/>
          <w:szCs w:val="24"/>
          <w:highlight w:val="none"/>
        </w:rPr>
      </w:pPr>
      <w:r>
        <w:rPr>
          <w:spacing w:val="-4"/>
          <w:sz w:val="24"/>
          <w:szCs w:val="24"/>
          <w:highlight w:val="none"/>
        </w:rPr>
        <w:t>（一）具有独立承担民事责任的能力;</w:t>
      </w:r>
    </w:p>
    <w:p w14:paraId="784BB3B5">
      <w:pPr>
        <w:pStyle w:val="6"/>
        <w:spacing w:before="100" w:line="222" w:lineRule="auto"/>
        <w:ind w:left="59"/>
        <w:rPr>
          <w:sz w:val="24"/>
          <w:szCs w:val="24"/>
          <w:highlight w:val="none"/>
        </w:rPr>
      </w:pPr>
      <w:r>
        <w:rPr>
          <w:spacing w:val="-3"/>
          <w:sz w:val="24"/>
          <w:szCs w:val="24"/>
          <w:highlight w:val="none"/>
        </w:rPr>
        <w:t>（二）具有良好的商业信誉和健全的财务会计制度;</w:t>
      </w:r>
    </w:p>
    <w:p w14:paraId="0D693EC4">
      <w:pPr>
        <w:pStyle w:val="6"/>
        <w:spacing w:before="101" w:line="221" w:lineRule="auto"/>
        <w:ind w:left="59"/>
        <w:rPr>
          <w:sz w:val="24"/>
          <w:szCs w:val="24"/>
          <w:highlight w:val="none"/>
        </w:rPr>
      </w:pPr>
      <w:r>
        <w:rPr>
          <w:spacing w:val="-3"/>
          <w:sz w:val="24"/>
          <w:szCs w:val="24"/>
          <w:highlight w:val="none"/>
        </w:rPr>
        <w:t>（三）具有履行合同所必需的设备和专业技术能力;</w:t>
      </w:r>
    </w:p>
    <w:p w14:paraId="78490800">
      <w:pPr>
        <w:pStyle w:val="6"/>
        <w:spacing w:before="102" w:line="221" w:lineRule="auto"/>
        <w:ind w:left="59"/>
        <w:rPr>
          <w:sz w:val="24"/>
          <w:szCs w:val="24"/>
          <w:highlight w:val="none"/>
        </w:rPr>
      </w:pPr>
      <w:r>
        <w:rPr>
          <w:spacing w:val="-3"/>
          <w:sz w:val="24"/>
          <w:szCs w:val="24"/>
          <w:highlight w:val="none"/>
        </w:rPr>
        <w:t>（四）有依法缴纳税收和社会保障资金的良好记录;</w:t>
      </w:r>
    </w:p>
    <w:p w14:paraId="49FD1B2F">
      <w:pPr>
        <w:pStyle w:val="6"/>
        <w:spacing w:before="102" w:line="219" w:lineRule="auto"/>
        <w:ind w:left="59"/>
        <w:rPr>
          <w:sz w:val="24"/>
          <w:szCs w:val="24"/>
          <w:highlight w:val="none"/>
        </w:rPr>
      </w:pPr>
      <w:r>
        <w:rPr>
          <w:spacing w:val="-3"/>
          <w:sz w:val="24"/>
          <w:szCs w:val="24"/>
          <w:highlight w:val="none"/>
        </w:rPr>
        <w:t>（五）参加政府采购活动前三年内，在经营活动中没有重大违法记录;</w:t>
      </w:r>
    </w:p>
    <w:p w14:paraId="0BB34344">
      <w:pPr>
        <w:pStyle w:val="6"/>
        <w:spacing w:before="103" w:line="221" w:lineRule="auto"/>
        <w:ind w:left="59"/>
        <w:rPr>
          <w:sz w:val="24"/>
          <w:szCs w:val="24"/>
          <w:highlight w:val="none"/>
        </w:rPr>
      </w:pPr>
      <w:r>
        <w:rPr>
          <w:spacing w:val="-3"/>
          <w:sz w:val="24"/>
          <w:szCs w:val="24"/>
          <w:highlight w:val="none"/>
        </w:rPr>
        <w:t>（六）符合法律、行政法规规定的其他条件。</w:t>
      </w:r>
    </w:p>
    <w:p w14:paraId="50137B20">
      <w:pPr>
        <w:pStyle w:val="6"/>
        <w:spacing w:before="102" w:line="299" w:lineRule="auto"/>
        <w:ind w:left="58" w:right="182" w:firstLine="3"/>
        <w:rPr>
          <w:sz w:val="24"/>
          <w:szCs w:val="24"/>
          <w:highlight w:val="none"/>
        </w:rPr>
      </w:pPr>
      <w:r>
        <w:rPr>
          <w:spacing w:val="-3"/>
          <w:sz w:val="24"/>
          <w:szCs w:val="24"/>
          <w:highlight w:val="none"/>
        </w:rPr>
        <w:t>二、我单位（本人）未被列入严重违法失信名单、失信被执行人名单、重大税收违法失信主体、政府采购严重违法失信行为记录名单。</w:t>
      </w:r>
    </w:p>
    <w:p w14:paraId="7FBEDCDB">
      <w:pPr>
        <w:pStyle w:val="6"/>
        <w:spacing w:before="3" w:line="298" w:lineRule="auto"/>
        <w:ind w:left="59" w:right="182" w:firstLine="1"/>
        <w:rPr>
          <w:sz w:val="24"/>
          <w:szCs w:val="24"/>
          <w:highlight w:val="none"/>
        </w:rPr>
      </w:pPr>
      <w:r>
        <w:rPr>
          <w:spacing w:val="-3"/>
          <w:sz w:val="24"/>
          <w:szCs w:val="24"/>
          <w:highlight w:val="none"/>
        </w:rPr>
        <w:t>三、如果本公司（本人）有幸中标（成交</w:t>
      </w:r>
      <w:r>
        <w:rPr>
          <w:spacing w:val="5"/>
          <w:sz w:val="24"/>
          <w:szCs w:val="24"/>
          <w:highlight w:val="none"/>
        </w:rPr>
        <w:t>），</w:t>
      </w:r>
      <w:r>
        <w:rPr>
          <w:spacing w:val="-3"/>
          <w:sz w:val="24"/>
          <w:szCs w:val="24"/>
          <w:highlight w:val="none"/>
        </w:rPr>
        <w:t>在合同签订之前，采购单位有权要</w:t>
      </w:r>
      <w:r>
        <w:rPr>
          <w:spacing w:val="-4"/>
          <w:sz w:val="24"/>
          <w:szCs w:val="24"/>
          <w:highlight w:val="none"/>
        </w:rPr>
        <w:t>求本</w:t>
      </w:r>
      <w:r>
        <w:rPr>
          <w:spacing w:val="-3"/>
          <w:sz w:val="24"/>
          <w:szCs w:val="24"/>
          <w:highlight w:val="none"/>
        </w:rPr>
        <w:t>公司（本人）提供资格证明材料原件进行核验。</w:t>
      </w:r>
    </w:p>
    <w:p w14:paraId="6F00331D">
      <w:pPr>
        <w:pStyle w:val="6"/>
        <w:spacing w:before="3" w:line="299" w:lineRule="auto"/>
        <w:ind w:left="55" w:firstLine="27"/>
        <w:rPr>
          <w:sz w:val="24"/>
          <w:szCs w:val="24"/>
          <w:highlight w:val="none"/>
        </w:rPr>
      </w:pPr>
      <w:r>
        <w:rPr>
          <w:spacing w:val="-5"/>
          <w:sz w:val="24"/>
          <w:szCs w:val="24"/>
          <w:highlight w:val="none"/>
        </w:rPr>
        <w:t>四、我单位（本人）保证上述承诺事项的真实性。如有弄虚作假或其他违法违规行为，</w:t>
      </w:r>
      <w:r>
        <w:rPr>
          <w:spacing w:val="-2"/>
          <w:sz w:val="24"/>
          <w:szCs w:val="24"/>
          <w:highlight w:val="none"/>
        </w:rPr>
        <w:t>自愿按照规定将违背承诺行为作为失信行为记录</w:t>
      </w:r>
      <w:r>
        <w:rPr>
          <w:spacing w:val="-3"/>
          <w:sz w:val="24"/>
          <w:szCs w:val="24"/>
          <w:highlight w:val="none"/>
        </w:rPr>
        <w:t>到社会信用信息平台，并视同为“提供虚假材料谋取中标、成交</w:t>
      </w:r>
      <w:r>
        <w:rPr>
          <w:spacing w:val="-90"/>
          <w:sz w:val="24"/>
          <w:szCs w:val="24"/>
          <w:highlight w:val="none"/>
        </w:rPr>
        <w:t xml:space="preserve"> </w:t>
      </w:r>
      <w:r>
        <w:rPr>
          <w:spacing w:val="-3"/>
          <w:sz w:val="24"/>
          <w:szCs w:val="24"/>
          <w:highlight w:val="none"/>
        </w:rPr>
        <w:t>”按照《中华人民共和国政府采购法</w:t>
      </w:r>
      <w:r>
        <w:rPr>
          <w:spacing w:val="-4"/>
          <w:sz w:val="24"/>
          <w:szCs w:val="24"/>
          <w:highlight w:val="none"/>
        </w:rPr>
        <w:t>》第七十七、七十九</w:t>
      </w:r>
      <w:r>
        <w:rPr>
          <w:spacing w:val="-2"/>
          <w:sz w:val="24"/>
          <w:szCs w:val="24"/>
          <w:highlight w:val="none"/>
        </w:rPr>
        <w:t>条规定，处以采购金额千分之五以上千分之十以下的</w:t>
      </w:r>
      <w:r>
        <w:rPr>
          <w:spacing w:val="-3"/>
          <w:sz w:val="24"/>
          <w:szCs w:val="24"/>
          <w:highlight w:val="none"/>
        </w:rPr>
        <w:t>罚款，列入不良行为记录名单，</w:t>
      </w:r>
    </w:p>
    <w:p w14:paraId="462BBC69">
      <w:pPr>
        <w:pStyle w:val="6"/>
        <w:spacing w:line="299" w:lineRule="auto"/>
        <w:ind w:left="57" w:right="182" w:hanging="1"/>
        <w:rPr>
          <w:sz w:val="24"/>
          <w:szCs w:val="24"/>
          <w:highlight w:val="none"/>
        </w:rPr>
      </w:pPr>
      <w:r>
        <w:rPr>
          <w:spacing w:val="-2"/>
          <w:sz w:val="24"/>
          <w:szCs w:val="24"/>
          <w:highlight w:val="none"/>
        </w:rPr>
        <w:t>在一至三年内禁止参加政府采购活动，有违法</w:t>
      </w:r>
      <w:r>
        <w:rPr>
          <w:spacing w:val="-3"/>
          <w:sz w:val="24"/>
          <w:szCs w:val="24"/>
          <w:highlight w:val="none"/>
        </w:rPr>
        <w:t>所得的，并处没收违法所得，情节严重的，由市场监管部门吊销营业执照；构成犯罪的，依法追究刑事责任；给他人造成损失的，并应依照有关民事法律规定承担民事责任。</w:t>
      </w:r>
    </w:p>
    <w:p w14:paraId="7C786972">
      <w:pPr>
        <w:spacing w:line="387" w:lineRule="auto"/>
        <w:rPr>
          <w:rFonts w:ascii="Arial"/>
          <w:sz w:val="21"/>
          <w:highlight w:val="none"/>
        </w:rPr>
      </w:pPr>
    </w:p>
    <w:p w14:paraId="57821649">
      <w:pPr>
        <w:pStyle w:val="6"/>
        <w:spacing w:before="78" w:line="221" w:lineRule="auto"/>
        <w:ind w:left="55"/>
        <w:rPr>
          <w:sz w:val="24"/>
          <w:szCs w:val="24"/>
          <w:highlight w:val="none"/>
        </w:rPr>
      </w:pPr>
      <w:r>
        <w:rPr>
          <w:spacing w:val="-4"/>
          <w:sz w:val="24"/>
          <w:szCs w:val="24"/>
          <w:highlight w:val="none"/>
        </w:rPr>
        <w:t>供应商名称（公章</w:t>
      </w:r>
      <w:r>
        <w:rPr>
          <w:sz w:val="24"/>
          <w:szCs w:val="24"/>
          <w:highlight w:val="none"/>
        </w:rPr>
        <w:t>）：</w:t>
      </w:r>
    </w:p>
    <w:p w14:paraId="66448821">
      <w:pPr>
        <w:pStyle w:val="6"/>
        <w:spacing w:before="102" w:line="222" w:lineRule="auto"/>
        <w:ind w:left="61"/>
        <w:rPr>
          <w:sz w:val="24"/>
          <w:szCs w:val="24"/>
          <w:highlight w:val="none"/>
        </w:rPr>
      </w:pPr>
      <w:r>
        <w:rPr>
          <w:spacing w:val="-2"/>
          <w:sz w:val="24"/>
          <w:szCs w:val="24"/>
          <w:highlight w:val="none"/>
        </w:rPr>
        <w:t>法定代表人、负责人、本人、或授权代表（签字或盖章</w:t>
      </w:r>
      <w:r>
        <w:rPr>
          <w:spacing w:val="4"/>
          <w:sz w:val="24"/>
          <w:szCs w:val="24"/>
          <w:highlight w:val="none"/>
        </w:rPr>
        <w:t>）：</w:t>
      </w:r>
    </w:p>
    <w:p w14:paraId="76C79BDA">
      <w:pPr>
        <w:pStyle w:val="6"/>
        <w:spacing w:before="101" w:line="222" w:lineRule="auto"/>
        <w:ind w:left="104"/>
        <w:rPr>
          <w:sz w:val="24"/>
          <w:szCs w:val="24"/>
          <w:highlight w:val="none"/>
        </w:rPr>
      </w:pPr>
      <w:r>
        <w:rPr>
          <w:spacing w:val="-20"/>
          <w:sz w:val="24"/>
          <w:szCs w:val="24"/>
          <w:highlight w:val="none"/>
        </w:rPr>
        <w:t>日期：年月日</w:t>
      </w:r>
    </w:p>
    <w:p w14:paraId="45F3CB74">
      <w:pPr>
        <w:spacing w:line="252" w:lineRule="auto"/>
        <w:rPr>
          <w:rFonts w:hint="eastAsia" w:ascii="Arial" w:eastAsia="宋体"/>
          <w:sz w:val="21"/>
          <w:highlight w:val="none"/>
          <w:lang w:eastAsia="zh-CN"/>
        </w:rPr>
      </w:pPr>
      <w:r>
        <w:rPr>
          <w:rFonts w:hint="eastAsia" w:ascii="Arial" w:eastAsia="宋体"/>
          <w:sz w:val="21"/>
          <w:highlight w:val="none"/>
          <w:lang w:eastAsia="zh-CN"/>
        </w:rPr>
        <w:br w:type="page"/>
      </w:r>
    </w:p>
    <w:p w14:paraId="4C3BE681">
      <w:pPr>
        <w:pStyle w:val="6"/>
        <w:spacing w:before="97" w:line="228" w:lineRule="auto"/>
        <w:ind w:left="167"/>
        <w:outlineLvl w:val="1"/>
        <w:rPr>
          <w:highlight w:val="none"/>
        </w:rPr>
      </w:pPr>
      <w:r>
        <w:rPr>
          <w:b/>
          <w:bCs/>
          <w:spacing w:val="12"/>
          <w:highlight w:val="none"/>
        </w:rPr>
        <w:t>二、落实政府采购政策相关证明文件</w:t>
      </w:r>
    </w:p>
    <w:p w14:paraId="1F3B98A5">
      <w:pPr>
        <w:pStyle w:val="6"/>
        <w:spacing w:before="222" w:line="220" w:lineRule="auto"/>
        <w:ind w:left="266"/>
        <w:outlineLvl w:val="2"/>
        <w:rPr>
          <w:sz w:val="24"/>
          <w:szCs w:val="24"/>
          <w:highlight w:val="none"/>
        </w:rPr>
      </w:pPr>
      <w:r>
        <w:rPr>
          <w:b/>
          <w:bCs/>
          <w:spacing w:val="-5"/>
          <w:sz w:val="24"/>
          <w:szCs w:val="24"/>
          <w:highlight w:val="none"/>
        </w:rPr>
        <w:t>（一）节能环保产品清单及证明材料</w:t>
      </w:r>
      <w:r>
        <w:rPr>
          <w:spacing w:val="-5"/>
          <w:sz w:val="24"/>
          <w:szCs w:val="24"/>
          <w:highlight w:val="none"/>
        </w:rPr>
        <w:t>【如适用】</w:t>
      </w:r>
    </w:p>
    <w:p w14:paraId="1C732F4E">
      <w:pPr>
        <w:pStyle w:val="6"/>
        <w:spacing w:before="179" w:line="221" w:lineRule="auto"/>
        <w:ind w:left="250"/>
        <w:rPr>
          <w:sz w:val="24"/>
          <w:szCs w:val="24"/>
          <w:highlight w:val="none"/>
        </w:rPr>
      </w:pPr>
      <w:r>
        <w:rPr>
          <w:spacing w:val="-3"/>
          <w:sz w:val="24"/>
          <w:szCs w:val="24"/>
          <w:highlight w:val="none"/>
        </w:rPr>
        <w:t>项目名称：项目编号：包号：</w:t>
      </w:r>
    </w:p>
    <w:p w14:paraId="56291037">
      <w:pPr>
        <w:pStyle w:val="6"/>
        <w:spacing w:before="180" w:line="222" w:lineRule="auto"/>
        <w:ind w:left="271"/>
        <w:rPr>
          <w:sz w:val="24"/>
          <w:szCs w:val="24"/>
          <w:highlight w:val="none"/>
        </w:rPr>
      </w:pPr>
      <w:r>
        <w:rPr>
          <w:spacing w:val="-12"/>
          <w:sz w:val="24"/>
          <w:szCs w:val="24"/>
          <w:highlight w:val="none"/>
        </w:rPr>
        <w:t>1）节能产品</w:t>
      </w:r>
    </w:p>
    <w:p w14:paraId="684BCDC7">
      <w:pPr>
        <w:spacing w:line="171" w:lineRule="exact"/>
        <w:rPr>
          <w:highlight w:val="none"/>
        </w:rPr>
      </w:pPr>
    </w:p>
    <w:tbl>
      <w:tblPr>
        <w:tblStyle w:val="13"/>
        <w:tblW w:w="83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1"/>
        <w:gridCol w:w="903"/>
        <w:gridCol w:w="1093"/>
        <w:gridCol w:w="391"/>
        <w:gridCol w:w="379"/>
        <w:gridCol w:w="406"/>
        <w:gridCol w:w="1193"/>
        <w:gridCol w:w="1179"/>
        <w:gridCol w:w="2364"/>
      </w:tblGrid>
      <w:tr w14:paraId="54D7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Align w:val="center"/>
          </w:tcPr>
          <w:p w14:paraId="71CCCF8E">
            <w:pPr>
              <w:pStyle w:val="14"/>
              <w:snapToGrid w:val="0"/>
              <w:spacing w:before="93" w:line="240" w:lineRule="auto"/>
              <w:ind w:left="0" w:leftChars="0" w:right="0" w:rightChars="0" w:firstLine="0" w:firstLineChars="0"/>
              <w:jc w:val="center"/>
              <w:rPr>
                <w:b/>
                <w:highlight w:val="none"/>
              </w:rPr>
            </w:pPr>
            <w:r>
              <w:rPr>
                <w:b/>
                <w:spacing w:val="-16"/>
                <w:highlight w:val="none"/>
              </w:rPr>
              <w:t>序</w:t>
            </w:r>
            <w:r>
              <w:rPr>
                <w:b/>
                <w:spacing w:val="-22"/>
                <w:highlight w:val="none"/>
              </w:rPr>
              <w:t>号</w:t>
            </w:r>
          </w:p>
        </w:tc>
        <w:tc>
          <w:tcPr>
            <w:tcW w:w="0" w:type="auto"/>
            <w:vAlign w:val="center"/>
          </w:tcPr>
          <w:p w14:paraId="2E2171EB">
            <w:pPr>
              <w:pStyle w:val="14"/>
              <w:snapToGrid w:val="0"/>
              <w:spacing w:before="94" w:line="240" w:lineRule="auto"/>
              <w:ind w:left="0" w:leftChars="0" w:right="0" w:rightChars="0" w:firstLine="0" w:firstLineChars="0"/>
              <w:jc w:val="center"/>
              <w:rPr>
                <w:b/>
                <w:highlight w:val="none"/>
              </w:rPr>
            </w:pPr>
            <w:r>
              <w:rPr>
                <w:b/>
                <w:spacing w:val="-6"/>
                <w:highlight w:val="none"/>
              </w:rPr>
              <w:t>设备名称</w:t>
            </w:r>
          </w:p>
        </w:tc>
        <w:tc>
          <w:tcPr>
            <w:tcW w:w="0" w:type="auto"/>
            <w:vAlign w:val="center"/>
          </w:tcPr>
          <w:p w14:paraId="683984A2">
            <w:pPr>
              <w:pStyle w:val="14"/>
              <w:snapToGrid w:val="0"/>
              <w:spacing w:before="104" w:line="240" w:lineRule="auto"/>
              <w:ind w:left="0" w:leftChars="0" w:right="0" w:rightChars="0" w:firstLine="0" w:firstLineChars="0"/>
              <w:jc w:val="center"/>
              <w:rPr>
                <w:b/>
                <w:highlight w:val="none"/>
              </w:rPr>
            </w:pPr>
            <w:r>
              <w:rPr>
                <w:b/>
                <w:spacing w:val="-11"/>
                <w:highlight w:val="none"/>
              </w:rPr>
              <w:t>制造</w:t>
            </w:r>
            <w:r>
              <w:rPr>
                <w:b/>
                <w:spacing w:val="-10"/>
                <w:highlight w:val="none"/>
              </w:rPr>
              <w:t>商名</w:t>
            </w:r>
            <w:r>
              <w:rPr>
                <w:b/>
                <w:highlight w:val="none"/>
              </w:rPr>
              <w:t>称</w:t>
            </w:r>
          </w:p>
        </w:tc>
        <w:tc>
          <w:tcPr>
            <w:tcW w:w="0" w:type="auto"/>
            <w:vAlign w:val="center"/>
          </w:tcPr>
          <w:p w14:paraId="387C5719">
            <w:pPr>
              <w:pStyle w:val="14"/>
              <w:snapToGrid w:val="0"/>
              <w:spacing w:before="92" w:line="240" w:lineRule="auto"/>
              <w:ind w:left="0" w:leftChars="0" w:right="0" w:rightChars="0" w:firstLine="0" w:firstLineChars="0"/>
              <w:jc w:val="center"/>
              <w:rPr>
                <w:b/>
                <w:highlight w:val="none"/>
              </w:rPr>
            </w:pPr>
            <w:r>
              <w:rPr>
                <w:b/>
                <w:spacing w:val="-22"/>
                <w:highlight w:val="none"/>
              </w:rPr>
              <w:t>品牌</w:t>
            </w:r>
          </w:p>
        </w:tc>
        <w:tc>
          <w:tcPr>
            <w:tcW w:w="0" w:type="auto"/>
            <w:vAlign w:val="center"/>
          </w:tcPr>
          <w:p w14:paraId="4E0D6A56">
            <w:pPr>
              <w:pStyle w:val="14"/>
              <w:snapToGrid w:val="0"/>
              <w:spacing w:before="93" w:line="240" w:lineRule="auto"/>
              <w:ind w:left="0" w:leftChars="0" w:right="0" w:rightChars="0" w:firstLine="0" w:firstLineChars="0"/>
              <w:jc w:val="center"/>
              <w:rPr>
                <w:b/>
                <w:highlight w:val="none"/>
              </w:rPr>
            </w:pPr>
            <w:r>
              <w:rPr>
                <w:b/>
                <w:spacing w:val="-28"/>
                <w:highlight w:val="none"/>
              </w:rPr>
              <w:t>型</w:t>
            </w:r>
            <w:r>
              <w:rPr>
                <w:b/>
                <w:spacing w:val="-22"/>
                <w:highlight w:val="none"/>
              </w:rPr>
              <w:t>号</w:t>
            </w:r>
          </w:p>
        </w:tc>
        <w:tc>
          <w:tcPr>
            <w:tcW w:w="0" w:type="auto"/>
            <w:vAlign w:val="center"/>
          </w:tcPr>
          <w:p w14:paraId="7C469588">
            <w:pPr>
              <w:pStyle w:val="14"/>
              <w:snapToGrid w:val="0"/>
              <w:spacing w:before="92" w:line="240" w:lineRule="auto"/>
              <w:ind w:left="0" w:leftChars="0" w:right="0" w:rightChars="0" w:firstLine="0" w:firstLineChars="0"/>
              <w:jc w:val="center"/>
              <w:rPr>
                <w:b/>
                <w:highlight w:val="none"/>
              </w:rPr>
            </w:pPr>
            <w:r>
              <w:rPr>
                <w:b/>
                <w:spacing w:val="-16"/>
                <w:highlight w:val="none"/>
              </w:rPr>
              <w:t>数</w:t>
            </w:r>
            <w:r>
              <w:rPr>
                <w:b/>
                <w:spacing w:val="-20"/>
                <w:highlight w:val="none"/>
              </w:rPr>
              <w:t>量</w:t>
            </w:r>
          </w:p>
        </w:tc>
        <w:tc>
          <w:tcPr>
            <w:tcW w:w="0" w:type="auto"/>
            <w:vAlign w:val="center"/>
          </w:tcPr>
          <w:p w14:paraId="47CC5A9F">
            <w:pPr>
              <w:pStyle w:val="14"/>
              <w:snapToGrid w:val="0"/>
              <w:spacing w:before="89" w:line="240" w:lineRule="auto"/>
              <w:ind w:left="0" w:leftChars="0" w:right="0" w:rightChars="0" w:firstLine="0" w:firstLineChars="0"/>
              <w:jc w:val="center"/>
              <w:rPr>
                <w:b/>
                <w:highlight w:val="none"/>
              </w:rPr>
            </w:pPr>
            <w:r>
              <w:rPr>
                <w:b/>
                <w:spacing w:val="-11"/>
                <w:highlight w:val="none"/>
              </w:rPr>
              <w:t>单价（万元</w:t>
            </w:r>
            <w:r>
              <w:rPr>
                <w:b/>
                <w:highlight w:val="none"/>
              </w:rPr>
              <w:t>)</w:t>
            </w:r>
          </w:p>
        </w:tc>
        <w:tc>
          <w:tcPr>
            <w:tcW w:w="0" w:type="auto"/>
            <w:vAlign w:val="center"/>
          </w:tcPr>
          <w:p w14:paraId="71EF215A">
            <w:pPr>
              <w:pStyle w:val="14"/>
              <w:snapToGrid w:val="0"/>
              <w:spacing w:before="90" w:line="240" w:lineRule="auto"/>
              <w:ind w:left="0" w:leftChars="0" w:right="0" w:rightChars="0" w:firstLine="0" w:firstLineChars="0"/>
              <w:jc w:val="center"/>
              <w:rPr>
                <w:b/>
                <w:highlight w:val="none"/>
              </w:rPr>
            </w:pPr>
            <w:r>
              <w:rPr>
                <w:b/>
                <w:spacing w:val="-14"/>
                <w:highlight w:val="none"/>
              </w:rPr>
              <w:t>总价</w:t>
            </w:r>
            <w:r>
              <w:rPr>
                <w:b/>
                <w:spacing w:val="-11"/>
                <w:highlight w:val="none"/>
              </w:rPr>
              <w:t>（万元</w:t>
            </w:r>
            <w:r>
              <w:rPr>
                <w:b/>
                <w:highlight w:val="none"/>
              </w:rPr>
              <w:t>)</w:t>
            </w:r>
          </w:p>
        </w:tc>
        <w:tc>
          <w:tcPr>
            <w:tcW w:w="2364" w:type="dxa"/>
            <w:vAlign w:val="center"/>
          </w:tcPr>
          <w:p w14:paraId="23433974">
            <w:pPr>
              <w:pStyle w:val="14"/>
              <w:snapToGrid w:val="0"/>
              <w:spacing w:before="128" w:line="240" w:lineRule="auto"/>
              <w:ind w:left="0" w:leftChars="0" w:right="0" w:rightChars="0" w:firstLine="0" w:firstLineChars="0"/>
              <w:jc w:val="center"/>
              <w:rPr>
                <w:b/>
                <w:highlight w:val="none"/>
              </w:rPr>
            </w:pPr>
            <w:r>
              <w:rPr>
                <w:b/>
                <w:spacing w:val="4"/>
                <w:highlight w:val="none"/>
              </w:rPr>
              <w:t>属强</w:t>
            </w:r>
            <w:r>
              <w:rPr>
                <w:b/>
                <w:spacing w:val="3"/>
                <w:highlight w:val="none"/>
              </w:rPr>
              <w:t>制采</w:t>
            </w:r>
            <w:r>
              <w:rPr>
                <w:b/>
                <w:spacing w:val="4"/>
                <w:highlight w:val="none"/>
              </w:rPr>
              <w:t>购或优先</w:t>
            </w:r>
            <w:r>
              <w:rPr>
                <w:b/>
                <w:spacing w:val="-9"/>
                <w:highlight w:val="none"/>
              </w:rPr>
              <w:t>采购</w:t>
            </w:r>
          </w:p>
        </w:tc>
      </w:tr>
      <w:tr w14:paraId="1049F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60D7631C">
            <w:pPr>
              <w:pStyle w:val="14"/>
              <w:snapToGrid w:val="0"/>
              <w:spacing w:before="180" w:line="240" w:lineRule="auto"/>
              <w:ind w:left="0" w:leftChars="0" w:right="0" w:rightChars="0" w:firstLine="0" w:firstLineChars="0"/>
              <w:jc w:val="center"/>
              <w:rPr>
                <w:rFonts w:ascii="Arial" w:eastAsia="Arial"/>
                <w:sz w:val="21"/>
                <w:highlight w:val="none"/>
              </w:rPr>
            </w:pPr>
            <w:r>
              <w:rPr>
                <w:rFonts w:ascii="Arial" w:eastAsia="Arial"/>
                <w:position w:val="1"/>
                <w:sz w:val="21"/>
                <w:highlight w:val="none"/>
              </w:rPr>
              <w:t>1</w:t>
            </w:r>
          </w:p>
        </w:tc>
        <w:tc>
          <w:tcPr>
            <w:tcW w:w="0" w:type="auto"/>
            <w:vAlign w:val="center"/>
          </w:tcPr>
          <w:p w14:paraId="66AA4DC0">
            <w:pPr>
              <w:snapToGrid w:val="0"/>
              <w:ind w:left="0" w:leftChars="0" w:right="0" w:rightChars="0" w:firstLine="0" w:firstLineChars="0"/>
              <w:jc w:val="center"/>
              <w:rPr>
                <w:rFonts w:ascii="Arial" w:eastAsia="Arial"/>
                <w:sz w:val="21"/>
                <w:highlight w:val="none"/>
              </w:rPr>
            </w:pPr>
          </w:p>
        </w:tc>
        <w:tc>
          <w:tcPr>
            <w:tcW w:w="0" w:type="auto"/>
            <w:vAlign w:val="center"/>
          </w:tcPr>
          <w:p w14:paraId="2C1AD5B2">
            <w:pPr>
              <w:snapToGrid w:val="0"/>
              <w:ind w:left="0" w:leftChars="0" w:right="0" w:rightChars="0" w:firstLine="0" w:firstLineChars="0"/>
              <w:jc w:val="center"/>
              <w:rPr>
                <w:rFonts w:ascii="Arial" w:eastAsia="Arial"/>
                <w:sz w:val="21"/>
                <w:highlight w:val="none"/>
              </w:rPr>
            </w:pPr>
          </w:p>
        </w:tc>
        <w:tc>
          <w:tcPr>
            <w:tcW w:w="0" w:type="auto"/>
            <w:vAlign w:val="center"/>
          </w:tcPr>
          <w:p w14:paraId="7F822AD6">
            <w:pPr>
              <w:snapToGrid w:val="0"/>
              <w:ind w:left="0" w:leftChars="0" w:right="0" w:rightChars="0" w:firstLine="0" w:firstLineChars="0"/>
              <w:jc w:val="center"/>
              <w:rPr>
                <w:rFonts w:ascii="Arial" w:eastAsia="Arial"/>
                <w:sz w:val="21"/>
                <w:highlight w:val="none"/>
              </w:rPr>
            </w:pPr>
          </w:p>
        </w:tc>
        <w:tc>
          <w:tcPr>
            <w:tcW w:w="0" w:type="auto"/>
            <w:vAlign w:val="center"/>
          </w:tcPr>
          <w:p w14:paraId="41288E93">
            <w:pPr>
              <w:snapToGrid w:val="0"/>
              <w:ind w:left="0" w:leftChars="0" w:right="0" w:rightChars="0" w:firstLine="0" w:firstLineChars="0"/>
              <w:jc w:val="center"/>
              <w:rPr>
                <w:rFonts w:ascii="Arial" w:eastAsia="Arial"/>
                <w:sz w:val="21"/>
                <w:highlight w:val="none"/>
              </w:rPr>
            </w:pPr>
          </w:p>
        </w:tc>
        <w:tc>
          <w:tcPr>
            <w:tcW w:w="0" w:type="auto"/>
            <w:vAlign w:val="center"/>
          </w:tcPr>
          <w:p w14:paraId="4F059214">
            <w:pPr>
              <w:snapToGrid w:val="0"/>
              <w:ind w:left="0" w:leftChars="0" w:right="0" w:rightChars="0" w:firstLine="0" w:firstLineChars="0"/>
              <w:jc w:val="center"/>
              <w:rPr>
                <w:rFonts w:ascii="Arial" w:eastAsia="Arial"/>
                <w:sz w:val="21"/>
                <w:highlight w:val="none"/>
              </w:rPr>
            </w:pPr>
          </w:p>
        </w:tc>
        <w:tc>
          <w:tcPr>
            <w:tcW w:w="0" w:type="auto"/>
            <w:vAlign w:val="center"/>
          </w:tcPr>
          <w:p w14:paraId="31BF2A5C">
            <w:pPr>
              <w:snapToGrid w:val="0"/>
              <w:ind w:left="0" w:leftChars="0" w:right="0" w:rightChars="0" w:firstLine="0" w:firstLineChars="0"/>
              <w:jc w:val="center"/>
              <w:rPr>
                <w:rFonts w:ascii="Arial" w:eastAsia="Arial"/>
                <w:sz w:val="21"/>
                <w:highlight w:val="none"/>
              </w:rPr>
            </w:pPr>
          </w:p>
        </w:tc>
        <w:tc>
          <w:tcPr>
            <w:tcW w:w="0" w:type="auto"/>
            <w:vAlign w:val="center"/>
          </w:tcPr>
          <w:p w14:paraId="3BD0DCB0">
            <w:pPr>
              <w:snapToGrid w:val="0"/>
              <w:ind w:left="0" w:leftChars="0" w:right="0" w:rightChars="0" w:firstLine="0" w:firstLineChars="0"/>
              <w:jc w:val="right"/>
              <w:rPr>
                <w:rFonts w:ascii="Arial" w:eastAsia="Arial"/>
                <w:sz w:val="21"/>
                <w:highlight w:val="none"/>
              </w:rPr>
            </w:pPr>
          </w:p>
        </w:tc>
        <w:tc>
          <w:tcPr>
            <w:tcW w:w="2364" w:type="dxa"/>
            <w:vAlign w:val="center"/>
          </w:tcPr>
          <w:p w14:paraId="71F17299">
            <w:pPr>
              <w:snapToGrid w:val="0"/>
              <w:ind w:left="0" w:leftChars="0" w:right="0" w:rightChars="0" w:firstLine="0" w:firstLineChars="0"/>
              <w:jc w:val="right"/>
              <w:rPr>
                <w:rFonts w:ascii="Arial" w:eastAsia="Arial"/>
                <w:sz w:val="21"/>
                <w:highlight w:val="none"/>
              </w:rPr>
            </w:pPr>
          </w:p>
        </w:tc>
      </w:tr>
      <w:tr w14:paraId="33E83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4D64F91E">
            <w:pPr>
              <w:pStyle w:val="14"/>
              <w:snapToGrid w:val="0"/>
              <w:spacing w:before="184" w:line="240" w:lineRule="auto"/>
              <w:ind w:left="0" w:leftChars="0" w:right="0" w:rightChars="0" w:firstLine="0" w:firstLineChars="0"/>
              <w:jc w:val="center"/>
              <w:rPr>
                <w:rFonts w:ascii="Arial" w:eastAsia="Arial"/>
                <w:sz w:val="21"/>
                <w:highlight w:val="none"/>
              </w:rPr>
            </w:pPr>
            <w:r>
              <w:rPr>
                <w:rFonts w:ascii="Arial" w:eastAsia="Arial"/>
                <w:position w:val="1"/>
                <w:sz w:val="21"/>
                <w:highlight w:val="none"/>
              </w:rPr>
              <w:t>2</w:t>
            </w:r>
          </w:p>
        </w:tc>
        <w:tc>
          <w:tcPr>
            <w:tcW w:w="0" w:type="auto"/>
            <w:vAlign w:val="center"/>
          </w:tcPr>
          <w:p w14:paraId="7259BAC5">
            <w:pPr>
              <w:snapToGrid w:val="0"/>
              <w:ind w:left="0" w:leftChars="0" w:right="0" w:rightChars="0" w:firstLine="0" w:firstLineChars="0"/>
              <w:jc w:val="center"/>
              <w:rPr>
                <w:rFonts w:ascii="Arial" w:eastAsia="Arial"/>
                <w:sz w:val="21"/>
                <w:highlight w:val="none"/>
              </w:rPr>
            </w:pPr>
          </w:p>
        </w:tc>
        <w:tc>
          <w:tcPr>
            <w:tcW w:w="0" w:type="auto"/>
            <w:vAlign w:val="center"/>
          </w:tcPr>
          <w:p w14:paraId="352C6630">
            <w:pPr>
              <w:snapToGrid w:val="0"/>
              <w:ind w:left="0" w:leftChars="0" w:right="0" w:rightChars="0" w:firstLine="0" w:firstLineChars="0"/>
              <w:jc w:val="center"/>
              <w:rPr>
                <w:rFonts w:ascii="Arial" w:eastAsia="Arial"/>
                <w:sz w:val="21"/>
                <w:highlight w:val="none"/>
              </w:rPr>
            </w:pPr>
          </w:p>
        </w:tc>
        <w:tc>
          <w:tcPr>
            <w:tcW w:w="0" w:type="auto"/>
            <w:vAlign w:val="center"/>
          </w:tcPr>
          <w:p w14:paraId="51A46FB3">
            <w:pPr>
              <w:snapToGrid w:val="0"/>
              <w:ind w:left="0" w:leftChars="0" w:right="0" w:rightChars="0" w:firstLine="0" w:firstLineChars="0"/>
              <w:jc w:val="center"/>
              <w:rPr>
                <w:rFonts w:ascii="Arial" w:eastAsia="Arial"/>
                <w:sz w:val="21"/>
                <w:highlight w:val="none"/>
              </w:rPr>
            </w:pPr>
          </w:p>
        </w:tc>
        <w:tc>
          <w:tcPr>
            <w:tcW w:w="0" w:type="auto"/>
            <w:vAlign w:val="center"/>
          </w:tcPr>
          <w:p w14:paraId="7C79493F">
            <w:pPr>
              <w:snapToGrid w:val="0"/>
              <w:ind w:left="0" w:leftChars="0" w:right="0" w:rightChars="0" w:firstLine="0" w:firstLineChars="0"/>
              <w:jc w:val="center"/>
              <w:rPr>
                <w:rFonts w:ascii="Arial" w:eastAsia="Arial"/>
                <w:sz w:val="21"/>
                <w:highlight w:val="none"/>
              </w:rPr>
            </w:pPr>
          </w:p>
        </w:tc>
        <w:tc>
          <w:tcPr>
            <w:tcW w:w="0" w:type="auto"/>
            <w:vAlign w:val="center"/>
          </w:tcPr>
          <w:p w14:paraId="46DD1A60">
            <w:pPr>
              <w:snapToGrid w:val="0"/>
              <w:ind w:left="0" w:leftChars="0" w:right="0" w:rightChars="0" w:firstLine="0" w:firstLineChars="0"/>
              <w:jc w:val="center"/>
              <w:rPr>
                <w:rFonts w:ascii="Arial" w:eastAsia="Arial"/>
                <w:sz w:val="21"/>
                <w:highlight w:val="none"/>
              </w:rPr>
            </w:pPr>
          </w:p>
        </w:tc>
        <w:tc>
          <w:tcPr>
            <w:tcW w:w="0" w:type="auto"/>
            <w:vAlign w:val="center"/>
          </w:tcPr>
          <w:p w14:paraId="0E7D3BA5">
            <w:pPr>
              <w:snapToGrid w:val="0"/>
              <w:ind w:left="0" w:leftChars="0" w:right="0" w:rightChars="0" w:firstLine="0" w:firstLineChars="0"/>
              <w:jc w:val="center"/>
              <w:rPr>
                <w:rFonts w:ascii="Arial" w:eastAsia="Arial"/>
                <w:sz w:val="21"/>
                <w:highlight w:val="none"/>
              </w:rPr>
            </w:pPr>
          </w:p>
        </w:tc>
        <w:tc>
          <w:tcPr>
            <w:tcW w:w="0" w:type="auto"/>
            <w:vAlign w:val="center"/>
          </w:tcPr>
          <w:p w14:paraId="654C5DE1">
            <w:pPr>
              <w:snapToGrid w:val="0"/>
              <w:ind w:left="0" w:leftChars="0" w:right="0" w:rightChars="0" w:firstLine="0" w:firstLineChars="0"/>
              <w:jc w:val="right"/>
              <w:rPr>
                <w:rFonts w:ascii="Arial" w:eastAsia="Arial"/>
                <w:sz w:val="21"/>
                <w:highlight w:val="none"/>
              </w:rPr>
            </w:pPr>
          </w:p>
        </w:tc>
        <w:tc>
          <w:tcPr>
            <w:tcW w:w="2364" w:type="dxa"/>
            <w:vAlign w:val="center"/>
          </w:tcPr>
          <w:p w14:paraId="7E46F75D">
            <w:pPr>
              <w:snapToGrid w:val="0"/>
              <w:ind w:left="0" w:leftChars="0" w:right="0" w:rightChars="0" w:firstLine="0" w:firstLineChars="0"/>
              <w:jc w:val="right"/>
              <w:rPr>
                <w:rFonts w:ascii="Arial" w:eastAsia="Arial"/>
                <w:sz w:val="21"/>
                <w:highlight w:val="none"/>
              </w:rPr>
            </w:pPr>
          </w:p>
        </w:tc>
      </w:tr>
      <w:tr w14:paraId="30A83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01" w:type="dxa"/>
            <w:vAlign w:val="center"/>
          </w:tcPr>
          <w:p w14:paraId="6DDC0A34">
            <w:pPr>
              <w:pStyle w:val="14"/>
              <w:snapToGrid w:val="0"/>
              <w:spacing w:before="184" w:line="240" w:lineRule="auto"/>
              <w:ind w:left="0" w:leftChars="0" w:right="0" w:rightChars="0" w:firstLine="0" w:firstLineChars="0"/>
              <w:jc w:val="center"/>
              <w:rPr>
                <w:rFonts w:ascii="Arial" w:eastAsia="Arial"/>
                <w:sz w:val="21"/>
                <w:highlight w:val="none"/>
              </w:rPr>
            </w:pPr>
            <w:r>
              <w:rPr>
                <w:rFonts w:ascii="Arial" w:eastAsia="Arial"/>
                <w:sz w:val="21"/>
                <w:highlight w:val="none"/>
              </w:rPr>
              <w:t>3</w:t>
            </w:r>
          </w:p>
        </w:tc>
        <w:tc>
          <w:tcPr>
            <w:tcW w:w="903" w:type="dxa"/>
            <w:vAlign w:val="center"/>
          </w:tcPr>
          <w:p w14:paraId="3F441E55">
            <w:pPr>
              <w:pStyle w:val="14"/>
              <w:snapToGrid w:val="0"/>
              <w:spacing w:before="237" w:line="240" w:lineRule="auto"/>
              <w:ind w:left="0" w:leftChars="0" w:right="0" w:rightChars="0" w:firstLine="0" w:firstLineChars="0"/>
              <w:jc w:val="center"/>
              <w:rPr>
                <w:rFonts w:ascii="Arial" w:eastAsia="Arial"/>
                <w:sz w:val="21"/>
                <w:highlight w:val="none"/>
              </w:rPr>
            </w:pPr>
            <w:r>
              <w:rPr>
                <w:rFonts w:ascii="Arial" w:eastAsia="Arial"/>
                <w:spacing w:val="-13"/>
                <w:position w:val="1"/>
                <w:sz w:val="21"/>
                <w:highlight w:val="none"/>
              </w:rPr>
              <w:t>……</w:t>
            </w:r>
          </w:p>
        </w:tc>
        <w:tc>
          <w:tcPr>
            <w:tcW w:w="1093" w:type="dxa"/>
            <w:vAlign w:val="center"/>
          </w:tcPr>
          <w:p w14:paraId="0A7FD7B4">
            <w:pPr>
              <w:snapToGrid w:val="0"/>
              <w:ind w:left="0" w:leftChars="0" w:right="0" w:rightChars="0" w:firstLine="0" w:firstLineChars="0"/>
              <w:jc w:val="center"/>
              <w:rPr>
                <w:rFonts w:ascii="Arial" w:eastAsia="Arial"/>
                <w:sz w:val="21"/>
                <w:highlight w:val="none"/>
              </w:rPr>
            </w:pPr>
          </w:p>
        </w:tc>
        <w:tc>
          <w:tcPr>
            <w:tcW w:w="391" w:type="dxa"/>
            <w:vAlign w:val="center"/>
          </w:tcPr>
          <w:p w14:paraId="3B88C9A5">
            <w:pPr>
              <w:snapToGrid w:val="0"/>
              <w:ind w:left="0" w:leftChars="0" w:right="0" w:rightChars="0" w:firstLine="0" w:firstLineChars="0"/>
              <w:jc w:val="center"/>
              <w:rPr>
                <w:rFonts w:ascii="Arial" w:eastAsia="Arial"/>
                <w:sz w:val="21"/>
                <w:highlight w:val="none"/>
              </w:rPr>
            </w:pPr>
          </w:p>
        </w:tc>
        <w:tc>
          <w:tcPr>
            <w:tcW w:w="379" w:type="dxa"/>
            <w:vAlign w:val="center"/>
          </w:tcPr>
          <w:p w14:paraId="7D4C8642">
            <w:pPr>
              <w:snapToGrid w:val="0"/>
              <w:ind w:left="0" w:leftChars="0" w:right="0" w:rightChars="0" w:firstLine="0" w:firstLineChars="0"/>
              <w:jc w:val="center"/>
              <w:rPr>
                <w:rFonts w:ascii="Arial" w:eastAsia="Arial"/>
                <w:sz w:val="21"/>
                <w:highlight w:val="none"/>
              </w:rPr>
            </w:pPr>
          </w:p>
        </w:tc>
        <w:tc>
          <w:tcPr>
            <w:tcW w:w="406" w:type="dxa"/>
            <w:vAlign w:val="center"/>
          </w:tcPr>
          <w:p w14:paraId="3B0E5E3A">
            <w:pPr>
              <w:snapToGrid w:val="0"/>
              <w:ind w:left="0" w:leftChars="0" w:right="0" w:rightChars="0" w:firstLine="0" w:firstLineChars="0"/>
              <w:jc w:val="center"/>
              <w:rPr>
                <w:rFonts w:ascii="Arial" w:eastAsia="Arial"/>
                <w:sz w:val="21"/>
                <w:highlight w:val="none"/>
              </w:rPr>
            </w:pPr>
          </w:p>
        </w:tc>
        <w:tc>
          <w:tcPr>
            <w:tcW w:w="1193" w:type="dxa"/>
            <w:vAlign w:val="center"/>
          </w:tcPr>
          <w:p w14:paraId="42D223BD">
            <w:pPr>
              <w:snapToGrid w:val="0"/>
              <w:ind w:left="0" w:leftChars="0" w:right="0" w:rightChars="0" w:firstLine="0" w:firstLineChars="0"/>
              <w:jc w:val="center"/>
              <w:rPr>
                <w:rFonts w:ascii="Arial" w:eastAsia="Arial"/>
                <w:sz w:val="21"/>
                <w:highlight w:val="none"/>
              </w:rPr>
            </w:pPr>
          </w:p>
        </w:tc>
        <w:tc>
          <w:tcPr>
            <w:tcW w:w="1179" w:type="dxa"/>
            <w:vAlign w:val="center"/>
          </w:tcPr>
          <w:p w14:paraId="64631932">
            <w:pPr>
              <w:snapToGrid w:val="0"/>
              <w:ind w:left="0" w:leftChars="0" w:right="0" w:rightChars="0" w:firstLine="0" w:firstLineChars="0"/>
              <w:jc w:val="right"/>
              <w:rPr>
                <w:rFonts w:ascii="Arial" w:eastAsia="Arial"/>
                <w:sz w:val="21"/>
                <w:highlight w:val="none"/>
              </w:rPr>
            </w:pPr>
          </w:p>
        </w:tc>
        <w:tc>
          <w:tcPr>
            <w:tcW w:w="2364" w:type="dxa"/>
            <w:vAlign w:val="center"/>
          </w:tcPr>
          <w:p w14:paraId="18A01F23">
            <w:pPr>
              <w:snapToGrid w:val="0"/>
              <w:ind w:left="0" w:leftChars="0" w:right="0" w:rightChars="0" w:firstLine="0" w:firstLineChars="0"/>
              <w:jc w:val="right"/>
              <w:rPr>
                <w:rFonts w:ascii="Arial" w:eastAsia="Arial"/>
                <w:sz w:val="21"/>
                <w:highlight w:val="none"/>
              </w:rPr>
            </w:pPr>
          </w:p>
        </w:tc>
      </w:tr>
    </w:tbl>
    <w:p w14:paraId="1134D2F2">
      <w:pPr>
        <w:spacing w:line="448" w:lineRule="auto"/>
        <w:rPr>
          <w:rFonts w:ascii="Arial"/>
          <w:sz w:val="21"/>
          <w:highlight w:val="none"/>
        </w:rPr>
      </w:pPr>
    </w:p>
    <w:p w14:paraId="11D4E832">
      <w:pPr>
        <w:pStyle w:val="6"/>
        <w:spacing w:before="79" w:line="221" w:lineRule="auto"/>
        <w:ind w:left="239"/>
        <w:rPr>
          <w:sz w:val="24"/>
          <w:szCs w:val="24"/>
          <w:highlight w:val="none"/>
        </w:rPr>
      </w:pPr>
      <w:r>
        <w:rPr>
          <w:spacing w:val="-4"/>
          <w:sz w:val="24"/>
          <w:szCs w:val="24"/>
          <w:highlight w:val="none"/>
        </w:rPr>
        <w:t>2）环保产品</w:t>
      </w:r>
    </w:p>
    <w:p w14:paraId="4EB6527D">
      <w:pPr>
        <w:spacing w:line="122" w:lineRule="auto"/>
        <w:rPr>
          <w:rFonts w:ascii="Arial"/>
          <w:sz w:val="2"/>
          <w:highlight w:val="none"/>
        </w:rPr>
      </w:pPr>
    </w:p>
    <w:tbl>
      <w:tblPr>
        <w:tblStyle w:val="13"/>
        <w:tblW w:w="83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4"/>
        <w:gridCol w:w="1220"/>
        <w:gridCol w:w="1481"/>
        <w:gridCol w:w="527"/>
        <w:gridCol w:w="571"/>
        <w:gridCol w:w="602"/>
        <w:gridCol w:w="1767"/>
        <w:gridCol w:w="1602"/>
      </w:tblGrid>
      <w:tr w14:paraId="266B8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Align w:val="center"/>
          </w:tcPr>
          <w:p w14:paraId="223FE496">
            <w:pPr>
              <w:pStyle w:val="14"/>
              <w:snapToGrid w:val="0"/>
              <w:spacing w:before="269" w:line="240" w:lineRule="auto"/>
              <w:ind w:left="0" w:leftChars="0" w:right="0" w:rightChars="0" w:firstLine="0" w:firstLineChars="0"/>
              <w:jc w:val="center"/>
              <w:rPr>
                <w:b/>
                <w:highlight w:val="none"/>
              </w:rPr>
            </w:pPr>
            <w:r>
              <w:rPr>
                <w:b/>
                <w:spacing w:val="-16"/>
                <w:highlight w:val="none"/>
              </w:rPr>
              <w:t>序</w:t>
            </w:r>
            <w:r>
              <w:rPr>
                <w:b/>
                <w:spacing w:val="-22"/>
                <w:highlight w:val="none"/>
              </w:rPr>
              <w:t>号</w:t>
            </w:r>
          </w:p>
        </w:tc>
        <w:tc>
          <w:tcPr>
            <w:tcW w:w="0" w:type="auto"/>
            <w:vAlign w:val="center"/>
          </w:tcPr>
          <w:p w14:paraId="3DE2C35A">
            <w:pPr>
              <w:pStyle w:val="14"/>
              <w:snapToGrid w:val="0"/>
              <w:spacing w:before="270" w:line="240" w:lineRule="auto"/>
              <w:ind w:left="0" w:leftChars="0" w:right="0" w:rightChars="0" w:firstLine="0" w:firstLineChars="0"/>
              <w:jc w:val="center"/>
              <w:rPr>
                <w:b/>
                <w:highlight w:val="none"/>
              </w:rPr>
            </w:pPr>
            <w:r>
              <w:rPr>
                <w:b/>
                <w:spacing w:val="-6"/>
                <w:highlight w:val="none"/>
              </w:rPr>
              <w:t>设备名称</w:t>
            </w:r>
          </w:p>
        </w:tc>
        <w:tc>
          <w:tcPr>
            <w:tcW w:w="0" w:type="auto"/>
            <w:vAlign w:val="center"/>
          </w:tcPr>
          <w:p w14:paraId="52C7F68F">
            <w:pPr>
              <w:pStyle w:val="14"/>
              <w:snapToGrid w:val="0"/>
              <w:spacing w:before="123" w:line="240" w:lineRule="auto"/>
              <w:ind w:left="0" w:leftChars="0" w:right="0" w:rightChars="0" w:firstLine="0" w:firstLineChars="0"/>
              <w:jc w:val="center"/>
              <w:rPr>
                <w:b/>
                <w:highlight w:val="none"/>
              </w:rPr>
            </w:pPr>
            <w:r>
              <w:rPr>
                <w:b/>
                <w:spacing w:val="-9"/>
                <w:highlight w:val="none"/>
              </w:rPr>
              <w:t>制造</w:t>
            </w:r>
            <w:r>
              <w:rPr>
                <w:b/>
                <w:spacing w:val="-14"/>
                <w:highlight w:val="none"/>
              </w:rPr>
              <w:t>商名</w:t>
            </w:r>
            <w:r>
              <w:rPr>
                <w:b/>
                <w:highlight w:val="none"/>
              </w:rPr>
              <w:t>称</w:t>
            </w:r>
          </w:p>
        </w:tc>
        <w:tc>
          <w:tcPr>
            <w:tcW w:w="0" w:type="auto"/>
            <w:vAlign w:val="center"/>
          </w:tcPr>
          <w:p w14:paraId="6FE02B07">
            <w:pPr>
              <w:pStyle w:val="14"/>
              <w:snapToGrid w:val="0"/>
              <w:spacing w:before="268" w:line="240" w:lineRule="auto"/>
              <w:ind w:left="0" w:leftChars="0" w:right="0" w:rightChars="0" w:firstLine="0" w:firstLineChars="0"/>
              <w:jc w:val="center"/>
              <w:rPr>
                <w:b/>
                <w:highlight w:val="none"/>
              </w:rPr>
            </w:pPr>
            <w:r>
              <w:rPr>
                <w:b/>
                <w:spacing w:val="-22"/>
                <w:highlight w:val="none"/>
              </w:rPr>
              <w:t>品牌</w:t>
            </w:r>
          </w:p>
        </w:tc>
        <w:tc>
          <w:tcPr>
            <w:tcW w:w="0" w:type="auto"/>
            <w:vAlign w:val="center"/>
          </w:tcPr>
          <w:p w14:paraId="3FEA9435">
            <w:pPr>
              <w:pStyle w:val="14"/>
              <w:snapToGrid w:val="0"/>
              <w:spacing w:before="269" w:line="240" w:lineRule="auto"/>
              <w:ind w:left="0" w:leftChars="0" w:right="0" w:rightChars="0" w:firstLine="0" w:firstLineChars="0"/>
              <w:jc w:val="center"/>
              <w:rPr>
                <w:b/>
                <w:highlight w:val="none"/>
              </w:rPr>
            </w:pPr>
            <w:r>
              <w:rPr>
                <w:b/>
                <w:spacing w:val="-14"/>
                <w:highlight w:val="none"/>
              </w:rPr>
              <w:t>型号</w:t>
            </w:r>
          </w:p>
        </w:tc>
        <w:tc>
          <w:tcPr>
            <w:tcW w:w="0" w:type="auto"/>
            <w:vAlign w:val="center"/>
          </w:tcPr>
          <w:p w14:paraId="5D594775">
            <w:pPr>
              <w:pStyle w:val="14"/>
              <w:snapToGrid w:val="0"/>
              <w:spacing w:before="267" w:line="240" w:lineRule="auto"/>
              <w:ind w:left="0" w:leftChars="0" w:right="0" w:rightChars="0" w:firstLine="0" w:firstLineChars="0"/>
              <w:jc w:val="center"/>
              <w:rPr>
                <w:b/>
                <w:highlight w:val="none"/>
              </w:rPr>
            </w:pPr>
            <w:r>
              <w:rPr>
                <w:b/>
                <w:spacing w:val="-8"/>
                <w:highlight w:val="none"/>
              </w:rPr>
              <w:t>数量</w:t>
            </w:r>
          </w:p>
        </w:tc>
        <w:tc>
          <w:tcPr>
            <w:tcW w:w="0" w:type="auto"/>
            <w:vAlign w:val="center"/>
          </w:tcPr>
          <w:p w14:paraId="084B706A">
            <w:pPr>
              <w:pStyle w:val="14"/>
              <w:snapToGrid w:val="0"/>
              <w:spacing w:before="111" w:line="240" w:lineRule="auto"/>
              <w:ind w:left="0" w:leftChars="0" w:right="0" w:rightChars="0" w:firstLine="0" w:firstLineChars="0"/>
              <w:jc w:val="center"/>
              <w:rPr>
                <w:b/>
                <w:highlight w:val="none"/>
              </w:rPr>
            </w:pPr>
            <w:r>
              <w:rPr>
                <w:b/>
                <w:spacing w:val="-11"/>
                <w:highlight w:val="none"/>
              </w:rPr>
              <w:t>单价</w:t>
            </w:r>
            <w:r>
              <w:rPr>
                <w:b/>
                <w:spacing w:val="-9"/>
                <w:highlight w:val="none"/>
              </w:rPr>
              <w:t>（万元）</w:t>
            </w:r>
          </w:p>
        </w:tc>
        <w:tc>
          <w:tcPr>
            <w:tcW w:w="1602" w:type="dxa"/>
            <w:vAlign w:val="center"/>
          </w:tcPr>
          <w:p w14:paraId="32BA66B3">
            <w:pPr>
              <w:pStyle w:val="14"/>
              <w:snapToGrid w:val="0"/>
              <w:spacing w:before="112" w:line="240" w:lineRule="auto"/>
              <w:ind w:left="0" w:leftChars="0" w:right="0" w:rightChars="0" w:firstLine="0" w:firstLineChars="0"/>
              <w:jc w:val="center"/>
              <w:rPr>
                <w:b/>
                <w:highlight w:val="none"/>
              </w:rPr>
            </w:pPr>
            <w:r>
              <w:rPr>
                <w:b/>
                <w:spacing w:val="-14"/>
                <w:highlight w:val="none"/>
              </w:rPr>
              <w:t>总价</w:t>
            </w:r>
            <w:r>
              <w:rPr>
                <w:b/>
                <w:spacing w:val="-11"/>
                <w:highlight w:val="none"/>
              </w:rPr>
              <w:t>（万元</w:t>
            </w:r>
            <w:r>
              <w:rPr>
                <w:b/>
                <w:highlight w:val="none"/>
              </w:rPr>
              <w:t>)</w:t>
            </w:r>
          </w:p>
        </w:tc>
      </w:tr>
      <w:tr w14:paraId="16F30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25F2B103">
            <w:pPr>
              <w:pStyle w:val="14"/>
              <w:snapToGrid w:val="0"/>
              <w:spacing w:before="179" w:line="240" w:lineRule="auto"/>
              <w:ind w:left="0" w:leftChars="0" w:right="0" w:rightChars="0" w:firstLine="0" w:firstLineChars="0"/>
              <w:jc w:val="center"/>
              <w:rPr>
                <w:rFonts w:ascii="Arial" w:eastAsia="Arial"/>
                <w:sz w:val="21"/>
                <w:highlight w:val="none"/>
              </w:rPr>
            </w:pPr>
            <w:r>
              <w:rPr>
                <w:rFonts w:ascii="Arial" w:eastAsia="Arial"/>
                <w:position w:val="1"/>
                <w:sz w:val="21"/>
                <w:highlight w:val="none"/>
              </w:rPr>
              <w:t>1</w:t>
            </w:r>
          </w:p>
        </w:tc>
        <w:tc>
          <w:tcPr>
            <w:tcW w:w="0" w:type="auto"/>
            <w:vAlign w:val="center"/>
          </w:tcPr>
          <w:p w14:paraId="181A5535">
            <w:pPr>
              <w:snapToGrid w:val="0"/>
              <w:ind w:left="0" w:leftChars="0" w:right="0" w:rightChars="0" w:firstLine="0" w:firstLineChars="0"/>
              <w:jc w:val="center"/>
              <w:rPr>
                <w:rFonts w:ascii="Arial" w:eastAsia="Arial"/>
                <w:sz w:val="21"/>
                <w:highlight w:val="none"/>
              </w:rPr>
            </w:pPr>
          </w:p>
        </w:tc>
        <w:tc>
          <w:tcPr>
            <w:tcW w:w="0" w:type="auto"/>
            <w:vAlign w:val="center"/>
          </w:tcPr>
          <w:p w14:paraId="49FF84EF">
            <w:pPr>
              <w:snapToGrid w:val="0"/>
              <w:ind w:left="0" w:leftChars="0" w:right="0" w:rightChars="0" w:firstLine="0" w:firstLineChars="0"/>
              <w:jc w:val="center"/>
              <w:rPr>
                <w:rFonts w:ascii="Arial" w:eastAsia="Arial"/>
                <w:sz w:val="21"/>
                <w:highlight w:val="none"/>
              </w:rPr>
            </w:pPr>
          </w:p>
        </w:tc>
        <w:tc>
          <w:tcPr>
            <w:tcW w:w="0" w:type="auto"/>
            <w:vAlign w:val="center"/>
          </w:tcPr>
          <w:p w14:paraId="32B5C3E1">
            <w:pPr>
              <w:snapToGrid w:val="0"/>
              <w:ind w:left="0" w:leftChars="0" w:right="0" w:rightChars="0" w:firstLine="0" w:firstLineChars="0"/>
              <w:jc w:val="center"/>
              <w:rPr>
                <w:rFonts w:ascii="Arial" w:eastAsia="Arial"/>
                <w:sz w:val="21"/>
                <w:highlight w:val="none"/>
              </w:rPr>
            </w:pPr>
          </w:p>
        </w:tc>
        <w:tc>
          <w:tcPr>
            <w:tcW w:w="0" w:type="auto"/>
            <w:vAlign w:val="center"/>
          </w:tcPr>
          <w:p w14:paraId="21AF6426">
            <w:pPr>
              <w:snapToGrid w:val="0"/>
              <w:ind w:left="0" w:leftChars="0" w:right="0" w:rightChars="0" w:firstLine="0" w:firstLineChars="0"/>
              <w:jc w:val="center"/>
              <w:rPr>
                <w:rFonts w:ascii="Arial" w:eastAsia="Arial"/>
                <w:sz w:val="21"/>
                <w:highlight w:val="none"/>
              </w:rPr>
            </w:pPr>
          </w:p>
        </w:tc>
        <w:tc>
          <w:tcPr>
            <w:tcW w:w="0" w:type="auto"/>
            <w:vAlign w:val="center"/>
          </w:tcPr>
          <w:p w14:paraId="1BD52E5D">
            <w:pPr>
              <w:snapToGrid w:val="0"/>
              <w:ind w:left="0" w:leftChars="0" w:right="0" w:rightChars="0" w:firstLine="0" w:firstLineChars="0"/>
              <w:jc w:val="center"/>
              <w:rPr>
                <w:rFonts w:ascii="Arial" w:eastAsia="Arial"/>
                <w:sz w:val="21"/>
                <w:highlight w:val="none"/>
              </w:rPr>
            </w:pPr>
          </w:p>
        </w:tc>
        <w:tc>
          <w:tcPr>
            <w:tcW w:w="0" w:type="auto"/>
            <w:vAlign w:val="center"/>
          </w:tcPr>
          <w:p w14:paraId="5F2C06A7">
            <w:pPr>
              <w:snapToGrid w:val="0"/>
              <w:ind w:left="0" w:leftChars="0" w:right="0" w:rightChars="0" w:firstLine="0" w:firstLineChars="0"/>
              <w:jc w:val="center"/>
              <w:rPr>
                <w:rFonts w:ascii="Arial" w:eastAsia="Arial"/>
                <w:sz w:val="21"/>
                <w:highlight w:val="none"/>
              </w:rPr>
            </w:pPr>
          </w:p>
        </w:tc>
        <w:tc>
          <w:tcPr>
            <w:tcW w:w="1602" w:type="dxa"/>
            <w:vAlign w:val="center"/>
          </w:tcPr>
          <w:p w14:paraId="694C26D3">
            <w:pPr>
              <w:snapToGrid w:val="0"/>
              <w:ind w:left="0" w:leftChars="0" w:right="0" w:rightChars="0" w:firstLine="0" w:firstLineChars="0"/>
              <w:jc w:val="right"/>
              <w:rPr>
                <w:rFonts w:ascii="Arial" w:eastAsia="Arial"/>
                <w:sz w:val="21"/>
                <w:highlight w:val="none"/>
              </w:rPr>
            </w:pPr>
          </w:p>
        </w:tc>
      </w:tr>
      <w:tr w14:paraId="4943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073F202C">
            <w:pPr>
              <w:pStyle w:val="14"/>
              <w:snapToGrid w:val="0"/>
              <w:spacing w:before="182" w:line="240" w:lineRule="auto"/>
              <w:ind w:left="0" w:leftChars="0" w:right="0" w:rightChars="0" w:firstLine="0" w:firstLineChars="0"/>
              <w:jc w:val="center"/>
              <w:rPr>
                <w:rFonts w:ascii="Arial" w:eastAsia="Arial"/>
                <w:sz w:val="21"/>
                <w:highlight w:val="none"/>
              </w:rPr>
            </w:pPr>
            <w:r>
              <w:rPr>
                <w:rFonts w:ascii="Arial" w:eastAsia="Arial"/>
                <w:position w:val="1"/>
                <w:sz w:val="21"/>
                <w:highlight w:val="none"/>
              </w:rPr>
              <w:t>2</w:t>
            </w:r>
          </w:p>
        </w:tc>
        <w:tc>
          <w:tcPr>
            <w:tcW w:w="0" w:type="auto"/>
            <w:vAlign w:val="center"/>
          </w:tcPr>
          <w:p w14:paraId="333CC158">
            <w:pPr>
              <w:snapToGrid w:val="0"/>
              <w:ind w:left="0" w:leftChars="0" w:right="0" w:rightChars="0" w:firstLine="0" w:firstLineChars="0"/>
              <w:jc w:val="center"/>
              <w:rPr>
                <w:rFonts w:ascii="Arial" w:eastAsia="Arial"/>
                <w:sz w:val="21"/>
                <w:highlight w:val="none"/>
              </w:rPr>
            </w:pPr>
          </w:p>
        </w:tc>
        <w:tc>
          <w:tcPr>
            <w:tcW w:w="0" w:type="auto"/>
            <w:vAlign w:val="center"/>
          </w:tcPr>
          <w:p w14:paraId="79609715">
            <w:pPr>
              <w:snapToGrid w:val="0"/>
              <w:ind w:left="0" w:leftChars="0" w:right="0" w:rightChars="0" w:firstLine="0" w:firstLineChars="0"/>
              <w:jc w:val="center"/>
              <w:rPr>
                <w:rFonts w:ascii="Arial" w:eastAsia="Arial"/>
                <w:sz w:val="21"/>
                <w:highlight w:val="none"/>
              </w:rPr>
            </w:pPr>
          </w:p>
        </w:tc>
        <w:tc>
          <w:tcPr>
            <w:tcW w:w="0" w:type="auto"/>
            <w:vAlign w:val="center"/>
          </w:tcPr>
          <w:p w14:paraId="1F289A26">
            <w:pPr>
              <w:snapToGrid w:val="0"/>
              <w:ind w:left="0" w:leftChars="0" w:right="0" w:rightChars="0" w:firstLine="0" w:firstLineChars="0"/>
              <w:jc w:val="center"/>
              <w:rPr>
                <w:rFonts w:ascii="Arial" w:eastAsia="Arial"/>
                <w:sz w:val="21"/>
                <w:highlight w:val="none"/>
              </w:rPr>
            </w:pPr>
          </w:p>
        </w:tc>
        <w:tc>
          <w:tcPr>
            <w:tcW w:w="0" w:type="auto"/>
            <w:vAlign w:val="center"/>
          </w:tcPr>
          <w:p w14:paraId="5FC27D84">
            <w:pPr>
              <w:snapToGrid w:val="0"/>
              <w:ind w:left="0" w:leftChars="0" w:right="0" w:rightChars="0" w:firstLine="0" w:firstLineChars="0"/>
              <w:jc w:val="center"/>
              <w:rPr>
                <w:rFonts w:ascii="Arial" w:eastAsia="Arial"/>
                <w:sz w:val="21"/>
                <w:highlight w:val="none"/>
              </w:rPr>
            </w:pPr>
          </w:p>
        </w:tc>
        <w:tc>
          <w:tcPr>
            <w:tcW w:w="0" w:type="auto"/>
            <w:vAlign w:val="center"/>
          </w:tcPr>
          <w:p w14:paraId="259C04A9">
            <w:pPr>
              <w:snapToGrid w:val="0"/>
              <w:ind w:left="0" w:leftChars="0" w:right="0" w:rightChars="0" w:firstLine="0" w:firstLineChars="0"/>
              <w:jc w:val="center"/>
              <w:rPr>
                <w:rFonts w:ascii="Arial" w:eastAsia="Arial"/>
                <w:sz w:val="21"/>
                <w:highlight w:val="none"/>
              </w:rPr>
            </w:pPr>
          </w:p>
        </w:tc>
        <w:tc>
          <w:tcPr>
            <w:tcW w:w="0" w:type="auto"/>
            <w:vAlign w:val="center"/>
          </w:tcPr>
          <w:p w14:paraId="3EADBB7D">
            <w:pPr>
              <w:snapToGrid w:val="0"/>
              <w:ind w:left="0" w:leftChars="0" w:right="0" w:rightChars="0" w:firstLine="0" w:firstLineChars="0"/>
              <w:jc w:val="center"/>
              <w:rPr>
                <w:rFonts w:ascii="Arial" w:eastAsia="Arial"/>
                <w:sz w:val="21"/>
                <w:highlight w:val="none"/>
              </w:rPr>
            </w:pPr>
          </w:p>
        </w:tc>
        <w:tc>
          <w:tcPr>
            <w:tcW w:w="1602" w:type="dxa"/>
            <w:vAlign w:val="center"/>
          </w:tcPr>
          <w:p w14:paraId="783F8E2E">
            <w:pPr>
              <w:snapToGrid w:val="0"/>
              <w:ind w:left="0" w:leftChars="0" w:right="0" w:rightChars="0" w:firstLine="0" w:firstLineChars="0"/>
              <w:jc w:val="right"/>
              <w:rPr>
                <w:rFonts w:ascii="Arial" w:eastAsia="Arial"/>
                <w:sz w:val="21"/>
                <w:highlight w:val="none"/>
              </w:rPr>
            </w:pPr>
          </w:p>
        </w:tc>
      </w:tr>
      <w:tr w14:paraId="14BC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44" w:type="dxa"/>
            <w:vAlign w:val="center"/>
          </w:tcPr>
          <w:p w14:paraId="784EE61B">
            <w:pPr>
              <w:pStyle w:val="14"/>
              <w:snapToGrid w:val="0"/>
              <w:spacing w:before="184" w:line="240" w:lineRule="auto"/>
              <w:ind w:left="0" w:leftChars="0" w:right="0" w:rightChars="0" w:firstLine="0" w:firstLineChars="0"/>
              <w:jc w:val="center"/>
              <w:rPr>
                <w:rFonts w:ascii="Arial" w:eastAsia="Arial"/>
                <w:sz w:val="21"/>
                <w:highlight w:val="none"/>
              </w:rPr>
            </w:pPr>
            <w:r>
              <w:rPr>
                <w:rFonts w:ascii="Arial" w:eastAsia="Arial"/>
                <w:sz w:val="21"/>
                <w:highlight w:val="none"/>
              </w:rPr>
              <w:t>3</w:t>
            </w:r>
          </w:p>
        </w:tc>
        <w:tc>
          <w:tcPr>
            <w:tcW w:w="1220" w:type="dxa"/>
            <w:vAlign w:val="center"/>
          </w:tcPr>
          <w:p w14:paraId="424A99D8">
            <w:pPr>
              <w:pStyle w:val="14"/>
              <w:snapToGrid w:val="0"/>
              <w:spacing w:before="165" w:line="240" w:lineRule="auto"/>
              <w:ind w:left="0" w:leftChars="0" w:right="0" w:rightChars="0" w:firstLine="0" w:firstLineChars="0"/>
              <w:jc w:val="center"/>
              <w:rPr>
                <w:rFonts w:ascii="Arial" w:eastAsia="Arial"/>
                <w:sz w:val="21"/>
                <w:highlight w:val="none"/>
              </w:rPr>
            </w:pPr>
            <w:r>
              <w:rPr>
                <w:rFonts w:ascii="Arial" w:eastAsia="Arial"/>
                <w:spacing w:val="-13"/>
                <w:position w:val="3"/>
                <w:sz w:val="21"/>
                <w:highlight w:val="none"/>
              </w:rPr>
              <w:t>……</w:t>
            </w:r>
          </w:p>
        </w:tc>
        <w:tc>
          <w:tcPr>
            <w:tcW w:w="1481" w:type="dxa"/>
            <w:vAlign w:val="center"/>
          </w:tcPr>
          <w:p w14:paraId="47B1E74F">
            <w:pPr>
              <w:snapToGrid w:val="0"/>
              <w:ind w:left="0" w:leftChars="0" w:right="0" w:rightChars="0" w:firstLine="0" w:firstLineChars="0"/>
              <w:jc w:val="center"/>
              <w:rPr>
                <w:rFonts w:ascii="Arial" w:eastAsia="Arial"/>
                <w:sz w:val="21"/>
                <w:highlight w:val="none"/>
              </w:rPr>
            </w:pPr>
          </w:p>
        </w:tc>
        <w:tc>
          <w:tcPr>
            <w:tcW w:w="527" w:type="dxa"/>
            <w:vAlign w:val="center"/>
          </w:tcPr>
          <w:p w14:paraId="64CC1953">
            <w:pPr>
              <w:snapToGrid w:val="0"/>
              <w:ind w:left="0" w:leftChars="0" w:right="0" w:rightChars="0" w:firstLine="0" w:firstLineChars="0"/>
              <w:jc w:val="center"/>
              <w:rPr>
                <w:rFonts w:ascii="Arial" w:eastAsia="Arial"/>
                <w:sz w:val="21"/>
                <w:highlight w:val="none"/>
              </w:rPr>
            </w:pPr>
          </w:p>
        </w:tc>
        <w:tc>
          <w:tcPr>
            <w:tcW w:w="571" w:type="dxa"/>
            <w:vAlign w:val="center"/>
          </w:tcPr>
          <w:p w14:paraId="7ACB70CE">
            <w:pPr>
              <w:snapToGrid w:val="0"/>
              <w:ind w:left="0" w:leftChars="0" w:right="0" w:rightChars="0" w:firstLine="0" w:firstLineChars="0"/>
              <w:jc w:val="center"/>
              <w:rPr>
                <w:rFonts w:ascii="Arial" w:eastAsia="Arial"/>
                <w:sz w:val="21"/>
                <w:highlight w:val="none"/>
              </w:rPr>
            </w:pPr>
          </w:p>
        </w:tc>
        <w:tc>
          <w:tcPr>
            <w:tcW w:w="602" w:type="dxa"/>
            <w:vAlign w:val="center"/>
          </w:tcPr>
          <w:p w14:paraId="4E15E9B3">
            <w:pPr>
              <w:snapToGrid w:val="0"/>
              <w:ind w:left="0" w:leftChars="0" w:right="0" w:rightChars="0" w:firstLine="0" w:firstLineChars="0"/>
              <w:jc w:val="center"/>
              <w:rPr>
                <w:rFonts w:ascii="Arial" w:eastAsia="Arial"/>
                <w:sz w:val="21"/>
                <w:highlight w:val="none"/>
              </w:rPr>
            </w:pPr>
          </w:p>
        </w:tc>
        <w:tc>
          <w:tcPr>
            <w:tcW w:w="1767" w:type="dxa"/>
            <w:vAlign w:val="center"/>
          </w:tcPr>
          <w:p w14:paraId="37413FA2">
            <w:pPr>
              <w:snapToGrid w:val="0"/>
              <w:ind w:left="0" w:leftChars="0" w:right="0" w:rightChars="0" w:firstLine="0" w:firstLineChars="0"/>
              <w:jc w:val="center"/>
              <w:rPr>
                <w:rFonts w:ascii="Arial" w:eastAsia="Arial"/>
                <w:sz w:val="21"/>
                <w:highlight w:val="none"/>
              </w:rPr>
            </w:pPr>
          </w:p>
        </w:tc>
        <w:tc>
          <w:tcPr>
            <w:tcW w:w="1602" w:type="dxa"/>
            <w:vAlign w:val="center"/>
          </w:tcPr>
          <w:p w14:paraId="05D765FE">
            <w:pPr>
              <w:snapToGrid w:val="0"/>
              <w:ind w:left="0" w:leftChars="0" w:right="0" w:rightChars="0" w:firstLine="0" w:firstLineChars="0"/>
              <w:jc w:val="right"/>
              <w:rPr>
                <w:rFonts w:ascii="Arial" w:eastAsia="Arial"/>
                <w:sz w:val="21"/>
                <w:highlight w:val="none"/>
              </w:rPr>
            </w:pPr>
          </w:p>
        </w:tc>
      </w:tr>
    </w:tbl>
    <w:p w14:paraId="7C452EA9">
      <w:pPr>
        <w:spacing w:line="254" w:lineRule="auto"/>
        <w:rPr>
          <w:rFonts w:ascii="Arial"/>
          <w:sz w:val="21"/>
          <w:highlight w:val="none"/>
        </w:rPr>
      </w:pPr>
    </w:p>
    <w:p w14:paraId="13C33752">
      <w:pPr>
        <w:spacing w:line="255" w:lineRule="auto"/>
        <w:rPr>
          <w:rFonts w:ascii="Arial"/>
          <w:sz w:val="21"/>
          <w:highlight w:val="none"/>
        </w:rPr>
      </w:pPr>
    </w:p>
    <w:p w14:paraId="07A49A28">
      <w:pPr>
        <w:pStyle w:val="6"/>
        <w:spacing w:before="79" w:line="351" w:lineRule="auto"/>
        <w:ind w:left="245" w:right="650"/>
        <w:jc w:val="both"/>
        <w:rPr>
          <w:sz w:val="24"/>
          <w:szCs w:val="24"/>
          <w:highlight w:val="none"/>
        </w:rPr>
      </w:pPr>
      <w:r>
        <w:rPr>
          <w:b/>
          <w:bCs/>
          <w:spacing w:val="-3"/>
          <w:sz w:val="24"/>
          <w:szCs w:val="24"/>
          <w:highlight w:val="none"/>
        </w:rPr>
        <w:t>特别说明：投标人应将所投产品中节能、环保产品分别列入上表中，并</w:t>
      </w:r>
      <w:r>
        <w:rPr>
          <w:b/>
          <w:bCs/>
          <w:spacing w:val="-4"/>
          <w:sz w:val="24"/>
          <w:szCs w:val="24"/>
          <w:highlight w:val="none"/>
        </w:rPr>
        <w:t>按本招标文件“第二章投标人须知</w:t>
      </w:r>
      <w:r>
        <w:rPr>
          <w:spacing w:val="-89"/>
          <w:sz w:val="24"/>
          <w:szCs w:val="24"/>
          <w:highlight w:val="none"/>
        </w:rPr>
        <w:t xml:space="preserve"> </w:t>
      </w:r>
      <w:r>
        <w:rPr>
          <w:b/>
          <w:bCs/>
          <w:spacing w:val="-4"/>
          <w:sz w:val="24"/>
          <w:szCs w:val="24"/>
          <w:highlight w:val="none"/>
        </w:rPr>
        <w:t>”提供相关证明材料，未填写本表或未提供有效认</w:t>
      </w:r>
      <w:r>
        <w:rPr>
          <w:b/>
          <w:bCs/>
          <w:spacing w:val="-6"/>
          <w:sz w:val="24"/>
          <w:szCs w:val="24"/>
          <w:highlight w:val="none"/>
        </w:rPr>
        <w:t>证证书的不给予价格扣除。</w:t>
      </w:r>
    </w:p>
    <w:p w14:paraId="5E081394">
      <w:pPr>
        <w:spacing w:line="345" w:lineRule="auto"/>
        <w:rPr>
          <w:rFonts w:ascii="Arial"/>
          <w:sz w:val="21"/>
          <w:highlight w:val="none"/>
        </w:rPr>
      </w:pPr>
    </w:p>
    <w:p w14:paraId="059B9AB4">
      <w:pPr>
        <w:pStyle w:val="6"/>
        <w:spacing w:before="78" w:line="221" w:lineRule="auto"/>
        <w:ind w:left="265"/>
        <w:rPr>
          <w:sz w:val="24"/>
          <w:szCs w:val="24"/>
          <w:highlight w:val="none"/>
        </w:rPr>
      </w:pPr>
      <w:r>
        <w:rPr>
          <w:spacing w:val="-8"/>
          <w:sz w:val="24"/>
          <w:szCs w:val="24"/>
          <w:highlight w:val="none"/>
        </w:rPr>
        <w:t>投标人名称（公章)：</w:t>
      </w:r>
    </w:p>
    <w:p w14:paraId="637C408E">
      <w:pPr>
        <w:pStyle w:val="6"/>
        <w:spacing w:before="203" w:line="223" w:lineRule="auto"/>
        <w:ind w:left="316"/>
        <w:rPr>
          <w:sz w:val="24"/>
          <w:szCs w:val="24"/>
          <w:highlight w:val="none"/>
        </w:rPr>
      </w:pPr>
      <w:r>
        <w:rPr>
          <w:spacing w:val="-28"/>
          <w:sz w:val="24"/>
          <w:szCs w:val="24"/>
          <w:highlight w:val="none"/>
        </w:rPr>
        <w:t>日期：</w:t>
      </w:r>
    </w:p>
    <w:p w14:paraId="6349C484">
      <w:pPr>
        <w:spacing w:line="358" w:lineRule="auto"/>
        <w:rPr>
          <w:rFonts w:hint="eastAsia" w:ascii="Arial" w:eastAsia="宋体"/>
          <w:sz w:val="21"/>
          <w:highlight w:val="none"/>
          <w:lang w:eastAsia="zh-CN"/>
        </w:rPr>
      </w:pPr>
      <w:r>
        <w:rPr>
          <w:rFonts w:hint="eastAsia" w:ascii="Arial" w:eastAsia="宋体"/>
          <w:sz w:val="21"/>
          <w:highlight w:val="none"/>
          <w:lang w:eastAsia="zh-CN"/>
        </w:rPr>
        <w:br w:type="page"/>
      </w:r>
    </w:p>
    <w:p w14:paraId="7F433DEC">
      <w:pPr>
        <w:pStyle w:val="6"/>
        <w:spacing w:before="78" w:line="222" w:lineRule="auto"/>
        <w:ind w:left="61"/>
        <w:outlineLvl w:val="2"/>
        <w:rPr>
          <w:sz w:val="24"/>
          <w:szCs w:val="24"/>
          <w:highlight w:val="none"/>
        </w:rPr>
      </w:pPr>
      <w:r>
        <w:rPr>
          <w:b/>
          <w:bCs/>
          <w:spacing w:val="-7"/>
          <w:sz w:val="24"/>
          <w:szCs w:val="24"/>
          <w:highlight w:val="none"/>
        </w:rPr>
        <w:t>（二）中小企业声明函</w:t>
      </w:r>
    </w:p>
    <w:p w14:paraId="3BBC3911">
      <w:pPr>
        <w:spacing w:line="281" w:lineRule="auto"/>
        <w:rPr>
          <w:rFonts w:ascii="Arial"/>
          <w:sz w:val="21"/>
          <w:highlight w:val="none"/>
        </w:rPr>
      </w:pPr>
    </w:p>
    <w:p w14:paraId="08CD6591">
      <w:pPr>
        <w:spacing w:line="281" w:lineRule="auto"/>
        <w:rPr>
          <w:rFonts w:ascii="Arial"/>
          <w:sz w:val="21"/>
          <w:highlight w:val="none"/>
        </w:rPr>
      </w:pPr>
    </w:p>
    <w:p w14:paraId="6C42BFFF">
      <w:pPr>
        <w:pStyle w:val="6"/>
        <w:spacing w:before="78" w:line="221" w:lineRule="auto"/>
        <w:ind w:left="3305"/>
        <w:outlineLvl w:val="0"/>
        <w:rPr>
          <w:sz w:val="24"/>
          <w:szCs w:val="24"/>
          <w:highlight w:val="none"/>
        </w:rPr>
      </w:pPr>
      <w:r>
        <w:rPr>
          <w:b/>
          <w:bCs/>
          <w:spacing w:val="-6"/>
          <w:sz w:val="24"/>
          <w:szCs w:val="24"/>
          <w:highlight w:val="none"/>
        </w:rPr>
        <w:t>中小企业声明函(货物)</w:t>
      </w:r>
    </w:p>
    <w:p w14:paraId="3B2EF8C0">
      <w:pPr>
        <w:pStyle w:val="6"/>
        <w:tabs>
          <w:tab w:val="left" w:pos="8930"/>
        </w:tabs>
        <w:spacing w:before="179" w:line="273" w:lineRule="auto"/>
        <w:ind w:left="17" w:right="152" w:firstLine="479"/>
        <w:jc w:val="both"/>
        <w:rPr>
          <w:sz w:val="24"/>
          <w:szCs w:val="24"/>
          <w:highlight w:val="none"/>
        </w:rPr>
      </w:pPr>
      <w:r>
        <w:rPr>
          <w:spacing w:val="-1"/>
          <w:sz w:val="24"/>
          <w:szCs w:val="24"/>
          <w:highlight w:val="none"/>
        </w:rPr>
        <w:t>本公司（联合体）郑重声明，根据《政府采购促进中小企业发展管理办法》（财</w:t>
      </w:r>
      <w:r>
        <w:rPr>
          <w:spacing w:val="-7"/>
          <w:sz w:val="24"/>
          <w:szCs w:val="24"/>
          <w:highlight w:val="none"/>
        </w:rPr>
        <w:t>库[</w:t>
      </w:r>
      <w:r>
        <w:rPr>
          <w:highlight w:val="none"/>
        </w:rPr>
        <w:fldChar w:fldCharType="begin"/>
      </w:r>
      <w:r>
        <w:rPr>
          <w:highlight w:val="none"/>
        </w:rPr>
        <w:instrText xml:space="preserve"> HYPERLINK \l "bookmark22" </w:instrText>
      </w:r>
      <w:r>
        <w:rPr>
          <w:highlight w:val="none"/>
        </w:rPr>
        <w:fldChar w:fldCharType="separate"/>
      </w:r>
      <w:r>
        <w:rPr>
          <w:spacing w:val="-7"/>
          <w:sz w:val="24"/>
          <w:szCs w:val="24"/>
          <w:highlight w:val="none"/>
        </w:rPr>
        <w:t>2020</w:t>
      </w:r>
      <w:r>
        <w:rPr>
          <w:spacing w:val="-7"/>
          <w:sz w:val="24"/>
          <w:szCs w:val="24"/>
          <w:highlight w:val="none"/>
        </w:rPr>
        <w:fldChar w:fldCharType="end"/>
      </w:r>
      <w:r>
        <w:rPr>
          <w:spacing w:val="-7"/>
          <w:sz w:val="24"/>
          <w:szCs w:val="24"/>
          <w:highlight w:val="none"/>
        </w:rPr>
        <w:t>]46号）的规定，本公司（联合体）参加</w:t>
      </w:r>
      <w:r>
        <w:rPr>
          <w:b/>
          <w:bCs/>
          <w:i/>
          <w:iCs/>
          <w:spacing w:val="-7"/>
          <w:sz w:val="25"/>
          <w:szCs w:val="25"/>
          <w:highlight w:val="none"/>
          <w:u w:val="single" w:color="auto"/>
        </w:rPr>
        <w:t>（单位名称）</w:t>
      </w:r>
      <w:r>
        <w:rPr>
          <w:spacing w:val="28"/>
          <w:sz w:val="25"/>
          <w:szCs w:val="25"/>
          <w:highlight w:val="none"/>
          <w:u w:val="single" w:color="auto"/>
        </w:rPr>
        <w:t xml:space="preserve">   </w:t>
      </w:r>
      <w:r>
        <w:rPr>
          <w:spacing w:val="-94"/>
          <w:sz w:val="25"/>
          <w:szCs w:val="25"/>
          <w:highlight w:val="none"/>
        </w:rPr>
        <w:t xml:space="preserve"> </w:t>
      </w:r>
      <w:r>
        <w:rPr>
          <w:spacing w:val="-7"/>
          <w:sz w:val="24"/>
          <w:szCs w:val="24"/>
          <w:highlight w:val="none"/>
        </w:rPr>
        <w:t xml:space="preserve">的 </w:t>
      </w:r>
      <w:r>
        <w:rPr>
          <w:b/>
          <w:bCs/>
          <w:i/>
          <w:iCs/>
          <w:spacing w:val="-7"/>
          <w:sz w:val="25"/>
          <w:szCs w:val="25"/>
          <w:highlight w:val="none"/>
          <w:u w:val="single" w:color="auto"/>
        </w:rPr>
        <w:t>（项目名称）</w:t>
      </w:r>
      <w:r>
        <w:rPr>
          <w:spacing w:val="-1"/>
          <w:sz w:val="24"/>
          <w:szCs w:val="24"/>
          <w:highlight w:val="none"/>
        </w:rPr>
        <w:t>采购活动，提供的货物全部由符合政策要求的中小企业制造。相关企业（含联合体中的中小企业、签订分包意向协议的中小企业）的具体情况如下：</w:t>
      </w:r>
    </w:p>
    <w:p w14:paraId="496EBE40">
      <w:pPr>
        <w:pStyle w:val="6"/>
        <w:spacing w:before="93" w:line="323" w:lineRule="auto"/>
        <w:ind w:left="17" w:firstLine="488"/>
        <w:rPr>
          <w:sz w:val="24"/>
          <w:szCs w:val="24"/>
          <w:highlight w:val="none"/>
        </w:rPr>
      </w:pPr>
      <w:r>
        <w:rPr>
          <w:spacing w:val="-2"/>
          <w:sz w:val="24"/>
          <w:szCs w:val="24"/>
          <w:highlight w:val="none"/>
        </w:rPr>
        <w:t xml:space="preserve">1. </w:t>
      </w:r>
      <w:r>
        <w:rPr>
          <w:spacing w:val="120"/>
          <w:sz w:val="24"/>
          <w:szCs w:val="24"/>
          <w:highlight w:val="none"/>
          <w:u w:val="single" w:color="auto"/>
        </w:rPr>
        <w:t xml:space="preserve"> </w:t>
      </w:r>
      <w:r>
        <w:rPr>
          <w:b/>
          <w:bCs/>
          <w:spacing w:val="-2"/>
          <w:sz w:val="24"/>
          <w:szCs w:val="24"/>
          <w:highlight w:val="none"/>
          <w:u w:val="single" w:color="auto"/>
        </w:rPr>
        <w:t>（标的名称）见附表</w:t>
      </w:r>
      <w:r>
        <w:rPr>
          <w:spacing w:val="-2"/>
          <w:sz w:val="24"/>
          <w:szCs w:val="24"/>
          <w:highlight w:val="none"/>
        </w:rPr>
        <w:t>，属于</w:t>
      </w:r>
      <w:r>
        <w:rPr>
          <w:spacing w:val="60"/>
          <w:sz w:val="24"/>
          <w:szCs w:val="24"/>
          <w:highlight w:val="none"/>
          <w:u w:val="single" w:color="auto"/>
        </w:rPr>
        <w:t xml:space="preserve">  </w:t>
      </w:r>
      <w:r>
        <w:rPr>
          <w:b/>
          <w:bCs/>
          <w:spacing w:val="-2"/>
          <w:sz w:val="24"/>
          <w:szCs w:val="24"/>
          <w:highlight w:val="none"/>
          <w:u w:val="single" w:color="auto"/>
        </w:rPr>
        <w:t>（请填写采购文件中明确的所属行</w:t>
      </w:r>
      <w:r>
        <w:rPr>
          <w:b/>
          <w:bCs/>
          <w:spacing w:val="-3"/>
          <w:sz w:val="24"/>
          <w:szCs w:val="24"/>
          <w:highlight w:val="none"/>
          <w:u w:val="single" w:color="auto"/>
        </w:rPr>
        <w:t>业）见附表</w:t>
      </w:r>
      <w:r>
        <w:rPr>
          <w:spacing w:val="-3"/>
          <w:sz w:val="24"/>
          <w:szCs w:val="24"/>
          <w:highlight w:val="none"/>
        </w:rPr>
        <w:t>；制造商为</w:t>
      </w:r>
      <w:r>
        <w:rPr>
          <w:spacing w:val="-3"/>
          <w:sz w:val="24"/>
          <w:szCs w:val="24"/>
          <w:highlight w:val="none"/>
          <w:u w:val="single" w:color="auto"/>
        </w:rPr>
        <w:t xml:space="preserve">   </w:t>
      </w:r>
      <w:r>
        <w:rPr>
          <w:b/>
          <w:bCs/>
          <w:spacing w:val="-3"/>
          <w:sz w:val="24"/>
          <w:szCs w:val="24"/>
          <w:highlight w:val="none"/>
          <w:u w:val="single" w:color="auto"/>
        </w:rPr>
        <w:t>（企业名称）见附表</w:t>
      </w:r>
      <w:r>
        <w:rPr>
          <w:spacing w:val="36"/>
          <w:sz w:val="24"/>
          <w:szCs w:val="24"/>
          <w:highlight w:val="none"/>
          <w:u w:val="single" w:color="auto"/>
        </w:rPr>
        <w:t xml:space="preserve"> </w:t>
      </w:r>
      <w:r>
        <w:rPr>
          <w:spacing w:val="-3"/>
          <w:sz w:val="24"/>
          <w:szCs w:val="24"/>
          <w:highlight w:val="none"/>
        </w:rPr>
        <w:t>，从业人员</w:t>
      </w:r>
      <w:r>
        <w:rPr>
          <w:b/>
          <w:bCs/>
          <w:spacing w:val="-4"/>
          <w:sz w:val="24"/>
          <w:szCs w:val="24"/>
          <w:highlight w:val="none"/>
          <w:u w:val="single" w:color="auto"/>
        </w:rPr>
        <w:t>见附表</w:t>
      </w:r>
      <w:r>
        <w:rPr>
          <w:spacing w:val="-4"/>
          <w:sz w:val="24"/>
          <w:szCs w:val="24"/>
          <w:highlight w:val="none"/>
        </w:rPr>
        <w:t>人，营业收入为</w:t>
      </w:r>
      <w:r>
        <w:rPr>
          <w:b/>
          <w:bCs/>
          <w:spacing w:val="-4"/>
          <w:sz w:val="24"/>
          <w:szCs w:val="24"/>
          <w:highlight w:val="none"/>
          <w:u w:val="single" w:color="auto"/>
        </w:rPr>
        <w:t>见附表</w:t>
      </w:r>
      <w:r>
        <w:rPr>
          <w:spacing w:val="-4"/>
          <w:sz w:val="24"/>
          <w:szCs w:val="24"/>
          <w:highlight w:val="none"/>
        </w:rPr>
        <w:t>万元，</w:t>
      </w:r>
      <w:r>
        <w:rPr>
          <w:spacing w:val="-2"/>
          <w:sz w:val="24"/>
          <w:szCs w:val="24"/>
          <w:highlight w:val="none"/>
        </w:rPr>
        <w:t>资产总额为</w:t>
      </w:r>
      <w:r>
        <w:rPr>
          <w:b/>
          <w:bCs/>
          <w:spacing w:val="-2"/>
          <w:sz w:val="24"/>
          <w:szCs w:val="24"/>
          <w:highlight w:val="none"/>
          <w:u w:val="single" w:color="auto"/>
        </w:rPr>
        <w:t>见附表</w:t>
      </w:r>
      <w:r>
        <w:rPr>
          <w:spacing w:val="-2"/>
          <w:sz w:val="24"/>
          <w:szCs w:val="24"/>
          <w:highlight w:val="none"/>
        </w:rPr>
        <w:t>万元，属于</w:t>
      </w:r>
      <w:r>
        <w:rPr>
          <w:b/>
          <w:bCs/>
          <w:spacing w:val="-2"/>
          <w:sz w:val="24"/>
          <w:szCs w:val="24"/>
          <w:highlight w:val="none"/>
          <w:u w:val="single" w:color="auto"/>
        </w:rPr>
        <w:t>（中型企业、小型企业、微型企业）见附表</w:t>
      </w:r>
      <w:r>
        <w:rPr>
          <w:spacing w:val="-2"/>
          <w:sz w:val="24"/>
          <w:szCs w:val="24"/>
          <w:highlight w:val="none"/>
        </w:rPr>
        <w:t>；</w:t>
      </w:r>
    </w:p>
    <w:p w14:paraId="44EB4A71">
      <w:pPr>
        <w:pStyle w:val="6"/>
        <w:spacing w:before="3" w:line="323" w:lineRule="auto"/>
        <w:ind w:left="17" w:firstLine="473"/>
        <w:rPr>
          <w:sz w:val="24"/>
          <w:szCs w:val="24"/>
          <w:highlight w:val="none"/>
        </w:rPr>
      </w:pPr>
      <w:r>
        <w:rPr>
          <w:spacing w:val="-2"/>
          <w:sz w:val="24"/>
          <w:szCs w:val="24"/>
          <w:highlight w:val="none"/>
        </w:rPr>
        <w:t xml:space="preserve">2. </w:t>
      </w:r>
      <w:r>
        <w:rPr>
          <w:spacing w:val="131"/>
          <w:sz w:val="24"/>
          <w:szCs w:val="24"/>
          <w:highlight w:val="none"/>
          <w:u w:val="single" w:color="auto"/>
        </w:rPr>
        <w:t xml:space="preserve"> </w:t>
      </w:r>
      <w:r>
        <w:rPr>
          <w:b/>
          <w:bCs/>
          <w:spacing w:val="-2"/>
          <w:sz w:val="24"/>
          <w:szCs w:val="24"/>
          <w:highlight w:val="none"/>
          <w:u w:val="single" w:color="auto"/>
        </w:rPr>
        <w:t>（标的名称）见附表</w:t>
      </w:r>
      <w:r>
        <w:rPr>
          <w:spacing w:val="-2"/>
          <w:sz w:val="24"/>
          <w:szCs w:val="24"/>
          <w:highlight w:val="none"/>
        </w:rPr>
        <w:t>，属于</w:t>
      </w:r>
      <w:r>
        <w:rPr>
          <w:spacing w:val="60"/>
          <w:sz w:val="24"/>
          <w:szCs w:val="24"/>
          <w:highlight w:val="none"/>
          <w:u w:val="single" w:color="auto"/>
        </w:rPr>
        <w:t xml:space="preserve">  </w:t>
      </w:r>
      <w:r>
        <w:rPr>
          <w:b/>
          <w:bCs/>
          <w:spacing w:val="-2"/>
          <w:sz w:val="24"/>
          <w:szCs w:val="24"/>
          <w:highlight w:val="none"/>
          <w:u w:val="single" w:color="auto"/>
        </w:rPr>
        <w:t>（请填写采购文件中明确的所属行业）见附</w:t>
      </w:r>
      <w:r>
        <w:rPr>
          <w:b/>
          <w:bCs/>
          <w:spacing w:val="-3"/>
          <w:sz w:val="24"/>
          <w:szCs w:val="24"/>
          <w:highlight w:val="none"/>
          <w:u w:val="single" w:color="auto"/>
        </w:rPr>
        <w:t>表</w:t>
      </w:r>
      <w:r>
        <w:rPr>
          <w:spacing w:val="-3"/>
          <w:sz w:val="24"/>
          <w:szCs w:val="24"/>
          <w:highlight w:val="none"/>
        </w:rPr>
        <w:t>；制造商为</w:t>
      </w:r>
      <w:r>
        <w:rPr>
          <w:spacing w:val="-3"/>
          <w:sz w:val="24"/>
          <w:szCs w:val="24"/>
          <w:highlight w:val="none"/>
          <w:u w:val="single" w:color="auto"/>
        </w:rPr>
        <w:t xml:space="preserve">   </w:t>
      </w:r>
      <w:r>
        <w:rPr>
          <w:b/>
          <w:bCs/>
          <w:spacing w:val="-3"/>
          <w:sz w:val="24"/>
          <w:szCs w:val="24"/>
          <w:highlight w:val="none"/>
          <w:u w:val="single" w:color="auto"/>
        </w:rPr>
        <w:t>（企业名称）见附表</w:t>
      </w:r>
      <w:r>
        <w:rPr>
          <w:spacing w:val="36"/>
          <w:sz w:val="24"/>
          <w:szCs w:val="24"/>
          <w:highlight w:val="none"/>
          <w:u w:val="single" w:color="auto"/>
        </w:rPr>
        <w:t xml:space="preserve"> </w:t>
      </w:r>
      <w:r>
        <w:rPr>
          <w:spacing w:val="-3"/>
          <w:sz w:val="24"/>
          <w:szCs w:val="24"/>
          <w:highlight w:val="none"/>
        </w:rPr>
        <w:t>，从业人员</w:t>
      </w:r>
      <w:r>
        <w:rPr>
          <w:b/>
          <w:bCs/>
          <w:spacing w:val="-4"/>
          <w:sz w:val="24"/>
          <w:szCs w:val="24"/>
          <w:highlight w:val="none"/>
          <w:u w:val="single" w:color="auto"/>
        </w:rPr>
        <w:t>见附表</w:t>
      </w:r>
      <w:r>
        <w:rPr>
          <w:spacing w:val="-4"/>
          <w:sz w:val="24"/>
          <w:szCs w:val="24"/>
          <w:highlight w:val="none"/>
        </w:rPr>
        <w:t>人，营业收入为</w:t>
      </w:r>
      <w:r>
        <w:rPr>
          <w:b/>
          <w:bCs/>
          <w:spacing w:val="-4"/>
          <w:sz w:val="24"/>
          <w:szCs w:val="24"/>
          <w:highlight w:val="none"/>
          <w:u w:val="single" w:color="auto"/>
        </w:rPr>
        <w:t>见附表</w:t>
      </w:r>
      <w:r>
        <w:rPr>
          <w:spacing w:val="-4"/>
          <w:sz w:val="24"/>
          <w:szCs w:val="24"/>
          <w:highlight w:val="none"/>
        </w:rPr>
        <w:t>万元，</w:t>
      </w:r>
      <w:r>
        <w:rPr>
          <w:spacing w:val="-2"/>
          <w:sz w:val="24"/>
          <w:szCs w:val="24"/>
          <w:highlight w:val="none"/>
        </w:rPr>
        <w:t>资产总额为</w:t>
      </w:r>
      <w:r>
        <w:rPr>
          <w:b/>
          <w:bCs/>
          <w:spacing w:val="-2"/>
          <w:sz w:val="24"/>
          <w:szCs w:val="24"/>
          <w:highlight w:val="none"/>
          <w:u w:val="single" w:color="auto"/>
        </w:rPr>
        <w:t>见附表</w:t>
      </w:r>
      <w:r>
        <w:rPr>
          <w:spacing w:val="-2"/>
          <w:sz w:val="24"/>
          <w:szCs w:val="24"/>
          <w:highlight w:val="none"/>
        </w:rPr>
        <w:t>万元，属于</w:t>
      </w:r>
      <w:r>
        <w:rPr>
          <w:b/>
          <w:bCs/>
          <w:spacing w:val="-2"/>
          <w:sz w:val="24"/>
          <w:szCs w:val="24"/>
          <w:highlight w:val="none"/>
          <w:u w:val="single" w:color="auto"/>
        </w:rPr>
        <w:t>（中型企业、小型企业、微型企业）见附表</w:t>
      </w:r>
      <w:r>
        <w:rPr>
          <w:spacing w:val="-2"/>
          <w:sz w:val="24"/>
          <w:szCs w:val="24"/>
          <w:highlight w:val="none"/>
        </w:rPr>
        <w:t>；</w:t>
      </w:r>
    </w:p>
    <w:p w14:paraId="75487D35">
      <w:pPr>
        <w:pStyle w:val="6"/>
        <w:spacing w:before="179" w:line="383" w:lineRule="exact"/>
        <w:ind w:left="505"/>
        <w:rPr>
          <w:sz w:val="24"/>
          <w:szCs w:val="24"/>
          <w:highlight w:val="none"/>
        </w:rPr>
      </w:pPr>
      <w:r>
        <w:rPr>
          <w:spacing w:val="-13"/>
          <w:position w:val="3"/>
          <w:sz w:val="24"/>
          <w:szCs w:val="24"/>
          <w:highlight w:val="none"/>
        </w:rPr>
        <w:t>……</w:t>
      </w:r>
    </w:p>
    <w:p w14:paraId="16BD4E85">
      <w:pPr>
        <w:pStyle w:val="6"/>
        <w:spacing w:before="200" w:line="275" w:lineRule="auto"/>
        <w:ind w:left="17" w:right="171" w:firstLine="502"/>
        <w:rPr>
          <w:sz w:val="24"/>
          <w:szCs w:val="24"/>
          <w:highlight w:val="none"/>
        </w:rPr>
      </w:pPr>
      <w:r>
        <w:rPr>
          <w:b/>
          <w:bCs/>
          <w:spacing w:val="-3"/>
          <w:sz w:val="24"/>
          <w:szCs w:val="24"/>
          <w:highlight w:val="none"/>
        </w:rPr>
        <w:t>以上企业，不属于大企业的分支机构，不存在控股股东为大企业的情形，也不存在与大企业的负责人为同一人的情形。</w:t>
      </w:r>
    </w:p>
    <w:p w14:paraId="06438791">
      <w:pPr>
        <w:pStyle w:val="6"/>
        <w:spacing w:before="279" w:line="220" w:lineRule="auto"/>
        <w:ind w:left="496"/>
        <w:rPr>
          <w:sz w:val="24"/>
          <w:szCs w:val="24"/>
          <w:highlight w:val="none"/>
        </w:rPr>
      </w:pPr>
      <w:r>
        <w:rPr>
          <w:spacing w:val="-1"/>
          <w:sz w:val="24"/>
          <w:szCs w:val="24"/>
          <w:highlight w:val="none"/>
        </w:rPr>
        <w:t>本企业对上述声明内容的真实性负责。如有虚假，将依法承担相应责任。</w:t>
      </w:r>
    </w:p>
    <w:p w14:paraId="761D6CEF">
      <w:pPr>
        <w:pStyle w:val="6"/>
        <w:spacing w:before="295" w:line="221" w:lineRule="auto"/>
        <w:ind w:left="3136"/>
        <w:rPr>
          <w:sz w:val="24"/>
          <w:szCs w:val="24"/>
          <w:highlight w:val="none"/>
        </w:rPr>
      </w:pPr>
      <w:r>
        <w:rPr>
          <w:spacing w:val="-3"/>
          <w:sz w:val="24"/>
          <w:szCs w:val="24"/>
          <w:highlight w:val="none"/>
        </w:rPr>
        <w:t>企业名称（盖章</w:t>
      </w:r>
      <w:r>
        <w:rPr>
          <w:spacing w:val="1"/>
          <w:sz w:val="24"/>
          <w:szCs w:val="24"/>
          <w:highlight w:val="none"/>
        </w:rPr>
        <w:t>）：</w:t>
      </w:r>
    </w:p>
    <w:p w14:paraId="3FCC52C7">
      <w:pPr>
        <w:pStyle w:val="6"/>
        <w:spacing w:before="291" w:line="223" w:lineRule="auto"/>
        <w:ind w:left="3186"/>
        <w:rPr>
          <w:sz w:val="24"/>
          <w:szCs w:val="24"/>
          <w:highlight w:val="none"/>
        </w:rPr>
      </w:pPr>
      <w:r>
        <w:rPr>
          <w:spacing w:val="-23"/>
          <w:sz w:val="24"/>
          <w:szCs w:val="24"/>
          <w:highlight w:val="none"/>
        </w:rPr>
        <w:t>日期：</w:t>
      </w:r>
    </w:p>
    <w:p w14:paraId="0A972619">
      <w:pPr>
        <w:pStyle w:val="6"/>
        <w:spacing w:before="290" w:line="326" w:lineRule="auto"/>
        <w:ind w:left="14" w:right="228" w:firstLine="425"/>
        <w:jc w:val="both"/>
        <w:rPr>
          <w:sz w:val="20"/>
          <w:szCs w:val="20"/>
          <w:highlight w:val="none"/>
        </w:rPr>
      </w:pPr>
      <w:r>
        <w:rPr>
          <w:b/>
          <w:bCs/>
          <w:spacing w:val="8"/>
          <w:sz w:val="20"/>
          <w:szCs w:val="20"/>
          <w:highlight w:val="none"/>
        </w:rPr>
        <w:t>注1：本项目标的种类多，为了不错报漏报，请供应商按本中小企业声明函(</w:t>
      </w:r>
      <w:r>
        <w:rPr>
          <w:b/>
          <w:bCs/>
          <w:spacing w:val="7"/>
          <w:sz w:val="20"/>
          <w:szCs w:val="20"/>
          <w:highlight w:val="none"/>
        </w:rPr>
        <w:t>货物)格式要求</w:t>
      </w:r>
      <w:r>
        <w:rPr>
          <w:b/>
          <w:bCs/>
          <w:spacing w:val="8"/>
          <w:sz w:val="20"/>
          <w:szCs w:val="20"/>
          <w:highlight w:val="none"/>
        </w:rPr>
        <w:t>填报单位名称、项目名称并盖章确认后，在后附表中填报中小企业声明函中的相关信息（在政采</w:t>
      </w:r>
      <w:r>
        <w:rPr>
          <w:b/>
          <w:bCs/>
          <w:spacing w:val="6"/>
          <w:sz w:val="20"/>
          <w:szCs w:val="20"/>
          <w:highlight w:val="none"/>
        </w:rPr>
        <w:t>云平台上传该内容时也应一并上传完整）。</w:t>
      </w:r>
    </w:p>
    <w:p w14:paraId="0BD50645">
      <w:pPr>
        <w:pStyle w:val="6"/>
        <w:spacing w:before="3" w:line="326" w:lineRule="auto"/>
        <w:ind w:left="14" w:right="67" w:firstLine="425"/>
        <w:rPr>
          <w:sz w:val="20"/>
          <w:szCs w:val="20"/>
          <w:highlight w:val="none"/>
        </w:rPr>
      </w:pPr>
      <w:r>
        <w:rPr>
          <w:b/>
          <w:bCs/>
          <w:spacing w:val="8"/>
          <w:sz w:val="20"/>
          <w:szCs w:val="20"/>
          <w:highlight w:val="none"/>
        </w:rPr>
        <w:t>注2：投标人应当对其出具的《中小企业声明函》真实性负责，投标人出具的《中小企业声</w:t>
      </w:r>
      <w:r>
        <w:rPr>
          <w:sz w:val="20"/>
          <w:szCs w:val="20"/>
          <w:highlight w:val="none"/>
        </w:rPr>
        <w:t xml:space="preserve"> </w:t>
      </w:r>
      <w:r>
        <w:rPr>
          <w:b/>
          <w:bCs/>
          <w:spacing w:val="7"/>
          <w:sz w:val="20"/>
          <w:szCs w:val="20"/>
          <w:highlight w:val="none"/>
        </w:rPr>
        <w:t>明函》</w:t>
      </w:r>
      <w:r>
        <w:rPr>
          <w:spacing w:val="-45"/>
          <w:sz w:val="20"/>
          <w:szCs w:val="20"/>
          <w:highlight w:val="none"/>
        </w:rPr>
        <w:t xml:space="preserve"> </w:t>
      </w:r>
      <w:r>
        <w:rPr>
          <w:b/>
          <w:bCs/>
          <w:spacing w:val="7"/>
          <w:sz w:val="20"/>
          <w:szCs w:val="20"/>
          <w:highlight w:val="none"/>
        </w:rPr>
        <w:t>内容不实的，属于提供虚假材料谋取中标。投标人希望获得规定政策支持的，应从制造商处获得充分、准确的信息。对相关制造商信息了解不充分，或者不能确定相关信息真实、准确的，</w:t>
      </w:r>
      <w:r>
        <w:rPr>
          <w:b/>
          <w:bCs/>
          <w:spacing w:val="6"/>
          <w:sz w:val="20"/>
          <w:szCs w:val="20"/>
          <w:highlight w:val="none"/>
        </w:rPr>
        <w:t>不建议出具《中小企业声明函》。</w:t>
      </w:r>
    </w:p>
    <w:p w14:paraId="05A88165">
      <w:pPr>
        <w:pStyle w:val="6"/>
        <w:spacing w:before="2" w:line="326" w:lineRule="auto"/>
        <w:ind w:left="18" w:right="336" w:firstLine="420"/>
        <w:rPr>
          <w:sz w:val="20"/>
          <w:szCs w:val="20"/>
          <w:highlight w:val="none"/>
        </w:rPr>
      </w:pPr>
      <w:r>
        <w:rPr>
          <w:b/>
          <w:bCs/>
          <w:spacing w:val="8"/>
          <w:sz w:val="20"/>
          <w:szCs w:val="20"/>
          <w:highlight w:val="none"/>
        </w:rPr>
        <w:t>注3：从业人员、营业收入、资产总额填报上一年度数据，无上一年度数据的新成立企业可</w:t>
      </w:r>
      <w:r>
        <w:rPr>
          <w:b/>
          <w:bCs/>
          <w:spacing w:val="1"/>
          <w:sz w:val="20"/>
          <w:szCs w:val="20"/>
          <w:highlight w:val="none"/>
        </w:rPr>
        <w:t>不填报。</w:t>
      </w:r>
    </w:p>
    <w:p w14:paraId="300A5DF2">
      <w:pPr>
        <w:pStyle w:val="6"/>
        <w:spacing w:before="2" w:line="326" w:lineRule="auto"/>
        <w:ind w:left="13" w:right="334" w:firstLine="425"/>
        <w:jc w:val="both"/>
        <w:rPr>
          <w:sz w:val="20"/>
          <w:szCs w:val="20"/>
          <w:highlight w:val="none"/>
        </w:rPr>
      </w:pPr>
      <w:r>
        <w:rPr>
          <w:b/>
          <w:bCs/>
          <w:spacing w:val="8"/>
          <w:sz w:val="20"/>
          <w:szCs w:val="20"/>
          <w:highlight w:val="none"/>
        </w:rPr>
        <w:t>注4：为方便广大中小企业、政府部门和社会公众识别企业规模类型，工业和信息化部组织开发了中小企业规模类型自测小程序，并于2020</w:t>
      </w:r>
      <w:r>
        <w:rPr>
          <w:b/>
          <w:bCs/>
          <w:spacing w:val="7"/>
          <w:sz w:val="20"/>
          <w:szCs w:val="20"/>
          <w:highlight w:val="none"/>
        </w:rPr>
        <w:t>年2月27日上线运行，在国务院客户端和工业和</w:t>
      </w:r>
      <w:r>
        <w:rPr>
          <w:b/>
          <w:bCs/>
          <w:spacing w:val="6"/>
          <w:sz w:val="20"/>
          <w:szCs w:val="20"/>
          <w:highlight w:val="none"/>
        </w:rPr>
        <w:t>信息化部网站上均有链接。</w:t>
      </w:r>
    </w:p>
    <w:p w14:paraId="739E638F">
      <w:pPr>
        <w:spacing w:line="298" w:lineRule="auto"/>
        <w:rPr>
          <w:rFonts w:hint="eastAsia" w:ascii="Arial" w:eastAsia="宋体"/>
          <w:sz w:val="21"/>
          <w:highlight w:val="none"/>
          <w:lang w:eastAsia="zh-CN"/>
        </w:rPr>
      </w:pPr>
      <w:r>
        <w:rPr>
          <w:rFonts w:hint="eastAsia" w:ascii="Arial" w:eastAsia="宋体"/>
          <w:sz w:val="21"/>
          <w:highlight w:val="none"/>
          <w:lang w:eastAsia="zh-CN"/>
        </w:rPr>
        <w:br w:type="page"/>
      </w:r>
    </w:p>
    <w:p w14:paraId="11D3C32E">
      <w:pPr>
        <w:pStyle w:val="6"/>
        <w:spacing w:before="78" w:line="222" w:lineRule="auto"/>
        <w:ind w:left="66"/>
        <w:rPr>
          <w:sz w:val="24"/>
          <w:szCs w:val="24"/>
          <w:highlight w:val="none"/>
        </w:rPr>
      </w:pPr>
      <w:r>
        <w:rPr>
          <w:b/>
          <w:bCs/>
          <w:spacing w:val="-16"/>
          <w:sz w:val="24"/>
          <w:szCs w:val="24"/>
          <w:highlight w:val="none"/>
        </w:rPr>
        <w:t>附件1</w:t>
      </w:r>
    </w:p>
    <w:p w14:paraId="08FEE4E4">
      <w:pPr>
        <w:pStyle w:val="6"/>
        <w:spacing w:before="176" w:line="222" w:lineRule="auto"/>
        <w:ind w:left="486"/>
        <w:rPr>
          <w:sz w:val="24"/>
          <w:szCs w:val="24"/>
          <w:highlight w:val="none"/>
        </w:rPr>
      </w:pPr>
      <w:r>
        <w:rPr>
          <w:b/>
          <w:bCs/>
          <w:spacing w:val="-12"/>
          <w:sz w:val="24"/>
          <w:szCs w:val="24"/>
          <w:highlight w:val="none"/>
        </w:rPr>
        <w:t>（一）关于“</w:t>
      </w:r>
      <w:r>
        <w:rPr>
          <w:spacing w:val="-65"/>
          <w:sz w:val="24"/>
          <w:szCs w:val="24"/>
          <w:highlight w:val="none"/>
        </w:rPr>
        <w:t xml:space="preserve"> </w:t>
      </w:r>
      <w:r>
        <w:rPr>
          <w:b/>
          <w:bCs/>
          <w:spacing w:val="-12"/>
          <w:sz w:val="24"/>
          <w:szCs w:val="24"/>
          <w:highlight w:val="none"/>
        </w:rPr>
        <w:t>中小企业声明函”的填写要求</w:t>
      </w:r>
    </w:p>
    <w:p w14:paraId="0A2582D8">
      <w:pPr>
        <w:pStyle w:val="6"/>
        <w:spacing w:before="179" w:line="222" w:lineRule="auto"/>
        <w:ind w:left="346"/>
        <w:rPr>
          <w:sz w:val="24"/>
          <w:szCs w:val="24"/>
          <w:highlight w:val="none"/>
        </w:rPr>
      </w:pPr>
      <w:r>
        <w:rPr>
          <w:spacing w:val="-9"/>
          <w:sz w:val="24"/>
          <w:szCs w:val="24"/>
          <w:highlight w:val="none"/>
        </w:rPr>
        <w:t>“</w:t>
      </w:r>
      <w:r>
        <w:rPr>
          <w:spacing w:val="-66"/>
          <w:sz w:val="24"/>
          <w:szCs w:val="24"/>
          <w:highlight w:val="none"/>
        </w:rPr>
        <w:t xml:space="preserve"> </w:t>
      </w:r>
      <w:r>
        <w:rPr>
          <w:spacing w:val="-9"/>
          <w:sz w:val="24"/>
          <w:szCs w:val="24"/>
          <w:highlight w:val="none"/>
        </w:rPr>
        <w:t>中小企业声明函”具体填写要求如下：</w:t>
      </w:r>
    </w:p>
    <w:p w14:paraId="369A742F">
      <w:pPr>
        <w:pStyle w:val="6"/>
        <w:spacing w:before="176" w:line="221" w:lineRule="auto"/>
        <w:ind w:left="386"/>
        <w:rPr>
          <w:sz w:val="24"/>
          <w:szCs w:val="24"/>
          <w:highlight w:val="none"/>
        </w:rPr>
      </w:pPr>
      <w:r>
        <w:rPr>
          <w:spacing w:val="-7"/>
          <w:sz w:val="24"/>
          <w:szCs w:val="24"/>
          <w:highlight w:val="none"/>
        </w:rPr>
        <w:t>1.“单位名称</w:t>
      </w:r>
      <w:r>
        <w:rPr>
          <w:spacing w:val="-89"/>
          <w:sz w:val="24"/>
          <w:szCs w:val="24"/>
          <w:highlight w:val="none"/>
        </w:rPr>
        <w:t xml:space="preserve"> </w:t>
      </w:r>
      <w:r>
        <w:rPr>
          <w:spacing w:val="-7"/>
          <w:sz w:val="24"/>
          <w:szCs w:val="24"/>
          <w:highlight w:val="none"/>
        </w:rPr>
        <w:t>”应填写采购人名称。</w:t>
      </w:r>
    </w:p>
    <w:p w14:paraId="58611C70">
      <w:pPr>
        <w:pStyle w:val="6"/>
        <w:spacing w:before="180" w:line="359" w:lineRule="auto"/>
        <w:ind w:left="15" w:right="270" w:firstLine="355"/>
        <w:rPr>
          <w:sz w:val="24"/>
          <w:szCs w:val="24"/>
          <w:highlight w:val="none"/>
        </w:rPr>
      </w:pPr>
      <w:r>
        <w:rPr>
          <w:spacing w:val="-3"/>
          <w:sz w:val="24"/>
          <w:szCs w:val="24"/>
          <w:highlight w:val="none"/>
        </w:rPr>
        <w:t>2.“项目名称</w:t>
      </w:r>
      <w:r>
        <w:rPr>
          <w:spacing w:val="-87"/>
          <w:sz w:val="24"/>
          <w:szCs w:val="24"/>
          <w:highlight w:val="none"/>
        </w:rPr>
        <w:t xml:space="preserve"> </w:t>
      </w:r>
      <w:r>
        <w:rPr>
          <w:spacing w:val="-3"/>
          <w:sz w:val="24"/>
          <w:szCs w:val="24"/>
          <w:highlight w:val="none"/>
        </w:rPr>
        <w:t>”应按照采购文件中确定的项目名称填写。对于分包方式面向中小</w:t>
      </w:r>
      <w:r>
        <w:rPr>
          <w:spacing w:val="1"/>
          <w:sz w:val="24"/>
          <w:szCs w:val="24"/>
          <w:highlight w:val="none"/>
        </w:rPr>
        <w:t>企业采购的项目，应标明中小企业的具体分包内容；对于以联合体方式面向中小企</w:t>
      </w:r>
      <w:r>
        <w:rPr>
          <w:spacing w:val="-2"/>
          <w:sz w:val="24"/>
          <w:szCs w:val="24"/>
          <w:highlight w:val="none"/>
        </w:rPr>
        <w:t>业采购的项目，应标明联合体中中小企业所承担的具体内容。</w:t>
      </w:r>
    </w:p>
    <w:p w14:paraId="76E3D393">
      <w:pPr>
        <w:pStyle w:val="6"/>
        <w:spacing w:line="359" w:lineRule="auto"/>
        <w:ind w:left="15" w:right="61" w:firstLine="357"/>
        <w:rPr>
          <w:sz w:val="24"/>
          <w:szCs w:val="24"/>
          <w:highlight w:val="none"/>
        </w:rPr>
      </w:pPr>
      <w:r>
        <w:rPr>
          <w:spacing w:val="-4"/>
          <w:sz w:val="24"/>
          <w:szCs w:val="24"/>
          <w:highlight w:val="none"/>
        </w:rPr>
        <w:t>3.“标的名称</w:t>
      </w:r>
      <w:r>
        <w:rPr>
          <w:spacing w:val="-80"/>
          <w:sz w:val="24"/>
          <w:szCs w:val="24"/>
          <w:highlight w:val="none"/>
        </w:rPr>
        <w:t xml:space="preserve"> </w:t>
      </w:r>
      <w:r>
        <w:rPr>
          <w:spacing w:val="-4"/>
          <w:sz w:val="24"/>
          <w:szCs w:val="24"/>
          <w:highlight w:val="none"/>
        </w:rPr>
        <w:t>”应填写采购文件中细化载明的采购标的名称。对于分包方式面向中</w:t>
      </w:r>
      <w:r>
        <w:rPr>
          <w:spacing w:val="-1"/>
          <w:sz w:val="24"/>
          <w:szCs w:val="24"/>
          <w:highlight w:val="none"/>
        </w:rPr>
        <w:t>小企业采购的项目，“标的名称</w:t>
      </w:r>
      <w:r>
        <w:rPr>
          <w:spacing w:val="-79"/>
          <w:sz w:val="24"/>
          <w:szCs w:val="24"/>
          <w:highlight w:val="none"/>
        </w:rPr>
        <w:t xml:space="preserve"> </w:t>
      </w:r>
      <w:r>
        <w:rPr>
          <w:spacing w:val="-1"/>
          <w:sz w:val="24"/>
          <w:szCs w:val="24"/>
          <w:highlight w:val="none"/>
        </w:rPr>
        <w:t>”应填写采购文件中注明的分包给中小企业的采购标</w:t>
      </w:r>
      <w:r>
        <w:rPr>
          <w:spacing w:val="6"/>
          <w:sz w:val="24"/>
          <w:szCs w:val="24"/>
          <w:highlight w:val="none"/>
        </w:rPr>
        <w:t>的名称；对于以联合体方式面向中小企业采购的项目</w:t>
      </w:r>
      <w:r>
        <w:rPr>
          <w:spacing w:val="5"/>
          <w:sz w:val="24"/>
          <w:szCs w:val="24"/>
          <w:highlight w:val="none"/>
        </w:rPr>
        <w:t>，“标的名称</w:t>
      </w:r>
      <w:r>
        <w:rPr>
          <w:spacing w:val="-79"/>
          <w:sz w:val="24"/>
          <w:szCs w:val="24"/>
          <w:highlight w:val="none"/>
        </w:rPr>
        <w:t xml:space="preserve"> </w:t>
      </w:r>
      <w:r>
        <w:rPr>
          <w:spacing w:val="5"/>
          <w:sz w:val="24"/>
          <w:szCs w:val="24"/>
          <w:highlight w:val="none"/>
        </w:rPr>
        <w:t>”应填写采购文</w:t>
      </w:r>
      <w:r>
        <w:rPr>
          <w:spacing w:val="-1"/>
          <w:sz w:val="24"/>
          <w:szCs w:val="24"/>
          <w:highlight w:val="none"/>
        </w:rPr>
        <w:t>件中注明的联合体中中小企业承担的采购标的名</w:t>
      </w:r>
      <w:r>
        <w:rPr>
          <w:spacing w:val="-2"/>
          <w:sz w:val="24"/>
          <w:szCs w:val="24"/>
          <w:highlight w:val="none"/>
        </w:rPr>
        <w:t>称。</w:t>
      </w:r>
    </w:p>
    <w:p w14:paraId="62C9104C">
      <w:pPr>
        <w:pStyle w:val="6"/>
        <w:spacing w:before="2" w:line="359" w:lineRule="auto"/>
        <w:ind w:left="18" w:right="270" w:firstLine="348"/>
        <w:rPr>
          <w:sz w:val="24"/>
          <w:szCs w:val="24"/>
          <w:highlight w:val="none"/>
        </w:rPr>
      </w:pPr>
      <w:r>
        <w:rPr>
          <w:spacing w:val="-5"/>
          <w:sz w:val="24"/>
          <w:szCs w:val="24"/>
          <w:highlight w:val="none"/>
        </w:rPr>
        <w:t>4.</w:t>
      </w:r>
      <w:r>
        <w:rPr>
          <w:b/>
          <w:bCs/>
          <w:spacing w:val="-5"/>
          <w:sz w:val="24"/>
          <w:szCs w:val="24"/>
          <w:highlight w:val="none"/>
        </w:rPr>
        <w:t>“采购文件中明确的所属行业</w:t>
      </w:r>
      <w:r>
        <w:rPr>
          <w:spacing w:val="-88"/>
          <w:sz w:val="24"/>
          <w:szCs w:val="24"/>
          <w:highlight w:val="none"/>
        </w:rPr>
        <w:t xml:space="preserve"> </w:t>
      </w:r>
      <w:r>
        <w:rPr>
          <w:b/>
          <w:bCs/>
          <w:spacing w:val="-5"/>
          <w:sz w:val="24"/>
          <w:szCs w:val="24"/>
          <w:highlight w:val="none"/>
        </w:rPr>
        <w:t>”应填写采购文件中明确的</w:t>
      </w:r>
      <w:r>
        <w:rPr>
          <w:b/>
          <w:bCs/>
          <w:spacing w:val="-6"/>
          <w:sz w:val="24"/>
          <w:szCs w:val="24"/>
          <w:highlight w:val="none"/>
        </w:rPr>
        <w:t>采购标的所属行业，</w:t>
      </w:r>
      <w:r>
        <w:rPr>
          <w:spacing w:val="1"/>
          <w:sz w:val="24"/>
          <w:szCs w:val="24"/>
          <w:highlight w:val="none"/>
        </w:rPr>
        <w:t>并应确保与采购标的涉及的货物制造商/服务承接商/工程承建商（根据项目属性确</w:t>
      </w:r>
      <w:r>
        <w:rPr>
          <w:spacing w:val="-3"/>
          <w:sz w:val="24"/>
          <w:szCs w:val="24"/>
          <w:highlight w:val="none"/>
        </w:rPr>
        <w:t>定）本身的所属行业保持一致。</w:t>
      </w:r>
    </w:p>
    <w:p w14:paraId="5C597C1A">
      <w:pPr>
        <w:pStyle w:val="6"/>
        <w:spacing w:before="5" w:line="358" w:lineRule="auto"/>
        <w:ind w:left="17" w:right="267" w:firstLine="360"/>
        <w:jc w:val="both"/>
        <w:rPr>
          <w:sz w:val="24"/>
          <w:szCs w:val="24"/>
          <w:highlight w:val="none"/>
        </w:rPr>
      </w:pPr>
      <w:r>
        <w:rPr>
          <w:spacing w:val="-3"/>
          <w:sz w:val="24"/>
          <w:szCs w:val="24"/>
          <w:highlight w:val="none"/>
        </w:rPr>
        <w:t>对于分包方式面向中小企业采购的项目，“采购文件中明确的所属行业</w:t>
      </w:r>
      <w:r>
        <w:rPr>
          <w:spacing w:val="-90"/>
          <w:sz w:val="24"/>
          <w:szCs w:val="24"/>
          <w:highlight w:val="none"/>
        </w:rPr>
        <w:t xml:space="preserve"> </w:t>
      </w:r>
      <w:r>
        <w:rPr>
          <w:spacing w:val="-4"/>
          <w:sz w:val="24"/>
          <w:szCs w:val="24"/>
          <w:highlight w:val="none"/>
        </w:rPr>
        <w:t>”应按照</w:t>
      </w:r>
      <w:r>
        <w:rPr>
          <w:spacing w:val="1"/>
          <w:sz w:val="24"/>
          <w:szCs w:val="24"/>
          <w:highlight w:val="none"/>
        </w:rPr>
        <w:t>采购文件中注明的分包给中小企业的采购标的所属行业填写，并应确保与该分包部分采购标的涉及的货物制造商/服务承接商/工程承建商（根据项目属性确定）本身</w:t>
      </w:r>
      <w:r>
        <w:rPr>
          <w:spacing w:val="-3"/>
          <w:sz w:val="24"/>
          <w:szCs w:val="24"/>
          <w:highlight w:val="none"/>
        </w:rPr>
        <w:t>的所属行业保持一致。</w:t>
      </w:r>
    </w:p>
    <w:p w14:paraId="77623D3D">
      <w:pPr>
        <w:pStyle w:val="6"/>
        <w:spacing w:line="359" w:lineRule="auto"/>
        <w:ind w:left="15" w:right="109" w:firstLine="361"/>
        <w:jc w:val="both"/>
        <w:rPr>
          <w:sz w:val="24"/>
          <w:szCs w:val="24"/>
          <w:highlight w:val="none"/>
        </w:rPr>
      </w:pPr>
      <w:r>
        <w:rPr>
          <w:spacing w:val="-5"/>
          <w:sz w:val="24"/>
          <w:szCs w:val="24"/>
          <w:highlight w:val="none"/>
        </w:rPr>
        <w:t>对于以联合体方式面向中小企业采购的项目，“采购文件中明确</w:t>
      </w:r>
      <w:r>
        <w:rPr>
          <w:spacing w:val="-6"/>
          <w:sz w:val="24"/>
          <w:szCs w:val="24"/>
          <w:highlight w:val="none"/>
        </w:rPr>
        <w:t>的所属行业</w:t>
      </w:r>
      <w:r>
        <w:rPr>
          <w:spacing w:val="-93"/>
          <w:sz w:val="24"/>
          <w:szCs w:val="24"/>
          <w:highlight w:val="none"/>
        </w:rPr>
        <w:t xml:space="preserve"> </w:t>
      </w:r>
      <w:r>
        <w:rPr>
          <w:spacing w:val="-6"/>
          <w:sz w:val="24"/>
          <w:szCs w:val="24"/>
          <w:highlight w:val="none"/>
        </w:rPr>
        <w:t>”应按</w:t>
      </w:r>
      <w:r>
        <w:rPr>
          <w:spacing w:val="-3"/>
          <w:sz w:val="24"/>
          <w:szCs w:val="24"/>
          <w:highlight w:val="none"/>
        </w:rPr>
        <w:t>照采购文件中注明的联合体中中小企业承担的采购</w:t>
      </w:r>
      <w:r>
        <w:rPr>
          <w:spacing w:val="-4"/>
          <w:sz w:val="24"/>
          <w:szCs w:val="24"/>
          <w:highlight w:val="none"/>
        </w:rPr>
        <w:t>标的所属行业填写，并应确保与该</w:t>
      </w:r>
      <w:r>
        <w:rPr>
          <w:spacing w:val="-3"/>
          <w:sz w:val="24"/>
          <w:szCs w:val="24"/>
          <w:highlight w:val="none"/>
        </w:rPr>
        <w:t>承担部分采购标的涉及的货物制造商/服务承接商/工程承建商（根据项目属</w:t>
      </w:r>
      <w:r>
        <w:rPr>
          <w:spacing w:val="-4"/>
          <w:sz w:val="24"/>
          <w:szCs w:val="24"/>
          <w:highlight w:val="none"/>
        </w:rPr>
        <w:t>性确定）</w:t>
      </w:r>
    </w:p>
    <w:p w14:paraId="31395CA8">
      <w:pPr>
        <w:pStyle w:val="6"/>
        <w:spacing w:before="2" w:line="221" w:lineRule="auto"/>
        <w:ind w:left="16"/>
        <w:rPr>
          <w:sz w:val="24"/>
          <w:szCs w:val="24"/>
          <w:highlight w:val="none"/>
        </w:rPr>
      </w:pPr>
      <w:r>
        <w:rPr>
          <w:spacing w:val="-3"/>
          <w:sz w:val="24"/>
          <w:szCs w:val="24"/>
          <w:highlight w:val="none"/>
        </w:rPr>
        <w:t>本身的所属行业保持一致。</w:t>
      </w:r>
    </w:p>
    <w:p w14:paraId="22E3E500">
      <w:pPr>
        <w:pStyle w:val="6"/>
        <w:spacing w:before="178" w:line="360" w:lineRule="auto"/>
        <w:ind w:left="16" w:right="349" w:firstLine="356"/>
        <w:rPr>
          <w:sz w:val="24"/>
          <w:szCs w:val="24"/>
          <w:highlight w:val="none"/>
        </w:rPr>
      </w:pPr>
      <w:r>
        <w:rPr>
          <w:spacing w:val="-5"/>
          <w:sz w:val="24"/>
          <w:szCs w:val="24"/>
          <w:highlight w:val="none"/>
        </w:rPr>
        <w:t>5.“企业名称</w:t>
      </w:r>
      <w:r>
        <w:rPr>
          <w:spacing w:val="-91"/>
          <w:sz w:val="24"/>
          <w:szCs w:val="24"/>
          <w:highlight w:val="none"/>
        </w:rPr>
        <w:t xml:space="preserve"> </w:t>
      </w:r>
      <w:r>
        <w:rPr>
          <w:spacing w:val="-5"/>
          <w:sz w:val="24"/>
          <w:szCs w:val="24"/>
          <w:highlight w:val="none"/>
        </w:rPr>
        <w:t>”应填写投标（响应）的货物制造商/服务承接商/工程承建商（根</w:t>
      </w:r>
      <w:r>
        <w:rPr>
          <w:spacing w:val="-4"/>
          <w:sz w:val="24"/>
          <w:szCs w:val="24"/>
          <w:highlight w:val="none"/>
        </w:rPr>
        <w:t>据项目属性确定）。</w:t>
      </w:r>
    </w:p>
    <w:p w14:paraId="37DBA4B4">
      <w:pPr>
        <w:pStyle w:val="6"/>
        <w:spacing w:line="358" w:lineRule="auto"/>
        <w:ind w:left="17" w:right="346" w:firstLine="360"/>
        <w:rPr>
          <w:sz w:val="24"/>
          <w:szCs w:val="24"/>
          <w:highlight w:val="none"/>
        </w:rPr>
      </w:pPr>
      <w:r>
        <w:rPr>
          <w:spacing w:val="-5"/>
          <w:sz w:val="24"/>
          <w:szCs w:val="24"/>
          <w:highlight w:val="none"/>
        </w:rPr>
        <w:t>对于分包方式面向中小企业采购的项目，“企业名</w:t>
      </w:r>
      <w:r>
        <w:rPr>
          <w:spacing w:val="-6"/>
          <w:sz w:val="24"/>
          <w:szCs w:val="24"/>
          <w:highlight w:val="none"/>
        </w:rPr>
        <w:t>称</w:t>
      </w:r>
      <w:r>
        <w:rPr>
          <w:spacing w:val="-90"/>
          <w:sz w:val="24"/>
          <w:szCs w:val="24"/>
          <w:highlight w:val="none"/>
        </w:rPr>
        <w:t xml:space="preserve"> </w:t>
      </w:r>
      <w:r>
        <w:rPr>
          <w:spacing w:val="-6"/>
          <w:sz w:val="24"/>
          <w:szCs w:val="24"/>
          <w:highlight w:val="none"/>
        </w:rPr>
        <w:t>”应填写分包部分采购标的</w:t>
      </w:r>
      <w:r>
        <w:rPr>
          <w:spacing w:val="-1"/>
          <w:sz w:val="24"/>
          <w:szCs w:val="24"/>
          <w:highlight w:val="none"/>
        </w:rPr>
        <w:t>对应的货物制造商/服务承接商/工程承建商（根据项目属性确定）。</w:t>
      </w:r>
    </w:p>
    <w:p w14:paraId="4C7CEAE7">
      <w:pPr>
        <w:pStyle w:val="6"/>
        <w:spacing w:before="1" w:line="359" w:lineRule="auto"/>
        <w:ind w:left="16" w:firstLine="360"/>
        <w:rPr>
          <w:sz w:val="24"/>
          <w:szCs w:val="24"/>
          <w:highlight w:val="none"/>
        </w:rPr>
      </w:pPr>
      <w:r>
        <w:rPr>
          <w:spacing w:val="1"/>
          <w:sz w:val="24"/>
          <w:szCs w:val="24"/>
          <w:highlight w:val="none"/>
        </w:rPr>
        <w:t>对于以联合体方式面向中小企业采购的项目，“企业名称</w:t>
      </w:r>
      <w:r>
        <w:rPr>
          <w:spacing w:val="-81"/>
          <w:sz w:val="24"/>
          <w:szCs w:val="24"/>
          <w:highlight w:val="none"/>
        </w:rPr>
        <w:t xml:space="preserve"> </w:t>
      </w:r>
      <w:r>
        <w:rPr>
          <w:spacing w:val="1"/>
          <w:sz w:val="24"/>
          <w:szCs w:val="24"/>
          <w:highlight w:val="none"/>
        </w:rPr>
        <w:t>”应填写联合体中中小</w:t>
      </w:r>
      <w:r>
        <w:rPr>
          <w:spacing w:val="-4"/>
          <w:sz w:val="24"/>
          <w:szCs w:val="24"/>
          <w:highlight w:val="none"/>
        </w:rPr>
        <w:t>企业承担采购标的对应的货物制造商/服务承接商/工</w:t>
      </w:r>
      <w:r>
        <w:rPr>
          <w:spacing w:val="-5"/>
          <w:sz w:val="24"/>
          <w:szCs w:val="24"/>
          <w:highlight w:val="none"/>
        </w:rPr>
        <w:t>程承建商（根据项目属性确定）。</w:t>
      </w:r>
    </w:p>
    <w:p w14:paraId="3273DA77">
      <w:pPr>
        <w:spacing w:line="261" w:lineRule="auto"/>
        <w:rPr>
          <w:rFonts w:hint="eastAsia" w:ascii="Arial" w:eastAsia="宋体"/>
          <w:sz w:val="21"/>
          <w:highlight w:val="none"/>
          <w:lang w:eastAsia="zh-CN"/>
        </w:rPr>
      </w:pPr>
      <w:r>
        <w:rPr>
          <w:rFonts w:ascii="仿宋" w:hAnsi="仿宋" w:eastAsia="仿宋" w:cs="仿宋"/>
          <w:snapToGrid w:val="0"/>
          <w:color w:val="000000"/>
          <w:spacing w:val="1"/>
          <w:kern w:val="0"/>
          <w:sz w:val="24"/>
          <w:szCs w:val="24"/>
          <w:highlight w:val="none"/>
          <w:lang w:val="en-US" w:eastAsia="en-US" w:bidi="ar-SA"/>
        </w:rPr>
        <w:t>6.从业人员、资产总额指标以上年度末数据为依据，营业收入指标以上年度累计数据为依据。无上年度数据的新成立企业可不填报。</w:t>
      </w:r>
    </w:p>
    <w:p w14:paraId="23322194">
      <w:pPr>
        <w:pStyle w:val="6"/>
        <w:spacing w:before="78" w:line="359" w:lineRule="auto"/>
        <w:ind w:right="175"/>
        <w:rPr>
          <w:sz w:val="24"/>
          <w:szCs w:val="24"/>
          <w:highlight w:val="none"/>
        </w:rPr>
      </w:pPr>
      <w:r>
        <w:rPr>
          <w:spacing w:val="-6"/>
          <w:sz w:val="24"/>
          <w:szCs w:val="24"/>
          <w:highlight w:val="none"/>
        </w:rPr>
        <w:t>7.“</w:t>
      </w:r>
      <w:r>
        <w:rPr>
          <w:spacing w:val="-80"/>
          <w:sz w:val="24"/>
          <w:szCs w:val="24"/>
          <w:highlight w:val="none"/>
        </w:rPr>
        <w:t xml:space="preserve"> </w:t>
      </w:r>
      <w:r>
        <w:rPr>
          <w:spacing w:val="-6"/>
          <w:sz w:val="24"/>
          <w:szCs w:val="24"/>
          <w:highlight w:val="none"/>
        </w:rPr>
        <w:t>中型企业/小型企业/微型企业”部分，供应商应依据企</w:t>
      </w:r>
      <w:r>
        <w:rPr>
          <w:spacing w:val="-7"/>
          <w:sz w:val="24"/>
          <w:szCs w:val="24"/>
          <w:highlight w:val="none"/>
        </w:rPr>
        <w:t>业上年度从业人员、营</w:t>
      </w:r>
      <w:r>
        <w:rPr>
          <w:spacing w:val="-3"/>
          <w:sz w:val="24"/>
          <w:szCs w:val="24"/>
          <w:highlight w:val="none"/>
        </w:rPr>
        <w:t>业收入、资产总额等指标，按照《中小企业划型标准规定》（工信部联企业〔2011〕</w:t>
      </w:r>
    </w:p>
    <w:p w14:paraId="64BF6D70">
      <w:pPr>
        <w:pStyle w:val="6"/>
        <w:spacing w:before="3" w:line="358" w:lineRule="auto"/>
        <w:ind w:left="15" w:right="152" w:hanging="2"/>
        <w:rPr>
          <w:sz w:val="24"/>
          <w:szCs w:val="24"/>
          <w:highlight w:val="none"/>
        </w:rPr>
      </w:pPr>
      <w:r>
        <w:rPr>
          <w:spacing w:val="-3"/>
          <w:sz w:val="24"/>
          <w:szCs w:val="24"/>
          <w:highlight w:val="none"/>
        </w:rPr>
        <w:t>300号）、《金融业企业划型标准规定》</w:t>
      </w:r>
      <w:r>
        <w:rPr>
          <w:spacing w:val="-4"/>
          <w:sz w:val="24"/>
          <w:szCs w:val="24"/>
          <w:highlight w:val="none"/>
        </w:rPr>
        <w:t>（银发〔2015〕309号</w:t>
      </w:r>
      <w:r>
        <w:rPr>
          <w:spacing w:val="21"/>
          <w:sz w:val="24"/>
          <w:szCs w:val="24"/>
          <w:highlight w:val="none"/>
        </w:rPr>
        <w:t>），</w:t>
      </w:r>
      <w:r>
        <w:rPr>
          <w:spacing w:val="-4"/>
          <w:sz w:val="24"/>
          <w:szCs w:val="24"/>
          <w:highlight w:val="none"/>
        </w:rPr>
        <w:t>判断“</w:t>
      </w:r>
      <w:r>
        <w:rPr>
          <w:spacing w:val="-77"/>
          <w:sz w:val="24"/>
          <w:szCs w:val="24"/>
          <w:highlight w:val="none"/>
        </w:rPr>
        <w:t xml:space="preserve"> </w:t>
      </w:r>
      <w:r>
        <w:rPr>
          <w:spacing w:val="-4"/>
          <w:sz w:val="24"/>
          <w:szCs w:val="24"/>
          <w:highlight w:val="none"/>
        </w:rPr>
        <w:t>中小企业声</w:t>
      </w:r>
      <w:r>
        <w:rPr>
          <w:spacing w:val="-5"/>
          <w:sz w:val="24"/>
          <w:szCs w:val="24"/>
          <w:highlight w:val="none"/>
        </w:rPr>
        <w:t>明函</w:t>
      </w:r>
      <w:r>
        <w:rPr>
          <w:spacing w:val="-87"/>
          <w:sz w:val="24"/>
          <w:szCs w:val="24"/>
          <w:highlight w:val="none"/>
        </w:rPr>
        <w:t xml:space="preserve"> </w:t>
      </w:r>
      <w:r>
        <w:rPr>
          <w:spacing w:val="-5"/>
          <w:sz w:val="24"/>
          <w:szCs w:val="24"/>
          <w:highlight w:val="none"/>
        </w:rPr>
        <w:t>”载明的货物制造商/服务承接商/工程承建商（根据项目属性确定）是否属于采</w:t>
      </w:r>
      <w:r>
        <w:rPr>
          <w:spacing w:val="-1"/>
          <w:sz w:val="24"/>
          <w:szCs w:val="24"/>
          <w:highlight w:val="none"/>
        </w:rPr>
        <w:t>购文件所属行业的中型企业/小型企业/微型企</w:t>
      </w:r>
      <w:r>
        <w:rPr>
          <w:spacing w:val="-2"/>
          <w:sz w:val="24"/>
          <w:szCs w:val="24"/>
          <w:highlight w:val="none"/>
        </w:rPr>
        <w:t>业。</w:t>
      </w:r>
    </w:p>
    <w:p w14:paraId="78B5E477">
      <w:pPr>
        <w:pStyle w:val="6"/>
        <w:spacing w:before="5" w:line="358" w:lineRule="auto"/>
        <w:ind w:left="15" w:right="219" w:firstLine="358"/>
        <w:rPr>
          <w:sz w:val="24"/>
          <w:szCs w:val="24"/>
          <w:highlight w:val="none"/>
        </w:rPr>
      </w:pPr>
      <w:r>
        <w:rPr>
          <w:spacing w:val="-2"/>
          <w:sz w:val="24"/>
          <w:szCs w:val="24"/>
          <w:highlight w:val="none"/>
        </w:rPr>
        <w:t>8.对于已纳入统计部门统计范围的企业，所属行业、从业人员</w:t>
      </w:r>
      <w:r>
        <w:rPr>
          <w:spacing w:val="-3"/>
          <w:sz w:val="24"/>
          <w:szCs w:val="24"/>
          <w:highlight w:val="none"/>
        </w:rPr>
        <w:t>、营业收入、资产总额、规模类型应与统计部门报表保持一致。对于</w:t>
      </w:r>
      <w:r>
        <w:rPr>
          <w:spacing w:val="-4"/>
          <w:sz w:val="24"/>
          <w:szCs w:val="24"/>
          <w:highlight w:val="none"/>
        </w:rPr>
        <w:t>未纳入统计部门统计范围的企业，</w:t>
      </w:r>
      <w:r>
        <w:rPr>
          <w:spacing w:val="-3"/>
          <w:sz w:val="24"/>
          <w:szCs w:val="24"/>
          <w:highlight w:val="none"/>
        </w:rPr>
        <w:t>应对照《国民经济行业分类》确定所属行业，当企</w:t>
      </w:r>
      <w:r>
        <w:rPr>
          <w:spacing w:val="-4"/>
          <w:sz w:val="24"/>
          <w:szCs w:val="24"/>
          <w:highlight w:val="none"/>
        </w:rPr>
        <w:t>业从事两种以上的经济活动时，按</w:t>
      </w:r>
      <w:r>
        <w:rPr>
          <w:spacing w:val="-3"/>
          <w:sz w:val="24"/>
          <w:szCs w:val="24"/>
          <w:highlight w:val="none"/>
        </w:rPr>
        <w:t>照企业从事的主要活动确定所属行业；从业人员、</w:t>
      </w:r>
      <w:r>
        <w:rPr>
          <w:spacing w:val="-4"/>
          <w:sz w:val="24"/>
          <w:szCs w:val="24"/>
          <w:highlight w:val="none"/>
        </w:rPr>
        <w:t>营业收入、资产总额应按照上年度</w:t>
      </w:r>
      <w:r>
        <w:rPr>
          <w:spacing w:val="-3"/>
          <w:sz w:val="24"/>
          <w:szCs w:val="24"/>
          <w:highlight w:val="none"/>
        </w:rPr>
        <w:t>末实际情况填报，并应确保在争议纠纷处理时，可提供相关数</w:t>
      </w:r>
      <w:r>
        <w:rPr>
          <w:spacing w:val="-4"/>
          <w:sz w:val="24"/>
          <w:szCs w:val="24"/>
          <w:highlight w:val="none"/>
        </w:rPr>
        <w:t>据的来源依据。</w:t>
      </w:r>
    </w:p>
    <w:p w14:paraId="48D2AF6D">
      <w:pPr>
        <w:pStyle w:val="6"/>
        <w:spacing w:before="3" w:line="222" w:lineRule="auto"/>
        <w:ind w:left="613"/>
        <w:rPr>
          <w:sz w:val="24"/>
          <w:szCs w:val="24"/>
          <w:highlight w:val="none"/>
        </w:rPr>
      </w:pPr>
      <w:r>
        <w:rPr>
          <w:b/>
          <w:bCs/>
          <w:spacing w:val="-12"/>
          <w:sz w:val="24"/>
          <w:szCs w:val="24"/>
          <w:highlight w:val="none"/>
        </w:rPr>
        <w:t>（二）关于“</w:t>
      </w:r>
      <w:r>
        <w:rPr>
          <w:spacing w:val="-68"/>
          <w:sz w:val="24"/>
          <w:szCs w:val="24"/>
          <w:highlight w:val="none"/>
        </w:rPr>
        <w:t xml:space="preserve"> </w:t>
      </w:r>
      <w:r>
        <w:rPr>
          <w:b/>
          <w:bCs/>
          <w:spacing w:val="-12"/>
          <w:sz w:val="24"/>
          <w:szCs w:val="24"/>
          <w:highlight w:val="none"/>
        </w:rPr>
        <w:t>中小企业声明函”的提交要求</w:t>
      </w:r>
    </w:p>
    <w:p w14:paraId="67612441">
      <w:pPr>
        <w:pStyle w:val="6"/>
        <w:spacing w:before="174" w:line="360" w:lineRule="auto"/>
        <w:ind w:left="48" w:firstLine="498"/>
        <w:rPr>
          <w:sz w:val="24"/>
          <w:szCs w:val="24"/>
          <w:highlight w:val="none"/>
        </w:rPr>
      </w:pPr>
      <w:r>
        <w:rPr>
          <w:spacing w:val="-6"/>
          <w:sz w:val="24"/>
          <w:szCs w:val="24"/>
          <w:highlight w:val="none"/>
        </w:rPr>
        <w:t>1.投标（响应）供应商对“</w:t>
      </w:r>
      <w:r>
        <w:rPr>
          <w:spacing w:val="-74"/>
          <w:sz w:val="24"/>
          <w:szCs w:val="24"/>
          <w:highlight w:val="none"/>
        </w:rPr>
        <w:t xml:space="preserve"> </w:t>
      </w:r>
      <w:r>
        <w:rPr>
          <w:spacing w:val="-6"/>
          <w:sz w:val="24"/>
          <w:szCs w:val="24"/>
          <w:highlight w:val="none"/>
        </w:rPr>
        <w:t>中小企业声明函</w:t>
      </w:r>
      <w:r>
        <w:rPr>
          <w:spacing w:val="-88"/>
          <w:sz w:val="24"/>
          <w:szCs w:val="24"/>
          <w:highlight w:val="none"/>
        </w:rPr>
        <w:t xml:space="preserve"> </w:t>
      </w:r>
      <w:r>
        <w:rPr>
          <w:spacing w:val="-6"/>
          <w:sz w:val="24"/>
          <w:szCs w:val="24"/>
          <w:highlight w:val="none"/>
        </w:rPr>
        <w:t>”的真实性负责。投标（响应）供应</w:t>
      </w:r>
      <w:r>
        <w:rPr>
          <w:spacing w:val="-5"/>
          <w:sz w:val="24"/>
          <w:szCs w:val="24"/>
          <w:highlight w:val="none"/>
        </w:rPr>
        <w:t>商应当核实投标（响应）的货物制造商/服务承接商/工程承建商（根据项目属性确定）</w:t>
      </w:r>
      <w:r>
        <w:rPr>
          <w:spacing w:val="-7"/>
          <w:sz w:val="24"/>
          <w:szCs w:val="24"/>
          <w:highlight w:val="none"/>
        </w:rPr>
        <w:t>的相关信息，如对相关信息了解不充分，或者不能确定相关信息</w:t>
      </w:r>
      <w:r>
        <w:rPr>
          <w:spacing w:val="-8"/>
          <w:sz w:val="24"/>
          <w:szCs w:val="24"/>
          <w:highlight w:val="none"/>
        </w:rPr>
        <w:t>真实、准确的，不建议</w:t>
      </w:r>
      <w:r>
        <w:rPr>
          <w:spacing w:val="-9"/>
          <w:sz w:val="24"/>
          <w:szCs w:val="24"/>
          <w:highlight w:val="none"/>
        </w:rPr>
        <w:t>出具“</w:t>
      </w:r>
      <w:r>
        <w:rPr>
          <w:spacing w:val="-67"/>
          <w:sz w:val="24"/>
          <w:szCs w:val="24"/>
          <w:highlight w:val="none"/>
        </w:rPr>
        <w:t xml:space="preserve"> </w:t>
      </w:r>
      <w:r>
        <w:rPr>
          <w:spacing w:val="-9"/>
          <w:sz w:val="24"/>
          <w:szCs w:val="24"/>
          <w:highlight w:val="none"/>
        </w:rPr>
        <w:t>中小企业声明函</w:t>
      </w:r>
      <w:r>
        <w:rPr>
          <w:spacing w:val="-91"/>
          <w:sz w:val="24"/>
          <w:szCs w:val="24"/>
          <w:highlight w:val="none"/>
        </w:rPr>
        <w:t xml:space="preserve"> </w:t>
      </w:r>
      <w:r>
        <w:rPr>
          <w:spacing w:val="-9"/>
          <w:sz w:val="24"/>
          <w:szCs w:val="24"/>
          <w:highlight w:val="none"/>
        </w:rPr>
        <w:t>”。</w:t>
      </w:r>
    </w:p>
    <w:p w14:paraId="55665A8D">
      <w:pPr>
        <w:pStyle w:val="6"/>
        <w:spacing w:line="358" w:lineRule="auto"/>
        <w:ind w:left="48" w:right="192" w:firstLine="466"/>
        <w:rPr>
          <w:sz w:val="24"/>
          <w:szCs w:val="24"/>
          <w:highlight w:val="none"/>
        </w:rPr>
      </w:pPr>
      <w:r>
        <w:rPr>
          <w:spacing w:val="-3"/>
          <w:sz w:val="24"/>
          <w:szCs w:val="24"/>
          <w:highlight w:val="none"/>
        </w:rPr>
        <w:t>2.鼓励供应商在投标（响应）时一并提供对货物制造商、</w:t>
      </w:r>
      <w:r>
        <w:rPr>
          <w:spacing w:val="-4"/>
          <w:sz w:val="24"/>
          <w:szCs w:val="24"/>
          <w:highlight w:val="none"/>
        </w:rPr>
        <w:t>服务承接商、工程承建</w:t>
      </w:r>
      <w:r>
        <w:rPr>
          <w:spacing w:val="-3"/>
          <w:sz w:val="24"/>
          <w:szCs w:val="24"/>
          <w:highlight w:val="none"/>
        </w:rPr>
        <w:t>商相关信息的核实核验情况以及其他佐证材料。</w:t>
      </w:r>
    </w:p>
    <w:p w14:paraId="445563B6">
      <w:pPr>
        <w:pStyle w:val="6"/>
        <w:spacing w:before="4" w:line="359" w:lineRule="auto"/>
        <w:ind w:left="39" w:right="14" w:firstLine="480"/>
        <w:rPr>
          <w:sz w:val="24"/>
          <w:szCs w:val="24"/>
          <w:highlight w:val="none"/>
        </w:rPr>
      </w:pPr>
      <w:r>
        <w:rPr>
          <w:spacing w:val="-10"/>
          <w:sz w:val="24"/>
          <w:szCs w:val="24"/>
          <w:highlight w:val="none"/>
        </w:rPr>
        <w:t>3.如供应商提供的“</w:t>
      </w:r>
      <w:r>
        <w:rPr>
          <w:spacing w:val="-80"/>
          <w:sz w:val="24"/>
          <w:szCs w:val="24"/>
          <w:highlight w:val="none"/>
        </w:rPr>
        <w:t xml:space="preserve"> </w:t>
      </w:r>
      <w:r>
        <w:rPr>
          <w:spacing w:val="-10"/>
          <w:sz w:val="24"/>
          <w:szCs w:val="24"/>
          <w:highlight w:val="none"/>
        </w:rPr>
        <w:t>中小企业声明函”存在按采购文件所属行业划型</w:t>
      </w:r>
      <w:r>
        <w:rPr>
          <w:spacing w:val="-11"/>
          <w:sz w:val="24"/>
          <w:szCs w:val="24"/>
          <w:highlight w:val="none"/>
        </w:rPr>
        <w:t>不实的，属于</w:t>
      </w:r>
      <w:r>
        <w:rPr>
          <w:spacing w:val="-3"/>
          <w:sz w:val="24"/>
          <w:szCs w:val="24"/>
          <w:highlight w:val="none"/>
        </w:rPr>
        <w:t>提供虚假材料谋取中标、成交，依照《中华人</w:t>
      </w:r>
      <w:r>
        <w:rPr>
          <w:spacing w:val="-4"/>
          <w:sz w:val="24"/>
          <w:szCs w:val="24"/>
          <w:highlight w:val="none"/>
        </w:rPr>
        <w:t>民共和国政府采购法》第七十七条的规</w:t>
      </w:r>
      <w:r>
        <w:rPr>
          <w:spacing w:val="-3"/>
          <w:sz w:val="24"/>
          <w:szCs w:val="24"/>
          <w:highlight w:val="none"/>
        </w:rPr>
        <w:t>定，将处以采购金额千分之五以上千分之十以</w:t>
      </w:r>
      <w:r>
        <w:rPr>
          <w:spacing w:val="-4"/>
          <w:sz w:val="24"/>
          <w:szCs w:val="24"/>
          <w:highlight w:val="none"/>
        </w:rPr>
        <w:t>下的罚款，列入不良行为记录名单，在</w:t>
      </w:r>
      <w:r>
        <w:rPr>
          <w:spacing w:val="-5"/>
          <w:sz w:val="24"/>
          <w:szCs w:val="24"/>
          <w:highlight w:val="none"/>
        </w:rPr>
        <w:t>一至三年内禁止参加政府采购活动，有违法所得的，并处没收违法所得，情节严重的，</w:t>
      </w:r>
      <w:r>
        <w:rPr>
          <w:spacing w:val="-3"/>
          <w:sz w:val="24"/>
          <w:szCs w:val="24"/>
          <w:highlight w:val="none"/>
        </w:rPr>
        <w:t>由工商行政管理机关吊销营业执照；构成犯罪的</w:t>
      </w:r>
      <w:r>
        <w:rPr>
          <w:spacing w:val="-4"/>
          <w:sz w:val="24"/>
          <w:szCs w:val="24"/>
          <w:highlight w:val="none"/>
        </w:rPr>
        <w:t>，依法追究刑事责任。</w:t>
      </w:r>
    </w:p>
    <w:p w14:paraId="44235D51">
      <w:pPr>
        <w:spacing w:line="317" w:lineRule="auto"/>
        <w:rPr>
          <w:rFonts w:hint="eastAsia" w:ascii="Arial" w:eastAsia="宋体"/>
          <w:sz w:val="21"/>
          <w:highlight w:val="none"/>
          <w:lang w:eastAsia="zh-CN"/>
        </w:rPr>
      </w:pPr>
      <w:r>
        <w:rPr>
          <w:rFonts w:hint="eastAsia" w:ascii="Arial" w:eastAsia="宋体"/>
          <w:sz w:val="21"/>
          <w:highlight w:val="none"/>
          <w:lang w:eastAsia="zh-CN"/>
        </w:rPr>
        <w:br w:type="page"/>
      </w:r>
    </w:p>
    <w:p w14:paraId="5C28054C">
      <w:pPr>
        <w:pStyle w:val="6"/>
        <w:spacing w:before="78" w:line="222" w:lineRule="auto"/>
        <w:ind w:left="66"/>
        <w:rPr>
          <w:sz w:val="24"/>
          <w:szCs w:val="24"/>
          <w:highlight w:val="none"/>
        </w:rPr>
      </w:pPr>
      <w:r>
        <w:rPr>
          <w:b/>
          <w:bCs/>
          <w:spacing w:val="-16"/>
          <w:sz w:val="24"/>
          <w:szCs w:val="24"/>
          <w:highlight w:val="none"/>
        </w:rPr>
        <w:t>附件2：</w:t>
      </w:r>
    </w:p>
    <w:p w14:paraId="51B21144">
      <w:pPr>
        <w:pStyle w:val="6"/>
        <w:spacing w:before="77" w:line="298" w:lineRule="auto"/>
        <w:ind w:left="2671" w:right="2222" w:hanging="1190"/>
        <w:rPr>
          <w:sz w:val="24"/>
          <w:szCs w:val="24"/>
          <w:highlight w:val="none"/>
        </w:rPr>
      </w:pPr>
      <w:r>
        <w:rPr>
          <w:spacing w:val="16"/>
          <w:highlight w:val="none"/>
        </w:rPr>
        <w:t>关于印发中小企业划型标准规定的通知</w:t>
      </w:r>
      <w:r>
        <w:rPr>
          <w:spacing w:val="-3"/>
          <w:sz w:val="24"/>
          <w:szCs w:val="24"/>
          <w:highlight w:val="none"/>
        </w:rPr>
        <w:t>工信部联企业〔2011〕300号</w:t>
      </w:r>
    </w:p>
    <w:p w14:paraId="6726C1E1">
      <w:pPr>
        <w:pStyle w:val="6"/>
        <w:spacing w:before="1" w:line="220" w:lineRule="auto"/>
        <w:ind w:left="43"/>
        <w:rPr>
          <w:sz w:val="24"/>
          <w:szCs w:val="24"/>
          <w:highlight w:val="none"/>
        </w:rPr>
      </w:pPr>
      <w:r>
        <w:rPr>
          <w:spacing w:val="-4"/>
          <w:sz w:val="24"/>
          <w:szCs w:val="24"/>
          <w:highlight w:val="none"/>
        </w:rPr>
        <w:t>各省、</w:t>
      </w:r>
      <w:r>
        <w:rPr>
          <w:spacing w:val="-62"/>
          <w:sz w:val="24"/>
          <w:szCs w:val="24"/>
          <w:highlight w:val="none"/>
        </w:rPr>
        <w:t xml:space="preserve"> </w:t>
      </w:r>
      <w:r>
        <w:rPr>
          <w:spacing w:val="-4"/>
          <w:sz w:val="24"/>
          <w:szCs w:val="24"/>
          <w:highlight w:val="none"/>
        </w:rPr>
        <w:t>自治区、直辖市人民政府，国务院各部委、各直属机</w:t>
      </w:r>
      <w:r>
        <w:rPr>
          <w:spacing w:val="-5"/>
          <w:sz w:val="24"/>
          <w:szCs w:val="24"/>
          <w:highlight w:val="none"/>
        </w:rPr>
        <w:t>构及有关单位：</w:t>
      </w:r>
    </w:p>
    <w:p w14:paraId="6568641D">
      <w:pPr>
        <w:pStyle w:val="6"/>
        <w:spacing w:before="96" w:line="269" w:lineRule="auto"/>
        <w:ind w:left="39" w:right="238" w:firstLine="488"/>
        <w:jc w:val="both"/>
        <w:rPr>
          <w:sz w:val="24"/>
          <w:szCs w:val="24"/>
          <w:highlight w:val="none"/>
        </w:rPr>
      </w:pPr>
      <w:r>
        <w:rPr>
          <w:spacing w:val="-2"/>
          <w:sz w:val="24"/>
          <w:szCs w:val="24"/>
          <w:highlight w:val="none"/>
        </w:rPr>
        <w:t>为贯彻落实《中华人民共和国中小企业促进法》和《国</w:t>
      </w:r>
      <w:r>
        <w:rPr>
          <w:spacing w:val="-3"/>
          <w:sz w:val="24"/>
          <w:szCs w:val="24"/>
          <w:highlight w:val="none"/>
        </w:rPr>
        <w:t>务院关于进一步促进中小</w:t>
      </w:r>
      <w:r>
        <w:rPr>
          <w:spacing w:val="3"/>
          <w:sz w:val="24"/>
          <w:szCs w:val="24"/>
          <w:highlight w:val="none"/>
        </w:rPr>
        <w:t>企业发展的若干意见》（国发〔2009〕36号）</w:t>
      </w:r>
      <w:r>
        <w:rPr>
          <w:spacing w:val="-67"/>
          <w:sz w:val="24"/>
          <w:szCs w:val="24"/>
          <w:highlight w:val="none"/>
        </w:rPr>
        <w:t xml:space="preserve"> </w:t>
      </w:r>
      <w:r>
        <w:rPr>
          <w:spacing w:val="3"/>
          <w:sz w:val="24"/>
          <w:szCs w:val="24"/>
          <w:highlight w:val="none"/>
        </w:rPr>
        <w:t>，工业和信息化部、国家统计局、发</w:t>
      </w:r>
      <w:r>
        <w:rPr>
          <w:spacing w:val="-2"/>
          <w:sz w:val="24"/>
          <w:szCs w:val="24"/>
          <w:highlight w:val="none"/>
        </w:rPr>
        <w:t>展改革委、财政部研究制定了《中小企业划型标准规定》。经国务院同意，现印发给</w:t>
      </w:r>
      <w:r>
        <w:rPr>
          <w:spacing w:val="-3"/>
          <w:sz w:val="24"/>
          <w:szCs w:val="24"/>
          <w:highlight w:val="none"/>
        </w:rPr>
        <w:t>你们，请遵照执行。</w:t>
      </w:r>
    </w:p>
    <w:p w14:paraId="646489A1">
      <w:pPr>
        <w:pStyle w:val="6"/>
        <w:spacing w:before="38" w:line="267" w:lineRule="auto"/>
        <w:ind w:left="5073" w:right="235" w:firstLine="254"/>
        <w:jc w:val="right"/>
        <w:rPr>
          <w:sz w:val="24"/>
          <w:szCs w:val="24"/>
          <w:highlight w:val="none"/>
        </w:rPr>
      </w:pPr>
      <w:r>
        <w:rPr>
          <w:spacing w:val="-6"/>
          <w:sz w:val="24"/>
          <w:szCs w:val="24"/>
          <w:highlight w:val="none"/>
        </w:rPr>
        <w:t>工业和信息化部国家统计局国家发展和改革委员会  财政部二</w:t>
      </w:r>
      <w:r>
        <w:rPr>
          <w:spacing w:val="-82"/>
          <w:sz w:val="24"/>
          <w:szCs w:val="24"/>
          <w:highlight w:val="none"/>
        </w:rPr>
        <w:t xml:space="preserve"> </w:t>
      </w:r>
      <w:r>
        <w:rPr>
          <w:spacing w:val="-6"/>
          <w:sz w:val="24"/>
          <w:szCs w:val="24"/>
          <w:highlight w:val="none"/>
        </w:rPr>
        <w:t>○一一年</w:t>
      </w:r>
      <w:r>
        <w:rPr>
          <w:spacing w:val="-5"/>
          <w:sz w:val="24"/>
          <w:szCs w:val="24"/>
          <w:highlight w:val="none"/>
        </w:rPr>
        <w:t>六月十八日</w:t>
      </w:r>
    </w:p>
    <w:p w14:paraId="500F727F">
      <w:pPr>
        <w:spacing w:line="292" w:lineRule="auto"/>
        <w:rPr>
          <w:rFonts w:ascii="Arial"/>
          <w:sz w:val="21"/>
          <w:highlight w:val="none"/>
        </w:rPr>
      </w:pPr>
    </w:p>
    <w:p w14:paraId="7D6ECBF1">
      <w:pPr>
        <w:pStyle w:val="6"/>
        <w:spacing w:before="98" w:line="222" w:lineRule="auto"/>
        <w:ind w:left="2758"/>
        <w:rPr>
          <w:highlight w:val="none"/>
        </w:rPr>
      </w:pPr>
      <w:r>
        <w:rPr>
          <w:b/>
          <w:bCs/>
          <w:spacing w:val="-14"/>
          <w:highlight w:val="none"/>
        </w:rPr>
        <w:t>中小企业划型标准规定</w:t>
      </w:r>
    </w:p>
    <w:p w14:paraId="6164C957">
      <w:pPr>
        <w:pStyle w:val="6"/>
        <w:spacing w:before="109" w:line="263" w:lineRule="auto"/>
        <w:ind w:left="44" w:right="293" w:firstLine="481"/>
        <w:rPr>
          <w:sz w:val="24"/>
          <w:szCs w:val="24"/>
          <w:highlight w:val="none"/>
        </w:rPr>
      </w:pPr>
      <w:r>
        <w:rPr>
          <w:spacing w:val="-4"/>
          <w:sz w:val="24"/>
          <w:szCs w:val="24"/>
          <w:highlight w:val="none"/>
        </w:rPr>
        <w:t>一、根据《中华人民共和国中小企业促进法》和《国务院关于进一步促进中小企</w:t>
      </w:r>
      <w:r>
        <w:rPr>
          <w:spacing w:val="-5"/>
          <w:sz w:val="24"/>
          <w:szCs w:val="24"/>
          <w:highlight w:val="none"/>
        </w:rPr>
        <w:t>业发展的若干意见》</w:t>
      </w:r>
      <w:r>
        <w:rPr>
          <w:spacing w:val="-72"/>
          <w:sz w:val="24"/>
          <w:szCs w:val="24"/>
          <w:highlight w:val="none"/>
        </w:rPr>
        <w:t xml:space="preserve"> </w:t>
      </w:r>
      <w:r>
        <w:rPr>
          <w:spacing w:val="-5"/>
          <w:sz w:val="24"/>
          <w:szCs w:val="24"/>
          <w:highlight w:val="none"/>
        </w:rPr>
        <w:t>(国发〔2009〕36号)，制定本规定。</w:t>
      </w:r>
    </w:p>
    <w:p w14:paraId="1B13ABA3">
      <w:pPr>
        <w:pStyle w:val="6"/>
        <w:spacing w:before="112" w:line="264" w:lineRule="auto"/>
        <w:ind w:left="53" w:right="334" w:firstLine="476"/>
        <w:rPr>
          <w:sz w:val="24"/>
          <w:szCs w:val="24"/>
          <w:highlight w:val="none"/>
        </w:rPr>
      </w:pPr>
      <w:r>
        <w:rPr>
          <w:spacing w:val="-5"/>
          <w:sz w:val="24"/>
          <w:szCs w:val="24"/>
          <w:highlight w:val="none"/>
        </w:rPr>
        <w:t>二、中小企业划分为中型、小型、微型三种类型，具体标准根据企业从业人员、</w:t>
      </w:r>
      <w:r>
        <w:rPr>
          <w:spacing w:val="-2"/>
          <w:sz w:val="24"/>
          <w:szCs w:val="24"/>
          <w:highlight w:val="none"/>
        </w:rPr>
        <w:t>营业收入、资产总额等指标，结合行业特点制定。</w:t>
      </w:r>
    </w:p>
    <w:p w14:paraId="6FDD611C">
      <w:pPr>
        <w:pStyle w:val="6"/>
        <w:spacing w:before="115" w:line="221" w:lineRule="auto"/>
        <w:ind w:left="524"/>
        <w:rPr>
          <w:sz w:val="24"/>
          <w:szCs w:val="24"/>
          <w:highlight w:val="none"/>
        </w:rPr>
      </w:pPr>
      <w:r>
        <w:rPr>
          <w:spacing w:val="-4"/>
          <w:sz w:val="24"/>
          <w:szCs w:val="24"/>
          <w:highlight w:val="none"/>
        </w:rPr>
        <w:t>三、本规定适用的行业包括：农、林、牧、渔业，工业（包括采矿业，制造业，</w:t>
      </w:r>
    </w:p>
    <w:p w14:paraId="54B8ECBF">
      <w:pPr>
        <w:pStyle w:val="6"/>
        <w:spacing w:before="97" w:line="294" w:lineRule="auto"/>
        <w:ind w:left="36" w:firstLine="27"/>
        <w:rPr>
          <w:sz w:val="24"/>
          <w:szCs w:val="24"/>
          <w:highlight w:val="none"/>
        </w:rPr>
      </w:pPr>
      <w:r>
        <w:rPr>
          <w:spacing w:val="-5"/>
          <w:sz w:val="24"/>
          <w:szCs w:val="24"/>
          <w:highlight w:val="none"/>
        </w:rPr>
        <w:t>电力、热力、燃气及水生产和供应业</w:t>
      </w:r>
      <w:r>
        <w:rPr>
          <w:spacing w:val="11"/>
          <w:sz w:val="24"/>
          <w:szCs w:val="24"/>
          <w:highlight w:val="none"/>
        </w:rPr>
        <w:t>），</w:t>
      </w:r>
      <w:r>
        <w:rPr>
          <w:spacing w:val="-5"/>
          <w:sz w:val="24"/>
          <w:szCs w:val="24"/>
          <w:highlight w:val="none"/>
        </w:rPr>
        <w:t>建筑业，批发业，零售业，交通运输业（不</w:t>
      </w:r>
      <w:r>
        <w:rPr>
          <w:sz w:val="24"/>
          <w:szCs w:val="24"/>
          <w:highlight w:val="none"/>
        </w:rPr>
        <w:t xml:space="preserve"> </w:t>
      </w:r>
      <w:r>
        <w:rPr>
          <w:spacing w:val="-4"/>
          <w:sz w:val="24"/>
          <w:szCs w:val="24"/>
          <w:highlight w:val="none"/>
        </w:rPr>
        <w:t>含铁路运输业</w:t>
      </w:r>
      <w:r>
        <w:rPr>
          <w:spacing w:val="10"/>
          <w:sz w:val="24"/>
          <w:szCs w:val="24"/>
          <w:highlight w:val="none"/>
        </w:rPr>
        <w:t>），</w:t>
      </w:r>
      <w:r>
        <w:rPr>
          <w:spacing w:val="-4"/>
          <w:sz w:val="24"/>
          <w:szCs w:val="24"/>
          <w:highlight w:val="none"/>
        </w:rPr>
        <w:t>仓储业，邮政业，住宿业，餐饮业，信息传输业（包括电信、互联</w:t>
      </w:r>
      <w:r>
        <w:rPr>
          <w:sz w:val="24"/>
          <w:szCs w:val="24"/>
          <w:highlight w:val="none"/>
        </w:rPr>
        <w:t xml:space="preserve"> </w:t>
      </w:r>
      <w:r>
        <w:rPr>
          <w:spacing w:val="-4"/>
          <w:sz w:val="24"/>
          <w:szCs w:val="24"/>
          <w:highlight w:val="none"/>
        </w:rPr>
        <w:t>网和相关服务</w:t>
      </w:r>
      <w:r>
        <w:rPr>
          <w:spacing w:val="-7"/>
          <w:sz w:val="24"/>
          <w:szCs w:val="24"/>
          <w:highlight w:val="none"/>
        </w:rPr>
        <w:t>），</w:t>
      </w:r>
      <w:r>
        <w:rPr>
          <w:spacing w:val="-4"/>
          <w:sz w:val="24"/>
          <w:szCs w:val="24"/>
          <w:highlight w:val="none"/>
        </w:rPr>
        <w:t>软件和信息技术服务业，房地产开发经营，物业管理，租</w:t>
      </w:r>
      <w:r>
        <w:rPr>
          <w:spacing w:val="-5"/>
          <w:sz w:val="24"/>
          <w:szCs w:val="24"/>
          <w:highlight w:val="none"/>
        </w:rPr>
        <w:t>赁和商务</w:t>
      </w:r>
      <w:r>
        <w:rPr>
          <w:sz w:val="24"/>
          <w:szCs w:val="24"/>
          <w:highlight w:val="none"/>
        </w:rPr>
        <w:t xml:space="preserve"> </w:t>
      </w:r>
      <w:r>
        <w:rPr>
          <w:spacing w:val="-8"/>
          <w:sz w:val="24"/>
          <w:szCs w:val="24"/>
          <w:highlight w:val="none"/>
        </w:rPr>
        <w:t>服务业，其他未列明行业（包括科学研究和技术服务业，水利、环境和公共设施管理业，</w:t>
      </w:r>
      <w:r>
        <w:rPr>
          <w:spacing w:val="-3"/>
          <w:sz w:val="24"/>
          <w:szCs w:val="24"/>
          <w:highlight w:val="none"/>
        </w:rPr>
        <w:t>居民服务、修理和其他服务业，社会工作，文化、体育和娱</w:t>
      </w:r>
      <w:r>
        <w:rPr>
          <w:spacing w:val="-4"/>
          <w:sz w:val="24"/>
          <w:szCs w:val="24"/>
          <w:highlight w:val="none"/>
        </w:rPr>
        <w:t>乐业等）。</w:t>
      </w:r>
    </w:p>
    <w:p w14:paraId="1559D59F">
      <w:pPr>
        <w:pStyle w:val="6"/>
        <w:spacing w:before="92" w:line="221" w:lineRule="auto"/>
        <w:ind w:left="569"/>
        <w:rPr>
          <w:sz w:val="24"/>
          <w:szCs w:val="24"/>
          <w:highlight w:val="none"/>
        </w:rPr>
      </w:pPr>
      <w:r>
        <w:rPr>
          <w:spacing w:val="-7"/>
          <w:sz w:val="24"/>
          <w:szCs w:val="24"/>
          <w:highlight w:val="none"/>
        </w:rPr>
        <w:t>四、各行业划型标准为：</w:t>
      </w:r>
    </w:p>
    <w:p w14:paraId="73F6E319">
      <w:pPr>
        <w:pStyle w:val="6"/>
        <w:spacing w:before="134" w:line="222" w:lineRule="auto"/>
        <w:ind w:left="522"/>
        <w:rPr>
          <w:sz w:val="24"/>
          <w:szCs w:val="24"/>
          <w:highlight w:val="none"/>
        </w:rPr>
      </w:pPr>
      <w:r>
        <w:rPr>
          <w:spacing w:val="-4"/>
          <w:sz w:val="24"/>
          <w:szCs w:val="24"/>
          <w:highlight w:val="none"/>
        </w:rPr>
        <w:t>（一）农、林、牧、渔业。营业收入20000万元</w:t>
      </w:r>
      <w:r>
        <w:rPr>
          <w:spacing w:val="-5"/>
          <w:sz w:val="24"/>
          <w:szCs w:val="24"/>
          <w:highlight w:val="none"/>
        </w:rPr>
        <w:t>以下的为中小微型企业。其中，</w:t>
      </w:r>
    </w:p>
    <w:p w14:paraId="01799038">
      <w:pPr>
        <w:pStyle w:val="6"/>
        <w:spacing w:before="70" w:line="278" w:lineRule="auto"/>
        <w:ind w:left="54" w:right="382" w:hanging="6"/>
        <w:rPr>
          <w:sz w:val="24"/>
          <w:szCs w:val="24"/>
          <w:highlight w:val="none"/>
        </w:rPr>
      </w:pPr>
      <w:r>
        <w:rPr>
          <w:spacing w:val="-3"/>
          <w:sz w:val="24"/>
          <w:szCs w:val="24"/>
          <w:highlight w:val="none"/>
        </w:rPr>
        <w:t>营业收入500万元及以上的为中型企业，营业收入50万元及以上的为小型企业，营业</w:t>
      </w:r>
      <w:r>
        <w:rPr>
          <w:spacing w:val="-5"/>
          <w:sz w:val="24"/>
          <w:szCs w:val="24"/>
          <w:highlight w:val="none"/>
        </w:rPr>
        <w:t>收入50万元以下的为微型企业。</w:t>
      </w:r>
    </w:p>
    <w:p w14:paraId="352D75A0">
      <w:pPr>
        <w:pStyle w:val="6"/>
        <w:spacing w:before="113" w:line="286" w:lineRule="auto"/>
        <w:ind w:left="35" w:right="183" w:firstLine="499"/>
        <w:rPr>
          <w:sz w:val="24"/>
          <w:szCs w:val="24"/>
          <w:highlight w:val="none"/>
        </w:rPr>
      </w:pPr>
      <w:r>
        <w:rPr>
          <w:spacing w:val="-4"/>
          <w:sz w:val="24"/>
          <w:szCs w:val="24"/>
          <w:highlight w:val="none"/>
        </w:rPr>
        <w:t>（二）工业。从业人员1000人以下或营业收入40000万元以下的为中小微型企业。</w:t>
      </w:r>
      <w:r>
        <w:rPr>
          <w:spacing w:val="-2"/>
          <w:sz w:val="24"/>
          <w:szCs w:val="24"/>
          <w:highlight w:val="none"/>
        </w:rPr>
        <w:t>其中，从业人员300人及以上，且营业收入2000万元及以</w:t>
      </w:r>
      <w:r>
        <w:rPr>
          <w:spacing w:val="-3"/>
          <w:sz w:val="24"/>
          <w:szCs w:val="24"/>
          <w:highlight w:val="none"/>
        </w:rPr>
        <w:t>上的为中型企业；从业人员</w:t>
      </w:r>
      <w:r>
        <w:rPr>
          <w:sz w:val="24"/>
          <w:szCs w:val="24"/>
          <w:highlight w:val="none"/>
        </w:rPr>
        <w:t xml:space="preserve"> </w:t>
      </w:r>
      <w:r>
        <w:rPr>
          <w:spacing w:val="-3"/>
          <w:sz w:val="24"/>
          <w:szCs w:val="24"/>
          <w:highlight w:val="none"/>
        </w:rPr>
        <w:t>20人及以上，且营业收入300万元及以上的为小型企业；从业人员20人以下或营业收</w:t>
      </w:r>
      <w:r>
        <w:rPr>
          <w:spacing w:val="-4"/>
          <w:sz w:val="24"/>
          <w:szCs w:val="24"/>
          <w:highlight w:val="none"/>
        </w:rPr>
        <w:t>入300万元以下的为微型企业。</w:t>
      </w:r>
    </w:p>
    <w:p w14:paraId="745B0A63">
      <w:pPr>
        <w:pStyle w:val="6"/>
        <w:spacing w:before="112" w:line="263" w:lineRule="auto"/>
        <w:ind w:left="45" w:right="362" w:firstLine="457"/>
        <w:rPr>
          <w:rFonts w:hint="eastAsia" w:ascii="Arial" w:eastAsia="宋体"/>
          <w:sz w:val="21"/>
          <w:highlight w:val="none"/>
          <w:lang w:eastAsia="zh-CN"/>
        </w:rPr>
      </w:pPr>
      <w:r>
        <w:rPr>
          <w:spacing w:val="-4"/>
          <w:sz w:val="24"/>
          <w:szCs w:val="24"/>
          <w:highlight w:val="none"/>
        </w:rPr>
        <w:t>（三）建筑业。营业收入80000万元以下或资</w:t>
      </w:r>
      <w:r>
        <w:rPr>
          <w:spacing w:val="-5"/>
          <w:sz w:val="24"/>
          <w:szCs w:val="24"/>
          <w:highlight w:val="none"/>
        </w:rPr>
        <w:t>产总额80000万元以下的为中小微型企业。其中，营业收入6000万元及以上，且资产总额5000万元及以上的为中型企业；</w:t>
      </w:r>
      <w:r>
        <w:rPr>
          <w:spacing w:val="-4"/>
          <w:sz w:val="24"/>
          <w:szCs w:val="24"/>
          <w:highlight w:val="none"/>
        </w:rPr>
        <w:t>营业收入300万元及以上，且资产总额300万元及以上</w:t>
      </w:r>
      <w:r>
        <w:rPr>
          <w:spacing w:val="-5"/>
          <w:sz w:val="24"/>
          <w:szCs w:val="24"/>
          <w:highlight w:val="none"/>
        </w:rPr>
        <w:t>的为小型企业；营业收入300万</w:t>
      </w:r>
      <w:r>
        <w:rPr>
          <w:spacing w:val="-3"/>
          <w:sz w:val="24"/>
          <w:szCs w:val="24"/>
          <w:highlight w:val="none"/>
        </w:rPr>
        <w:t>元以下或资产总额300万元以下的为微型企业。</w:t>
      </w:r>
    </w:p>
    <w:p w14:paraId="0E1B42F1">
      <w:pPr>
        <w:pStyle w:val="6"/>
        <w:spacing w:before="78" w:line="285" w:lineRule="auto"/>
        <w:ind w:left="39" w:right="4" w:firstLine="463"/>
        <w:rPr>
          <w:sz w:val="24"/>
          <w:szCs w:val="24"/>
          <w:highlight w:val="none"/>
        </w:rPr>
      </w:pPr>
      <w:r>
        <w:rPr>
          <w:spacing w:val="-5"/>
          <w:sz w:val="24"/>
          <w:szCs w:val="24"/>
          <w:highlight w:val="none"/>
        </w:rPr>
        <w:t>（四）批发业。从业人员200人以下或营业收入400</w:t>
      </w:r>
      <w:r>
        <w:rPr>
          <w:spacing w:val="-6"/>
          <w:sz w:val="24"/>
          <w:szCs w:val="24"/>
          <w:highlight w:val="none"/>
        </w:rPr>
        <w:t>00万元以下的为中小微型企业。</w:t>
      </w:r>
      <w:r>
        <w:rPr>
          <w:spacing w:val="-4"/>
          <w:sz w:val="24"/>
          <w:szCs w:val="24"/>
          <w:highlight w:val="none"/>
        </w:rPr>
        <w:t>其中，从业人员20人及以上，且营业收入5000万元及以上的为中型</w:t>
      </w:r>
      <w:r>
        <w:rPr>
          <w:spacing w:val="-5"/>
          <w:sz w:val="24"/>
          <w:szCs w:val="24"/>
          <w:highlight w:val="none"/>
        </w:rPr>
        <w:t>企业；从业人员5人</w:t>
      </w:r>
      <w:r>
        <w:rPr>
          <w:spacing w:val="-3"/>
          <w:sz w:val="24"/>
          <w:szCs w:val="24"/>
          <w:highlight w:val="none"/>
        </w:rPr>
        <w:t>及以上，且营业收入1000万元及以上的为小型企业；从业人员5人以下或营业收入</w:t>
      </w:r>
    </w:p>
    <w:p w14:paraId="220A99A3">
      <w:pPr>
        <w:pStyle w:val="6"/>
        <w:spacing w:line="222" w:lineRule="auto"/>
        <w:ind w:left="47"/>
        <w:rPr>
          <w:sz w:val="24"/>
          <w:szCs w:val="24"/>
          <w:highlight w:val="none"/>
        </w:rPr>
      </w:pPr>
      <w:r>
        <w:rPr>
          <w:spacing w:val="-5"/>
          <w:sz w:val="24"/>
          <w:szCs w:val="24"/>
          <w:highlight w:val="none"/>
        </w:rPr>
        <w:t>1000万元以下的为微型企业。</w:t>
      </w:r>
    </w:p>
    <w:p w14:paraId="74F3DE6B">
      <w:pPr>
        <w:pStyle w:val="6"/>
        <w:spacing w:before="193" w:line="286" w:lineRule="auto"/>
        <w:ind w:left="39" w:firstLine="463"/>
        <w:rPr>
          <w:sz w:val="24"/>
          <w:szCs w:val="24"/>
          <w:highlight w:val="none"/>
        </w:rPr>
      </w:pPr>
      <w:r>
        <w:rPr>
          <w:spacing w:val="-5"/>
          <w:sz w:val="24"/>
          <w:szCs w:val="24"/>
          <w:highlight w:val="none"/>
        </w:rPr>
        <w:t>（五）零售业。从业人员300人以下或营业收入20000万元以</w:t>
      </w:r>
      <w:r>
        <w:rPr>
          <w:spacing w:val="-6"/>
          <w:sz w:val="24"/>
          <w:szCs w:val="24"/>
          <w:highlight w:val="none"/>
        </w:rPr>
        <w:t>下的为中小微型企业。</w:t>
      </w:r>
      <w:r>
        <w:rPr>
          <w:spacing w:val="-3"/>
          <w:sz w:val="24"/>
          <w:szCs w:val="24"/>
          <w:highlight w:val="none"/>
        </w:rPr>
        <w:t>其中，从业人员50人及以上，且营业收入500万元及以上的为中型企业；从业人员10</w:t>
      </w:r>
      <w:r>
        <w:rPr>
          <w:spacing w:val="5"/>
          <w:sz w:val="24"/>
          <w:szCs w:val="24"/>
          <w:highlight w:val="none"/>
        </w:rPr>
        <w:t xml:space="preserve"> </w:t>
      </w:r>
      <w:r>
        <w:rPr>
          <w:spacing w:val="-4"/>
          <w:sz w:val="24"/>
          <w:szCs w:val="24"/>
          <w:highlight w:val="none"/>
        </w:rPr>
        <w:t>人及以上，且营业收入100万元及以上的为小型企业；从业人员10人以下或营业收入</w:t>
      </w:r>
      <w:r>
        <w:rPr>
          <w:spacing w:val="4"/>
          <w:sz w:val="24"/>
          <w:szCs w:val="24"/>
          <w:highlight w:val="none"/>
        </w:rPr>
        <w:t xml:space="preserve">  </w:t>
      </w:r>
      <w:r>
        <w:rPr>
          <w:spacing w:val="-5"/>
          <w:sz w:val="24"/>
          <w:szCs w:val="24"/>
          <w:highlight w:val="none"/>
        </w:rPr>
        <w:t>100万元以下的为微型企业。</w:t>
      </w:r>
    </w:p>
    <w:p w14:paraId="670A0605">
      <w:pPr>
        <w:pStyle w:val="6"/>
        <w:spacing w:before="108" w:line="286" w:lineRule="auto"/>
        <w:ind w:left="43" w:right="15" w:firstLine="491"/>
        <w:rPr>
          <w:sz w:val="24"/>
          <w:szCs w:val="24"/>
          <w:highlight w:val="none"/>
        </w:rPr>
      </w:pPr>
      <w:r>
        <w:rPr>
          <w:spacing w:val="-3"/>
          <w:sz w:val="24"/>
          <w:szCs w:val="24"/>
          <w:highlight w:val="none"/>
        </w:rPr>
        <w:t>（六）交通运输业。从业人员1000人以下或营</w:t>
      </w:r>
      <w:r>
        <w:rPr>
          <w:spacing w:val="-4"/>
          <w:sz w:val="24"/>
          <w:szCs w:val="24"/>
          <w:highlight w:val="none"/>
        </w:rPr>
        <w:t>业收入30000万元以下的为中小微型</w:t>
      </w:r>
      <w:r>
        <w:rPr>
          <w:spacing w:val="-3"/>
          <w:sz w:val="24"/>
          <w:szCs w:val="24"/>
          <w:highlight w:val="none"/>
        </w:rPr>
        <w:t>企业。其中，从业人员300人及以上，且营业收入3000万元及以上的为中</w:t>
      </w:r>
      <w:r>
        <w:rPr>
          <w:spacing w:val="-4"/>
          <w:sz w:val="24"/>
          <w:szCs w:val="24"/>
          <w:highlight w:val="none"/>
        </w:rPr>
        <w:t>型企业；从业</w:t>
      </w:r>
      <w:r>
        <w:rPr>
          <w:spacing w:val="-5"/>
          <w:sz w:val="24"/>
          <w:szCs w:val="24"/>
          <w:highlight w:val="none"/>
        </w:rPr>
        <w:t>人员20人及以上，且营业收入200万元及以上的为小型企业；从业</w:t>
      </w:r>
      <w:r>
        <w:rPr>
          <w:spacing w:val="-6"/>
          <w:sz w:val="24"/>
          <w:szCs w:val="24"/>
          <w:highlight w:val="none"/>
        </w:rPr>
        <w:t>人员20人以下或营业</w:t>
      </w:r>
      <w:r>
        <w:rPr>
          <w:spacing w:val="-4"/>
          <w:sz w:val="24"/>
          <w:szCs w:val="24"/>
          <w:highlight w:val="none"/>
        </w:rPr>
        <w:t>收入200万元以下的为微型企业。</w:t>
      </w:r>
    </w:p>
    <w:p w14:paraId="6029524D">
      <w:pPr>
        <w:pStyle w:val="6"/>
        <w:spacing w:before="109" w:line="286" w:lineRule="auto"/>
        <w:ind w:left="35" w:right="2" w:firstLine="467"/>
        <w:rPr>
          <w:sz w:val="24"/>
          <w:szCs w:val="24"/>
          <w:highlight w:val="none"/>
        </w:rPr>
      </w:pPr>
      <w:r>
        <w:rPr>
          <w:spacing w:val="-5"/>
          <w:sz w:val="24"/>
          <w:szCs w:val="24"/>
          <w:highlight w:val="none"/>
        </w:rPr>
        <w:t>（七）仓储业。从业人员200人以下或营业收入30000</w:t>
      </w:r>
      <w:r>
        <w:rPr>
          <w:spacing w:val="-6"/>
          <w:sz w:val="24"/>
          <w:szCs w:val="24"/>
          <w:highlight w:val="none"/>
        </w:rPr>
        <w:t>万元以下的为中小微型企业。</w:t>
      </w:r>
      <w:r>
        <w:rPr>
          <w:spacing w:val="-3"/>
          <w:sz w:val="24"/>
          <w:szCs w:val="24"/>
          <w:highlight w:val="none"/>
        </w:rPr>
        <w:t>其中，从业人员100人及以上，且营业收入1000万元及以上的为中型企业；从</w:t>
      </w:r>
      <w:r>
        <w:rPr>
          <w:spacing w:val="-4"/>
          <w:sz w:val="24"/>
          <w:szCs w:val="24"/>
          <w:highlight w:val="none"/>
        </w:rPr>
        <w:t>业人员</w:t>
      </w:r>
      <w:r>
        <w:rPr>
          <w:sz w:val="24"/>
          <w:szCs w:val="24"/>
          <w:highlight w:val="none"/>
        </w:rPr>
        <w:t xml:space="preserve">  </w:t>
      </w:r>
      <w:r>
        <w:rPr>
          <w:spacing w:val="-3"/>
          <w:sz w:val="24"/>
          <w:szCs w:val="24"/>
          <w:highlight w:val="none"/>
        </w:rPr>
        <w:t>20人及以上，且营业收入100万元及以上的为小型企业；从业人员20人以下或营业收</w:t>
      </w:r>
      <w:r>
        <w:rPr>
          <w:spacing w:val="3"/>
          <w:sz w:val="24"/>
          <w:szCs w:val="24"/>
          <w:highlight w:val="none"/>
        </w:rPr>
        <w:t xml:space="preserve"> </w:t>
      </w:r>
      <w:r>
        <w:rPr>
          <w:spacing w:val="-4"/>
          <w:sz w:val="24"/>
          <w:szCs w:val="24"/>
          <w:highlight w:val="none"/>
        </w:rPr>
        <w:t>入100万元以下的为微型企业。</w:t>
      </w:r>
    </w:p>
    <w:p w14:paraId="05DF5346">
      <w:pPr>
        <w:pStyle w:val="6"/>
        <w:spacing w:before="109" w:line="286" w:lineRule="auto"/>
        <w:ind w:left="37" w:right="231" w:firstLine="496"/>
        <w:rPr>
          <w:sz w:val="24"/>
          <w:szCs w:val="24"/>
          <w:highlight w:val="none"/>
        </w:rPr>
      </w:pPr>
      <w:r>
        <w:rPr>
          <w:spacing w:val="-3"/>
          <w:sz w:val="24"/>
          <w:szCs w:val="24"/>
          <w:highlight w:val="none"/>
        </w:rPr>
        <w:t>（八）邮政业。从业人员1000人以下或营业</w:t>
      </w:r>
      <w:r>
        <w:rPr>
          <w:spacing w:val="-4"/>
          <w:sz w:val="24"/>
          <w:szCs w:val="24"/>
          <w:highlight w:val="none"/>
        </w:rPr>
        <w:t>收入30000万元以下的为中小微型企</w:t>
      </w:r>
      <w:r>
        <w:rPr>
          <w:spacing w:val="-2"/>
          <w:sz w:val="24"/>
          <w:szCs w:val="24"/>
          <w:highlight w:val="none"/>
        </w:rPr>
        <w:t>业。其中，从业人员300人及以上，且营业收入2</w:t>
      </w:r>
      <w:r>
        <w:rPr>
          <w:spacing w:val="-3"/>
          <w:sz w:val="24"/>
          <w:szCs w:val="24"/>
          <w:highlight w:val="none"/>
        </w:rPr>
        <w:t>000万元及以上的为中型企业；从业人员20人及以上，且营业收入100万元及以上的为小型企业；从业人员20人以下或营</w:t>
      </w:r>
      <w:r>
        <w:rPr>
          <w:spacing w:val="-4"/>
          <w:sz w:val="24"/>
          <w:szCs w:val="24"/>
          <w:highlight w:val="none"/>
        </w:rPr>
        <w:t>业收入100万元以下的为微型企业。</w:t>
      </w:r>
    </w:p>
    <w:p w14:paraId="7C8F91C9">
      <w:pPr>
        <w:pStyle w:val="6"/>
        <w:spacing w:before="113" w:line="285" w:lineRule="auto"/>
        <w:ind w:left="39" w:right="7" w:firstLine="463"/>
        <w:rPr>
          <w:sz w:val="24"/>
          <w:szCs w:val="24"/>
          <w:highlight w:val="none"/>
        </w:rPr>
      </w:pPr>
      <w:r>
        <w:rPr>
          <w:spacing w:val="-5"/>
          <w:sz w:val="24"/>
          <w:szCs w:val="24"/>
          <w:highlight w:val="none"/>
        </w:rPr>
        <w:t>（九）住宿业。从业人员300人以下或营业收入</w:t>
      </w:r>
      <w:r>
        <w:rPr>
          <w:spacing w:val="-6"/>
          <w:sz w:val="24"/>
          <w:szCs w:val="24"/>
          <w:highlight w:val="none"/>
        </w:rPr>
        <w:t>10000万元以下的为中小微型企业。</w:t>
      </w:r>
      <w:r>
        <w:rPr>
          <w:spacing w:val="-3"/>
          <w:sz w:val="24"/>
          <w:szCs w:val="24"/>
          <w:highlight w:val="none"/>
        </w:rPr>
        <w:t>其中，从业人员100人及以上，且营业收入2000万元及以上的为中型企业；从业人员</w:t>
      </w:r>
      <w:r>
        <w:rPr>
          <w:spacing w:val="4"/>
          <w:sz w:val="24"/>
          <w:szCs w:val="24"/>
          <w:highlight w:val="none"/>
        </w:rPr>
        <w:t xml:space="preserve">  </w:t>
      </w:r>
      <w:r>
        <w:rPr>
          <w:spacing w:val="-4"/>
          <w:sz w:val="24"/>
          <w:szCs w:val="24"/>
          <w:highlight w:val="none"/>
        </w:rPr>
        <w:t>10人及以上，且营业收入100万元及以上的为小型企业；从业人员10人以下或营业收</w:t>
      </w:r>
      <w:r>
        <w:rPr>
          <w:spacing w:val="5"/>
          <w:sz w:val="24"/>
          <w:szCs w:val="24"/>
          <w:highlight w:val="none"/>
        </w:rPr>
        <w:t xml:space="preserve"> </w:t>
      </w:r>
      <w:r>
        <w:rPr>
          <w:spacing w:val="-5"/>
          <w:sz w:val="24"/>
          <w:szCs w:val="24"/>
          <w:highlight w:val="none"/>
        </w:rPr>
        <w:t>入100万元以下的为微型企业。</w:t>
      </w:r>
    </w:p>
    <w:p w14:paraId="5D15473F">
      <w:pPr>
        <w:pStyle w:val="6"/>
        <w:spacing w:before="112" w:line="286" w:lineRule="auto"/>
        <w:ind w:left="39" w:right="7" w:firstLine="463"/>
        <w:rPr>
          <w:sz w:val="24"/>
          <w:szCs w:val="24"/>
          <w:highlight w:val="none"/>
        </w:rPr>
      </w:pPr>
      <w:r>
        <w:rPr>
          <w:spacing w:val="-5"/>
          <w:sz w:val="24"/>
          <w:szCs w:val="24"/>
          <w:highlight w:val="none"/>
        </w:rPr>
        <w:t>（十）餐饮业。从业人员300人以下或营业收入</w:t>
      </w:r>
      <w:r>
        <w:rPr>
          <w:spacing w:val="-6"/>
          <w:sz w:val="24"/>
          <w:szCs w:val="24"/>
          <w:highlight w:val="none"/>
        </w:rPr>
        <w:t>10000万元以下的为中小微型企业。</w:t>
      </w:r>
      <w:r>
        <w:rPr>
          <w:spacing w:val="-3"/>
          <w:sz w:val="24"/>
          <w:szCs w:val="24"/>
          <w:highlight w:val="none"/>
        </w:rPr>
        <w:t>其中，从业人员100人及以上，且营业收入2000万元及以上的为中型企业；从业人员</w:t>
      </w:r>
      <w:r>
        <w:rPr>
          <w:spacing w:val="4"/>
          <w:sz w:val="24"/>
          <w:szCs w:val="24"/>
          <w:highlight w:val="none"/>
        </w:rPr>
        <w:t xml:space="preserve">  </w:t>
      </w:r>
      <w:r>
        <w:rPr>
          <w:spacing w:val="-4"/>
          <w:sz w:val="24"/>
          <w:szCs w:val="24"/>
          <w:highlight w:val="none"/>
        </w:rPr>
        <w:t>10人及以上，且营业收入100万元及以上的为小型企业；从业人员10人以下或营业收</w:t>
      </w:r>
      <w:r>
        <w:rPr>
          <w:spacing w:val="5"/>
          <w:sz w:val="24"/>
          <w:szCs w:val="24"/>
          <w:highlight w:val="none"/>
        </w:rPr>
        <w:t xml:space="preserve"> </w:t>
      </w:r>
      <w:r>
        <w:rPr>
          <w:spacing w:val="-5"/>
          <w:sz w:val="24"/>
          <w:szCs w:val="24"/>
          <w:highlight w:val="none"/>
        </w:rPr>
        <w:t>入100万元以下的为微型企业。</w:t>
      </w:r>
    </w:p>
    <w:p w14:paraId="6B43167B">
      <w:pPr>
        <w:pStyle w:val="6"/>
        <w:spacing w:before="110" w:line="301" w:lineRule="auto"/>
        <w:ind w:left="36" w:right="61" w:firstLine="466"/>
        <w:rPr>
          <w:sz w:val="24"/>
          <w:szCs w:val="24"/>
          <w:highlight w:val="none"/>
        </w:rPr>
      </w:pPr>
      <w:r>
        <w:rPr>
          <w:spacing w:val="-1"/>
          <w:sz w:val="24"/>
          <w:szCs w:val="24"/>
          <w:highlight w:val="none"/>
        </w:rPr>
        <w:t>（十一）信息传输业。从业人员2000人以下或营业收入100000万元以下的为中小</w:t>
      </w:r>
      <w:r>
        <w:rPr>
          <w:spacing w:val="-4"/>
          <w:sz w:val="24"/>
          <w:szCs w:val="24"/>
          <w:highlight w:val="none"/>
        </w:rPr>
        <w:t>微型企业。其中，从业人员100人及以上，且营业收入1000万元及以上的为中型企业；</w:t>
      </w:r>
      <w:r>
        <w:rPr>
          <w:spacing w:val="2"/>
          <w:sz w:val="24"/>
          <w:szCs w:val="24"/>
          <w:highlight w:val="none"/>
        </w:rPr>
        <w:t>从业人员10人及以上，且营业收入100万元及以上的为小型企业；从业人员</w:t>
      </w:r>
      <w:r>
        <w:rPr>
          <w:spacing w:val="1"/>
          <w:sz w:val="24"/>
          <w:szCs w:val="24"/>
          <w:highlight w:val="none"/>
        </w:rPr>
        <w:t>10人以下</w:t>
      </w:r>
      <w:r>
        <w:rPr>
          <w:spacing w:val="-4"/>
          <w:sz w:val="24"/>
          <w:szCs w:val="24"/>
          <w:highlight w:val="none"/>
        </w:rPr>
        <w:t>或营业收入100万元以下的为微型企业。</w:t>
      </w:r>
    </w:p>
    <w:p w14:paraId="1AF08A9E">
      <w:pPr>
        <w:pStyle w:val="6"/>
        <w:spacing w:before="75" w:line="300" w:lineRule="auto"/>
        <w:ind w:left="56" w:right="37" w:firstLine="478"/>
        <w:rPr>
          <w:sz w:val="24"/>
          <w:szCs w:val="24"/>
          <w:highlight w:val="none"/>
        </w:rPr>
      </w:pPr>
      <w:r>
        <w:rPr>
          <w:spacing w:val="-1"/>
          <w:sz w:val="24"/>
          <w:szCs w:val="24"/>
          <w:highlight w:val="none"/>
        </w:rPr>
        <w:t>（十二）软件和信息技术服务业。从业人员300人以下或营业收入10000万</w:t>
      </w:r>
      <w:r>
        <w:rPr>
          <w:spacing w:val="-2"/>
          <w:sz w:val="24"/>
          <w:szCs w:val="24"/>
          <w:highlight w:val="none"/>
        </w:rPr>
        <w:t>元以下</w:t>
      </w:r>
      <w:r>
        <w:rPr>
          <w:spacing w:val="2"/>
          <w:sz w:val="24"/>
          <w:szCs w:val="24"/>
          <w:highlight w:val="none"/>
        </w:rPr>
        <w:t>的为中小微型企业。其中，从业人员100人及以上，且营业收入1000万元及以上的为</w:t>
      </w:r>
    </w:p>
    <w:p w14:paraId="760A8487">
      <w:pPr>
        <w:pStyle w:val="6"/>
        <w:spacing w:before="78" w:line="300" w:lineRule="auto"/>
        <w:ind w:left="52" w:right="36" w:firstLine="20"/>
        <w:rPr>
          <w:sz w:val="24"/>
          <w:szCs w:val="24"/>
          <w:highlight w:val="none"/>
        </w:rPr>
      </w:pPr>
      <w:r>
        <w:rPr>
          <w:spacing w:val="-1"/>
          <w:sz w:val="24"/>
          <w:szCs w:val="24"/>
          <w:highlight w:val="none"/>
        </w:rPr>
        <w:t>中型企业；从业人员10人及以上，且营业收</w:t>
      </w:r>
      <w:r>
        <w:rPr>
          <w:spacing w:val="-2"/>
          <w:sz w:val="24"/>
          <w:szCs w:val="24"/>
          <w:highlight w:val="none"/>
        </w:rPr>
        <w:t>入50万元及以上的为小型企业；从业人员</w:t>
      </w:r>
      <w:r>
        <w:rPr>
          <w:spacing w:val="-4"/>
          <w:sz w:val="24"/>
          <w:szCs w:val="24"/>
          <w:highlight w:val="none"/>
        </w:rPr>
        <w:t>10人以下或营业收入50万元以下的为微型企业。</w:t>
      </w:r>
    </w:p>
    <w:p w14:paraId="6E5BBE5D">
      <w:pPr>
        <w:pStyle w:val="6"/>
        <w:spacing w:before="31" w:line="305" w:lineRule="auto"/>
        <w:ind w:left="46" w:right="35" w:firstLine="487"/>
        <w:rPr>
          <w:sz w:val="24"/>
          <w:szCs w:val="24"/>
          <w:highlight w:val="none"/>
        </w:rPr>
      </w:pPr>
      <w:r>
        <w:rPr>
          <w:spacing w:val="2"/>
          <w:sz w:val="24"/>
          <w:szCs w:val="24"/>
          <w:highlight w:val="none"/>
        </w:rPr>
        <w:t>（十三）房地产开发经营。营业收入200000万元以下或资产总额10000万元以下</w:t>
      </w:r>
      <w:r>
        <w:rPr>
          <w:spacing w:val="-1"/>
          <w:sz w:val="24"/>
          <w:szCs w:val="24"/>
          <w:highlight w:val="none"/>
        </w:rPr>
        <w:t>的为中小微型企业。其中，营业收入1000万元及以上，且资产总额5000万元及以上的</w:t>
      </w:r>
      <w:r>
        <w:rPr>
          <w:spacing w:val="2"/>
          <w:sz w:val="24"/>
          <w:szCs w:val="24"/>
          <w:highlight w:val="none"/>
        </w:rPr>
        <w:t>为中型企业；营业收入100万元及以上，且资产总额2000万元及以上的为小型企业；</w:t>
      </w:r>
      <w:r>
        <w:rPr>
          <w:spacing w:val="-3"/>
          <w:sz w:val="24"/>
          <w:szCs w:val="24"/>
          <w:highlight w:val="none"/>
        </w:rPr>
        <w:t>营业收入100万元以下或资产总额2000万元以下的为微型企业。</w:t>
      </w:r>
    </w:p>
    <w:p w14:paraId="655B6D74">
      <w:pPr>
        <w:pStyle w:val="6"/>
        <w:spacing w:before="13" w:line="301" w:lineRule="auto"/>
        <w:ind w:left="42" w:right="4" w:firstLine="460"/>
        <w:rPr>
          <w:sz w:val="24"/>
          <w:szCs w:val="24"/>
          <w:highlight w:val="none"/>
        </w:rPr>
      </w:pPr>
      <w:r>
        <w:rPr>
          <w:spacing w:val="1"/>
          <w:sz w:val="24"/>
          <w:szCs w:val="24"/>
          <w:highlight w:val="none"/>
        </w:rPr>
        <w:t>（十四）物业管理。从业人员1000人以下或营业</w:t>
      </w:r>
      <w:r>
        <w:rPr>
          <w:sz w:val="24"/>
          <w:szCs w:val="24"/>
          <w:highlight w:val="none"/>
        </w:rPr>
        <w:t>收入5000万元以下的为中小微型</w:t>
      </w:r>
      <w:r>
        <w:rPr>
          <w:spacing w:val="-3"/>
          <w:sz w:val="24"/>
          <w:szCs w:val="24"/>
          <w:highlight w:val="none"/>
        </w:rPr>
        <w:t>企业。其中，从业人员300人及以上，且营业收入1000万元及以上的为中型企业；从业人员100人及以上，且营业收入500万元及以上的为小型企业；从业人员100人以下或营</w:t>
      </w:r>
      <w:r>
        <w:rPr>
          <w:spacing w:val="-4"/>
          <w:sz w:val="24"/>
          <w:szCs w:val="24"/>
          <w:highlight w:val="none"/>
        </w:rPr>
        <w:t>业收入500万元以下的为微型企业。</w:t>
      </w:r>
    </w:p>
    <w:p w14:paraId="0A216AA9">
      <w:pPr>
        <w:pStyle w:val="6"/>
        <w:spacing w:before="33" w:line="301" w:lineRule="auto"/>
        <w:ind w:left="46" w:right="64" w:firstLine="488"/>
        <w:rPr>
          <w:sz w:val="24"/>
          <w:szCs w:val="24"/>
          <w:highlight w:val="none"/>
        </w:rPr>
      </w:pPr>
      <w:r>
        <w:rPr>
          <w:spacing w:val="1"/>
          <w:sz w:val="24"/>
          <w:szCs w:val="24"/>
          <w:highlight w:val="none"/>
        </w:rPr>
        <w:t>（十五）租赁和商务服务业。从业人员300人以下或资产总额120000万元以下的</w:t>
      </w:r>
      <w:r>
        <w:rPr>
          <w:spacing w:val="2"/>
          <w:sz w:val="24"/>
          <w:szCs w:val="24"/>
          <w:highlight w:val="none"/>
        </w:rPr>
        <w:t>为中小微型企业。其中，从业人员100人及</w:t>
      </w:r>
      <w:r>
        <w:rPr>
          <w:spacing w:val="1"/>
          <w:sz w:val="24"/>
          <w:szCs w:val="24"/>
          <w:highlight w:val="none"/>
        </w:rPr>
        <w:t>以上，且资产总额8000万元及以上的为中</w:t>
      </w:r>
      <w:r>
        <w:rPr>
          <w:spacing w:val="2"/>
          <w:sz w:val="24"/>
          <w:szCs w:val="24"/>
          <w:highlight w:val="none"/>
        </w:rPr>
        <w:t>型企业；从业人员10人及以上，且资产总额1</w:t>
      </w:r>
      <w:r>
        <w:rPr>
          <w:spacing w:val="1"/>
          <w:sz w:val="24"/>
          <w:szCs w:val="24"/>
          <w:highlight w:val="none"/>
        </w:rPr>
        <w:t>00万元及以上的为小型企业；从业人员</w:t>
      </w:r>
      <w:r>
        <w:rPr>
          <w:spacing w:val="-4"/>
          <w:sz w:val="24"/>
          <w:szCs w:val="24"/>
          <w:highlight w:val="none"/>
        </w:rPr>
        <w:t>10人以下或资产总额100万元以下的为微型企业。</w:t>
      </w:r>
    </w:p>
    <w:p w14:paraId="0EC47114">
      <w:pPr>
        <w:pStyle w:val="6"/>
        <w:spacing w:before="30" w:line="299" w:lineRule="auto"/>
        <w:ind w:left="51" w:firstLine="485"/>
        <w:rPr>
          <w:sz w:val="24"/>
          <w:szCs w:val="24"/>
          <w:highlight w:val="none"/>
        </w:rPr>
      </w:pPr>
      <w:r>
        <w:rPr>
          <w:spacing w:val="-3"/>
          <w:sz w:val="24"/>
          <w:szCs w:val="24"/>
          <w:highlight w:val="none"/>
        </w:rPr>
        <w:t>（十六）其他未列明行业。从业人员300人</w:t>
      </w:r>
      <w:r>
        <w:rPr>
          <w:spacing w:val="-4"/>
          <w:sz w:val="24"/>
          <w:szCs w:val="24"/>
          <w:highlight w:val="none"/>
        </w:rPr>
        <w:t>以下的为中小微型企业。其中，从业人</w:t>
      </w:r>
      <w:r>
        <w:rPr>
          <w:spacing w:val="-3"/>
          <w:sz w:val="24"/>
          <w:szCs w:val="24"/>
          <w:highlight w:val="none"/>
        </w:rPr>
        <w:t>员100人及以上的为中型企业；从业人员10人及以上的为小型企业；从业人员10人以下</w:t>
      </w:r>
      <w:r>
        <w:rPr>
          <w:spacing w:val="-8"/>
          <w:sz w:val="24"/>
          <w:szCs w:val="24"/>
          <w:highlight w:val="none"/>
        </w:rPr>
        <w:t>的为微型企业。</w:t>
      </w:r>
    </w:p>
    <w:p w14:paraId="30F62901">
      <w:pPr>
        <w:pStyle w:val="6"/>
        <w:spacing w:before="10" w:line="222" w:lineRule="auto"/>
        <w:ind w:left="528"/>
        <w:rPr>
          <w:sz w:val="24"/>
          <w:szCs w:val="24"/>
          <w:highlight w:val="none"/>
        </w:rPr>
      </w:pPr>
      <w:r>
        <w:rPr>
          <w:spacing w:val="-2"/>
          <w:sz w:val="24"/>
          <w:szCs w:val="24"/>
          <w:highlight w:val="none"/>
        </w:rPr>
        <w:t>五、企业类型的划分以统计部门的统计数据为依据。</w:t>
      </w:r>
    </w:p>
    <w:p w14:paraId="56D29E3A">
      <w:pPr>
        <w:pStyle w:val="6"/>
        <w:spacing w:before="133" w:line="262" w:lineRule="auto"/>
        <w:ind w:left="56" w:right="134" w:firstLine="465"/>
        <w:rPr>
          <w:sz w:val="24"/>
          <w:szCs w:val="24"/>
          <w:highlight w:val="none"/>
        </w:rPr>
      </w:pPr>
      <w:r>
        <w:rPr>
          <w:spacing w:val="-4"/>
          <w:sz w:val="24"/>
          <w:szCs w:val="24"/>
          <w:highlight w:val="none"/>
        </w:rPr>
        <w:t>六、本规定适用于在中华人民共和国境内依法设立的各类所有制和各种组织形式</w:t>
      </w:r>
      <w:r>
        <w:rPr>
          <w:spacing w:val="-2"/>
          <w:sz w:val="24"/>
          <w:szCs w:val="24"/>
          <w:highlight w:val="none"/>
        </w:rPr>
        <w:t>的企业。个体工商户和本规定以外的行业，参照本规定进行划型。</w:t>
      </w:r>
    </w:p>
    <w:p w14:paraId="665F02F6">
      <w:pPr>
        <w:pStyle w:val="6"/>
        <w:spacing w:before="115" w:line="278" w:lineRule="auto"/>
        <w:ind w:left="40" w:right="129" w:firstLine="481"/>
        <w:rPr>
          <w:sz w:val="24"/>
          <w:szCs w:val="24"/>
          <w:highlight w:val="none"/>
        </w:rPr>
      </w:pPr>
      <w:r>
        <w:rPr>
          <w:spacing w:val="-4"/>
          <w:sz w:val="24"/>
          <w:szCs w:val="24"/>
          <w:highlight w:val="none"/>
        </w:rPr>
        <w:t>七、本规定的中型企业标准上限即为大型企业标准的下限，国家统计部门据此制</w:t>
      </w:r>
      <w:r>
        <w:rPr>
          <w:spacing w:val="-3"/>
          <w:sz w:val="24"/>
          <w:szCs w:val="24"/>
          <w:highlight w:val="none"/>
        </w:rPr>
        <w:t>定大中小微型企业的统计分类。国务院有关部门据此进行相关数据</w:t>
      </w:r>
      <w:r>
        <w:rPr>
          <w:spacing w:val="-4"/>
          <w:sz w:val="24"/>
          <w:szCs w:val="24"/>
          <w:highlight w:val="none"/>
        </w:rPr>
        <w:t>分析，不得制定与</w:t>
      </w:r>
      <w:r>
        <w:rPr>
          <w:spacing w:val="-3"/>
          <w:sz w:val="24"/>
          <w:szCs w:val="24"/>
          <w:highlight w:val="none"/>
        </w:rPr>
        <w:t>本规定不一致的企业划型标准。</w:t>
      </w:r>
    </w:p>
    <w:p w14:paraId="71726FA7">
      <w:pPr>
        <w:pStyle w:val="6"/>
        <w:spacing w:before="113" w:line="263" w:lineRule="auto"/>
        <w:ind w:left="40" w:right="134" w:firstLine="481"/>
        <w:rPr>
          <w:sz w:val="24"/>
          <w:szCs w:val="24"/>
          <w:highlight w:val="none"/>
        </w:rPr>
      </w:pPr>
      <w:r>
        <w:rPr>
          <w:spacing w:val="-4"/>
          <w:sz w:val="24"/>
          <w:szCs w:val="24"/>
          <w:highlight w:val="none"/>
        </w:rPr>
        <w:t>八、本规定由工业和信息化部、国家统计局会同有关部门根据《国民经济行业分</w:t>
      </w:r>
      <w:r>
        <w:rPr>
          <w:spacing w:val="-2"/>
          <w:sz w:val="24"/>
          <w:szCs w:val="24"/>
          <w:highlight w:val="none"/>
        </w:rPr>
        <w:t>类》修订情况和企业发展变化情况适时修订。</w:t>
      </w:r>
    </w:p>
    <w:p w14:paraId="593C96B7">
      <w:pPr>
        <w:pStyle w:val="6"/>
        <w:spacing w:before="115" w:line="222" w:lineRule="auto"/>
        <w:ind w:left="526"/>
        <w:rPr>
          <w:sz w:val="24"/>
          <w:szCs w:val="24"/>
          <w:highlight w:val="none"/>
        </w:rPr>
      </w:pPr>
      <w:r>
        <w:rPr>
          <w:spacing w:val="-4"/>
          <w:sz w:val="24"/>
          <w:szCs w:val="24"/>
          <w:highlight w:val="none"/>
        </w:rPr>
        <w:t>九、本规定由工业和信息化部、国家统计局会同有关部门负责解释。</w:t>
      </w:r>
    </w:p>
    <w:p w14:paraId="5A7313F7">
      <w:pPr>
        <w:pStyle w:val="6"/>
        <w:spacing w:before="189" w:line="277" w:lineRule="auto"/>
        <w:ind w:left="43" w:right="134" w:firstLine="480"/>
        <w:rPr>
          <w:sz w:val="24"/>
          <w:szCs w:val="24"/>
          <w:highlight w:val="none"/>
        </w:rPr>
      </w:pPr>
      <w:r>
        <w:rPr>
          <w:spacing w:val="-4"/>
          <w:sz w:val="24"/>
          <w:szCs w:val="24"/>
          <w:highlight w:val="none"/>
        </w:rPr>
        <w:t>十、本规定自发布之日起执行，原国家经贸委、原国家计委、财政部和国家统计局2003年颁布的《中小企业标准暂行规定》同时废止。</w:t>
      </w:r>
    </w:p>
    <w:p w14:paraId="28C77301">
      <w:pPr>
        <w:spacing w:line="358" w:lineRule="auto"/>
        <w:rPr>
          <w:rFonts w:hint="eastAsia" w:ascii="Arial" w:eastAsia="宋体"/>
          <w:sz w:val="21"/>
          <w:highlight w:val="none"/>
          <w:lang w:eastAsia="zh-CN"/>
        </w:rPr>
      </w:pPr>
      <w:r>
        <w:rPr>
          <w:rFonts w:hint="eastAsia" w:ascii="Arial" w:eastAsia="宋体"/>
          <w:sz w:val="21"/>
          <w:highlight w:val="none"/>
          <w:lang w:eastAsia="zh-CN"/>
        </w:rPr>
        <w:br w:type="page"/>
      </w:r>
    </w:p>
    <w:p w14:paraId="2F53E85F">
      <w:pPr>
        <w:pStyle w:val="6"/>
        <w:spacing w:before="78" w:line="220" w:lineRule="auto"/>
        <w:ind w:left="61"/>
        <w:outlineLvl w:val="1"/>
        <w:rPr>
          <w:sz w:val="24"/>
          <w:szCs w:val="24"/>
          <w:highlight w:val="none"/>
        </w:rPr>
      </w:pPr>
      <w:r>
        <w:rPr>
          <w:b/>
          <w:bCs/>
          <w:spacing w:val="-6"/>
          <w:sz w:val="24"/>
          <w:szCs w:val="24"/>
          <w:highlight w:val="none"/>
        </w:rPr>
        <w:t>（</w:t>
      </w:r>
      <w:r>
        <w:rPr>
          <w:rFonts w:hint="eastAsia"/>
          <w:b/>
          <w:bCs/>
          <w:spacing w:val="-6"/>
          <w:sz w:val="24"/>
          <w:szCs w:val="24"/>
          <w:highlight w:val="none"/>
          <w:lang w:val="en-US" w:eastAsia="zh-CN"/>
        </w:rPr>
        <w:t>三</w:t>
      </w:r>
      <w:r>
        <w:rPr>
          <w:b/>
          <w:bCs/>
          <w:spacing w:val="-6"/>
          <w:sz w:val="24"/>
          <w:szCs w:val="24"/>
          <w:highlight w:val="none"/>
        </w:rPr>
        <w:t>）残疾人福利性单位声明函【如适用】</w:t>
      </w:r>
    </w:p>
    <w:p w14:paraId="7A70E1F5">
      <w:pPr>
        <w:spacing w:line="247" w:lineRule="auto"/>
        <w:rPr>
          <w:rFonts w:ascii="Arial"/>
          <w:sz w:val="21"/>
          <w:highlight w:val="none"/>
        </w:rPr>
      </w:pPr>
    </w:p>
    <w:p w14:paraId="68007DC9">
      <w:pPr>
        <w:spacing w:line="247" w:lineRule="auto"/>
        <w:rPr>
          <w:rFonts w:ascii="Arial"/>
          <w:sz w:val="21"/>
          <w:highlight w:val="none"/>
        </w:rPr>
      </w:pPr>
    </w:p>
    <w:p w14:paraId="193B3FB3">
      <w:pPr>
        <w:pStyle w:val="6"/>
        <w:spacing w:before="98" w:line="226" w:lineRule="auto"/>
        <w:ind w:left="2433"/>
        <w:rPr>
          <w:highlight w:val="none"/>
        </w:rPr>
      </w:pPr>
      <w:r>
        <w:rPr>
          <w:b/>
          <w:bCs/>
          <w:spacing w:val="11"/>
          <w:highlight w:val="none"/>
        </w:rPr>
        <w:t>残疾人福利性单位声明函</w:t>
      </w:r>
    </w:p>
    <w:p w14:paraId="15ECDAB2">
      <w:pPr>
        <w:spacing w:line="343" w:lineRule="auto"/>
        <w:rPr>
          <w:rFonts w:ascii="Arial"/>
          <w:sz w:val="21"/>
          <w:highlight w:val="none"/>
        </w:rPr>
      </w:pPr>
    </w:p>
    <w:p w14:paraId="732C0EB1">
      <w:pPr>
        <w:spacing w:line="344" w:lineRule="auto"/>
        <w:rPr>
          <w:rFonts w:ascii="Arial"/>
          <w:sz w:val="21"/>
          <w:highlight w:val="none"/>
        </w:rPr>
      </w:pPr>
    </w:p>
    <w:p w14:paraId="5315FA50">
      <w:pPr>
        <w:pStyle w:val="6"/>
        <w:spacing w:before="78" w:line="348" w:lineRule="auto"/>
        <w:ind w:left="39" w:right="64" w:firstLine="481"/>
        <w:jc w:val="both"/>
        <w:rPr>
          <w:sz w:val="24"/>
          <w:szCs w:val="24"/>
          <w:highlight w:val="none"/>
        </w:rPr>
      </w:pPr>
      <w:r>
        <w:rPr>
          <w:spacing w:val="-1"/>
          <w:sz w:val="24"/>
          <w:szCs w:val="24"/>
          <w:highlight w:val="none"/>
        </w:rPr>
        <w:t>本公司（联合体）郑重声明，根据《财政部民政部中国残疾人联合会关于促进残</w:t>
      </w:r>
      <w:r>
        <w:rPr>
          <w:spacing w:val="2"/>
          <w:sz w:val="24"/>
          <w:szCs w:val="24"/>
          <w:highlight w:val="none"/>
        </w:rPr>
        <w:t>疾人就业政府采购政策的通知》（财库〔2017〕141号）的规定，本公司（联合体）</w:t>
      </w:r>
      <w:r>
        <w:rPr>
          <w:spacing w:val="-1"/>
          <w:sz w:val="24"/>
          <w:szCs w:val="24"/>
          <w:highlight w:val="none"/>
        </w:rPr>
        <w:t>参加</w:t>
      </w:r>
      <w:r>
        <w:rPr>
          <w:i/>
          <w:iCs/>
          <w:spacing w:val="-1"/>
          <w:sz w:val="26"/>
          <w:szCs w:val="26"/>
          <w:highlight w:val="none"/>
          <w:u w:val="single" w:color="auto"/>
        </w:rPr>
        <w:t>（单位名称）</w:t>
      </w:r>
      <w:r>
        <w:rPr>
          <w:spacing w:val="-1"/>
          <w:sz w:val="24"/>
          <w:szCs w:val="24"/>
          <w:highlight w:val="none"/>
        </w:rPr>
        <w:t>的</w:t>
      </w:r>
      <w:r>
        <w:rPr>
          <w:i/>
          <w:iCs/>
          <w:spacing w:val="-1"/>
          <w:sz w:val="26"/>
          <w:szCs w:val="26"/>
          <w:highlight w:val="none"/>
          <w:u w:val="single" w:color="auto"/>
        </w:rPr>
        <w:t>（项目名称）</w:t>
      </w:r>
      <w:r>
        <w:rPr>
          <w:spacing w:val="-1"/>
          <w:sz w:val="24"/>
          <w:szCs w:val="24"/>
          <w:highlight w:val="none"/>
        </w:rPr>
        <w:t>采购活动，提供的货物</w:t>
      </w:r>
      <w:r>
        <w:rPr>
          <w:b/>
          <w:bCs/>
          <w:spacing w:val="-1"/>
          <w:sz w:val="24"/>
          <w:szCs w:val="24"/>
          <w:highlight w:val="none"/>
        </w:rPr>
        <w:t>全部由</w:t>
      </w:r>
      <w:r>
        <w:rPr>
          <w:spacing w:val="-1"/>
          <w:sz w:val="24"/>
          <w:szCs w:val="24"/>
          <w:highlight w:val="none"/>
        </w:rPr>
        <w:t>符合政策要求的</w:t>
      </w:r>
      <w:r>
        <w:rPr>
          <w:b/>
          <w:bCs/>
          <w:spacing w:val="-1"/>
          <w:sz w:val="24"/>
          <w:szCs w:val="24"/>
          <w:highlight w:val="none"/>
        </w:rPr>
        <w:t>残疾人福利性单位制造</w:t>
      </w:r>
      <w:r>
        <w:rPr>
          <w:spacing w:val="-1"/>
          <w:sz w:val="24"/>
          <w:szCs w:val="24"/>
          <w:highlight w:val="none"/>
        </w:rPr>
        <w:t>。相关企业（含联合体中的残疾人福利性单位、</w:t>
      </w:r>
      <w:r>
        <w:rPr>
          <w:spacing w:val="-2"/>
          <w:sz w:val="24"/>
          <w:szCs w:val="24"/>
          <w:highlight w:val="none"/>
        </w:rPr>
        <w:t>签订分包意向协议书的残疾人福利性单位）的具体情况如下：</w:t>
      </w:r>
    </w:p>
    <w:p w14:paraId="68C67C63">
      <w:pPr>
        <w:pStyle w:val="6"/>
        <w:spacing w:before="37" w:line="335" w:lineRule="auto"/>
        <w:ind w:left="548" w:hanging="2"/>
        <w:rPr>
          <w:sz w:val="24"/>
          <w:szCs w:val="24"/>
          <w:highlight w:val="none"/>
        </w:rPr>
      </w:pPr>
      <w:r>
        <w:rPr>
          <w:spacing w:val="-5"/>
          <w:sz w:val="24"/>
          <w:szCs w:val="24"/>
          <w:highlight w:val="none"/>
        </w:rPr>
        <w:t>1.</w:t>
      </w:r>
      <w:r>
        <w:rPr>
          <w:i/>
          <w:iCs/>
          <w:spacing w:val="-5"/>
          <w:sz w:val="26"/>
          <w:szCs w:val="26"/>
          <w:highlight w:val="none"/>
          <w:u w:val="single" w:color="auto"/>
        </w:rPr>
        <w:t>（标的名称</w:t>
      </w:r>
      <w:r>
        <w:rPr>
          <w:i/>
          <w:iCs/>
          <w:spacing w:val="-25"/>
          <w:sz w:val="26"/>
          <w:szCs w:val="26"/>
          <w:highlight w:val="none"/>
          <w:u w:val="single" w:color="auto"/>
        </w:rPr>
        <w:t>）</w:t>
      </w:r>
      <w:r>
        <w:rPr>
          <w:spacing w:val="-25"/>
          <w:sz w:val="24"/>
          <w:szCs w:val="24"/>
          <w:highlight w:val="none"/>
        </w:rPr>
        <w:t>，</w:t>
      </w:r>
      <w:r>
        <w:rPr>
          <w:spacing w:val="-5"/>
          <w:sz w:val="24"/>
          <w:szCs w:val="24"/>
          <w:highlight w:val="none"/>
        </w:rPr>
        <w:t xml:space="preserve">制造商为 </w:t>
      </w:r>
      <w:r>
        <w:rPr>
          <w:i/>
          <w:iCs/>
          <w:spacing w:val="-5"/>
          <w:sz w:val="26"/>
          <w:szCs w:val="26"/>
          <w:highlight w:val="none"/>
          <w:u w:val="single" w:color="auto"/>
        </w:rPr>
        <w:t>（企业名称</w:t>
      </w:r>
      <w:r>
        <w:rPr>
          <w:i/>
          <w:iCs/>
          <w:spacing w:val="-25"/>
          <w:sz w:val="26"/>
          <w:szCs w:val="26"/>
          <w:highlight w:val="none"/>
          <w:u w:val="single" w:color="auto"/>
        </w:rPr>
        <w:t>）</w:t>
      </w:r>
      <w:r>
        <w:rPr>
          <w:spacing w:val="-25"/>
          <w:sz w:val="24"/>
          <w:szCs w:val="24"/>
          <w:highlight w:val="none"/>
        </w:rPr>
        <w:t>，</w:t>
      </w:r>
      <w:r>
        <w:rPr>
          <w:spacing w:val="-5"/>
          <w:sz w:val="24"/>
          <w:szCs w:val="24"/>
          <w:highlight w:val="none"/>
        </w:rPr>
        <w:t>属于</w:t>
      </w:r>
      <w:r>
        <w:rPr>
          <w:spacing w:val="-6"/>
          <w:sz w:val="24"/>
          <w:szCs w:val="24"/>
          <w:highlight w:val="none"/>
        </w:rPr>
        <w:t xml:space="preserve">残疾人福利性单位；2. </w:t>
      </w:r>
      <w:r>
        <w:rPr>
          <w:i/>
          <w:iCs/>
          <w:spacing w:val="-6"/>
          <w:sz w:val="26"/>
          <w:szCs w:val="26"/>
          <w:highlight w:val="none"/>
          <w:u w:val="single" w:color="auto"/>
        </w:rPr>
        <w:t>（标的名称</w:t>
      </w:r>
      <w:r>
        <w:rPr>
          <w:i/>
          <w:iCs/>
          <w:spacing w:val="-27"/>
          <w:sz w:val="26"/>
          <w:szCs w:val="26"/>
          <w:highlight w:val="none"/>
          <w:u w:val="single" w:color="auto"/>
        </w:rPr>
        <w:t>）</w:t>
      </w:r>
      <w:r>
        <w:rPr>
          <w:spacing w:val="-27"/>
          <w:sz w:val="24"/>
          <w:szCs w:val="24"/>
          <w:highlight w:val="none"/>
        </w:rPr>
        <w:t>，</w:t>
      </w:r>
      <w:r>
        <w:rPr>
          <w:spacing w:val="-6"/>
          <w:sz w:val="24"/>
          <w:szCs w:val="24"/>
          <w:highlight w:val="none"/>
        </w:rPr>
        <w:t xml:space="preserve">制造商为 </w:t>
      </w:r>
      <w:r>
        <w:rPr>
          <w:i/>
          <w:iCs/>
          <w:spacing w:val="-6"/>
          <w:sz w:val="26"/>
          <w:szCs w:val="26"/>
          <w:highlight w:val="none"/>
          <w:u w:val="single" w:color="auto"/>
        </w:rPr>
        <w:t>（企业名称</w:t>
      </w:r>
      <w:r>
        <w:rPr>
          <w:i/>
          <w:iCs/>
          <w:spacing w:val="-27"/>
          <w:sz w:val="26"/>
          <w:szCs w:val="26"/>
          <w:highlight w:val="none"/>
          <w:u w:val="single" w:color="auto"/>
        </w:rPr>
        <w:t>）</w:t>
      </w:r>
      <w:r>
        <w:rPr>
          <w:spacing w:val="-27"/>
          <w:sz w:val="24"/>
          <w:szCs w:val="24"/>
          <w:highlight w:val="none"/>
        </w:rPr>
        <w:t>，</w:t>
      </w:r>
      <w:r>
        <w:rPr>
          <w:spacing w:val="-6"/>
          <w:sz w:val="24"/>
          <w:szCs w:val="24"/>
          <w:highlight w:val="none"/>
        </w:rPr>
        <w:t>属于残疾人福利性单位；……</w:t>
      </w:r>
    </w:p>
    <w:p w14:paraId="6C7C0630">
      <w:pPr>
        <w:pStyle w:val="6"/>
        <w:spacing w:before="2" w:line="344" w:lineRule="auto"/>
        <w:ind w:left="44" w:right="165" w:firstLine="526"/>
        <w:rPr>
          <w:sz w:val="24"/>
          <w:szCs w:val="24"/>
          <w:highlight w:val="none"/>
        </w:rPr>
      </w:pPr>
      <w:r>
        <w:rPr>
          <w:spacing w:val="-5"/>
          <w:sz w:val="24"/>
          <w:szCs w:val="24"/>
          <w:highlight w:val="none"/>
        </w:rPr>
        <w:t>以上企业，不属于大企业的分支机构，不存在控股股东为大企业的情形，也不存</w:t>
      </w:r>
      <w:r>
        <w:rPr>
          <w:spacing w:val="-2"/>
          <w:sz w:val="24"/>
          <w:szCs w:val="24"/>
          <w:highlight w:val="none"/>
        </w:rPr>
        <w:t>在与大企业的负责人为同一人的情形。</w:t>
      </w:r>
    </w:p>
    <w:p w14:paraId="46E631E5">
      <w:pPr>
        <w:pStyle w:val="6"/>
        <w:spacing w:before="15" w:line="220" w:lineRule="auto"/>
        <w:ind w:left="520"/>
        <w:rPr>
          <w:sz w:val="24"/>
          <w:szCs w:val="24"/>
          <w:highlight w:val="none"/>
        </w:rPr>
      </w:pPr>
      <w:r>
        <w:rPr>
          <w:spacing w:val="-1"/>
          <w:sz w:val="24"/>
          <w:szCs w:val="24"/>
          <w:highlight w:val="none"/>
        </w:rPr>
        <w:t>本企业对上述声明内容的真实性负责。如有虚假，将依法承担相应责任。</w:t>
      </w:r>
    </w:p>
    <w:p w14:paraId="5E73C2B6">
      <w:pPr>
        <w:spacing w:line="332" w:lineRule="auto"/>
        <w:rPr>
          <w:rFonts w:ascii="Arial"/>
          <w:sz w:val="21"/>
          <w:highlight w:val="none"/>
        </w:rPr>
      </w:pPr>
    </w:p>
    <w:p w14:paraId="0AE8211F">
      <w:pPr>
        <w:spacing w:line="332" w:lineRule="auto"/>
        <w:rPr>
          <w:rFonts w:ascii="Arial"/>
          <w:sz w:val="21"/>
          <w:highlight w:val="none"/>
        </w:rPr>
      </w:pPr>
    </w:p>
    <w:p w14:paraId="4017C887">
      <w:pPr>
        <w:pStyle w:val="6"/>
        <w:spacing w:before="79" w:line="352" w:lineRule="auto"/>
        <w:ind w:left="1126" w:right="179" w:hanging="1083"/>
        <w:rPr>
          <w:sz w:val="24"/>
          <w:szCs w:val="24"/>
          <w:highlight w:val="none"/>
        </w:rPr>
      </w:pPr>
      <w:r>
        <w:rPr>
          <w:b/>
          <w:bCs/>
          <w:spacing w:val="-2"/>
          <w:sz w:val="24"/>
          <w:szCs w:val="24"/>
          <w:highlight w:val="none"/>
        </w:rPr>
        <w:t>说明：</w:t>
      </w:r>
      <w:r>
        <w:rPr>
          <w:spacing w:val="-2"/>
          <w:sz w:val="24"/>
          <w:szCs w:val="24"/>
          <w:highlight w:val="none"/>
        </w:rPr>
        <w:t>1、货物应当全部由符合政策要求的残疾人福利性单位生产且使用该残疾人福利性单位商号或注册商标（与代理商或投标人无关</w:t>
      </w:r>
      <w:r>
        <w:rPr>
          <w:spacing w:val="15"/>
          <w:sz w:val="24"/>
          <w:szCs w:val="24"/>
          <w:highlight w:val="none"/>
        </w:rPr>
        <w:t>）；</w:t>
      </w:r>
      <w:r>
        <w:rPr>
          <w:spacing w:val="-2"/>
          <w:sz w:val="24"/>
          <w:szCs w:val="24"/>
          <w:highlight w:val="none"/>
        </w:rPr>
        <w:t>应当严格按上述格式及内容进行填写（应当明确每个标的的生产企</w:t>
      </w:r>
      <w:r>
        <w:rPr>
          <w:spacing w:val="-3"/>
          <w:sz w:val="24"/>
          <w:szCs w:val="24"/>
          <w:highlight w:val="none"/>
        </w:rPr>
        <w:t>业类型及相关数据</w:t>
      </w:r>
      <w:r>
        <w:rPr>
          <w:spacing w:val="22"/>
          <w:sz w:val="24"/>
          <w:szCs w:val="24"/>
          <w:highlight w:val="none"/>
        </w:rPr>
        <w:t>），</w:t>
      </w:r>
      <w:r>
        <w:rPr>
          <w:spacing w:val="-3"/>
          <w:sz w:val="24"/>
          <w:szCs w:val="24"/>
          <w:highlight w:val="none"/>
        </w:rPr>
        <w:t>否则导致的后果由投标人自行承担；</w:t>
      </w:r>
    </w:p>
    <w:p w14:paraId="0E68578C">
      <w:pPr>
        <w:pStyle w:val="6"/>
        <w:spacing w:before="12" w:line="222" w:lineRule="auto"/>
        <w:ind w:left="757"/>
        <w:rPr>
          <w:sz w:val="24"/>
          <w:szCs w:val="24"/>
          <w:highlight w:val="none"/>
        </w:rPr>
      </w:pPr>
      <w:r>
        <w:rPr>
          <w:spacing w:val="-2"/>
          <w:sz w:val="24"/>
          <w:szCs w:val="24"/>
          <w:highlight w:val="none"/>
        </w:rPr>
        <w:t>2、以联合体形式参加的，应当由联合体各方盖章。</w:t>
      </w:r>
    </w:p>
    <w:p w14:paraId="7BBC56F8">
      <w:pPr>
        <w:spacing w:line="450" w:lineRule="auto"/>
        <w:rPr>
          <w:rFonts w:ascii="Arial"/>
          <w:sz w:val="21"/>
          <w:highlight w:val="none"/>
        </w:rPr>
      </w:pPr>
    </w:p>
    <w:p w14:paraId="51502993">
      <w:pPr>
        <w:pStyle w:val="6"/>
        <w:spacing w:before="79" w:line="221" w:lineRule="auto"/>
        <w:ind w:left="3358"/>
        <w:rPr>
          <w:sz w:val="24"/>
          <w:szCs w:val="24"/>
          <w:highlight w:val="none"/>
        </w:rPr>
      </w:pPr>
      <w:r>
        <w:rPr>
          <w:spacing w:val="-10"/>
          <w:sz w:val="24"/>
          <w:szCs w:val="24"/>
          <w:highlight w:val="none"/>
        </w:rPr>
        <w:t>投标人名称（公章)：</w:t>
      </w:r>
      <w:r>
        <w:rPr>
          <w:spacing w:val="-47"/>
          <w:sz w:val="24"/>
          <w:szCs w:val="24"/>
          <w:highlight w:val="none"/>
        </w:rPr>
        <w:t xml:space="preserve"> </w:t>
      </w:r>
      <w:r>
        <w:rPr>
          <w:spacing w:val="-10"/>
          <w:sz w:val="24"/>
          <w:szCs w:val="24"/>
          <w:highlight w:val="none"/>
        </w:rPr>
        <w:t>日期：</w:t>
      </w:r>
    </w:p>
    <w:p w14:paraId="605B3E7B">
      <w:pPr>
        <w:spacing w:line="345" w:lineRule="auto"/>
        <w:rPr>
          <w:rFonts w:hint="eastAsia" w:ascii="Arial" w:eastAsia="宋体"/>
          <w:sz w:val="21"/>
          <w:highlight w:val="none"/>
          <w:lang w:eastAsia="zh-CN"/>
        </w:rPr>
      </w:pPr>
      <w:r>
        <w:rPr>
          <w:rFonts w:hint="eastAsia" w:ascii="Arial" w:eastAsia="宋体"/>
          <w:sz w:val="21"/>
          <w:highlight w:val="none"/>
          <w:lang w:eastAsia="zh-CN"/>
        </w:rPr>
        <w:br w:type="page"/>
      </w:r>
    </w:p>
    <w:p w14:paraId="2EF7D5B9">
      <w:pPr>
        <w:pStyle w:val="6"/>
        <w:spacing w:before="97" w:line="226" w:lineRule="auto"/>
        <w:ind w:left="57"/>
        <w:outlineLvl w:val="1"/>
        <w:rPr>
          <w:highlight w:val="none"/>
        </w:rPr>
      </w:pPr>
      <w:r>
        <w:rPr>
          <w:b/>
          <w:bCs/>
          <w:spacing w:val="11"/>
          <w:highlight w:val="none"/>
        </w:rPr>
        <w:t>三、不参与围标串标承诺书</w:t>
      </w:r>
    </w:p>
    <w:p w14:paraId="5168FC55">
      <w:pPr>
        <w:spacing w:line="277" w:lineRule="auto"/>
        <w:rPr>
          <w:rFonts w:ascii="Arial"/>
          <w:sz w:val="21"/>
          <w:highlight w:val="none"/>
        </w:rPr>
      </w:pPr>
    </w:p>
    <w:p w14:paraId="769DC8B4">
      <w:pPr>
        <w:spacing w:line="277" w:lineRule="auto"/>
        <w:rPr>
          <w:rFonts w:ascii="Arial"/>
          <w:sz w:val="21"/>
          <w:highlight w:val="none"/>
        </w:rPr>
      </w:pPr>
    </w:p>
    <w:p w14:paraId="42F417E1">
      <w:pPr>
        <w:pStyle w:val="6"/>
        <w:spacing w:before="97" w:line="226" w:lineRule="auto"/>
        <w:ind w:left="2605"/>
        <w:outlineLvl w:val="1"/>
        <w:rPr>
          <w:highlight w:val="none"/>
        </w:rPr>
      </w:pPr>
      <w:r>
        <w:rPr>
          <w:b/>
          <w:bCs/>
          <w:spacing w:val="10"/>
          <w:highlight w:val="none"/>
        </w:rPr>
        <w:t>不参与围标串标承诺书</w:t>
      </w:r>
    </w:p>
    <w:p w14:paraId="0CF82CCD">
      <w:pPr>
        <w:spacing w:line="354" w:lineRule="auto"/>
        <w:rPr>
          <w:rFonts w:ascii="Arial"/>
          <w:sz w:val="21"/>
          <w:highlight w:val="none"/>
        </w:rPr>
      </w:pPr>
    </w:p>
    <w:p w14:paraId="431D3F78">
      <w:pPr>
        <w:pStyle w:val="6"/>
        <w:spacing w:before="78" w:line="349" w:lineRule="auto"/>
        <w:ind w:left="66" w:right="280" w:firstLine="454"/>
        <w:rPr>
          <w:sz w:val="24"/>
          <w:szCs w:val="24"/>
          <w:highlight w:val="none"/>
        </w:rPr>
      </w:pPr>
      <w:r>
        <w:rPr>
          <w:spacing w:val="-1"/>
          <w:sz w:val="24"/>
          <w:szCs w:val="24"/>
          <w:highlight w:val="none"/>
        </w:rPr>
        <w:t>本人作为经授权的投标人代表,清楚知晓我单位本项目投标活动,对以下事项作</w:t>
      </w:r>
      <w:r>
        <w:rPr>
          <w:spacing w:val="-12"/>
          <w:sz w:val="24"/>
          <w:szCs w:val="24"/>
          <w:highlight w:val="none"/>
        </w:rPr>
        <w:t>出承诺：</w:t>
      </w:r>
    </w:p>
    <w:p w14:paraId="3C709F17">
      <w:pPr>
        <w:pStyle w:val="6"/>
        <w:spacing w:before="72" w:line="289" w:lineRule="auto"/>
        <w:ind w:left="39" w:right="179" w:firstLine="486"/>
        <w:rPr>
          <w:sz w:val="24"/>
          <w:szCs w:val="24"/>
          <w:highlight w:val="none"/>
        </w:rPr>
      </w:pPr>
      <w:r>
        <w:rPr>
          <w:spacing w:val="-2"/>
          <w:sz w:val="24"/>
          <w:szCs w:val="24"/>
          <w:highlight w:val="none"/>
        </w:rPr>
        <w:t>一、我单位和我本人遵循公开透明、公平竞争、公正和诚实信用的原则,依法依</w:t>
      </w:r>
      <w:r>
        <w:rPr>
          <w:spacing w:val="-3"/>
          <w:sz w:val="24"/>
          <w:szCs w:val="24"/>
          <w:highlight w:val="none"/>
        </w:rPr>
        <w:t>规参与本项目竞标。</w:t>
      </w:r>
    </w:p>
    <w:p w14:paraId="7E0062FF">
      <w:pPr>
        <w:pStyle w:val="6"/>
        <w:spacing w:before="156" w:line="219" w:lineRule="auto"/>
        <w:ind w:left="529"/>
        <w:rPr>
          <w:sz w:val="24"/>
          <w:szCs w:val="24"/>
          <w:highlight w:val="none"/>
        </w:rPr>
      </w:pPr>
      <w:r>
        <w:rPr>
          <w:spacing w:val="-2"/>
          <w:sz w:val="24"/>
          <w:szCs w:val="24"/>
          <w:highlight w:val="none"/>
        </w:rPr>
        <w:t>二、我单位和我本人在本项目政府采购投标活动中,未参与围标串标。</w:t>
      </w:r>
    </w:p>
    <w:p w14:paraId="14E3DB0E">
      <w:pPr>
        <w:pStyle w:val="6"/>
        <w:spacing w:before="205" w:line="288" w:lineRule="auto"/>
        <w:ind w:left="39" w:right="131" w:firstLine="486"/>
        <w:rPr>
          <w:sz w:val="24"/>
          <w:szCs w:val="24"/>
          <w:highlight w:val="none"/>
        </w:rPr>
      </w:pPr>
      <w:r>
        <w:rPr>
          <w:spacing w:val="-4"/>
          <w:sz w:val="24"/>
          <w:szCs w:val="24"/>
          <w:highlight w:val="none"/>
        </w:rPr>
        <w:t>三、我单位如被查实在本项目政府采购投标活动中存在围标串标的，递交投标文</w:t>
      </w:r>
      <w:r>
        <w:rPr>
          <w:spacing w:val="-1"/>
          <w:sz w:val="24"/>
          <w:szCs w:val="24"/>
          <w:highlight w:val="none"/>
        </w:rPr>
        <w:t>件行为作为实施串通投标违法行为的关键环节,由我单位及法定代表人承担</w:t>
      </w:r>
    </w:p>
    <w:p w14:paraId="7824EFE6">
      <w:pPr>
        <w:pStyle w:val="6"/>
        <w:spacing w:before="167" w:line="221" w:lineRule="auto"/>
        <w:ind w:left="41"/>
        <w:rPr>
          <w:sz w:val="24"/>
          <w:szCs w:val="24"/>
          <w:highlight w:val="none"/>
        </w:rPr>
      </w:pPr>
      <w:r>
        <w:rPr>
          <w:spacing w:val="-2"/>
          <w:sz w:val="24"/>
          <w:szCs w:val="24"/>
          <w:highlight w:val="none"/>
        </w:rPr>
        <w:t>相应的法律责任，接受相应行政处罚和失信惩戒。</w:t>
      </w:r>
    </w:p>
    <w:p w14:paraId="78C9BDCF">
      <w:pPr>
        <w:spacing w:line="273" w:lineRule="auto"/>
        <w:rPr>
          <w:rFonts w:ascii="Arial"/>
          <w:sz w:val="21"/>
          <w:highlight w:val="none"/>
        </w:rPr>
      </w:pPr>
    </w:p>
    <w:p w14:paraId="548E3195">
      <w:pPr>
        <w:spacing w:line="273" w:lineRule="auto"/>
        <w:rPr>
          <w:rFonts w:ascii="Arial"/>
          <w:sz w:val="21"/>
          <w:highlight w:val="none"/>
        </w:rPr>
      </w:pPr>
    </w:p>
    <w:p w14:paraId="3F0B4B8E">
      <w:pPr>
        <w:spacing w:line="274" w:lineRule="auto"/>
        <w:rPr>
          <w:rFonts w:ascii="Arial"/>
          <w:sz w:val="21"/>
          <w:highlight w:val="none"/>
        </w:rPr>
      </w:pPr>
    </w:p>
    <w:p w14:paraId="26095D82">
      <w:pPr>
        <w:spacing w:line="274" w:lineRule="auto"/>
        <w:rPr>
          <w:rFonts w:ascii="Arial"/>
          <w:sz w:val="21"/>
          <w:highlight w:val="none"/>
        </w:rPr>
      </w:pPr>
    </w:p>
    <w:p w14:paraId="61824DF9">
      <w:pPr>
        <w:spacing w:line="274" w:lineRule="auto"/>
        <w:rPr>
          <w:rFonts w:ascii="Arial"/>
          <w:sz w:val="21"/>
          <w:highlight w:val="none"/>
        </w:rPr>
      </w:pPr>
    </w:p>
    <w:p w14:paraId="2C896DEF">
      <w:pPr>
        <w:pStyle w:val="6"/>
        <w:spacing w:before="79" w:line="221" w:lineRule="auto"/>
        <w:ind w:left="41"/>
        <w:rPr>
          <w:sz w:val="24"/>
          <w:szCs w:val="24"/>
          <w:highlight w:val="none"/>
        </w:rPr>
      </w:pPr>
      <w:r>
        <w:rPr>
          <w:spacing w:val="-4"/>
          <w:sz w:val="24"/>
          <w:szCs w:val="24"/>
          <w:highlight w:val="none"/>
        </w:rPr>
        <w:t>投标人名称（公章)：</w:t>
      </w:r>
    </w:p>
    <w:p w14:paraId="171232F4">
      <w:pPr>
        <w:pStyle w:val="6"/>
        <w:spacing w:before="78" w:line="222" w:lineRule="auto"/>
        <w:ind w:left="49"/>
        <w:rPr>
          <w:sz w:val="24"/>
          <w:szCs w:val="24"/>
          <w:highlight w:val="none"/>
        </w:rPr>
      </w:pPr>
      <w:r>
        <w:rPr>
          <w:spacing w:val="-3"/>
          <w:sz w:val="24"/>
          <w:szCs w:val="24"/>
          <w:highlight w:val="none"/>
        </w:rPr>
        <w:t>法定代表人、负责人、本人、或授权代表（签字或盖章</w:t>
      </w:r>
      <w:r>
        <w:rPr>
          <w:spacing w:val="-1"/>
          <w:sz w:val="24"/>
          <w:szCs w:val="24"/>
          <w:highlight w:val="none"/>
        </w:rPr>
        <w:t>）：</w:t>
      </w:r>
    </w:p>
    <w:p w14:paraId="58B0F3EE">
      <w:pPr>
        <w:pStyle w:val="6"/>
        <w:spacing w:before="73" w:line="222" w:lineRule="auto"/>
        <w:ind w:left="92"/>
        <w:rPr>
          <w:sz w:val="24"/>
          <w:szCs w:val="24"/>
          <w:highlight w:val="none"/>
        </w:rPr>
      </w:pPr>
      <w:r>
        <w:rPr>
          <w:spacing w:val="-13"/>
          <w:sz w:val="24"/>
          <w:szCs w:val="24"/>
          <w:highlight w:val="none"/>
        </w:rPr>
        <w:t>日期：年月日</w:t>
      </w:r>
    </w:p>
    <w:p w14:paraId="5B593E6C">
      <w:pPr>
        <w:spacing w:line="333" w:lineRule="auto"/>
        <w:rPr>
          <w:rFonts w:hint="eastAsia" w:ascii="Arial" w:eastAsia="宋体"/>
          <w:sz w:val="21"/>
          <w:highlight w:val="none"/>
          <w:lang w:eastAsia="zh-CN"/>
        </w:rPr>
      </w:pPr>
      <w:r>
        <w:rPr>
          <w:rFonts w:hint="eastAsia" w:ascii="Arial" w:eastAsia="宋体"/>
          <w:sz w:val="21"/>
          <w:highlight w:val="none"/>
          <w:lang w:eastAsia="zh-CN"/>
        </w:rPr>
        <w:br w:type="page"/>
      </w:r>
    </w:p>
    <w:p w14:paraId="0DC0867A">
      <w:pPr>
        <w:pStyle w:val="6"/>
        <w:spacing w:before="97" w:line="228" w:lineRule="auto"/>
        <w:ind w:left="85"/>
        <w:outlineLvl w:val="1"/>
        <w:rPr>
          <w:highlight w:val="none"/>
        </w:rPr>
      </w:pPr>
      <w:r>
        <w:rPr>
          <w:b/>
          <w:bCs/>
          <w:spacing w:val="7"/>
          <w:highlight w:val="none"/>
        </w:rPr>
        <w:t>四、其他资格证明文件</w:t>
      </w:r>
    </w:p>
    <w:p w14:paraId="68382CDE">
      <w:pPr>
        <w:pStyle w:val="6"/>
        <w:spacing w:before="302" w:line="220" w:lineRule="auto"/>
        <w:ind w:left="521"/>
        <w:rPr>
          <w:sz w:val="24"/>
          <w:szCs w:val="24"/>
          <w:highlight w:val="none"/>
        </w:rPr>
      </w:pPr>
      <w:r>
        <w:rPr>
          <w:spacing w:val="-2"/>
          <w:sz w:val="24"/>
          <w:szCs w:val="24"/>
          <w:highlight w:val="none"/>
        </w:rPr>
        <w:t>投标人认为需提供的其它相关资格证明材料</w:t>
      </w:r>
    </w:p>
    <w:p w14:paraId="62B4949D">
      <w:pPr>
        <w:spacing w:line="305" w:lineRule="auto"/>
        <w:rPr>
          <w:rFonts w:hint="eastAsia" w:ascii="Arial" w:eastAsia="宋体"/>
          <w:sz w:val="21"/>
          <w:highlight w:val="none"/>
          <w:lang w:eastAsia="zh-CN"/>
        </w:rPr>
      </w:pPr>
      <w:r>
        <w:rPr>
          <w:rFonts w:hint="eastAsia" w:ascii="Arial" w:eastAsia="宋体"/>
          <w:sz w:val="21"/>
          <w:highlight w:val="none"/>
          <w:lang w:eastAsia="zh-CN"/>
        </w:rPr>
        <w:br w:type="page"/>
      </w:r>
    </w:p>
    <w:p w14:paraId="3393B578">
      <w:pPr>
        <w:spacing w:line="305" w:lineRule="auto"/>
        <w:rPr>
          <w:rFonts w:ascii="Arial"/>
          <w:sz w:val="21"/>
          <w:highlight w:val="none"/>
        </w:rPr>
      </w:pPr>
    </w:p>
    <w:p w14:paraId="09C06B41">
      <w:pPr>
        <w:pStyle w:val="6"/>
        <w:spacing w:before="78" w:line="225" w:lineRule="auto"/>
        <w:ind w:left="519"/>
        <w:rPr>
          <w:sz w:val="24"/>
          <w:szCs w:val="24"/>
          <w:highlight w:val="none"/>
        </w:rPr>
      </w:pPr>
      <w:r>
        <w:rPr>
          <w:spacing w:val="-7"/>
          <w:sz w:val="24"/>
          <w:szCs w:val="24"/>
          <w:highlight w:val="none"/>
        </w:rPr>
        <w:t>封面：</w:t>
      </w:r>
    </w:p>
    <w:p w14:paraId="715407AC">
      <w:pPr>
        <w:spacing w:line="268" w:lineRule="auto"/>
        <w:rPr>
          <w:rFonts w:ascii="Arial"/>
          <w:sz w:val="21"/>
          <w:highlight w:val="none"/>
        </w:rPr>
      </w:pPr>
    </w:p>
    <w:p w14:paraId="289C1682">
      <w:pPr>
        <w:spacing w:line="268" w:lineRule="auto"/>
        <w:rPr>
          <w:rFonts w:ascii="Arial"/>
          <w:sz w:val="21"/>
          <w:highlight w:val="none"/>
        </w:rPr>
      </w:pPr>
    </w:p>
    <w:p w14:paraId="699094B4">
      <w:pPr>
        <w:spacing w:line="268" w:lineRule="auto"/>
        <w:rPr>
          <w:rFonts w:ascii="Arial"/>
          <w:sz w:val="21"/>
          <w:highlight w:val="none"/>
        </w:rPr>
      </w:pPr>
    </w:p>
    <w:p w14:paraId="44589758">
      <w:pPr>
        <w:spacing w:line="268" w:lineRule="auto"/>
        <w:rPr>
          <w:rFonts w:ascii="Arial"/>
          <w:sz w:val="21"/>
          <w:highlight w:val="none"/>
        </w:rPr>
      </w:pPr>
    </w:p>
    <w:p w14:paraId="54D789D9">
      <w:pPr>
        <w:spacing w:line="269" w:lineRule="auto"/>
        <w:rPr>
          <w:rFonts w:ascii="Arial"/>
          <w:sz w:val="21"/>
          <w:highlight w:val="none"/>
        </w:rPr>
      </w:pPr>
    </w:p>
    <w:p w14:paraId="415B99A3">
      <w:pPr>
        <w:spacing w:line="269" w:lineRule="auto"/>
        <w:rPr>
          <w:rFonts w:ascii="Arial"/>
          <w:sz w:val="21"/>
          <w:highlight w:val="none"/>
        </w:rPr>
      </w:pPr>
    </w:p>
    <w:p w14:paraId="4EFD28C1">
      <w:pPr>
        <w:pStyle w:val="6"/>
        <w:spacing w:before="266" w:line="225" w:lineRule="auto"/>
        <w:ind w:left="2913"/>
        <w:outlineLvl w:val="1"/>
        <w:rPr>
          <w:sz w:val="82"/>
          <w:szCs w:val="82"/>
          <w:highlight w:val="none"/>
        </w:rPr>
      </w:pPr>
      <w:r>
        <w:rPr>
          <w:b/>
          <w:bCs/>
          <w:spacing w:val="-28"/>
          <w:sz w:val="82"/>
          <w:szCs w:val="82"/>
          <w:highlight w:val="none"/>
        </w:rPr>
        <w:t>投标文件</w:t>
      </w:r>
    </w:p>
    <w:p w14:paraId="786D30EE">
      <w:pPr>
        <w:pStyle w:val="6"/>
        <w:spacing w:before="211" w:line="226" w:lineRule="auto"/>
        <w:ind w:left="3393"/>
        <w:rPr>
          <w:sz w:val="54"/>
          <w:szCs w:val="54"/>
          <w:highlight w:val="none"/>
        </w:rPr>
      </w:pPr>
      <w:r>
        <w:rPr>
          <w:b/>
          <w:bCs/>
          <w:spacing w:val="-3"/>
          <w:sz w:val="54"/>
          <w:szCs w:val="54"/>
          <w:highlight w:val="none"/>
        </w:rPr>
        <w:t>报价文件</w:t>
      </w:r>
    </w:p>
    <w:p w14:paraId="5E587165">
      <w:pPr>
        <w:pStyle w:val="6"/>
        <w:spacing w:before="101" w:line="226" w:lineRule="auto"/>
        <w:ind w:left="1160"/>
        <w:rPr>
          <w:sz w:val="34"/>
          <w:szCs w:val="34"/>
          <w:highlight w:val="none"/>
        </w:rPr>
      </w:pPr>
      <w:r>
        <w:rPr>
          <w:spacing w:val="14"/>
          <w:sz w:val="34"/>
          <w:szCs w:val="34"/>
          <w:highlight w:val="none"/>
        </w:rPr>
        <w:t>（第</w:t>
      </w:r>
      <w:r>
        <w:rPr>
          <w:sz w:val="34"/>
          <w:szCs w:val="34"/>
          <w:highlight w:val="none"/>
        </w:rPr>
        <w:t>XX</w:t>
      </w:r>
      <w:r>
        <w:rPr>
          <w:spacing w:val="14"/>
          <w:sz w:val="34"/>
          <w:szCs w:val="34"/>
          <w:highlight w:val="none"/>
        </w:rPr>
        <w:t>标项）</w:t>
      </w:r>
      <w:r>
        <w:rPr>
          <w:spacing w:val="-133"/>
          <w:sz w:val="34"/>
          <w:szCs w:val="34"/>
          <w:highlight w:val="none"/>
        </w:rPr>
        <w:t xml:space="preserve"> </w:t>
      </w:r>
      <w:r>
        <w:rPr>
          <w:spacing w:val="14"/>
          <w:sz w:val="34"/>
          <w:szCs w:val="34"/>
          <w:highlight w:val="none"/>
        </w:rPr>
        <w:t>【如不分标项，请删去本行】</w:t>
      </w:r>
    </w:p>
    <w:p w14:paraId="058FF2E7">
      <w:pPr>
        <w:spacing w:line="246" w:lineRule="auto"/>
        <w:rPr>
          <w:rFonts w:ascii="Arial"/>
          <w:sz w:val="21"/>
          <w:highlight w:val="none"/>
        </w:rPr>
      </w:pPr>
    </w:p>
    <w:p w14:paraId="5E29E69B">
      <w:pPr>
        <w:spacing w:line="246" w:lineRule="auto"/>
        <w:rPr>
          <w:rFonts w:ascii="Arial"/>
          <w:sz w:val="21"/>
          <w:highlight w:val="none"/>
        </w:rPr>
      </w:pPr>
    </w:p>
    <w:p w14:paraId="394B2630">
      <w:pPr>
        <w:spacing w:line="246" w:lineRule="auto"/>
        <w:rPr>
          <w:rFonts w:ascii="Arial"/>
          <w:sz w:val="21"/>
          <w:highlight w:val="none"/>
        </w:rPr>
      </w:pPr>
    </w:p>
    <w:p w14:paraId="713CA0D1">
      <w:pPr>
        <w:spacing w:line="246" w:lineRule="auto"/>
        <w:rPr>
          <w:rFonts w:ascii="Arial"/>
          <w:sz w:val="21"/>
          <w:highlight w:val="none"/>
        </w:rPr>
      </w:pPr>
    </w:p>
    <w:p w14:paraId="5F62C34B">
      <w:pPr>
        <w:spacing w:line="246" w:lineRule="auto"/>
        <w:rPr>
          <w:rFonts w:ascii="Arial"/>
          <w:sz w:val="21"/>
          <w:highlight w:val="none"/>
        </w:rPr>
      </w:pPr>
    </w:p>
    <w:p w14:paraId="0C3FA7BD">
      <w:pPr>
        <w:spacing w:line="246" w:lineRule="auto"/>
        <w:rPr>
          <w:rFonts w:ascii="Arial"/>
          <w:sz w:val="21"/>
          <w:highlight w:val="none"/>
        </w:rPr>
      </w:pPr>
    </w:p>
    <w:p w14:paraId="342973DD">
      <w:pPr>
        <w:spacing w:line="246" w:lineRule="auto"/>
        <w:rPr>
          <w:rFonts w:ascii="Arial"/>
          <w:sz w:val="21"/>
          <w:highlight w:val="none"/>
        </w:rPr>
      </w:pPr>
    </w:p>
    <w:p w14:paraId="6DECB680">
      <w:pPr>
        <w:spacing w:line="246" w:lineRule="auto"/>
        <w:rPr>
          <w:rFonts w:ascii="Arial"/>
          <w:sz w:val="21"/>
          <w:highlight w:val="none"/>
        </w:rPr>
      </w:pPr>
    </w:p>
    <w:p w14:paraId="5C7EF970">
      <w:pPr>
        <w:spacing w:line="247" w:lineRule="auto"/>
        <w:rPr>
          <w:rFonts w:ascii="Arial"/>
          <w:sz w:val="21"/>
          <w:highlight w:val="none"/>
        </w:rPr>
      </w:pPr>
    </w:p>
    <w:p w14:paraId="4E0E23DA">
      <w:pPr>
        <w:spacing w:line="247" w:lineRule="auto"/>
        <w:rPr>
          <w:rFonts w:ascii="Arial"/>
          <w:sz w:val="21"/>
          <w:highlight w:val="none"/>
        </w:rPr>
      </w:pPr>
    </w:p>
    <w:p w14:paraId="3883C6C3">
      <w:pPr>
        <w:spacing w:line="247" w:lineRule="auto"/>
        <w:rPr>
          <w:rFonts w:ascii="Arial"/>
          <w:sz w:val="21"/>
          <w:highlight w:val="none"/>
        </w:rPr>
      </w:pPr>
    </w:p>
    <w:p w14:paraId="4CCEC973">
      <w:pPr>
        <w:spacing w:line="247" w:lineRule="auto"/>
        <w:rPr>
          <w:rFonts w:ascii="Arial"/>
          <w:sz w:val="21"/>
          <w:highlight w:val="none"/>
        </w:rPr>
      </w:pPr>
    </w:p>
    <w:p w14:paraId="7E29E4B6">
      <w:pPr>
        <w:spacing w:line="247" w:lineRule="auto"/>
        <w:rPr>
          <w:rFonts w:ascii="Arial"/>
          <w:sz w:val="21"/>
          <w:highlight w:val="none"/>
        </w:rPr>
      </w:pPr>
    </w:p>
    <w:p w14:paraId="258A02F8">
      <w:pPr>
        <w:spacing w:line="247" w:lineRule="auto"/>
        <w:rPr>
          <w:rFonts w:ascii="Arial"/>
          <w:sz w:val="21"/>
          <w:highlight w:val="none"/>
        </w:rPr>
      </w:pPr>
    </w:p>
    <w:p w14:paraId="2E6F8E04">
      <w:pPr>
        <w:pStyle w:val="6"/>
        <w:spacing w:before="98" w:line="230" w:lineRule="auto"/>
        <w:ind w:left="465"/>
        <w:rPr>
          <w:highlight w:val="none"/>
        </w:rPr>
      </w:pPr>
      <w:r>
        <w:rPr>
          <w:spacing w:val="6"/>
          <w:highlight w:val="none"/>
        </w:rPr>
        <w:t>项目编号：</w:t>
      </w:r>
      <w:r>
        <w:rPr>
          <w:spacing w:val="-127"/>
          <w:highlight w:val="none"/>
        </w:rPr>
        <w:t xml:space="preserve"> </w:t>
      </w:r>
      <w:r>
        <w:rPr>
          <w:highlight w:val="none"/>
          <w:u w:val="single" w:color="auto"/>
        </w:rPr>
        <w:t xml:space="preserve">                                           </w:t>
      </w:r>
    </w:p>
    <w:p w14:paraId="0181D271">
      <w:pPr>
        <w:pStyle w:val="6"/>
        <w:spacing w:before="332" w:line="436" w:lineRule="auto"/>
        <w:ind w:left="463" w:right="565" w:firstLine="2"/>
        <w:rPr>
          <w:highlight w:val="none"/>
        </w:rPr>
      </w:pPr>
      <w:r>
        <w:rPr>
          <w:spacing w:val="6"/>
          <w:highlight w:val="none"/>
        </w:rPr>
        <w:t>项目名称：</w:t>
      </w:r>
      <w:r>
        <w:rPr>
          <w:spacing w:val="-127"/>
          <w:highlight w:val="none"/>
        </w:rPr>
        <w:t xml:space="preserve"> </w:t>
      </w:r>
      <w:r>
        <w:rPr>
          <w:spacing w:val="1"/>
          <w:highlight w:val="none"/>
          <w:u w:val="single" w:color="auto"/>
        </w:rPr>
        <w:t xml:space="preserve">                                          </w:t>
      </w:r>
      <w:r>
        <w:rPr>
          <w:spacing w:val="8"/>
          <w:highlight w:val="none"/>
        </w:rPr>
        <w:t>投标人：</w:t>
      </w:r>
      <w:r>
        <w:rPr>
          <w:highlight w:val="none"/>
          <w:u w:val="single" w:color="auto"/>
        </w:rPr>
        <w:t xml:space="preserve">                                             </w:t>
      </w:r>
    </w:p>
    <w:p w14:paraId="7EB910D9">
      <w:pPr>
        <w:spacing w:line="244" w:lineRule="auto"/>
        <w:rPr>
          <w:rFonts w:ascii="Arial"/>
          <w:sz w:val="21"/>
          <w:highlight w:val="none"/>
        </w:rPr>
      </w:pPr>
    </w:p>
    <w:p w14:paraId="10CE01FD">
      <w:pPr>
        <w:spacing w:line="245" w:lineRule="auto"/>
        <w:rPr>
          <w:rFonts w:ascii="Arial"/>
          <w:sz w:val="21"/>
          <w:highlight w:val="none"/>
        </w:rPr>
      </w:pPr>
    </w:p>
    <w:p w14:paraId="026C4DAA">
      <w:pPr>
        <w:spacing w:line="245" w:lineRule="auto"/>
        <w:rPr>
          <w:rFonts w:ascii="Arial"/>
          <w:sz w:val="21"/>
          <w:highlight w:val="none"/>
        </w:rPr>
      </w:pPr>
    </w:p>
    <w:p w14:paraId="2F3E1F61">
      <w:pPr>
        <w:spacing w:line="245" w:lineRule="auto"/>
        <w:rPr>
          <w:rFonts w:ascii="Arial"/>
          <w:sz w:val="21"/>
          <w:highlight w:val="none"/>
        </w:rPr>
      </w:pPr>
    </w:p>
    <w:p w14:paraId="067B1C8C">
      <w:pPr>
        <w:spacing w:line="245" w:lineRule="auto"/>
        <w:rPr>
          <w:rFonts w:ascii="Arial"/>
          <w:sz w:val="21"/>
          <w:highlight w:val="none"/>
        </w:rPr>
      </w:pPr>
    </w:p>
    <w:p w14:paraId="4D6C84B0">
      <w:pPr>
        <w:pStyle w:val="6"/>
        <w:spacing w:before="99" w:line="229" w:lineRule="auto"/>
        <w:ind w:left="3165"/>
        <w:rPr>
          <w:highlight w:val="none"/>
        </w:rPr>
      </w:pPr>
      <w:r>
        <w:rPr>
          <w:spacing w:val="-14"/>
          <w:highlight w:val="none"/>
        </w:rPr>
        <w:t>年</w:t>
      </w:r>
      <w:r>
        <w:rPr>
          <w:spacing w:val="13"/>
          <w:highlight w:val="none"/>
        </w:rPr>
        <w:t xml:space="preserve">  </w:t>
      </w:r>
      <w:r>
        <w:rPr>
          <w:spacing w:val="-14"/>
          <w:highlight w:val="none"/>
        </w:rPr>
        <w:t>月</w:t>
      </w:r>
      <w:r>
        <w:rPr>
          <w:spacing w:val="39"/>
          <w:highlight w:val="none"/>
        </w:rPr>
        <w:t xml:space="preserve">  </w:t>
      </w:r>
      <w:r>
        <w:rPr>
          <w:spacing w:val="-14"/>
          <w:highlight w:val="none"/>
        </w:rPr>
        <w:t>日</w:t>
      </w:r>
    </w:p>
    <w:p w14:paraId="5221CF72">
      <w:pPr>
        <w:spacing w:line="332" w:lineRule="auto"/>
        <w:rPr>
          <w:rFonts w:hint="eastAsia" w:ascii="Arial" w:eastAsia="宋体"/>
          <w:sz w:val="21"/>
          <w:highlight w:val="none"/>
          <w:lang w:eastAsia="zh-CN"/>
        </w:rPr>
      </w:pPr>
      <w:r>
        <w:rPr>
          <w:rFonts w:hint="eastAsia" w:ascii="Arial" w:eastAsia="宋体"/>
          <w:sz w:val="21"/>
          <w:highlight w:val="none"/>
          <w:lang w:eastAsia="zh-CN"/>
        </w:rPr>
        <w:br w:type="page"/>
      </w:r>
    </w:p>
    <w:p w14:paraId="7412CF98">
      <w:pPr>
        <w:pStyle w:val="6"/>
        <w:spacing w:before="98" w:line="229" w:lineRule="auto"/>
        <w:ind w:left="4066"/>
        <w:outlineLvl w:val="1"/>
        <w:rPr>
          <w:highlight w:val="none"/>
        </w:rPr>
      </w:pPr>
      <w:r>
        <w:rPr>
          <w:b/>
          <w:bCs/>
          <w:spacing w:val="8"/>
          <w:highlight w:val="none"/>
        </w:rPr>
        <w:t>一、开标一览表</w:t>
      </w:r>
    </w:p>
    <w:p w14:paraId="6C305082">
      <w:pPr>
        <w:spacing w:line="283" w:lineRule="auto"/>
        <w:rPr>
          <w:rFonts w:ascii="Arial"/>
          <w:sz w:val="21"/>
          <w:highlight w:val="none"/>
        </w:rPr>
      </w:pPr>
    </w:p>
    <w:p w14:paraId="43BCD859">
      <w:pPr>
        <w:pStyle w:val="6"/>
        <w:spacing w:before="78" w:line="221" w:lineRule="auto"/>
        <w:ind w:left="700"/>
        <w:rPr>
          <w:sz w:val="24"/>
          <w:szCs w:val="24"/>
          <w:highlight w:val="none"/>
        </w:rPr>
      </w:pPr>
      <w:r>
        <w:rPr>
          <w:spacing w:val="-4"/>
          <w:sz w:val="24"/>
          <w:szCs w:val="24"/>
          <w:highlight w:val="none"/>
        </w:rPr>
        <w:t>项目编号：</w:t>
      </w:r>
      <w:r>
        <w:rPr>
          <w:spacing w:val="1"/>
          <w:sz w:val="24"/>
          <w:szCs w:val="24"/>
          <w:highlight w:val="none"/>
        </w:rPr>
        <w:t xml:space="preserve">                </w:t>
      </w:r>
      <w:r>
        <w:rPr>
          <w:spacing w:val="-4"/>
          <w:sz w:val="24"/>
          <w:szCs w:val="24"/>
          <w:highlight w:val="none"/>
        </w:rPr>
        <w:t>项目名称：</w:t>
      </w:r>
    </w:p>
    <w:p w14:paraId="0DD330C7">
      <w:pPr>
        <w:pStyle w:val="6"/>
        <w:spacing w:before="180" w:line="221" w:lineRule="auto"/>
        <w:ind w:left="699"/>
        <w:rPr>
          <w:sz w:val="24"/>
          <w:szCs w:val="24"/>
          <w:highlight w:val="none"/>
        </w:rPr>
      </w:pPr>
      <w:r>
        <w:rPr>
          <w:spacing w:val="-3"/>
          <w:sz w:val="24"/>
          <w:szCs w:val="24"/>
          <w:highlight w:val="none"/>
        </w:rPr>
        <w:t>报价单位：</w:t>
      </w:r>
      <w:r>
        <w:rPr>
          <w:spacing w:val="10"/>
          <w:sz w:val="24"/>
          <w:szCs w:val="24"/>
          <w:highlight w:val="none"/>
        </w:rPr>
        <w:t xml:space="preserve">  </w:t>
      </w:r>
      <w:r>
        <w:rPr>
          <w:spacing w:val="-3"/>
          <w:sz w:val="24"/>
          <w:szCs w:val="24"/>
          <w:highlight w:val="none"/>
        </w:rPr>
        <w:t>元</w:t>
      </w:r>
    </w:p>
    <w:p w14:paraId="1618106D">
      <w:pPr>
        <w:spacing w:before="90"/>
        <w:rPr>
          <w:highlight w:val="none"/>
        </w:rPr>
      </w:pPr>
    </w:p>
    <w:p w14:paraId="3B0D65E2">
      <w:pPr>
        <w:spacing w:before="89"/>
        <w:rPr>
          <w:highlight w:val="none"/>
        </w:rPr>
      </w:pPr>
    </w:p>
    <w:tbl>
      <w:tblPr>
        <w:tblStyle w:val="13"/>
        <w:tblW w:w="87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2"/>
        <w:gridCol w:w="2738"/>
        <w:gridCol w:w="1626"/>
        <w:gridCol w:w="1632"/>
        <w:gridCol w:w="1087"/>
        <w:gridCol w:w="547"/>
      </w:tblGrid>
      <w:tr w14:paraId="5BE80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0" w:type="auto"/>
            <w:tcBorders>
              <w:top w:val="single" w:color="000000" w:sz="2" w:space="0"/>
              <w:left w:val="single" w:color="000000" w:sz="2" w:space="0"/>
            </w:tcBorders>
            <w:vAlign w:val="center"/>
          </w:tcPr>
          <w:p w14:paraId="2985ED8A">
            <w:pPr>
              <w:pStyle w:val="14"/>
              <w:snapToGrid w:val="0"/>
              <w:spacing w:before="137" w:line="240" w:lineRule="auto"/>
              <w:ind w:left="0" w:leftChars="0" w:right="0" w:rightChars="0" w:firstLine="0" w:firstLineChars="0"/>
              <w:jc w:val="center"/>
              <w:rPr>
                <w:b/>
                <w:highlight w:val="none"/>
              </w:rPr>
            </w:pPr>
            <w:r>
              <w:rPr>
                <w:b/>
                <w:spacing w:val="-4"/>
                <w:highlight w:val="none"/>
              </w:rPr>
              <w:t>标项名称</w:t>
            </w:r>
          </w:p>
        </w:tc>
        <w:tc>
          <w:tcPr>
            <w:tcW w:w="0" w:type="auto"/>
            <w:tcBorders>
              <w:top w:val="single" w:color="000000" w:sz="2" w:space="0"/>
              <w:right w:val="single" w:color="000000" w:sz="2" w:space="0"/>
            </w:tcBorders>
            <w:vAlign w:val="center"/>
          </w:tcPr>
          <w:p w14:paraId="7F1518F5">
            <w:pPr>
              <w:pStyle w:val="14"/>
              <w:snapToGrid w:val="0"/>
              <w:spacing w:before="137" w:line="240" w:lineRule="auto"/>
              <w:ind w:left="0" w:leftChars="0" w:right="0" w:rightChars="0" w:firstLine="0" w:firstLineChars="0"/>
              <w:jc w:val="center"/>
              <w:rPr>
                <w:b/>
                <w:highlight w:val="none"/>
              </w:rPr>
            </w:pPr>
            <w:r>
              <w:rPr>
                <w:b/>
                <w:spacing w:val="-2"/>
                <w:highlight w:val="none"/>
              </w:rPr>
              <w:t>投标报价（单价：元）</w:t>
            </w:r>
          </w:p>
        </w:tc>
        <w:tc>
          <w:tcPr>
            <w:tcW w:w="0" w:type="auto"/>
            <w:tcBorders>
              <w:left w:val="single" w:color="000000" w:sz="2" w:space="0"/>
              <w:right w:val="single" w:color="000000" w:sz="2" w:space="0"/>
            </w:tcBorders>
            <w:vAlign w:val="center"/>
          </w:tcPr>
          <w:p w14:paraId="0023BD21">
            <w:pPr>
              <w:pStyle w:val="14"/>
              <w:snapToGrid w:val="0"/>
              <w:spacing w:before="137" w:line="240" w:lineRule="auto"/>
              <w:ind w:left="0" w:leftChars="0" w:right="0" w:rightChars="0" w:firstLine="0" w:firstLineChars="0"/>
              <w:jc w:val="center"/>
              <w:rPr>
                <w:b/>
                <w:highlight w:val="none"/>
              </w:rPr>
            </w:pPr>
            <w:r>
              <w:rPr>
                <w:b/>
                <w:spacing w:val="-4"/>
                <w:highlight w:val="none"/>
              </w:rPr>
              <w:t>合同履约期限</w:t>
            </w:r>
          </w:p>
        </w:tc>
        <w:tc>
          <w:tcPr>
            <w:tcW w:w="0" w:type="auto"/>
            <w:tcBorders>
              <w:left w:val="single" w:color="000000" w:sz="2" w:space="0"/>
            </w:tcBorders>
            <w:vAlign w:val="center"/>
          </w:tcPr>
          <w:p w14:paraId="42A68403">
            <w:pPr>
              <w:pStyle w:val="14"/>
              <w:snapToGrid w:val="0"/>
              <w:spacing w:before="137" w:line="240" w:lineRule="auto"/>
              <w:ind w:left="0" w:leftChars="0" w:right="0" w:rightChars="0" w:firstLine="0" w:firstLineChars="0"/>
              <w:jc w:val="center"/>
              <w:rPr>
                <w:b/>
                <w:highlight w:val="none"/>
              </w:rPr>
            </w:pPr>
            <w:r>
              <w:rPr>
                <w:b/>
                <w:spacing w:val="-4"/>
                <w:highlight w:val="none"/>
              </w:rPr>
              <w:t>合同履约地点</w:t>
            </w:r>
          </w:p>
        </w:tc>
        <w:tc>
          <w:tcPr>
            <w:tcW w:w="0" w:type="auto"/>
            <w:vAlign w:val="center"/>
          </w:tcPr>
          <w:p w14:paraId="2F92CD1C">
            <w:pPr>
              <w:pStyle w:val="14"/>
              <w:snapToGrid w:val="0"/>
              <w:spacing w:before="137" w:line="240" w:lineRule="auto"/>
              <w:ind w:left="0" w:leftChars="0" w:right="0" w:rightChars="0" w:firstLine="0" w:firstLineChars="0"/>
              <w:jc w:val="center"/>
              <w:rPr>
                <w:b/>
                <w:highlight w:val="none"/>
              </w:rPr>
            </w:pPr>
            <w:r>
              <w:rPr>
                <w:b/>
                <w:spacing w:val="-6"/>
                <w:highlight w:val="none"/>
              </w:rPr>
              <w:t>质量要求</w:t>
            </w:r>
          </w:p>
        </w:tc>
        <w:tc>
          <w:tcPr>
            <w:tcW w:w="547" w:type="dxa"/>
            <w:vAlign w:val="center"/>
          </w:tcPr>
          <w:p w14:paraId="797E587F">
            <w:pPr>
              <w:pStyle w:val="14"/>
              <w:snapToGrid w:val="0"/>
              <w:spacing w:before="138" w:line="240" w:lineRule="auto"/>
              <w:ind w:left="0" w:leftChars="0" w:right="0" w:rightChars="0" w:firstLine="0" w:firstLineChars="0"/>
              <w:jc w:val="center"/>
              <w:rPr>
                <w:b/>
                <w:highlight w:val="none"/>
              </w:rPr>
            </w:pPr>
            <w:r>
              <w:rPr>
                <w:b/>
                <w:spacing w:val="-9"/>
                <w:highlight w:val="none"/>
              </w:rPr>
              <w:t>备注</w:t>
            </w:r>
          </w:p>
        </w:tc>
      </w:tr>
      <w:tr w14:paraId="2826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092" w:type="dxa"/>
            <w:tcBorders>
              <w:left w:val="single" w:color="000000" w:sz="2" w:space="0"/>
              <w:bottom w:val="single" w:color="000000" w:sz="2" w:space="0"/>
            </w:tcBorders>
            <w:vAlign w:val="center"/>
          </w:tcPr>
          <w:p w14:paraId="5534B88E">
            <w:pPr>
              <w:snapToGrid w:val="0"/>
              <w:ind w:left="0" w:leftChars="0" w:right="0" w:rightChars="0" w:firstLine="0" w:firstLineChars="0"/>
              <w:jc w:val="center"/>
              <w:rPr>
                <w:rFonts w:ascii="Arial"/>
                <w:sz w:val="21"/>
                <w:highlight w:val="none"/>
              </w:rPr>
            </w:pPr>
          </w:p>
        </w:tc>
        <w:tc>
          <w:tcPr>
            <w:tcW w:w="2738" w:type="dxa"/>
            <w:tcBorders>
              <w:bottom w:val="single" w:color="000000" w:sz="2" w:space="0"/>
              <w:right w:val="single" w:color="000000" w:sz="2" w:space="0"/>
            </w:tcBorders>
            <w:vAlign w:val="center"/>
          </w:tcPr>
          <w:p w14:paraId="38EB1AF3">
            <w:pPr>
              <w:pStyle w:val="14"/>
              <w:snapToGrid w:val="0"/>
              <w:spacing w:before="78" w:line="240" w:lineRule="auto"/>
              <w:ind w:left="0" w:leftChars="0" w:right="0" w:rightChars="0" w:firstLine="0" w:firstLineChars="0"/>
              <w:jc w:val="both"/>
              <w:rPr>
                <w:highlight w:val="none"/>
              </w:rPr>
            </w:pPr>
            <w:r>
              <w:rPr>
                <w:spacing w:val="-7"/>
                <w:highlight w:val="none"/>
              </w:rPr>
              <w:t>大写：</w:t>
            </w:r>
          </w:p>
          <w:p w14:paraId="447B1EE8">
            <w:pPr>
              <w:pStyle w:val="14"/>
              <w:snapToGrid w:val="0"/>
              <w:spacing w:before="175" w:line="240" w:lineRule="auto"/>
              <w:ind w:left="0" w:leftChars="0" w:right="0" w:rightChars="0" w:firstLine="0" w:firstLineChars="0"/>
              <w:jc w:val="both"/>
              <w:rPr>
                <w:highlight w:val="none"/>
              </w:rPr>
            </w:pPr>
            <w:r>
              <w:rPr>
                <w:spacing w:val="-6"/>
                <w:highlight w:val="none"/>
              </w:rPr>
              <w:t>小写：</w:t>
            </w:r>
          </w:p>
        </w:tc>
        <w:tc>
          <w:tcPr>
            <w:tcW w:w="1626" w:type="dxa"/>
            <w:tcBorders>
              <w:left w:val="single" w:color="000000" w:sz="2" w:space="0"/>
              <w:bottom w:val="single" w:color="000000" w:sz="2" w:space="0"/>
              <w:right w:val="single" w:color="000000" w:sz="2" w:space="0"/>
            </w:tcBorders>
            <w:vAlign w:val="center"/>
          </w:tcPr>
          <w:p w14:paraId="09C814B5">
            <w:pPr>
              <w:snapToGrid w:val="0"/>
              <w:ind w:left="0" w:leftChars="0" w:right="0" w:rightChars="0" w:firstLine="0" w:firstLineChars="0"/>
              <w:jc w:val="center"/>
              <w:rPr>
                <w:rFonts w:ascii="Arial"/>
                <w:sz w:val="21"/>
                <w:highlight w:val="none"/>
              </w:rPr>
            </w:pPr>
          </w:p>
        </w:tc>
        <w:tc>
          <w:tcPr>
            <w:tcW w:w="1632" w:type="dxa"/>
            <w:tcBorders>
              <w:left w:val="single" w:color="000000" w:sz="2" w:space="0"/>
              <w:bottom w:val="single" w:color="000000" w:sz="2" w:space="0"/>
            </w:tcBorders>
            <w:vAlign w:val="center"/>
          </w:tcPr>
          <w:p w14:paraId="635097BF">
            <w:pPr>
              <w:snapToGrid w:val="0"/>
              <w:ind w:left="0" w:leftChars="0" w:right="0" w:rightChars="0" w:firstLine="0" w:firstLineChars="0"/>
              <w:jc w:val="center"/>
              <w:rPr>
                <w:rFonts w:ascii="Arial"/>
                <w:sz w:val="21"/>
                <w:highlight w:val="none"/>
              </w:rPr>
            </w:pPr>
          </w:p>
        </w:tc>
        <w:tc>
          <w:tcPr>
            <w:tcW w:w="1087" w:type="dxa"/>
            <w:tcBorders>
              <w:bottom w:val="single" w:color="000000" w:sz="2" w:space="0"/>
            </w:tcBorders>
            <w:vAlign w:val="center"/>
          </w:tcPr>
          <w:p w14:paraId="0C250CBC">
            <w:pPr>
              <w:snapToGrid w:val="0"/>
              <w:ind w:left="0" w:leftChars="0" w:right="0" w:rightChars="0" w:firstLine="0" w:firstLineChars="0"/>
              <w:jc w:val="center"/>
              <w:rPr>
                <w:rFonts w:ascii="Arial"/>
                <w:sz w:val="21"/>
                <w:highlight w:val="none"/>
              </w:rPr>
            </w:pPr>
          </w:p>
        </w:tc>
        <w:tc>
          <w:tcPr>
            <w:tcW w:w="547" w:type="dxa"/>
            <w:tcBorders>
              <w:bottom w:val="single" w:color="000000" w:sz="2" w:space="0"/>
            </w:tcBorders>
            <w:vAlign w:val="center"/>
          </w:tcPr>
          <w:p w14:paraId="69D479D4">
            <w:pPr>
              <w:snapToGrid w:val="0"/>
              <w:ind w:left="0" w:leftChars="0" w:right="0" w:rightChars="0" w:firstLine="0" w:firstLineChars="0"/>
              <w:jc w:val="center"/>
              <w:rPr>
                <w:rFonts w:ascii="Arial"/>
                <w:sz w:val="21"/>
                <w:highlight w:val="none"/>
              </w:rPr>
            </w:pPr>
          </w:p>
        </w:tc>
      </w:tr>
    </w:tbl>
    <w:p w14:paraId="7AA89917">
      <w:pPr>
        <w:spacing w:line="423" w:lineRule="auto"/>
        <w:rPr>
          <w:rFonts w:ascii="Arial"/>
          <w:sz w:val="21"/>
          <w:highlight w:val="none"/>
        </w:rPr>
      </w:pPr>
    </w:p>
    <w:p w14:paraId="5FCFAD95">
      <w:pPr>
        <w:pStyle w:val="6"/>
        <w:spacing w:before="78" w:line="222" w:lineRule="auto"/>
        <w:ind w:left="1238"/>
        <w:rPr>
          <w:sz w:val="24"/>
          <w:szCs w:val="24"/>
          <w:highlight w:val="none"/>
        </w:rPr>
      </w:pPr>
      <w:r>
        <w:rPr>
          <w:spacing w:val="-3"/>
          <w:sz w:val="24"/>
          <w:szCs w:val="24"/>
          <w:highlight w:val="none"/>
        </w:rPr>
        <w:t>投标人（盖公章</w:t>
      </w:r>
      <w:r>
        <w:rPr>
          <w:spacing w:val="2"/>
          <w:sz w:val="24"/>
          <w:szCs w:val="24"/>
          <w:highlight w:val="none"/>
        </w:rPr>
        <w:t>）：</w:t>
      </w:r>
    </w:p>
    <w:p w14:paraId="1EEB5903">
      <w:pPr>
        <w:pStyle w:val="6"/>
        <w:spacing w:before="179" w:line="222" w:lineRule="auto"/>
        <w:ind w:left="1247"/>
        <w:rPr>
          <w:sz w:val="24"/>
          <w:szCs w:val="24"/>
          <w:highlight w:val="none"/>
        </w:rPr>
      </w:pPr>
      <w:r>
        <w:rPr>
          <w:spacing w:val="-2"/>
          <w:sz w:val="24"/>
          <w:szCs w:val="24"/>
          <w:highlight w:val="none"/>
        </w:rPr>
        <w:t>法定代表人或委托代理人(签字或签章):</w:t>
      </w:r>
      <w:r>
        <w:rPr>
          <w:spacing w:val="1"/>
          <w:sz w:val="24"/>
          <w:szCs w:val="24"/>
          <w:highlight w:val="none"/>
          <w:u w:val="single" w:color="auto"/>
        </w:rPr>
        <w:t xml:space="preserve">       </w:t>
      </w:r>
    </w:p>
    <w:p w14:paraId="0DB32329">
      <w:pPr>
        <w:spacing w:line="261" w:lineRule="auto"/>
        <w:rPr>
          <w:rFonts w:ascii="Arial"/>
          <w:sz w:val="21"/>
          <w:highlight w:val="none"/>
        </w:rPr>
      </w:pPr>
    </w:p>
    <w:p w14:paraId="23A39285">
      <w:pPr>
        <w:spacing w:line="261" w:lineRule="auto"/>
        <w:rPr>
          <w:rFonts w:ascii="Arial"/>
          <w:sz w:val="21"/>
          <w:highlight w:val="none"/>
        </w:rPr>
      </w:pPr>
    </w:p>
    <w:p w14:paraId="3A313207">
      <w:pPr>
        <w:spacing w:line="261" w:lineRule="auto"/>
        <w:rPr>
          <w:rFonts w:ascii="Arial"/>
          <w:sz w:val="21"/>
          <w:highlight w:val="none"/>
        </w:rPr>
      </w:pPr>
    </w:p>
    <w:p w14:paraId="4624354C">
      <w:pPr>
        <w:spacing w:line="262" w:lineRule="auto"/>
        <w:rPr>
          <w:rFonts w:ascii="Arial"/>
          <w:sz w:val="21"/>
          <w:highlight w:val="none"/>
        </w:rPr>
      </w:pPr>
    </w:p>
    <w:p w14:paraId="49648D0C">
      <w:pPr>
        <w:spacing w:line="262" w:lineRule="auto"/>
        <w:rPr>
          <w:rFonts w:ascii="Arial"/>
          <w:sz w:val="21"/>
          <w:highlight w:val="none"/>
        </w:rPr>
      </w:pPr>
    </w:p>
    <w:p w14:paraId="4519A1EA">
      <w:pPr>
        <w:spacing w:line="262" w:lineRule="auto"/>
        <w:rPr>
          <w:rFonts w:ascii="Arial"/>
          <w:sz w:val="21"/>
          <w:highlight w:val="none"/>
        </w:rPr>
      </w:pPr>
    </w:p>
    <w:p w14:paraId="30DAF81D">
      <w:pPr>
        <w:spacing w:line="262" w:lineRule="auto"/>
        <w:rPr>
          <w:rFonts w:ascii="Arial"/>
          <w:sz w:val="21"/>
          <w:highlight w:val="none"/>
        </w:rPr>
      </w:pPr>
    </w:p>
    <w:p w14:paraId="32D4E38C">
      <w:pPr>
        <w:spacing w:line="262" w:lineRule="auto"/>
        <w:rPr>
          <w:rFonts w:ascii="Arial"/>
          <w:sz w:val="21"/>
          <w:highlight w:val="none"/>
        </w:rPr>
      </w:pPr>
    </w:p>
    <w:p w14:paraId="5C63C43F">
      <w:pPr>
        <w:spacing w:line="262" w:lineRule="auto"/>
        <w:rPr>
          <w:rFonts w:ascii="Arial"/>
          <w:sz w:val="21"/>
          <w:highlight w:val="none"/>
        </w:rPr>
      </w:pPr>
    </w:p>
    <w:p w14:paraId="6ADE7612">
      <w:pPr>
        <w:spacing w:line="262" w:lineRule="auto"/>
        <w:rPr>
          <w:rFonts w:ascii="Arial"/>
          <w:sz w:val="21"/>
          <w:highlight w:val="none"/>
        </w:rPr>
      </w:pPr>
    </w:p>
    <w:p w14:paraId="24FA4276">
      <w:pPr>
        <w:pStyle w:val="6"/>
        <w:spacing w:before="78" w:line="230" w:lineRule="auto"/>
        <w:ind w:left="828"/>
        <w:rPr>
          <w:sz w:val="24"/>
          <w:szCs w:val="24"/>
          <w:highlight w:val="none"/>
        </w:rPr>
      </w:pPr>
      <w:r>
        <w:rPr>
          <w:b/>
          <w:bCs/>
          <w:spacing w:val="-14"/>
          <w:sz w:val="24"/>
          <w:szCs w:val="24"/>
          <w:highlight w:val="none"/>
        </w:rPr>
        <w:t>注：</w:t>
      </w:r>
    </w:p>
    <w:p w14:paraId="251D619C">
      <w:pPr>
        <w:pStyle w:val="6"/>
        <w:spacing w:before="183" w:line="222" w:lineRule="auto"/>
        <w:ind w:left="1751"/>
        <w:rPr>
          <w:sz w:val="24"/>
          <w:szCs w:val="24"/>
          <w:highlight w:val="none"/>
        </w:rPr>
      </w:pPr>
      <w:r>
        <w:rPr>
          <w:b/>
          <w:bCs/>
          <w:spacing w:val="-7"/>
          <w:sz w:val="24"/>
          <w:szCs w:val="24"/>
          <w:highlight w:val="none"/>
        </w:rPr>
        <w:t>1.此表用于开标唱标之用。</w:t>
      </w:r>
    </w:p>
    <w:p w14:paraId="5E9B182C">
      <w:pPr>
        <w:pStyle w:val="6"/>
        <w:spacing w:before="199" w:line="241" w:lineRule="auto"/>
        <w:ind w:left="1276" w:right="582" w:firstLine="460"/>
        <w:rPr>
          <w:sz w:val="24"/>
          <w:szCs w:val="24"/>
          <w:highlight w:val="none"/>
        </w:rPr>
      </w:pPr>
      <w:r>
        <w:rPr>
          <w:b/>
          <w:bCs/>
          <w:spacing w:val="-5"/>
          <w:sz w:val="24"/>
          <w:szCs w:val="24"/>
          <w:highlight w:val="none"/>
        </w:rPr>
        <w:t>2.表中投标报价即为优惠后报价，并作为评审及定标依据。任何有选择或有条件的投标报价，或者表中某一包填写多个报价，均为无</w:t>
      </w:r>
      <w:r>
        <w:rPr>
          <w:b/>
          <w:bCs/>
          <w:spacing w:val="-6"/>
          <w:sz w:val="24"/>
          <w:szCs w:val="24"/>
          <w:highlight w:val="none"/>
        </w:rPr>
        <w:t>效报价。</w:t>
      </w:r>
    </w:p>
    <w:p w14:paraId="4050F8E4">
      <w:pPr>
        <w:pStyle w:val="6"/>
        <w:spacing w:before="174" w:line="222" w:lineRule="auto"/>
        <w:ind w:left="1738"/>
        <w:rPr>
          <w:sz w:val="24"/>
          <w:szCs w:val="24"/>
          <w:highlight w:val="none"/>
        </w:rPr>
      </w:pPr>
      <w:r>
        <w:rPr>
          <w:b/>
          <w:bCs/>
          <w:spacing w:val="-6"/>
          <w:sz w:val="24"/>
          <w:szCs w:val="24"/>
          <w:highlight w:val="none"/>
        </w:rPr>
        <w:t>3.表中大写与小写不一致的，以大写为准。</w:t>
      </w:r>
    </w:p>
    <w:p w14:paraId="54F8CE00">
      <w:pPr>
        <w:pStyle w:val="6"/>
        <w:spacing w:before="198" w:line="221" w:lineRule="auto"/>
        <w:ind w:left="1732"/>
        <w:rPr>
          <w:sz w:val="24"/>
          <w:szCs w:val="24"/>
          <w:highlight w:val="none"/>
        </w:rPr>
      </w:pPr>
      <w:r>
        <w:rPr>
          <w:b/>
          <w:bCs/>
          <w:spacing w:val="-5"/>
          <w:sz w:val="24"/>
          <w:szCs w:val="24"/>
          <w:highlight w:val="none"/>
        </w:rPr>
        <w:t>4.此表中，投标报价应和分项明细表的单价合计金额相一致。</w:t>
      </w:r>
    </w:p>
    <w:p w14:paraId="573E7C70">
      <w:pPr>
        <w:pStyle w:val="6"/>
        <w:spacing w:before="203" w:line="219" w:lineRule="auto"/>
        <w:ind w:left="1738"/>
        <w:rPr>
          <w:sz w:val="24"/>
          <w:szCs w:val="24"/>
          <w:highlight w:val="none"/>
        </w:rPr>
      </w:pPr>
      <w:r>
        <w:rPr>
          <w:b/>
          <w:bCs/>
          <w:spacing w:val="-6"/>
          <w:sz w:val="24"/>
          <w:szCs w:val="24"/>
          <w:highlight w:val="none"/>
          <w:u w:val="single" w:color="auto"/>
        </w:rPr>
        <w:t>5.在政采云系统按此表投标报价准确填写。</w:t>
      </w:r>
    </w:p>
    <w:p w14:paraId="26AD8D9F">
      <w:pPr>
        <w:spacing w:line="301" w:lineRule="auto"/>
        <w:rPr>
          <w:rFonts w:hint="eastAsia" w:ascii="Arial" w:eastAsia="宋体"/>
          <w:sz w:val="21"/>
          <w:highlight w:val="none"/>
          <w:lang w:eastAsia="zh-CN"/>
        </w:rPr>
      </w:pPr>
      <w:r>
        <w:rPr>
          <w:rFonts w:hint="eastAsia" w:ascii="Arial" w:eastAsia="宋体"/>
          <w:sz w:val="21"/>
          <w:highlight w:val="none"/>
          <w:lang w:eastAsia="zh-CN"/>
        </w:rPr>
        <w:br w:type="page"/>
      </w:r>
    </w:p>
    <w:p w14:paraId="119D8C13">
      <w:pPr>
        <w:spacing w:line="333" w:lineRule="auto"/>
        <w:rPr>
          <w:rFonts w:ascii="Arial"/>
          <w:sz w:val="21"/>
          <w:highlight w:val="none"/>
        </w:rPr>
      </w:pPr>
    </w:p>
    <w:p w14:paraId="6F01AF7E">
      <w:pPr>
        <w:spacing w:line="333" w:lineRule="auto"/>
        <w:rPr>
          <w:rFonts w:ascii="Arial"/>
          <w:sz w:val="21"/>
          <w:highlight w:val="none"/>
        </w:rPr>
      </w:pPr>
    </w:p>
    <w:p w14:paraId="1D7DB473">
      <w:pPr>
        <w:pStyle w:val="6"/>
        <w:spacing w:before="97" w:line="230" w:lineRule="auto"/>
        <w:jc w:val="center"/>
        <w:outlineLvl w:val="1"/>
        <w:rPr>
          <w:highlight w:val="none"/>
        </w:rPr>
      </w:pPr>
      <w:r>
        <w:rPr>
          <w:b/>
          <w:bCs/>
          <w:spacing w:val="7"/>
          <w:highlight w:val="none"/>
        </w:rPr>
        <w:t>二、分项明细表</w:t>
      </w:r>
    </w:p>
    <w:p w14:paraId="0E6FB7A6">
      <w:pPr>
        <w:spacing w:line="282" w:lineRule="auto"/>
        <w:rPr>
          <w:rFonts w:ascii="Arial"/>
          <w:sz w:val="21"/>
          <w:highlight w:val="none"/>
        </w:rPr>
      </w:pPr>
    </w:p>
    <w:p w14:paraId="460831B6">
      <w:pPr>
        <w:spacing w:line="282" w:lineRule="auto"/>
        <w:rPr>
          <w:rFonts w:ascii="Arial"/>
          <w:sz w:val="21"/>
          <w:highlight w:val="none"/>
        </w:rPr>
      </w:pPr>
    </w:p>
    <w:p w14:paraId="062D2F98">
      <w:pPr>
        <w:pStyle w:val="6"/>
        <w:spacing w:before="78" w:line="221" w:lineRule="auto"/>
        <w:ind w:left="420"/>
        <w:rPr>
          <w:sz w:val="24"/>
          <w:szCs w:val="24"/>
          <w:highlight w:val="none"/>
        </w:rPr>
      </w:pPr>
      <w:r>
        <w:rPr>
          <w:spacing w:val="-1"/>
          <w:sz w:val="24"/>
          <w:szCs w:val="24"/>
          <w:highlight w:val="none"/>
        </w:rPr>
        <w:t>项目名称:              招标编号:</w:t>
      </w:r>
      <w:r>
        <w:rPr>
          <w:sz w:val="24"/>
          <w:szCs w:val="24"/>
          <w:highlight w:val="none"/>
        </w:rPr>
        <w:t xml:space="preserve">                                                    </w:t>
      </w:r>
      <w:r>
        <w:rPr>
          <w:spacing w:val="-1"/>
          <w:sz w:val="24"/>
          <w:szCs w:val="24"/>
          <w:highlight w:val="none"/>
        </w:rPr>
        <w:t>报价单位：人民币元</w:t>
      </w:r>
    </w:p>
    <w:p w14:paraId="7BB199BD">
      <w:pPr>
        <w:spacing w:line="18" w:lineRule="exact"/>
        <w:rPr>
          <w:highlight w:val="none"/>
        </w:rPr>
      </w:pPr>
    </w:p>
    <w:tbl>
      <w:tblPr>
        <w:tblStyle w:val="13"/>
        <w:tblW w:w="8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476"/>
        <w:gridCol w:w="1086"/>
        <w:gridCol w:w="1500"/>
        <w:gridCol w:w="940"/>
        <w:gridCol w:w="806"/>
        <w:gridCol w:w="596"/>
        <w:gridCol w:w="648"/>
        <w:gridCol w:w="796"/>
      </w:tblGrid>
      <w:tr w14:paraId="2689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28" w:type="dxa"/>
            <w:vAlign w:val="center"/>
          </w:tcPr>
          <w:p w14:paraId="1491559A">
            <w:pPr>
              <w:pStyle w:val="14"/>
              <w:spacing w:before="200" w:line="222" w:lineRule="auto"/>
              <w:jc w:val="center"/>
              <w:rPr>
                <w:highlight w:val="none"/>
              </w:rPr>
            </w:pPr>
            <w:r>
              <w:rPr>
                <w:spacing w:val="-8"/>
                <w:highlight w:val="none"/>
              </w:rPr>
              <w:t>序号</w:t>
            </w:r>
          </w:p>
        </w:tc>
        <w:tc>
          <w:tcPr>
            <w:tcW w:w="1476" w:type="dxa"/>
            <w:vAlign w:val="center"/>
          </w:tcPr>
          <w:p w14:paraId="1FE5257E">
            <w:pPr>
              <w:pStyle w:val="14"/>
              <w:spacing w:before="200" w:line="221" w:lineRule="auto"/>
              <w:jc w:val="center"/>
              <w:rPr>
                <w:highlight w:val="none"/>
              </w:rPr>
            </w:pPr>
            <w:r>
              <w:rPr>
                <w:spacing w:val="-5"/>
                <w:highlight w:val="none"/>
              </w:rPr>
              <w:t>产品名称</w:t>
            </w:r>
          </w:p>
        </w:tc>
        <w:tc>
          <w:tcPr>
            <w:tcW w:w="1086" w:type="dxa"/>
            <w:vAlign w:val="center"/>
          </w:tcPr>
          <w:p w14:paraId="4B9C69D1">
            <w:pPr>
              <w:pStyle w:val="14"/>
              <w:spacing w:before="200" w:line="222" w:lineRule="auto"/>
              <w:jc w:val="center"/>
              <w:rPr>
                <w:highlight w:val="none"/>
              </w:rPr>
            </w:pPr>
            <w:r>
              <w:rPr>
                <w:spacing w:val="-22"/>
                <w:highlight w:val="none"/>
              </w:rPr>
              <w:t>品牌</w:t>
            </w:r>
          </w:p>
        </w:tc>
        <w:tc>
          <w:tcPr>
            <w:tcW w:w="1500" w:type="dxa"/>
            <w:vAlign w:val="center"/>
          </w:tcPr>
          <w:p w14:paraId="20F4C54B">
            <w:pPr>
              <w:pStyle w:val="14"/>
              <w:spacing w:before="200" w:line="222" w:lineRule="auto"/>
              <w:jc w:val="center"/>
              <w:rPr>
                <w:highlight w:val="none"/>
              </w:rPr>
            </w:pPr>
            <w:r>
              <w:rPr>
                <w:spacing w:val="-6"/>
                <w:highlight w:val="none"/>
              </w:rPr>
              <w:t>型号和规格</w:t>
            </w:r>
          </w:p>
        </w:tc>
        <w:tc>
          <w:tcPr>
            <w:tcW w:w="940" w:type="dxa"/>
            <w:vAlign w:val="center"/>
          </w:tcPr>
          <w:p w14:paraId="4F8A545D">
            <w:pPr>
              <w:pStyle w:val="14"/>
              <w:spacing w:before="200" w:line="221" w:lineRule="auto"/>
              <w:jc w:val="center"/>
              <w:rPr>
                <w:highlight w:val="none"/>
              </w:rPr>
            </w:pPr>
            <w:r>
              <w:rPr>
                <w:spacing w:val="-4"/>
                <w:highlight w:val="none"/>
              </w:rPr>
              <w:t>制造商名称</w:t>
            </w:r>
          </w:p>
        </w:tc>
        <w:tc>
          <w:tcPr>
            <w:tcW w:w="806" w:type="dxa"/>
            <w:vAlign w:val="center"/>
          </w:tcPr>
          <w:p w14:paraId="3B197B55">
            <w:pPr>
              <w:pStyle w:val="14"/>
              <w:spacing w:before="200" w:line="223" w:lineRule="auto"/>
              <w:jc w:val="center"/>
              <w:rPr>
                <w:highlight w:val="none"/>
              </w:rPr>
            </w:pPr>
            <w:r>
              <w:rPr>
                <w:spacing w:val="-8"/>
                <w:highlight w:val="none"/>
              </w:rPr>
              <w:t>数量</w:t>
            </w:r>
          </w:p>
        </w:tc>
        <w:tc>
          <w:tcPr>
            <w:tcW w:w="596" w:type="dxa"/>
            <w:vAlign w:val="center"/>
          </w:tcPr>
          <w:p w14:paraId="49144954">
            <w:pPr>
              <w:pStyle w:val="14"/>
              <w:spacing w:before="200" w:line="221" w:lineRule="auto"/>
              <w:jc w:val="center"/>
              <w:rPr>
                <w:highlight w:val="none"/>
              </w:rPr>
            </w:pPr>
            <w:r>
              <w:rPr>
                <w:spacing w:val="-11"/>
                <w:highlight w:val="none"/>
              </w:rPr>
              <w:t>单位</w:t>
            </w:r>
          </w:p>
        </w:tc>
        <w:tc>
          <w:tcPr>
            <w:tcW w:w="648" w:type="dxa"/>
            <w:vAlign w:val="center"/>
          </w:tcPr>
          <w:p w14:paraId="2FC30CB6">
            <w:pPr>
              <w:pStyle w:val="14"/>
              <w:spacing w:before="200" w:line="221" w:lineRule="auto"/>
              <w:jc w:val="center"/>
              <w:rPr>
                <w:highlight w:val="none"/>
              </w:rPr>
            </w:pPr>
            <w:r>
              <w:rPr>
                <w:spacing w:val="-11"/>
                <w:highlight w:val="none"/>
              </w:rPr>
              <w:t>单价</w:t>
            </w:r>
          </w:p>
        </w:tc>
        <w:tc>
          <w:tcPr>
            <w:tcW w:w="796" w:type="dxa"/>
            <w:vAlign w:val="center"/>
          </w:tcPr>
          <w:p w14:paraId="69EB8407">
            <w:pPr>
              <w:pStyle w:val="14"/>
              <w:spacing w:before="201" w:line="224" w:lineRule="auto"/>
              <w:jc w:val="center"/>
              <w:rPr>
                <w:highlight w:val="none"/>
              </w:rPr>
            </w:pPr>
            <w:r>
              <w:rPr>
                <w:spacing w:val="-9"/>
                <w:highlight w:val="none"/>
              </w:rPr>
              <w:t>备注</w:t>
            </w:r>
          </w:p>
        </w:tc>
      </w:tr>
      <w:tr w14:paraId="404A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528" w:type="dxa"/>
            <w:vAlign w:val="top"/>
          </w:tcPr>
          <w:p w14:paraId="0AC212A8">
            <w:pPr>
              <w:pStyle w:val="14"/>
              <w:spacing w:before="195" w:line="230" w:lineRule="auto"/>
              <w:jc w:val="center"/>
              <w:rPr>
                <w:highlight w:val="none"/>
              </w:rPr>
            </w:pPr>
            <w:r>
              <w:rPr>
                <w:highlight w:val="none"/>
              </w:rPr>
              <w:t>1</w:t>
            </w:r>
          </w:p>
        </w:tc>
        <w:tc>
          <w:tcPr>
            <w:tcW w:w="1476" w:type="dxa"/>
            <w:vAlign w:val="top"/>
          </w:tcPr>
          <w:p w14:paraId="1EF3DF36">
            <w:pPr>
              <w:pStyle w:val="14"/>
              <w:spacing w:before="195" w:line="221" w:lineRule="auto"/>
              <w:jc w:val="center"/>
              <w:rPr>
                <w:highlight w:val="none"/>
              </w:rPr>
            </w:pPr>
          </w:p>
        </w:tc>
        <w:tc>
          <w:tcPr>
            <w:tcW w:w="1086" w:type="dxa"/>
            <w:vAlign w:val="top"/>
          </w:tcPr>
          <w:p w14:paraId="5E32FE40">
            <w:pPr>
              <w:jc w:val="center"/>
              <w:rPr>
                <w:rFonts w:ascii="Arial"/>
                <w:sz w:val="21"/>
                <w:highlight w:val="none"/>
              </w:rPr>
            </w:pPr>
          </w:p>
        </w:tc>
        <w:tc>
          <w:tcPr>
            <w:tcW w:w="1500" w:type="dxa"/>
            <w:vAlign w:val="top"/>
          </w:tcPr>
          <w:p w14:paraId="63C6B8B6">
            <w:pPr>
              <w:jc w:val="center"/>
              <w:rPr>
                <w:rFonts w:ascii="Arial"/>
                <w:sz w:val="21"/>
                <w:highlight w:val="none"/>
              </w:rPr>
            </w:pPr>
          </w:p>
        </w:tc>
        <w:tc>
          <w:tcPr>
            <w:tcW w:w="940" w:type="dxa"/>
            <w:vAlign w:val="top"/>
          </w:tcPr>
          <w:p w14:paraId="47E22669">
            <w:pPr>
              <w:jc w:val="center"/>
              <w:rPr>
                <w:rFonts w:ascii="Arial"/>
                <w:sz w:val="21"/>
                <w:highlight w:val="none"/>
              </w:rPr>
            </w:pPr>
          </w:p>
        </w:tc>
        <w:tc>
          <w:tcPr>
            <w:tcW w:w="806" w:type="dxa"/>
            <w:vAlign w:val="top"/>
          </w:tcPr>
          <w:p w14:paraId="600D1E08">
            <w:pPr>
              <w:pStyle w:val="14"/>
              <w:spacing w:before="195" w:line="230" w:lineRule="auto"/>
              <w:jc w:val="center"/>
              <w:rPr>
                <w:highlight w:val="none"/>
              </w:rPr>
            </w:pPr>
          </w:p>
        </w:tc>
        <w:tc>
          <w:tcPr>
            <w:tcW w:w="596" w:type="dxa"/>
            <w:vAlign w:val="top"/>
          </w:tcPr>
          <w:p w14:paraId="7A7BF856">
            <w:pPr>
              <w:jc w:val="center"/>
              <w:rPr>
                <w:rFonts w:ascii="Arial"/>
                <w:sz w:val="21"/>
                <w:highlight w:val="none"/>
              </w:rPr>
            </w:pPr>
          </w:p>
        </w:tc>
        <w:tc>
          <w:tcPr>
            <w:tcW w:w="648" w:type="dxa"/>
            <w:vAlign w:val="top"/>
          </w:tcPr>
          <w:p w14:paraId="3A26EE22">
            <w:pPr>
              <w:jc w:val="center"/>
              <w:rPr>
                <w:rFonts w:ascii="Arial"/>
                <w:sz w:val="21"/>
                <w:highlight w:val="none"/>
              </w:rPr>
            </w:pPr>
          </w:p>
        </w:tc>
        <w:tc>
          <w:tcPr>
            <w:tcW w:w="796" w:type="dxa"/>
            <w:vAlign w:val="top"/>
          </w:tcPr>
          <w:p w14:paraId="535016A3">
            <w:pPr>
              <w:jc w:val="center"/>
              <w:rPr>
                <w:rFonts w:ascii="Arial"/>
                <w:sz w:val="21"/>
                <w:highlight w:val="none"/>
              </w:rPr>
            </w:pPr>
          </w:p>
        </w:tc>
      </w:tr>
      <w:tr w14:paraId="7405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28" w:type="dxa"/>
            <w:vAlign w:val="top"/>
          </w:tcPr>
          <w:p w14:paraId="73B91BA7">
            <w:pPr>
              <w:pStyle w:val="14"/>
              <w:spacing w:before="197" w:line="228" w:lineRule="auto"/>
              <w:jc w:val="center"/>
              <w:rPr>
                <w:highlight w:val="none"/>
              </w:rPr>
            </w:pPr>
            <w:r>
              <w:rPr>
                <w:highlight w:val="none"/>
              </w:rPr>
              <w:t>2</w:t>
            </w:r>
          </w:p>
        </w:tc>
        <w:tc>
          <w:tcPr>
            <w:tcW w:w="1476" w:type="dxa"/>
            <w:vAlign w:val="top"/>
          </w:tcPr>
          <w:p w14:paraId="339E6117">
            <w:pPr>
              <w:pStyle w:val="14"/>
              <w:spacing w:before="196" w:line="222" w:lineRule="auto"/>
              <w:jc w:val="center"/>
              <w:rPr>
                <w:highlight w:val="none"/>
              </w:rPr>
            </w:pPr>
          </w:p>
        </w:tc>
        <w:tc>
          <w:tcPr>
            <w:tcW w:w="1086" w:type="dxa"/>
            <w:vAlign w:val="top"/>
          </w:tcPr>
          <w:p w14:paraId="1EB19DB1">
            <w:pPr>
              <w:jc w:val="center"/>
              <w:rPr>
                <w:rFonts w:ascii="Arial"/>
                <w:sz w:val="21"/>
                <w:highlight w:val="none"/>
              </w:rPr>
            </w:pPr>
          </w:p>
        </w:tc>
        <w:tc>
          <w:tcPr>
            <w:tcW w:w="1500" w:type="dxa"/>
            <w:vAlign w:val="top"/>
          </w:tcPr>
          <w:p w14:paraId="07F5C10E">
            <w:pPr>
              <w:jc w:val="center"/>
              <w:rPr>
                <w:rFonts w:ascii="Arial"/>
                <w:sz w:val="21"/>
                <w:highlight w:val="none"/>
              </w:rPr>
            </w:pPr>
          </w:p>
        </w:tc>
        <w:tc>
          <w:tcPr>
            <w:tcW w:w="940" w:type="dxa"/>
            <w:vAlign w:val="top"/>
          </w:tcPr>
          <w:p w14:paraId="6141BC4D">
            <w:pPr>
              <w:jc w:val="center"/>
              <w:rPr>
                <w:rFonts w:ascii="Arial"/>
                <w:sz w:val="21"/>
                <w:highlight w:val="none"/>
              </w:rPr>
            </w:pPr>
          </w:p>
        </w:tc>
        <w:tc>
          <w:tcPr>
            <w:tcW w:w="806" w:type="dxa"/>
            <w:vAlign w:val="top"/>
          </w:tcPr>
          <w:p w14:paraId="451EE491">
            <w:pPr>
              <w:pStyle w:val="14"/>
              <w:spacing w:before="197" w:line="228" w:lineRule="auto"/>
              <w:jc w:val="center"/>
              <w:rPr>
                <w:highlight w:val="none"/>
              </w:rPr>
            </w:pPr>
          </w:p>
        </w:tc>
        <w:tc>
          <w:tcPr>
            <w:tcW w:w="596" w:type="dxa"/>
            <w:vAlign w:val="top"/>
          </w:tcPr>
          <w:p w14:paraId="0C211836">
            <w:pPr>
              <w:jc w:val="center"/>
              <w:rPr>
                <w:rFonts w:ascii="Arial"/>
                <w:sz w:val="21"/>
                <w:highlight w:val="none"/>
              </w:rPr>
            </w:pPr>
          </w:p>
        </w:tc>
        <w:tc>
          <w:tcPr>
            <w:tcW w:w="648" w:type="dxa"/>
            <w:vAlign w:val="top"/>
          </w:tcPr>
          <w:p w14:paraId="7FAAF189">
            <w:pPr>
              <w:jc w:val="center"/>
              <w:rPr>
                <w:rFonts w:ascii="Arial"/>
                <w:sz w:val="21"/>
                <w:highlight w:val="none"/>
              </w:rPr>
            </w:pPr>
          </w:p>
        </w:tc>
        <w:tc>
          <w:tcPr>
            <w:tcW w:w="796" w:type="dxa"/>
            <w:vAlign w:val="top"/>
          </w:tcPr>
          <w:p w14:paraId="4997862F">
            <w:pPr>
              <w:jc w:val="center"/>
              <w:rPr>
                <w:rFonts w:ascii="Arial"/>
                <w:sz w:val="21"/>
                <w:highlight w:val="none"/>
              </w:rPr>
            </w:pPr>
          </w:p>
        </w:tc>
      </w:tr>
      <w:tr w14:paraId="7562A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14:paraId="57BD6C08">
            <w:pPr>
              <w:spacing w:line="299" w:lineRule="auto"/>
              <w:jc w:val="center"/>
              <w:rPr>
                <w:rFonts w:ascii="Arial"/>
                <w:sz w:val="21"/>
                <w:highlight w:val="none"/>
              </w:rPr>
            </w:pPr>
          </w:p>
          <w:p w14:paraId="59AA6959">
            <w:pPr>
              <w:pStyle w:val="14"/>
              <w:spacing w:before="78" w:line="94" w:lineRule="exact"/>
              <w:ind w:left="255"/>
              <w:jc w:val="center"/>
              <w:rPr>
                <w:highlight w:val="none"/>
              </w:rPr>
            </w:pPr>
            <w:r>
              <w:rPr>
                <w:position w:val="2"/>
                <w:highlight w:val="none"/>
              </w:rPr>
              <w:t>...</w:t>
            </w:r>
          </w:p>
        </w:tc>
        <w:tc>
          <w:tcPr>
            <w:tcW w:w="1476" w:type="dxa"/>
            <w:vAlign w:val="top"/>
          </w:tcPr>
          <w:p w14:paraId="6A1564DD">
            <w:pPr>
              <w:spacing w:line="299" w:lineRule="auto"/>
              <w:jc w:val="center"/>
              <w:rPr>
                <w:rFonts w:ascii="Arial"/>
                <w:sz w:val="21"/>
                <w:highlight w:val="none"/>
              </w:rPr>
            </w:pPr>
          </w:p>
          <w:p w14:paraId="70E5FEF7">
            <w:pPr>
              <w:pStyle w:val="14"/>
              <w:spacing w:before="78" w:line="94" w:lineRule="exact"/>
              <w:ind w:left="833"/>
              <w:jc w:val="center"/>
              <w:rPr>
                <w:highlight w:val="none"/>
              </w:rPr>
            </w:pPr>
            <w:r>
              <w:rPr>
                <w:position w:val="2"/>
                <w:highlight w:val="none"/>
              </w:rPr>
              <w:t>......</w:t>
            </w:r>
          </w:p>
        </w:tc>
        <w:tc>
          <w:tcPr>
            <w:tcW w:w="1086" w:type="dxa"/>
            <w:vAlign w:val="top"/>
          </w:tcPr>
          <w:p w14:paraId="2E72D550">
            <w:pPr>
              <w:jc w:val="center"/>
              <w:rPr>
                <w:rFonts w:ascii="Arial"/>
                <w:sz w:val="21"/>
                <w:highlight w:val="none"/>
              </w:rPr>
            </w:pPr>
          </w:p>
        </w:tc>
        <w:tc>
          <w:tcPr>
            <w:tcW w:w="1500" w:type="dxa"/>
            <w:vAlign w:val="top"/>
          </w:tcPr>
          <w:p w14:paraId="7E43EE3A">
            <w:pPr>
              <w:jc w:val="center"/>
              <w:rPr>
                <w:rFonts w:ascii="Arial"/>
                <w:sz w:val="21"/>
                <w:highlight w:val="none"/>
              </w:rPr>
            </w:pPr>
          </w:p>
        </w:tc>
        <w:tc>
          <w:tcPr>
            <w:tcW w:w="940" w:type="dxa"/>
            <w:vAlign w:val="top"/>
          </w:tcPr>
          <w:p w14:paraId="20E29A27">
            <w:pPr>
              <w:jc w:val="center"/>
              <w:rPr>
                <w:rFonts w:ascii="Arial"/>
                <w:sz w:val="21"/>
                <w:highlight w:val="none"/>
              </w:rPr>
            </w:pPr>
          </w:p>
        </w:tc>
        <w:tc>
          <w:tcPr>
            <w:tcW w:w="806" w:type="dxa"/>
            <w:vAlign w:val="top"/>
          </w:tcPr>
          <w:p w14:paraId="7C60BC36">
            <w:pPr>
              <w:jc w:val="center"/>
              <w:rPr>
                <w:rFonts w:ascii="Arial"/>
                <w:sz w:val="21"/>
                <w:highlight w:val="none"/>
              </w:rPr>
            </w:pPr>
          </w:p>
        </w:tc>
        <w:tc>
          <w:tcPr>
            <w:tcW w:w="596" w:type="dxa"/>
            <w:vAlign w:val="top"/>
          </w:tcPr>
          <w:p w14:paraId="424ABE75">
            <w:pPr>
              <w:jc w:val="center"/>
              <w:rPr>
                <w:rFonts w:ascii="Arial"/>
                <w:sz w:val="21"/>
                <w:highlight w:val="none"/>
              </w:rPr>
            </w:pPr>
          </w:p>
        </w:tc>
        <w:tc>
          <w:tcPr>
            <w:tcW w:w="648" w:type="dxa"/>
            <w:vAlign w:val="top"/>
          </w:tcPr>
          <w:p w14:paraId="6CD99C66">
            <w:pPr>
              <w:jc w:val="center"/>
              <w:rPr>
                <w:rFonts w:ascii="Arial"/>
                <w:sz w:val="21"/>
                <w:highlight w:val="none"/>
              </w:rPr>
            </w:pPr>
          </w:p>
        </w:tc>
        <w:tc>
          <w:tcPr>
            <w:tcW w:w="796" w:type="dxa"/>
            <w:vAlign w:val="top"/>
          </w:tcPr>
          <w:p w14:paraId="2134D625">
            <w:pPr>
              <w:jc w:val="center"/>
              <w:rPr>
                <w:rFonts w:ascii="Arial"/>
                <w:sz w:val="21"/>
                <w:highlight w:val="none"/>
              </w:rPr>
            </w:pPr>
          </w:p>
        </w:tc>
      </w:tr>
      <w:tr w14:paraId="4421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28" w:type="dxa"/>
            <w:vAlign w:val="top"/>
          </w:tcPr>
          <w:p w14:paraId="44580B3A">
            <w:pPr>
              <w:spacing w:line="301" w:lineRule="auto"/>
              <w:jc w:val="center"/>
              <w:rPr>
                <w:rFonts w:ascii="Arial"/>
                <w:sz w:val="21"/>
                <w:highlight w:val="none"/>
              </w:rPr>
            </w:pPr>
          </w:p>
          <w:p w14:paraId="084C674C">
            <w:pPr>
              <w:pStyle w:val="14"/>
              <w:spacing w:before="78" w:line="94" w:lineRule="exact"/>
              <w:ind w:left="255"/>
              <w:jc w:val="center"/>
              <w:rPr>
                <w:highlight w:val="none"/>
              </w:rPr>
            </w:pPr>
            <w:r>
              <w:rPr>
                <w:position w:val="2"/>
                <w:highlight w:val="none"/>
              </w:rPr>
              <w:t>...</w:t>
            </w:r>
          </w:p>
        </w:tc>
        <w:tc>
          <w:tcPr>
            <w:tcW w:w="1476" w:type="dxa"/>
            <w:vAlign w:val="top"/>
          </w:tcPr>
          <w:p w14:paraId="43F965A9">
            <w:pPr>
              <w:spacing w:line="301" w:lineRule="auto"/>
              <w:jc w:val="center"/>
              <w:rPr>
                <w:rFonts w:ascii="Arial"/>
                <w:sz w:val="21"/>
                <w:highlight w:val="none"/>
              </w:rPr>
            </w:pPr>
          </w:p>
          <w:p w14:paraId="2DEDD626">
            <w:pPr>
              <w:pStyle w:val="14"/>
              <w:spacing w:before="78" w:line="94" w:lineRule="exact"/>
              <w:ind w:left="833"/>
              <w:jc w:val="center"/>
              <w:rPr>
                <w:highlight w:val="none"/>
              </w:rPr>
            </w:pPr>
            <w:r>
              <w:rPr>
                <w:position w:val="2"/>
                <w:highlight w:val="none"/>
              </w:rPr>
              <w:t>......</w:t>
            </w:r>
          </w:p>
        </w:tc>
        <w:tc>
          <w:tcPr>
            <w:tcW w:w="1086" w:type="dxa"/>
            <w:vAlign w:val="top"/>
          </w:tcPr>
          <w:p w14:paraId="13374494">
            <w:pPr>
              <w:jc w:val="center"/>
              <w:rPr>
                <w:rFonts w:ascii="Arial"/>
                <w:sz w:val="21"/>
                <w:highlight w:val="none"/>
              </w:rPr>
            </w:pPr>
          </w:p>
        </w:tc>
        <w:tc>
          <w:tcPr>
            <w:tcW w:w="1500" w:type="dxa"/>
            <w:vAlign w:val="top"/>
          </w:tcPr>
          <w:p w14:paraId="289DC246">
            <w:pPr>
              <w:jc w:val="center"/>
              <w:rPr>
                <w:rFonts w:ascii="Arial"/>
                <w:sz w:val="21"/>
                <w:highlight w:val="none"/>
              </w:rPr>
            </w:pPr>
          </w:p>
        </w:tc>
        <w:tc>
          <w:tcPr>
            <w:tcW w:w="940" w:type="dxa"/>
            <w:vAlign w:val="top"/>
          </w:tcPr>
          <w:p w14:paraId="26C04CE0">
            <w:pPr>
              <w:jc w:val="center"/>
              <w:rPr>
                <w:rFonts w:ascii="Arial"/>
                <w:sz w:val="21"/>
                <w:highlight w:val="none"/>
              </w:rPr>
            </w:pPr>
          </w:p>
        </w:tc>
        <w:tc>
          <w:tcPr>
            <w:tcW w:w="806" w:type="dxa"/>
            <w:vAlign w:val="top"/>
          </w:tcPr>
          <w:p w14:paraId="607F5686">
            <w:pPr>
              <w:jc w:val="center"/>
              <w:rPr>
                <w:rFonts w:ascii="Arial"/>
                <w:sz w:val="21"/>
                <w:highlight w:val="none"/>
              </w:rPr>
            </w:pPr>
          </w:p>
        </w:tc>
        <w:tc>
          <w:tcPr>
            <w:tcW w:w="596" w:type="dxa"/>
            <w:vAlign w:val="top"/>
          </w:tcPr>
          <w:p w14:paraId="50D78C9D">
            <w:pPr>
              <w:jc w:val="center"/>
              <w:rPr>
                <w:rFonts w:ascii="Arial"/>
                <w:sz w:val="21"/>
                <w:highlight w:val="none"/>
              </w:rPr>
            </w:pPr>
          </w:p>
        </w:tc>
        <w:tc>
          <w:tcPr>
            <w:tcW w:w="648" w:type="dxa"/>
            <w:vAlign w:val="top"/>
          </w:tcPr>
          <w:p w14:paraId="5AD9EC02">
            <w:pPr>
              <w:jc w:val="center"/>
              <w:rPr>
                <w:rFonts w:ascii="Arial"/>
                <w:sz w:val="21"/>
                <w:highlight w:val="none"/>
              </w:rPr>
            </w:pPr>
          </w:p>
        </w:tc>
        <w:tc>
          <w:tcPr>
            <w:tcW w:w="796" w:type="dxa"/>
            <w:vAlign w:val="top"/>
          </w:tcPr>
          <w:p w14:paraId="1190C4C6">
            <w:pPr>
              <w:jc w:val="center"/>
              <w:rPr>
                <w:rFonts w:ascii="Arial"/>
                <w:sz w:val="21"/>
                <w:highlight w:val="none"/>
              </w:rPr>
            </w:pPr>
          </w:p>
        </w:tc>
      </w:tr>
      <w:tr w14:paraId="4F08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28" w:type="dxa"/>
            <w:vAlign w:val="top"/>
          </w:tcPr>
          <w:p w14:paraId="54F4A47B">
            <w:pPr>
              <w:spacing w:line="301" w:lineRule="auto"/>
              <w:jc w:val="center"/>
              <w:rPr>
                <w:rFonts w:ascii="Arial"/>
                <w:sz w:val="21"/>
                <w:highlight w:val="none"/>
              </w:rPr>
            </w:pPr>
          </w:p>
          <w:p w14:paraId="0D0FC358">
            <w:pPr>
              <w:pStyle w:val="14"/>
              <w:spacing w:before="78" w:line="94" w:lineRule="exact"/>
              <w:ind w:left="255"/>
              <w:jc w:val="center"/>
              <w:rPr>
                <w:highlight w:val="none"/>
              </w:rPr>
            </w:pPr>
            <w:r>
              <w:rPr>
                <w:position w:val="2"/>
                <w:highlight w:val="none"/>
              </w:rPr>
              <w:t>...</w:t>
            </w:r>
          </w:p>
        </w:tc>
        <w:tc>
          <w:tcPr>
            <w:tcW w:w="1476" w:type="dxa"/>
            <w:vAlign w:val="top"/>
          </w:tcPr>
          <w:p w14:paraId="030792FA">
            <w:pPr>
              <w:spacing w:line="301" w:lineRule="auto"/>
              <w:jc w:val="center"/>
              <w:rPr>
                <w:rFonts w:ascii="Arial"/>
                <w:sz w:val="21"/>
                <w:highlight w:val="none"/>
              </w:rPr>
            </w:pPr>
          </w:p>
          <w:p w14:paraId="3B78EF5F">
            <w:pPr>
              <w:pStyle w:val="14"/>
              <w:spacing w:before="78" w:line="94" w:lineRule="exact"/>
              <w:ind w:left="833"/>
              <w:jc w:val="center"/>
              <w:rPr>
                <w:highlight w:val="none"/>
              </w:rPr>
            </w:pPr>
            <w:r>
              <w:rPr>
                <w:position w:val="2"/>
                <w:highlight w:val="none"/>
              </w:rPr>
              <w:t>......</w:t>
            </w:r>
          </w:p>
        </w:tc>
        <w:tc>
          <w:tcPr>
            <w:tcW w:w="1086" w:type="dxa"/>
            <w:vAlign w:val="top"/>
          </w:tcPr>
          <w:p w14:paraId="7CB0A9AD">
            <w:pPr>
              <w:jc w:val="center"/>
              <w:rPr>
                <w:rFonts w:ascii="Arial"/>
                <w:sz w:val="21"/>
                <w:highlight w:val="none"/>
              </w:rPr>
            </w:pPr>
          </w:p>
        </w:tc>
        <w:tc>
          <w:tcPr>
            <w:tcW w:w="1500" w:type="dxa"/>
            <w:vAlign w:val="top"/>
          </w:tcPr>
          <w:p w14:paraId="4B8EEEE8">
            <w:pPr>
              <w:jc w:val="center"/>
              <w:rPr>
                <w:rFonts w:ascii="Arial"/>
                <w:sz w:val="21"/>
                <w:highlight w:val="none"/>
              </w:rPr>
            </w:pPr>
          </w:p>
        </w:tc>
        <w:tc>
          <w:tcPr>
            <w:tcW w:w="940" w:type="dxa"/>
            <w:vAlign w:val="top"/>
          </w:tcPr>
          <w:p w14:paraId="0DE73489">
            <w:pPr>
              <w:jc w:val="center"/>
              <w:rPr>
                <w:rFonts w:ascii="Arial"/>
                <w:sz w:val="21"/>
                <w:highlight w:val="none"/>
              </w:rPr>
            </w:pPr>
          </w:p>
        </w:tc>
        <w:tc>
          <w:tcPr>
            <w:tcW w:w="806" w:type="dxa"/>
            <w:vAlign w:val="top"/>
          </w:tcPr>
          <w:p w14:paraId="4991DBAC">
            <w:pPr>
              <w:jc w:val="center"/>
              <w:rPr>
                <w:rFonts w:ascii="Arial"/>
                <w:sz w:val="21"/>
                <w:highlight w:val="none"/>
              </w:rPr>
            </w:pPr>
          </w:p>
        </w:tc>
        <w:tc>
          <w:tcPr>
            <w:tcW w:w="596" w:type="dxa"/>
            <w:vAlign w:val="top"/>
          </w:tcPr>
          <w:p w14:paraId="3BCAA9E9">
            <w:pPr>
              <w:jc w:val="center"/>
              <w:rPr>
                <w:rFonts w:ascii="Arial"/>
                <w:sz w:val="21"/>
                <w:highlight w:val="none"/>
              </w:rPr>
            </w:pPr>
          </w:p>
        </w:tc>
        <w:tc>
          <w:tcPr>
            <w:tcW w:w="648" w:type="dxa"/>
            <w:vAlign w:val="top"/>
          </w:tcPr>
          <w:p w14:paraId="7219FD22">
            <w:pPr>
              <w:jc w:val="center"/>
              <w:rPr>
                <w:rFonts w:ascii="Arial"/>
                <w:sz w:val="21"/>
                <w:highlight w:val="none"/>
              </w:rPr>
            </w:pPr>
          </w:p>
        </w:tc>
        <w:tc>
          <w:tcPr>
            <w:tcW w:w="796" w:type="dxa"/>
            <w:vAlign w:val="top"/>
          </w:tcPr>
          <w:p w14:paraId="35DCEA2F">
            <w:pPr>
              <w:jc w:val="center"/>
              <w:rPr>
                <w:rFonts w:ascii="Arial"/>
                <w:sz w:val="21"/>
                <w:highlight w:val="none"/>
              </w:rPr>
            </w:pPr>
          </w:p>
        </w:tc>
      </w:tr>
      <w:tr w14:paraId="28E8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28" w:type="dxa"/>
            <w:vAlign w:val="top"/>
          </w:tcPr>
          <w:p w14:paraId="799E3E32">
            <w:pPr>
              <w:spacing w:line="302" w:lineRule="auto"/>
              <w:jc w:val="center"/>
              <w:rPr>
                <w:rFonts w:ascii="Arial"/>
                <w:sz w:val="21"/>
                <w:highlight w:val="none"/>
              </w:rPr>
            </w:pPr>
          </w:p>
          <w:p w14:paraId="496FA0E7">
            <w:pPr>
              <w:pStyle w:val="14"/>
              <w:spacing w:before="78" w:line="94" w:lineRule="exact"/>
              <w:ind w:left="255"/>
              <w:jc w:val="center"/>
              <w:rPr>
                <w:highlight w:val="none"/>
              </w:rPr>
            </w:pPr>
            <w:r>
              <w:rPr>
                <w:position w:val="2"/>
                <w:highlight w:val="none"/>
              </w:rPr>
              <w:t>...</w:t>
            </w:r>
          </w:p>
        </w:tc>
        <w:tc>
          <w:tcPr>
            <w:tcW w:w="1476" w:type="dxa"/>
            <w:vAlign w:val="top"/>
          </w:tcPr>
          <w:p w14:paraId="49DFF10F">
            <w:pPr>
              <w:spacing w:line="302" w:lineRule="auto"/>
              <w:jc w:val="center"/>
              <w:rPr>
                <w:rFonts w:ascii="Arial"/>
                <w:sz w:val="21"/>
                <w:highlight w:val="none"/>
              </w:rPr>
            </w:pPr>
          </w:p>
          <w:p w14:paraId="3EE1459C">
            <w:pPr>
              <w:pStyle w:val="14"/>
              <w:spacing w:before="78" w:line="94" w:lineRule="exact"/>
              <w:ind w:left="833"/>
              <w:jc w:val="center"/>
              <w:rPr>
                <w:highlight w:val="none"/>
              </w:rPr>
            </w:pPr>
            <w:r>
              <w:rPr>
                <w:position w:val="2"/>
                <w:highlight w:val="none"/>
              </w:rPr>
              <w:t>......</w:t>
            </w:r>
          </w:p>
        </w:tc>
        <w:tc>
          <w:tcPr>
            <w:tcW w:w="1086" w:type="dxa"/>
            <w:vAlign w:val="top"/>
          </w:tcPr>
          <w:p w14:paraId="7AB68F81">
            <w:pPr>
              <w:jc w:val="center"/>
              <w:rPr>
                <w:rFonts w:ascii="Arial"/>
                <w:sz w:val="21"/>
                <w:highlight w:val="none"/>
              </w:rPr>
            </w:pPr>
          </w:p>
        </w:tc>
        <w:tc>
          <w:tcPr>
            <w:tcW w:w="1500" w:type="dxa"/>
            <w:vAlign w:val="top"/>
          </w:tcPr>
          <w:p w14:paraId="331BFB24">
            <w:pPr>
              <w:jc w:val="center"/>
              <w:rPr>
                <w:rFonts w:ascii="Arial"/>
                <w:sz w:val="21"/>
                <w:highlight w:val="none"/>
              </w:rPr>
            </w:pPr>
          </w:p>
        </w:tc>
        <w:tc>
          <w:tcPr>
            <w:tcW w:w="940" w:type="dxa"/>
            <w:vAlign w:val="top"/>
          </w:tcPr>
          <w:p w14:paraId="21EA992D">
            <w:pPr>
              <w:jc w:val="center"/>
              <w:rPr>
                <w:rFonts w:ascii="Arial"/>
                <w:sz w:val="21"/>
                <w:highlight w:val="none"/>
              </w:rPr>
            </w:pPr>
          </w:p>
        </w:tc>
        <w:tc>
          <w:tcPr>
            <w:tcW w:w="806" w:type="dxa"/>
            <w:vAlign w:val="top"/>
          </w:tcPr>
          <w:p w14:paraId="57E188A4">
            <w:pPr>
              <w:jc w:val="center"/>
              <w:rPr>
                <w:rFonts w:ascii="Arial"/>
                <w:sz w:val="21"/>
                <w:highlight w:val="none"/>
              </w:rPr>
            </w:pPr>
          </w:p>
        </w:tc>
        <w:tc>
          <w:tcPr>
            <w:tcW w:w="596" w:type="dxa"/>
            <w:vAlign w:val="top"/>
          </w:tcPr>
          <w:p w14:paraId="7FECFC07">
            <w:pPr>
              <w:jc w:val="center"/>
              <w:rPr>
                <w:rFonts w:ascii="Arial"/>
                <w:sz w:val="21"/>
                <w:highlight w:val="none"/>
              </w:rPr>
            </w:pPr>
          </w:p>
        </w:tc>
        <w:tc>
          <w:tcPr>
            <w:tcW w:w="648" w:type="dxa"/>
            <w:vAlign w:val="top"/>
          </w:tcPr>
          <w:p w14:paraId="58342956">
            <w:pPr>
              <w:jc w:val="center"/>
              <w:rPr>
                <w:rFonts w:ascii="Arial"/>
                <w:sz w:val="21"/>
                <w:highlight w:val="none"/>
              </w:rPr>
            </w:pPr>
          </w:p>
        </w:tc>
        <w:tc>
          <w:tcPr>
            <w:tcW w:w="796" w:type="dxa"/>
            <w:vAlign w:val="top"/>
          </w:tcPr>
          <w:p w14:paraId="35E911D8">
            <w:pPr>
              <w:jc w:val="center"/>
              <w:rPr>
                <w:rFonts w:ascii="Arial"/>
                <w:sz w:val="21"/>
                <w:highlight w:val="none"/>
              </w:rPr>
            </w:pPr>
          </w:p>
        </w:tc>
      </w:tr>
      <w:tr w14:paraId="1E30C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28" w:type="dxa"/>
            <w:vAlign w:val="top"/>
          </w:tcPr>
          <w:p w14:paraId="69B183C5">
            <w:pPr>
              <w:pStyle w:val="14"/>
              <w:spacing w:before="78" w:line="94" w:lineRule="exact"/>
              <w:ind w:left="255"/>
              <w:jc w:val="center"/>
              <w:rPr>
                <w:position w:val="2"/>
                <w:highlight w:val="none"/>
              </w:rPr>
            </w:pPr>
          </w:p>
        </w:tc>
        <w:tc>
          <w:tcPr>
            <w:tcW w:w="1476" w:type="dxa"/>
            <w:vAlign w:val="top"/>
          </w:tcPr>
          <w:p w14:paraId="5F762280">
            <w:pPr>
              <w:pStyle w:val="14"/>
              <w:spacing w:before="78" w:line="94" w:lineRule="exact"/>
              <w:ind w:left="833"/>
              <w:jc w:val="center"/>
              <w:rPr>
                <w:position w:val="2"/>
                <w:highlight w:val="none"/>
              </w:rPr>
            </w:pPr>
          </w:p>
        </w:tc>
        <w:tc>
          <w:tcPr>
            <w:tcW w:w="1086" w:type="dxa"/>
            <w:vAlign w:val="top"/>
          </w:tcPr>
          <w:p w14:paraId="376F9B7A">
            <w:pPr>
              <w:jc w:val="center"/>
              <w:rPr>
                <w:rFonts w:ascii="Arial"/>
                <w:sz w:val="21"/>
                <w:highlight w:val="none"/>
              </w:rPr>
            </w:pPr>
          </w:p>
          <w:p w14:paraId="5338C757">
            <w:pPr>
              <w:pStyle w:val="9"/>
              <w:rPr>
                <w:rFonts w:hint="eastAsia" w:eastAsia="宋体"/>
                <w:highlight w:val="none"/>
                <w:lang w:val="en-US" w:eastAsia="zh-CN"/>
              </w:rPr>
            </w:pPr>
            <w:r>
              <w:rPr>
                <w:rFonts w:hint="eastAsia" w:eastAsia="宋体"/>
                <w:highlight w:val="none"/>
                <w:lang w:val="en-US" w:eastAsia="zh-CN"/>
              </w:rPr>
              <w:t>合计</w:t>
            </w:r>
          </w:p>
        </w:tc>
        <w:tc>
          <w:tcPr>
            <w:tcW w:w="1500" w:type="dxa"/>
            <w:vAlign w:val="top"/>
          </w:tcPr>
          <w:p w14:paraId="21668E51">
            <w:pPr>
              <w:jc w:val="center"/>
              <w:rPr>
                <w:rFonts w:ascii="Arial"/>
                <w:sz w:val="21"/>
                <w:highlight w:val="none"/>
              </w:rPr>
            </w:pPr>
          </w:p>
        </w:tc>
        <w:tc>
          <w:tcPr>
            <w:tcW w:w="940" w:type="dxa"/>
            <w:vAlign w:val="top"/>
          </w:tcPr>
          <w:p w14:paraId="65340174">
            <w:pPr>
              <w:jc w:val="center"/>
              <w:rPr>
                <w:rFonts w:ascii="Arial"/>
                <w:sz w:val="21"/>
                <w:highlight w:val="none"/>
              </w:rPr>
            </w:pPr>
          </w:p>
        </w:tc>
        <w:tc>
          <w:tcPr>
            <w:tcW w:w="806" w:type="dxa"/>
            <w:vAlign w:val="top"/>
          </w:tcPr>
          <w:p w14:paraId="012780FA">
            <w:pPr>
              <w:jc w:val="center"/>
              <w:rPr>
                <w:rFonts w:ascii="Arial"/>
                <w:sz w:val="21"/>
                <w:highlight w:val="none"/>
              </w:rPr>
            </w:pPr>
          </w:p>
        </w:tc>
        <w:tc>
          <w:tcPr>
            <w:tcW w:w="596" w:type="dxa"/>
            <w:vAlign w:val="top"/>
          </w:tcPr>
          <w:p w14:paraId="26312A04">
            <w:pPr>
              <w:jc w:val="center"/>
              <w:rPr>
                <w:rFonts w:ascii="Arial"/>
                <w:sz w:val="21"/>
                <w:highlight w:val="none"/>
              </w:rPr>
            </w:pPr>
          </w:p>
        </w:tc>
        <w:tc>
          <w:tcPr>
            <w:tcW w:w="648" w:type="dxa"/>
            <w:vAlign w:val="top"/>
          </w:tcPr>
          <w:p w14:paraId="4F9F7880">
            <w:pPr>
              <w:jc w:val="center"/>
              <w:rPr>
                <w:rFonts w:hint="eastAsia" w:eastAsia="宋体"/>
                <w:sz w:val="21"/>
                <w:highlight w:val="none"/>
                <w:lang w:val="en-US" w:eastAsia="zh-CN"/>
              </w:rPr>
            </w:pPr>
          </w:p>
          <w:p w14:paraId="7A2307A6">
            <w:pPr>
              <w:jc w:val="center"/>
              <w:rPr>
                <w:rFonts w:hint="eastAsia" w:ascii="Arial" w:eastAsia="宋体"/>
                <w:sz w:val="21"/>
                <w:highlight w:val="none"/>
                <w:lang w:val="en-US" w:eastAsia="zh-CN"/>
              </w:rPr>
            </w:pPr>
            <w:r>
              <w:rPr>
                <w:rFonts w:hint="eastAsia" w:eastAsia="宋体"/>
                <w:sz w:val="21"/>
                <w:highlight w:val="none"/>
                <w:lang w:val="en-US" w:eastAsia="zh-CN"/>
              </w:rPr>
              <w:t>元</w:t>
            </w:r>
          </w:p>
        </w:tc>
        <w:tc>
          <w:tcPr>
            <w:tcW w:w="796" w:type="dxa"/>
            <w:vAlign w:val="top"/>
          </w:tcPr>
          <w:p w14:paraId="0041276B">
            <w:pPr>
              <w:jc w:val="center"/>
              <w:rPr>
                <w:rFonts w:ascii="Arial"/>
                <w:sz w:val="21"/>
                <w:highlight w:val="none"/>
              </w:rPr>
            </w:pPr>
          </w:p>
        </w:tc>
      </w:tr>
    </w:tbl>
    <w:p w14:paraId="2FC6C080">
      <w:pPr>
        <w:pStyle w:val="6"/>
        <w:spacing w:before="35" w:line="221" w:lineRule="auto"/>
        <w:ind w:left="425"/>
        <w:rPr>
          <w:sz w:val="24"/>
          <w:szCs w:val="24"/>
          <w:highlight w:val="none"/>
        </w:rPr>
      </w:pPr>
      <w:r>
        <w:rPr>
          <w:b/>
          <w:bCs/>
          <w:spacing w:val="-2"/>
          <w:sz w:val="24"/>
          <w:szCs w:val="24"/>
          <w:highlight w:val="none"/>
        </w:rPr>
        <w:t>注:1.</w:t>
      </w:r>
      <w:r>
        <w:rPr>
          <w:b/>
          <w:bCs/>
          <w:spacing w:val="-2"/>
          <w:sz w:val="24"/>
          <w:szCs w:val="24"/>
          <w:highlight w:val="none"/>
          <w:u w:val="single" w:color="auto"/>
        </w:rPr>
        <w:t>投标人根据“第三章采购需求</w:t>
      </w:r>
      <w:r>
        <w:rPr>
          <w:spacing w:val="-86"/>
          <w:sz w:val="24"/>
          <w:szCs w:val="24"/>
          <w:highlight w:val="none"/>
          <w:u w:val="single" w:color="auto"/>
        </w:rPr>
        <w:t xml:space="preserve"> </w:t>
      </w:r>
      <w:r>
        <w:rPr>
          <w:b/>
          <w:bCs/>
          <w:spacing w:val="-2"/>
          <w:sz w:val="24"/>
          <w:szCs w:val="24"/>
          <w:highlight w:val="none"/>
          <w:u w:val="single" w:color="auto"/>
        </w:rPr>
        <w:t>”中的采购清单逐一填写，多报</w:t>
      </w:r>
      <w:r>
        <w:rPr>
          <w:b/>
          <w:bCs/>
          <w:spacing w:val="-3"/>
          <w:sz w:val="24"/>
          <w:szCs w:val="24"/>
          <w:highlight w:val="none"/>
          <w:u w:val="single" w:color="auto"/>
        </w:rPr>
        <w:t>错报漏报，投标无效。</w:t>
      </w:r>
    </w:p>
    <w:p w14:paraId="73951CCB">
      <w:pPr>
        <w:pStyle w:val="6"/>
        <w:spacing w:before="24" w:line="221" w:lineRule="auto"/>
        <w:ind w:left="414"/>
        <w:rPr>
          <w:sz w:val="24"/>
          <w:szCs w:val="24"/>
          <w:highlight w:val="none"/>
        </w:rPr>
      </w:pPr>
      <w:r>
        <w:rPr>
          <w:b/>
          <w:bCs/>
          <w:spacing w:val="-2"/>
          <w:sz w:val="24"/>
          <w:szCs w:val="24"/>
          <w:highlight w:val="none"/>
        </w:rPr>
        <w:t>2.如果单价与单价合计金额不一致,以单价为准修正单</w:t>
      </w:r>
      <w:r>
        <w:rPr>
          <w:b/>
          <w:bCs/>
          <w:spacing w:val="-3"/>
          <w:sz w:val="24"/>
          <w:szCs w:val="24"/>
          <w:highlight w:val="none"/>
        </w:rPr>
        <w:t>价合计。</w:t>
      </w:r>
    </w:p>
    <w:p w14:paraId="6F37B279">
      <w:pPr>
        <w:pStyle w:val="6"/>
        <w:spacing w:before="25" w:line="220" w:lineRule="auto"/>
        <w:ind w:left="416"/>
        <w:rPr>
          <w:sz w:val="24"/>
          <w:szCs w:val="24"/>
          <w:highlight w:val="none"/>
        </w:rPr>
      </w:pPr>
      <w:r>
        <w:rPr>
          <w:b/>
          <w:bCs/>
          <w:spacing w:val="-1"/>
          <w:sz w:val="24"/>
          <w:szCs w:val="24"/>
          <w:highlight w:val="none"/>
        </w:rPr>
        <w:t>3.</w:t>
      </w:r>
      <w:r>
        <w:rPr>
          <w:b/>
          <w:bCs/>
          <w:spacing w:val="-1"/>
          <w:sz w:val="24"/>
          <w:szCs w:val="24"/>
          <w:highlight w:val="none"/>
          <w:u w:val="single" w:color="auto"/>
        </w:rPr>
        <w:t>如果不提供详细分项报价将视为未实质性响应招标文件。</w:t>
      </w:r>
    </w:p>
    <w:p w14:paraId="67708CF6">
      <w:pPr>
        <w:pStyle w:val="6"/>
        <w:spacing w:before="24" w:line="221" w:lineRule="auto"/>
        <w:ind w:left="410"/>
        <w:rPr>
          <w:sz w:val="24"/>
          <w:szCs w:val="24"/>
          <w:highlight w:val="none"/>
        </w:rPr>
      </w:pPr>
      <w:r>
        <w:rPr>
          <w:b/>
          <w:bCs/>
          <w:spacing w:val="-3"/>
          <w:sz w:val="24"/>
          <w:szCs w:val="24"/>
          <w:highlight w:val="none"/>
        </w:rPr>
        <w:t>4.上述各项的详细分项报价，可另页描述。</w:t>
      </w:r>
    </w:p>
    <w:p w14:paraId="2C78DCE9">
      <w:pPr>
        <w:pStyle w:val="6"/>
        <w:spacing w:before="24" w:line="221" w:lineRule="auto"/>
        <w:ind w:left="416"/>
        <w:rPr>
          <w:sz w:val="24"/>
          <w:szCs w:val="24"/>
          <w:highlight w:val="none"/>
        </w:rPr>
      </w:pPr>
      <w:r>
        <w:rPr>
          <w:b/>
          <w:bCs/>
          <w:spacing w:val="-1"/>
          <w:sz w:val="24"/>
          <w:szCs w:val="24"/>
          <w:highlight w:val="none"/>
        </w:rPr>
        <w:t>5.</w:t>
      </w:r>
      <w:r>
        <w:rPr>
          <w:b/>
          <w:bCs/>
          <w:spacing w:val="-1"/>
          <w:sz w:val="24"/>
          <w:szCs w:val="24"/>
          <w:highlight w:val="none"/>
          <w:u w:val="single" w:color="auto"/>
        </w:rPr>
        <w:t>如果开标一览表内容与本表内容和单价合计金额不一致的，以开标一览表内</w:t>
      </w:r>
      <w:r>
        <w:rPr>
          <w:b/>
          <w:bCs/>
          <w:spacing w:val="-2"/>
          <w:sz w:val="24"/>
          <w:szCs w:val="24"/>
          <w:highlight w:val="none"/>
          <w:u w:val="single" w:color="auto"/>
        </w:rPr>
        <w:t>容为准。</w:t>
      </w:r>
    </w:p>
    <w:p w14:paraId="725CC168">
      <w:pPr>
        <w:pStyle w:val="6"/>
        <w:spacing w:before="25" w:line="222" w:lineRule="auto"/>
        <w:ind w:left="413"/>
        <w:rPr>
          <w:sz w:val="24"/>
          <w:szCs w:val="24"/>
          <w:highlight w:val="none"/>
        </w:rPr>
      </w:pPr>
      <w:r>
        <w:rPr>
          <w:b/>
          <w:bCs/>
          <w:spacing w:val="-2"/>
          <w:sz w:val="24"/>
          <w:szCs w:val="24"/>
          <w:highlight w:val="none"/>
        </w:rPr>
        <w:t>6.为了方便采购人履约验收，本表内容尽可能的填</w:t>
      </w:r>
      <w:r>
        <w:rPr>
          <w:b/>
          <w:bCs/>
          <w:spacing w:val="-3"/>
          <w:sz w:val="24"/>
          <w:szCs w:val="24"/>
          <w:highlight w:val="none"/>
        </w:rPr>
        <w:t>写完善。</w:t>
      </w:r>
    </w:p>
    <w:p w14:paraId="3DE378EC">
      <w:pPr>
        <w:pStyle w:val="6"/>
        <w:spacing w:before="21" w:line="220" w:lineRule="auto"/>
        <w:ind w:left="417"/>
        <w:rPr>
          <w:sz w:val="24"/>
          <w:szCs w:val="24"/>
          <w:highlight w:val="none"/>
        </w:rPr>
      </w:pPr>
      <w:r>
        <w:rPr>
          <w:b/>
          <w:bCs/>
          <w:spacing w:val="-5"/>
          <w:sz w:val="24"/>
          <w:szCs w:val="24"/>
          <w:highlight w:val="none"/>
        </w:rPr>
        <w:t>7.填写说明：制造商规模请填写“大型</w:t>
      </w:r>
      <w:r>
        <w:rPr>
          <w:spacing w:val="-88"/>
          <w:sz w:val="24"/>
          <w:szCs w:val="24"/>
          <w:highlight w:val="none"/>
        </w:rPr>
        <w:t xml:space="preserve"> </w:t>
      </w:r>
      <w:r>
        <w:rPr>
          <w:b/>
          <w:bCs/>
          <w:spacing w:val="-5"/>
          <w:sz w:val="24"/>
          <w:szCs w:val="24"/>
          <w:highlight w:val="none"/>
        </w:rPr>
        <w:t>”、“</w:t>
      </w:r>
      <w:r>
        <w:rPr>
          <w:spacing w:val="-71"/>
          <w:sz w:val="24"/>
          <w:szCs w:val="24"/>
          <w:highlight w:val="none"/>
        </w:rPr>
        <w:t xml:space="preserve"> </w:t>
      </w:r>
      <w:r>
        <w:rPr>
          <w:b/>
          <w:bCs/>
          <w:spacing w:val="-5"/>
          <w:sz w:val="24"/>
          <w:szCs w:val="24"/>
          <w:highlight w:val="none"/>
        </w:rPr>
        <w:t>中型</w:t>
      </w:r>
      <w:r>
        <w:rPr>
          <w:spacing w:val="-88"/>
          <w:sz w:val="24"/>
          <w:szCs w:val="24"/>
          <w:highlight w:val="none"/>
        </w:rPr>
        <w:t xml:space="preserve"> </w:t>
      </w:r>
      <w:r>
        <w:rPr>
          <w:b/>
          <w:bCs/>
          <w:spacing w:val="-5"/>
          <w:sz w:val="24"/>
          <w:szCs w:val="24"/>
          <w:highlight w:val="none"/>
        </w:rPr>
        <w:t>”、“小型</w:t>
      </w:r>
      <w:r>
        <w:rPr>
          <w:spacing w:val="-86"/>
          <w:sz w:val="24"/>
          <w:szCs w:val="24"/>
          <w:highlight w:val="none"/>
        </w:rPr>
        <w:t xml:space="preserve"> </w:t>
      </w:r>
      <w:r>
        <w:rPr>
          <w:b/>
          <w:bCs/>
          <w:spacing w:val="-5"/>
          <w:sz w:val="24"/>
          <w:szCs w:val="24"/>
          <w:highlight w:val="none"/>
        </w:rPr>
        <w:t>”</w:t>
      </w:r>
      <w:r>
        <w:rPr>
          <w:b/>
          <w:bCs/>
          <w:spacing w:val="-6"/>
          <w:sz w:val="24"/>
          <w:szCs w:val="24"/>
          <w:highlight w:val="none"/>
        </w:rPr>
        <w:t>、“微型</w:t>
      </w:r>
      <w:r>
        <w:rPr>
          <w:spacing w:val="-88"/>
          <w:sz w:val="24"/>
          <w:szCs w:val="24"/>
          <w:highlight w:val="none"/>
        </w:rPr>
        <w:t xml:space="preserve"> </w:t>
      </w:r>
      <w:r>
        <w:rPr>
          <w:b/>
          <w:bCs/>
          <w:spacing w:val="-6"/>
          <w:sz w:val="24"/>
          <w:szCs w:val="24"/>
          <w:highlight w:val="none"/>
        </w:rPr>
        <w:t>”或“其他</w:t>
      </w:r>
      <w:r>
        <w:rPr>
          <w:spacing w:val="-86"/>
          <w:sz w:val="24"/>
          <w:szCs w:val="24"/>
          <w:highlight w:val="none"/>
        </w:rPr>
        <w:t xml:space="preserve"> </w:t>
      </w:r>
      <w:r>
        <w:rPr>
          <w:b/>
          <w:bCs/>
          <w:spacing w:val="-6"/>
          <w:sz w:val="24"/>
          <w:szCs w:val="24"/>
          <w:highlight w:val="none"/>
        </w:rPr>
        <w:t>”，且不应与《中小企业声明函》中内容矛盾。</w:t>
      </w:r>
    </w:p>
    <w:p w14:paraId="2F28547D">
      <w:pPr>
        <w:spacing w:line="321" w:lineRule="auto"/>
        <w:rPr>
          <w:rFonts w:hint="eastAsia" w:ascii="Arial" w:eastAsia="宋体"/>
          <w:sz w:val="21"/>
          <w:highlight w:val="none"/>
          <w:lang w:eastAsia="zh-CN"/>
        </w:rPr>
      </w:pPr>
      <w:r>
        <w:rPr>
          <w:rFonts w:hint="eastAsia" w:ascii="Arial" w:eastAsia="宋体"/>
          <w:sz w:val="21"/>
          <w:highlight w:val="none"/>
          <w:lang w:eastAsia="zh-CN"/>
        </w:rPr>
        <w:br w:type="page"/>
      </w:r>
    </w:p>
    <w:p w14:paraId="6493C063">
      <w:pPr>
        <w:pStyle w:val="6"/>
        <w:spacing w:before="78" w:line="225" w:lineRule="auto"/>
        <w:ind w:left="519"/>
        <w:rPr>
          <w:sz w:val="24"/>
          <w:szCs w:val="24"/>
          <w:highlight w:val="none"/>
        </w:rPr>
      </w:pPr>
      <w:r>
        <w:rPr>
          <w:spacing w:val="-7"/>
          <w:sz w:val="24"/>
          <w:szCs w:val="24"/>
          <w:highlight w:val="none"/>
        </w:rPr>
        <w:t>封面：</w:t>
      </w:r>
    </w:p>
    <w:p w14:paraId="0A8A9C17">
      <w:pPr>
        <w:spacing w:line="278" w:lineRule="auto"/>
        <w:rPr>
          <w:rFonts w:ascii="Arial"/>
          <w:sz w:val="21"/>
          <w:highlight w:val="none"/>
        </w:rPr>
      </w:pPr>
    </w:p>
    <w:p w14:paraId="505EE5BE">
      <w:pPr>
        <w:spacing w:line="278" w:lineRule="auto"/>
        <w:rPr>
          <w:rFonts w:ascii="Arial"/>
          <w:sz w:val="21"/>
          <w:highlight w:val="none"/>
        </w:rPr>
      </w:pPr>
    </w:p>
    <w:p w14:paraId="252238C7">
      <w:pPr>
        <w:spacing w:line="279" w:lineRule="auto"/>
        <w:rPr>
          <w:rFonts w:ascii="Arial"/>
          <w:sz w:val="21"/>
          <w:highlight w:val="none"/>
        </w:rPr>
      </w:pPr>
    </w:p>
    <w:p w14:paraId="15858F41">
      <w:pPr>
        <w:spacing w:line="279" w:lineRule="auto"/>
        <w:rPr>
          <w:rFonts w:ascii="Arial"/>
          <w:sz w:val="21"/>
          <w:highlight w:val="none"/>
        </w:rPr>
      </w:pPr>
    </w:p>
    <w:p w14:paraId="5A7CD6A7">
      <w:pPr>
        <w:spacing w:line="279" w:lineRule="auto"/>
        <w:rPr>
          <w:rFonts w:ascii="Arial"/>
          <w:sz w:val="21"/>
          <w:highlight w:val="none"/>
        </w:rPr>
      </w:pPr>
    </w:p>
    <w:p w14:paraId="4DDF929D">
      <w:pPr>
        <w:spacing w:line="279" w:lineRule="auto"/>
        <w:rPr>
          <w:rFonts w:ascii="Arial"/>
          <w:sz w:val="21"/>
          <w:highlight w:val="none"/>
        </w:rPr>
      </w:pPr>
    </w:p>
    <w:p w14:paraId="009EB090">
      <w:pPr>
        <w:pStyle w:val="6"/>
        <w:spacing w:before="266" w:line="225" w:lineRule="auto"/>
        <w:ind w:left="2823"/>
        <w:rPr>
          <w:sz w:val="82"/>
          <w:szCs w:val="82"/>
          <w:highlight w:val="none"/>
        </w:rPr>
      </w:pPr>
      <w:r>
        <w:rPr>
          <w:b/>
          <w:bCs/>
          <w:spacing w:val="-31"/>
          <w:sz w:val="82"/>
          <w:szCs w:val="82"/>
          <w:highlight w:val="none"/>
        </w:rPr>
        <w:t>投标文件</w:t>
      </w:r>
    </w:p>
    <w:p w14:paraId="7ED2AC08">
      <w:pPr>
        <w:spacing w:line="255" w:lineRule="auto"/>
        <w:rPr>
          <w:rFonts w:ascii="Arial"/>
          <w:sz w:val="21"/>
          <w:highlight w:val="none"/>
        </w:rPr>
      </w:pPr>
    </w:p>
    <w:p w14:paraId="5DDC17F3">
      <w:pPr>
        <w:pStyle w:val="6"/>
        <w:spacing w:before="176" w:line="226" w:lineRule="auto"/>
        <w:ind w:left="2765"/>
        <w:rPr>
          <w:sz w:val="54"/>
          <w:szCs w:val="54"/>
          <w:highlight w:val="none"/>
        </w:rPr>
      </w:pPr>
      <w:r>
        <w:rPr>
          <w:b/>
          <w:bCs/>
          <w:spacing w:val="-4"/>
          <w:sz w:val="54"/>
          <w:szCs w:val="54"/>
          <w:highlight w:val="none"/>
        </w:rPr>
        <w:t>商务技术文件</w:t>
      </w:r>
    </w:p>
    <w:p w14:paraId="16C62402">
      <w:pPr>
        <w:pStyle w:val="6"/>
        <w:spacing w:before="194" w:line="226" w:lineRule="auto"/>
        <w:ind w:left="1162"/>
        <w:rPr>
          <w:sz w:val="34"/>
          <w:szCs w:val="34"/>
          <w:highlight w:val="none"/>
        </w:rPr>
      </w:pPr>
      <w:r>
        <w:rPr>
          <w:spacing w:val="14"/>
          <w:sz w:val="34"/>
          <w:szCs w:val="34"/>
          <w:highlight w:val="none"/>
        </w:rPr>
        <w:t>（第</w:t>
      </w:r>
      <w:r>
        <w:rPr>
          <w:sz w:val="34"/>
          <w:szCs w:val="34"/>
          <w:highlight w:val="none"/>
        </w:rPr>
        <w:t>XX</w:t>
      </w:r>
      <w:r>
        <w:rPr>
          <w:spacing w:val="14"/>
          <w:sz w:val="34"/>
          <w:szCs w:val="34"/>
          <w:highlight w:val="none"/>
        </w:rPr>
        <w:t>标项）</w:t>
      </w:r>
      <w:r>
        <w:rPr>
          <w:spacing w:val="-135"/>
          <w:sz w:val="34"/>
          <w:szCs w:val="34"/>
          <w:highlight w:val="none"/>
        </w:rPr>
        <w:t xml:space="preserve"> </w:t>
      </w:r>
      <w:r>
        <w:rPr>
          <w:spacing w:val="14"/>
          <w:sz w:val="34"/>
          <w:szCs w:val="34"/>
          <w:highlight w:val="none"/>
        </w:rPr>
        <w:t>【如不分标项，请删去本行】</w:t>
      </w:r>
    </w:p>
    <w:p w14:paraId="16D49828">
      <w:pPr>
        <w:spacing w:line="246" w:lineRule="auto"/>
        <w:rPr>
          <w:rFonts w:ascii="Arial"/>
          <w:sz w:val="21"/>
          <w:highlight w:val="none"/>
        </w:rPr>
      </w:pPr>
    </w:p>
    <w:p w14:paraId="7522527F">
      <w:pPr>
        <w:spacing w:line="246" w:lineRule="auto"/>
        <w:rPr>
          <w:rFonts w:ascii="Arial"/>
          <w:sz w:val="21"/>
          <w:highlight w:val="none"/>
        </w:rPr>
      </w:pPr>
    </w:p>
    <w:p w14:paraId="56CD891E">
      <w:pPr>
        <w:spacing w:line="246" w:lineRule="auto"/>
        <w:rPr>
          <w:rFonts w:ascii="Arial"/>
          <w:sz w:val="21"/>
          <w:highlight w:val="none"/>
        </w:rPr>
      </w:pPr>
    </w:p>
    <w:p w14:paraId="744DDFBB">
      <w:pPr>
        <w:spacing w:line="246" w:lineRule="auto"/>
        <w:rPr>
          <w:rFonts w:ascii="Arial"/>
          <w:sz w:val="21"/>
          <w:highlight w:val="none"/>
        </w:rPr>
      </w:pPr>
    </w:p>
    <w:p w14:paraId="6837ED5B">
      <w:pPr>
        <w:spacing w:line="246" w:lineRule="auto"/>
        <w:rPr>
          <w:rFonts w:ascii="Arial"/>
          <w:sz w:val="21"/>
          <w:highlight w:val="none"/>
        </w:rPr>
      </w:pPr>
    </w:p>
    <w:p w14:paraId="2AA4A76B">
      <w:pPr>
        <w:spacing w:line="246" w:lineRule="auto"/>
        <w:rPr>
          <w:rFonts w:ascii="Arial"/>
          <w:sz w:val="21"/>
          <w:highlight w:val="none"/>
        </w:rPr>
      </w:pPr>
    </w:p>
    <w:p w14:paraId="72A3B22D">
      <w:pPr>
        <w:spacing w:line="246" w:lineRule="auto"/>
        <w:rPr>
          <w:rFonts w:ascii="Arial"/>
          <w:sz w:val="21"/>
          <w:highlight w:val="none"/>
        </w:rPr>
      </w:pPr>
    </w:p>
    <w:p w14:paraId="178B555E">
      <w:pPr>
        <w:spacing w:line="246" w:lineRule="auto"/>
        <w:rPr>
          <w:rFonts w:ascii="Arial"/>
          <w:sz w:val="21"/>
          <w:highlight w:val="none"/>
        </w:rPr>
      </w:pPr>
    </w:p>
    <w:p w14:paraId="1255BB93">
      <w:pPr>
        <w:spacing w:line="247" w:lineRule="auto"/>
        <w:rPr>
          <w:rFonts w:ascii="Arial"/>
          <w:sz w:val="21"/>
          <w:highlight w:val="none"/>
        </w:rPr>
      </w:pPr>
    </w:p>
    <w:p w14:paraId="0CEF15F2">
      <w:pPr>
        <w:spacing w:line="247" w:lineRule="auto"/>
        <w:rPr>
          <w:rFonts w:ascii="Arial"/>
          <w:sz w:val="21"/>
          <w:highlight w:val="none"/>
        </w:rPr>
      </w:pPr>
    </w:p>
    <w:p w14:paraId="11CA81EC">
      <w:pPr>
        <w:spacing w:line="247" w:lineRule="auto"/>
        <w:rPr>
          <w:rFonts w:ascii="Arial"/>
          <w:sz w:val="21"/>
          <w:highlight w:val="none"/>
        </w:rPr>
      </w:pPr>
    </w:p>
    <w:p w14:paraId="21208157">
      <w:pPr>
        <w:spacing w:line="247" w:lineRule="auto"/>
        <w:rPr>
          <w:rFonts w:ascii="Arial"/>
          <w:sz w:val="21"/>
          <w:highlight w:val="none"/>
        </w:rPr>
      </w:pPr>
    </w:p>
    <w:p w14:paraId="2D720840">
      <w:pPr>
        <w:spacing w:line="247" w:lineRule="auto"/>
        <w:rPr>
          <w:rFonts w:ascii="Arial"/>
          <w:sz w:val="21"/>
          <w:highlight w:val="none"/>
        </w:rPr>
      </w:pPr>
    </w:p>
    <w:p w14:paraId="43AEFE8C">
      <w:pPr>
        <w:spacing w:line="247" w:lineRule="auto"/>
        <w:rPr>
          <w:rFonts w:ascii="Arial"/>
          <w:sz w:val="21"/>
          <w:highlight w:val="none"/>
        </w:rPr>
      </w:pPr>
    </w:p>
    <w:p w14:paraId="00BAAFE9">
      <w:pPr>
        <w:pStyle w:val="6"/>
        <w:spacing w:before="98" w:line="230" w:lineRule="auto"/>
        <w:ind w:left="467"/>
        <w:rPr>
          <w:highlight w:val="none"/>
        </w:rPr>
      </w:pPr>
      <w:r>
        <w:rPr>
          <w:spacing w:val="5"/>
          <w:highlight w:val="none"/>
        </w:rPr>
        <w:t>项目编号：</w:t>
      </w:r>
      <w:r>
        <w:rPr>
          <w:spacing w:val="5"/>
          <w:highlight w:val="none"/>
          <w:u w:val="single" w:color="auto"/>
        </w:rPr>
        <w:t xml:space="preserve">                                         </w:t>
      </w:r>
    </w:p>
    <w:p w14:paraId="2D218C79">
      <w:pPr>
        <w:pStyle w:val="6"/>
        <w:spacing w:before="333" w:line="435" w:lineRule="auto"/>
        <w:ind w:left="465" w:right="341" w:firstLine="2"/>
        <w:rPr>
          <w:highlight w:val="none"/>
        </w:rPr>
      </w:pPr>
      <w:r>
        <w:rPr>
          <w:spacing w:val="10"/>
          <w:highlight w:val="none"/>
        </w:rPr>
        <w:t>项目名称：</w:t>
      </w:r>
      <w:r>
        <w:rPr>
          <w:spacing w:val="1"/>
          <w:highlight w:val="none"/>
          <w:u w:val="single" w:color="auto"/>
        </w:rPr>
        <w:t xml:space="preserve">                                          </w:t>
      </w:r>
      <w:r>
        <w:rPr>
          <w:spacing w:val="7"/>
          <w:highlight w:val="none"/>
        </w:rPr>
        <w:t>投标人：</w:t>
      </w:r>
      <w:r>
        <w:rPr>
          <w:highlight w:val="none"/>
          <w:u w:val="single" w:color="auto"/>
        </w:rPr>
        <w:t xml:space="preserve">                                             </w:t>
      </w:r>
    </w:p>
    <w:p w14:paraId="2E30E49B">
      <w:pPr>
        <w:spacing w:line="245" w:lineRule="auto"/>
        <w:rPr>
          <w:rFonts w:ascii="Arial"/>
          <w:sz w:val="21"/>
          <w:highlight w:val="none"/>
        </w:rPr>
      </w:pPr>
    </w:p>
    <w:p w14:paraId="01F45DF5">
      <w:pPr>
        <w:spacing w:line="246" w:lineRule="auto"/>
        <w:rPr>
          <w:rFonts w:ascii="Arial"/>
          <w:sz w:val="21"/>
          <w:highlight w:val="none"/>
        </w:rPr>
      </w:pPr>
    </w:p>
    <w:p w14:paraId="547680A6">
      <w:pPr>
        <w:spacing w:line="246" w:lineRule="auto"/>
        <w:rPr>
          <w:rFonts w:ascii="Arial"/>
          <w:sz w:val="21"/>
          <w:highlight w:val="none"/>
        </w:rPr>
      </w:pPr>
    </w:p>
    <w:p w14:paraId="13476128">
      <w:pPr>
        <w:spacing w:line="246" w:lineRule="auto"/>
        <w:rPr>
          <w:rFonts w:ascii="Arial"/>
          <w:sz w:val="21"/>
          <w:highlight w:val="none"/>
        </w:rPr>
      </w:pPr>
    </w:p>
    <w:p w14:paraId="68C1A15E">
      <w:pPr>
        <w:spacing w:line="246" w:lineRule="auto"/>
        <w:rPr>
          <w:rFonts w:ascii="Arial"/>
          <w:sz w:val="21"/>
          <w:highlight w:val="none"/>
        </w:rPr>
      </w:pPr>
    </w:p>
    <w:p w14:paraId="476B6BFE">
      <w:pPr>
        <w:pStyle w:val="6"/>
        <w:spacing w:before="98" w:line="229" w:lineRule="auto"/>
        <w:ind w:left="3165"/>
        <w:rPr>
          <w:highlight w:val="none"/>
        </w:rPr>
      </w:pPr>
      <w:r>
        <w:rPr>
          <w:spacing w:val="-14"/>
          <w:highlight w:val="none"/>
        </w:rPr>
        <w:t>年</w:t>
      </w:r>
      <w:r>
        <w:rPr>
          <w:spacing w:val="13"/>
          <w:highlight w:val="none"/>
        </w:rPr>
        <w:t xml:space="preserve">  </w:t>
      </w:r>
      <w:r>
        <w:rPr>
          <w:spacing w:val="-14"/>
          <w:highlight w:val="none"/>
        </w:rPr>
        <w:t>月</w:t>
      </w:r>
      <w:r>
        <w:rPr>
          <w:spacing w:val="39"/>
          <w:highlight w:val="none"/>
        </w:rPr>
        <w:t xml:space="preserve">  </w:t>
      </w:r>
      <w:r>
        <w:rPr>
          <w:spacing w:val="-14"/>
          <w:highlight w:val="none"/>
        </w:rPr>
        <w:t>日</w:t>
      </w:r>
    </w:p>
    <w:p w14:paraId="1D71DF63">
      <w:pPr>
        <w:spacing w:line="332" w:lineRule="auto"/>
        <w:rPr>
          <w:rFonts w:hint="eastAsia" w:ascii="Arial" w:eastAsia="宋体"/>
          <w:sz w:val="21"/>
          <w:highlight w:val="none"/>
          <w:lang w:eastAsia="zh-CN"/>
        </w:rPr>
      </w:pPr>
      <w:r>
        <w:rPr>
          <w:rFonts w:hint="eastAsia" w:ascii="Arial" w:eastAsia="宋体"/>
          <w:sz w:val="21"/>
          <w:highlight w:val="none"/>
          <w:lang w:eastAsia="zh-CN"/>
        </w:rPr>
        <w:br w:type="page"/>
      </w:r>
    </w:p>
    <w:p w14:paraId="49AA87DA">
      <w:pPr>
        <w:pStyle w:val="6"/>
        <w:spacing w:before="97" w:line="229" w:lineRule="auto"/>
        <w:ind w:left="3404"/>
        <w:outlineLvl w:val="1"/>
        <w:rPr>
          <w:highlight w:val="none"/>
        </w:rPr>
      </w:pPr>
      <w:r>
        <w:rPr>
          <w:b/>
          <w:bCs/>
          <w:spacing w:val="5"/>
          <w:highlight w:val="none"/>
        </w:rPr>
        <w:t>一、投标函</w:t>
      </w:r>
    </w:p>
    <w:p w14:paraId="02075174">
      <w:pPr>
        <w:pStyle w:val="6"/>
        <w:spacing w:before="17" w:line="221" w:lineRule="auto"/>
        <w:ind w:left="18"/>
        <w:rPr>
          <w:sz w:val="24"/>
          <w:szCs w:val="24"/>
          <w:highlight w:val="none"/>
        </w:rPr>
      </w:pPr>
      <w:r>
        <w:rPr>
          <w:spacing w:val="7"/>
          <w:sz w:val="24"/>
          <w:szCs w:val="24"/>
          <w:highlight w:val="none"/>
        </w:rPr>
        <w:t>致</w:t>
      </w:r>
      <w:r>
        <w:rPr>
          <w:spacing w:val="-35"/>
          <w:sz w:val="24"/>
          <w:szCs w:val="24"/>
          <w:highlight w:val="none"/>
        </w:rPr>
        <w:t>：</w:t>
      </w:r>
      <w:r>
        <w:rPr>
          <w:spacing w:val="-35"/>
          <w:sz w:val="24"/>
          <w:szCs w:val="24"/>
          <w:highlight w:val="none"/>
          <w:u w:val="single" w:color="auto"/>
        </w:rPr>
        <w:t>（</w:t>
      </w:r>
      <w:r>
        <w:rPr>
          <w:spacing w:val="7"/>
          <w:sz w:val="24"/>
          <w:szCs w:val="24"/>
          <w:highlight w:val="none"/>
          <w:u w:val="single" w:color="auto"/>
        </w:rPr>
        <w:t>采购人名称）</w:t>
      </w:r>
      <w:r>
        <w:rPr>
          <w:sz w:val="24"/>
          <w:szCs w:val="24"/>
          <w:highlight w:val="none"/>
          <w:u w:val="single" w:color="auto"/>
        </w:rPr>
        <w:t xml:space="preserve">  </w:t>
      </w:r>
    </w:p>
    <w:p w14:paraId="66A7814F">
      <w:pPr>
        <w:pStyle w:val="6"/>
        <w:spacing w:before="177" w:line="345" w:lineRule="auto"/>
        <w:ind w:left="20" w:right="203" w:firstLine="478"/>
        <w:rPr>
          <w:sz w:val="24"/>
          <w:szCs w:val="24"/>
          <w:highlight w:val="none"/>
        </w:rPr>
      </w:pPr>
      <w:r>
        <w:rPr>
          <w:spacing w:val="-5"/>
          <w:sz w:val="24"/>
          <w:szCs w:val="24"/>
          <w:highlight w:val="none"/>
        </w:rPr>
        <w:t>根据贵方(</w:t>
      </w:r>
      <w:r>
        <w:rPr>
          <w:i/>
          <w:iCs/>
          <w:spacing w:val="-5"/>
          <w:sz w:val="25"/>
          <w:szCs w:val="25"/>
          <w:highlight w:val="none"/>
          <w:u w:val="single" w:color="auto"/>
        </w:rPr>
        <w:t>项目名称)</w:t>
      </w:r>
      <w:r>
        <w:rPr>
          <w:spacing w:val="-5"/>
          <w:sz w:val="25"/>
          <w:szCs w:val="25"/>
          <w:highlight w:val="none"/>
          <w:u w:val="single" w:color="auto"/>
        </w:rPr>
        <w:t xml:space="preserve"> </w:t>
      </w:r>
      <w:r>
        <w:rPr>
          <w:i/>
          <w:iCs/>
          <w:spacing w:val="-5"/>
          <w:sz w:val="25"/>
          <w:szCs w:val="25"/>
          <w:highlight w:val="none"/>
          <w:u w:val="single" w:color="auto"/>
        </w:rPr>
        <w:t>（项目编号）</w:t>
      </w:r>
      <w:r>
        <w:rPr>
          <w:spacing w:val="-5"/>
          <w:sz w:val="24"/>
          <w:szCs w:val="24"/>
          <w:highlight w:val="none"/>
        </w:rPr>
        <w:t>项目的投标邀请,签字代表(</w:t>
      </w:r>
      <w:r>
        <w:rPr>
          <w:i/>
          <w:iCs/>
          <w:spacing w:val="-5"/>
          <w:sz w:val="25"/>
          <w:szCs w:val="25"/>
          <w:highlight w:val="none"/>
          <w:u w:val="single" w:color="auto"/>
        </w:rPr>
        <w:t>姓名、职务</w:t>
      </w:r>
      <w:r>
        <w:rPr>
          <w:spacing w:val="-5"/>
          <w:sz w:val="24"/>
          <w:szCs w:val="24"/>
          <w:highlight w:val="none"/>
        </w:rPr>
        <w:t>)经正式授权并代表投标人（</w:t>
      </w:r>
      <w:r>
        <w:rPr>
          <w:spacing w:val="-85"/>
          <w:sz w:val="24"/>
          <w:szCs w:val="24"/>
          <w:highlight w:val="none"/>
        </w:rPr>
        <w:t xml:space="preserve"> </w:t>
      </w:r>
      <w:r>
        <w:rPr>
          <w:spacing w:val="-84"/>
          <w:sz w:val="25"/>
          <w:szCs w:val="25"/>
          <w:highlight w:val="none"/>
          <w:u w:val="single" w:color="auto"/>
        </w:rPr>
        <w:t xml:space="preserve"> </w:t>
      </w:r>
      <w:r>
        <w:rPr>
          <w:i/>
          <w:iCs/>
          <w:spacing w:val="-5"/>
          <w:sz w:val="25"/>
          <w:szCs w:val="25"/>
          <w:highlight w:val="none"/>
          <w:u w:val="single" w:color="auto"/>
        </w:rPr>
        <w:t>名称、地址</w:t>
      </w:r>
      <w:r>
        <w:rPr>
          <w:spacing w:val="-5"/>
          <w:sz w:val="24"/>
          <w:szCs w:val="24"/>
          <w:highlight w:val="none"/>
        </w:rPr>
        <w:t>）提交电子投</w:t>
      </w:r>
      <w:r>
        <w:rPr>
          <w:spacing w:val="-6"/>
          <w:sz w:val="24"/>
          <w:szCs w:val="24"/>
          <w:highlight w:val="none"/>
        </w:rPr>
        <w:t>标响应文件。</w:t>
      </w:r>
    </w:p>
    <w:p w14:paraId="6235427D">
      <w:pPr>
        <w:pStyle w:val="6"/>
        <w:spacing w:line="220" w:lineRule="auto"/>
        <w:ind w:left="498"/>
        <w:rPr>
          <w:sz w:val="24"/>
          <w:szCs w:val="24"/>
          <w:highlight w:val="none"/>
        </w:rPr>
      </w:pPr>
      <w:r>
        <w:rPr>
          <w:spacing w:val="-2"/>
          <w:sz w:val="24"/>
          <w:szCs w:val="24"/>
          <w:highlight w:val="none"/>
        </w:rPr>
        <w:t>据此，签字代表宣布同意如下：</w:t>
      </w:r>
    </w:p>
    <w:p w14:paraId="43907DB8">
      <w:pPr>
        <w:pStyle w:val="6"/>
        <w:spacing w:before="181" w:line="358" w:lineRule="auto"/>
        <w:ind w:left="19" w:right="323" w:firstLine="483"/>
        <w:rPr>
          <w:sz w:val="24"/>
          <w:szCs w:val="24"/>
          <w:highlight w:val="none"/>
        </w:rPr>
      </w:pPr>
      <w:r>
        <w:rPr>
          <w:spacing w:val="-1"/>
          <w:sz w:val="24"/>
          <w:szCs w:val="24"/>
          <w:highlight w:val="none"/>
        </w:rPr>
        <w:t>（1）已详细审查全部招标文件，包括所有补充</w:t>
      </w:r>
      <w:r>
        <w:rPr>
          <w:spacing w:val="-2"/>
          <w:sz w:val="24"/>
          <w:szCs w:val="24"/>
          <w:highlight w:val="none"/>
        </w:rPr>
        <w:t>通知（如果有的话</w:t>
      </w:r>
      <w:r>
        <w:rPr>
          <w:spacing w:val="10"/>
          <w:sz w:val="24"/>
          <w:szCs w:val="24"/>
          <w:highlight w:val="none"/>
        </w:rPr>
        <w:t>），</w:t>
      </w:r>
      <w:r>
        <w:rPr>
          <w:spacing w:val="-2"/>
          <w:sz w:val="24"/>
          <w:szCs w:val="24"/>
          <w:highlight w:val="none"/>
        </w:rPr>
        <w:t>完全理</w:t>
      </w:r>
      <w:r>
        <w:rPr>
          <w:spacing w:val="-1"/>
          <w:sz w:val="24"/>
          <w:szCs w:val="24"/>
          <w:highlight w:val="none"/>
        </w:rPr>
        <w:t>解并同意放弃对这方面有不明、误解的权利。</w:t>
      </w:r>
    </w:p>
    <w:p w14:paraId="79F5E184">
      <w:pPr>
        <w:pStyle w:val="6"/>
        <w:spacing w:before="4" w:line="358" w:lineRule="auto"/>
        <w:ind w:left="17" w:right="323" w:firstLine="485"/>
        <w:rPr>
          <w:sz w:val="24"/>
          <w:szCs w:val="24"/>
          <w:highlight w:val="none"/>
        </w:rPr>
      </w:pPr>
      <w:r>
        <w:rPr>
          <w:spacing w:val="-1"/>
          <w:sz w:val="24"/>
          <w:szCs w:val="24"/>
          <w:highlight w:val="none"/>
        </w:rPr>
        <w:t>（2）附投标分项报价表中规定的应提供货物及伴随服务的投标总价（包括满足本次招标全部采购需求所应提供的货物以及伴随的服务）详见开标一览表。</w:t>
      </w:r>
    </w:p>
    <w:p w14:paraId="0FEBB3FD">
      <w:pPr>
        <w:pStyle w:val="6"/>
        <w:spacing w:before="2" w:line="222" w:lineRule="auto"/>
        <w:ind w:left="502"/>
        <w:rPr>
          <w:sz w:val="24"/>
          <w:szCs w:val="24"/>
          <w:highlight w:val="none"/>
        </w:rPr>
      </w:pPr>
      <w:r>
        <w:rPr>
          <w:spacing w:val="-3"/>
          <w:sz w:val="24"/>
          <w:szCs w:val="24"/>
          <w:highlight w:val="none"/>
        </w:rPr>
        <w:t>（3）本投标有效期为自投标截止之日起</w:t>
      </w:r>
      <w:r>
        <w:rPr>
          <w:spacing w:val="-3"/>
          <w:sz w:val="24"/>
          <w:szCs w:val="24"/>
          <w:highlight w:val="none"/>
          <w:u w:val="single" w:color="auto"/>
        </w:rPr>
        <w:t xml:space="preserve"> </w:t>
      </w:r>
      <w:r>
        <w:rPr>
          <w:spacing w:val="-4"/>
          <w:sz w:val="24"/>
          <w:szCs w:val="24"/>
          <w:highlight w:val="none"/>
          <w:u w:val="single" w:color="auto"/>
        </w:rPr>
        <w:t xml:space="preserve">    </w:t>
      </w:r>
      <w:r>
        <w:rPr>
          <w:spacing w:val="-53"/>
          <w:sz w:val="24"/>
          <w:szCs w:val="24"/>
          <w:highlight w:val="none"/>
        </w:rPr>
        <w:t xml:space="preserve"> </w:t>
      </w:r>
      <w:r>
        <w:rPr>
          <w:spacing w:val="-4"/>
          <w:sz w:val="24"/>
          <w:szCs w:val="24"/>
          <w:highlight w:val="none"/>
        </w:rPr>
        <w:t>日历日。</w:t>
      </w:r>
    </w:p>
    <w:p w14:paraId="539C3823">
      <w:pPr>
        <w:pStyle w:val="6"/>
        <w:spacing w:before="177" w:line="360" w:lineRule="auto"/>
        <w:ind w:left="26" w:right="323" w:firstLine="476"/>
        <w:rPr>
          <w:sz w:val="24"/>
          <w:szCs w:val="24"/>
          <w:highlight w:val="none"/>
        </w:rPr>
      </w:pPr>
      <w:r>
        <w:rPr>
          <w:spacing w:val="-1"/>
          <w:sz w:val="24"/>
          <w:szCs w:val="24"/>
          <w:highlight w:val="none"/>
        </w:rPr>
        <w:t>（4）我方不是为本项目提供整体设计、规范编制或者项目管理、监理、检测等服务的投标人，我方不是采购代理机构的附属机</w:t>
      </w:r>
      <w:r>
        <w:rPr>
          <w:spacing w:val="-2"/>
          <w:sz w:val="24"/>
          <w:szCs w:val="24"/>
          <w:highlight w:val="none"/>
        </w:rPr>
        <w:t>构。</w:t>
      </w:r>
    </w:p>
    <w:p w14:paraId="2E2D8FF0">
      <w:pPr>
        <w:pStyle w:val="6"/>
        <w:spacing w:line="358" w:lineRule="auto"/>
        <w:ind w:left="48" w:right="323" w:firstLine="454"/>
        <w:rPr>
          <w:sz w:val="24"/>
          <w:szCs w:val="24"/>
          <w:highlight w:val="none"/>
        </w:rPr>
      </w:pPr>
      <w:r>
        <w:rPr>
          <w:spacing w:val="-1"/>
          <w:sz w:val="24"/>
          <w:szCs w:val="24"/>
          <w:highlight w:val="none"/>
        </w:rPr>
        <w:t>（5）所报的各分项投标报价在合同履行过程中是固定不变的，不得以任何理</w:t>
      </w:r>
      <w:r>
        <w:rPr>
          <w:spacing w:val="-8"/>
          <w:sz w:val="24"/>
          <w:szCs w:val="24"/>
          <w:highlight w:val="none"/>
        </w:rPr>
        <w:t>由予以变更。</w:t>
      </w:r>
    </w:p>
    <w:p w14:paraId="78191F29">
      <w:pPr>
        <w:pStyle w:val="6"/>
        <w:spacing w:before="1" w:line="221" w:lineRule="auto"/>
        <w:ind w:left="502"/>
        <w:rPr>
          <w:sz w:val="24"/>
          <w:szCs w:val="24"/>
          <w:highlight w:val="none"/>
        </w:rPr>
      </w:pPr>
      <w:r>
        <w:rPr>
          <w:spacing w:val="-2"/>
          <w:sz w:val="24"/>
          <w:szCs w:val="24"/>
          <w:highlight w:val="none"/>
        </w:rPr>
        <w:t>（6）接受价格的算术修正。</w:t>
      </w:r>
    </w:p>
    <w:p w14:paraId="4AA892E4">
      <w:pPr>
        <w:pStyle w:val="6"/>
        <w:spacing w:before="180" w:line="219" w:lineRule="auto"/>
        <w:ind w:left="502"/>
        <w:rPr>
          <w:sz w:val="24"/>
          <w:szCs w:val="24"/>
          <w:highlight w:val="none"/>
        </w:rPr>
      </w:pPr>
      <w:r>
        <w:rPr>
          <w:spacing w:val="-1"/>
          <w:sz w:val="24"/>
          <w:szCs w:val="24"/>
          <w:highlight w:val="none"/>
        </w:rPr>
        <w:t>（7）一旦我方中标，我方保证在贵方约定的时间交付货物。</w:t>
      </w:r>
    </w:p>
    <w:p w14:paraId="0A2BDF8B">
      <w:pPr>
        <w:pStyle w:val="6"/>
        <w:spacing w:before="183" w:line="359" w:lineRule="auto"/>
        <w:ind w:left="44" w:right="323" w:firstLine="458"/>
        <w:rPr>
          <w:sz w:val="24"/>
          <w:szCs w:val="24"/>
          <w:highlight w:val="none"/>
        </w:rPr>
      </w:pPr>
      <w:r>
        <w:rPr>
          <w:spacing w:val="-1"/>
          <w:sz w:val="24"/>
          <w:szCs w:val="24"/>
          <w:highlight w:val="none"/>
        </w:rPr>
        <w:t>（8）如果我方中标，非贵方原因，我方保证将按下列质量要求完成本项目产</w:t>
      </w:r>
      <w:r>
        <w:rPr>
          <w:spacing w:val="-2"/>
          <w:sz w:val="24"/>
          <w:szCs w:val="24"/>
          <w:highlight w:val="none"/>
        </w:rPr>
        <w:t>品质量，质量要求：</w:t>
      </w:r>
      <w:r>
        <w:rPr>
          <w:spacing w:val="-2"/>
          <w:sz w:val="24"/>
          <w:szCs w:val="24"/>
          <w:highlight w:val="none"/>
          <w:u w:val="single" w:color="auto"/>
        </w:rPr>
        <w:t>合格，必须达到国家规定的标准</w:t>
      </w:r>
      <w:r>
        <w:rPr>
          <w:spacing w:val="-2"/>
          <w:sz w:val="24"/>
          <w:szCs w:val="24"/>
          <w:highlight w:val="none"/>
        </w:rPr>
        <w:t>。</w:t>
      </w:r>
    </w:p>
    <w:p w14:paraId="7D97A782">
      <w:pPr>
        <w:pStyle w:val="6"/>
        <w:spacing w:line="358" w:lineRule="auto"/>
        <w:ind w:left="26" w:right="240" w:firstLine="476"/>
        <w:rPr>
          <w:sz w:val="24"/>
          <w:szCs w:val="24"/>
          <w:highlight w:val="none"/>
        </w:rPr>
      </w:pPr>
      <w:r>
        <w:rPr>
          <w:sz w:val="24"/>
          <w:szCs w:val="24"/>
          <w:highlight w:val="none"/>
        </w:rPr>
        <w:t>（9）如果我方中标，我方将按招标文件规定的时间内签订合同。如果违约，</w:t>
      </w:r>
      <w:r>
        <w:rPr>
          <w:spacing w:val="-2"/>
          <w:sz w:val="24"/>
          <w:szCs w:val="24"/>
          <w:highlight w:val="none"/>
        </w:rPr>
        <w:t>我方愿以投标保证金作为赔偿金，同时贵方有权终止我方中标并选择其他投标人。</w:t>
      </w:r>
    </w:p>
    <w:p w14:paraId="22A21B47">
      <w:pPr>
        <w:pStyle w:val="6"/>
        <w:spacing w:before="2" w:line="359" w:lineRule="auto"/>
        <w:ind w:left="17" w:right="203" w:firstLine="485"/>
        <w:rPr>
          <w:sz w:val="24"/>
          <w:szCs w:val="24"/>
          <w:highlight w:val="none"/>
        </w:rPr>
      </w:pPr>
      <w:r>
        <w:rPr>
          <w:spacing w:val="-1"/>
          <w:sz w:val="24"/>
          <w:szCs w:val="24"/>
          <w:highlight w:val="none"/>
        </w:rPr>
        <w:t>（10）如果我方中标，到达现场的货物质量、品牌、型号与招标文件要求不一</w:t>
      </w:r>
      <w:r>
        <w:rPr>
          <w:sz w:val="24"/>
          <w:szCs w:val="24"/>
          <w:highlight w:val="none"/>
        </w:rPr>
        <w:t>致的，质量达不到一次性合格,我方将进行</w:t>
      </w:r>
      <w:r>
        <w:rPr>
          <w:spacing w:val="-1"/>
          <w:sz w:val="24"/>
          <w:szCs w:val="24"/>
          <w:highlight w:val="none"/>
        </w:rPr>
        <w:t>整改直至贵方验收合格为止，并愿以中</w:t>
      </w:r>
      <w:r>
        <w:rPr>
          <w:spacing w:val="-2"/>
          <w:sz w:val="24"/>
          <w:szCs w:val="24"/>
          <w:highlight w:val="none"/>
        </w:rPr>
        <w:t>标价的</w:t>
      </w:r>
      <w:r>
        <w:rPr>
          <w:spacing w:val="-2"/>
          <w:sz w:val="24"/>
          <w:szCs w:val="24"/>
          <w:highlight w:val="none"/>
          <w:u w:val="single" w:color="auto"/>
        </w:rPr>
        <w:t>10%</w:t>
      </w:r>
      <w:r>
        <w:rPr>
          <w:spacing w:val="-2"/>
          <w:sz w:val="24"/>
          <w:szCs w:val="24"/>
          <w:highlight w:val="none"/>
        </w:rPr>
        <w:t>作为违约金。</w:t>
      </w:r>
    </w:p>
    <w:p w14:paraId="6A581353">
      <w:pPr>
        <w:pStyle w:val="6"/>
        <w:spacing w:line="358" w:lineRule="auto"/>
        <w:ind w:left="48" w:right="323" w:firstLine="454"/>
        <w:rPr>
          <w:spacing w:val="-8"/>
          <w:sz w:val="24"/>
          <w:szCs w:val="24"/>
          <w:highlight w:val="none"/>
        </w:rPr>
      </w:pPr>
      <w:r>
        <w:rPr>
          <w:spacing w:val="-8"/>
          <w:sz w:val="24"/>
          <w:szCs w:val="24"/>
          <w:highlight w:val="none"/>
        </w:rPr>
        <w:t>（11）供货地点：</w:t>
      </w:r>
      <w:r>
        <w:rPr>
          <w:spacing w:val="-8"/>
          <w:sz w:val="24"/>
          <w:szCs w:val="24"/>
          <w:highlight w:val="none"/>
          <w:u w:val="single"/>
        </w:rPr>
        <w:t xml:space="preserve">             </w:t>
      </w:r>
      <w:r>
        <w:rPr>
          <w:spacing w:val="-8"/>
          <w:sz w:val="24"/>
          <w:szCs w:val="24"/>
          <w:highlight w:val="none"/>
        </w:rPr>
        <w:t xml:space="preserve"> 。</w:t>
      </w:r>
    </w:p>
    <w:p w14:paraId="7694CBB9">
      <w:pPr>
        <w:pStyle w:val="6"/>
        <w:spacing w:line="358" w:lineRule="auto"/>
        <w:ind w:left="48" w:right="323" w:firstLine="454"/>
        <w:rPr>
          <w:spacing w:val="-8"/>
          <w:sz w:val="24"/>
          <w:szCs w:val="24"/>
          <w:highlight w:val="none"/>
        </w:rPr>
      </w:pPr>
      <w:r>
        <w:rPr>
          <w:spacing w:val="-8"/>
          <w:sz w:val="24"/>
          <w:szCs w:val="24"/>
          <w:highlight w:val="none"/>
        </w:rPr>
        <w:t>（12）按照招标文件的规定，在中标后向采购代理机构一次性支付招标代理费。</w:t>
      </w:r>
    </w:p>
    <w:p w14:paraId="77D39D61">
      <w:pPr>
        <w:pStyle w:val="6"/>
        <w:spacing w:line="358" w:lineRule="auto"/>
        <w:ind w:left="48" w:right="323" w:firstLine="454"/>
        <w:rPr>
          <w:spacing w:val="-8"/>
          <w:sz w:val="24"/>
          <w:szCs w:val="24"/>
          <w:highlight w:val="none"/>
        </w:rPr>
      </w:pPr>
      <w:r>
        <w:rPr>
          <w:spacing w:val="-8"/>
          <w:sz w:val="24"/>
          <w:szCs w:val="24"/>
          <w:highlight w:val="none"/>
        </w:rPr>
        <w:t>（13）按照贵方可能的要求，提供与投标有关的一切数据或资料，完全理解贵方不一定接受最低价的投标或收到的任何投标。</w:t>
      </w:r>
    </w:p>
    <w:p w14:paraId="09C6D0F7">
      <w:pPr>
        <w:pStyle w:val="6"/>
        <w:spacing w:line="358" w:lineRule="auto"/>
        <w:ind w:left="48" w:right="323" w:firstLine="454"/>
        <w:rPr>
          <w:sz w:val="24"/>
          <w:szCs w:val="24"/>
          <w:highlight w:val="none"/>
        </w:rPr>
      </w:pPr>
      <w:r>
        <w:rPr>
          <w:spacing w:val="-8"/>
          <w:sz w:val="24"/>
          <w:szCs w:val="24"/>
          <w:highlight w:val="none"/>
        </w:rPr>
        <w:t>（14）按照招标文件的规定履行合同责任和义务</w:t>
      </w:r>
      <w:r>
        <w:rPr>
          <w:spacing w:val="-1"/>
          <w:sz w:val="24"/>
          <w:szCs w:val="24"/>
          <w:highlight w:val="none"/>
        </w:rPr>
        <w:t>。</w:t>
      </w:r>
    </w:p>
    <w:p w14:paraId="5931AB47">
      <w:pPr>
        <w:pStyle w:val="6"/>
        <w:spacing w:before="4" w:line="358" w:lineRule="auto"/>
        <w:ind w:left="17" w:right="323" w:firstLine="485"/>
        <w:rPr>
          <w:rFonts w:hint="eastAsia"/>
          <w:spacing w:val="-1"/>
          <w:sz w:val="24"/>
          <w:szCs w:val="24"/>
          <w:highlight w:val="none"/>
          <w:lang w:eastAsia="zh-CN"/>
        </w:rPr>
      </w:pPr>
      <w:r>
        <w:rPr>
          <w:spacing w:val="-1"/>
          <w:sz w:val="24"/>
          <w:szCs w:val="24"/>
          <w:highlight w:val="none"/>
        </w:rPr>
        <w:t>（15）我单位保证提供的投标文件的内容真实有效，如有不符，视为提供虚假资料谋取中标，我单位愿承担相应法律责任。</w:t>
      </w:r>
    </w:p>
    <w:p w14:paraId="21C8B1AC">
      <w:pPr>
        <w:pStyle w:val="6"/>
        <w:spacing w:before="4" w:line="358" w:lineRule="auto"/>
        <w:ind w:left="17" w:right="323" w:firstLine="485"/>
        <w:rPr>
          <w:sz w:val="24"/>
          <w:szCs w:val="24"/>
          <w:highlight w:val="none"/>
        </w:rPr>
      </w:pPr>
      <w:r>
        <w:rPr>
          <w:spacing w:val="-1"/>
          <w:sz w:val="24"/>
          <w:szCs w:val="24"/>
          <w:highlight w:val="none"/>
        </w:rPr>
        <w:t>（16）完全理解并无条件承担中标后不依法与贵方签订合同的法律后果。</w:t>
      </w:r>
    </w:p>
    <w:p w14:paraId="7CB93206">
      <w:pPr>
        <w:pStyle w:val="6"/>
        <w:spacing w:before="179" w:line="223" w:lineRule="auto"/>
        <w:ind w:left="529"/>
        <w:rPr>
          <w:sz w:val="24"/>
          <w:szCs w:val="24"/>
          <w:highlight w:val="none"/>
        </w:rPr>
      </w:pPr>
      <w:r>
        <w:rPr>
          <w:spacing w:val="-4"/>
          <w:sz w:val="24"/>
          <w:szCs w:val="24"/>
          <w:highlight w:val="none"/>
        </w:rPr>
        <w:t>（17）重要声明：</w:t>
      </w:r>
    </w:p>
    <w:p w14:paraId="4AA3798F">
      <w:pPr>
        <w:pStyle w:val="6"/>
        <w:spacing w:before="177" w:line="221" w:lineRule="auto"/>
        <w:ind w:left="534"/>
        <w:rPr>
          <w:sz w:val="24"/>
          <w:szCs w:val="24"/>
          <w:highlight w:val="none"/>
        </w:rPr>
      </w:pPr>
      <w:r>
        <w:rPr>
          <w:spacing w:val="-2"/>
          <w:sz w:val="24"/>
          <w:szCs w:val="24"/>
          <w:highlight w:val="none"/>
        </w:rPr>
        <w:t>1）与我方单位负责人为同一人的其他单位名称：</w:t>
      </w:r>
    </w:p>
    <w:p w14:paraId="5C31096E">
      <w:pPr>
        <w:pStyle w:val="6"/>
        <w:spacing w:before="178" w:line="214" w:lineRule="auto"/>
        <w:ind w:left="892"/>
        <w:rPr>
          <w:sz w:val="24"/>
          <w:szCs w:val="24"/>
          <w:highlight w:val="none"/>
        </w:rPr>
      </w:pPr>
      <w:r>
        <w:rPr>
          <w:spacing w:val="-17"/>
          <w:sz w:val="24"/>
          <w:szCs w:val="24"/>
          <w:highlight w:val="none"/>
        </w:rPr>
        <w:t>□无；□有，具体单位名称为</w:t>
      </w:r>
      <w:r>
        <w:rPr>
          <w:spacing w:val="-30"/>
          <w:sz w:val="24"/>
          <w:szCs w:val="24"/>
          <w:highlight w:val="none"/>
        </w:rPr>
        <w:t>：</w:t>
      </w:r>
      <w:r>
        <w:rPr>
          <w:i/>
          <w:iCs/>
          <w:spacing w:val="-30"/>
          <w:sz w:val="25"/>
          <w:szCs w:val="25"/>
          <w:highlight w:val="none"/>
          <w:u w:val="single" w:color="auto"/>
        </w:rPr>
        <w:t>（</w:t>
      </w:r>
      <w:r>
        <w:rPr>
          <w:i/>
          <w:iCs/>
          <w:spacing w:val="-17"/>
          <w:sz w:val="25"/>
          <w:szCs w:val="25"/>
          <w:highlight w:val="none"/>
          <w:u w:val="single" w:color="auto"/>
        </w:rPr>
        <w:t>由供应商如实填</w:t>
      </w:r>
      <w:r>
        <w:rPr>
          <w:i/>
          <w:iCs/>
          <w:spacing w:val="-17"/>
          <w:sz w:val="25"/>
          <w:szCs w:val="25"/>
          <w:highlight w:val="none"/>
        </w:rPr>
        <w:t>写）</w:t>
      </w:r>
      <w:r>
        <w:rPr>
          <w:spacing w:val="-17"/>
          <w:sz w:val="24"/>
          <w:szCs w:val="24"/>
          <w:highlight w:val="none"/>
        </w:rPr>
        <w:t>。</w:t>
      </w:r>
    </w:p>
    <w:p w14:paraId="276E8146">
      <w:pPr>
        <w:pStyle w:val="6"/>
        <w:spacing w:before="179" w:line="219" w:lineRule="auto"/>
        <w:ind w:left="519"/>
        <w:rPr>
          <w:sz w:val="24"/>
          <w:szCs w:val="24"/>
          <w:highlight w:val="none"/>
        </w:rPr>
      </w:pPr>
      <w:r>
        <w:rPr>
          <w:spacing w:val="-1"/>
          <w:sz w:val="24"/>
          <w:szCs w:val="24"/>
          <w:highlight w:val="none"/>
        </w:rPr>
        <w:t>2）与我方存在控股、管理关系的其他单位的名称：</w:t>
      </w:r>
    </w:p>
    <w:p w14:paraId="180C8B84">
      <w:pPr>
        <w:pStyle w:val="6"/>
        <w:spacing w:before="183" w:line="214" w:lineRule="auto"/>
        <w:ind w:left="892"/>
        <w:rPr>
          <w:sz w:val="24"/>
          <w:szCs w:val="24"/>
          <w:highlight w:val="none"/>
        </w:rPr>
      </w:pPr>
      <w:r>
        <w:rPr>
          <w:spacing w:val="-15"/>
          <w:sz w:val="24"/>
          <w:szCs w:val="24"/>
          <w:highlight w:val="none"/>
        </w:rPr>
        <w:t>□无；□有，具体单位名称为</w:t>
      </w:r>
      <w:r>
        <w:rPr>
          <w:spacing w:val="-2"/>
          <w:sz w:val="24"/>
          <w:szCs w:val="24"/>
          <w:highlight w:val="none"/>
        </w:rPr>
        <w:t>：</w:t>
      </w:r>
      <w:r>
        <w:rPr>
          <w:i/>
          <w:iCs/>
          <w:spacing w:val="-2"/>
          <w:sz w:val="25"/>
          <w:szCs w:val="25"/>
          <w:highlight w:val="none"/>
          <w:u w:val="single" w:color="auto"/>
        </w:rPr>
        <w:t>（</w:t>
      </w:r>
      <w:r>
        <w:rPr>
          <w:i/>
          <w:iCs/>
          <w:spacing w:val="-15"/>
          <w:sz w:val="25"/>
          <w:szCs w:val="25"/>
          <w:highlight w:val="none"/>
          <w:u w:val="single" w:color="auto"/>
        </w:rPr>
        <w:t>由供应商如实填</w:t>
      </w:r>
      <w:r>
        <w:rPr>
          <w:i/>
          <w:iCs/>
          <w:spacing w:val="-15"/>
          <w:sz w:val="25"/>
          <w:szCs w:val="25"/>
          <w:highlight w:val="none"/>
        </w:rPr>
        <w:t>写）</w:t>
      </w:r>
      <w:r>
        <w:rPr>
          <w:spacing w:val="-15"/>
          <w:sz w:val="24"/>
          <w:szCs w:val="24"/>
          <w:highlight w:val="none"/>
        </w:rPr>
        <w:t>。</w:t>
      </w:r>
    </w:p>
    <w:p w14:paraId="5F6C819A">
      <w:pPr>
        <w:pStyle w:val="6"/>
        <w:spacing w:before="175" w:line="208" w:lineRule="auto"/>
        <w:ind w:left="486"/>
        <w:rPr>
          <w:sz w:val="24"/>
          <w:szCs w:val="24"/>
          <w:highlight w:val="none"/>
        </w:rPr>
      </w:pPr>
      <w:r>
        <w:rPr>
          <w:spacing w:val="-5"/>
          <w:sz w:val="24"/>
          <w:szCs w:val="24"/>
          <w:highlight w:val="none"/>
        </w:rPr>
        <w:t>（备注：以上2项声明，必须如实选择，选中项用</w:t>
      </w:r>
      <w:r>
        <w:rPr>
          <w:rFonts w:ascii="Segoe UI Symbol" w:hAnsi="Segoe UI Symbol" w:eastAsia="Segoe UI Symbol" w:cs="Segoe UI Symbol"/>
          <w:spacing w:val="-5"/>
          <w:sz w:val="24"/>
          <w:szCs w:val="24"/>
          <w:highlight w:val="none"/>
        </w:rPr>
        <w:t>☑</w:t>
      </w:r>
      <w:r>
        <w:rPr>
          <w:rFonts w:ascii="Segoe UI Symbol" w:hAnsi="Segoe UI Symbol" w:eastAsia="Segoe UI Symbol" w:cs="Segoe UI Symbol"/>
          <w:spacing w:val="-19"/>
          <w:sz w:val="24"/>
          <w:szCs w:val="24"/>
          <w:highlight w:val="none"/>
        </w:rPr>
        <w:t xml:space="preserve"> </w:t>
      </w:r>
      <w:r>
        <w:rPr>
          <w:spacing w:val="-5"/>
          <w:sz w:val="24"/>
          <w:szCs w:val="24"/>
          <w:highlight w:val="none"/>
        </w:rPr>
        <w:t>表示，未选中项用□表</w:t>
      </w:r>
      <w:r>
        <w:rPr>
          <w:spacing w:val="-6"/>
          <w:sz w:val="24"/>
          <w:szCs w:val="24"/>
          <w:highlight w:val="none"/>
        </w:rPr>
        <w:t>示。</w:t>
      </w:r>
    </w:p>
    <w:p w14:paraId="104194C1">
      <w:pPr>
        <w:pStyle w:val="6"/>
        <w:spacing w:before="183" w:line="359" w:lineRule="auto"/>
        <w:ind w:left="16" w:right="179" w:hanging="6"/>
        <w:jc w:val="both"/>
        <w:rPr>
          <w:sz w:val="24"/>
          <w:szCs w:val="24"/>
          <w:highlight w:val="none"/>
        </w:rPr>
      </w:pPr>
      <w:r>
        <w:rPr>
          <w:spacing w:val="-5"/>
          <w:sz w:val="24"/>
          <w:szCs w:val="24"/>
          <w:highlight w:val="none"/>
        </w:rPr>
        <w:t>①“单位负责人</w:t>
      </w:r>
      <w:r>
        <w:rPr>
          <w:spacing w:val="-89"/>
          <w:sz w:val="24"/>
          <w:szCs w:val="24"/>
          <w:highlight w:val="none"/>
        </w:rPr>
        <w:t xml:space="preserve"> </w:t>
      </w:r>
      <w:r>
        <w:rPr>
          <w:spacing w:val="-5"/>
          <w:sz w:val="24"/>
          <w:szCs w:val="24"/>
          <w:highlight w:val="none"/>
        </w:rPr>
        <w:t>”是指单位法定代表人或者法律、行政法规规定代表单位行使职权</w:t>
      </w:r>
      <w:r>
        <w:rPr>
          <w:spacing w:val="-4"/>
          <w:sz w:val="24"/>
          <w:szCs w:val="24"/>
          <w:highlight w:val="none"/>
        </w:rPr>
        <w:t>的主要负责人。②本条所规定的控股、管理关系仅限于直接控股、直接管理关系，不包括间接的控股或管理关系。③供应商如未如实填报，视为提供虚假材料谋取中</w:t>
      </w:r>
      <w:r>
        <w:rPr>
          <w:spacing w:val="-7"/>
          <w:sz w:val="24"/>
          <w:szCs w:val="24"/>
          <w:highlight w:val="none"/>
        </w:rPr>
        <w:t>标，应承担相应法律责任。）</w:t>
      </w:r>
    </w:p>
    <w:p w14:paraId="46B94030">
      <w:pPr>
        <w:spacing w:line="385" w:lineRule="auto"/>
        <w:rPr>
          <w:rFonts w:ascii="Arial"/>
          <w:sz w:val="21"/>
          <w:highlight w:val="none"/>
        </w:rPr>
      </w:pPr>
    </w:p>
    <w:p w14:paraId="7EE60BC5">
      <w:pPr>
        <w:pStyle w:val="6"/>
        <w:spacing w:before="78" w:line="220" w:lineRule="auto"/>
        <w:ind w:left="430"/>
        <w:rPr>
          <w:sz w:val="24"/>
          <w:szCs w:val="24"/>
          <w:highlight w:val="none"/>
        </w:rPr>
      </w:pPr>
      <w:r>
        <w:rPr>
          <w:spacing w:val="-2"/>
          <w:sz w:val="24"/>
          <w:szCs w:val="24"/>
          <w:highlight w:val="none"/>
        </w:rPr>
        <w:t>与本投标有关的一切正式往来信函请寄：</w:t>
      </w:r>
    </w:p>
    <w:p w14:paraId="38DA7B15">
      <w:pPr>
        <w:pStyle w:val="6"/>
        <w:spacing w:before="182" w:line="223" w:lineRule="auto"/>
        <w:ind w:left="556"/>
        <w:rPr>
          <w:sz w:val="24"/>
          <w:szCs w:val="24"/>
          <w:highlight w:val="none"/>
        </w:rPr>
      </w:pPr>
      <w:r>
        <w:rPr>
          <w:spacing w:val="-6"/>
          <w:sz w:val="24"/>
          <w:szCs w:val="24"/>
          <w:highlight w:val="none"/>
        </w:rPr>
        <w:t>地址：</w:t>
      </w:r>
      <w:r>
        <w:rPr>
          <w:spacing w:val="3"/>
          <w:sz w:val="24"/>
          <w:szCs w:val="24"/>
          <w:highlight w:val="none"/>
        </w:rPr>
        <w:t xml:space="preserve">     </w:t>
      </w:r>
      <w:r>
        <w:rPr>
          <w:spacing w:val="-6"/>
          <w:sz w:val="24"/>
          <w:szCs w:val="24"/>
          <w:highlight w:val="none"/>
        </w:rPr>
        <w:t>传真：</w:t>
      </w:r>
    </w:p>
    <w:p w14:paraId="3FE056B1">
      <w:pPr>
        <w:pStyle w:val="6"/>
        <w:spacing w:before="176" w:line="222" w:lineRule="auto"/>
        <w:ind w:left="581"/>
        <w:rPr>
          <w:sz w:val="24"/>
          <w:szCs w:val="24"/>
          <w:highlight w:val="none"/>
        </w:rPr>
      </w:pPr>
      <w:r>
        <w:rPr>
          <w:spacing w:val="-11"/>
          <w:sz w:val="24"/>
          <w:szCs w:val="24"/>
          <w:highlight w:val="none"/>
        </w:rPr>
        <w:t>电话：</w:t>
      </w:r>
      <w:r>
        <w:rPr>
          <w:spacing w:val="8"/>
          <w:sz w:val="24"/>
          <w:szCs w:val="24"/>
          <w:highlight w:val="none"/>
        </w:rPr>
        <w:t xml:space="preserve">     </w:t>
      </w:r>
      <w:r>
        <w:rPr>
          <w:spacing w:val="-11"/>
          <w:sz w:val="24"/>
          <w:szCs w:val="24"/>
          <w:highlight w:val="none"/>
        </w:rPr>
        <w:t>电子函件：</w:t>
      </w:r>
    </w:p>
    <w:p w14:paraId="0C3C2A47">
      <w:pPr>
        <w:pStyle w:val="6"/>
        <w:spacing w:before="179" w:line="222" w:lineRule="auto"/>
        <w:ind w:left="563"/>
        <w:rPr>
          <w:sz w:val="24"/>
          <w:szCs w:val="24"/>
          <w:highlight w:val="none"/>
        </w:rPr>
      </w:pPr>
      <w:r>
        <w:rPr>
          <w:spacing w:val="-2"/>
          <w:sz w:val="24"/>
          <w:szCs w:val="24"/>
          <w:highlight w:val="none"/>
        </w:rPr>
        <w:t>法定代表人或委托代理人（签字或签章</w:t>
      </w:r>
      <w:r>
        <w:rPr>
          <w:spacing w:val="4"/>
          <w:sz w:val="24"/>
          <w:szCs w:val="24"/>
          <w:highlight w:val="none"/>
        </w:rPr>
        <w:t>）：</w:t>
      </w:r>
    </w:p>
    <w:p w14:paraId="0609396A">
      <w:pPr>
        <w:pStyle w:val="6"/>
        <w:spacing w:before="180" w:line="222" w:lineRule="auto"/>
        <w:ind w:left="554"/>
        <w:rPr>
          <w:sz w:val="24"/>
          <w:szCs w:val="24"/>
          <w:highlight w:val="none"/>
        </w:rPr>
      </w:pPr>
      <w:r>
        <w:rPr>
          <w:spacing w:val="-3"/>
          <w:sz w:val="24"/>
          <w:szCs w:val="24"/>
          <w:highlight w:val="none"/>
        </w:rPr>
        <w:t>投标人（盖公章</w:t>
      </w:r>
      <w:r>
        <w:rPr>
          <w:spacing w:val="2"/>
          <w:sz w:val="24"/>
          <w:szCs w:val="24"/>
          <w:highlight w:val="none"/>
        </w:rPr>
        <w:t>）：</w:t>
      </w:r>
    </w:p>
    <w:p w14:paraId="04A1EF59">
      <w:pPr>
        <w:pStyle w:val="6"/>
        <w:spacing w:before="176" w:line="221" w:lineRule="auto"/>
        <w:ind w:left="554"/>
        <w:rPr>
          <w:sz w:val="24"/>
          <w:szCs w:val="24"/>
          <w:highlight w:val="none"/>
        </w:rPr>
      </w:pPr>
      <w:r>
        <w:rPr>
          <w:spacing w:val="-2"/>
          <w:sz w:val="24"/>
          <w:szCs w:val="24"/>
          <w:highlight w:val="none"/>
        </w:rPr>
        <w:t>投标人开户银行（全称</w:t>
      </w:r>
      <w:r>
        <w:rPr>
          <w:spacing w:val="1"/>
          <w:sz w:val="24"/>
          <w:szCs w:val="24"/>
          <w:highlight w:val="none"/>
        </w:rPr>
        <w:t>）：</w:t>
      </w:r>
    </w:p>
    <w:p w14:paraId="3FF5652B">
      <w:pPr>
        <w:pStyle w:val="6"/>
        <w:spacing w:before="179" w:line="221" w:lineRule="auto"/>
        <w:ind w:left="554"/>
        <w:rPr>
          <w:sz w:val="24"/>
          <w:szCs w:val="24"/>
          <w:highlight w:val="none"/>
        </w:rPr>
      </w:pPr>
      <w:r>
        <w:rPr>
          <w:spacing w:val="-2"/>
          <w:sz w:val="24"/>
          <w:szCs w:val="24"/>
          <w:highlight w:val="none"/>
        </w:rPr>
        <w:t>投标人银行帐号：</w:t>
      </w:r>
    </w:p>
    <w:p w14:paraId="4310AA34">
      <w:pPr>
        <w:pStyle w:val="6"/>
        <w:spacing w:before="180" w:line="223" w:lineRule="auto"/>
        <w:ind w:left="546"/>
        <w:rPr>
          <w:sz w:val="24"/>
          <w:szCs w:val="24"/>
          <w:highlight w:val="none"/>
        </w:rPr>
      </w:pPr>
      <w:r>
        <w:rPr>
          <w:spacing w:val="-23"/>
          <w:sz w:val="24"/>
          <w:szCs w:val="24"/>
          <w:highlight w:val="none"/>
        </w:rPr>
        <w:t>日期：</w:t>
      </w:r>
    </w:p>
    <w:p w14:paraId="548839B3">
      <w:pPr>
        <w:spacing w:line="333" w:lineRule="auto"/>
        <w:rPr>
          <w:rFonts w:hint="eastAsia" w:ascii="Arial" w:eastAsia="宋体"/>
          <w:sz w:val="21"/>
          <w:highlight w:val="none"/>
          <w:lang w:eastAsia="zh-CN"/>
        </w:rPr>
      </w:pPr>
      <w:r>
        <w:rPr>
          <w:rFonts w:hint="eastAsia" w:ascii="Arial" w:eastAsia="宋体"/>
          <w:sz w:val="21"/>
          <w:highlight w:val="none"/>
          <w:lang w:eastAsia="zh-CN"/>
        </w:rPr>
        <w:br w:type="page"/>
      </w:r>
    </w:p>
    <w:p w14:paraId="023C8BA9">
      <w:pPr>
        <w:pStyle w:val="6"/>
        <w:spacing w:before="97" w:line="227" w:lineRule="auto"/>
        <w:ind w:left="1527"/>
        <w:outlineLvl w:val="1"/>
        <w:rPr>
          <w:highlight w:val="none"/>
        </w:rPr>
      </w:pPr>
      <w:r>
        <w:rPr>
          <w:b/>
          <w:bCs/>
          <w:spacing w:val="11"/>
          <w:highlight w:val="none"/>
        </w:rPr>
        <w:t>二、法定代表人（单位负责人）身份证明</w:t>
      </w:r>
    </w:p>
    <w:p w14:paraId="27623245">
      <w:pPr>
        <w:spacing w:line="359" w:lineRule="auto"/>
        <w:rPr>
          <w:rFonts w:ascii="Arial"/>
          <w:sz w:val="21"/>
          <w:highlight w:val="none"/>
        </w:rPr>
      </w:pPr>
    </w:p>
    <w:p w14:paraId="5CE5F677">
      <w:pPr>
        <w:pStyle w:val="6"/>
        <w:spacing w:before="78" w:line="222" w:lineRule="auto"/>
        <w:ind w:left="729"/>
        <w:rPr>
          <w:sz w:val="24"/>
          <w:szCs w:val="24"/>
          <w:highlight w:val="none"/>
        </w:rPr>
      </w:pPr>
      <w:r>
        <w:rPr>
          <w:spacing w:val="3"/>
          <w:sz w:val="24"/>
          <w:szCs w:val="24"/>
          <w:highlight w:val="none"/>
        </w:rPr>
        <w:t>致</w:t>
      </w:r>
      <w:r>
        <w:rPr>
          <w:spacing w:val="-48"/>
          <w:sz w:val="24"/>
          <w:szCs w:val="24"/>
          <w:highlight w:val="none"/>
        </w:rPr>
        <w:t>：（</w:t>
      </w:r>
      <w:r>
        <w:rPr>
          <w:spacing w:val="3"/>
          <w:sz w:val="24"/>
          <w:szCs w:val="24"/>
          <w:highlight w:val="none"/>
        </w:rPr>
        <w:t>采购人或采购代理机构）</w:t>
      </w:r>
    </w:p>
    <w:p w14:paraId="3F97C289">
      <w:pPr>
        <w:pStyle w:val="6"/>
        <w:spacing w:before="317" w:line="224" w:lineRule="auto"/>
        <w:ind w:left="1214"/>
        <w:rPr>
          <w:sz w:val="24"/>
          <w:szCs w:val="24"/>
          <w:highlight w:val="none"/>
        </w:rPr>
      </w:pPr>
      <w:r>
        <w:rPr>
          <w:spacing w:val="-8"/>
          <w:sz w:val="24"/>
          <w:szCs w:val="24"/>
          <w:highlight w:val="none"/>
        </w:rPr>
        <w:t>兹证明，</w:t>
      </w:r>
    </w:p>
    <w:p w14:paraId="28327932">
      <w:pPr>
        <w:spacing w:line="246" w:lineRule="auto"/>
        <w:rPr>
          <w:rFonts w:ascii="Arial"/>
          <w:sz w:val="21"/>
          <w:highlight w:val="none"/>
        </w:rPr>
      </w:pPr>
    </w:p>
    <w:p w14:paraId="773CB43D">
      <w:pPr>
        <w:pStyle w:val="6"/>
        <w:spacing w:before="78" w:line="220" w:lineRule="auto"/>
        <w:ind w:left="726"/>
        <w:rPr>
          <w:sz w:val="24"/>
          <w:szCs w:val="24"/>
          <w:highlight w:val="none"/>
        </w:rPr>
      </w:pPr>
      <w:r>
        <w:rPr>
          <w:spacing w:val="-3"/>
          <w:sz w:val="24"/>
          <w:szCs w:val="24"/>
          <w:highlight w:val="none"/>
        </w:rPr>
        <w:t>姓名：性别：年龄：职务：</w:t>
      </w:r>
    </w:p>
    <w:p w14:paraId="6C72BDE3">
      <w:pPr>
        <w:spacing w:line="291" w:lineRule="auto"/>
        <w:rPr>
          <w:rFonts w:ascii="Arial"/>
          <w:sz w:val="21"/>
          <w:highlight w:val="none"/>
        </w:rPr>
      </w:pPr>
    </w:p>
    <w:p w14:paraId="0F3B875A">
      <w:pPr>
        <w:pStyle w:val="6"/>
        <w:spacing w:before="79" w:line="221" w:lineRule="auto"/>
        <w:ind w:left="740"/>
        <w:rPr>
          <w:sz w:val="24"/>
          <w:szCs w:val="24"/>
          <w:highlight w:val="none"/>
        </w:rPr>
      </w:pPr>
      <w:r>
        <w:rPr>
          <w:spacing w:val="-2"/>
          <w:sz w:val="24"/>
          <w:szCs w:val="24"/>
          <w:highlight w:val="none"/>
        </w:rPr>
        <w:t>系 （投标人名称）的法定代表人（单位负责人）。</w:t>
      </w:r>
    </w:p>
    <w:p w14:paraId="206079D8">
      <w:pPr>
        <w:spacing w:line="288" w:lineRule="auto"/>
        <w:rPr>
          <w:rFonts w:ascii="Arial"/>
          <w:sz w:val="21"/>
          <w:highlight w:val="none"/>
        </w:rPr>
      </w:pPr>
    </w:p>
    <w:p w14:paraId="24FFBE22">
      <w:pPr>
        <w:pStyle w:val="6"/>
        <w:spacing w:before="78" w:line="221" w:lineRule="auto"/>
        <w:ind w:left="753"/>
        <w:rPr>
          <w:sz w:val="24"/>
          <w:szCs w:val="24"/>
          <w:highlight w:val="none"/>
        </w:rPr>
      </w:pPr>
      <w:r>
        <w:rPr>
          <w:spacing w:val="-2"/>
          <w:sz w:val="24"/>
          <w:szCs w:val="24"/>
          <w:highlight w:val="none"/>
        </w:rPr>
        <w:t>附：法定代表人（单位负责人）身份证、护照等身份证明文件电子件：</w:t>
      </w:r>
    </w:p>
    <w:p w14:paraId="777990D9">
      <w:pPr>
        <w:spacing w:before="34"/>
        <w:rPr>
          <w:highlight w:val="none"/>
        </w:rPr>
      </w:pPr>
    </w:p>
    <w:p w14:paraId="4CAD17E9">
      <w:pPr>
        <w:spacing w:before="34"/>
        <w:rPr>
          <w:highlight w:val="none"/>
        </w:rPr>
      </w:pPr>
    </w:p>
    <w:p w14:paraId="40CF55A8">
      <w:pPr>
        <w:spacing w:before="34"/>
        <w:rPr>
          <w:highlight w:val="none"/>
        </w:rPr>
      </w:pPr>
    </w:p>
    <w:p w14:paraId="17E6358C">
      <w:pPr>
        <w:spacing w:before="34"/>
        <w:rPr>
          <w:highlight w:val="none"/>
        </w:rPr>
      </w:pPr>
    </w:p>
    <w:p w14:paraId="1FF22D75">
      <w:pPr>
        <w:spacing w:before="33"/>
        <w:rPr>
          <w:highlight w:val="none"/>
        </w:rPr>
      </w:pPr>
    </w:p>
    <w:tbl>
      <w:tblPr>
        <w:tblStyle w:val="13"/>
        <w:tblW w:w="853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0"/>
      </w:tblGrid>
      <w:tr w14:paraId="12CDC4A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39" w:hRule="atLeast"/>
        </w:trPr>
        <w:tc>
          <w:tcPr>
            <w:tcW w:w="8530" w:type="dxa"/>
            <w:vAlign w:val="top"/>
          </w:tcPr>
          <w:p w14:paraId="5EBDF87F">
            <w:pPr>
              <w:rPr>
                <w:rFonts w:ascii="Arial"/>
                <w:sz w:val="21"/>
                <w:highlight w:val="none"/>
              </w:rPr>
            </w:pPr>
          </w:p>
        </w:tc>
      </w:tr>
    </w:tbl>
    <w:p w14:paraId="68750EDE">
      <w:pPr>
        <w:spacing w:line="336" w:lineRule="auto"/>
        <w:rPr>
          <w:rFonts w:ascii="Arial"/>
          <w:sz w:val="21"/>
          <w:highlight w:val="none"/>
        </w:rPr>
      </w:pPr>
    </w:p>
    <w:p w14:paraId="272D45FA">
      <w:pPr>
        <w:spacing w:line="337" w:lineRule="auto"/>
        <w:rPr>
          <w:rFonts w:ascii="Arial"/>
          <w:sz w:val="21"/>
          <w:highlight w:val="none"/>
        </w:rPr>
      </w:pPr>
    </w:p>
    <w:p w14:paraId="2A6D7BA7">
      <w:pPr>
        <w:pStyle w:val="6"/>
        <w:spacing w:before="79" w:line="221" w:lineRule="auto"/>
        <w:ind w:left="247"/>
        <w:rPr>
          <w:sz w:val="24"/>
          <w:szCs w:val="24"/>
          <w:highlight w:val="none"/>
        </w:rPr>
      </w:pPr>
      <w:r>
        <w:rPr>
          <w:spacing w:val="-3"/>
          <w:sz w:val="24"/>
          <w:szCs w:val="24"/>
          <w:highlight w:val="none"/>
        </w:rPr>
        <w:t>投标人名称（公章)：</w:t>
      </w:r>
    </w:p>
    <w:p w14:paraId="2D12F94E">
      <w:pPr>
        <w:spacing w:line="288" w:lineRule="auto"/>
        <w:rPr>
          <w:rFonts w:ascii="Arial"/>
          <w:sz w:val="21"/>
          <w:highlight w:val="none"/>
        </w:rPr>
      </w:pPr>
    </w:p>
    <w:p w14:paraId="50BB1E42">
      <w:pPr>
        <w:pStyle w:val="6"/>
        <w:spacing w:before="78" w:line="221" w:lineRule="auto"/>
        <w:ind w:left="253"/>
        <w:rPr>
          <w:sz w:val="24"/>
          <w:szCs w:val="24"/>
          <w:highlight w:val="none"/>
        </w:rPr>
      </w:pPr>
      <w:r>
        <w:rPr>
          <w:spacing w:val="1"/>
          <w:sz w:val="24"/>
          <w:szCs w:val="24"/>
          <w:highlight w:val="none"/>
        </w:rPr>
        <w:t>法定代表人（单位负责人</w:t>
      </w:r>
      <w:r>
        <w:rPr>
          <w:spacing w:val="-11"/>
          <w:sz w:val="24"/>
          <w:szCs w:val="24"/>
          <w:highlight w:val="none"/>
        </w:rPr>
        <w:t>）（</w:t>
      </w:r>
      <w:r>
        <w:rPr>
          <w:spacing w:val="1"/>
          <w:sz w:val="24"/>
          <w:szCs w:val="24"/>
          <w:highlight w:val="none"/>
        </w:rPr>
        <w:t>签字或盖章</w:t>
      </w:r>
      <w:r>
        <w:rPr>
          <w:spacing w:val="-11"/>
          <w:sz w:val="24"/>
          <w:szCs w:val="24"/>
          <w:highlight w:val="none"/>
        </w:rPr>
        <w:t>）：</w:t>
      </w:r>
    </w:p>
    <w:p w14:paraId="24361C7D">
      <w:pPr>
        <w:spacing w:line="271" w:lineRule="auto"/>
        <w:rPr>
          <w:rFonts w:ascii="Arial"/>
          <w:sz w:val="21"/>
          <w:highlight w:val="none"/>
        </w:rPr>
      </w:pPr>
    </w:p>
    <w:p w14:paraId="5B9BAC76">
      <w:pPr>
        <w:spacing w:line="272" w:lineRule="auto"/>
        <w:rPr>
          <w:rFonts w:ascii="Arial"/>
          <w:sz w:val="21"/>
          <w:highlight w:val="none"/>
        </w:rPr>
      </w:pPr>
    </w:p>
    <w:p w14:paraId="4D44347A">
      <w:pPr>
        <w:spacing w:line="272" w:lineRule="auto"/>
        <w:rPr>
          <w:rFonts w:ascii="Arial"/>
          <w:sz w:val="21"/>
          <w:highlight w:val="none"/>
        </w:rPr>
      </w:pPr>
    </w:p>
    <w:p w14:paraId="790E353F">
      <w:pPr>
        <w:pStyle w:val="6"/>
        <w:spacing w:before="79" w:line="222" w:lineRule="auto"/>
        <w:ind w:left="337"/>
        <w:rPr>
          <w:sz w:val="24"/>
          <w:szCs w:val="24"/>
          <w:highlight w:val="none"/>
        </w:rPr>
      </w:pPr>
      <w:r>
        <w:rPr>
          <w:spacing w:val="-21"/>
          <w:sz w:val="24"/>
          <w:szCs w:val="24"/>
          <w:highlight w:val="none"/>
        </w:rPr>
        <w:t>日期：年月日</w:t>
      </w:r>
    </w:p>
    <w:p w14:paraId="282676FF">
      <w:pPr>
        <w:spacing w:line="329" w:lineRule="auto"/>
        <w:rPr>
          <w:rFonts w:hint="eastAsia" w:ascii="Arial" w:eastAsia="宋体"/>
          <w:sz w:val="21"/>
          <w:highlight w:val="none"/>
          <w:lang w:eastAsia="zh-CN"/>
        </w:rPr>
      </w:pPr>
      <w:r>
        <w:rPr>
          <w:rFonts w:hint="eastAsia" w:ascii="Arial" w:eastAsia="宋体"/>
          <w:sz w:val="21"/>
          <w:highlight w:val="none"/>
          <w:lang w:eastAsia="zh-CN"/>
        </w:rPr>
        <w:br w:type="page"/>
      </w:r>
    </w:p>
    <w:p w14:paraId="6D752750">
      <w:pPr>
        <w:pStyle w:val="6"/>
        <w:spacing w:before="98" w:line="229" w:lineRule="auto"/>
        <w:ind w:left="3290"/>
        <w:outlineLvl w:val="1"/>
        <w:rPr>
          <w:highlight w:val="none"/>
        </w:rPr>
      </w:pPr>
      <w:r>
        <w:rPr>
          <w:b/>
          <w:bCs/>
          <w:spacing w:val="8"/>
          <w:highlight w:val="none"/>
        </w:rPr>
        <w:t>三、授权委托书</w:t>
      </w:r>
    </w:p>
    <w:p w14:paraId="553FB04C">
      <w:pPr>
        <w:spacing w:line="247" w:lineRule="auto"/>
        <w:rPr>
          <w:rFonts w:ascii="Arial"/>
          <w:sz w:val="21"/>
          <w:highlight w:val="none"/>
        </w:rPr>
      </w:pPr>
    </w:p>
    <w:p w14:paraId="004BF83B">
      <w:pPr>
        <w:pStyle w:val="6"/>
        <w:spacing w:before="78" w:line="352" w:lineRule="auto"/>
        <w:ind w:left="247" w:right="35" w:firstLine="480"/>
        <w:rPr>
          <w:sz w:val="24"/>
          <w:szCs w:val="24"/>
          <w:highlight w:val="none"/>
        </w:rPr>
      </w:pPr>
      <w:r>
        <w:rPr>
          <w:spacing w:val="4"/>
          <w:sz w:val="24"/>
          <w:szCs w:val="24"/>
          <w:highlight w:val="none"/>
        </w:rPr>
        <w:t>本人（姓名）系（投标人名称）的法定代表人（单位负责</w:t>
      </w:r>
      <w:r>
        <w:rPr>
          <w:spacing w:val="3"/>
          <w:sz w:val="24"/>
          <w:szCs w:val="24"/>
          <w:highlight w:val="none"/>
        </w:rPr>
        <w:t>人</w:t>
      </w:r>
      <w:r>
        <w:rPr>
          <w:spacing w:val="5"/>
          <w:sz w:val="24"/>
          <w:szCs w:val="24"/>
          <w:highlight w:val="none"/>
        </w:rPr>
        <w:t>），</w:t>
      </w:r>
      <w:r>
        <w:rPr>
          <w:spacing w:val="3"/>
          <w:sz w:val="24"/>
          <w:szCs w:val="24"/>
          <w:highlight w:val="none"/>
        </w:rPr>
        <w:t>现委托（姓</w:t>
      </w:r>
      <w:r>
        <w:rPr>
          <w:spacing w:val="-3"/>
          <w:sz w:val="24"/>
          <w:szCs w:val="24"/>
          <w:highlight w:val="none"/>
        </w:rPr>
        <w:t>名）为我方代理人。代理人根据授权，以我方名义签署、澄清确认、说明</w:t>
      </w:r>
      <w:r>
        <w:rPr>
          <w:spacing w:val="-4"/>
          <w:sz w:val="24"/>
          <w:szCs w:val="24"/>
          <w:highlight w:val="none"/>
        </w:rPr>
        <w:t>、补正、</w:t>
      </w:r>
      <w:r>
        <w:rPr>
          <w:spacing w:val="4"/>
          <w:sz w:val="24"/>
          <w:szCs w:val="24"/>
          <w:highlight w:val="none"/>
        </w:rPr>
        <w:t>递交、撤回、修改（项目名称）投标文件、签订合同</w:t>
      </w:r>
      <w:r>
        <w:rPr>
          <w:spacing w:val="3"/>
          <w:sz w:val="24"/>
          <w:szCs w:val="24"/>
          <w:highlight w:val="none"/>
        </w:rPr>
        <w:t>和处理有关事宜，其法律后</w:t>
      </w:r>
      <w:r>
        <w:rPr>
          <w:spacing w:val="-4"/>
          <w:sz w:val="24"/>
          <w:szCs w:val="24"/>
          <w:highlight w:val="none"/>
        </w:rPr>
        <w:t>果由我方承担。</w:t>
      </w:r>
    </w:p>
    <w:p w14:paraId="0E98D1BD">
      <w:pPr>
        <w:pStyle w:val="6"/>
        <w:spacing w:before="29" w:line="222" w:lineRule="auto"/>
        <w:ind w:left="735"/>
        <w:rPr>
          <w:sz w:val="24"/>
          <w:szCs w:val="24"/>
          <w:highlight w:val="none"/>
        </w:rPr>
      </w:pPr>
      <w:r>
        <w:rPr>
          <w:spacing w:val="-7"/>
          <w:sz w:val="24"/>
          <w:szCs w:val="24"/>
          <w:highlight w:val="none"/>
        </w:rPr>
        <w:t>委托期限：</w:t>
      </w:r>
      <w:r>
        <w:rPr>
          <w:spacing w:val="-52"/>
          <w:sz w:val="24"/>
          <w:szCs w:val="24"/>
          <w:highlight w:val="none"/>
        </w:rPr>
        <w:t xml:space="preserve"> </w:t>
      </w:r>
      <w:r>
        <w:rPr>
          <w:spacing w:val="-7"/>
          <w:sz w:val="24"/>
          <w:szCs w:val="24"/>
          <w:highlight w:val="none"/>
        </w:rPr>
        <w:t>自本授权委托书签署之日起至投标有效期届满之日止。</w:t>
      </w:r>
    </w:p>
    <w:p w14:paraId="5C604928">
      <w:pPr>
        <w:pStyle w:val="6"/>
        <w:spacing w:before="161" w:line="219" w:lineRule="auto"/>
        <w:ind w:left="731"/>
        <w:rPr>
          <w:sz w:val="24"/>
          <w:szCs w:val="24"/>
          <w:highlight w:val="none"/>
        </w:rPr>
      </w:pPr>
      <w:r>
        <w:rPr>
          <w:spacing w:val="-4"/>
          <w:sz w:val="24"/>
          <w:szCs w:val="24"/>
          <w:highlight w:val="none"/>
        </w:rPr>
        <w:t>代理人无转委托权。</w:t>
      </w:r>
    </w:p>
    <w:p w14:paraId="04CB2422">
      <w:pPr>
        <w:spacing w:line="457" w:lineRule="auto"/>
        <w:rPr>
          <w:rFonts w:ascii="Arial"/>
          <w:sz w:val="21"/>
          <w:highlight w:val="none"/>
        </w:rPr>
      </w:pPr>
    </w:p>
    <w:p w14:paraId="310365EA">
      <w:pPr>
        <w:pStyle w:val="6"/>
        <w:spacing w:before="79" w:line="221" w:lineRule="auto"/>
        <w:ind w:left="247"/>
        <w:rPr>
          <w:sz w:val="24"/>
          <w:szCs w:val="24"/>
          <w:highlight w:val="none"/>
        </w:rPr>
      </w:pPr>
      <w:r>
        <w:rPr>
          <w:spacing w:val="-3"/>
          <w:sz w:val="24"/>
          <w:szCs w:val="24"/>
          <w:highlight w:val="none"/>
        </w:rPr>
        <w:t>投标人名称（公章)：</w:t>
      </w:r>
    </w:p>
    <w:p w14:paraId="76B0F4A1">
      <w:pPr>
        <w:spacing w:line="288" w:lineRule="auto"/>
        <w:rPr>
          <w:rFonts w:ascii="Arial"/>
          <w:sz w:val="21"/>
          <w:highlight w:val="none"/>
        </w:rPr>
      </w:pPr>
    </w:p>
    <w:p w14:paraId="3623CDF4">
      <w:pPr>
        <w:pStyle w:val="6"/>
        <w:spacing w:before="78" w:line="221" w:lineRule="auto"/>
        <w:ind w:left="253"/>
        <w:rPr>
          <w:sz w:val="24"/>
          <w:szCs w:val="24"/>
          <w:highlight w:val="none"/>
        </w:rPr>
      </w:pPr>
      <w:r>
        <w:rPr>
          <w:sz w:val="24"/>
          <w:szCs w:val="24"/>
          <w:highlight w:val="none"/>
        </w:rPr>
        <w:t>法定代表人（单位负责人</w:t>
      </w:r>
      <w:r>
        <w:rPr>
          <w:spacing w:val="-22"/>
          <w:sz w:val="24"/>
          <w:szCs w:val="24"/>
          <w:highlight w:val="none"/>
        </w:rPr>
        <w:t>）（</w:t>
      </w:r>
      <w:r>
        <w:rPr>
          <w:sz w:val="24"/>
          <w:szCs w:val="24"/>
          <w:highlight w:val="none"/>
        </w:rPr>
        <w:t>签字或盖章)：</w:t>
      </w:r>
    </w:p>
    <w:p w14:paraId="7E5ED4D7">
      <w:pPr>
        <w:spacing w:line="291" w:lineRule="auto"/>
        <w:rPr>
          <w:rFonts w:ascii="Arial"/>
          <w:sz w:val="21"/>
          <w:highlight w:val="none"/>
        </w:rPr>
      </w:pPr>
    </w:p>
    <w:p w14:paraId="0328D5E4">
      <w:pPr>
        <w:pStyle w:val="6"/>
        <w:spacing w:before="78" w:line="222" w:lineRule="auto"/>
        <w:ind w:left="255"/>
        <w:rPr>
          <w:sz w:val="24"/>
          <w:szCs w:val="24"/>
          <w:highlight w:val="none"/>
        </w:rPr>
      </w:pPr>
      <w:r>
        <w:rPr>
          <w:spacing w:val="-4"/>
          <w:sz w:val="24"/>
          <w:szCs w:val="24"/>
          <w:highlight w:val="none"/>
        </w:rPr>
        <w:t>委托代理人（签字或盖章)：    联系电话：</w:t>
      </w:r>
    </w:p>
    <w:p w14:paraId="409E3285">
      <w:pPr>
        <w:spacing w:line="289" w:lineRule="auto"/>
        <w:rPr>
          <w:rFonts w:ascii="Arial"/>
          <w:sz w:val="21"/>
          <w:highlight w:val="none"/>
        </w:rPr>
      </w:pPr>
    </w:p>
    <w:p w14:paraId="0FD036FE">
      <w:pPr>
        <w:pStyle w:val="6"/>
        <w:spacing w:before="78" w:line="222" w:lineRule="auto"/>
        <w:ind w:left="337"/>
        <w:rPr>
          <w:sz w:val="24"/>
          <w:szCs w:val="24"/>
          <w:highlight w:val="none"/>
        </w:rPr>
      </w:pPr>
      <w:r>
        <w:rPr>
          <w:spacing w:val="-21"/>
          <w:sz w:val="24"/>
          <w:szCs w:val="24"/>
          <w:highlight w:val="none"/>
        </w:rPr>
        <w:t>日期：年月日</w:t>
      </w:r>
    </w:p>
    <w:p w14:paraId="71CA55A2">
      <w:pPr>
        <w:spacing w:line="460" w:lineRule="auto"/>
        <w:rPr>
          <w:rFonts w:ascii="Arial"/>
          <w:sz w:val="21"/>
          <w:highlight w:val="none"/>
        </w:rPr>
      </w:pPr>
    </w:p>
    <w:p w14:paraId="030A1FCB">
      <w:pPr>
        <w:pStyle w:val="6"/>
        <w:spacing w:before="79" w:line="222" w:lineRule="auto"/>
        <w:ind w:left="273"/>
        <w:rPr>
          <w:sz w:val="24"/>
          <w:szCs w:val="24"/>
          <w:highlight w:val="none"/>
        </w:rPr>
      </w:pPr>
      <w:r>
        <w:rPr>
          <w:spacing w:val="-3"/>
          <w:sz w:val="24"/>
          <w:szCs w:val="24"/>
          <w:highlight w:val="none"/>
        </w:rPr>
        <w:t>附：法定代表人及委托代理人身份证明文件电子</w:t>
      </w:r>
      <w:r>
        <w:rPr>
          <w:spacing w:val="-4"/>
          <w:sz w:val="24"/>
          <w:szCs w:val="24"/>
          <w:highlight w:val="none"/>
        </w:rPr>
        <w:t>件：</w:t>
      </w:r>
    </w:p>
    <w:p w14:paraId="27DCC6AF">
      <w:pPr>
        <w:spacing w:line="50" w:lineRule="exact"/>
        <w:rPr>
          <w:highlight w:val="none"/>
        </w:rPr>
      </w:pPr>
    </w:p>
    <w:tbl>
      <w:tblPr>
        <w:tblStyle w:val="13"/>
        <w:tblW w:w="853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0"/>
      </w:tblGrid>
      <w:tr w14:paraId="5FB44B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29" w:hRule="atLeast"/>
        </w:trPr>
        <w:tc>
          <w:tcPr>
            <w:tcW w:w="8530" w:type="dxa"/>
            <w:vAlign w:val="top"/>
          </w:tcPr>
          <w:p w14:paraId="505E22A0">
            <w:pPr>
              <w:rPr>
                <w:rFonts w:ascii="Arial"/>
                <w:sz w:val="21"/>
                <w:highlight w:val="none"/>
              </w:rPr>
            </w:pPr>
          </w:p>
        </w:tc>
      </w:tr>
    </w:tbl>
    <w:p w14:paraId="2FBF5A6D">
      <w:pPr>
        <w:pStyle w:val="6"/>
        <w:spacing w:before="129" w:line="224" w:lineRule="auto"/>
        <w:ind w:left="729"/>
        <w:rPr>
          <w:sz w:val="24"/>
          <w:szCs w:val="24"/>
          <w:highlight w:val="none"/>
        </w:rPr>
      </w:pPr>
      <w:r>
        <w:rPr>
          <w:spacing w:val="-8"/>
          <w:sz w:val="24"/>
          <w:szCs w:val="24"/>
          <w:highlight w:val="none"/>
        </w:rPr>
        <w:t>说明：</w:t>
      </w:r>
    </w:p>
    <w:p w14:paraId="107789BB">
      <w:pPr>
        <w:pStyle w:val="6"/>
        <w:spacing w:before="195" w:line="346" w:lineRule="auto"/>
        <w:ind w:left="251" w:right="219" w:firstLine="501"/>
        <w:rPr>
          <w:sz w:val="24"/>
          <w:szCs w:val="24"/>
          <w:highlight w:val="none"/>
        </w:rPr>
      </w:pPr>
      <w:r>
        <w:rPr>
          <w:spacing w:val="-9"/>
          <w:sz w:val="24"/>
          <w:szCs w:val="24"/>
          <w:highlight w:val="none"/>
        </w:rPr>
        <w:t>1.若投标人为事业单位或其他组织或分支机构，则法定代表人</w:t>
      </w:r>
      <w:r>
        <w:rPr>
          <w:spacing w:val="-10"/>
          <w:sz w:val="24"/>
          <w:szCs w:val="24"/>
          <w:highlight w:val="none"/>
        </w:rPr>
        <w:t>（单位负责人）</w:t>
      </w:r>
      <w:r>
        <w:rPr>
          <w:spacing w:val="-3"/>
          <w:sz w:val="24"/>
          <w:szCs w:val="24"/>
          <w:highlight w:val="none"/>
        </w:rPr>
        <w:t>处的签署人可为单位负责人。</w:t>
      </w:r>
    </w:p>
    <w:p w14:paraId="76629E4B">
      <w:pPr>
        <w:pStyle w:val="6"/>
        <w:spacing w:before="34" w:line="346" w:lineRule="auto"/>
        <w:ind w:left="248" w:right="282" w:firstLine="475"/>
        <w:rPr>
          <w:sz w:val="24"/>
          <w:szCs w:val="24"/>
          <w:highlight w:val="none"/>
        </w:rPr>
      </w:pPr>
      <w:r>
        <w:rPr>
          <w:spacing w:val="-3"/>
          <w:sz w:val="24"/>
          <w:szCs w:val="24"/>
          <w:highlight w:val="none"/>
        </w:rPr>
        <w:t>2.若投标文件中签字之处均为法定代表人（</w:t>
      </w:r>
      <w:r>
        <w:rPr>
          <w:spacing w:val="-4"/>
          <w:sz w:val="24"/>
          <w:szCs w:val="24"/>
          <w:highlight w:val="none"/>
        </w:rPr>
        <w:t>单位负责人）本人签署，则可不</w:t>
      </w:r>
      <w:r>
        <w:rPr>
          <w:spacing w:val="-1"/>
          <w:sz w:val="24"/>
          <w:szCs w:val="24"/>
          <w:highlight w:val="none"/>
        </w:rPr>
        <w:t>提供本《授权委托书》，但须提供《法定代表人（单位负责人）身份证明》。</w:t>
      </w:r>
    </w:p>
    <w:p w14:paraId="69A8688F">
      <w:pPr>
        <w:pStyle w:val="6"/>
        <w:spacing w:before="14" w:line="222" w:lineRule="auto"/>
        <w:ind w:left="728"/>
        <w:rPr>
          <w:sz w:val="24"/>
          <w:szCs w:val="24"/>
          <w:highlight w:val="none"/>
        </w:rPr>
      </w:pPr>
      <w:r>
        <w:rPr>
          <w:spacing w:val="-2"/>
          <w:sz w:val="24"/>
          <w:szCs w:val="24"/>
          <w:highlight w:val="none"/>
        </w:rPr>
        <w:t>3.投标人为自然人的情形，可不提供本《授权委托书》。</w:t>
      </w:r>
    </w:p>
    <w:p w14:paraId="016AE4DA">
      <w:pPr>
        <w:pStyle w:val="6"/>
        <w:spacing w:before="203" w:line="350" w:lineRule="auto"/>
        <w:ind w:left="247" w:right="282" w:firstLine="470"/>
        <w:rPr>
          <w:sz w:val="24"/>
          <w:szCs w:val="24"/>
          <w:highlight w:val="none"/>
        </w:rPr>
      </w:pPr>
      <w:r>
        <w:rPr>
          <w:spacing w:val="-3"/>
          <w:sz w:val="24"/>
          <w:szCs w:val="24"/>
          <w:highlight w:val="none"/>
        </w:rPr>
        <w:t>4.投标人应随本《授权委托书》同时提供法定代表人（单</w:t>
      </w:r>
      <w:r>
        <w:rPr>
          <w:spacing w:val="-4"/>
          <w:sz w:val="24"/>
          <w:szCs w:val="24"/>
          <w:highlight w:val="none"/>
        </w:rPr>
        <w:t>位负责人）及委托代理人的有效的身份证、护照等身份证明文件电子件。提供身份证的，应同时提供身份证</w:t>
      </w:r>
      <w:r>
        <w:rPr>
          <w:b/>
          <w:bCs/>
          <w:spacing w:val="-4"/>
          <w:sz w:val="24"/>
          <w:szCs w:val="24"/>
          <w:highlight w:val="none"/>
        </w:rPr>
        <w:t>双面</w:t>
      </w:r>
      <w:r>
        <w:rPr>
          <w:spacing w:val="-4"/>
          <w:sz w:val="24"/>
          <w:szCs w:val="24"/>
          <w:highlight w:val="none"/>
        </w:rPr>
        <w:t>电子件。</w:t>
      </w:r>
    </w:p>
    <w:p w14:paraId="70E07A26">
      <w:pPr>
        <w:spacing w:line="329" w:lineRule="auto"/>
        <w:rPr>
          <w:rFonts w:hint="eastAsia" w:ascii="Arial" w:eastAsia="宋体"/>
          <w:sz w:val="21"/>
          <w:highlight w:val="none"/>
          <w:lang w:eastAsia="zh-CN"/>
        </w:rPr>
      </w:pPr>
      <w:r>
        <w:rPr>
          <w:rFonts w:hint="eastAsia" w:ascii="Arial" w:eastAsia="宋体"/>
          <w:sz w:val="21"/>
          <w:highlight w:val="none"/>
          <w:lang w:eastAsia="zh-CN"/>
        </w:rPr>
        <w:br w:type="page"/>
      </w:r>
    </w:p>
    <w:p w14:paraId="73C32740">
      <w:pPr>
        <w:pStyle w:val="6"/>
        <w:spacing w:before="98" w:line="229" w:lineRule="auto"/>
        <w:ind w:left="1695"/>
        <w:outlineLvl w:val="1"/>
        <w:rPr>
          <w:highlight w:val="none"/>
        </w:rPr>
      </w:pPr>
      <w:r>
        <w:rPr>
          <w:b/>
          <w:bCs/>
          <w:spacing w:val="9"/>
          <w:highlight w:val="none"/>
        </w:rPr>
        <w:t>四、政府采购投标人廉洁自律承诺书</w:t>
      </w:r>
    </w:p>
    <w:p w14:paraId="5BDC4AF3">
      <w:pPr>
        <w:spacing w:line="319" w:lineRule="auto"/>
        <w:rPr>
          <w:rFonts w:ascii="Arial"/>
          <w:sz w:val="21"/>
          <w:highlight w:val="none"/>
        </w:rPr>
      </w:pPr>
    </w:p>
    <w:p w14:paraId="112A0489">
      <w:pPr>
        <w:pStyle w:val="6"/>
        <w:spacing w:before="78" w:line="222" w:lineRule="auto"/>
        <w:ind w:left="54"/>
        <w:rPr>
          <w:sz w:val="24"/>
          <w:szCs w:val="24"/>
          <w:highlight w:val="none"/>
        </w:rPr>
      </w:pPr>
      <w:r>
        <w:rPr>
          <w:spacing w:val="-4"/>
          <w:sz w:val="24"/>
          <w:szCs w:val="24"/>
          <w:highlight w:val="none"/>
        </w:rPr>
        <w:t>（采购人）、（采购代理机构</w:t>
      </w:r>
      <w:r>
        <w:rPr>
          <w:spacing w:val="1"/>
          <w:sz w:val="24"/>
          <w:szCs w:val="24"/>
          <w:highlight w:val="none"/>
        </w:rPr>
        <w:t>）：</w:t>
      </w:r>
    </w:p>
    <w:p w14:paraId="559C0643">
      <w:pPr>
        <w:pStyle w:val="6"/>
        <w:spacing w:before="275" w:line="345" w:lineRule="auto"/>
        <w:ind w:left="45" w:right="383" w:firstLine="484"/>
        <w:rPr>
          <w:sz w:val="24"/>
          <w:szCs w:val="24"/>
          <w:highlight w:val="none"/>
        </w:rPr>
      </w:pPr>
      <w:r>
        <w:rPr>
          <w:spacing w:val="-4"/>
          <w:sz w:val="24"/>
          <w:szCs w:val="24"/>
          <w:highlight w:val="none"/>
        </w:rPr>
        <w:t>我单位响应你单位项目招标要求参加投标。在这次投标过程中和中标后，我</w:t>
      </w:r>
      <w:r>
        <w:rPr>
          <w:spacing w:val="-2"/>
          <w:sz w:val="24"/>
          <w:szCs w:val="24"/>
          <w:highlight w:val="none"/>
        </w:rPr>
        <w:t>们将严格遵守国家法律法规要求，并郑重承诺：</w:t>
      </w:r>
    </w:p>
    <w:p w14:paraId="53A5E44B">
      <w:pPr>
        <w:pStyle w:val="6"/>
        <w:spacing w:before="38" w:line="289" w:lineRule="auto"/>
        <w:ind w:left="41" w:right="383" w:firstLine="486"/>
        <w:rPr>
          <w:sz w:val="24"/>
          <w:szCs w:val="24"/>
          <w:highlight w:val="none"/>
        </w:rPr>
      </w:pPr>
      <w:r>
        <w:rPr>
          <w:spacing w:val="-4"/>
          <w:sz w:val="24"/>
          <w:szCs w:val="24"/>
          <w:highlight w:val="none"/>
        </w:rPr>
        <w:t>一、不向项目有关人员及部门赠送礼金礼物、有价证券、回扣以及中介费、</w:t>
      </w:r>
      <w:r>
        <w:rPr>
          <w:spacing w:val="-3"/>
          <w:sz w:val="24"/>
          <w:szCs w:val="24"/>
          <w:highlight w:val="none"/>
        </w:rPr>
        <w:t>介绍费、咨询费等好处费；</w:t>
      </w:r>
    </w:p>
    <w:p w14:paraId="0B8A500B">
      <w:pPr>
        <w:pStyle w:val="6"/>
        <w:spacing w:before="160" w:line="221" w:lineRule="auto"/>
        <w:ind w:left="532"/>
        <w:rPr>
          <w:sz w:val="24"/>
          <w:szCs w:val="24"/>
          <w:highlight w:val="none"/>
        </w:rPr>
      </w:pPr>
      <w:r>
        <w:rPr>
          <w:spacing w:val="-2"/>
          <w:sz w:val="24"/>
          <w:szCs w:val="24"/>
          <w:highlight w:val="none"/>
        </w:rPr>
        <w:t>二、不为项目有关人员及部门报销应由你方单位或个人支付的费用；</w:t>
      </w:r>
    </w:p>
    <w:p w14:paraId="6F046A6F">
      <w:pPr>
        <w:pStyle w:val="6"/>
        <w:spacing w:before="178" w:line="220" w:lineRule="auto"/>
        <w:jc w:val="center"/>
        <w:rPr>
          <w:sz w:val="24"/>
          <w:szCs w:val="24"/>
          <w:highlight w:val="none"/>
        </w:rPr>
      </w:pPr>
      <w:r>
        <w:rPr>
          <w:rFonts w:hint="eastAsia"/>
          <w:spacing w:val="-7"/>
          <w:sz w:val="24"/>
          <w:szCs w:val="24"/>
          <w:highlight w:val="none"/>
          <w:lang w:val="en-US" w:eastAsia="zh-CN"/>
        </w:rPr>
        <w:t xml:space="preserve">  </w:t>
      </w:r>
      <w:r>
        <w:rPr>
          <w:spacing w:val="-7"/>
          <w:sz w:val="24"/>
          <w:szCs w:val="24"/>
          <w:highlight w:val="none"/>
        </w:rPr>
        <w:t>三、不向项目有关人员及部门提供有可能影响公正的宴</w:t>
      </w:r>
      <w:r>
        <w:rPr>
          <w:spacing w:val="-8"/>
          <w:sz w:val="24"/>
          <w:szCs w:val="24"/>
          <w:highlight w:val="none"/>
        </w:rPr>
        <w:t>请和健身娱乐等活动；</w:t>
      </w:r>
    </w:p>
    <w:p w14:paraId="3C94B86B">
      <w:pPr>
        <w:pStyle w:val="6"/>
        <w:spacing w:before="182" w:line="222" w:lineRule="auto"/>
        <w:ind w:left="571"/>
        <w:rPr>
          <w:sz w:val="24"/>
          <w:szCs w:val="24"/>
          <w:highlight w:val="none"/>
        </w:rPr>
      </w:pPr>
      <w:r>
        <w:rPr>
          <w:spacing w:val="-3"/>
          <w:sz w:val="24"/>
          <w:szCs w:val="24"/>
          <w:highlight w:val="none"/>
        </w:rPr>
        <w:t>四、不为项目有关人员及部门出国（境）、旅游等提供方便；</w:t>
      </w:r>
    </w:p>
    <w:p w14:paraId="7A1E0CE5">
      <w:pPr>
        <w:pStyle w:val="6"/>
        <w:spacing w:before="198" w:line="291" w:lineRule="auto"/>
        <w:ind w:left="41" w:right="381" w:firstLine="486"/>
        <w:rPr>
          <w:sz w:val="24"/>
          <w:szCs w:val="24"/>
          <w:highlight w:val="none"/>
        </w:rPr>
      </w:pPr>
      <w:r>
        <w:rPr>
          <w:spacing w:val="-4"/>
          <w:sz w:val="24"/>
          <w:szCs w:val="24"/>
          <w:highlight w:val="none"/>
        </w:rPr>
        <w:t>五、不为项目有关人员个人装修住房、婚丧嫁娶、配偶子女工作安排等提供</w:t>
      </w:r>
      <w:r>
        <w:rPr>
          <w:spacing w:val="-7"/>
          <w:sz w:val="24"/>
          <w:szCs w:val="24"/>
          <w:highlight w:val="none"/>
        </w:rPr>
        <w:t>好处；</w:t>
      </w:r>
    </w:p>
    <w:p w14:paraId="5815DDF3">
      <w:pPr>
        <w:pStyle w:val="6"/>
        <w:spacing w:before="178" w:line="290" w:lineRule="auto"/>
        <w:ind w:left="46" w:right="381" w:firstLine="477"/>
        <w:rPr>
          <w:sz w:val="24"/>
          <w:szCs w:val="24"/>
          <w:highlight w:val="none"/>
        </w:rPr>
      </w:pPr>
      <w:r>
        <w:rPr>
          <w:spacing w:val="-4"/>
          <w:sz w:val="24"/>
          <w:szCs w:val="24"/>
          <w:highlight w:val="none"/>
        </w:rPr>
        <w:t>六、严格遵守《中华人民共和国政府采购法》《中华人民共和国政府采购法实施条例》《中华人民共和国民法典》等法律法规，诚实守信，合法经营，坚决</w:t>
      </w:r>
      <w:r>
        <w:rPr>
          <w:spacing w:val="-3"/>
          <w:sz w:val="24"/>
          <w:szCs w:val="24"/>
          <w:highlight w:val="none"/>
        </w:rPr>
        <w:t>抵制各种违法违纪行为。</w:t>
      </w:r>
    </w:p>
    <w:p w14:paraId="7E48A302">
      <w:pPr>
        <w:pStyle w:val="6"/>
        <w:spacing w:before="179" w:line="351" w:lineRule="auto"/>
        <w:ind w:left="46" w:right="141" w:firstLine="480"/>
        <w:jc w:val="both"/>
        <w:rPr>
          <w:sz w:val="24"/>
          <w:szCs w:val="24"/>
          <w:highlight w:val="none"/>
        </w:rPr>
      </w:pPr>
      <w:r>
        <w:rPr>
          <w:spacing w:val="-4"/>
          <w:sz w:val="24"/>
          <w:szCs w:val="24"/>
          <w:highlight w:val="none"/>
        </w:rPr>
        <w:t>如违反上述承诺，你单位有权立即取消我单位投标、中标或在建项目的建设资</w:t>
      </w:r>
      <w:r>
        <w:rPr>
          <w:spacing w:val="3"/>
          <w:sz w:val="24"/>
          <w:szCs w:val="24"/>
          <w:highlight w:val="none"/>
        </w:rPr>
        <w:t>格，有权拒绝我单位在一定时期内进入你单位进行项目建设或其他经营活动，并</w:t>
      </w:r>
      <w:r>
        <w:rPr>
          <w:spacing w:val="-2"/>
          <w:sz w:val="24"/>
          <w:szCs w:val="24"/>
          <w:highlight w:val="none"/>
        </w:rPr>
        <w:t>通报主管部门。由此引起的相应损失均由我单位承担。</w:t>
      </w:r>
    </w:p>
    <w:p w14:paraId="5FE992F8">
      <w:pPr>
        <w:spacing w:line="250" w:lineRule="auto"/>
        <w:rPr>
          <w:rFonts w:ascii="Arial"/>
          <w:sz w:val="21"/>
          <w:highlight w:val="none"/>
        </w:rPr>
      </w:pPr>
    </w:p>
    <w:p w14:paraId="474F4118">
      <w:pPr>
        <w:spacing w:line="250" w:lineRule="auto"/>
        <w:rPr>
          <w:rFonts w:ascii="Arial"/>
          <w:sz w:val="21"/>
          <w:highlight w:val="none"/>
        </w:rPr>
      </w:pPr>
    </w:p>
    <w:p w14:paraId="33D84C23">
      <w:pPr>
        <w:spacing w:line="250" w:lineRule="auto"/>
        <w:rPr>
          <w:rFonts w:ascii="Arial"/>
          <w:sz w:val="21"/>
          <w:highlight w:val="none"/>
        </w:rPr>
      </w:pPr>
    </w:p>
    <w:p w14:paraId="354161AC">
      <w:pPr>
        <w:spacing w:line="250" w:lineRule="auto"/>
        <w:rPr>
          <w:rFonts w:ascii="Arial"/>
          <w:sz w:val="21"/>
          <w:highlight w:val="none"/>
        </w:rPr>
      </w:pPr>
    </w:p>
    <w:p w14:paraId="3B196250">
      <w:pPr>
        <w:spacing w:line="250" w:lineRule="auto"/>
        <w:rPr>
          <w:rFonts w:ascii="Arial"/>
          <w:sz w:val="21"/>
          <w:highlight w:val="none"/>
        </w:rPr>
      </w:pPr>
    </w:p>
    <w:p w14:paraId="0231D898">
      <w:pPr>
        <w:spacing w:line="250" w:lineRule="auto"/>
        <w:rPr>
          <w:rFonts w:ascii="Arial"/>
          <w:sz w:val="21"/>
          <w:highlight w:val="none"/>
        </w:rPr>
      </w:pPr>
    </w:p>
    <w:p w14:paraId="73ADC85B">
      <w:pPr>
        <w:pStyle w:val="6"/>
        <w:spacing w:before="79" w:line="221" w:lineRule="auto"/>
        <w:ind w:left="4603"/>
        <w:rPr>
          <w:sz w:val="24"/>
          <w:szCs w:val="24"/>
          <w:highlight w:val="none"/>
        </w:rPr>
      </w:pPr>
      <w:r>
        <w:rPr>
          <w:spacing w:val="-4"/>
          <w:sz w:val="24"/>
          <w:szCs w:val="24"/>
          <w:highlight w:val="none"/>
        </w:rPr>
        <w:t>投标人名称（公章)：</w:t>
      </w:r>
    </w:p>
    <w:p w14:paraId="1F91CC3F">
      <w:pPr>
        <w:pStyle w:val="6"/>
        <w:spacing w:before="183" w:line="222" w:lineRule="auto"/>
        <w:ind w:left="4690"/>
        <w:rPr>
          <w:sz w:val="24"/>
          <w:szCs w:val="24"/>
          <w:highlight w:val="none"/>
        </w:rPr>
      </w:pPr>
      <w:r>
        <w:rPr>
          <w:spacing w:val="-20"/>
          <w:sz w:val="24"/>
          <w:szCs w:val="24"/>
          <w:highlight w:val="none"/>
        </w:rPr>
        <w:t>日期：年月日</w:t>
      </w:r>
    </w:p>
    <w:p w14:paraId="3718B348">
      <w:pPr>
        <w:spacing w:line="332" w:lineRule="auto"/>
        <w:rPr>
          <w:rFonts w:hint="eastAsia" w:ascii="Arial" w:eastAsia="宋体"/>
          <w:sz w:val="21"/>
          <w:highlight w:val="none"/>
          <w:lang w:eastAsia="zh-CN"/>
        </w:rPr>
      </w:pPr>
      <w:r>
        <w:rPr>
          <w:rFonts w:hint="eastAsia" w:ascii="Arial" w:eastAsia="宋体"/>
          <w:sz w:val="21"/>
          <w:highlight w:val="none"/>
          <w:lang w:eastAsia="zh-CN"/>
        </w:rPr>
        <w:br w:type="page"/>
      </w:r>
    </w:p>
    <w:p w14:paraId="496DADAE">
      <w:pPr>
        <w:pStyle w:val="6"/>
        <w:spacing w:before="97" w:line="229" w:lineRule="auto"/>
        <w:ind w:left="2768"/>
        <w:outlineLvl w:val="2"/>
        <w:rPr>
          <w:highlight w:val="none"/>
        </w:rPr>
      </w:pPr>
      <w:r>
        <w:rPr>
          <w:b/>
          <w:bCs/>
          <w:spacing w:val="6"/>
          <w:highlight w:val="none"/>
        </w:rPr>
        <w:t>五、采购需求响应偏离表</w:t>
      </w:r>
    </w:p>
    <w:p w14:paraId="24616D51">
      <w:pPr>
        <w:pStyle w:val="6"/>
        <w:spacing w:before="302" w:line="221" w:lineRule="auto"/>
        <w:ind w:left="251"/>
        <w:rPr>
          <w:sz w:val="24"/>
          <w:szCs w:val="24"/>
          <w:highlight w:val="none"/>
        </w:rPr>
      </w:pPr>
      <w:r>
        <w:rPr>
          <w:spacing w:val="-6"/>
          <w:sz w:val="24"/>
          <w:szCs w:val="24"/>
          <w:highlight w:val="none"/>
        </w:rPr>
        <w:t>项目名称：</w:t>
      </w:r>
    </w:p>
    <w:p w14:paraId="3CB752A1">
      <w:pPr>
        <w:pStyle w:val="6"/>
        <w:spacing w:before="178" w:line="224" w:lineRule="auto"/>
        <w:ind w:left="251"/>
        <w:rPr>
          <w:sz w:val="24"/>
          <w:szCs w:val="24"/>
          <w:highlight w:val="none"/>
        </w:rPr>
      </w:pPr>
      <w:r>
        <w:rPr>
          <w:spacing w:val="-4"/>
          <w:sz w:val="24"/>
          <w:szCs w:val="24"/>
          <w:highlight w:val="none"/>
        </w:rPr>
        <w:t>项目（包）编号：</w:t>
      </w:r>
    </w:p>
    <w:p w14:paraId="19FC1912">
      <w:pPr>
        <w:spacing w:line="48" w:lineRule="exact"/>
        <w:rPr>
          <w:highlight w:val="none"/>
        </w:rPr>
      </w:pPr>
    </w:p>
    <w:tbl>
      <w:tblPr>
        <w:tblStyle w:val="13"/>
        <w:tblW w:w="8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491"/>
        <w:gridCol w:w="2110"/>
        <w:gridCol w:w="1580"/>
        <w:gridCol w:w="1672"/>
      </w:tblGrid>
      <w:tr w14:paraId="3736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27" w:type="dxa"/>
            <w:vAlign w:val="top"/>
          </w:tcPr>
          <w:p w14:paraId="3DC9CED9">
            <w:pPr>
              <w:pStyle w:val="14"/>
              <w:spacing w:before="319" w:line="211" w:lineRule="auto"/>
              <w:ind w:left="327" w:right="174" w:hanging="5"/>
              <w:rPr>
                <w:highlight w:val="none"/>
              </w:rPr>
            </w:pPr>
            <w:r>
              <w:rPr>
                <w:spacing w:val="-16"/>
                <w:highlight w:val="none"/>
              </w:rPr>
              <w:t>序</w:t>
            </w:r>
            <w:r>
              <w:rPr>
                <w:spacing w:val="-22"/>
                <w:highlight w:val="none"/>
              </w:rPr>
              <w:t>号</w:t>
            </w:r>
          </w:p>
        </w:tc>
        <w:tc>
          <w:tcPr>
            <w:tcW w:w="2491" w:type="dxa"/>
            <w:vAlign w:val="top"/>
          </w:tcPr>
          <w:p w14:paraId="36652C41">
            <w:pPr>
              <w:spacing w:line="379" w:lineRule="auto"/>
              <w:rPr>
                <w:rFonts w:ascii="Arial"/>
                <w:sz w:val="21"/>
                <w:highlight w:val="none"/>
              </w:rPr>
            </w:pPr>
          </w:p>
          <w:p w14:paraId="008EB82B">
            <w:pPr>
              <w:pStyle w:val="14"/>
              <w:spacing w:before="78" w:line="222" w:lineRule="auto"/>
              <w:ind w:left="485"/>
              <w:rPr>
                <w:highlight w:val="none"/>
              </w:rPr>
            </w:pPr>
            <w:r>
              <w:rPr>
                <w:spacing w:val="-4"/>
                <w:highlight w:val="none"/>
              </w:rPr>
              <w:t>招标文件的条款</w:t>
            </w:r>
          </w:p>
        </w:tc>
        <w:tc>
          <w:tcPr>
            <w:tcW w:w="2110" w:type="dxa"/>
            <w:vAlign w:val="top"/>
          </w:tcPr>
          <w:p w14:paraId="67B47690">
            <w:pPr>
              <w:pStyle w:val="14"/>
              <w:spacing w:before="236" w:line="232" w:lineRule="auto"/>
              <w:ind w:left="793" w:right="288" w:hanging="622"/>
              <w:rPr>
                <w:highlight w:val="none"/>
              </w:rPr>
            </w:pPr>
            <w:r>
              <w:rPr>
                <w:spacing w:val="-5"/>
                <w:highlight w:val="none"/>
              </w:rPr>
              <w:t>投标文件的响应</w:t>
            </w:r>
            <w:r>
              <w:rPr>
                <w:spacing w:val="-23"/>
                <w:highlight w:val="none"/>
              </w:rPr>
              <w:t>内容</w:t>
            </w:r>
          </w:p>
        </w:tc>
        <w:tc>
          <w:tcPr>
            <w:tcW w:w="1580" w:type="dxa"/>
            <w:vAlign w:val="top"/>
          </w:tcPr>
          <w:p w14:paraId="18FDDD93">
            <w:pPr>
              <w:pStyle w:val="14"/>
              <w:spacing w:before="318" w:line="222" w:lineRule="auto"/>
              <w:ind w:left="344"/>
              <w:rPr>
                <w:highlight w:val="none"/>
              </w:rPr>
            </w:pPr>
            <w:r>
              <w:rPr>
                <w:spacing w:val="-9"/>
                <w:highlight w:val="none"/>
              </w:rPr>
              <w:t>响应情况</w:t>
            </w:r>
          </w:p>
        </w:tc>
        <w:tc>
          <w:tcPr>
            <w:tcW w:w="1672" w:type="dxa"/>
            <w:vAlign w:val="top"/>
          </w:tcPr>
          <w:p w14:paraId="3B596C3B">
            <w:pPr>
              <w:pStyle w:val="14"/>
              <w:spacing w:before="318" w:line="222" w:lineRule="auto"/>
              <w:ind w:left="258"/>
              <w:rPr>
                <w:highlight w:val="none"/>
              </w:rPr>
            </w:pPr>
            <w:r>
              <w:rPr>
                <w:spacing w:val="-6"/>
                <w:highlight w:val="none"/>
              </w:rPr>
              <w:t>说明及索引</w:t>
            </w:r>
          </w:p>
        </w:tc>
      </w:tr>
      <w:tr w14:paraId="6385D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61E8353E">
            <w:pPr>
              <w:pStyle w:val="14"/>
              <w:spacing w:before="140" w:line="219" w:lineRule="auto"/>
              <w:ind w:left="489"/>
              <w:rPr>
                <w:highlight w:val="none"/>
              </w:rPr>
            </w:pPr>
            <w:r>
              <w:rPr>
                <w:highlight w:val="none"/>
              </w:rPr>
              <w:t>1</w:t>
            </w:r>
          </w:p>
        </w:tc>
        <w:tc>
          <w:tcPr>
            <w:tcW w:w="2491" w:type="dxa"/>
            <w:vAlign w:val="top"/>
          </w:tcPr>
          <w:p w14:paraId="518F7DE0">
            <w:pPr>
              <w:pStyle w:val="14"/>
              <w:spacing w:before="145" w:line="215" w:lineRule="auto"/>
              <w:ind w:left="1226"/>
              <w:rPr>
                <w:highlight w:val="none"/>
              </w:rPr>
            </w:pPr>
            <w:r>
              <w:rPr>
                <w:spacing w:val="-3"/>
                <w:highlight w:val="none"/>
              </w:rPr>
              <w:t>*******</w:t>
            </w:r>
          </w:p>
        </w:tc>
        <w:tc>
          <w:tcPr>
            <w:tcW w:w="2110" w:type="dxa"/>
            <w:vAlign w:val="top"/>
          </w:tcPr>
          <w:p w14:paraId="458C9189">
            <w:pPr>
              <w:pStyle w:val="14"/>
              <w:spacing w:before="145" w:line="215" w:lineRule="auto"/>
              <w:ind w:left="869"/>
              <w:rPr>
                <w:highlight w:val="none"/>
              </w:rPr>
            </w:pPr>
            <w:r>
              <w:rPr>
                <w:spacing w:val="-3"/>
                <w:highlight w:val="none"/>
              </w:rPr>
              <w:t>*******</w:t>
            </w:r>
          </w:p>
        </w:tc>
        <w:tc>
          <w:tcPr>
            <w:tcW w:w="1580" w:type="dxa"/>
            <w:vAlign w:val="top"/>
          </w:tcPr>
          <w:p w14:paraId="42A3502C">
            <w:pPr>
              <w:rPr>
                <w:rFonts w:ascii="Arial"/>
                <w:sz w:val="21"/>
                <w:highlight w:val="none"/>
              </w:rPr>
            </w:pPr>
          </w:p>
        </w:tc>
        <w:tc>
          <w:tcPr>
            <w:tcW w:w="1672" w:type="dxa"/>
            <w:vAlign w:val="top"/>
          </w:tcPr>
          <w:p w14:paraId="319560B7">
            <w:pPr>
              <w:rPr>
                <w:rFonts w:ascii="Arial"/>
                <w:sz w:val="21"/>
                <w:highlight w:val="none"/>
              </w:rPr>
            </w:pPr>
          </w:p>
        </w:tc>
      </w:tr>
      <w:tr w14:paraId="7DEE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4D41137A">
            <w:pPr>
              <w:pStyle w:val="14"/>
              <w:spacing w:before="140" w:line="219" w:lineRule="auto"/>
              <w:ind w:left="467"/>
              <w:rPr>
                <w:highlight w:val="none"/>
              </w:rPr>
            </w:pPr>
            <w:r>
              <w:rPr>
                <w:highlight w:val="none"/>
              </w:rPr>
              <w:t>2</w:t>
            </w:r>
          </w:p>
        </w:tc>
        <w:tc>
          <w:tcPr>
            <w:tcW w:w="2491" w:type="dxa"/>
            <w:vAlign w:val="top"/>
          </w:tcPr>
          <w:p w14:paraId="20A6844B">
            <w:pPr>
              <w:pStyle w:val="14"/>
              <w:spacing w:before="144" w:line="216" w:lineRule="auto"/>
              <w:ind w:left="1226"/>
              <w:rPr>
                <w:highlight w:val="none"/>
              </w:rPr>
            </w:pPr>
            <w:r>
              <w:rPr>
                <w:spacing w:val="-3"/>
                <w:highlight w:val="none"/>
              </w:rPr>
              <w:t>*******</w:t>
            </w:r>
          </w:p>
        </w:tc>
        <w:tc>
          <w:tcPr>
            <w:tcW w:w="2110" w:type="dxa"/>
            <w:vAlign w:val="top"/>
          </w:tcPr>
          <w:p w14:paraId="50B6E632">
            <w:pPr>
              <w:pStyle w:val="14"/>
              <w:spacing w:before="144" w:line="216" w:lineRule="auto"/>
              <w:ind w:left="869"/>
              <w:rPr>
                <w:highlight w:val="none"/>
              </w:rPr>
            </w:pPr>
            <w:r>
              <w:rPr>
                <w:spacing w:val="-3"/>
                <w:highlight w:val="none"/>
              </w:rPr>
              <w:t>*******</w:t>
            </w:r>
          </w:p>
        </w:tc>
        <w:tc>
          <w:tcPr>
            <w:tcW w:w="1580" w:type="dxa"/>
            <w:vAlign w:val="top"/>
          </w:tcPr>
          <w:p w14:paraId="214B55CD">
            <w:pPr>
              <w:rPr>
                <w:rFonts w:ascii="Arial"/>
                <w:sz w:val="21"/>
                <w:highlight w:val="none"/>
              </w:rPr>
            </w:pPr>
          </w:p>
        </w:tc>
        <w:tc>
          <w:tcPr>
            <w:tcW w:w="1672" w:type="dxa"/>
            <w:vAlign w:val="top"/>
          </w:tcPr>
          <w:p w14:paraId="192C10C1">
            <w:pPr>
              <w:rPr>
                <w:rFonts w:ascii="Arial"/>
                <w:sz w:val="21"/>
                <w:highlight w:val="none"/>
              </w:rPr>
            </w:pPr>
          </w:p>
        </w:tc>
      </w:tr>
      <w:tr w14:paraId="4943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7CD09F39">
            <w:pPr>
              <w:pStyle w:val="14"/>
              <w:spacing w:before="141" w:line="218" w:lineRule="auto"/>
              <w:ind w:left="469"/>
              <w:rPr>
                <w:highlight w:val="none"/>
              </w:rPr>
            </w:pPr>
            <w:r>
              <w:rPr>
                <w:highlight w:val="none"/>
              </w:rPr>
              <w:t>3</w:t>
            </w:r>
          </w:p>
        </w:tc>
        <w:tc>
          <w:tcPr>
            <w:tcW w:w="2491" w:type="dxa"/>
            <w:vAlign w:val="top"/>
          </w:tcPr>
          <w:p w14:paraId="7232877B">
            <w:pPr>
              <w:pStyle w:val="14"/>
              <w:spacing w:before="146" w:line="214" w:lineRule="auto"/>
              <w:ind w:left="1226"/>
              <w:rPr>
                <w:highlight w:val="none"/>
              </w:rPr>
            </w:pPr>
            <w:r>
              <w:rPr>
                <w:spacing w:val="-3"/>
                <w:highlight w:val="none"/>
              </w:rPr>
              <w:t>*******</w:t>
            </w:r>
          </w:p>
        </w:tc>
        <w:tc>
          <w:tcPr>
            <w:tcW w:w="2110" w:type="dxa"/>
            <w:vAlign w:val="top"/>
          </w:tcPr>
          <w:p w14:paraId="264E45F6">
            <w:pPr>
              <w:pStyle w:val="14"/>
              <w:spacing w:before="146" w:line="214" w:lineRule="auto"/>
              <w:ind w:left="869"/>
              <w:rPr>
                <w:highlight w:val="none"/>
              </w:rPr>
            </w:pPr>
            <w:r>
              <w:rPr>
                <w:spacing w:val="-3"/>
                <w:highlight w:val="none"/>
              </w:rPr>
              <w:t>*******</w:t>
            </w:r>
          </w:p>
        </w:tc>
        <w:tc>
          <w:tcPr>
            <w:tcW w:w="1580" w:type="dxa"/>
            <w:vAlign w:val="top"/>
          </w:tcPr>
          <w:p w14:paraId="3A9C5B97">
            <w:pPr>
              <w:rPr>
                <w:rFonts w:ascii="Arial"/>
                <w:sz w:val="21"/>
                <w:highlight w:val="none"/>
              </w:rPr>
            </w:pPr>
          </w:p>
        </w:tc>
        <w:tc>
          <w:tcPr>
            <w:tcW w:w="1672" w:type="dxa"/>
            <w:vAlign w:val="top"/>
          </w:tcPr>
          <w:p w14:paraId="0A553C37">
            <w:pPr>
              <w:rPr>
                <w:rFonts w:ascii="Arial"/>
                <w:sz w:val="21"/>
                <w:highlight w:val="none"/>
              </w:rPr>
            </w:pPr>
          </w:p>
        </w:tc>
      </w:tr>
      <w:tr w14:paraId="007B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6A8E31F2">
            <w:pPr>
              <w:rPr>
                <w:rFonts w:ascii="Arial"/>
                <w:sz w:val="21"/>
                <w:highlight w:val="none"/>
              </w:rPr>
            </w:pPr>
          </w:p>
        </w:tc>
        <w:tc>
          <w:tcPr>
            <w:tcW w:w="2491" w:type="dxa"/>
            <w:vAlign w:val="top"/>
          </w:tcPr>
          <w:p w14:paraId="520A743D">
            <w:pPr>
              <w:rPr>
                <w:rFonts w:ascii="Arial"/>
                <w:sz w:val="21"/>
                <w:highlight w:val="none"/>
              </w:rPr>
            </w:pPr>
          </w:p>
        </w:tc>
        <w:tc>
          <w:tcPr>
            <w:tcW w:w="2110" w:type="dxa"/>
            <w:vAlign w:val="top"/>
          </w:tcPr>
          <w:p w14:paraId="7B3E4ADE">
            <w:pPr>
              <w:rPr>
                <w:rFonts w:ascii="Arial"/>
                <w:sz w:val="21"/>
                <w:highlight w:val="none"/>
              </w:rPr>
            </w:pPr>
          </w:p>
        </w:tc>
        <w:tc>
          <w:tcPr>
            <w:tcW w:w="1580" w:type="dxa"/>
            <w:vAlign w:val="top"/>
          </w:tcPr>
          <w:p w14:paraId="128D69DE">
            <w:pPr>
              <w:rPr>
                <w:rFonts w:ascii="Arial"/>
                <w:sz w:val="21"/>
                <w:highlight w:val="none"/>
              </w:rPr>
            </w:pPr>
          </w:p>
        </w:tc>
        <w:tc>
          <w:tcPr>
            <w:tcW w:w="1672" w:type="dxa"/>
            <w:vAlign w:val="top"/>
          </w:tcPr>
          <w:p w14:paraId="53CA3CA1">
            <w:pPr>
              <w:rPr>
                <w:rFonts w:ascii="Arial"/>
                <w:sz w:val="21"/>
                <w:highlight w:val="none"/>
              </w:rPr>
            </w:pPr>
          </w:p>
        </w:tc>
      </w:tr>
      <w:tr w14:paraId="3E4AD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7" w:type="dxa"/>
            <w:vAlign w:val="top"/>
          </w:tcPr>
          <w:p w14:paraId="584DECC0">
            <w:pPr>
              <w:rPr>
                <w:rFonts w:ascii="Arial"/>
                <w:sz w:val="21"/>
                <w:highlight w:val="none"/>
              </w:rPr>
            </w:pPr>
          </w:p>
        </w:tc>
        <w:tc>
          <w:tcPr>
            <w:tcW w:w="2491" w:type="dxa"/>
            <w:vAlign w:val="top"/>
          </w:tcPr>
          <w:p w14:paraId="7885BF3C">
            <w:pPr>
              <w:rPr>
                <w:rFonts w:ascii="Arial"/>
                <w:sz w:val="21"/>
                <w:highlight w:val="none"/>
              </w:rPr>
            </w:pPr>
          </w:p>
        </w:tc>
        <w:tc>
          <w:tcPr>
            <w:tcW w:w="2110" w:type="dxa"/>
            <w:vAlign w:val="top"/>
          </w:tcPr>
          <w:p w14:paraId="3536ABE0">
            <w:pPr>
              <w:rPr>
                <w:rFonts w:ascii="Arial"/>
                <w:sz w:val="21"/>
                <w:highlight w:val="none"/>
              </w:rPr>
            </w:pPr>
          </w:p>
        </w:tc>
        <w:tc>
          <w:tcPr>
            <w:tcW w:w="1580" w:type="dxa"/>
            <w:vAlign w:val="top"/>
          </w:tcPr>
          <w:p w14:paraId="33457479">
            <w:pPr>
              <w:rPr>
                <w:rFonts w:ascii="Arial"/>
                <w:sz w:val="21"/>
                <w:highlight w:val="none"/>
              </w:rPr>
            </w:pPr>
          </w:p>
        </w:tc>
        <w:tc>
          <w:tcPr>
            <w:tcW w:w="1672" w:type="dxa"/>
            <w:vAlign w:val="top"/>
          </w:tcPr>
          <w:p w14:paraId="37B054B7">
            <w:pPr>
              <w:rPr>
                <w:rFonts w:ascii="Arial"/>
                <w:sz w:val="21"/>
                <w:highlight w:val="none"/>
              </w:rPr>
            </w:pPr>
          </w:p>
        </w:tc>
      </w:tr>
      <w:tr w14:paraId="75E47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663CC545">
            <w:pPr>
              <w:rPr>
                <w:rFonts w:ascii="Arial"/>
                <w:sz w:val="21"/>
                <w:highlight w:val="none"/>
              </w:rPr>
            </w:pPr>
          </w:p>
        </w:tc>
        <w:tc>
          <w:tcPr>
            <w:tcW w:w="2491" w:type="dxa"/>
            <w:vAlign w:val="top"/>
          </w:tcPr>
          <w:p w14:paraId="4CDC52C4">
            <w:pPr>
              <w:rPr>
                <w:rFonts w:ascii="Arial"/>
                <w:sz w:val="21"/>
                <w:highlight w:val="none"/>
              </w:rPr>
            </w:pPr>
          </w:p>
        </w:tc>
        <w:tc>
          <w:tcPr>
            <w:tcW w:w="2110" w:type="dxa"/>
            <w:vAlign w:val="top"/>
          </w:tcPr>
          <w:p w14:paraId="0AE0F51A">
            <w:pPr>
              <w:rPr>
                <w:rFonts w:ascii="Arial"/>
                <w:sz w:val="21"/>
                <w:highlight w:val="none"/>
              </w:rPr>
            </w:pPr>
          </w:p>
        </w:tc>
        <w:tc>
          <w:tcPr>
            <w:tcW w:w="1580" w:type="dxa"/>
            <w:vAlign w:val="top"/>
          </w:tcPr>
          <w:p w14:paraId="32795256">
            <w:pPr>
              <w:rPr>
                <w:rFonts w:ascii="Arial"/>
                <w:sz w:val="21"/>
                <w:highlight w:val="none"/>
              </w:rPr>
            </w:pPr>
          </w:p>
        </w:tc>
        <w:tc>
          <w:tcPr>
            <w:tcW w:w="1672" w:type="dxa"/>
            <w:vAlign w:val="top"/>
          </w:tcPr>
          <w:p w14:paraId="030CE5F6">
            <w:pPr>
              <w:rPr>
                <w:rFonts w:ascii="Arial"/>
                <w:sz w:val="21"/>
                <w:highlight w:val="none"/>
              </w:rPr>
            </w:pPr>
          </w:p>
        </w:tc>
      </w:tr>
      <w:tr w14:paraId="0916D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7F6C7615">
            <w:pPr>
              <w:rPr>
                <w:rFonts w:ascii="Arial"/>
                <w:sz w:val="21"/>
                <w:highlight w:val="none"/>
              </w:rPr>
            </w:pPr>
          </w:p>
        </w:tc>
        <w:tc>
          <w:tcPr>
            <w:tcW w:w="2491" w:type="dxa"/>
            <w:vAlign w:val="top"/>
          </w:tcPr>
          <w:p w14:paraId="7CACAEA2">
            <w:pPr>
              <w:rPr>
                <w:rFonts w:ascii="Arial"/>
                <w:sz w:val="21"/>
                <w:highlight w:val="none"/>
              </w:rPr>
            </w:pPr>
          </w:p>
        </w:tc>
        <w:tc>
          <w:tcPr>
            <w:tcW w:w="2110" w:type="dxa"/>
            <w:vAlign w:val="top"/>
          </w:tcPr>
          <w:p w14:paraId="25B4663B">
            <w:pPr>
              <w:rPr>
                <w:rFonts w:ascii="Arial"/>
                <w:sz w:val="21"/>
                <w:highlight w:val="none"/>
              </w:rPr>
            </w:pPr>
          </w:p>
        </w:tc>
        <w:tc>
          <w:tcPr>
            <w:tcW w:w="1580" w:type="dxa"/>
            <w:vAlign w:val="top"/>
          </w:tcPr>
          <w:p w14:paraId="763D84EA">
            <w:pPr>
              <w:rPr>
                <w:rFonts w:ascii="Arial"/>
                <w:sz w:val="21"/>
                <w:highlight w:val="none"/>
              </w:rPr>
            </w:pPr>
          </w:p>
        </w:tc>
        <w:tc>
          <w:tcPr>
            <w:tcW w:w="1672" w:type="dxa"/>
            <w:vAlign w:val="top"/>
          </w:tcPr>
          <w:p w14:paraId="4A85C5BE">
            <w:pPr>
              <w:rPr>
                <w:rFonts w:ascii="Arial"/>
                <w:sz w:val="21"/>
                <w:highlight w:val="none"/>
              </w:rPr>
            </w:pPr>
          </w:p>
        </w:tc>
      </w:tr>
      <w:tr w14:paraId="6A8F3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7" w:type="dxa"/>
            <w:vAlign w:val="top"/>
          </w:tcPr>
          <w:p w14:paraId="492A2361">
            <w:pPr>
              <w:rPr>
                <w:rFonts w:ascii="Arial"/>
                <w:sz w:val="21"/>
                <w:highlight w:val="none"/>
              </w:rPr>
            </w:pPr>
          </w:p>
        </w:tc>
        <w:tc>
          <w:tcPr>
            <w:tcW w:w="2491" w:type="dxa"/>
            <w:vAlign w:val="top"/>
          </w:tcPr>
          <w:p w14:paraId="5F77AB53">
            <w:pPr>
              <w:rPr>
                <w:rFonts w:ascii="Arial"/>
                <w:sz w:val="21"/>
                <w:highlight w:val="none"/>
              </w:rPr>
            </w:pPr>
          </w:p>
        </w:tc>
        <w:tc>
          <w:tcPr>
            <w:tcW w:w="2110" w:type="dxa"/>
            <w:vAlign w:val="top"/>
          </w:tcPr>
          <w:p w14:paraId="63F93391">
            <w:pPr>
              <w:rPr>
                <w:rFonts w:ascii="Arial"/>
                <w:sz w:val="21"/>
                <w:highlight w:val="none"/>
              </w:rPr>
            </w:pPr>
          </w:p>
        </w:tc>
        <w:tc>
          <w:tcPr>
            <w:tcW w:w="1580" w:type="dxa"/>
            <w:vAlign w:val="top"/>
          </w:tcPr>
          <w:p w14:paraId="5C11C470">
            <w:pPr>
              <w:rPr>
                <w:rFonts w:ascii="Arial"/>
                <w:sz w:val="21"/>
                <w:highlight w:val="none"/>
              </w:rPr>
            </w:pPr>
          </w:p>
        </w:tc>
        <w:tc>
          <w:tcPr>
            <w:tcW w:w="1672" w:type="dxa"/>
            <w:vAlign w:val="top"/>
          </w:tcPr>
          <w:p w14:paraId="7BE95C5A">
            <w:pPr>
              <w:rPr>
                <w:rFonts w:ascii="Arial"/>
                <w:sz w:val="21"/>
                <w:highlight w:val="none"/>
              </w:rPr>
            </w:pPr>
          </w:p>
        </w:tc>
      </w:tr>
      <w:tr w14:paraId="1A0F9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3B39181D">
            <w:pPr>
              <w:rPr>
                <w:rFonts w:ascii="Arial"/>
                <w:sz w:val="21"/>
                <w:highlight w:val="none"/>
              </w:rPr>
            </w:pPr>
          </w:p>
        </w:tc>
        <w:tc>
          <w:tcPr>
            <w:tcW w:w="2491" w:type="dxa"/>
            <w:vAlign w:val="top"/>
          </w:tcPr>
          <w:p w14:paraId="6BCF6F1F">
            <w:pPr>
              <w:rPr>
                <w:rFonts w:ascii="Arial"/>
                <w:sz w:val="21"/>
                <w:highlight w:val="none"/>
              </w:rPr>
            </w:pPr>
          </w:p>
        </w:tc>
        <w:tc>
          <w:tcPr>
            <w:tcW w:w="2110" w:type="dxa"/>
            <w:vAlign w:val="top"/>
          </w:tcPr>
          <w:p w14:paraId="34DAAF25">
            <w:pPr>
              <w:rPr>
                <w:rFonts w:ascii="Arial"/>
                <w:sz w:val="21"/>
                <w:highlight w:val="none"/>
              </w:rPr>
            </w:pPr>
          </w:p>
        </w:tc>
        <w:tc>
          <w:tcPr>
            <w:tcW w:w="1580" w:type="dxa"/>
            <w:vAlign w:val="top"/>
          </w:tcPr>
          <w:p w14:paraId="6D3A78F4">
            <w:pPr>
              <w:rPr>
                <w:rFonts w:ascii="Arial"/>
                <w:sz w:val="21"/>
                <w:highlight w:val="none"/>
              </w:rPr>
            </w:pPr>
          </w:p>
        </w:tc>
        <w:tc>
          <w:tcPr>
            <w:tcW w:w="1672" w:type="dxa"/>
            <w:vAlign w:val="top"/>
          </w:tcPr>
          <w:p w14:paraId="20270D94">
            <w:pPr>
              <w:rPr>
                <w:rFonts w:ascii="Arial"/>
                <w:sz w:val="21"/>
                <w:highlight w:val="none"/>
              </w:rPr>
            </w:pPr>
          </w:p>
        </w:tc>
      </w:tr>
      <w:tr w14:paraId="599C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7" w:type="dxa"/>
            <w:vAlign w:val="top"/>
          </w:tcPr>
          <w:p w14:paraId="696B21E7">
            <w:pPr>
              <w:rPr>
                <w:rFonts w:ascii="Arial"/>
                <w:sz w:val="21"/>
                <w:highlight w:val="none"/>
              </w:rPr>
            </w:pPr>
          </w:p>
        </w:tc>
        <w:tc>
          <w:tcPr>
            <w:tcW w:w="2491" w:type="dxa"/>
            <w:vAlign w:val="top"/>
          </w:tcPr>
          <w:p w14:paraId="5DC55836">
            <w:pPr>
              <w:rPr>
                <w:rFonts w:ascii="Arial"/>
                <w:sz w:val="21"/>
                <w:highlight w:val="none"/>
              </w:rPr>
            </w:pPr>
          </w:p>
        </w:tc>
        <w:tc>
          <w:tcPr>
            <w:tcW w:w="2110" w:type="dxa"/>
            <w:vAlign w:val="top"/>
          </w:tcPr>
          <w:p w14:paraId="7438F3FD">
            <w:pPr>
              <w:rPr>
                <w:rFonts w:ascii="Arial"/>
                <w:sz w:val="21"/>
                <w:highlight w:val="none"/>
              </w:rPr>
            </w:pPr>
          </w:p>
        </w:tc>
        <w:tc>
          <w:tcPr>
            <w:tcW w:w="1580" w:type="dxa"/>
            <w:vAlign w:val="top"/>
          </w:tcPr>
          <w:p w14:paraId="23A100AE">
            <w:pPr>
              <w:rPr>
                <w:rFonts w:ascii="Arial"/>
                <w:sz w:val="21"/>
                <w:highlight w:val="none"/>
              </w:rPr>
            </w:pPr>
          </w:p>
        </w:tc>
        <w:tc>
          <w:tcPr>
            <w:tcW w:w="1672" w:type="dxa"/>
            <w:vAlign w:val="top"/>
          </w:tcPr>
          <w:p w14:paraId="0858C681">
            <w:pPr>
              <w:rPr>
                <w:rFonts w:ascii="Arial"/>
                <w:sz w:val="21"/>
                <w:highlight w:val="none"/>
              </w:rPr>
            </w:pPr>
          </w:p>
        </w:tc>
      </w:tr>
      <w:tr w14:paraId="59A1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1DAD21D9">
            <w:pPr>
              <w:rPr>
                <w:rFonts w:ascii="Arial"/>
                <w:sz w:val="21"/>
                <w:highlight w:val="none"/>
              </w:rPr>
            </w:pPr>
          </w:p>
        </w:tc>
        <w:tc>
          <w:tcPr>
            <w:tcW w:w="2491" w:type="dxa"/>
            <w:vAlign w:val="top"/>
          </w:tcPr>
          <w:p w14:paraId="51883412">
            <w:pPr>
              <w:rPr>
                <w:rFonts w:ascii="Arial"/>
                <w:sz w:val="21"/>
                <w:highlight w:val="none"/>
              </w:rPr>
            </w:pPr>
          </w:p>
        </w:tc>
        <w:tc>
          <w:tcPr>
            <w:tcW w:w="2110" w:type="dxa"/>
            <w:vAlign w:val="top"/>
          </w:tcPr>
          <w:p w14:paraId="3304E76B">
            <w:pPr>
              <w:rPr>
                <w:rFonts w:ascii="Arial"/>
                <w:sz w:val="21"/>
                <w:highlight w:val="none"/>
              </w:rPr>
            </w:pPr>
          </w:p>
        </w:tc>
        <w:tc>
          <w:tcPr>
            <w:tcW w:w="1580" w:type="dxa"/>
            <w:vAlign w:val="top"/>
          </w:tcPr>
          <w:p w14:paraId="377B1A10">
            <w:pPr>
              <w:rPr>
                <w:rFonts w:ascii="Arial"/>
                <w:sz w:val="21"/>
                <w:highlight w:val="none"/>
              </w:rPr>
            </w:pPr>
          </w:p>
        </w:tc>
        <w:tc>
          <w:tcPr>
            <w:tcW w:w="1672" w:type="dxa"/>
            <w:vAlign w:val="top"/>
          </w:tcPr>
          <w:p w14:paraId="11290DEF">
            <w:pPr>
              <w:rPr>
                <w:rFonts w:ascii="Arial"/>
                <w:sz w:val="21"/>
                <w:highlight w:val="none"/>
              </w:rPr>
            </w:pPr>
          </w:p>
        </w:tc>
      </w:tr>
      <w:tr w14:paraId="002E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7" w:type="dxa"/>
            <w:vAlign w:val="top"/>
          </w:tcPr>
          <w:p w14:paraId="180A29FB">
            <w:pPr>
              <w:rPr>
                <w:rFonts w:ascii="Arial"/>
                <w:sz w:val="21"/>
                <w:highlight w:val="none"/>
              </w:rPr>
            </w:pPr>
          </w:p>
        </w:tc>
        <w:tc>
          <w:tcPr>
            <w:tcW w:w="2491" w:type="dxa"/>
            <w:vAlign w:val="top"/>
          </w:tcPr>
          <w:p w14:paraId="4BEE98F7">
            <w:pPr>
              <w:rPr>
                <w:rFonts w:ascii="Arial"/>
                <w:sz w:val="21"/>
                <w:highlight w:val="none"/>
              </w:rPr>
            </w:pPr>
          </w:p>
        </w:tc>
        <w:tc>
          <w:tcPr>
            <w:tcW w:w="2110" w:type="dxa"/>
            <w:vAlign w:val="top"/>
          </w:tcPr>
          <w:p w14:paraId="7AE4DFA5">
            <w:pPr>
              <w:rPr>
                <w:rFonts w:ascii="Arial"/>
                <w:sz w:val="21"/>
                <w:highlight w:val="none"/>
              </w:rPr>
            </w:pPr>
          </w:p>
        </w:tc>
        <w:tc>
          <w:tcPr>
            <w:tcW w:w="1580" w:type="dxa"/>
            <w:vAlign w:val="top"/>
          </w:tcPr>
          <w:p w14:paraId="207DB043">
            <w:pPr>
              <w:rPr>
                <w:rFonts w:ascii="Arial"/>
                <w:sz w:val="21"/>
                <w:highlight w:val="none"/>
              </w:rPr>
            </w:pPr>
          </w:p>
        </w:tc>
        <w:tc>
          <w:tcPr>
            <w:tcW w:w="1672" w:type="dxa"/>
            <w:vAlign w:val="top"/>
          </w:tcPr>
          <w:p w14:paraId="48E42176">
            <w:pPr>
              <w:rPr>
                <w:rFonts w:ascii="Arial"/>
                <w:sz w:val="21"/>
                <w:highlight w:val="none"/>
              </w:rPr>
            </w:pPr>
          </w:p>
        </w:tc>
      </w:tr>
      <w:tr w14:paraId="2B9C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485296DC">
            <w:pPr>
              <w:rPr>
                <w:rFonts w:ascii="Arial"/>
                <w:sz w:val="21"/>
                <w:highlight w:val="none"/>
              </w:rPr>
            </w:pPr>
          </w:p>
        </w:tc>
        <w:tc>
          <w:tcPr>
            <w:tcW w:w="2491" w:type="dxa"/>
            <w:vAlign w:val="top"/>
          </w:tcPr>
          <w:p w14:paraId="4AD97D14">
            <w:pPr>
              <w:rPr>
                <w:rFonts w:ascii="Arial"/>
                <w:sz w:val="21"/>
                <w:highlight w:val="none"/>
              </w:rPr>
            </w:pPr>
          </w:p>
        </w:tc>
        <w:tc>
          <w:tcPr>
            <w:tcW w:w="2110" w:type="dxa"/>
            <w:vAlign w:val="top"/>
          </w:tcPr>
          <w:p w14:paraId="1FA4B7EB">
            <w:pPr>
              <w:rPr>
                <w:rFonts w:ascii="Arial"/>
                <w:sz w:val="21"/>
                <w:highlight w:val="none"/>
              </w:rPr>
            </w:pPr>
          </w:p>
        </w:tc>
        <w:tc>
          <w:tcPr>
            <w:tcW w:w="1580" w:type="dxa"/>
            <w:vAlign w:val="top"/>
          </w:tcPr>
          <w:p w14:paraId="3587EDB8">
            <w:pPr>
              <w:rPr>
                <w:rFonts w:ascii="Arial"/>
                <w:sz w:val="21"/>
                <w:highlight w:val="none"/>
              </w:rPr>
            </w:pPr>
          </w:p>
        </w:tc>
        <w:tc>
          <w:tcPr>
            <w:tcW w:w="1672" w:type="dxa"/>
            <w:vAlign w:val="top"/>
          </w:tcPr>
          <w:p w14:paraId="67B27BED">
            <w:pPr>
              <w:rPr>
                <w:rFonts w:ascii="Arial"/>
                <w:sz w:val="21"/>
                <w:highlight w:val="none"/>
              </w:rPr>
            </w:pPr>
          </w:p>
        </w:tc>
      </w:tr>
      <w:tr w14:paraId="54FA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7" w:type="dxa"/>
            <w:vAlign w:val="top"/>
          </w:tcPr>
          <w:p w14:paraId="6C3BC90E">
            <w:pPr>
              <w:pStyle w:val="14"/>
              <w:spacing w:before="162" w:line="338" w:lineRule="exact"/>
              <w:ind w:left="274"/>
              <w:rPr>
                <w:highlight w:val="none"/>
              </w:rPr>
            </w:pPr>
            <w:r>
              <w:rPr>
                <w:position w:val="1"/>
                <w:highlight w:val="none"/>
              </w:rPr>
              <w:t>…</w:t>
            </w:r>
          </w:p>
          <w:p w14:paraId="7A060C84">
            <w:pPr>
              <w:pStyle w:val="14"/>
              <w:spacing w:before="1" w:line="217" w:lineRule="auto"/>
              <w:ind w:left="274"/>
              <w:rPr>
                <w:highlight w:val="none"/>
              </w:rPr>
            </w:pPr>
            <w:r>
              <w:rPr>
                <w:highlight w:val="none"/>
              </w:rPr>
              <w:t>…</w:t>
            </w:r>
          </w:p>
        </w:tc>
        <w:tc>
          <w:tcPr>
            <w:tcW w:w="2491" w:type="dxa"/>
            <w:vAlign w:val="top"/>
          </w:tcPr>
          <w:p w14:paraId="36A18FAA">
            <w:pPr>
              <w:pStyle w:val="14"/>
              <w:spacing w:before="162" w:line="383" w:lineRule="exact"/>
              <w:ind w:left="865"/>
              <w:rPr>
                <w:highlight w:val="none"/>
              </w:rPr>
            </w:pPr>
            <w:r>
              <w:rPr>
                <w:spacing w:val="-10"/>
                <w:position w:val="3"/>
                <w:highlight w:val="none"/>
              </w:rPr>
              <w:t>…………</w:t>
            </w:r>
          </w:p>
        </w:tc>
        <w:tc>
          <w:tcPr>
            <w:tcW w:w="2110" w:type="dxa"/>
            <w:vAlign w:val="top"/>
          </w:tcPr>
          <w:p w14:paraId="17E8B93A">
            <w:pPr>
              <w:pStyle w:val="14"/>
              <w:spacing w:before="162" w:line="383" w:lineRule="exact"/>
              <w:ind w:left="531"/>
              <w:rPr>
                <w:highlight w:val="none"/>
              </w:rPr>
            </w:pPr>
            <w:r>
              <w:rPr>
                <w:spacing w:val="-10"/>
                <w:position w:val="3"/>
                <w:highlight w:val="none"/>
              </w:rPr>
              <w:t>…………</w:t>
            </w:r>
          </w:p>
        </w:tc>
        <w:tc>
          <w:tcPr>
            <w:tcW w:w="1580" w:type="dxa"/>
            <w:vAlign w:val="top"/>
          </w:tcPr>
          <w:p w14:paraId="3C8AC5AA">
            <w:pPr>
              <w:pStyle w:val="14"/>
              <w:spacing w:before="162" w:line="383" w:lineRule="exact"/>
              <w:ind w:left="848"/>
              <w:rPr>
                <w:highlight w:val="none"/>
              </w:rPr>
            </w:pPr>
            <w:r>
              <w:rPr>
                <w:spacing w:val="-13"/>
                <w:position w:val="3"/>
                <w:highlight w:val="none"/>
              </w:rPr>
              <w:t>……</w:t>
            </w:r>
          </w:p>
        </w:tc>
        <w:tc>
          <w:tcPr>
            <w:tcW w:w="1672" w:type="dxa"/>
            <w:vAlign w:val="top"/>
          </w:tcPr>
          <w:p w14:paraId="6BE6EC0F">
            <w:pPr>
              <w:rPr>
                <w:rFonts w:ascii="Arial"/>
                <w:sz w:val="21"/>
                <w:highlight w:val="none"/>
              </w:rPr>
            </w:pPr>
          </w:p>
        </w:tc>
      </w:tr>
    </w:tbl>
    <w:p w14:paraId="1C4E40B2">
      <w:pPr>
        <w:pStyle w:val="6"/>
        <w:spacing w:before="135" w:line="230" w:lineRule="auto"/>
        <w:ind w:left="732"/>
        <w:rPr>
          <w:sz w:val="24"/>
          <w:szCs w:val="24"/>
          <w:highlight w:val="none"/>
        </w:rPr>
      </w:pPr>
      <w:r>
        <w:rPr>
          <w:spacing w:val="-12"/>
          <w:sz w:val="24"/>
          <w:szCs w:val="24"/>
          <w:highlight w:val="none"/>
        </w:rPr>
        <w:t>注：</w:t>
      </w:r>
    </w:p>
    <w:p w14:paraId="44359495">
      <w:pPr>
        <w:pStyle w:val="6"/>
        <w:spacing w:before="162" w:line="221" w:lineRule="auto"/>
        <w:ind w:left="729" w:hanging="2"/>
        <w:rPr>
          <w:sz w:val="24"/>
          <w:szCs w:val="24"/>
          <w:highlight w:val="none"/>
        </w:rPr>
      </w:pPr>
      <w:r>
        <w:rPr>
          <w:spacing w:val="-4"/>
          <w:sz w:val="24"/>
          <w:szCs w:val="24"/>
          <w:highlight w:val="none"/>
        </w:rPr>
        <w:t>投标人应按照招标文件“第三章 采购需求</w:t>
      </w:r>
      <w:r>
        <w:rPr>
          <w:spacing w:val="-84"/>
          <w:sz w:val="24"/>
          <w:szCs w:val="24"/>
          <w:highlight w:val="none"/>
        </w:rPr>
        <w:t xml:space="preserve"> </w:t>
      </w:r>
      <w:r>
        <w:rPr>
          <w:spacing w:val="-4"/>
          <w:sz w:val="24"/>
          <w:szCs w:val="24"/>
          <w:highlight w:val="none"/>
        </w:rPr>
        <w:t>”要求填写，“响应/偏离</w:t>
      </w:r>
      <w:r>
        <w:rPr>
          <w:spacing w:val="-90"/>
          <w:sz w:val="24"/>
          <w:szCs w:val="24"/>
          <w:highlight w:val="none"/>
        </w:rPr>
        <w:t xml:space="preserve"> </w:t>
      </w:r>
      <w:r>
        <w:rPr>
          <w:spacing w:val="-4"/>
          <w:sz w:val="24"/>
          <w:szCs w:val="24"/>
          <w:highlight w:val="none"/>
        </w:rPr>
        <w:t>”应据实</w:t>
      </w:r>
      <w:r>
        <w:rPr>
          <w:spacing w:val="-7"/>
          <w:sz w:val="24"/>
          <w:szCs w:val="24"/>
          <w:highlight w:val="none"/>
        </w:rPr>
        <w:t>填写“响应</w:t>
      </w:r>
      <w:r>
        <w:rPr>
          <w:spacing w:val="-76"/>
          <w:sz w:val="24"/>
          <w:szCs w:val="24"/>
          <w:highlight w:val="none"/>
        </w:rPr>
        <w:t xml:space="preserve"> </w:t>
      </w:r>
      <w:r>
        <w:rPr>
          <w:spacing w:val="-7"/>
          <w:sz w:val="24"/>
          <w:szCs w:val="24"/>
          <w:highlight w:val="none"/>
        </w:rPr>
        <w:t>”、“正偏离</w:t>
      </w:r>
      <w:r>
        <w:rPr>
          <w:spacing w:val="-93"/>
          <w:sz w:val="24"/>
          <w:szCs w:val="24"/>
          <w:highlight w:val="none"/>
        </w:rPr>
        <w:t xml:space="preserve"> </w:t>
      </w:r>
      <w:r>
        <w:rPr>
          <w:spacing w:val="-7"/>
          <w:sz w:val="24"/>
          <w:szCs w:val="24"/>
          <w:highlight w:val="none"/>
        </w:rPr>
        <w:t>”或“负偏离”。</w:t>
      </w:r>
    </w:p>
    <w:p w14:paraId="494299B3">
      <w:pPr>
        <w:spacing w:line="273" w:lineRule="auto"/>
        <w:rPr>
          <w:rFonts w:ascii="Arial"/>
          <w:sz w:val="21"/>
          <w:highlight w:val="none"/>
        </w:rPr>
      </w:pPr>
    </w:p>
    <w:p w14:paraId="607FD3B4">
      <w:pPr>
        <w:spacing w:line="273" w:lineRule="auto"/>
        <w:rPr>
          <w:rFonts w:ascii="Arial"/>
          <w:sz w:val="21"/>
          <w:highlight w:val="none"/>
        </w:rPr>
      </w:pPr>
    </w:p>
    <w:p w14:paraId="644CB5F9">
      <w:pPr>
        <w:spacing w:line="273" w:lineRule="auto"/>
        <w:rPr>
          <w:rFonts w:ascii="Arial"/>
          <w:sz w:val="21"/>
          <w:highlight w:val="none"/>
        </w:rPr>
      </w:pPr>
    </w:p>
    <w:p w14:paraId="4A60761D">
      <w:pPr>
        <w:spacing w:line="274" w:lineRule="auto"/>
        <w:rPr>
          <w:rFonts w:ascii="Arial"/>
          <w:sz w:val="21"/>
          <w:highlight w:val="none"/>
        </w:rPr>
      </w:pPr>
    </w:p>
    <w:p w14:paraId="7730749A">
      <w:pPr>
        <w:spacing w:line="274" w:lineRule="auto"/>
        <w:rPr>
          <w:rFonts w:ascii="Arial"/>
          <w:sz w:val="21"/>
          <w:highlight w:val="none"/>
        </w:rPr>
      </w:pPr>
    </w:p>
    <w:p w14:paraId="0C1A27F4">
      <w:pPr>
        <w:spacing w:line="274" w:lineRule="auto"/>
        <w:rPr>
          <w:rFonts w:ascii="Arial"/>
          <w:sz w:val="21"/>
          <w:highlight w:val="none"/>
        </w:rPr>
      </w:pPr>
    </w:p>
    <w:p w14:paraId="29E12C54">
      <w:pPr>
        <w:pStyle w:val="6"/>
        <w:spacing w:before="78" w:line="221" w:lineRule="auto"/>
        <w:ind w:left="727"/>
        <w:rPr>
          <w:sz w:val="24"/>
          <w:szCs w:val="24"/>
          <w:highlight w:val="none"/>
        </w:rPr>
      </w:pPr>
      <w:r>
        <w:rPr>
          <w:spacing w:val="-8"/>
          <w:sz w:val="24"/>
          <w:szCs w:val="24"/>
          <w:highlight w:val="none"/>
        </w:rPr>
        <w:t>投标人名称（公章)：</w:t>
      </w:r>
    </w:p>
    <w:p w14:paraId="46E27961">
      <w:pPr>
        <w:pStyle w:val="6"/>
        <w:spacing w:before="241" w:line="223" w:lineRule="auto"/>
        <w:ind w:left="779"/>
        <w:rPr>
          <w:sz w:val="24"/>
          <w:szCs w:val="24"/>
          <w:highlight w:val="none"/>
        </w:rPr>
      </w:pPr>
      <w:r>
        <w:rPr>
          <w:spacing w:val="-30"/>
          <w:sz w:val="24"/>
          <w:szCs w:val="24"/>
          <w:highlight w:val="none"/>
        </w:rPr>
        <w:t>日期：</w:t>
      </w:r>
    </w:p>
    <w:p w14:paraId="7CA3AD1F">
      <w:pPr>
        <w:spacing w:line="333" w:lineRule="auto"/>
        <w:rPr>
          <w:rFonts w:hint="eastAsia" w:ascii="Arial" w:eastAsia="宋体"/>
          <w:sz w:val="21"/>
          <w:highlight w:val="none"/>
          <w:lang w:eastAsia="zh-CN"/>
        </w:rPr>
      </w:pPr>
      <w:r>
        <w:rPr>
          <w:rFonts w:hint="eastAsia" w:ascii="Arial" w:eastAsia="宋体"/>
          <w:sz w:val="21"/>
          <w:highlight w:val="none"/>
          <w:lang w:eastAsia="zh-CN"/>
        </w:rPr>
        <w:br w:type="page"/>
      </w:r>
    </w:p>
    <w:p w14:paraId="4DA36CDA">
      <w:pPr>
        <w:pStyle w:val="6"/>
        <w:spacing w:before="97" w:line="227" w:lineRule="auto"/>
        <w:ind w:left="1877"/>
        <w:outlineLvl w:val="2"/>
        <w:rPr>
          <w:highlight w:val="none"/>
        </w:rPr>
      </w:pPr>
      <w:r>
        <w:rPr>
          <w:b/>
          <w:bCs/>
          <w:spacing w:val="7"/>
          <w:highlight w:val="none"/>
        </w:rPr>
        <w:t>六、投标保证金缴纳凭证或电子保函</w:t>
      </w:r>
    </w:p>
    <w:p w14:paraId="5D2CC44F">
      <w:pPr>
        <w:spacing w:line="260" w:lineRule="auto"/>
        <w:rPr>
          <w:rFonts w:ascii="Arial"/>
          <w:sz w:val="21"/>
          <w:highlight w:val="none"/>
        </w:rPr>
      </w:pPr>
    </w:p>
    <w:p w14:paraId="44486453">
      <w:pPr>
        <w:spacing w:line="260" w:lineRule="auto"/>
        <w:rPr>
          <w:rFonts w:ascii="Arial"/>
          <w:sz w:val="21"/>
          <w:highlight w:val="none"/>
        </w:rPr>
      </w:pPr>
    </w:p>
    <w:p w14:paraId="4348CDB4">
      <w:pPr>
        <w:spacing w:line="260" w:lineRule="auto"/>
        <w:rPr>
          <w:rFonts w:ascii="Arial"/>
          <w:sz w:val="21"/>
          <w:highlight w:val="none"/>
        </w:rPr>
      </w:pPr>
    </w:p>
    <w:p w14:paraId="6BB6DC49">
      <w:pPr>
        <w:spacing w:line="261" w:lineRule="auto"/>
        <w:rPr>
          <w:rFonts w:ascii="Arial"/>
          <w:sz w:val="21"/>
          <w:highlight w:val="none"/>
        </w:rPr>
      </w:pPr>
    </w:p>
    <w:p w14:paraId="57295A93">
      <w:pPr>
        <w:pStyle w:val="6"/>
        <w:spacing w:before="78" w:line="221" w:lineRule="auto"/>
        <w:ind w:left="16"/>
        <w:rPr>
          <w:sz w:val="24"/>
          <w:szCs w:val="24"/>
          <w:highlight w:val="none"/>
        </w:rPr>
      </w:pPr>
      <w:r>
        <w:rPr>
          <w:spacing w:val="-1"/>
          <w:sz w:val="24"/>
          <w:szCs w:val="24"/>
          <w:highlight w:val="none"/>
        </w:rPr>
        <w:t>说明：提供投标保证金缴纳凭证或电子保函。</w:t>
      </w:r>
    </w:p>
    <w:p w14:paraId="62F34B7E">
      <w:pPr>
        <w:spacing w:line="332" w:lineRule="auto"/>
        <w:rPr>
          <w:rFonts w:hint="eastAsia" w:ascii="Arial" w:eastAsia="宋体"/>
          <w:sz w:val="21"/>
          <w:highlight w:val="none"/>
          <w:lang w:eastAsia="zh-CN"/>
        </w:rPr>
      </w:pPr>
      <w:r>
        <w:rPr>
          <w:rFonts w:hint="eastAsia" w:ascii="Arial" w:eastAsia="宋体"/>
          <w:sz w:val="21"/>
          <w:highlight w:val="none"/>
          <w:lang w:eastAsia="zh-CN"/>
        </w:rPr>
        <w:br w:type="page"/>
      </w:r>
    </w:p>
    <w:p w14:paraId="23155889">
      <w:pPr>
        <w:pStyle w:val="6"/>
        <w:spacing w:before="97" w:line="229" w:lineRule="auto"/>
        <w:ind w:left="3237"/>
        <w:outlineLvl w:val="2"/>
        <w:rPr>
          <w:highlight w:val="none"/>
        </w:rPr>
      </w:pPr>
      <w:r>
        <w:rPr>
          <w:b/>
          <w:bCs/>
          <w:spacing w:val="5"/>
          <w:highlight w:val="none"/>
        </w:rPr>
        <w:t>七、业绩证明文件</w:t>
      </w:r>
    </w:p>
    <w:p w14:paraId="38094DF8">
      <w:pPr>
        <w:pStyle w:val="6"/>
        <w:spacing w:before="302" w:line="221" w:lineRule="auto"/>
        <w:ind w:left="551"/>
        <w:rPr>
          <w:sz w:val="24"/>
          <w:szCs w:val="24"/>
          <w:highlight w:val="none"/>
        </w:rPr>
      </w:pPr>
      <w:r>
        <w:rPr>
          <w:spacing w:val="-6"/>
          <w:sz w:val="24"/>
          <w:szCs w:val="24"/>
          <w:highlight w:val="none"/>
        </w:rPr>
        <w:t>项目名称：</w:t>
      </w:r>
    </w:p>
    <w:p w14:paraId="6F2CF989">
      <w:pPr>
        <w:pStyle w:val="6"/>
        <w:spacing w:before="178" w:line="224" w:lineRule="auto"/>
        <w:ind w:left="551"/>
        <w:rPr>
          <w:sz w:val="24"/>
          <w:szCs w:val="24"/>
          <w:highlight w:val="none"/>
        </w:rPr>
      </w:pPr>
      <w:r>
        <w:rPr>
          <w:spacing w:val="-4"/>
          <w:sz w:val="24"/>
          <w:szCs w:val="24"/>
          <w:highlight w:val="none"/>
        </w:rPr>
        <w:t>项目（包）编号：</w:t>
      </w:r>
    </w:p>
    <w:p w14:paraId="130DD7F4">
      <w:pPr>
        <w:spacing w:line="48" w:lineRule="exact"/>
        <w:rPr>
          <w:highlight w:val="none"/>
        </w:rPr>
      </w:pPr>
    </w:p>
    <w:tbl>
      <w:tblPr>
        <w:tblStyle w:val="13"/>
        <w:tblW w:w="8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133"/>
        <w:gridCol w:w="1275"/>
        <w:gridCol w:w="1133"/>
        <w:gridCol w:w="1417"/>
        <w:gridCol w:w="1133"/>
        <w:gridCol w:w="992"/>
        <w:gridCol w:w="1136"/>
      </w:tblGrid>
      <w:tr w14:paraId="459D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675" w:type="dxa"/>
            <w:vAlign w:val="top"/>
          </w:tcPr>
          <w:p w14:paraId="0F6FE6D5">
            <w:pPr>
              <w:spacing w:line="332" w:lineRule="auto"/>
              <w:rPr>
                <w:rFonts w:ascii="Arial"/>
                <w:sz w:val="21"/>
                <w:highlight w:val="none"/>
              </w:rPr>
            </w:pPr>
          </w:p>
          <w:p w14:paraId="70F3EE31">
            <w:pPr>
              <w:pStyle w:val="14"/>
              <w:spacing w:before="65" w:line="231" w:lineRule="auto"/>
              <w:ind w:left="143"/>
              <w:rPr>
                <w:sz w:val="20"/>
                <w:szCs w:val="20"/>
                <w:highlight w:val="none"/>
              </w:rPr>
            </w:pPr>
            <w:r>
              <w:rPr>
                <w:spacing w:val="-1"/>
                <w:sz w:val="20"/>
                <w:szCs w:val="20"/>
                <w:highlight w:val="none"/>
              </w:rPr>
              <w:t>序号</w:t>
            </w:r>
          </w:p>
        </w:tc>
        <w:tc>
          <w:tcPr>
            <w:tcW w:w="1133" w:type="dxa"/>
            <w:vAlign w:val="top"/>
          </w:tcPr>
          <w:p w14:paraId="09A8A756">
            <w:pPr>
              <w:spacing w:line="332" w:lineRule="auto"/>
              <w:rPr>
                <w:rFonts w:ascii="Arial"/>
                <w:sz w:val="21"/>
                <w:highlight w:val="none"/>
              </w:rPr>
            </w:pPr>
          </w:p>
          <w:p w14:paraId="7308B206">
            <w:pPr>
              <w:pStyle w:val="14"/>
              <w:spacing w:before="65" w:line="232" w:lineRule="auto"/>
              <w:ind w:left="170"/>
              <w:rPr>
                <w:sz w:val="20"/>
                <w:szCs w:val="20"/>
                <w:highlight w:val="none"/>
              </w:rPr>
            </w:pPr>
            <w:r>
              <w:rPr>
                <w:spacing w:val="1"/>
                <w:sz w:val="20"/>
                <w:szCs w:val="20"/>
                <w:highlight w:val="none"/>
              </w:rPr>
              <w:t>完成时间</w:t>
            </w:r>
          </w:p>
        </w:tc>
        <w:tc>
          <w:tcPr>
            <w:tcW w:w="1275" w:type="dxa"/>
            <w:vAlign w:val="top"/>
          </w:tcPr>
          <w:p w14:paraId="3B7FAE62">
            <w:pPr>
              <w:spacing w:line="333" w:lineRule="auto"/>
              <w:rPr>
                <w:rFonts w:ascii="Arial"/>
                <w:sz w:val="21"/>
                <w:highlight w:val="none"/>
              </w:rPr>
            </w:pPr>
          </w:p>
          <w:p w14:paraId="18D1E4F6">
            <w:pPr>
              <w:pStyle w:val="14"/>
              <w:spacing w:before="65" w:line="229" w:lineRule="auto"/>
              <w:ind w:left="239"/>
              <w:rPr>
                <w:sz w:val="20"/>
                <w:szCs w:val="20"/>
                <w:highlight w:val="none"/>
              </w:rPr>
            </w:pPr>
            <w:r>
              <w:rPr>
                <w:spacing w:val="2"/>
                <w:sz w:val="20"/>
                <w:szCs w:val="20"/>
                <w:highlight w:val="none"/>
              </w:rPr>
              <w:t>项目名称</w:t>
            </w:r>
          </w:p>
        </w:tc>
        <w:tc>
          <w:tcPr>
            <w:tcW w:w="1133" w:type="dxa"/>
            <w:vAlign w:val="top"/>
          </w:tcPr>
          <w:p w14:paraId="491620C2">
            <w:pPr>
              <w:spacing w:line="332" w:lineRule="auto"/>
              <w:rPr>
                <w:rFonts w:ascii="Arial"/>
                <w:sz w:val="21"/>
                <w:highlight w:val="none"/>
              </w:rPr>
            </w:pPr>
          </w:p>
          <w:p w14:paraId="343FFAA7">
            <w:pPr>
              <w:pStyle w:val="14"/>
              <w:spacing w:before="65" w:line="231" w:lineRule="auto"/>
              <w:ind w:left="167"/>
              <w:rPr>
                <w:sz w:val="20"/>
                <w:szCs w:val="20"/>
                <w:highlight w:val="none"/>
              </w:rPr>
            </w:pPr>
            <w:r>
              <w:rPr>
                <w:spacing w:val="2"/>
                <w:sz w:val="20"/>
                <w:szCs w:val="20"/>
                <w:highlight w:val="none"/>
              </w:rPr>
              <w:t>标的内容</w:t>
            </w:r>
          </w:p>
        </w:tc>
        <w:tc>
          <w:tcPr>
            <w:tcW w:w="1417" w:type="dxa"/>
            <w:vAlign w:val="top"/>
          </w:tcPr>
          <w:p w14:paraId="70E2158D">
            <w:pPr>
              <w:spacing w:line="333" w:lineRule="auto"/>
              <w:rPr>
                <w:rFonts w:ascii="Arial"/>
                <w:sz w:val="21"/>
                <w:highlight w:val="none"/>
              </w:rPr>
            </w:pPr>
          </w:p>
          <w:p w14:paraId="315F514A">
            <w:pPr>
              <w:pStyle w:val="14"/>
              <w:spacing w:before="65" w:line="229" w:lineRule="auto"/>
              <w:ind w:left="210"/>
              <w:rPr>
                <w:sz w:val="20"/>
                <w:szCs w:val="20"/>
                <w:highlight w:val="none"/>
              </w:rPr>
            </w:pPr>
            <w:r>
              <w:rPr>
                <w:spacing w:val="2"/>
                <w:sz w:val="20"/>
                <w:szCs w:val="20"/>
                <w:highlight w:val="none"/>
              </w:rPr>
              <w:t>采购人名称</w:t>
            </w:r>
          </w:p>
        </w:tc>
        <w:tc>
          <w:tcPr>
            <w:tcW w:w="1133" w:type="dxa"/>
            <w:vAlign w:val="top"/>
          </w:tcPr>
          <w:p w14:paraId="4D8876CC">
            <w:pPr>
              <w:pStyle w:val="14"/>
              <w:spacing w:before="294" w:line="231" w:lineRule="auto"/>
              <w:ind w:left="172" w:right="151" w:firstLine="21"/>
              <w:rPr>
                <w:sz w:val="20"/>
                <w:szCs w:val="20"/>
                <w:highlight w:val="none"/>
              </w:rPr>
            </w:pPr>
            <w:r>
              <w:rPr>
                <w:spacing w:val="-5"/>
                <w:sz w:val="20"/>
                <w:szCs w:val="20"/>
                <w:highlight w:val="none"/>
              </w:rPr>
              <w:t>中标（成</w:t>
            </w:r>
            <w:r>
              <w:rPr>
                <w:spacing w:val="1"/>
                <w:sz w:val="20"/>
                <w:szCs w:val="20"/>
                <w:highlight w:val="none"/>
              </w:rPr>
              <w:t>交）金额</w:t>
            </w:r>
          </w:p>
        </w:tc>
        <w:tc>
          <w:tcPr>
            <w:tcW w:w="992" w:type="dxa"/>
            <w:vAlign w:val="top"/>
          </w:tcPr>
          <w:p w14:paraId="38157525">
            <w:pPr>
              <w:spacing w:line="333" w:lineRule="auto"/>
              <w:rPr>
                <w:rFonts w:ascii="Arial"/>
                <w:sz w:val="21"/>
                <w:highlight w:val="none"/>
              </w:rPr>
            </w:pPr>
          </w:p>
          <w:p w14:paraId="0B0BDBFB">
            <w:pPr>
              <w:pStyle w:val="14"/>
              <w:spacing w:before="65" w:line="233" w:lineRule="auto"/>
              <w:ind w:left="200"/>
              <w:rPr>
                <w:sz w:val="20"/>
                <w:szCs w:val="20"/>
                <w:highlight w:val="none"/>
              </w:rPr>
            </w:pPr>
            <w:r>
              <w:rPr>
                <w:spacing w:val="2"/>
                <w:sz w:val="20"/>
                <w:szCs w:val="20"/>
                <w:highlight w:val="none"/>
              </w:rPr>
              <w:t>联系人</w:t>
            </w:r>
          </w:p>
        </w:tc>
        <w:tc>
          <w:tcPr>
            <w:tcW w:w="1136" w:type="dxa"/>
            <w:vAlign w:val="top"/>
          </w:tcPr>
          <w:p w14:paraId="6EC88592">
            <w:pPr>
              <w:spacing w:line="332" w:lineRule="auto"/>
              <w:rPr>
                <w:rFonts w:ascii="Arial"/>
                <w:sz w:val="21"/>
                <w:highlight w:val="none"/>
              </w:rPr>
            </w:pPr>
          </w:p>
          <w:p w14:paraId="5F27F397">
            <w:pPr>
              <w:pStyle w:val="14"/>
              <w:spacing w:before="65" w:line="232" w:lineRule="auto"/>
              <w:ind w:left="168"/>
              <w:rPr>
                <w:sz w:val="20"/>
                <w:szCs w:val="20"/>
                <w:highlight w:val="none"/>
              </w:rPr>
            </w:pPr>
            <w:r>
              <w:rPr>
                <w:spacing w:val="2"/>
                <w:sz w:val="20"/>
                <w:szCs w:val="20"/>
                <w:highlight w:val="none"/>
              </w:rPr>
              <w:t>联系电话</w:t>
            </w:r>
          </w:p>
        </w:tc>
      </w:tr>
      <w:tr w14:paraId="3C24D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75" w:type="dxa"/>
            <w:vAlign w:val="top"/>
          </w:tcPr>
          <w:p w14:paraId="78228B2A">
            <w:pPr>
              <w:pStyle w:val="14"/>
              <w:spacing w:before="230" w:line="272" w:lineRule="exact"/>
              <w:ind w:left="303"/>
              <w:rPr>
                <w:sz w:val="20"/>
                <w:szCs w:val="20"/>
                <w:highlight w:val="none"/>
              </w:rPr>
            </w:pPr>
            <w:r>
              <w:rPr>
                <w:position w:val="1"/>
                <w:sz w:val="20"/>
                <w:szCs w:val="20"/>
                <w:highlight w:val="none"/>
              </w:rPr>
              <w:t>1</w:t>
            </w:r>
          </w:p>
        </w:tc>
        <w:tc>
          <w:tcPr>
            <w:tcW w:w="1133" w:type="dxa"/>
            <w:vAlign w:val="top"/>
          </w:tcPr>
          <w:p w14:paraId="3457C64C">
            <w:pPr>
              <w:rPr>
                <w:rFonts w:ascii="Arial"/>
                <w:sz w:val="21"/>
                <w:highlight w:val="none"/>
              </w:rPr>
            </w:pPr>
          </w:p>
        </w:tc>
        <w:tc>
          <w:tcPr>
            <w:tcW w:w="1275" w:type="dxa"/>
            <w:vAlign w:val="top"/>
          </w:tcPr>
          <w:p w14:paraId="24C542FD">
            <w:pPr>
              <w:rPr>
                <w:rFonts w:ascii="Arial"/>
                <w:sz w:val="21"/>
                <w:highlight w:val="none"/>
              </w:rPr>
            </w:pPr>
          </w:p>
        </w:tc>
        <w:tc>
          <w:tcPr>
            <w:tcW w:w="1133" w:type="dxa"/>
            <w:vAlign w:val="top"/>
          </w:tcPr>
          <w:p w14:paraId="7C0933E9">
            <w:pPr>
              <w:rPr>
                <w:rFonts w:ascii="Arial"/>
                <w:sz w:val="21"/>
                <w:highlight w:val="none"/>
              </w:rPr>
            </w:pPr>
          </w:p>
        </w:tc>
        <w:tc>
          <w:tcPr>
            <w:tcW w:w="1417" w:type="dxa"/>
            <w:vAlign w:val="top"/>
          </w:tcPr>
          <w:p w14:paraId="3498C4B2">
            <w:pPr>
              <w:rPr>
                <w:rFonts w:ascii="Arial"/>
                <w:sz w:val="21"/>
                <w:highlight w:val="none"/>
              </w:rPr>
            </w:pPr>
          </w:p>
        </w:tc>
        <w:tc>
          <w:tcPr>
            <w:tcW w:w="1133" w:type="dxa"/>
            <w:vAlign w:val="top"/>
          </w:tcPr>
          <w:p w14:paraId="6E80E830">
            <w:pPr>
              <w:rPr>
                <w:rFonts w:ascii="Arial"/>
                <w:sz w:val="21"/>
                <w:highlight w:val="none"/>
              </w:rPr>
            </w:pPr>
          </w:p>
        </w:tc>
        <w:tc>
          <w:tcPr>
            <w:tcW w:w="992" w:type="dxa"/>
            <w:vAlign w:val="top"/>
          </w:tcPr>
          <w:p w14:paraId="0DDF1C10">
            <w:pPr>
              <w:rPr>
                <w:rFonts w:ascii="Arial"/>
                <w:sz w:val="21"/>
                <w:highlight w:val="none"/>
              </w:rPr>
            </w:pPr>
          </w:p>
        </w:tc>
        <w:tc>
          <w:tcPr>
            <w:tcW w:w="1136" w:type="dxa"/>
            <w:vAlign w:val="top"/>
          </w:tcPr>
          <w:p w14:paraId="7BC03D60">
            <w:pPr>
              <w:rPr>
                <w:rFonts w:ascii="Arial"/>
                <w:sz w:val="21"/>
                <w:highlight w:val="none"/>
              </w:rPr>
            </w:pPr>
          </w:p>
        </w:tc>
      </w:tr>
      <w:tr w14:paraId="026DD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75" w:type="dxa"/>
            <w:vAlign w:val="top"/>
          </w:tcPr>
          <w:p w14:paraId="36179874">
            <w:pPr>
              <w:pStyle w:val="14"/>
              <w:spacing w:before="230" w:line="272" w:lineRule="exact"/>
              <w:ind w:left="290"/>
              <w:rPr>
                <w:sz w:val="20"/>
                <w:szCs w:val="20"/>
                <w:highlight w:val="none"/>
              </w:rPr>
            </w:pPr>
            <w:r>
              <w:rPr>
                <w:position w:val="1"/>
                <w:sz w:val="20"/>
                <w:szCs w:val="20"/>
                <w:highlight w:val="none"/>
              </w:rPr>
              <w:t>2</w:t>
            </w:r>
          </w:p>
        </w:tc>
        <w:tc>
          <w:tcPr>
            <w:tcW w:w="1133" w:type="dxa"/>
            <w:vAlign w:val="top"/>
          </w:tcPr>
          <w:p w14:paraId="4B5D1B22">
            <w:pPr>
              <w:rPr>
                <w:rFonts w:ascii="Arial"/>
                <w:sz w:val="21"/>
                <w:highlight w:val="none"/>
              </w:rPr>
            </w:pPr>
          </w:p>
        </w:tc>
        <w:tc>
          <w:tcPr>
            <w:tcW w:w="1275" w:type="dxa"/>
            <w:vAlign w:val="top"/>
          </w:tcPr>
          <w:p w14:paraId="0F7364CF">
            <w:pPr>
              <w:rPr>
                <w:rFonts w:ascii="Arial"/>
                <w:sz w:val="21"/>
                <w:highlight w:val="none"/>
              </w:rPr>
            </w:pPr>
          </w:p>
        </w:tc>
        <w:tc>
          <w:tcPr>
            <w:tcW w:w="1133" w:type="dxa"/>
            <w:vAlign w:val="top"/>
          </w:tcPr>
          <w:p w14:paraId="2FE53DA7">
            <w:pPr>
              <w:rPr>
                <w:rFonts w:ascii="Arial"/>
                <w:sz w:val="21"/>
                <w:highlight w:val="none"/>
              </w:rPr>
            </w:pPr>
          </w:p>
        </w:tc>
        <w:tc>
          <w:tcPr>
            <w:tcW w:w="1417" w:type="dxa"/>
            <w:vAlign w:val="top"/>
          </w:tcPr>
          <w:p w14:paraId="29053442">
            <w:pPr>
              <w:rPr>
                <w:rFonts w:ascii="Arial"/>
                <w:sz w:val="21"/>
                <w:highlight w:val="none"/>
              </w:rPr>
            </w:pPr>
          </w:p>
        </w:tc>
        <w:tc>
          <w:tcPr>
            <w:tcW w:w="1133" w:type="dxa"/>
            <w:vAlign w:val="top"/>
          </w:tcPr>
          <w:p w14:paraId="65EA1E77">
            <w:pPr>
              <w:rPr>
                <w:rFonts w:ascii="Arial"/>
                <w:sz w:val="21"/>
                <w:highlight w:val="none"/>
              </w:rPr>
            </w:pPr>
          </w:p>
        </w:tc>
        <w:tc>
          <w:tcPr>
            <w:tcW w:w="992" w:type="dxa"/>
            <w:vAlign w:val="top"/>
          </w:tcPr>
          <w:p w14:paraId="51100DE6">
            <w:pPr>
              <w:rPr>
                <w:rFonts w:ascii="Arial"/>
                <w:sz w:val="21"/>
                <w:highlight w:val="none"/>
              </w:rPr>
            </w:pPr>
          </w:p>
        </w:tc>
        <w:tc>
          <w:tcPr>
            <w:tcW w:w="1136" w:type="dxa"/>
            <w:vAlign w:val="top"/>
          </w:tcPr>
          <w:p w14:paraId="22F001D7">
            <w:pPr>
              <w:rPr>
                <w:rFonts w:ascii="Arial"/>
                <w:sz w:val="21"/>
                <w:highlight w:val="none"/>
              </w:rPr>
            </w:pPr>
          </w:p>
        </w:tc>
      </w:tr>
      <w:tr w14:paraId="520B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75" w:type="dxa"/>
            <w:vAlign w:val="top"/>
          </w:tcPr>
          <w:p w14:paraId="7CD11C46">
            <w:pPr>
              <w:pStyle w:val="14"/>
              <w:spacing w:before="232" w:line="270" w:lineRule="exact"/>
              <w:ind w:left="292"/>
              <w:rPr>
                <w:sz w:val="20"/>
                <w:szCs w:val="20"/>
                <w:highlight w:val="none"/>
              </w:rPr>
            </w:pPr>
            <w:r>
              <w:rPr>
                <w:position w:val="1"/>
                <w:sz w:val="20"/>
                <w:szCs w:val="20"/>
                <w:highlight w:val="none"/>
              </w:rPr>
              <w:t>3</w:t>
            </w:r>
          </w:p>
        </w:tc>
        <w:tc>
          <w:tcPr>
            <w:tcW w:w="1133" w:type="dxa"/>
            <w:vAlign w:val="top"/>
          </w:tcPr>
          <w:p w14:paraId="5EA247A1">
            <w:pPr>
              <w:rPr>
                <w:rFonts w:ascii="Arial"/>
                <w:sz w:val="21"/>
                <w:highlight w:val="none"/>
              </w:rPr>
            </w:pPr>
          </w:p>
        </w:tc>
        <w:tc>
          <w:tcPr>
            <w:tcW w:w="1275" w:type="dxa"/>
            <w:vAlign w:val="top"/>
          </w:tcPr>
          <w:p w14:paraId="17D5614F">
            <w:pPr>
              <w:rPr>
                <w:rFonts w:ascii="Arial"/>
                <w:sz w:val="21"/>
                <w:highlight w:val="none"/>
              </w:rPr>
            </w:pPr>
          </w:p>
        </w:tc>
        <w:tc>
          <w:tcPr>
            <w:tcW w:w="1133" w:type="dxa"/>
            <w:vAlign w:val="top"/>
          </w:tcPr>
          <w:p w14:paraId="61FA4045">
            <w:pPr>
              <w:rPr>
                <w:rFonts w:ascii="Arial"/>
                <w:sz w:val="21"/>
                <w:highlight w:val="none"/>
              </w:rPr>
            </w:pPr>
          </w:p>
        </w:tc>
        <w:tc>
          <w:tcPr>
            <w:tcW w:w="1417" w:type="dxa"/>
            <w:vAlign w:val="top"/>
          </w:tcPr>
          <w:p w14:paraId="26872119">
            <w:pPr>
              <w:rPr>
                <w:rFonts w:ascii="Arial"/>
                <w:sz w:val="21"/>
                <w:highlight w:val="none"/>
              </w:rPr>
            </w:pPr>
          </w:p>
        </w:tc>
        <w:tc>
          <w:tcPr>
            <w:tcW w:w="1133" w:type="dxa"/>
            <w:vAlign w:val="top"/>
          </w:tcPr>
          <w:p w14:paraId="4C7EE8D5">
            <w:pPr>
              <w:rPr>
                <w:rFonts w:ascii="Arial"/>
                <w:sz w:val="21"/>
                <w:highlight w:val="none"/>
              </w:rPr>
            </w:pPr>
          </w:p>
        </w:tc>
        <w:tc>
          <w:tcPr>
            <w:tcW w:w="992" w:type="dxa"/>
            <w:vAlign w:val="top"/>
          </w:tcPr>
          <w:p w14:paraId="1773C9D4">
            <w:pPr>
              <w:rPr>
                <w:rFonts w:ascii="Arial"/>
                <w:sz w:val="21"/>
                <w:highlight w:val="none"/>
              </w:rPr>
            </w:pPr>
          </w:p>
        </w:tc>
        <w:tc>
          <w:tcPr>
            <w:tcW w:w="1136" w:type="dxa"/>
            <w:vAlign w:val="top"/>
          </w:tcPr>
          <w:p w14:paraId="3F5AE569">
            <w:pPr>
              <w:rPr>
                <w:rFonts w:ascii="Arial"/>
                <w:sz w:val="21"/>
                <w:highlight w:val="none"/>
              </w:rPr>
            </w:pPr>
          </w:p>
        </w:tc>
      </w:tr>
      <w:tr w14:paraId="35CA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75" w:type="dxa"/>
            <w:vAlign w:val="top"/>
          </w:tcPr>
          <w:p w14:paraId="64354171">
            <w:pPr>
              <w:pStyle w:val="14"/>
              <w:spacing w:before="232" w:line="272" w:lineRule="exact"/>
              <w:ind w:left="287"/>
              <w:rPr>
                <w:sz w:val="20"/>
                <w:szCs w:val="20"/>
                <w:highlight w:val="none"/>
              </w:rPr>
            </w:pPr>
            <w:r>
              <w:rPr>
                <w:position w:val="1"/>
                <w:sz w:val="20"/>
                <w:szCs w:val="20"/>
                <w:highlight w:val="none"/>
              </w:rPr>
              <w:t>4</w:t>
            </w:r>
          </w:p>
        </w:tc>
        <w:tc>
          <w:tcPr>
            <w:tcW w:w="1133" w:type="dxa"/>
            <w:vAlign w:val="top"/>
          </w:tcPr>
          <w:p w14:paraId="7B55400C">
            <w:pPr>
              <w:rPr>
                <w:rFonts w:ascii="Arial"/>
                <w:sz w:val="21"/>
                <w:highlight w:val="none"/>
              </w:rPr>
            </w:pPr>
          </w:p>
        </w:tc>
        <w:tc>
          <w:tcPr>
            <w:tcW w:w="1275" w:type="dxa"/>
            <w:vAlign w:val="top"/>
          </w:tcPr>
          <w:p w14:paraId="397770C1">
            <w:pPr>
              <w:rPr>
                <w:rFonts w:ascii="Arial"/>
                <w:sz w:val="21"/>
                <w:highlight w:val="none"/>
              </w:rPr>
            </w:pPr>
          </w:p>
        </w:tc>
        <w:tc>
          <w:tcPr>
            <w:tcW w:w="1133" w:type="dxa"/>
            <w:vAlign w:val="top"/>
          </w:tcPr>
          <w:p w14:paraId="116B857C">
            <w:pPr>
              <w:rPr>
                <w:rFonts w:ascii="Arial"/>
                <w:sz w:val="21"/>
                <w:highlight w:val="none"/>
              </w:rPr>
            </w:pPr>
          </w:p>
        </w:tc>
        <w:tc>
          <w:tcPr>
            <w:tcW w:w="1417" w:type="dxa"/>
            <w:vAlign w:val="top"/>
          </w:tcPr>
          <w:p w14:paraId="4BA440E9">
            <w:pPr>
              <w:rPr>
                <w:rFonts w:ascii="Arial"/>
                <w:sz w:val="21"/>
                <w:highlight w:val="none"/>
              </w:rPr>
            </w:pPr>
          </w:p>
        </w:tc>
        <w:tc>
          <w:tcPr>
            <w:tcW w:w="1133" w:type="dxa"/>
            <w:vAlign w:val="top"/>
          </w:tcPr>
          <w:p w14:paraId="63349439">
            <w:pPr>
              <w:rPr>
                <w:rFonts w:ascii="Arial"/>
                <w:sz w:val="21"/>
                <w:highlight w:val="none"/>
              </w:rPr>
            </w:pPr>
          </w:p>
        </w:tc>
        <w:tc>
          <w:tcPr>
            <w:tcW w:w="992" w:type="dxa"/>
            <w:vAlign w:val="top"/>
          </w:tcPr>
          <w:p w14:paraId="18081E9F">
            <w:pPr>
              <w:rPr>
                <w:rFonts w:ascii="Arial"/>
                <w:sz w:val="21"/>
                <w:highlight w:val="none"/>
              </w:rPr>
            </w:pPr>
          </w:p>
        </w:tc>
        <w:tc>
          <w:tcPr>
            <w:tcW w:w="1136" w:type="dxa"/>
            <w:vAlign w:val="top"/>
          </w:tcPr>
          <w:p w14:paraId="0A5AD93D">
            <w:pPr>
              <w:rPr>
                <w:rFonts w:ascii="Arial"/>
                <w:sz w:val="21"/>
                <w:highlight w:val="none"/>
              </w:rPr>
            </w:pPr>
          </w:p>
        </w:tc>
      </w:tr>
      <w:tr w14:paraId="4BFA6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75" w:type="dxa"/>
            <w:vAlign w:val="top"/>
          </w:tcPr>
          <w:p w14:paraId="5AF7FE76">
            <w:pPr>
              <w:pStyle w:val="14"/>
              <w:spacing w:before="232" w:line="271" w:lineRule="exact"/>
              <w:ind w:left="292"/>
              <w:rPr>
                <w:sz w:val="20"/>
                <w:szCs w:val="20"/>
                <w:highlight w:val="none"/>
              </w:rPr>
            </w:pPr>
            <w:r>
              <w:rPr>
                <w:position w:val="2"/>
                <w:sz w:val="20"/>
                <w:szCs w:val="20"/>
                <w:highlight w:val="none"/>
              </w:rPr>
              <w:t>5</w:t>
            </w:r>
          </w:p>
        </w:tc>
        <w:tc>
          <w:tcPr>
            <w:tcW w:w="1133" w:type="dxa"/>
            <w:vAlign w:val="top"/>
          </w:tcPr>
          <w:p w14:paraId="51BBA6CB">
            <w:pPr>
              <w:rPr>
                <w:rFonts w:ascii="Arial"/>
                <w:sz w:val="21"/>
                <w:highlight w:val="none"/>
              </w:rPr>
            </w:pPr>
          </w:p>
        </w:tc>
        <w:tc>
          <w:tcPr>
            <w:tcW w:w="1275" w:type="dxa"/>
            <w:vAlign w:val="top"/>
          </w:tcPr>
          <w:p w14:paraId="7B54597A">
            <w:pPr>
              <w:rPr>
                <w:rFonts w:ascii="Arial"/>
                <w:sz w:val="21"/>
                <w:highlight w:val="none"/>
              </w:rPr>
            </w:pPr>
          </w:p>
        </w:tc>
        <w:tc>
          <w:tcPr>
            <w:tcW w:w="1133" w:type="dxa"/>
            <w:vAlign w:val="top"/>
          </w:tcPr>
          <w:p w14:paraId="68BAA23D">
            <w:pPr>
              <w:rPr>
                <w:rFonts w:ascii="Arial"/>
                <w:sz w:val="21"/>
                <w:highlight w:val="none"/>
              </w:rPr>
            </w:pPr>
          </w:p>
        </w:tc>
        <w:tc>
          <w:tcPr>
            <w:tcW w:w="1417" w:type="dxa"/>
            <w:vAlign w:val="top"/>
          </w:tcPr>
          <w:p w14:paraId="63AC8A1C">
            <w:pPr>
              <w:rPr>
                <w:rFonts w:ascii="Arial"/>
                <w:sz w:val="21"/>
                <w:highlight w:val="none"/>
              </w:rPr>
            </w:pPr>
          </w:p>
        </w:tc>
        <w:tc>
          <w:tcPr>
            <w:tcW w:w="1133" w:type="dxa"/>
            <w:vAlign w:val="top"/>
          </w:tcPr>
          <w:p w14:paraId="4013272E">
            <w:pPr>
              <w:rPr>
                <w:rFonts w:ascii="Arial"/>
                <w:sz w:val="21"/>
                <w:highlight w:val="none"/>
              </w:rPr>
            </w:pPr>
          </w:p>
        </w:tc>
        <w:tc>
          <w:tcPr>
            <w:tcW w:w="992" w:type="dxa"/>
            <w:vAlign w:val="top"/>
          </w:tcPr>
          <w:p w14:paraId="3FF1911E">
            <w:pPr>
              <w:rPr>
                <w:rFonts w:ascii="Arial"/>
                <w:sz w:val="21"/>
                <w:highlight w:val="none"/>
              </w:rPr>
            </w:pPr>
          </w:p>
        </w:tc>
        <w:tc>
          <w:tcPr>
            <w:tcW w:w="1136" w:type="dxa"/>
            <w:vAlign w:val="top"/>
          </w:tcPr>
          <w:p w14:paraId="12C6DCA9">
            <w:pPr>
              <w:rPr>
                <w:rFonts w:ascii="Arial"/>
                <w:sz w:val="21"/>
                <w:highlight w:val="none"/>
              </w:rPr>
            </w:pPr>
          </w:p>
        </w:tc>
      </w:tr>
      <w:tr w14:paraId="40A16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75" w:type="dxa"/>
            <w:vAlign w:val="top"/>
          </w:tcPr>
          <w:p w14:paraId="5A9DFD46">
            <w:pPr>
              <w:pStyle w:val="14"/>
              <w:spacing w:before="235" w:line="328" w:lineRule="exact"/>
              <w:ind w:left="249"/>
              <w:rPr>
                <w:sz w:val="20"/>
                <w:szCs w:val="20"/>
                <w:highlight w:val="none"/>
              </w:rPr>
            </w:pPr>
            <w:r>
              <w:rPr>
                <w:position w:val="3"/>
                <w:sz w:val="20"/>
                <w:szCs w:val="20"/>
                <w:highlight w:val="none"/>
              </w:rPr>
              <w:t>…</w:t>
            </w:r>
          </w:p>
        </w:tc>
        <w:tc>
          <w:tcPr>
            <w:tcW w:w="1133" w:type="dxa"/>
            <w:vAlign w:val="top"/>
          </w:tcPr>
          <w:p w14:paraId="647321D0">
            <w:pPr>
              <w:rPr>
                <w:rFonts w:ascii="Arial"/>
                <w:sz w:val="21"/>
                <w:highlight w:val="none"/>
              </w:rPr>
            </w:pPr>
          </w:p>
        </w:tc>
        <w:tc>
          <w:tcPr>
            <w:tcW w:w="1275" w:type="dxa"/>
            <w:vAlign w:val="top"/>
          </w:tcPr>
          <w:p w14:paraId="77F96733">
            <w:pPr>
              <w:rPr>
                <w:rFonts w:ascii="Arial"/>
                <w:sz w:val="21"/>
                <w:highlight w:val="none"/>
              </w:rPr>
            </w:pPr>
          </w:p>
        </w:tc>
        <w:tc>
          <w:tcPr>
            <w:tcW w:w="1133" w:type="dxa"/>
            <w:vAlign w:val="top"/>
          </w:tcPr>
          <w:p w14:paraId="4D6B46A5">
            <w:pPr>
              <w:rPr>
                <w:rFonts w:ascii="Arial"/>
                <w:sz w:val="21"/>
                <w:highlight w:val="none"/>
              </w:rPr>
            </w:pPr>
          </w:p>
        </w:tc>
        <w:tc>
          <w:tcPr>
            <w:tcW w:w="1417" w:type="dxa"/>
            <w:vAlign w:val="top"/>
          </w:tcPr>
          <w:p w14:paraId="2FF3EF6C">
            <w:pPr>
              <w:rPr>
                <w:rFonts w:ascii="Arial"/>
                <w:sz w:val="21"/>
                <w:highlight w:val="none"/>
              </w:rPr>
            </w:pPr>
          </w:p>
        </w:tc>
        <w:tc>
          <w:tcPr>
            <w:tcW w:w="1133" w:type="dxa"/>
            <w:vAlign w:val="top"/>
          </w:tcPr>
          <w:p w14:paraId="6EC5C1C9">
            <w:pPr>
              <w:rPr>
                <w:rFonts w:ascii="Arial"/>
                <w:sz w:val="21"/>
                <w:highlight w:val="none"/>
              </w:rPr>
            </w:pPr>
          </w:p>
        </w:tc>
        <w:tc>
          <w:tcPr>
            <w:tcW w:w="992" w:type="dxa"/>
            <w:vAlign w:val="top"/>
          </w:tcPr>
          <w:p w14:paraId="78518664">
            <w:pPr>
              <w:rPr>
                <w:rFonts w:ascii="Arial"/>
                <w:sz w:val="21"/>
                <w:highlight w:val="none"/>
              </w:rPr>
            </w:pPr>
          </w:p>
        </w:tc>
        <w:tc>
          <w:tcPr>
            <w:tcW w:w="1136" w:type="dxa"/>
            <w:vAlign w:val="top"/>
          </w:tcPr>
          <w:p w14:paraId="3B935228">
            <w:pPr>
              <w:rPr>
                <w:rFonts w:ascii="Arial"/>
                <w:sz w:val="21"/>
                <w:highlight w:val="none"/>
              </w:rPr>
            </w:pPr>
          </w:p>
        </w:tc>
      </w:tr>
    </w:tbl>
    <w:p w14:paraId="7B2E0170">
      <w:pPr>
        <w:pStyle w:val="6"/>
        <w:spacing w:before="151" w:line="346" w:lineRule="auto"/>
        <w:ind w:left="125" w:right="151" w:hanging="5"/>
        <w:jc w:val="both"/>
        <w:rPr>
          <w:sz w:val="24"/>
          <w:szCs w:val="24"/>
          <w:highlight w:val="none"/>
        </w:rPr>
      </w:pPr>
      <w:r>
        <w:rPr>
          <w:spacing w:val="-3"/>
          <w:sz w:val="24"/>
          <w:szCs w:val="24"/>
          <w:highlight w:val="none"/>
        </w:rPr>
        <w:t>注：投标人须按相关要求提供相应的合同扫描件</w:t>
      </w:r>
      <w:r>
        <w:rPr>
          <w:rFonts w:hint="eastAsia"/>
          <w:spacing w:val="-3"/>
          <w:sz w:val="24"/>
          <w:szCs w:val="24"/>
          <w:highlight w:val="none"/>
          <w:lang w:val="en-US" w:eastAsia="zh-CN"/>
        </w:rPr>
        <w:t>或中标通知书或</w:t>
      </w:r>
      <w:r>
        <w:rPr>
          <w:spacing w:val="-3"/>
          <w:sz w:val="24"/>
          <w:szCs w:val="24"/>
          <w:highlight w:val="none"/>
        </w:rPr>
        <w:t>附合同的复印件，合同须附合同</w:t>
      </w:r>
      <w:r>
        <w:rPr>
          <w:spacing w:val="-1"/>
          <w:sz w:val="24"/>
          <w:szCs w:val="24"/>
          <w:highlight w:val="none"/>
        </w:rPr>
        <w:t>首页、合同金额页、体现标的物页、双方签字盖章页</w:t>
      </w:r>
      <w:r>
        <w:rPr>
          <w:spacing w:val="11"/>
          <w:sz w:val="24"/>
          <w:szCs w:val="24"/>
          <w:highlight w:val="none"/>
        </w:rPr>
        <w:t>），</w:t>
      </w:r>
      <w:r>
        <w:rPr>
          <w:spacing w:val="-1"/>
          <w:sz w:val="24"/>
          <w:szCs w:val="24"/>
          <w:highlight w:val="none"/>
        </w:rPr>
        <w:t>不提供</w:t>
      </w:r>
      <w:r>
        <w:rPr>
          <w:spacing w:val="-2"/>
          <w:sz w:val="24"/>
          <w:szCs w:val="24"/>
          <w:highlight w:val="none"/>
        </w:rPr>
        <w:t>或提供不清晰导致专家无法判断的不得分。</w:t>
      </w:r>
    </w:p>
    <w:p w14:paraId="1F61AE43">
      <w:pPr>
        <w:spacing w:line="275" w:lineRule="auto"/>
        <w:rPr>
          <w:rFonts w:ascii="Arial"/>
          <w:sz w:val="21"/>
          <w:highlight w:val="none"/>
        </w:rPr>
      </w:pPr>
    </w:p>
    <w:p w14:paraId="66F70305">
      <w:pPr>
        <w:spacing w:line="275" w:lineRule="auto"/>
        <w:rPr>
          <w:rFonts w:ascii="Arial"/>
          <w:sz w:val="21"/>
          <w:highlight w:val="none"/>
        </w:rPr>
      </w:pPr>
    </w:p>
    <w:p w14:paraId="2611C015">
      <w:pPr>
        <w:spacing w:line="275" w:lineRule="auto"/>
        <w:rPr>
          <w:rFonts w:ascii="Arial"/>
          <w:sz w:val="21"/>
          <w:highlight w:val="none"/>
        </w:rPr>
      </w:pPr>
    </w:p>
    <w:p w14:paraId="576CA026">
      <w:pPr>
        <w:spacing w:line="276" w:lineRule="auto"/>
        <w:rPr>
          <w:rFonts w:ascii="Arial"/>
          <w:sz w:val="21"/>
          <w:highlight w:val="none"/>
        </w:rPr>
      </w:pPr>
    </w:p>
    <w:p w14:paraId="5EA6F25A">
      <w:pPr>
        <w:pStyle w:val="6"/>
        <w:spacing w:before="78" w:line="221" w:lineRule="auto"/>
        <w:ind w:left="689"/>
        <w:rPr>
          <w:sz w:val="24"/>
          <w:szCs w:val="24"/>
          <w:highlight w:val="none"/>
        </w:rPr>
      </w:pPr>
      <w:r>
        <w:rPr>
          <w:spacing w:val="-8"/>
          <w:sz w:val="24"/>
          <w:szCs w:val="24"/>
          <w:highlight w:val="none"/>
        </w:rPr>
        <w:t>投标人名称（公章)：</w:t>
      </w:r>
    </w:p>
    <w:p w14:paraId="6D0A550B">
      <w:pPr>
        <w:pStyle w:val="6"/>
        <w:spacing w:before="241" w:line="223" w:lineRule="auto"/>
        <w:ind w:left="740"/>
        <w:rPr>
          <w:sz w:val="24"/>
          <w:szCs w:val="24"/>
          <w:highlight w:val="none"/>
        </w:rPr>
      </w:pPr>
      <w:r>
        <w:rPr>
          <w:spacing w:val="-30"/>
          <w:sz w:val="24"/>
          <w:szCs w:val="24"/>
          <w:highlight w:val="none"/>
        </w:rPr>
        <w:t>日期：</w:t>
      </w:r>
    </w:p>
    <w:p w14:paraId="5F9A0C13">
      <w:pPr>
        <w:spacing w:line="332" w:lineRule="auto"/>
        <w:rPr>
          <w:rFonts w:hint="eastAsia" w:ascii="Arial" w:eastAsia="宋体"/>
          <w:sz w:val="21"/>
          <w:highlight w:val="none"/>
          <w:lang w:eastAsia="zh-CN"/>
        </w:rPr>
      </w:pPr>
      <w:r>
        <w:rPr>
          <w:rFonts w:hint="eastAsia" w:ascii="Arial" w:eastAsia="宋体"/>
          <w:sz w:val="21"/>
          <w:highlight w:val="none"/>
          <w:lang w:eastAsia="zh-CN"/>
        </w:rPr>
        <w:br w:type="page"/>
      </w:r>
    </w:p>
    <w:p w14:paraId="173D1372">
      <w:pPr>
        <w:pStyle w:val="6"/>
        <w:spacing w:before="97" w:line="229" w:lineRule="auto"/>
        <w:ind w:left="3230"/>
        <w:outlineLvl w:val="2"/>
        <w:rPr>
          <w:highlight w:val="none"/>
        </w:rPr>
      </w:pPr>
      <w:r>
        <w:rPr>
          <w:b/>
          <w:bCs/>
          <w:spacing w:val="6"/>
          <w:highlight w:val="none"/>
        </w:rPr>
        <w:t>八、拟派服务团队</w:t>
      </w:r>
    </w:p>
    <w:p w14:paraId="3F167A83">
      <w:pPr>
        <w:spacing w:line="174" w:lineRule="exact"/>
        <w:rPr>
          <w:highlight w:val="none"/>
        </w:rPr>
      </w:pPr>
    </w:p>
    <w:tbl>
      <w:tblPr>
        <w:tblStyle w:val="13"/>
        <w:tblW w:w="92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265"/>
        <w:gridCol w:w="1294"/>
        <w:gridCol w:w="1771"/>
        <w:gridCol w:w="1886"/>
        <w:gridCol w:w="1437"/>
        <w:gridCol w:w="822"/>
      </w:tblGrid>
      <w:tr w14:paraId="578E1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80" w:type="dxa"/>
            <w:vAlign w:val="top"/>
          </w:tcPr>
          <w:p w14:paraId="1B9EAF76">
            <w:pPr>
              <w:spacing w:line="365" w:lineRule="auto"/>
              <w:rPr>
                <w:rFonts w:ascii="Arial"/>
                <w:sz w:val="21"/>
                <w:highlight w:val="none"/>
              </w:rPr>
            </w:pPr>
          </w:p>
          <w:p w14:paraId="3B029B61">
            <w:pPr>
              <w:pStyle w:val="14"/>
              <w:spacing w:before="78" w:line="222" w:lineRule="auto"/>
              <w:ind w:left="140"/>
              <w:rPr>
                <w:highlight w:val="none"/>
              </w:rPr>
            </w:pPr>
            <w:r>
              <w:rPr>
                <w:spacing w:val="-8"/>
                <w:highlight w:val="none"/>
              </w:rPr>
              <w:t>序号</w:t>
            </w:r>
          </w:p>
        </w:tc>
        <w:tc>
          <w:tcPr>
            <w:tcW w:w="1265" w:type="dxa"/>
            <w:vAlign w:val="top"/>
          </w:tcPr>
          <w:p w14:paraId="54DA72F0">
            <w:pPr>
              <w:pStyle w:val="14"/>
              <w:spacing w:before="296" w:line="231" w:lineRule="auto"/>
              <w:ind w:left="382" w:right="189" w:hanging="207"/>
              <w:rPr>
                <w:highlight w:val="none"/>
              </w:rPr>
            </w:pPr>
            <w:r>
              <w:rPr>
                <w:spacing w:val="-17"/>
                <w:highlight w:val="none"/>
              </w:rPr>
              <w:t>团队成员</w:t>
            </w:r>
            <w:r>
              <w:rPr>
                <w:spacing w:val="-8"/>
                <w:highlight w:val="none"/>
              </w:rPr>
              <w:t>姓名</w:t>
            </w:r>
          </w:p>
        </w:tc>
        <w:tc>
          <w:tcPr>
            <w:tcW w:w="1294" w:type="dxa"/>
            <w:vAlign w:val="top"/>
          </w:tcPr>
          <w:p w14:paraId="27EFB4CA">
            <w:pPr>
              <w:spacing w:line="364" w:lineRule="auto"/>
              <w:rPr>
                <w:rFonts w:ascii="Arial"/>
                <w:sz w:val="21"/>
                <w:highlight w:val="none"/>
              </w:rPr>
            </w:pPr>
          </w:p>
          <w:p w14:paraId="0265C825">
            <w:pPr>
              <w:pStyle w:val="14"/>
              <w:spacing w:before="78" w:line="220" w:lineRule="auto"/>
              <w:ind w:left="172"/>
              <w:rPr>
                <w:highlight w:val="none"/>
              </w:rPr>
            </w:pPr>
            <w:r>
              <w:rPr>
                <w:spacing w:val="-10"/>
                <w:highlight w:val="none"/>
              </w:rPr>
              <w:t>工作单位</w:t>
            </w:r>
          </w:p>
        </w:tc>
        <w:tc>
          <w:tcPr>
            <w:tcW w:w="1771" w:type="dxa"/>
            <w:vAlign w:val="top"/>
          </w:tcPr>
          <w:p w14:paraId="4A85AFA9">
            <w:pPr>
              <w:spacing w:line="365" w:lineRule="auto"/>
              <w:rPr>
                <w:rFonts w:ascii="Arial"/>
                <w:sz w:val="21"/>
                <w:highlight w:val="none"/>
              </w:rPr>
            </w:pPr>
          </w:p>
          <w:p w14:paraId="71B72DF8">
            <w:pPr>
              <w:pStyle w:val="14"/>
              <w:spacing w:before="78" w:line="222" w:lineRule="auto"/>
              <w:ind w:left="406"/>
              <w:rPr>
                <w:highlight w:val="none"/>
              </w:rPr>
            </w:pPr>
            <w:r>
              <w:rPr>
                <w:spacing w:val="-9"/>
                <w:highlight w:val="none"/>
              </w:rPr>
              <w:t>身份证号</w:t>
            </w:r>
          </w:p>
        </w:tc>
        <w:tc>
          <w:tcPr>
            <w:tcW w:w="1886" w:type="dxa"/>
            <w:vAlign w:val="top"/>
          </w:tcPr>
          <w:p w14:paraId="3412D1B9">
            <w:pPr>
              <w:spacing w:line="364" w:lineRule="auto"/>
              <w:rPr>
                <w:rFonts w:ascii="Arial"/>
                <w:sz w:val="21"/>
                <w:highlight w:val="none"/>
              </w:rPr>
            </w:pPr>
          </w:p>
          <w:p w14:paraId="67F74614">
            <w:pPr>
              <w:pStyle w:val="14"/>
              <w:spacing w:before="78" w:line="221" w:lineRule="auto"/>
              <w:ind w:left="115"/>
              <w:rPr>
                <w:highlight w:val="none"/>
              </w:rPr>
            </w:pPr>
            <w:r>
              <w:rPr>
                <w:spacing w:val="-8"/>
                <w:highlight w:val="none"/>
              </w:rPr>
              <w:t>证书名称及编号</w:t>
            </w:r>
          </w:p>
        </w:tc>
        <w:tc>
          <w:tcPr>
            <w:tcW w:w="1437" w:type="dxa"/>
            <w:vAlign w:val="top"/>
          </w:tcPr>
          <w:p w14:paraId="39C46D56">
            <w:pPr>
              <w:pStyle w:val="14"/>
              <w:spacing w:before="294" w:line="230" w:lineRule="auto"/>
              <w:ind w:left="132" w:right="155" w:hanging="7"/>
              <w:rPr>
                <w:highlight w:val="none"/>
              </w:rPr>
            </w:pPr>
            <w:r>
              <w:rPr>
                <w:spacing w:val="-10"/>
                <w:highlight w:val="none"/>
              </w:rPr>
              <w:t>在团队中职</w:t>
            </w:r>
            <w:r>
              <w:rPr>
                <w:spacing w:val="-14"/>
                <w:highlight w:val="none"/>
              </w:rPr>
              <w:t>务（岗位）</w:t>
            </w:r>
          </w:p>
        </w:tc>
        <w:tc>
          <w:tcPr>
            <w:tcW w:w="822" w:type="dxa"/>
            <w:vAlign w:val="top"/>
          </w:tcPr>
          <w:p w14:paraId="05C32041">
            <w:pPr>
              <w:pStyle w:val="14"/>
              <w:spacing w:before="295" w:line="230" w:lineRule="auto"/>
              <w:ind w:left="167" w:right="151" w:hanging="27"/>
              <w:rPr>
                <w:highlight w:val="none"/>
              </w:rPr>
            </w:pPr>
            <w:r>
              <w:rPr>
                <w:spacing w:val="-26"/>
                <w:highlight w:val="none"/>
              </w:rPr>
              <w:t>自有/</w:t>
            </w:r>
            <w:r>
              <w:rPr>
                <w:spacing w:val="-10"/>
                <w:highlight w:val="none"/>
              </w:rPr>
              <w:t>外聘</w:t>
            </w:r>
          </w:p>
        </w:tc>
      </w:tr>
      <w:tr w14:paraId="6F12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23DB0E04">
            <w:pPr>
              <w:spacing w:line="243" w:lineRule="auto"/>
              <w:rPr>
                <w:rFonts w:ascii="Arial"/>
                <w:sz w:val="21"/>
                <w:highlight w:val="none"/>
              </w:rPr>
            </w:pPr>
          </w:p>
          <w:p w14:paraId="3E2559A5">
            <w:pPr>
              <w:pStyle w:val="14"/>
              <w:spacing w:before="78" w:line="316" w:lineRule="exact"/>
              <w:ind w:left="280"/>
              <w:rPr>
                <w:highlight w:val="none"/>
              </w:rPr>
            </w:pPr>
            <w:r>
              <w:rPr>
                <w:position w:val="1"/>
                <w:highlight w:val="none"/>
              </w:rPr>
              <w:t>1</w:t>
            </w:r>
          </w:p>
        </w:tc>
        <w:tc>
          <w:tcPr>
            <w:tcW w:w="1265" w:type="dxa"/>
            <w:vAlign w:val="top"/>
          </w:tcPr>
          <w:p w14:paraId="083D7DDC">
            <w:pPr>
              <w:rPr>
                <w:rFonts w:ascii="Arial"/>
                <w:sz w:val="21"/>
                <w:highlight w:val="none"/>
              </w:rPr>
            </w:pPr>
          </w:p>
        </w:tc>
        <w:tc>
          <w:tcPr>
            <w:tcW w:w="1294" w:type="dxa"/>
            <w:vAlign w:val="top"/>
          </w:tcPr>
          <w:p w14:paraId="27DF719F">
            <w:pPr>
              <w:rPr>
                <w:rFonts w:ascii="Arial"/>
                <w:sz w:val="21"/>
                <w:highlight w:val="none"/>
              </w:rPr>
            </w:pPr>
          </w:p>
        </w:tc>
        <w:tc>
          <w:tcPr>
            <w:tcW w:w="1771" w:type="dxa"/>
            <w:vAlign w:val="top"/>
          </w:tcPr>
          <w:p w14:paraId="013F9072">
            <w:pPr>
              <w:rPr>
                <w:rFonts w:ascii="Arial"/>
                <w:sz w:val="21"/>
                <w:highlight w:val="none"/>
              </w:rPr>
            </w:pPr>
          </w:p>
        </w:tc>
        <w:tc>
          <w:tcPr>
            <w:tcW w:w="1886" w:type="dxa"/>
            <w:vAlign w:val="top"/>
          </w:tcPr>
          <w:p w14:paraId="0EE81971">
            <w:pPr>
              <w:rPr>
                <w:rFonts w:ascii="Arial"/>
                <w:sz w:val="21"/>
                <w:highlight w:val="none"/>
              </w:rPr>
            </w:pPr>
          </w:p>
        </w:tc>
        <w:tc>
          <w:tcPr>
            <w:tcW w:w="1437" w:type="dxa"/>
            <w:vAlign w:val="top"/>
          </w:tcPr>
          <w:p w14:paraId="45955728">
            <w:pPr>
              <w:rPr>
                <w:rFonts w:ascii="Arial"/>
                <w:sz w:val="21"/>
                <w:highlight w:val="none"/>
              </w:rPr>
            </w:pPr>
          </w:p>
        </w:tc>
        <w:tc>
          <w:tcPr>
            <w:tcW w:w="822" w:type="dxa"/>
            <w:vAlign w:val="top"/>
          </w:tcPr>
          <w:p w14:paraId="1E8FC045">
            <w:pPr>
              <w:rPr>
                <w:rFonts w:ascii="Arial"/>
                <w:sz w:val="21"/>
                <w:highlight w:val="none"/>
              </w:rPr>
            </w:pPr>
          </w:p>
        </w:tc>
      </w:tr>
      <w:tr w14:paraId="56F2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3F8C6B58">
            <w:pPr>
              <w:spacing w:line="244" w:lineRule="auto"/>
              <w:rPr>
                <w:rFonts w:ascii="Arial"/>
                <w:sz w:val="21"/>
                <w:highlight w:val="none"/>
              </w:rPr>
            </w:pPr>
          </w:p>
          <w:p w14:paraId="5E95F8F0">
            <w:pPr>
              <w:pStyle w:val="14"/>
              <w:spacing w:before="78" w:line="315" w:lineRule="exact"/>
              <w:ind w:left="265"/>
              <w:rPr>
                <w:highlight w:val="none"/>
              </w:rPr>
            </w:pPr>
            <w:r>
              <w:rPr>
                <w:position w:val="1"/>
                <w:highlight w:val="none"/>
              </w:rPr>
              <w:t>2</w:t>
            </w:r>
          </w:p>
        </w:tc>
        <w:tc>
          <w:tcPr>
            <w:tcW w:w="1265" w:type="dxa"/>
            <w:vAlign w:val="top"/>
          </w:tcPr>
          <w:p w14:paraId="0A237660">
            <w:pPr>
              <w:rPr>
                <w:rFonts w:ascii="Arial"/>
                <w:sz w:val="21"/>
                <w:highlight w:val="none"/>
              </w:rPr>
            </w:pPr>
          </w:p>
        </w:tc>
        <w:tc>
          <w:tcPr>
            <w:tcW w:w="1294" w:type="dxa"/>
            <w:vAlign w:val="top"/>
          </w:tcPr>
          <w:p w14:paraId="5B5810C3">
            <w:pPr>
              <w:rPr>
                <w:rFonts w:ascii="Arial"/>
                <w:sz w:val="21"/>
                <w:highlight w:val="none"/>
              </w:rPr>
            </w:pPr>
          </w:p>
        </w:tc>
        <w:tc>
          <w:tcPr>
            <w:tcW w:w="1771" w:type="dxa"/>
            <w:vAlign w:val="top"/>
          </w:tcPr>
          <w:p w14:paraId="6BE7D8CA">
            <w:pPr>
              <w:rPr>
                <w:rFonts w:ascii="Arial"/>
                <w:sz w:val="21"/>
                <w:highlight w:val="none"/>
              </w:rPr>
            </w:pPr>
          </w:p>
        </w:tc>
        <w:tc>
          <w:tcPr>
            <w:tcW w:w="1886" w:type="dxa"/>
            <w:vAlign w:val="top"/>
          </w:tcPr>
          <w:p w14:paraId="7A7B4BE0">
            <w:pPr>
              <w:rPr>
                <w:rFonts w:ascii="Arial"/>
                <w:sz w:val="21"/>
                <w:highlight w:val="none"/>
              </w:rPr>
            </w:pPr>
          </w:p>
        </w:tc>
        <w:tc>
          <w:tcPr>
            <w:tcW w:w="1437" w:type="dxa"/>
            <w:vAlign w:val="top"/>
          </w:tcPr>
          <w:p w14:paraId="4947267D">
            <w:pPr>
              <w:rPr>
                <w:rFonts w:ascii="Arial"/>
                <w:sz w:val="21"/>
                <w:highlight w:val="none"/>
              </w:rPr>
            </w:pPr>
          </w:p>
        </w:tc>
        <w:tc>
          <w:tcPr>
            <w:tcW w:w="822" w:type="dxa"/>
            <w:vAlign w:val="top"/>
          </w:tcPr>
          <w:p w14:paraId="36E449A2">
            <w:pPr>
              <w:rPr>
                <w:rFonts w:ascii="Arial"/>
                <w:sz w:val="21"/>
                <w:highlight w:val="none"/>
              </w:rPr>
            </w:pPr>
          </w:p>
        </w:tc>
      </w:tr>
      <w:tr w14:paraId="0F2D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2" w:hRule="atLeast"/>
        </w:trPr>
        <w:tc>
          <w:tcPr>
            <w:tcW w:w="780" w:type="dxa"/>
            <w:vAlign w:val="top"/>
          </w:tcPr>
          <w:p w14:paraId="5326347F">
            <w:pPr>
              <w:spacing w:line="244" w:lineRule="auto"/>
              <w:rPr>
                <w:rFonts w:ascii="Arial"/>
                <w:sz w:val="21"/>
                <w:highlight w:val="none"/>
              </w:rPr>
            </w:pPr>
          </w:p>
          <w:p w14:paraId="56F69199">
            <w:pPr>
              <w:pStyle w:val="14"/>
              <w:spacing w:before="78" w:line="241" w:lineRule="auto"/>
              <w:ind w:left="267"/>
              <w:rPr>
                <w:highlight w:val="none"/>
              </w:rPr>
            </w:pPr>
            <w:r>
              <w:rPr>
                <w:highlight w:val="none"/>
              </w:rPr>
              <w:t>3</w:t>
            </w:r>
          </w:p>
        </w:tc>
        <w:tc>
          <w:tcPr>
            <w:tcW w:w="1265" w:type="dxa"/>
            <w:vAlign w:val="top"/>
          </w:tcPr>
          <w:p w14:paraId="6064C66E">
            <w:pPr>
              <w:rPr>
                <w:rFonts w:ascii="Arial"/>
                <w:sz w:val="21"/>
                <w:highlight w:val="none"/>
              </w:rPr>
            </w:pPr>
          </w:p>
        </w:tc>
        <w:tc>
          <w:tcPr>
            <w:tcW w:w="1294" w:type="dxa"/>
            <w:vAlign w:val="top"/>
          </w:tcPr>
          <w:p w14:paraId="2DBF5BE2">
            <w:pPr>
              <w:rPr>
                <w:rFonts w:ascii="Arial"/>
                <w:sz w:val="21"/>
                <w:highlight w:val="none"/>
              </w:rPr>
            </w:pPr>
          </w:p>
        </w:tc>
        <w:tc>
          <w:tcPr>
            <w:tcW w:w="1771" w:type="dxa"/>
            <w:vAlign w:val="top"/>
          </w:tcPr>
          <w:p w14:paraId="43A209A9">
            <w:pPr>
              <w:rPr>
                <w:rFonts w:ascii="Arial"/>
                <w:sz w:val="21"/>
                <w:highlight w:val="none"/>
              </w:rPr>
            </w:pPr>
          </w:p>
        </w:tc>
        <w:tc>
          <w:tcPr>
            <w:tcW w:w="1886" w:type="dxa"/>
            <w:vAlign w:val="top"/>
          </w:tcPr>
          <w:p w14:paraId="54FD0517">
            <w:pPr>
              <w:rPr>
                <w:rFonts w:ascii="Arial"/>
                <w:sz w:val="21"/>
                <w:highlight w:val="none"/>
              </w:rPr>
            </w:pPr>
          </w:p>
        </w:tc>
        <w:tc>
          <w:tcPr>
            <w:tcW w:w="1437" w:type="dxa"/>
            <w:vAlign w:val="top"/>
          </w:tcPr>
          <w:p w14:paraId="5ECBE66F">
            <w:pPr>
              <w:rPr>
                <w:rFonts w:ascii="Arial"/>
                <w:sz w:val="21"/>
                <w:highlight w:val="none"/>
              </w:rPr>
            </w:pPr>
          </w:p>
        </w:tc>
        <w:tc>
          <w:tcPr>
            <w:tcW w:w="822" w:type="dxa"/>
            <w:vAlign w:val="top"/>
          </w:tcPr>
          <w:p w14:paraId="311C0E36">
            <w:pPr>
              <w:rPr>
                <w:rFonts w:ascii="Arial"/>
                <w:sz w:val="21"/>
                <w:highlight w:val="none"/>
              </w:rPr>
            </w:pPr>
          </w:p>
        </w:tc>
      </w:tr>
      <w:tr w14:paraId="1AFA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80" w:type="dxa"/>
            <w:vAlign w:val="top"/>
          </w:tcPr>
          <w:p w14:paraId="2339A6F8">
            <w:pPr>
              <w:spacing w:line="243" w:lineRule="auto"/>
              <w:rPr>
                <w:rFonts w:ascii="Arial"/>
                <w:sz w:val="21"/>
                <w:highlight w:val="none"/>
              </w:rPr>
            </w:pPr>
          </w:p>
          <w:p w14:paraId="3161E3ED">
            <w:pPr>
              <w:pStyle w:val="14"/>
              <w:spacing w:before="78" w:line="316" w:lineRule="exact"/>
              <w:ind w:left="261"/>
              <w:rPr>
                <w:highlight w:val="none"/>
              </w:rPr>
            </w:pPr>
            <w:r>
              <w:rPr>
                <w:position w:val="1"/>
                <w:highlight w:val="none"/>
              </w:rPr>
              <w:t>4</w:t>
            </w:r>
          </w:p>
        </w:tc>
        <w:tc>
          <w:tcPr>
            <w:tcW w:w="1265" w:type="dxa"/>
            <w:vAlign w:val="top"/>
          </w:tcPr>
          <w:p w14:paraId="584BF618">
            <w:pPr>
              <w:rPr>
                <w:rFonts w:ascii="Arial"/>
                <w:sz w:val="21"/>
                <w:highlight w:val="none"/>
              </w:rPr>
            </w:pPr>
          </w:p>
        </w:tc>
        <w:tc>
          <w:tcPr>
            <w:tcW w:w="1294" w:type="dxa"/>
            <w:vAlign w:val="top"/>
          </w:tcPr>
          <w:p w14:paraId="4AD5786C">
            <w:pPr>
              <w:rPr>
                <w:rFonts w:ascii="Arial"/>
                <w:sz w:val="21"/>
                <w:highlight w:val="none"/>
              </w:rPr>
            </w:pPr>
          </w:p>
        </w:tc>
        <w:tc>
          <w:tcPr>
            <w:tcW w:w="1771" w:type="dxa"/>
            <w:vAlign w:val="top"/>
          </w:tcPr>
          <w:p w14:paraId="66B79660">
            <w:pPr>
              <w:rPr>
                <w:rFonts w:ascii="Arial"/>
                <w:sz w:val="21"/>
                <w:highlight w:val="none"/>
              </w:rPr>
            </w:pPr>
          </w:p>
        </w:tc>
        <w:tc>
          <w:tcPr>
            <w:tcW w:w="1886" w:type="dxa"/>
            <w:vAlign w:val="top"/>
          </w:tcPr>
          <w:p w14:paraId="7FA43C20">
            <w:pPr>
              <w:rPr>
                <w:rFonts w:ascii="Arial"/>
                <w:sz w:val="21"/>
                <w:highlight w:val="none"/>
              </w:rPr>
            </w:pPr>
          </w:p>
        </w:tc>
        <w:tc>
          <w:tcPr>
            <w:tcW w:w="1437" w:type="dxa"/>
            <w:vAlign w:val="top"/>
          </w:tcPr>
          <w:p w14:paraId="6CAC6189">
            <w:pPr>
              <w:rPr>
                <w:rFonts w:ascii="Arial"/>
                <w:sz w:val="21"/>
                <w:highlight w:val="none"/>
              </w:rPr>
            </w:pPr>
          </w:p>
        </w:tc>
        <w:tc>
          <w:tcPr>
            <w:tcW w:w="822" w:type="dxa"/>
            <w:vAlign w:val="top"/>
          </w:tcPr>
          <w:p w14:paraId="7347254C">
            <w:pPr>
              <w:rPr>
                <w:rFonts w:ascii="Arial"/>
                <w:sz w:val="21"/>
                <w:highlight w:val="none"/>
              </w:rPr>
            </w:pPr>
          </w:p>
        </w:tc>
      </w:tr>
      <w:tr w14:paraId="69A23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01721805">
            <w:pPr>
              <w:spacing w:line="245" w:lineRule="auto"/>
              <w:rPr>
                <w:rFonts w:ascii="Arial"/>
                <w:sz w:val="21"/>
                <w:highlight w:val="none"/>
              </w:rPr>
            </w:pPr>
          </w:p>
          <w:p w14:paraId="14DDD277">
            <w:pPr>
              <w:pStyle w:val="14"/>
              <w:spacing w:before="78" w:line="241" w:lineRule="auto"/>
              <w:ind w:left="267"/>
              <w:rPr>
                <w:highlight w:val="none"/>
              </w:rPr>
            </w:pPr>
            <w:r>
              <w:rPr>
                <w:highlight w:val="none"/>
              </w:rPr>
              <w:t>5</w:t>
            </w:r>
          </w:p>
        </w:tc>
        <w:tc>
          <w:tcPr>
            <w:tcW w:w="1265" w:type="dxa"/>
            <w:vAlign w:val="top"/>
          </w:tcPr>
          <w:p w14:paraId="08AE0620">
            <w:pPr>
              <w:rPr>
                <w:rFonts w:ascii="Arial"/>
                <w:sz w:val="21"/>
                <w:highlight w:val="none"/>
              </w:rPr>
            </w:pPr>
          </w:p>
        </w:tc>
        <w:tc>
          <w:tcPr>
            <w:tcW w:w="1294" w:type="dxa"/>
            <w:vAlign w:val="top"/>
          </w:tcPr>
          <w:p w14:paraId="2B50BFB0">
            <w:pPr>
              <w:rPr>
                <w:rFonts w:ascii="Arial"/>
                <w:sz w:val="21"/>
                <w:highlight w:val="none"/>
              </w:rPr>
            </w:pPr>
          </w:p>
        </w:tc>
        <w:tc>
          <w:tcPr>
            <w:tcW w:w="1771" w:type="dxa"/>
            <w:vAlign w:val="top"/>
          </w:tcPr>
          <w:p w14:paraId="33BCCFF9">
            <w:pPr>
              <w:rPr>
                <w:rFonts w:ascii="Arial"/>
                <w:sz w:val="21"/>
                <w:highlight w:val="none"/>
              </w:rPr>
            </w:pPr>
          </w:p>
        </w:tc>
        <w:tc>
          <w:tcPr>
            <w:tcW w:w="1886" w:type="dxa"/>
            <w:vAlign w:val="top"/>
          </w:tcPr>
          <w:p w14:paraId="5E203D76">
            <w:pPr>
              <w:rPr>
                <w:rFonts w:ascii="Arial"/>
                <w:sz w:val="21"/>
                <w:highlight w:val="none"/>
              </w:rPr>
            </w:pPr>
          </w:p>
        </w:tc>
        <w:tc>
          <w:tcPr>
            <w:tcW w:w="1437" w:type="dxa"/>
            <w:vAlign w:val="top"/>
          </w:tcPr>
          <w:p w14:paraId="1F7E148E">
            <w:pPr>
              <w:rPr>
                <w:rFonts w:ascii="Arial"/>
                <w:sz w:val="21"/>
                <w:highlight w:val="none"/>
              </w:rPr>
            </w:pPr>
          </w:p>
        </w:tc>
        <w:tc>
          <w:tcPr>
            <w:tcW w:w="822" w:type="dxa"/>
            <w:vAlign w:val="top"/>
          </w:tcPr>
          <w:p w14:paraId="37ECB961">
            <w:pPr>
              <w:rPr>
                <w:rFonts w:ascii="Arial"/>
                <w:sz w:val="21"/>
                <w:highlight w:val="none"/>
              </w:rPr>
            </w:pPr>
          </w:p>
        </w:tc>
      </w:tr>
      <w:tr w14:paraId="5F556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403C8449">
            <w:pPr>
              <w:spacing w:line="426" w:lineRule="auto"/>
              <w:rPr>
                <w:rFonts w:ascii="Arial"/>
                <w:sz w:val="21"/>
                <w:highlight w:val="none"/>
              </w:rPr>
            </w:pPr>
          </w:p>
          <w:p w14:paraId="1BDF8370">
            <w:pPr>
              <w:pStyle w:val="14"/>
              <w:spacing w:before="78" w:line="94" w:lineRule="exact"/>
              <w:ind w:left="210"/>
              <w:rPr>
                <w:highlight w:val="none"/>
              </w:rPr>
            </w:pPr>
            <w:r>
              <w:rPr>
                <w:position w:val="2"/>
                <w:highlight w:val="none"/>
              </w:rPr>
              <w:t>..</w:t>
            </w:r>
          </w:p>
        </w:tc>
        <w:tc>
          <w:tcPr>
            <w:tcW w:w="1265" w:type="dxa"/>
            <w:vAlign w:val="top"/>
          </w:tcPr>
          <w:p w14:paraId="5CDF4DD0">
            <w:pPr>
              <w:rPr>
                <w:rFonts w:ascii="Arial"/>
                <w:sz w:val="21"/>
                <w:highlight w:val="none"/>
              </w:rPr>
            </w:pPr>
          </w:p>
        </w:tc>
        <w:tc>
          <w:tcPr>
            <w:tcW w:w="1294" w:type="dxa"/>
            <w:vAlign w:val="top"/>
          </w:tcPr>
          <w:p w14:paraId="6CB63C4D">
            <w:pPr>
              <w:rPr>
                <w:rFonts w:ascii="Arial"/>
                <w:sz w:val="21"/>
                <w:highlight w:val="none"/>
              </w:rPr>
            </w:pPr>
          </w:p>
        </w:tc>
        <w:tc>
          <w:tcPr>
            <w:tcW w:w="1771" w:type="dxa"/>
            <w:vAlign w:val="top"/>
          </w:tcPr>
          <w:p w14:paraId="4DF6D4E6">
            <w:pPr>
              <w:rPr>
                <w:rFonts w:ascii="Arial"/>
                <w:sz w:val="21"/>
                <w:highlight w:val="none"/>
              </w:rPr>
            </w:pPr>
          </w:p>
        </w:tc>
        <w:tc>
          <w:tcPr>
            <w:tcW w:w="1886" w:type="dxa"/>
            <w:vAlign w:val="top"/>
          </w:tcPr>
          <w:p w14:paraId="40161685">
            <w:pPr>
              <w:rPr>
                <w:rFonts w:ascii="Arial"/>
                <w:sz w:val="21"/>
                <w:highlight w:val="none"/>
              </w:rPr>
            </w:pPr>
          </w:p>
        </w:tc>
        <w:tc>
          <w:tcPr>
            <w:tcW w:w="1437" w:type="dxa"/>
            <w:vAlign w:val="top"/>
          </w:tcPr>
          <w:p w14:paraId="6C0C67B4">
            <w:pPr>
              <w:rPr>
                <w:rFonts w:ascii="Arial"/>
                <w:sz w:val="21"/>
                <w:highlight w:val="none"/>
              </w:rPr>
            </w:pPr>
          </w:p>
        </w:tc>
        <w:tc>
          <w:tcPr>
            <w:tcW w:w="822" w:type="dxa"/>
            <w:vAlign w:val="top"/>
          </w:tcPr>
          <w:p w14:paraId="0B27E666">
            <w:pPr>
              <w:rPr>
                <w:rFonts w:ascii="Arial"/>
                <w:sz w:val="21"/>
                <w:highlight w:val="none"/>
              </w:rPr>
            </w:pPr>
          </w:p>
        </w:tc>
      </w:tr>
      <w:tr w14:paraId="0415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6EC29322">
            <w:pPr>
              <w:spacing w:line="427" w:lineRule="auto"/>
              <w:rPr>
                <w:rFonts w:ascii="Arial"/>
                <w:sz w:val="21"/>
                <w:highlight w:val="none"/>
              </w:rPr>
            </w:pPr>
          </w:p>
          <w:p w14:paraId="687C7680">
            <w:pPr>
              <w:pStyle w:val="14"/>
              <w:spacing w:before="78" w:line="93" w:lineRule="exact"/>
              <w:ind w:left="210"/>
              <w:rPr>
                <w:highlight w:val="none"/>
              </w:rPr>
            </w:pPr>
            <w:r>
              <w:rPr>
                <w:position w:val="2"/>
                <w:highlight w:val="none"/>
              </w:rPr>
              <w:t>..</w:t>
            </w:r>
          </w:p>
        </w:tc>
        <w:tc>
          <w:tcPr>
            <w:tcW w:w="1265" w:type="dxa"/>
            <w:vAlign w:val="top"/>
          </w:tcPr>
          <w:p w14:paraId="683D1D71">
            <w:pPr>
              <w:rPr>
                <w:rFonts w:ascii="Arial"/>
                <w:sz w:val="21"/>
                <w:highlight w:val="none"/>
              </w:rPr>
            </w:pPr>
          </w:p>
        </w:tc>
        <w:tc>
          <w:tcPr>
            <w:tcW w:w="1294" w:type="dxa"/>
            <w:vAlign w:val="top"/>
          </w:tcPr>
          <w:p w14:paraId="1A6F2656">
            <w:pPr>
              <w:rPr>
                <w:rFonts w:ascii="Arial"/>
                <w:sz w:val="21"/>
                <w:highlight w:val="none"/>
              </w:rPr>
            </w:pPr>
          </w:p>
        </w:tc>
        <w:tc>
          <w:tcPr>
            <w:tcW w:w="1771" w:type="dxa"/>
            <w:vAlign w:val="top"/>
          </w:tcPr>
          <w:p w14:paraId="71F1ABF4">
            <w:pPr>
              <w:rPr>
                <w:rFonts w:ascii="Arial"/>
                <w:sz w:val="21"/>
                <w:highlight w:val="none"/>
              </w:rPr>
            </w:pPr>
          </w:p>
        </w:tc>
        <w:tc>
          <w:tcPr>
            <w:tcW w:w="1886" w:type="dxa"/>
            <w:vAlign w:val="top"/>
          </w:tcPr>
          <w:p w14:paraId="4C0A39EA">
            <w:pPr>
              <w:rPr>
                <w:rFonts w:ascii="Arial"/>
                <w:sz w:val="21"/>
                <w:highlight w:val="none"/>
              </w:rPr>
            </w:pPr>
          </w:p>
        </w:tc>
        <w:tc>
          <w:tcPr>
            <w:tcW w:w="1437" w:type="dxa"/>
            <w:vAlign w:val="top"/>
          </w:tcPr>
          <w:p w14:paraId="09CEB1B5">
            <w:pPr>
              <w:rPr>
                <w:rFonts w:ascii="Arial"/>
                <w:sz w:val="21"/>
                <w:highlight w:val="none"/>
              </w:rPr>
            </w:pPr>
          </w:p>
        </w:tc>
        <w:tc>
          <w:tcPr>
            <w:tcW w:w="822" w:type="dxa"/>
            <w:vAlign w:val="top"/>
          </w:tcPr>
          <w:p w14:paraId="00F7FDA7">
            <w:pPr>
              <w:rPr>
                <w:rFonts w:ascii="Arial"/>
                <w:sz w:val="21"/>
                <w:highlight w:val="none"/>
              </w:rPr>
            </w:pPr>
          </w:p>
        </w:tc>
      </w:tr>
      <w:tr w14:paraId="066F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3ED35E38">
            <w:pPr>
              <w:spacing w:line="430" w:lineRule="auto"/>
              <w:rPr>
                <w:rFonts w:ascii="Arial"/>
                <w:sz w:val="21"/>
                <w:highlight w:val="none"/>
              </w:rPr>
            </w:pPr>
          </w:p>
          <w:p w14:paraId="05ACF478">
            <w:pPr>
              <w:pStyle w:val="14"/>
              <w:spacing w:before="78" w:line="93" w:lineRule="exact"/>
              <w:ind w:left="210"/>
              <w:rPr>
                <w:highlight w:val="none"/>
              </w:rPr>
            </w:pPr>
            <w:r>
              <w:rPr>
                <w:position w:val="2"/>
                <w:highlight w:val="none"/>
              </w:rPr>
              <w:t>..</w:t>
            </w:r>
          </w:p>
        </w:tc>
        <w:tc>
          <w:tcPr>
            <w:tcW w:w="1265" w:type="dxa"/>
            <w:vAlign w:val="top"/>
          </w:tcPr>
          <w:p w14:paraId="758BC783">
            <w:pPr>
              <w:rPr>
                <w:rFonts w:ascii="Arial"/>
                <w:sz w:val="21"/>
                <w:highlight w:val="none"/>
              </w:rPr>
            </w:pPr>
          </w:p>
        </w:tc>
        <w:tc>
          <w:tcPr>
            <w:tcW w:w="1294" w:type="dxa"/>
            <w:vAlign w:val="top"/>
          </w:tcPr>
          <w:p w14:paraId="3C807B3E">
            <w:pPr>
              <w:rPr>
                <w:rFonts w:ascii="Arial"/>
                <w:sz w:val="21"/>
                <w:highlight w:val="none"/>
              </w:rPr>
            </w:pPr>
          </w:p>
        </w:tc>
        <w:tc>
          <w:tcPr>
            <w:tcW w:w="1771" w:type="dxa"/>
            <w:vAlign w:val="top"/>
          </w:tcPr>
          <w:p w14:paraId="13DED801">
            <w:pPr>
              <w:rPr>
                <w:rFonts w:ascii="Arial"/>
                <w:sz w:val="21"/>
                <w:highlight w:val="none"/>
              </w:rPr>
            </w:pPr>
          </w:p>
        </w:tc>
        <w:tc>
          <w:tcPr>
            <w:tcW w:w="1886" w:type="dxa"/>
            <w:vAlign w:val="top"/>
          </w:tcPr>
          <w:p w14:paraId="43452122">
            <w:pPr>
              <w:rPr>
                <w:rFonts w:ascii="Arial"/>
                <w:sz w:val="21"/>
                <w:highlight w:val="none"/>
              </w:rPr>
            </w:pPr>
          </w:p>
        </w:tc>
        <w:tc>
          <w:tcPr>
            <w:tcW w:w="1437" w:type="dxa"/>
            <w:vAlign w:val="top"/>
          </w:tcPr>
          <w:p w14:paraId="6FB549B8">
            <w:pPr>
              <w:rPr>
                <w:rFonts w:ascii="Arial"/>
                <w:sz w:val="21"/>
                <w:highlight w:val="none"/>
              </w:rPr>
            </w:pPr>
          </w:p>
        </w:tc>
        <w:tc>
          <w:tcPr>
            <w:tcW w:w="822" w:type="dxa"/>
            <w:vAlign w:val="top"/>
          </w:tcPr>
          <w:p w14:paraId="73C0DA07">
            <w:pPr>
              <w:rPr>
                <w:rFonts w:ascii="Arial"/>
                <w:sz w:val="21"/>
                <w:highlight w:val="none"/>
              </w:rPr>
            </w:pPr>
          </w:p>
        </w:tc>
      </w:tr>
      <w:tr w14:paraId="4730F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0" w:type="dxa"/>
            <w:vAlign w:val="top"/>
          </w:tcPr>
          <w:p w14:paraId="70068B72">
            <w:pPr>
              <w:spacing w:line="430" w:lineRule="auto"/>
              <w:rPr>
                <w:rFonts w:ascii="Arial"/>
                <w:sz w:val="21"/>
                <w:highlight w:val="none"/>
              </w:rPr>
            </w:pPr>
          </w:p>
          <w:p w14:paraId="3EB6496F">
            <w:pPr>
              <w:pStyle w:val="14"/>
              <w:spacing w:before="78" w:line="93" w:lineRule="exact"/>
              <w:ind w:left="210"/>
              <w:rPr>
                <w:highlight w:val="none"/>
              </w:rPr>
            </w:pPr>
            <w:r>
              <w:rPr>
                <w:position w:val="2"/>
                <w:highlight w:val="none"/>
              </w:rPr>
              <w:t>..</w:t>
            </w:r>
          </w:p>
        </w:tc>
        <w:tc>
          <w:tcPr>
            <w:tcW w:w="1265" w:type="dxa"/>
            <w:vAlign w:val="top"/>
          </w:tcPr>
          <w:p w14:paraId="6374C7FE">
            <w:pPr>
              <w:rPr>
                <w:rFonts w:ascii="Arial"/>
                <w:sz w:val="21"/>
                <w:highlight w:val="none"/>
              </w:rPr>
            </w:pPr>
          </w:p>
        </w:tc>
        <w:tc>
          <w:tcPr>
            <w:tcW w:w="1294" w:type="dxa"/>
            <w:vAlign w:val="top"/>
          </w:tcPr>
          <w:p w14:paraId="7F5249E2">
            <w:pPr>
              <w:rPr>
                <w:rFonts w:ascii="Arial"/>
                <w:sz w:val="21"/>
                <w:highlight w:val="none"/>
              </w:rPr>
            </w:pPr>
          </w:p>
        </w:tc>
        <w:tc>
          <w:tcPr>
            <w:tcW w:w="1771" w:type="dxa"/>
            <w:vAlign w:val="top"/>
          </w:tcPr>
          <w:p w14:paraId="53495DC9">
            <w:pPr>
              <w:rPr>
                <w:rFonts w:ascii="Arial"/>
                <w:sz w:val="21"/>
                <w:highlight w:val="none"/>
              </w:rPr>
            </w:pPr>
          </w:p>
        </w:tc>
        <w:tc>
          <w:tcPr>
            <w:tcW w:w="1886" w:type="dxa"/>
            <w:vAlign w:val="top"/>
          </w:tcPr>
          <w:p w14:paraId="08271BA9">
            <w:pPr>
              <w:rPr>
                <w:rFonts w:ascii="Arial"/>
                <w:sz w:val="21"/>
                <w:highlight w:val="none"/>
              </w:rPr>
            </w:pPr>
          </w:p>
        </w:tc>
        <w:tc>
          <w:tcPr>
            <w:tcW w:w="1437" w:type="dxa"/>
            <w:vAlign w:val="top"/>
          </w:tcPr>
          <w:p w14:paraId="08ADFC81">
            <w:pPr>
              <w:rPr>
                <w:rFonts w:ascii="Arial"/>
                <w:sz w:val="21"/>
                <w:highlight w:val="none"/>
              </w:rPr>
            </w:pPr>
          </w:p>
        </w:tc>
        <w:tc>
          <w:tcPr>
            <w:tcW w:w="822" w:type="dxa"/>
            <w:vAlign w:val="top"/>
          </w:tcPr>
          <w:p w14:paraId="5F4D7D4B">
            <w:pPr>
              <w:rPr>
                <w:rFonts w:ascii="Arial"/>
                <w:sz w:val="21"/>
                <w:highlight w:val="none"/>
              </w:rPr>
            </w:pPr>
          </w:p>
        </w:tc>
      </w:tr>
      <w:tr w14:paraId="54A0E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14:paraId="1F7A0A45">
            <w:pPr>
              <w:spacing w:line="440" w:lineRule="auto"/>
              <w:rPr>
                <w:rFonts w:ascii="Arial"/>
                <w:sz w:val="21"/>
                <w:highlight w:val="none"/>
              </w:rPr>
            </w:pPr>
          </w:p>
          <w:p w14:paraId="0E413269">
            <w:pPr>
              <w:pStyle w:val="14"/>
              <w:spacing w:before="78" w:line="93" w:lineRule="exact"/>
              <w:ind w:left="210"/>
              <w:rPr>
                <w:highlight w:val="none"/>
              </w:rPr>
            </w:pPr>
            <w:r>
              <w:rPr>
                <w:position w:val="2"/>
                <w:highlight w:val="none"/>
              </w:rPr>
              <w:t>..</w:t>
            </w:r>
          </w:p>
        </w:tc>
        <w:tc>
          <w:tcPr>
            <w:tcW w:w="1265" w:type="dxa"/>
            <w:vAlign w:val="top"/>
          </w:tcPr>
          <w:p w14:paraId="25927CC3">
            <w:pPr>
              <w:rPr>
                <w:rFonts w:ascii="Arial"/>
                <w:sz w:val="21"/>
                <w:highlight w:val="none"/>
              </w:rPr>
            </w:pPr>
          </w:p>
        </w:tc>
        <w:tc>
          <w:tcPr>
            <w:tcW w:w="1294" w:type="dxa"/>
            <w:vAlign w:val="top"/>
          </w:tcPr>
          <w:p w14:paraId="7BABA7AB">
            <w:pPr>
              <w:rPr>
                <w:rFonts w:ascii="Arial"/>
                <w:sz w:val="21"/>
                <w:highlight w:val="none"/>
              </w:rPr>
            </w:pPr>
          </w:p>
        </w:tc>
        <w:tc>
          <w:tcPr>
            <w:tcW w:w="1771" w:type="dxa"/>
            <w:vAlign w:val="top"/>
          </w:tcPr>
          <w:p w14:paraId="759ED6D8">
            <w:pPr>
              <w:rPr>
                <w:rFonts w:ascii="Arial"/>
                <w:sz w:val="21"/>
                <w:highlight w:val="none"/>
              </w:rPr>
            </w:pPr>
          </w:p>
        </w:tc>
        <w:tc>
          <w:tcPr>
            <w:tcW w:w="1886" w:type="dxa"/>
            <w:vAlign w:val="top"/>
          </w:tcPr>
          <w:p w14:paraId="2DD8F094">
            <w:pPr>
              <w:rPr>
                <w:rFonts w:ascii="Arial"/>
                <w:sz w:val="21"/>
                <w:highlight w:val="none"/>
              </w:rPr>
            </w:pPr>
          </w:p>
        </w:tc>
        <w:tc>
          <w:tcPr>
            <w:tcW w:w="1437" w:type="dxa"/>
            <w:vAlign w:val="top"/>
          </w:tcPr>
          <w:p w14:paraId="44A42EB7">
            <w:pPr>
              <w:rPr>
                <w:rFonts w:ascii="Arial"/>
                <w:sz w:val="21"/>
                <w:highlight w:val="none"/>
              </w:rPr>
            </w:pPr>
          </w:p>
        </w:tc>
        <w:tc>
          <w:tcPr>
            <w:tcW w:w="822" w:type="dxa"/>
            <w:vAlign w:val="top"/>
          </w:tcPr>
          <w:p w14:paraId="1DD5CA78">
            <w:pPr>
              <w:rPr>
                <w:rFonts w:ascii="Arial"/>
                <w:sz w:val="21"/>
                <w:highlight w:val="none"/>
              </w:rPr>
            </w:pPr>
          </w:p>
        </w:tc>
      </w:tr>
    </w:tbl>
    <w:p w14:paraId="6FA559E5">
      <w:pPr>
        <w:rPr>
          <w:rFonts w:ascii="Arial"/>
          <w:sz w:val="21"/>
          <w:highlight w:val="none"/>
        </w:rPr>
      </w:pPr>
    </w:p>
    <w:p w14:paraId="28B6F775">
      <w:pPr>
        <w:pStyle w:val="6"/>
        <w:spacing w:before="330" w:line="229" w:lineRule="auto"/>
        <w:ind w:left="3249"/>
        <w:outlineLvl w:val="1"/>
        <w:rPr>
          <w:highlight w:val="none"/>
        </w:rPr>
      </w:pPr>
      <w:r>
        <w:rPr>
          <w:b/>
          <w:bCs/>
          <w:spacing w:val="5"/>
          <w:highlight w:val="none"/>
        </w:rPr>
        <w:br w:type="page"/>
      </w:r>
      <w:r>
        <w:rPr>
          <w:b/>
          <w:bCs/>
          <w:spacing w:val="5"/>
          <w:highlight w:val="none"/>
        </w:rPr>
        <w:t>九、技术方案</w:t>
      </w:r>
    </w:p>
    <w:p w14:paraId="006FC3B1">
      <w:pPr>
        <w:spacing w:line="243" w:lineRule="auto"/>
        <w:rPr>
          <w:rFonts w:ascii="Arial"/>
          <w:sz w:val="21"/>
          <w:highlight w:val="none"/>
        </w:rPr>
      </w:pPr>
    </w:p>
    <w:p w14:paraId="288F1356">
      <w:pPr>
        <w:pStyle w:val="6"/>
        <w:spacing w:before="78" w:line="346" w:lineRule="auto"/>
        <w:ind w:left="41" w:right="145" w:firstLine="479"/>
        <w:rPr>
          <w:sz w:val="24"/>
          <w:szCs w:val="24"/>
          <w:highlight w:val="none"/>
        </w:rPr>
      </w:pPr>
      <w:r>
        <w:rPr>
          <w:spacing w:val="-4"/>
          <w:sz w:val="24"/>
          <w:szCs w:val="24"/>
          <w:highlight w:val="none"/>
        </w:rPr>
        <w:t>投标人应按照招标文件的要求，提供详细的供货及相关服务方案，包括文字描</w:t>
      </w:r>
      <w:r>
        <w:rPr>
          <w:spacing w:val="-3"/>
          <w:sz w:val="24"/>
          <w:szCs w:val="24"/>
          <w:highlight w:val="none"/>
        </w:rPr>
        <w:t>述或图表显示。格式自拟。</w:t>
      </w:r>
    </w:p>
    <w:p w14:paraId="1EE5E850">
      <w:pPr>
        <w:spacing w:line="269" w:lineRule="auto"/>
        <w:rPr>
          <w:rFonts w:ascii="Arial"/>
          <w:sz w:val="21"/>
          <w:highlight w:val="none"/>
        </w:rPr>
      </w:pPr>
    </w:p>
    <w:p w14:paraId="310FAB05">
      <w:pPr>
        <w:pStyle w:val="6"/>
        <w:spacing w:before="98" w:line="228" w:lineRule="auto"/>
        <w:ind w:left="3084"/>
        <w:outlineLvl w:val="1"/>
        <w:rPr>
          <w:highlight w:val="none"/>
        </w:rPr>
      </w:pPr>
      <w:r>
        <w:rPr>
          <w:b/>
          <w:bCs/>
          <w:spacing w:val="7"/>
          <w:highlight w:val="none"/>
        </w:rPr>
        <w:t>十、其他文件</w:t>
      </w:r>
    </w:p>
    <w:p w14:paraId="6DBBC3FF">
      <w:pPr>
        <w:spacing w:line="303" w:lineRule="auto"/>
        <w:rPr>
          <w:rFonts w:ascii="Arial"/>
          <w:sz w:val="21"/>
          <w:highlight w:val="none"/>
        </w:rPr>
      </w:pPr>
    </w:p>
    <w:p w14:paraId="6088C6B9">
      <w:pPr>
        <w:pStyle w:val="6"/>
        <w:spacing w:before="91" w:line="221" w:lineRule="auto"/>
        <w:ind w:left="52"/>
        <w:rPr>
          <w:sz w:val="28"/>
          <w:szCs w:val="28"/>
          <w:highlight w:val="none"/>
        </w:rPr>
      </w:pPr>
      <w:r>
        <w:rPr>
          <w:b/>
          <w:bCs/>
          <w:spacing w:val="-6"/>
          <w:sz w:val="28"/>
          <w:szCs w:val="28"/>
          <w:highlight w:val="none"/>
        </w:rPr>
        <w:t>（一）招标文件要求提供的其它商务、技术资料和证明材料；</w:t>
      </w:r>
    </w:p>
    <w:p w14:paraId="25A8A312">
      <w:pPr>
        <w:spacing w:line="252" w:lineRule="auto"/>
        <w:rPr>
          <w:rFonts w:ascii="Arial"/>
          <w:sz w:val="21"/>
          <w:highlight w:val="none"/>
        </w:rPr>
      </w:pPr>
    </w:p>
    <w:p w14:paraId="1C9FB159">
      <w:pPr>
        <w:spacing w:line="252" w:lineRule="auto"/>
        <w:rPr>
          <w:rFonts w:ascii="Arial"/>
          <w:sz w:val="21"/>
          <w:highlight w:val="none"/>
        </w:rPr>
      </w:pPr>
    </w:p>
    <w:p w14:paraId="0BF593A4">
      <w:pPr>
        <w:spacing w:line="252" w:lineRule="auto"/>
        <w:rPr>
          <w:rFonts w:ascii="Arial"/>
          <w:sz w:val="21"/>
          <w:highlight w:val="none"/>
        </w:rPr>
      </w:pPr>
    </w:p>
    <w:p w14:paraId="5FA96617">
      <w:pPr>
        <w:spacing w:line="253" w:lineRule="auto"/>
        <w:rPr>
          <w:rFonts w:ascii="Arial"/>
          <w:sz w:val="21"/>
          <w:highlight w:val="none"/>
        </w:rPr>
      </w:pPr>
    </w:p>
    <w:p w14:paraId="79FEAC2B">
      <w:pPr>
        <w:spacing w:line="253" w:lineRule="auto"/>
        <w:rPr>
          <w:rFonts w:ascii="Arial"/>
          <w:sz w:val="21"/>
          <w:highlight w:val="none"/>
        </w:rPr>
      </w:pPr>
    </w:p>
    <w:p w14:paraId="27735CA3">
      <w:pPr>
        <w:spacing w:line="253" w:lineRule="auto"/>
        <w:rPr>
          <w:rFonts w:ascii="Arial"/>
          <w:sz w:val="21"/>
          <w:highlight w:val="none"/>
        </w:rPr>
      </w:pPr>
    </w:p>
    <w:p w14:paraId="37E47764">
      <w:pPr>
        <w:pStyle w:val="6"/>
        <w:spacing w:before="91" w:line="221" w:lineRule="auto"/>
        <w:ind w:left="52"/>
        <w:rPr>
          <w:sz w:val="28"/>
          <w:szCs w:val="28"/>
          <w:highlight w:val="none"/>
        </w:rPr>
      </w:pPr>
      <w:r>
        <w:rPr>
          <w:b/>
          <w:bCs/>
          <w:spacing w:val="-6"/>
          <w:sz w:val="28"/>
          <w:szCs w:val="28"/>
          <w:highlight w:val="none"/>
        </w:rPr>
        <w:t>（二）投标人认为需要提供的其它商务、技术资料和说明。</w:t>
      </w:r>
    </w:p>
    <w:p w14:paraId="73575082">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E5EF">
    <w:pPr>
      <w:spacing w:line="196" w:lineRule="auto"/>
      <w:ind w:left="4283"/>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B4E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6F75"/>
    <w:multiLevelType w:val="singleLevel"/>
    <w:tmpl w:val="A3A96F75"/>
    <w:lvl w:ilvl="0" w:tentative="0">
      <w:start w:val="1"/>
      <w:numFmt w:val="decimal"/>
      <w:suff w:val="space"/>
      <w:lvlText w:val="%1."/>
      <w:lvlJc w:val="left"/>
    </w:lvl>
  </w:abstractNum>
  <w:abstractNum w:abstractNumId="1">
    <w:nsid w:val="F7D7AAC7"/>
    <w:multiLevelType w:val="singleLevel"/>
    <w:tmpl w:val="F7D7AAC7"/>
    <w:lvl w:ilvl="0" w:tentative="0">
      <w:start w:val="1"/>
      <w:numFmt w:val="decimal"/>
      <w:suff w:val="space"/>
      <w:lvlText w:val="%1."/>
      <w:lvlJc w:val="left"/>
    </w:lvl>
  </w:abstractNum>
  <w:abstractNum w:abstractNumId="2">
    <w:nsid w:val="01B79D21"/>
    <w:multiLevelType w:val="singleLevel"/>
    <w:tmpl w:val="01B79D21"/>
    <w:lvl w:ilvl="0" w:tentative="0">
      <w:start w:val="1"/>
      <w:numFmt w:val="decimal"/>
      <w:suff w:val="space"/>
      <w:lvlText w:val="%1."/>
      <w:lvlJc w:val="left"/>
    </w:lvl>
  </w:abstractNum>
  <w:abstractNum w:abstractNumId="3">
    <w:nsid w:val="065A5B6D"/>
    <w:multiLevelType w:val="singleLevel"/>
    <w:tmpl w:val="065A5B6D"/>
    <w:lvl w:ilvl="0" w:tentative="0">
      <w:start w:val="1"/>
      <w:numFmt w:val="decimal"/>
      <w:suff w:val="space"/>
      <w:lvlText w:val="%1."/>
      <w:lvlJc w:val="left"/>
    </w:lvl>
  </w:abstractNum>
  <w:abstractNum w:abstractNumId="4">
    <w:nsid w:val="11E5CAE8"/>
    <w:multiLevelType w:val="singleLevel"/>
    <w:tmpl w:val="11E5CAE8"/>
    <w:lvl w:ilvl="0" w:tentative="0">
      <w:start w:val="1"/>
      <w:numFmt w:val="decimal"/>
      <w:suff w:val="space"/>
      <w:lvlText w:val="%1."/>
      <w:lvlJc w:val="left"/>
    </w:lvl>
  </w:abstractNum>
  <w:abstractNum w:abstractNumId="5">
    <w:nsid w:val="1BB84D2D"/>
    <w:multiLevelType w:val="singleLevel"/>
    <w:tmpl w:val="1BB84D2D"/>
    <w:lvl w:ilvl="0" w:tentative="0">
      <w:start w:val="1"/>
      <w:numFmt w:val="decimal"/>
      <w:suff w:val="space"/>
      <w:lvlText w:val="%1."/>
      <w:lvlJc w:val="left"/>
    </w:lvl>
  </w:abstractNum>
  <w:abstractNum w:abstractNumId="6">
    <w:nsid w:val="4FADDAB3"/>
    <w:multiLevelType w:val="singleLevel"/>
    <w:tmpl w:val="4FADDAB3"/>
    <w:lvl w:ilvl="0" w:tentative="0">
      <w:start w:val="2"/>
      <w:numFmt w:val="decimal"/>
      <w:lvlText w:val="%1."/>
      <w:lvlJc w:val="left"/>
      <w:pPr>
        <w:tabs>
          <w:tab w:val="left" w:pos="312"/>
        </w:tabs>
      </w:pPr>
    </w:lvl>
  </w:abstractNum>
  <w:abstractNum w:abstractNumId="7">
    <w:nsid w:val="4FD096D1"/>
    <w:multiLevelType w:val="singleLevel"/>
    <w:tmpl w:val="4FD096D1"/>
    <w:lvl w:ilvl="0" w:tentative="0">
      <w:start w:val="1"/>
      <w:numFmt w:val="decimal"/>
      <w:suff w:val="space"/>
      <w:lvlText w:val="%1."/>
      <w:lvlJc w:val="left"/>
    </w:lvl>
  </w:abstractNum>
  <w:abstractNum w:abstractNumId="8">
    <w:nsid w:val="504A9F10"/>
    <w:multiLevelType w:val="singleLevel"/>
    <w:tmpl w:val="504A9F10"/>
    <w:lvl w:ilvl="0" w:tentative="0">
      <w:start w:val="1"/>
      <w:numFmt w:val="decimal"/>
      <w:suff w:val="space"/>
      <w:lvlText w:val="%1."/>
      <w:lvlJc w:val="left"/>
    </w:lvl>
  </w:abstractNum>
  <w:abstractNum w:abstractNumId="9">
    <w:nsid w:val="6CC622A7"/>
    <w:multiLevelType w:val="singleLevel"/>
    <w:tmpl w:val="6CC622A7"/>
    <w:lvl w:ilvl="0" w:tentative="0">
      <w:start w:val="2"/>
      <w:numFmt w:val="decimal"/>
      <w:suff w:val="space"/>
      <w:lvlText w:val="%1."/>
      <w:lvlJc w:val="left"/>
    </w:lvl>
  </w:abstractNum>
  <w:abstractNum w:abstractNumId="10">
    <w:nsid w:val="7FFE2A32"/>
    <w:multiLevelType w:val="singleLevel"/>
    <w:tmpl w:val="7FFE2A32"/>
    <w:lvl w:ilvl="0" w:tentative="0">
      <w:start w:val="1"/>
      <w:numFmt w:val="decimal"/>
      <w:suff w:val="space"/>
      <w:lvlText w:val="%1."/>
      <w:lvlJc w:val="left"/>
    </w:lvl>
  </w:abstractNum>
  <w:num w:numId="1">
    <w:abstractNumId w:val="9"/>
  </w:num>
  <w:num w:numId="2">
    <w:abstractNumId w:val="6"/>
  </w:num>
  <w:num w:numId="3">
    <w:abstractNumId w:val="1"/>
  </w:num>
  <w:num w:numId="4">
    <w:abstractNumId w:val="3"/>
  </w:num>
  <w:num w:numId="5">
    <w:abstractNumId w:val="0"/>
  </w:num>
  <w:num w:numId="6">
    <w:abstractNumId w:val="8"/>
  </w:num>
  <w:num w:numId="7">
    <w:abstractNumId w:val="10"/>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E06DE"/>
    <w:rsid w:val="0E2E561F"/>
    <w:rsid w:val="0F410D2C"/>
    <w:rsid w:val="1053215A"/>
    <w:rsid w:val="12CE13A0"/>
    <w:rsid w:val="14435ECB"/>
    <w:rsid w:val="19C05ED6"/>
    <w:rsid w:val="1D154C0C"/>
    <w:rsid w:val="200D3261"/>
    <w:rsid w:val="30523C52"/>
    <w:rsid w:val="3EE747BF"/>
    <w:rsid w:val="42014C57"/>
    <w:rsid w:val="43741014"/>
    <w:rsid w:val="437E221E"/>
    <w:rsid w:val="44F375CD"/>
    <w:rsid w:val="45921C25"/>
    <w:rsid w:val="48DE10AD"/>
    <w:rsid w:val="4FED4628"/>
    <w:rsid w:val="506A5C79"/>
    <w:rsid w:val="56C642A9"/>
    <w:rsid w:val="62473220"/>
    <w:rsid w:val="626F338E"/>
    <w:rsid w:val="661D5D5D"/>
    <w:rsid w:val="6A791151"/>
    <w:rsid w:val="6CBE06DE"/>
    <w:rsid w:val="751E5916"/>
    <w:rsid w:val="782C59CD"/>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qFormat/>
    <w:uiPriority w:val="0"/>
    <w:pPr>
      <w:outlineLvl w:val="2"/>
    </w:pPr>
    <w:rPr>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6"/>
    <w:basedOn w:val="5"/>
    <w:next w:val="5"/>
    <w:unhideWhenUsed/>
    <w:qFormat/>
    <w:uiPriority w:val="99"/>
    <w:pPr>
      <w:ind w:left="1000" w:leftChars="1000"/>
    </w:pPr>
  </w:style>
  <w:style w:type="paragraph" w:customStyle="1" w:styleId="5">
    <w:name w:val="正文_21_0"/>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Body Text"/>
    <w:basedOn w:val="1"/>
    <w:next w:val="1"/>
    <w:semiHidden/>
    <w:qFormat/>
    <w:uiPriority w:val="0"/>
    <w:rPr>
      <w:rFonts w:ascii="仿宋" w:hAnsi="仿宋" w:eastAsia="仿宋" w:cs="仿宋"/>
      <w:sz w:val="30"/>
      <w:szCs w:val="30"/>
      <w:lang w:val="en-US" w:eastAsia="en-US" w:bidi="ar-SA"/>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黑体" w:hAnsi="黑体"/>
      <w:sz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character" w:customStyle="1" w:styleId="15">
    <w:name w:val="NormalCharacter"/>
    <w:link w:val="16"/>
    <w:qFormat/>
    <w:uiPriority w:val="0"/>
  </w:style>
  <w:style w:type="paragraph" w:customStyle="1" w:styleId="16">
    <w:name w:val="UserStyle_5"/>
    <w:basedOn w:val="1"/>
    <w:link w:val="15"/>
    <w:qFormat/>
    <w:uiPriority w:val="0"/>
    <w:pPr>
      <w:widowControl/>
      <w:spacing w:after="160" w:line="240" w:lineRule="exact"/>
      <w:jc w:val="left"/>
      <w:textAlignment w:val="baseline"/>
    </w:pPr>
  </w:style>
  <w:style w:type="character" w:customStyle="1" w:styleId="17">
    <w:name w:val="Page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15025</Words>
  <Characters>16159</Characters>
  <Lines>0</Lines>
  <Paragraphs>0</Paragraphs>
  <TotalTime>0</TotalTime>
  <ScaleCrop>false</ScaleCrop>
  <LinksUpToDate>false</LinksUpToDate>
  <CharactersWithSpaces>16517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2026-04-29T09:57:00Z</dcterms:created>
  <dc:creator>欢欢~</dc:creator>
  <cp:lastModifiedBy>欢欢~</cp:lastModifiedBy>
  <cp:lastPrinted>2026-04-29T13:15:00Z</cp:lastPrinted>
  <dcterms:modified xsi:type="dcterms:W3CDTF">2026-05-11T04:59:11Z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92BED927B2884D0D9D48749CDC1C4FAD_13</vt:lpwstr>
  </property>
  <property fmtid="{D5CDD505-2E9C-101B-9397-08002B2CF9AE}" pid="4" name="KSOTemplateDocerSaveRecord">
    <vt:lpwstr>eyJoZGlkIjoiZDY2ZWQ5MmU1YTM5MjFiNmM1YmRkMGZlOWQ0OWJiNWIiLCJ1c2VySWQiOiI1NjAyNjQ4MTUifQ==</vt:lpwstr>
  </property>
</Properties>
</file>