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56742">
      <w:pPr>
        <w:jc w:val="center"/>
        <w:rPr>
          <w:rFonts w:hint="eastAsia" w:ascii="宋体" w:hAnsi="宋体" w:eastAsia="宋体" w:cs="宋体"/>
          <w:color w:val="auto"/>
          <w:highlight w:val="none"/>
        </w:rPr>
      </w:pPr>
      <w:r>
        <w:rPr>
          <w:rFonts w:hint="eastAsia"/>
          <w:color w:val="auto"/>
          <w:highlight w:val="none"/>
          <w:lang w:val="en-US" w:eastAsia="zh-CN"/>
        </w:rPr>
        <w:t xml:space="preserve">      </w:t>
      </w:r>
      <w:r>
        <w:rPr>
          <w:rFonts w:hint="eastAsia" w:ascii="宋体" w:hAnsi="宋体" w:eastAsia="宋体" w:cs="宋体"/>
          <w:color w:val="auto"/>
          <w:highlight w:val="none"/>
        </w:rPr>
        <w:drawing>
          <wp:inline distT="0" distB="0" distL="114300" distR="114300">
            <wp:extent cx="5440680" cy="7690485"/>
            <wp:effectExtent l="0" t="0" r="0" b="5715"/>
            <wp:docPr id="4" name="图片 4" descr="MX-C4082R_20260515_15580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X-C4082R_20260515_155801_01"/>
                    <pic:cNvPicPr>
                      <a:picLocks noChangeAspect="1"/>
                    </pic:cNvPicPr>
                  </pic:nvPicPr>
                  <pic:blipFill>
                    <a:blip r:embed="rId9"/>
                    <a:stretch>
                      <a:fillRect/>
                    </a:stretch>
                  </pic:blipFill>
                  <pic:spPr>
                    <a:xfrm>
                      <a:off x="0" y="0"/>
                      <a:ext cx="5440680" cy="7690485"/>
                    </a:xfrm>
                    <a:prstGeom prst="rect">
                      <a:avLst/>
                    </a:prstGeom>
                  </pic:spPr>
                </pic:pic>
              </a:graphicData>
            </a:graphic>
          </wp:inline>
        </w:drawing>
      </w:r>
    </w:p>
    <w:p w14:paraId="44B7CB71">
      <w:pPr>
        <w:tabs>
          <w:tab w:val="left" w:pos="3429"/>
        </w:tabs>
        <w:bidi w:val="0"/>
        <w:jc w:val="left"/>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EA5FF36">
      <w:pPr>
        <w:pStyle w:val="12"/>
        <w:spacing w:before="120" w:after="12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14:paraId="7A7CEC00">
      <w:pPr>
        <w:pStyle w:val="12"/>
        <w:spacing w:before="120" w:after="120" w:line="360" w:lineRule="auto"/>
        <w:jc w:val="center"/>
        <w:rPr>
          <w:rFonts w:hint="eastAsia" w:ascii="宋体" w:hAnsi="宋体" w:eastAsia="宋体" w:cs="宋体"/>
          <w:color w:val="auto"/>
          <w:sz w:val="44"/>
          <w:szCs w:val="44"/>
          <w:highlight w:val="none"/>
        </w:rPr>
      </w:pPr>
    </w:p>
    <w:p w14:paraId="78C15472">
      <w:pPr>
        <w:numPr>
          <w:ilvl w:val="0"/>
          <w:numId w:val="0"/>
        </w:numPr>
        <w:spacing w:before="120" w:beforeLines="50" w:line="480" w:lineRule="exact"/>
        <w:ind w:left="1440" w:leftChars="0" w:hanging="1275" w:firstLineChars="0"/>
        <w:rPr>
          <w:rFonts w:hint="eastAsia" w:ascii="宋体" w:hAnsi="宋体" w:eastAsia="宋体" w:cs="宋体"/>
          <w:color w:val="auto"/>
          <w:sz w:val="30"/>
          <w:szCs w:val="20"/>
          <w:highlight w:val="none"/>
        </w:rPr>
      </w:pPr>
      <w:r>
        <w:rPr>
          <w:rFonts w:hint="eastAsia" w:ascii="宋体" w:hAnsi="宋体" w:eastAsia="宋体" w:cs="宋体"/>
          <w:color w:val="auto"/>
          <w:kern w:val="2"/>
          <w:sz w:val="30"/>
          <w:szCs w:val="20"/>
          <w:highlight w:val="none"/>
          <w:lang w:val="en-US" w:eastAsia="zh-CN" w:bidi="ar-SA"/>
        </w:rPr>
        <w:t xml:space="preserve">第一章 </w:t>
      </w:r>
      <w:r>
        <w:rPr>
          <w:rFonts w:hint="eastAsia" w:ascii="宋体" w:hAnsi="宋体" w:eastAsia="宋体" w:cs="宋体"/>
          <w:color w:val="auto"/>
          <w:sz w:val="30"/>
          <w:highlight w:val="none"/>
        </w:rPr>
        <w:t>公开招标采购公告</w:t>
      </w:r>
    </w:p>
    <w:p w14:paraId="697A8E4B">
      <w:pPr>
        <w:numPr>
          <w:ilvl w:val="0"/>
          <w:numId w:val="0"/>
        </w:numPr>
        <w:spacing w:before="120" w:beforeLines="50" w:line="480" w:lineRule="exact"/>
        <w:ind w:left="1440" w:leftChars="0" w:hanging="1275" w:firstLineChars="0"/>
        <w:rPr>
          <w:rFonts w:hint="eastAsia" w:ascii="宋体" w:hAnsi="宋体" w:eastAsia="宋体" w:cs="宋体"/>
          <w:color w:val="auto"/>
          <w:sz w:val="30"/>
          <w:szCs w:val="20"/>
          <w:highlight w:val="none"/>
        </w:rPr>
      </w:pPr>
      <w:r>
        <w:rPr>
          <w:rFonts w:hint="eastAsia" w:ascii="宋体" w:hAnsi="宋体" w:eastAsia="宋体" w:cs="宋体"/>
          <w:color w:val="auto"/>
          <w:kern w:val="2"/>
          <w:sz w:val="30"/>
          <w:szCs w:val="20"/>
          <w:highlight w:val="none"/>
          <w:lang w:val="en-US" w:eastAsia="zh-CN" w:bidi="ar-SA"/>
        </w:rPr>
        <w:t>第二章 采购</w:t>
      </w:r>
      <w:r>
        <w:rPr>
          <w:rFonts w:hint="eastAsia" w:ascii="宋体" w:hAnsi="宋体" w:eastAsia="宋体" w:cs="宋体"/>
          <w:color w:val="auto"/>
          <w:sz w:val="30"/>
          <w:highlight w:val="none"/>
        </w:rPr>
        <w:t>需求</w:t>
      </w:r>
    </w:p>
    <w:p w14:paraId="6D27AC7F">
      <w:pPr>
        <w:numPr>
          <w:ilvl w:val="0"/>
          <w:numId w:val="0"/>
        </w:numPr>
        <w:spacing w:before="120" w:beforeLines="50" w:line="480" w:lineRule="exact"/>
        <w:ind w:left="1440" w:leftChars="0" w:hanging="1275" w:firstLineChars="0"/>
        <w:rPr>
          <w:rFonts w:hint="eastAsia" w:ascii="宋体" w:hAnsi="宋体" w:eastAsia="宋体" w:cs="宋体"/>
          <w:color w:val="auto"/>
          <w:sz w:val="30"/>
          <w:szCs w:val="20"/>
          <w:highlight w:val="none"/>
        </w:rPr>
      </w:pPr>
      <w:r>
        <w:rPr>
          <w:rFonts w:hint="eastAsia" w:ascii="宋体" w:hAnsi="宋体" w:eastAsia="宋体" w:cs="宋体"/>
          <w:color w:val="auto"/>
          <w:kern w:val="2"/>
          <w:sz w:val="30"/>
          <w:szCs w:val="20"/>
          <w:highlight w:val="none"/>
          <w:lang w:val="en-US" w:eastAsia="zh-CN" w:bidi="ar-SA"/>
        </w:rPr>
        <w:t xml:space="preserve">第三章 </w:t>
      </w:r>
      <w:r>
        <w:rPr>
          <w:rFonts w:hint="eastAsia" w:ascii="宋体" w:hAnsi="宋体" w:eastAsia="宋体" w:cs="宋体"/>
          <w:color w:val="auto"/>
          <w:sz w:val="30"/>
          <w:highlight w:val="none"/>
        </w:rPr>
        <w:t>投标人须知</w:t>
      </w:r>
    </w:p>
    <w:p w14:paraId="2809E105">
      <w:pPr>
        <w:numPr>
          <w:ilvl w:val="0"/>
          <w:numId w:val="0"/>
        </w:numPr>
        <w:spacing w:before="120" w:beforeLines="50" w:line="480" w:lineRule="exact"/>
        <w:ind w:left="1440" w:leftChars="0" w:hanging="1275" w:firstLineChars="0"/>
        <w:rPr>
          <w:rFonts w:hint="eastAsia" w:ascii="宋体" w:hAnsi="宋体" w:eastAsia="宋体" w:cs="宋体"/>
          <w:color w:val="auto"/>
          <w:sz w:val="30"/>
          <w:szCs w:val="20"/>
          <w:highlight w:val="none"/>
        </w:rPr>
      </w:pPr>
      <w:r>
        <w:rPr>
          <w:rFonts w:hint="eastAsia" w:ascii="宋体" w:hAnsi="宋体" w:eastAsia="宋体" w:cs="宋体"/>
          <w:color w:val="auto"/>
          <w:kern w:val="2"/>
          <w:sz w:val="30"/>
          <w:szCs w:val="20"/>
          <w:highlight w:val="none"/>
          <w:lang w:val="en-US" w:eastAsia="zh-CN" w:bidi="ar-SA"/>
        </w:rPr>
        <w:t xml:space="preserve">第四章 </w:t>
      </w:r>
      <w:r>
        <w:rPr>
          <w:rFonts w:hint="eastAsia" w:ascii="宋体" w:hAnsi="宋体" w:eastAsia="宋体" w:cs="宋体"/>
          <w:color w:val="auto"/>
          <w:sz w:val="30"/>
          <w:highlight w:val="none"/>
        </w:rPr>
        <w:t>评标办法及评分标准</w:t>
      </w:r>
    </w:p>
    <w:p w14:paraId="2B585CCF">
      <w:pPr>
        <w:numPr>
          <w:ilvl w:val="0"/>
          <w:numId w:val="0"/>
        </w:numPr>
        <w:spacing w:before="120" w:beforeLines="50" w:line="480" w:lineRule="exact"/>
        <w:ind w:left="1440" w:leftChars="0" w:hanging="1275" w:firstLineChars="0"/>
        <w:rPr>
          <w:rFonts w:hint="eastAsia" w:ascii="宋体" w:hAnsi="宋体" w:eastAsia="宋体" w:cs="宋体"/>
          <w:color w:val="auto"/>
          <w:sz w:val="30"/>
          <w:szCs w:val="20"/>
          <w:highlight w:val="none"/>
        </w:rPr>
      </w:pPr>
      <w:r>
        <w:rPr>
          <w:rFonts w:hint="eastAsia" w:ascii="宋体" w:hAnsi="宋体" w:eastAsia="宋体" w:cs="宋体"/>
          <w:color w:val="auto"/>
          <w:kern w:val="2"/>
          <w:sz w:val="30"/>
          <w:szCs w:val="20"/>
          <w:highlight w:val="none"/>
          <w:lang w:val="en-US" w:eastAsia="zh-CN" w:bidi="ar-SA"/>
        </w:rPr>
        <w:t xml:space="preserve">第五章 </w:t>
      </w:r>
      <w:r>
        <w:rPr>
          <w:rFonts w:hint="eastAsia" w:ascii="宋体" w:hAnsi="宋体" w:eastAsia="宋体" w:cs="宋体"/>
          <w:color w:val="auto"/>
          <w:sz w:val="30"/>
          <w:highlight w:val="none"/>
        </w:rPr>
        <w:t>政府采购合同主要条款</w:t>
      </w:r>
    </w:p>
    <w:p w14:paraId="38AE9D1E">
      <w:pPr>
        <w:numPr>
          <w:ilvl w:val="0"/>
          <w:numId w:val="0"/>
        </w:numPr>
        <w:spacing w:before="120" w:beforeLines="50" w:line="480" w:lineRule="exact"/>
        <w:ind w:left="1440" w:leftChars="0" w:hanging="1275" w:firstLineChars="0"/>
        <w:rPr>
          <w:rFonts w:hint="eastAsia" w:ascii="宋体" w:hAnsi="宋体" w:eastAsia="宋体" w:cs="宋体"/>
          <w:color w:val="auto"/>
          <w:sz w:val="30"/>
          <w:szCs w:val="20"/>
          <w:highlight w:val="none"/>
        </w:rPr>
      </w:pPr>
      <w:r>
        <w:rPr>
          <w:rFonts w:hint="eastAsia" w:ascii="宋体" w:hAnsi="宋体" w:eastAsia="宋体" w:cs="宋体"/>
          <w:color w:val="auto"/>
          <w:kern w:val="2"/>
          <w:sz w:val="30"/>
          <w:szCs w:val="20"/>
          <w:highlight w:val="none"/>
          <w:lang w:val="en-US" w:eastAsia="zh-CN" w:bidi="ar-SA"/>
        </w:rPr>
        <w:t xml:space="preserve">第六章 </w:t>
      </w:r>
      <w:r>
        <w:rPr>
          <w:rFonts w:hint="eastAsia" w:ascii="宋体" w:hAnsi="宋体" w:eastAsia="宋体" w:cs="宋体"/>
          <w:color w:val="auto"/>
          <w:sz w:val="30"/>
          <w:highlight w:val="none"/>
        </w:rPr>
        <w:t>投标文件格式</w:t>
      </w:r>
    </w:p>
    <w:p w14:paraId="46FF0762">
      <w:pPr>
        <w:pStyle w:val="11"/>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B22EB49">
      <w:pPr>
        <w:pStyle w:val="12"/>
        <w:snapToGrid w:val="0"/>
        <w:spacing w:before="120" w:after="120" w:line="440" w:lineRule="exact"/>
        <w:jc w:val="center"/>
        <w:outlineLvl w:val="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第一章  公开招标采购公告</w:t>
      </w:r>
    </w:p>
    <w:p w14:paraId="675BFDCD">
      <w:pPr>
        <w:pBdr>
          <w:top w:val="single" w:color="auto" w:sz="4" w:space="1"/>
          <w:left w:val="single" w:color="auto" w:sz="4" w:space="4"/>
          <w:bottom w:val="single" w:color="auto" w:sz="4" w:space="1"/>
          <w:right w:val="single" w:color="auto" w:sz="4" w:space="4"/>
        </w:pBdr>
        <w:spacing w:line="360" w:lineRule="auto"/>
        <w:jc w:val="left"/>
        <w:rPr>
          <w:rFonts w:ascii="宋体" w:hAnsi="宋体"/>
          <w:color w:val="auto"/>
          <w:highlight w:val="none"/>
        </w:rPr>
      </w:pPr>
      <w:bookmarkStart w:id="0" w:name="_Toc35393621"/>
      <w:bookmarkStart w:id="1" w:name="_Toc35393790"/>
      <w:bookmarkStart w:id="2" w:name="_Toc28359002"/>
      <w:bookmarkStart w:id="3" w:name="_Toc28359079"/>
      <w:r>
        <w:rPr>
          <w:rFonts w:hint="eastAsia" w:ascii="宋体" w:hAnsi="宋体"/>
          <w:b/>
          <w:bCs/>
          <w:color w:val="auto"/>
          <w:highlight w:val="none"/>
        </w:rPr>
        <w:t>项目概况</w:t>
      </w:r>
    </w:p>
    <w:p w14:paraId="1B01E6D1">
      <w:pPr>
        <w:pBdr>
          <w:top w:val="single" w:color="auto" w:sz="4" w:space="1"/>
          <w:left w:val="single" w:color="auto" w:sz="4" w:space="4"/>
          <w:bottom w:val="single" w:color="auto" w:sz="4" w:space="1"/>
          <w:right w:val="single" w:color="auto" w:sz="4" w:space="4"/>
        </w:pBdr>
        <w:spacing w:line="360" w:lineRule="auto"/>
        <w:ind w:firstLine="440" w:firstLineChars="200"/>
        <w:rPr>
          <w:rFonts w:ascii="宋体" w:hAnsi="宋体"/>
          <w:color w:val="auto"/>
          <w:sz w:val="22"/>
          <w:szCs w:val="22"/>
          <w:highlight w:val="none"/>
          <w:u w:val="none"/>
        </w:rPr>
      </w:pPr>
      <w:r>
        <w:rPr>
          <w:rFonts w:hint="eastAsia" w:ascii="宋体" w:hAnsi="宋体"/>
          <w:color w:val="auto"/>
          <w:sz w:val="22"/>
          <w:szCs w:val="22"/>
          <w:highlight w:val="none"/>
          <w:u w:val="single"/>
          <w:lang w:eastAsia="zh-CN"/>
        </w:rPr>
        <w:t>2026年慈城镇耕地功能恢复项目（监理）</w:t>
      </w:r>
      <w:r>
        <w:rPr>
          <w:rFonts w:hint="eastAsia" w:ascii="宋体" w:hAnsi="宋体"/>
          <w:color w:val="auto"/>
          <w:sz w:val="22"/>
          <w:szCs w:val="22"/>
          <w:highlight w:val="none"/>
        </w:rPr>
        <w:t>的潜在投标人应在</w:t>
      </w:r>
      <w:r>
        <w:rPr>
          <w:rFonts w:hint="eastAsia" w:ascii="宋体" w:hAnsi="宋体"/>
          <w:color w:val="auto"/>
          <w:sz w:val="22"/>
          <w:szCs w:val="22"/>
          <w:highlight w:val="none"/>
          <w:u w:val="single"/>
        </w:rPr>
        <w:t>政府采购云平台</w:t>
      </w:r>
      <w:r>
        <w:rPr>
          <w:rFonts w:hint="eastAsia" w:ascii="宋体" w:hAnsi="宋体"/>
          <w:color w:val="auto"/>
          <w:sz w:val="22"/>
          <w:szCs w:val="22"/>
          <w:highlight w:val="none"/>
          <w:u w:val="none"/>
        </w:rPr>
        <w:t>（</w:t>
      </w:r>
      <w:r>
        <w:rPr>
          <w:color w:val="auto"/>
          <w:sz w:val="22"/>
          <w:szCs w:val="22"/>
          <w:highlight w:val="none"/>
          <w:u w:val="none"/>
        </w:rPr>
        <w:fldChar w:fldCharType="begin"/>
      </w:r>
      <w:r>
        <w:rPr>
          <w:color w:val="auto"/>
          <w:sz w:val="22"/>
          <w:szCs w:val="22"/>
          <w:highlight w:val="none"/>
          <w:u w:val="none"/>
        </w:rPr>
        <w:instrText xml:space="preserve"> HYPERLINK "http://www.zcygov.cn）获取（下载）招标文件，并于2020年" </w:instrText>
      </w:r>
      <w:r>
        <w:rPr>
          <w:color w:val="auto"/>
          <w:sz w:val="22"/>
          <w:szCs w:val="22"/>
          <w:highlight w:val="none"/>
          <w:u w:val="none"/>
        </w:rPr>
        <w:fldChar w:fldCharType="separate"/>
      </w:r>
      <w:r>
        <w:rPr>
          <w:rStyle w:val="22"/>
          <w:rFonts w:hint="eastAsia" w:ascii="宋体" w:hAnsi="宋体"/>
          <w:color w:val="auto"/>
          <w:sz w:val="22"/>
          <w:szCs w:val="22"/>
          <w:highlight w:val="none"/>
          <w:u w:val="none"/>
        </w:rPr>
        <w:t>www.zcygov.cn）获取（下载）招标文件，并于</w:t>
      </w:r>
      <w:r>
        <w:rPr>
          <w:rStyle w:val="22"/>
          <w:rFonts w:hint="eastAsia" w:ascii="宋体" w:hAnsi="宋体"/>
          <w:color w:val="auto"/>
          <w:sz w:val="22"/>
          <w:szCs w:val="22"/>
          <w:highlight w:val="none"/>
          <w:u w:val="single"/>
        </w:rPr>
        <w:t>202</w:t>
      </w:r>
      <w:r>
        <w:rPr>
          <w:rStyle w:val="22"/>
          <w:rFonts w:hint="eastAsia" w:ascii="宋体" w:hAnsi="宋体"/>
          <w:color w:val="auto"/>
          <w:sz w:val="22"/>
          <w:szCs w:val="22"/>
          <w:highlight w:val="none"/>
          <w:u w:val="single"/>
          <w:lang w:val="en-US" w:eastAsia="zh-CN"/>
        </w:rPr>
        <w:t>6</w:t>
      </w:r>
      <w:r>
        <w:rPr>
          <w:rStyle w:val="22"/>
          <w:rFonts w:hint="eastAsia" w:ascii="宋体" w:hAnsi="宋体"/>
          <w:bCs/>
          <w:color w:val="auto"/>
          <w:sz w:val="22"/>
          <w:szCs w:val="22"/>
          <w:highlight w:val="none"/>
          <w:u w:val="none"/>
        </w:rPr>
        <w:t>年</w:t>
      </w:r>
      <w:r>
        <w:rPr>
          <w:rStyle w:val="22"/>
          <w:rFonts w:hint="eastAsia" w:ascii="宋体" w:hAnsi="宋体"/>
          <w:bCs/>
          <w:color w:val="auto"/>
          <w:sz w:val="22"/>
          <w:szCs w:val="22"/>
          <w:highlight w:val="none"/>
          <w:u w:val="none"/>
        </w:rPr>
        <w:fldChar w:fldCharType="end"/>
      </w:r>
      <w:r>
        <w:rPr>
          <w:rFonts w:hint="eastAsia" w:ascii="宋体" w:hAnsi="宋体"/>
          <w:bCs/>
          <w:color w:val="auto"/>
          <w:sz w:val="22"/>
          <w:szCs w:val="22"/>
          <w:highlight w:val="none"/>
          <w:u w:val="single"/>
          <w:lang w:val="en-US" w:eastAsia="zh-CN"/>
        </w:rPr>
        <w:t xml:space="preserve"> 6 </w:t>
      </w:r>
      <w:r>
        <w:rPr>
          <w:rFonts w:hint="eastAsia" w:ascii="宋体" w:hAnsi="宋体"/>
          <w:bCs/>
          <w:color w:val="auto"/>
          <w:sz w:val="22"/>
          <w:szCs w:val="22"/>
          <w:highlight w:val="none"/>
          <w:u w:val="none"/>
        </w:rPr>
        <w:t>月</w:t>
      </w:r>
      <w:r>
        <w:rPr>
          <w:rFonts w:hint="eastAsia" w:ascii="宋体" w:hAnsi="宋体"/>
          <w:bCs/>
          <w:color w:val="auto"/>
          <w:sz w:val="22"/>
          <w:szCs w:val="22"/>
          <w:highlight w:val="none"/>
          <w:u w:val="single"/>
          <w:lang w:val="en-US" w:eastAsia="zh-CN"/>
        </w:rPr>
        <w:t xml:space="preserve"> 8 </w:t>
      </w:r>
      <w:r>
        <w:rPr>
          <w:rFonts w:hint="eastAsia" w:ascii="宋体" w:hAnsi="宋体"/>
          <w:bCs/>
          <w:color w:val="auto"/>
          <w:sz w:val="22"/>
          <w:szCs w:val="22"/>
          <w:highlight w:val="none"/>
          <w:u w:val="none"/>
        </w:rPr>
        <w:t>日</w:t>
      </w:r>
      <w:r>
        <w:rPr>
          <w:rFonts w:hint="eastAsia" w:ascii="宋体" w:hAnsi="宋体"/>
          <w:bCs/>
          <w:color w:val="auto"/>
          <w:sz w:val="22"/>
          <w:szCs w:val="22"/>
          <w:highlight w:val="none"/>
          <w:u w:val="none"/>
          <w:lang w:val="en-US" w:eastAsia="zh-CN"/>
        </w:rPr>
        <w:t>13</w:t>
      </w:r>
      <w:r>
        <w:rPr>
          <w:rFonts w:hint="eastAsia" w:ascii="宋体" w:hAnsi="宋体"/>
          <w:bCs/>
          <w:color w:val="auto"/>
          <w:sz w:val="22"/>
          <w:szCs w:val="22"/>
          <w:highlight w:val="none"/>
          <w:u w:val="none"/>
        </w:rPr>
        <w:t>点</w:t>
      </w:r>
      <w:r>
        <w:rPr>
          <w:rFonts w:hint="eastAsia" w:ascii="宋体" w:hAnsi="宋体"/>
          <w:bCs/>
          <w:color w:val="auto"/>
          <w:sz w:val="22"/>
          <w:szCs w:val="22"/>
          <w:highlight w:val="none"/>
          <w:u w:val="none"/>
          <w:lang w:val="en-US" w:eastAsia="zh-CN"/>
        </w:rPr>
        <w:t>3</w:t>
      </w:r>
      <w:r>
        <w:rPr>
          <w:rFonts w:hint="eastAsia" w:ascii="宋体" w:hAnsi="宋体"/>
          <w:bCs/>
          <w:color w:val="auto"/>
          <w:sz w:val="22"/>
          <w:szCs w:val="22"/>
          <w:highlight w:val="none"/>
          <w:u w:val="none"/>
        </w:rPr>
        <w:t>0分（北京时间）前递交投标文件</w:t>
      </w:r>
      <w:r>
        <w:rPr>
          <w:rFonts w:hint="eastAsia" w:ascii="宋体" w:hAnsi="宋体"/>
          <w:color w:val="auto"/>
          <w:sz w:val="22"/>
          <w:szCs w:val="22"/>
          <w:highlight w:val="none"/>
          <w:u w:val="none"/>
        </w:rPr>
        <w:t>。</w:t>
      </w:r>
    </w:p>
    <w:p w14:paraId="3AE21D8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一、项目基本情况</w:t>
      </w:r>
      <w:bookmarkEnd w:id="0"/>
      <w:bookmarkEnd w:id="1"/>
      <w:bookmarkEnd w:id="2"/>
      <w:bookmarkEnd w:id="3"/>
    </w:p>
    <w:p w14:paraId="7199C15A">
      <w:pPr>
        <w:pStyle w:val="11"/>
        <w:keepNext w:val="0"/>
        <w:keepLines w:val="0"/>
        <w:pageBreakBefore w:val="0"/>
        <w:widowControl w:val="0"/>
        <w:kinsoku/>
        <w:wordWrap/>
        <w:overflowPunct/>
        <w:topLinePunct w:val="0"/>
        <w:autoSpaceDE/>
        <w:autoSpaceDN/>
        <w:bidi w:val="0"/>
        <w:adjustRightIn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项目编号：</w:t>
      </w:r>
      <w:r>
        <w:rPr>
          <w:rFonts w:hint="eastAsia" w:ascii="宋体" w:hAnsi="宋体" w:eastAsia="宋体" w:cs="宋体"/>
          <w:color w:val="auto"/>
          <w:sz w:val="22"/>
          <w:szCs w:val="22"/>
          <w:highlight w:val="none"/>
          <w:lang w:val="en-US" w:eastAsia="zh-CN"/>
        </w:rPr>
        <w:t>FSCG2026127</w:t>
      </w:r>
    </w:p>
    <w:p w14:paraId="57F09AF2">
      <w:pPr>
        <w:pStyle w:val="11"/>
        <w:keepNext w:val="0"/>
        <w:keepLines w:val="0"/>
        <w:pageBreakBefore w:val="0"/>
        <w:widowControl w:val="0"/>
        <w:kinsoku/>
        <w:wordWrap/>
        <w:overflowPunct/>
        <w:topLinePunct w:val="0"/>
        <w:autoSpaceDE/>
        <w:autoSpaceDN/>
        <w:bidi w:val="0"/>
        <w:adjustRightIn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 xml:space="preserve">2026年慈城镇耕地功能恢复项目（监理）  </w:t>
      </w:r>
    </w:p>
    <w:p w14:paraId="574285BB">
      <w:pPr>
        <w:pStyle w:val="11"/>
        <w:keepNext w:val="0"/>
        <w:keepLines w:val="0"/>
        <w:pageBreakBefore w:val="0"/>
        <w:widowControl w:val="0"/>
        <w:kinsoku/>
        <w:wordWrap/>
        <w:overflowPunct/>
        <w:topLinePunct w:val="0"/>
        <w:autoSpaceDE/>
        <w:autoSpaceDN/>
        <w:bidi w:val="0"/>
        <w:adjustRightIn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预算金额（元）：</w:t>
      </w:r>
      <w:r>
        <w:rPr>
          <w:rFonts w:hint="eastAsia" w:ascii="宋体" w:hAnsi="宋体" w:eastAsia="宋体" w:cs="宋体"/>
          <w:color w:val="auto"/>
          <w:sz w:val="22"/>
          <w:szCs w:val="22"/>
          <w:highlight w:val="none"/>
          <w:lang w:eastAsia="zh-CN"/>
        </w:rPr>
        <w:t>589000</w:t>
      </w:r>
    </w:p>
    <w:p w14:paraId="29EF4835">
      <w:pPr>
        <w:keepNext w:val="0"/>
        <w:keepLines w:val="0"/>
        <w:pageBreakBefore w:val="0"/>
        <w:kinsoku/>
        <w:wordWrap/>
        <w:overflowPunct/>
        <w:topLinePunct w:val="0"/>
        <w:autoSpaceDE/>
        <w:autoSpaceDN/>
        <w:bidi w:val="0"/>
        <w:spacing w:line="46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最高限价（</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shd w:val="clear" w:color="auto" w:fill="auto"/>
          <w:lang w:val="en-US" w:eastAsia="zh-CN"/>
        </w:rPr>
        <w:t>折扣90%</w:t>
      </w:r>
      <w:bookmarkStart w:id="33" w:name="_GoBack"/>
      <w:bookmarkEnd w:id="33"/>
    </w:p>
    <w:p w14:paraId="3EAC2CED">
      <w:pPr>
        <w:pStyle w:val="11"/>
        <w:keepNext w:val="0"/>
        <w:keepLines w:val="0"/>
        <w:pageBreakBefore w:val="0"/>
        <w:widowControl w:val="0"/>
        <w:kinsoku/>
        <w:wordWrap/>
        <w:overflowPunct/>
        <w:topLinePunct w:val="0"/>
        <w:autoSpaceDE/>
        <w:autoSpaceDN/>
        <w:bidi w:val="0"/>
        <w:adjustRightIn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采购需求：</w:t>
      </w:r>
    </w:p>
    <w:p w14:paraId="05051D5E">
      <w:pPr>
        <w:pStyle w:val="11"/>
        <w:keepNext w:val="0"/>
        <w:keepLines w:val="0"/>
        <w:pageBreakBefore w:val="0"/>
        <w:widowControl w:val="0"/>
        <w:kinsoku/>
        <w:wordWrap/>
        <w:overflowPunct/>
        <w:topLinePunct w:val="0"/>
        <w:autoSpaceDE/>
        <w:autoSpaceDN/>
        <w:bidi w:val="0"/>
        <w:adjustRightIn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标项名称：</w:t>
      </w:r>
      <w:r>
        <w:rPr>
          <w:rFonts w:hint="eastAsia" w:ascii="宋体" w:hAnsi="宋体" w:eastAsia="宋体" w:cs="宋体"/>
          <w:color w:val="auto"/>
          <w:sz w:val="22"/>
          <w:szCs w:val="22"/>
          <w:highlight w:val="none"/>
          <w:lang w:eastAsia="zh-CN"/>
        </w:rPr>
        <w:t>2026年慈城镇耕地功能恢复项目（监理）</w:t>
      </w:r>
    </w:p>
    <w:p w14:paraId="40DCA7C6">
      <w:pPr>
        <w:pStyle w:val="11"/>
        <w:keepNext w:val="0"/>
        <w:keepLines w:val="0"/>
        <w:pageBreakBefore w:val="0"/>
        <w:widowControl w:val="0"/>
        <w:kinsoku/>
        <w:wordWrap/>
        <w:overflowPunct/>
        <w:topLinePunct w:val="0"/>
        <w:autoSpaceDE/>
        <w:autoSpaceDN/>
        <w:bidi w:val="0"/>
        <w:adjustRightIn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数量：1</w:t>
      </w:r>
    </w:p>
    <w:p w14:paraId="14CBD619">
      <w:pPr>
        <w:pStyle w:val="11"/>
        <w:keepNext w:val="0"/>
        <w:keepLines w:val="0"/>
        <w:pageBreakBefore w:val="0"/>
        <w:widowControl w:val="0"/>
        <w:kinsoku/>
        <w:wordWrap/>
        <w:overflowPunct/>
        <w:topLinePunct w:val="0"/>
        <w:autoSpaceDE/>
        <w:autoSpaceDN/>
        <w:bidi w:val="0"/>
        <w:adjustRightIn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预算金额（元）：</w:t>
      </w:r>
      <w:r>
        <w:rPr>
          <w:rFonts w:hint="eastAsia" w:ascii="宋体" w:hAnsi="宋体" w:eastAsia="宋体" w:cs="宋体"/>
          <w:color w:val="auto"/>
          <w:sz w:val="22"/>
          <w:szCs w:val="22"/>
          <w:highlight w:val="none"/>
          <w:lang w:eastAsia="zh-CN"/>
        </w:rPr>
        <w:t>589000</w:t>
      </w:r>
    </w:p>
    <w:p w14:paraId="68E03DDE">
      <w:pPr>
        <w:pStyle w:val="11"/>
        <w:keepNext w:val="0"/>
        <w:keepLines w:val="0"/>
        <w:pageBreakBefore w:val="0"/>
        <w:widowControl w:val="0"/>
        <w:kinsoku/>
        <w:wordWrap/>
        <w:overflowPunct/>
        <w:topLinePunct w:val="0"/>
        <w:autoSpaceDE/>
        <w:autoSpaceDN/>
        <w:bidi w:val="0"/>
        <w:adjustRightIn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简要规格描述：</w:t>
      </w:r>
      <w:r>
        <w:rPr>
          <w:rFonts w:hint="eastAsia" w:ascii="宋体" w:hAnsi="宋体" w:eastAsia="宋体" w:cs="宋体"/>
          <w:color w:val="auto"/>
          <w:sz w:val="22"/>
          <w:szCs w:val="22"/>
          <w:highlight w:val="none"/>
          <w:lang w:eastAsia="zh-CN"/>
        </w:rPr>
        <w:t>2026年慈城镇耕地功能恢复项目施工全过程及缺陷责任期的监理</w:t>
      </w:r>
      <w:r>
        <w:rPr>
          <w:rFonts w:hint="eastAsia" w:ascii="宋体" w:hAnsi="宋体" w:eastAsia="宋体" w:cs="宋体"/>
          <w:color w:val="auto"/>
          <w:sz w:val="22"/>
          <w:szCs w:val="22"/>
          <w:highlight w:val="none"/>
        </w:rPr>
        <w:t>，具体</w:t>
      </w:r>
      <w:r>
        <w:rPr>
          <w:rFonts w:hint="eastAsia" w:ascii="宋体" w:hAnsi="宋体" w:eastAsia="宋体" w:cs="宋体"/>
          <w:color w:val="auto"/>
          <w:sz w:val="22"/>
          <w:szCs w:val="22"/>
          <w:highlight w:val="none"/>
          <w:lang w:val="en-US" w:eastAsia="zh-CN"/>
        </w:rPr>
        <w:t>详</w:t>
      </w:r>
      <w:r>
        <w:rPr>
          <w:rFonts w:hint="eastAsia" w:ascii="宋体" w:hAnsi="宋体" w:eastAsia="宋体" w:cs="宋体"/>
          <w:color w:val="auto"/>
          <w:sz w:val="22"/>
          <w:szCs w:val="22"/>
          <w:highlight w:val="none"/>
        </w:rPr>
        <w:t>见第二章</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需求。</w:t>
      </w:r>
    </w:p>
    <w:p w14:paraId="25437C95">
      <w:pPr>
        <w:pStyle w:val="11"/>
        <w:keepNext w:val="0"/>
        <w:keepLines w:val="0"/>
        <w:pageBreakBefore w:val="0"/>
        <w:widowControl w:val="0"/>
        <w:kinsoku/>
        <w:wordWrap/>
        <w:overflowPunct/>
        <w:topLinePunct w:val="0"/>
        <w:autoSpaceDE/>
        <w:autoSpaceDN/>
        <w:bidi w:val="0"/>
        <w:adjustRightIn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备注：</w:t>
      </w:r>
      <w:r>
        <w:rPr>
          <w:rFonts w:hint="eastAsia" w:ascii="宋体" w:hAnsi="宋体" w:eastAsia="宋体" w:cs="宋体"/>
          <w:color w:val="auto"/>
          <w:sz w:val="22"/>
          <w:szCs w:val="22"/>
          <w:highlight w:val="none"/>
          <w:lang w:val="en-US" w:eastAsia="zh-CN"/>
        </w:rPr>
        <w:t>/</w:t>
      </w:r>
    </w:p>
    <w:p w14:paraId="458AE864">
      <w:pPr>
        <w:pStyle w:val="11"/>
        <w:keepNext w:val="0"/>
        <w:keepLines w:val="0"/>
        <w:pageBreakBefore w:val="0"/>
        <w:widowControl w:val="0"/>
        <w:kinsoku/>
        <w:wordWrap/>
        <w:overflowPunct/>
        <w:topLinePunct w:val="0"/>
        <w:autoSpaceDE/>
        <w:autoSpaceDN/>
        <w:bidi w:val="0"/>
        <w:adjustRightInd/>
        <w:spacing w:line="400" w:lineRule="exact"/>
        <w:ind w:left="0" w:leftChars="0" w:right="0" w:righ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合同履约期限：</w:t>
      </w:r>
      <w:r>
        <w:rPr>
          <w:rFonts w:hint="eastAsia" w:ascii="宋体" w:hAnsi="宋体" w:eastAsia="宋体" w:cs="宋体"/>
          <w:color w:val="auto"/>
          <w:sz w:val="22"/>
          <w:szCs w:val="22"/>
          <w:highlight w:val="none"/>
          <w:lang w:val="en-US" w:eastAsia="zh-CN"/>
        </w:rPr>
        <w:t>自合同工程之日起，至监理范围内所有项目通过完工验收并缺陷责任期满止</w:t>
      </w:r>
      <w:r>
        <w:rPr>
          <w:rFonts w:hint="eastAsia" w:ascii="宋体" w:hAnsi="宋体" w:eastAsia="宋体" w:cs="宋体"/>
          <w:color w:val="auto"/>
          <w:sz w:val="22"/>
          <w:szCs w:val="22"/>
          <w:highlight w:val="none"/>
          <w:lang w:eastAsia="zh-CN"/>
        </w:rPr>
        <w:t>。</w:t>
      </w:r>
    </w:p>
    <w:p w14:paraId="1A387D4F">
      <w:pPr>
        <w:pStyle w:val="11"/>
        <w:keepNext w:val="0"/>
        <w:keepLines w:val="0"/>
        <w:pageBreakBefore w:val="0"/>
        <w:widowControl w:val="0"/>
        <w:kinsoku/>
        <w:wordWrap/>
        <w:overflowPunct/>
        <w:topLinePunct w:val="0"/>
        <w:autoSpaceDE/>
        <w:autoSpaceDN/>
        <w:bidi w:val="0"/>
        <w:adjustRightInd/>
        <w:spacing w:line="40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w:t>
      </w:r>
      <w:r>
        <w:rPr>
          <w:rFonts w:hint="eastAsia" w:ascii="宋体" w:hAnsi="宋体" w:eastAsia="宋体" w:cs="宋体"/>
          <w:color w:val="auto"/>
          <w:sz w:val="22"/>
          <w:szCs w:val="22"/>
          <w:highlight w:val="none"/>
          <w:lang w:val="en-US" w:eastAsia="zh-CN"/>
        </w:rPr>
        <w:t>否</w:t>
      </w:r>
      <w:r>
        <w:rPr>
          <w:rFonts w:hint="eastAsia" w:ascii="宋体" w:hAnsi="宋体" w:eastAsia="宋体" w:cs="宋体"/>
          <w:color w:val="auto"/>
          <w:sz w:val="22"/>
          <w:szCs w:val="22"/>
          <w:highlight w:val="none"/>
        </w:rPr>
        <w:t>）接受联合体投标。</w:t>
      </w:r>
    </w:p>
    <w:p w14:paraId="3C5AE22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2"/>
          <w:szCs w:val="22"/>
          <w:highlight w:val="none"/>
        </w:rPr>
      </w:pPr>
      <w:bookmarkStart w:id="4" w:name="_Toc28359080"/>
      <w:bookmarkStart w:id="5" w:name="_Toc28359003"/>
      <w:bookmarkStart w:id="6" w:name="_Toc35393791"/>
      <w:bookmarkStart w:id="7" w:name="_Toc35393622"/>
      <w:r>
        <w:rPr>
          <w:rFonts w:hint="eastAsia" w:ascii="宋体" w:hAnsi="宋体" w:eastAsia="宋体" w:cs="宋体"/>
          <w:b/>
          <w:color w:val="auto"/>
          <w:sz w:val="22"/>
          <w:szCs w:val="22"/>
          <w:highlight w:val="none"/>
        </w:rPr>
        <w:t>二、投标人的资格要求：</w:t>
      </w:r>
      <w:bookmarkEnd w:id="4"/>
      <w:bookmarkEnd w:id="5"/>
      <w:bookmarkEnd w:id="6"/>
      <w:bookmarkEnd w:id="7"/>
    </w:p>
    <w:p w14:paraId="4B08A14B">
      <w:pPr>
        <w:keepNext w:val="0"/>
        <w:pageBreakBefore w:val="0"/>
        <w:widowControl w:val="0"/>
        <w:kinsoku/>
        <w:wordWrap w:val="0"/>
        <w:overflowPunct/>
        <w:topLinePunct w:val="0"/>
        <w:autoSpaceDE/>
        <w:autoSpaceDN/>
        <w:bidi w:val="0"/>
        <w:adjustRightInd w:val="0"/>
        <w:snapToGrid w:val="0"/>
        <w:spacing w:beforeLines="0" w:afterLines="0" w:line="420" w:lineRule="exact"/>
        <w:ind w:firstLine="440" w:firstLineChars="200"/>
        <w:jc w:val="left"/>
        <w:textAlignment w:val="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1.</w:t>
      </w:r>
      <w:bookmarkStart w:id="8" w:name="OLE_LINK3"/>
      <w:r>
        <w:rPr>
          <w:rFonts w:hint="eastAsia" w:ascii="宋体" w:hAnsi="宋体" w:eastAsia="宋体" w:cs="宋体"/>
          <w:color w:val="auto"/>
          <w:kern w:val="0"/>
          <w:sz w:val="22"/>
          <w:szCs w:val="22"/>
          <w:highlight w:val="none"/>
          <w:shd w:val="clear" w:color="auto" w:fill="auto"/>
        </w:rPr>
        <w:t>满足《中华人民共和国政府采购法》第二十二条规定；未被“信用中国”（www.creditchina.gov.cn</w:t>
      </w:r>
      <w:r>
        <w:rPr>
          <w:rFonts w:hint="eastAsia" w:ascii="宋体" w:hAnsi="宋体" w:eastAsia="宋体" w:cs="宋体"/>
          <w:color w:val="auto"/>
          <w:kern w:val="0"/>
          <w:sz w:val="22"/>
          <w:szCs w:val="22"/>
          <w:highlight w:val="none"/>
          <w:shd w:val="clear" w:color="auto" w:fill="auto"/>
          <w:lang w:eastAsia="zh-CN"/>
        </w:rPr>
        <w:t>）</w:t>
      </w:r>
      <w:r>
        <w:rPr>
          <w:rFonts w:hint="eastAsia" w:ascii="宋体" w:hAnsi="宋体" w:eastAsia="宋体" w:cs="宋体"/>
          <w:color w:val="auto"/>
          <w:kern w:val="0"/>
          <w:sz w:val="22"/>
          <w:szCs w:val="22"/>
          <w:highlight w:val="none"/>
          <w:shd w:val="clear" w:color="auto" w:fill="auto"/>
        </w:rPr>
        <w:t>、中国政府采购网（www.ccgp.gov.cn）列入失信被执行人、重大税收违法失信主体、政府采购严重违法失信行为记录名单。</w:t>
      </w:r>
    </w:p>
    <w:bookmarkEnd w:id="8"/>
    <w:p w14:paraId="5B259D80">
      <w:pPr>
        <w:keepNext w:val="0"/>
        <w:pageBreakBefore w:val="0"/>
        <w:widowControl w:val="0"/>
        <w:kinsoku/>
        <w:overflowPunct/>
        <w:topLinePunct w:val="0"/>
        <w:autoSpaceDE/>
        <w:autoSpaceDN/>
        <w:bidi w:val="0"/>
        <w:adjustRightInd w:val="0"/>
        <w:snapToGrid w:val="0"/>
        <w:spacing w:beforeLines="0" w:afterLines="0" w:line="420" w:lineRule="exact"/>
        <w:ind w:firstLine="440" w:firstLineChars="200"/>
        <w:jc w:val="left"/>
        <w:textAlignment w:val="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2.落实政府采购政策需满足的资格要求：依据《政府采购促进中小企业发展管理办法》</w:t>
      </w:r>
      <w:r>
        <w:rPr>
          <w:rFonts w:hint="eastAsia" w:ascii="宋体" w:hAnsi="宋体" w:eastAsia="宋体" w:cs="宋体"/>
          <w:color w:val="auto"/>
          <w:kern w:val="0"/>
          <w:sz w:val="22"/>
          <w:szCs w:val="22"/>
          <w:highlight w:val="none"/>
          <w:shd w:val="clear" w:color="auto" w:fill="auto"/>
          <w:lang w:eastAsia="zh-CN"/>
        </w:rPr>
        <w:t>（</w:t>
      </w:r>
      <w:r>
        <w:rPr>
          <w:rFonts w:hint="eastAsia" w:ascii="宋体" w:hAnsi="宋体" w:eastAsia="宋体" w:cs="宋体"/>
          <w:color w:val="auto"/>
          <w:kern w:val="0"/>
          <w:sz w:val="22"/>
          <w:szCs w:val="22"/>
          <w:highlight w:val="none"/>
          <w:shd w:val="clear" w:color="auto" w:fill="auto"/>
        </w:rPr>
        <w:t>财库〔2020〕46号，本项目为专门面向中小企业采购，承接工程的企业属于“其他未列明行业”的中型、小型、微型企业</w:t>
      </w:r>
      <w:r>
        <w:rPr>
          <w:rFonts w:hint="eastAsia" w:ascii="宋体" w:hAnsi="宋体" w:eastAsia="宋体" w:cs="宋体"/>
          <w:color w:val="auto"/>
          <w:kern w:val="0"/>
          <w:sz w:val="22"/>
          <w:szCs w:val="22"/>
          <w:highlight w:val="none"/>
          <w:shd w:val="clear" w:color="auto" w:fill="auto"/>
          <w:lang w:eastAsia="zh-CN"/>
        </w:rPr>
        <w:t>（</w:t>
      </w:r>
      <w:r>
        <w:rPr>
          <w:rFonts w:hint="eastAsia" w:ascii="宋体" w:hAnsi="宋体" w:eastAsia="宋体" w:cs="宋体"/>
          <w:color w:val="auto"/>
          <w:kern w:val="0"/>
          <w:sz w:val="22"/>
          <w:szCs w:val="22"/>
          <w:highlight w:val="none"/>
          <w:shd w:val="clear" w:color="auto" w:fill="auto"/>
        </w:rPr>
        <w:t>须提供中小企业声明函</w:t>
      </w:r>
      <w:r>
        <w:rPr>
          <w:rFonts w:hint="eastAsia" w:ascii="宋体" w:hAnsi="宋体" w:eastAsia="宋体" w:cs="宋体"/>
          <w:color w:val="auto"/>
          <w:kern w:val="0"/>
          <w:sz w:val="22"/>
          <w:szCs w:val="22"/>
          <w:highlight w:val="none"/>
          <w:shd w:val="clear" w:color="auto" w:fill="auto"/>
          <w:lang w:eastAsia="zh-CN"/>
        </w:rPr>
        <w:t>）</w:t>
      </w:r>
      <w:r>
        <w:rPr>
          <w:rFonts w:hint="eastAsia" w:ascii="宋体" w:hAnsi="宋体" w:eastAsia="宋体" w:cs="宋体"/>
          <w:color w:val="auto"/>
          <w:kern w:val="0"/>
          <w:sz w:val="22"/>
          <w:szCs w:val="22"/>
          <w:highlight w:val="none"/>
          <w:shd w:val="clear" w:color="auto" w:fill="auto"/>
        </w:rPr>
        <w:t>以及监狱企业、残疾人福利性单位视同小型、微型企业</w:t>
      </w:r>
      <w:r>
        <w:rPr>
          <w:rFonts w:hint="eastAsia" w:ascii="宋体" w:hAnsi="宋体" w:eastAsia="宋体" w:cs="宋体"/>
          <w:color w:val="auto"/>
          <w:kern w:val="0"/>
          <w:sz w:val="22"/>
          <w:szCs w:val="22"/>
          <w:highlight w:val="none"/>
          <w:shd w:val="clear" w:color="auto" w:fill="auto"/>
          <w:lang w:eastAsia="zh-CN"/>
        </w:rPr>
        <w:t>（</w:t>
      </w:r>
      <w:r>
        <w:rPr>
          <w:rFonts w:hint="eastAsia" w:ascii="宋体" w:hAnsi="宋体" w:eastAsia="宋体" w:cs="宋体"/>
          <w:color w:val="auto"/>
          <w:kern w:val="0"/>
          <w:sz w:val="22"/>
          <w:szCs w:val="22"/>
          <w:highlight w:val="none"/>
          <w:shd w:val="clear" w:color="auto" w:fill="auto"/>
        </w:rPr>
        <w:t>提供相关证明材料</w:t>
      </w:r>
      <w:r>
        <w:rPr>
          <w:rFonts w:hint="eastAsia" w:ascii="宋体" w:hAnsi="宋体" w:eastAsia="宋体" w:cs="宋体"/>
          <w:color w:val="auto"/>
          <w:kern w:val="0"/>
          <w:sz w:val="22"/>
          <w:szCs w:val="22"/>
          <w:highlight w:val="none"/>
          <w:shd w:val="clear" w:color="auto" w:fill="auto"/>
          <w:lang w:eastAsia="zh-CN"/>
        </w:rPr>
        <w:t>）</w:t>
      </w:r>
      <w:r>
        <w:rPr>
          <w:rFonts w:hint="eastAsia" w:ascii="宋体" w:hAnsi="宋体" w:eastAsia="宋体" w:cs="宋体"/>
          <w:color w:val="auto"/>
          <w:kern w:val="0"/>
          <w:sz w:val="22"/>
          <w:szCs w:val="22"/>
          <w:highlight w:val="none"/>
          <w:shd w:val="clear" w:color="auto" w:fill="auto"/>
        </w:rPr>
        <w:t>方可参与本项目的</w:t>
      </w:r>
      <w:r>
        <w:rPr>
          <w:rFonts w:hint="eastAsia" w:ascii="宋体" w:hAnsi="宋体" w:eastAsia="宋体" w:cs="宋体"/>
          <w:color w:val="auto"/>
          <w:kern w:val="0"/>
          <w:sz w:val="22"/>
          <w:szCs w:val="22"/>
          <w:highlight w:val="none"/>
          <w:shd w:val="clear" w:color="auto" w:fill="auto"/>
          <w:lang w:val="en-US" w:eastAsia="zh-CN"/>
        </w:rPr>
        <w:t>投标</w:t>
      </w:r>
      <w:r>
        <w:rPr>
          <w:rFonts w:hint="eastAsia" w:ascii="宋体" w:hAnsi="宋体" w:eastAsia="宋体" w:cs="宋体"/>
          <w:color w:val="auto"/>
          <w:kern w:val="0"/>
          <w:sz w:val="22"/>
          <w:szCs w:val="22"/>
          <w:highlight w:val="none"/>
          <w:shd w:val="clear" w:color="auto" w:fill="auto"/>
        </w:rPr>
        <w:t>活动。中小微企业划型标准详见</w:t>
      </w:r>
      <w:r>
        <w:rPr>
          <w:rFonts w:hint="eastAsia" w:ascii="宋体" w:hAnsi="宋体" w:eastAsia="宋体" w:cs="宋体"/>
          <w:color w:val="auto"/>
          <w:kern w:val="0"/>
          <w:sz w:val="22"/>
          <w:szCs w:val="22"/>
          <w:highlight w:val="none"/>
          <w:shd w:val="clear" w:color="auto" w:fill="auto"/>
          <w:lang w:eastAsia="zh-CN"/>
        </w:rPr>
        <w:t>〔2011〕</w:t>
      </w:r>
      <w:r>
        <w:rPr>
          <w:rFonts w:hint="eastAsia" w:ascii="宋体" w:hAnsi="宋体" w:eastAsia="宋体" w:cs="宋体"/>
          <w:color w:val="auto"/>
          <w:kern w:val="0"/>
          <w:sz w:val="22"/>
          <w:szCs w:val="22"/>
          <w:highlight w:val="none"/>
          <w:shd w:val="clear" w:color="auto" w:fill="auto"/>
        </w:rPr>
        <w:t>300号文。</w:t>
      </w:r>
    </w:p>
    <w:p w14:paraId="3463D81E">
      <w:pPr>
        <w:keepNext w:val="0"/>
        <w:pageBreakBefore w:val="0"/>
        <w:widowControl w:val="0"/>
        <w:kinsoku/>
        <w:overflowPunct/>
        <w:topLinePunct w:val="0"/>
        <w:autoSpaceDE/>
        <w:autoSpaceDN/>
        <w:bidi w:val="0"/>
        <w:adjustRightInd w:val="0"/>
        <w:snapToGrid w:val="0"/>
        <w:spacing w:beforeLines="0" w:afterLines="0" w:line="420" w:lineRule="exact"/>
        <w:ind w:firstLine="440" w:firstLineChars="200"/>
        <w:jc w:val="left"/>
        <w:textAlignment w:val="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3.本项目的特定资格要求：</w:t>
      </w:r>
    </w:p>
    <w:p w14:paraId="3A982B71">
      <w:pPr>
        <w:keepNext w:val="0"/>
        <w:pageBreakBefore w:val="0"/>
        <w:widowControl w:val="0"/>
        <w:kinsoku/>
        <w:overflowPunct/>
        <w:topLinePunct w:val="0"/>
        <w:autoSpaceDE/>
        <w:autoSpaceDN/>
        <w:bidi w:val="0"/>
        <w:adjustRightInd w:val="0"/>
        <w:snapToGrid w:val="0"/>
        <w:spacing w:beforeLines="0" w:afterLines="0" w:line="420" w:lineRule="exact"/>
        <w:ind w:firstLine="440" w:firstLineChars="200"/>
        <w:jc w:val="left"/>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3.1</w:t>
      </w:r>
      <w:r>
        <w:rPr>
          <w:rFonts w:hint="eastAsia" w:ascii="宋体" w:hAnsi="宋体" w:eastAsia="宋体" w:cs="宋体"/>
          <w:color w:val="auto"/>
          <w:kern w:val="0"/>
          <w:sz w:val="22"/>
          <w:szCs w:val="22"/>
          <w:highlight w:val="none"/>
          <w:shd w:val="clear" w:color="auto" w:fill="auto"/>
          <w:lang w:val="zh-CN" w:eastAsia="zh-CN"/>
        </w:rPr>
        <w:t>供应商须具有合法有效的营业执照，</w:t>
      </w:r>
      <w:r>
        <w:rPr>
          <w:rFonts w:hint="eastAsia" w:ascii="宋体" w:hAnsi="宋体" w:eastAsia="宋体" w:cs="宋体"/>
          <w:color w:val="auto"/>
          <w:kern w:val="0"/>
          <w:sz w:val="22"/>
          <w:szCs w:val="22"/>
          <w:highlight w:val="none"/>
          <w:shd w:val="clear" w:color="auto" w:fill="auto"/>
          <w:lang w:val="en-US" w:eastAsia="zh-CN"/>
        </w:rPr>
        <w:t>并</w:t>
      </w:r>
      <w:r>
        <w:rPr>
          <w:rFonts w:hint="eastAsia" w:ascii="宋体" w:hAnsi="宋体" w:cs="宋体"/>
          <w:color w:val="auto"/>
          <w:kern w:val="0"/>
          <w:sz w:val="22"/>
          <w:szCs w:val="22"/>
          <w:highlight w:val="none"/>
          <w:shd w:val="clear" w:color="auto" w:fill="auto"/>
          <w:lang w:val="en-US" w:eastAsia="zh-CN"/>
        </w:rPr>
        <w:t>具备</w:t>
      </w:r>
      <w:r>
        <w:rPr>
          <w:rFonts w:hint="eastAsia" w:ascii="宋体" w:hAnsi="宋体" w:eastAsia="宋体" w:cs="宋体"/>
          <w:color w:val="auto"/>
          <w:kern w:val="0"/>
          <w:sz w:val="22"/>
          <w:szCs w:val="22"/>
          <w:highlight w:val="none"/>
          <w:shd w:val="clear" w:color="auto" w:fill="auto"/>
          <w:lang w:val="en-US" w:eastAsia="zh-CN"/>
        </w:rPr>
        <w:t>水利部核发的水利工程施工监理乙级及以上资质。</w:t>
      </w:r>
    </w:p>
    <w:p w14:paraId="415F0C2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三、获取招标文件及报名</w:t>
      </w:r>
    </w:p>
    <w:p w14:paraId="05176AE7">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eastAsia="宋体" w:cs="宋体"/>
          <w:color w:val="auto"/>
          <w:sz w:val="22"/>
          <w:szCs w:val="22"/>
          <w:highlight w:val="none"/>
        </w:rPr>
      </w:pPr>
      <w:bookmarkStart w:id="9" w:name="_Toc28359005"/>
      <w:bookmarkStart w:id="10" w:name="_Toc28359082"/>
      <w:bookmarkStart w:id="11" w:name="_Toc35393624"/>
      <w:bookmarkStart w:id="12" w:name="_Toc35393793"/>
      <w:r>
        <w:rPr>
          <w:rFonts w:hint="eastAsia" w:ascii="宋体" w:hAnsi="宋体" w:eastAsia="宋体" w:cs="宋体"/>
          <w:color w:val="auto"/>
          <w:sz w:val="22"/>
          <w:szCs w:val="22"/>
          <w:highlight w:val="none"/>
        </w:rPr>
        <w:t>时间：</w:t>
      </w:r>
      <w:r>
        <w:rPr>
          <w:rFonts w:hint="eastAsia" w:ascii="宋体" w:hAnsi="宋体" w:eastAsia="宋体" w:cs="宋体"/>
          <w:color w:val="auto"/>
          <w:sz w:val="22"/>
          <w:szCs w:val="22"/>
          <w:highlight w:val="none"/>
          <w:lang w:val="en-US" w:eastAsia="zh-CN"/>
        </w:rPr>
        <w:t>2026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rPr>
        <w:t>日至</w:t>
      </w:r>
      <w:r>
        <w:rPr>
          <w:rFonts w:hint="eastAsia" w:ascii="宋体" w:hAnsi="宋体" w:eastAsia="宋体" w:cs="宋体"/>
          <w:color w:val="auto"/>
          <w:sz w:val="22"/>
          <w:szCs w:val="22"/>
          <w:highlight w:val="none"/>
          <w:lang w:val="en-US" w:eastAsia="zh-CN"/>
        </w:rPr>
        <w:t>2026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日，每天上午00:00至12:00 ，下午12:00至23:59（北京时间，线上获取法定节假日均可，线下获取文件法定节假日除外）</w:t>
      </w:r>
    </w:p>
    <w:p w14:paraId="28D4034C">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地点（网址）：</w:t>
      </w:r>
      <w:r>
        <w:rPr>
          <w:rFonts w:hint="eastAsia" w:ascii="宋体" w:hAnsi="宋体" w:eastAsia="宋体" w:cs="宋体"/>
          <w:color w:val="auto"/>
          <w:sz w:val="22"/>
          <w:szCs w:val="22"/>
          <w:highlight w:val="none"/>
          <w:lang w:val="en-US" w:eastAsia="zh-CN"/>
        </w:rPr>
        <w:t>政采云平台</w:t>
      </w:r>
      <w:r>
        <w:rPr>
          <w:rFonts w:hint="eastAsia" w:ascii="宋体" w:hAnsi="宋体" w:eastAsia="宋体" w:cs="宋体"/>
          <w:color w:val="auto"/>
          <w:sz w:val="22"/>
          <w:szCs w:val="22"/>
          <w:highlight w:val="none"/>
        </w:rPr>
        <w:t xml:space="preserve">（https://www.zcygov.cn/） </w:t>
      </w:r>
    </w:p>
    <w:p w14:paraId="6701EFCA">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方式：</w:t>
      </w:r>
      <w:r>
        <w:rPr>
          <w:rFonts w:hint="eastAsia" w:ascii="宋体" w:hAnsi="宋体" w:eastAsia="宋体" w:cs="宋体"/>
          <w:color w:val="auto"/>
          <w:sz w:val="22"/>
          <w:szCs w:val="22"/>
          <w:highlight w:val="none"/>
          <w:lang w:val="en-US" w:eastAsia="zh-CN"/>
        </w:rPr>
        <w:t>供应商登录政采云平台</w:t>
      </w:r>
      <w:r>
        <w:rPr>
          <w:rFonts w:hint="eastAsia" w:ascii="宋体" w:hAnsi="宋体" w:eastAsia="宋体" w:cs="宋体"/>
          <w:color w:val="auto"/>
          <w:sz w:val="22"/>
          <w:szCs w:val="22"/>
          <w:highlight w:val="none"/>
        </w:rPr>
        <w:t>https://www.zcygov.cn/</w:t>
      </w:r>
      <w:r>
        <w:rPr>
          <w:rFonts w:hint="eastAsia" w:ascii="宋体" w:hAnsi="宋体" w:eastAsia="宋体" w:cs="宋体"/>
          <w:color w:val="auto"/>
          <w:sz w:val="22"/>
          <w:szCs w:val="22"/>
          <w:highlight w:val="none"/>
          <w:lang w:val="en-US" w:eastAsia="zh-CN"/>
        </w:rPr>
        <w:t>在线申请</w:t>
      </w:r>
      <w:r>
        <w:rPr>
          <w:rFonts w:hint="eastAsia" w:ascii="宋体" w:hAnsi="宋体" w:eastAsia="宋体" w:cs="宋体"/>
          <w:color w:val="auto"/>
          <w:sz w:val="22"/>
          <w:szCs w:val="22"/>
          <w:highlight w:val="none"/>
        </w:rPr>
        <w:t>获</w:t>
      </w:r>
      <w:r>
        <w:rPr>
          <w:rFonts w:hint="eastAsia" w:ascii="宋体" w:hAnsi="宋体" w:eastAsia="宋体" w:cs="宋体"/>
          <w:color w:val="auto"/>
          <w:sz w:val="22"/>
          <w:szCs w:val="22"/>
          <w:highlight w:val="none"/>
          <w:lang w:val="en-US" w:eastAsia="zh-CN"/>
        </w:rPr>
        <w:t>取采购文件（进入“项目采购”应用，在获取采购文件菜单中选择项目，申请获取采购文件）</w:t>
      </w:r>
    </w:p>
    <w:p w14:paraId="78D89284">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售价（元）：0</w:t>
      </w:r>
    </w:p>
    <w:p w14:paraId="22FDC28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四、提交投标文件</w:t>
      </w:r>
      <w:bookmarkEnd w:id="9"/>
      <w:bookmarkEnd w:id="10"/>
      <w:r>
        <w:rPr>
          <w:rFonts w:hint="eastAsia" w:ascii="宋体" w:hAnsi="宋体" w:eastAsia="宋体" w:cs="宋体"/>
          <w:b/>
          <w:color w:val="auto"/>
          <w:sz w:val="22"/>
          <w:szCs w:val="22"/>
          <w:highlight w:val="none"/>
        </w:rPr>
        <w:t>截止时间、开标时间和地点</w:t>
      </w:r>
      <w:bookmarkEnd w:id="11"/>
      <w:bookmarkEnd w:id="12"/>
    </w:p>
    <w:p w14:paraId="1C73766D">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提交投标文件截止时间：202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日</w:t>
      </w: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lang w:eastAsia="zh-CN"/>
        </w:rPr>
        <w:t>时（北京时间）</w:t>
      </w:r>
    </w:p>
    <w:p w14:paraId="6BD2EBE1">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投标地点（网址）：（1）“电子加密投标文件”：https://www.zcygov.cn在线提交；（2）“电子备份投标文件”：宁波市江北区政务服务中心开标室（江北区育才路138号北投大厦南楼7楼）。 </w:t>
      </w:r>
    </w:p>
    <w:p w14:paraId="05B1F715">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开标时间：202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lang w:eastAsia="zh-CN"/>
        </w:rPr>
        <w:t>月</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lang w:eastAsia="zh-CN"/>
        </w:rPr>
        <w:t>日</w:t>
      </w: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lang w:eastAsia="zh-CN"/>
        </w:rPr>
        <w:t>时（北京时间）</w:t>
      </w:r>
    </w:p>
    <w:p w14:paraId="0721D7D1">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开标地点（网址）：宁波市江北区政务服务中心开标室（江北区育才路138号北投大厦南楼7楼）。本项目通过“政府采购云平台”实行在线电子投标，投标人应在线参加开标。（政采云（http://www.zcygov.cn/））。</w:t>
      </w:r>
    </w:p>
    <w:p w14:paraId="1D83DE9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2"/>
          <w:szCs w:val="22"/>
          <w:highlight w:val="none"/>
        </w:rPr>
      </w:pPr>
      <w:bookmarkStart w:id="13" w:name="_Toc28359007"/>
      <w:bookmarkStart w:id="14" w:name="_Toc35393794"/>
      <w:bookmarkStart w:id="15" w:name="_Toc35393625"/>
      <w:bookmarkStart w:id="16" w:name="_Toc28359084"/>
      <w:r>
        <w:rPr>
          <w:rFonts w:hint="eastAsia" w:ascii="宋体" w:hAnsi="宋体" w:eastAsia="宋体" w:cs="宋体"/>
          <w:b/>
          <w:color w:val="auto"/>
          <w:sz w:val="22"/>
          <w:szCs w:val="22"/>
          <w:highlight w:val="none"/>
        </w:rPr>
        <w:t>五、公告期限</w:t>
      </w:r>
      <w:bookmarkEnd w:id="13"/>
      <w:bookmarkEnd w:id="14"/>
      <w:bookmarkEnd w:id="15"/>
      <w:bookmarkEnd w:id="16"/>
    </w:p>
    <w:p w14:paraId="0747D306">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自本公告发布之日起5个工作日。</w:t>
      </w:r>
    </w:p>
    <w:p w14:paraId="7559CE6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2"/>
          <w:szCs w:val="22"/>
          <w:highlight w:val="none"/>
        </w:rPr>
      </w:pPr>
      <w:bookmarkStart w:id="17" w:name="_Toc35393795"/>
      <w:bookmarkStart w:id="18" w:name="_Toc35393626"/>
      <w:r>
        <w:rPr>
          <w:rFonts w:hint="eastAsia" w:ascii="宋体" w:hAnsi="宋体" w:eastAsia="宋体" w:cs="宋体"/>
          <w:b/>
          <w:color w:val="auto"/>
          <w:sz w:val="22"/>
          <w:szCs w:val="22"/>
          <w:highlight w:val="none"/>
        </w:rPr>
        <w:t>六、其他补充事宜</w:t>
      </w:r>
      <w:bookmarkEnd w:id="17"/>
      <w:bookmarkEnd w:id="18"/>
    </w:p>
    <w:p w14:paraId="4AFFC631">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bookmarkStart w:id="19" w:name="_Toc35393627"/>
      <w:bookmarkStart w:id="20" w:name="_Toc35393796"/>
      <w:bookmarkStart w:id="21" w:name="_Toc28359008"/>
      <w:bookmarkStart w:id="22" w:name="_Toc28359085"/>
      <w:r>
        <w:rPr>
          <w:rFonts w:hint="eastAsia" w:ascii="宋体" w:hAnsi="宋体" w:eastAsia="宋体" w:cs="宋体"/>
          <w:color w:val="auto"/>
          <w:sz w:val="22"/>
          <w:szCs w:val="22"/>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465D9EA0">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4499A55">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55FFC1B">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4.其他事项：</w:t>
      </w:r>
    </w:p>
    <w:p w14:paraId="16902B5B">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落实政策：《关于促进残疾人就业政府采购政策的通知》（财库〔2017〕141号）、《政府采购促进中小企业发展管理办法》（财库﹝2020﹞46号）、《关于政府采购支持监狱企业发展有关问题的通知》（财库〔2014〕68号）。</w:t>
      </w:r>
    </w:p>
    <w:p w14:paraId="10C74451">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各供应商应在开标前确保成为浙江省政府采购网正式注册入库供应商，并完成CA数字证书办理。因未注册入库、未办理CA数字证书等原因造成无法投标或投标失败等后果由供应商自行承担。（具体操作详见供应商CA申领操作指南https://help.zcygov.cn/web/site_2/2018/11-29/2452.html）。</w:t>
      </w:r>
    </w:p>
    <w:p w14:paraId="43111332">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25D6D08">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本次政府采购活动有关信息在“浙江政府采购网（http://zfcg.czt.zj.gov.cn/）”、“宁波市公共资源交易电子服务系统（https://jyxt.zwb.ningbo.gov.cn:4011/website/construction）”网站上公布，公布信息视同送达所有潜在供应商。</w:t>
      </w:r>
    </w:p>
    <w:p w14:paraId="34A155C2">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4.5供应商提交电子备份响应文件方式：</w:t>
      </w:r>
    </w:p>
    <w:p w14:paraId="17F5EA75">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4.5.1采用邮寄方式提交电子备份响应文件，需按以下要求递交：</w:t>
      </w:r>
    </w:p>
    <w:p w14:paraId="4E1F402F">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在投标截止前将电子备份响应文件邮寄至规定地点，由采购代理机构工作人员进行签收。各供应商自行考虑邮寄在途时间，邮寄过程中无论何种因素导致电子备份响应文件未按时递交的后果，均由供应商自行负责。电子备份响应文件递交时间以采购代理实际收到电子备份响应文件的时间为准。迟到的电子备份响应文件将被拒收。请各供应商确保密封包装在邮寄过程密封包装完好，并在邮寄包裹上注明项目名称，因邮寄过程的密封破损造成不符合开标要求的，本采购代理及采购人概不负责。</w:t>
      </w:r>
    </w:p>
    <w:p w14:paraId="0F864834">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电子备份响应文件邮寄地址为：浙江省宁波市江北区金隅大成时代5号楼4楼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收件人：</w:t>
      </w:r>
      <w:r>
        <w:rPr>
          <w:rFonts w:hint="eastAsia" w:ascii="宋体" w:hAnsi="宋体" w:eastAsia="宋体" w:cs="宋体"/>
          <w:color w:val="auto"/>
          <w:sz w:val="22"/>
          <w:szCs w:val="22"/>
          <w:highlight w:val="none"/>
          <w:lang w:val="en-US" w:eastAsia="zh-CN"/>
        </w:rPr>
        <w:t>张</w:t>
      </w:r>
      <w:r>
        <w:rPr>
          <w:rFonts w:hint="eastAsia" w:ascii="宋体" w:hAnsi="宋体" w:eastAsia="宋体" w:cs="宋体"/>
          <w:color w:val="auto"/>
          <w:sz w:val="22"/>
          <w:szCs w:val="22"/>
          <w:highlight w:val="none"/>
        </w:rPr>
        <w:t>工 联系方式：0574-27617883。</w:t>
      </w:r>
    </w:p>
    <w:p w14:paraId="2C31F8BF">
      <w:pPr>
        <w:keepNext w:val="0"/>
        <w:keepLines w:val="0"/>
        <w:pageBreakBefore w:val="0"/>
        <w:widowControl w:val="0"/>
        <w:kinsoku/>
        <w:wordWrap w:val="0"/>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4.5.2采用现场递交方式递交电子备份响应文件，在递交当天供应商相关人员可递交至采购代理机构处。</w:t>
      </w:r>
    </w:p>
    <w:p w14:paraId="7EE2E67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七、对本次招标提出询问，请按以下方式联系。</w:t>
      </w:r>
      <w:bookmarkEnd w:id="19"/>
      <w:bookmarkEnd w:id="20"/>
      <w:bookmarkEnd w:id="21"/>
      <w:bookmarkEnd w:id="22"/>
    </w:p>
    <w:p w14:paraId="539C982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1.采购人信息</w:t>
      </w:r>
    </w:p>
    <w:p w14:paraId="5DFD203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 称：</w:t>
      </w:r>
      <w:r>
        <w:rPr>
          <w:rFonts w:hint="eastAsia" w:ascii="宋体" w:hAnsi="宋体" w:eastAsia="宋体" w:cs="宋体"/>
          <w:color w:val="auto"/>
          <w:sz w:val="22"/>
          <w:szCs w:val="22"/>
          <w:highlight w:val="none"/>
          <w:lang w:eastAsia="zh-CN"/>
        </w:rPr>
        <w:t>宁波市江北区慈城镇人民政府</w:t>
      </w:r>
    </w:p>
    <w:p w14:paraId="25F8624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址：宁波市江北区慈城镇解放路8号</w:t>
      </w:r>
    </w:p>
    <w:p w14:paraId="665F4C0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p w14:paraId="0592B04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项目联系人（询问）：</w:t>
      </w:r>
      <w:r>
        <w:rPr>
          <w:rFonts w:hint="eastAsia" w:ascii="宋体" w:hAnsi="宋体" w:eastAsia="宋体" w:cs="宋体"/>
          <w:color w:val="auto"/>
          <w:sz w:val="22"/>
          <w:szCs w:val="22"/>
          <w:highlight w:val="none"/>
          <w:lang w:val="en-US" w:eastAsia="zh-CN"/>
        </w:rPr>
        <w:t>王老师</w:t>
      </w:r>
    </w:p>
    <w:p w14:paraId="061786E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项目联系方式（询问）：0574-87572768</w:t>
      </w:r>
    </w:p>
    <w:p w14:paraId="26939BB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质疑联系人：</w:t>
      </w:r>
      <w:r>
        <w:rPr>
          <w:rFonts w:hint="eastAsia" w:ascii="宋体" w:hAnsi="宋体" w:eastAsia="宋体" w:cs="宋体"/>
          <w:color w:val="auto"/>
          <w:sz w:val="22"/>
          <w:szCs w:val="22"/>
          <w:highlight w:val="none"/>
          <w:lang w:val="en-US" w:eastAsia="zh-CN"/>
        </w:rPr>
        <w:t>王老师</w:t>
      </w:r>
    </w:p>
    <w:p w14:paraId="0E3ABF0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质疑联系方式：0574-87572768</w:t>
      </w:r>
    </w:p>
    <w:p w14:paraId="7120E08E">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p>
    <w:p w14:paraId="5C2EE53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2.采购代理机构信息            </w:t>
      </w:r>
    </w:p>
    <w:p w14:paraId="520ECC2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名称：</w:t>
      </w:r>
      <w:r>
        <w:rPr>
          <w:rFonts w:hint="eastAsia" w:ascii="宋体" w:hAnsi="宋体" w:eastAsia="宋体" w:cs="宋体"/>
          <w:color w:val="auto"/>
          <w:sz w:val="22"/>
          <w:szCs w:val="22"/>
          <w:highlight w:val="none"/>
          <w:lang w:eastAsia="zh-CN"/>
        </w:rPr>
        <w:t>浙江锦晟工程技术管理有限公司</w:t>
      </w:r>
    </w:p>
    <w:p w14:paraId="36687390">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lang w:eastAsia="zh-CN"/>
        </w:rPr>
        <w:t>宁波市江北区金隅大成时代5号楼4楼</w:t>
      </w:r>
      <w:r>
        <w:rPr>
          <w:rFonts w:hint="eastAsia" w:ascii="宋体" w:hAnsi="宋体" w:eastAsia="宋体" w:cs="宋体"/>
          <w:color w:val="auto"/>
          <w:sz w:val="22"/>
          <w:szCs w:val="22"/>
          <w:highlight w:val="none"/>
        </w:rPr>
        <w:t xml:space="preserve">      </w:t>
      </w:r>
    </w:p>
    <w:p w14:paraId="30DC715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         </w:t>
      </w:r>
    </w:p>
    <w:p w14:paraId="46517E1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项目联系人（询问）：</w:t>
      </w:r>
      <w:r>
        <w:rPr>
          <w:rFonts w:hint="eastAsia" w:ascii="宋体" w:hAnsi="宋体" w:eastAsia="宋体" w:cs="宋体"/>
          <w:color w:val="auto"/>
          <w:sz w:val="22"/>
          <w:szCs w:val="22"/>
          <w:highlight w:val="none"/>
          <w:lang w:val="en-US" w:eastAsia="zh-CN"/>
        </w:rPr>
        <w:t>胡剑波、</w:t>
      </w:r>
      <w:r>
        <w:rPr>
          <w:rFonts w:hint="eastAsia" w:ascii="宋体" w:hAnsi="宋体" w:eastAsia="宋体" w:cs="宋体"/>
          <w:color w:val="auto"/>
          <w:sz w:val="22"/>
          <w:szCs w:val="22"/>
          <w:highlight w:val="none"/>
          <w:lang w:eastAsia="zh-CN"/>
        </w:rPr>
        <w:t>李映映、</w:t>
      </w:r>
      <w:r>
        <w:rPr>
          <w:rFonts w:hint="eastAsia" w:ascii="宋体" w:hAnsi="宋体" w:eastAsia="宋体" w:cs="宋体"/>
          <w:color w:val="auto"/>
          <w:sz w:val="22"/>
          <w:szCs w:val="22"/>
          <w:highlight w:val="none"/>
          <w:lang w:val="en-US" w:eastAsia="zh-CN"/>
        </w:rPr>
        <w:t>王田田</w:t>
      </w:r>
      <w:r>
        <w:rPr>
          <w:rFonts w:hint="eastAsia" w:ascii="宋体" w:hAnsi="宋体" w:eastAsia="宋体" w:cs="宋体"/>
          <w:color w:val="auto"/>
          <w:sz w:val="22"/>
          <w:szCs w:val="22"/>
          <w:highlight w:val="none"/>
        </w:rPr>
        <w:t>             </w:t>
      </w:r>
    </w:p>
    <w:p w14:paraId="58BDAE7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项目联系方式（询问）：</w:t>
      </w:r>
      <w:r>
        <w:rPr>
          <w:rFonts w:hint="eastAsia" w:ascii="宋体" w:hAnsi="宋体" w:eastAsia="宋体" w:cs="宋体"/>
          <w:color w:val="auto"/>
          <w:sz w:val="22"/>
          <w:szCs w:val="22"/>
          <w:highlight w:val="none"/>
          <w:lang w:eastAsia="zh-CN"/>
        </w:rPr>
        <w:t>0574-27617883</w:t>
      </w:r>
    </w:p>
    <w:p w14:paraId="6ADFFE9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质疑联系人：</w:t>
      </w:r>
      <w:r>
        <w:rPr>
          <w:rFonts w:hint="eastAsia" w:ascii="宋体" w:hAnsi="宋体" w:eastAsia="宋体" w:cs="宋体"/>
          <w:color w:val="auto"/>
          <w:sz w:val="22"/>
          <w:szCs w:val="22"/>
          <w:highlight w:val="none"/>
          <w:lang w:val="en-US" w:eastAsia="zh-CN"/>
        </w:rPr>
        <w:t>胡剑波</w:t>
      </w:r>
      <w:r>
        <w:rPr>
          <w:rFonts w:hint="eastAsia" w:ascii="宋体" w:hAnsi="宋体" w:eastAsia="宋体" w:cs="宋体"/>
          <w:color w:val="auto"/>
          <w:sz w:val="22"/>
          <w:szCs w:val="22"/>
          <w:highlight w:val="none"/>
        </w:rPr>
        <w:t>           </w:t>
      </w:r>
    </w:p>
    <w:p w14:paraId="5941352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质疑联系方式：</w:t>
      </w:r>
      <w:r>
        <w:rPr>
          <w:rFonts w:hint="eastAsia" w:ascii="宋体" w:hAnsi="宋体" w:eastAsia="宋体" w:cs="宋体"/>
          <w:color w:val="auto"/>
          <w:sz w:val="22"/>
          <w:szCs w:val="22"/>
          <w:highlight w:val="none"/>
          <w:lang w:eastAsia="zh-CN"/>
        </w:rPr>
        <w:t>0574-27617883</w:t>
      </w:r>
    </w:p>
    <w:p w14:paraId="1676C160">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highlight w:val="none"/>
        </w:rPr>
      </w:pPr>
    </w:p>
    <w:p w14:paraId="3FE8AC2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3.同级政府采购监督管理部门            </w:t>
      </w:r>
    </w:p>
    <w:p w14:paraId="4141A2F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名称：宁波市江北区政府采购管理办公室             </w:t>
      </w:r>
    </w:p>
    <w:p w14:paraId="029381A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地址：宁波市江北区大庆南路181号             </w:t>
      </w:r>
    </w:p>
    <w:p w14:paraId="6A667E2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             </w:t>
      </w:r>
    </w:p>
    <w:p w14:paraId="1E01432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联系人：张老师             </w:t>
      </w:r>
    </w:p>
    <w:p w14:paraId="1C843855">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监督投诉电话：0574-87388032</w:t>
      </w:r>
    </w:p>
    <w:p w14:paraId="60730796">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eastAsia="宋体" w:cs="宋体"/>
          <w:color w:val="auto"/>
          <w:sz w:val="22"/>
          <w:szCs w:val="22"/>
          <w:highlight w:val="none"/>
        </w:rPr>
      </w:pPr>
    </w:p>
    <w:p w14:paraId="193FCE6B">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eastAsia="宋体" w:cs="宋体"/>
          <w:color w:val="auto"/>
          <w:sz w:val="22"/>
          <w:szCs w:val="22"/>
          <w:highlight w:val="none"/>
        </w:rPr>
      </w:pPr>
    </w:p>
    <w:p w14:paraId="75663647">
      <w:pPr>
        <w:keepNext w:val="0"/>
        <w:keepLines w:val="0"/>
        <w:pageBreakBefore w:val="0"/>
        <w:widowControl w:val="0"/>
        <w:kinsoku/>
        <w:wordWrap/>
        <w:overflowPunct/>
        <w:topLinePunct w:val="0"/>
        <w:autoSpaceDE/>
        <w:autoSpaceDN/>
        <w:bidi w:val="0"/>
        <w:adjustRightIn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若对项目采购电子交易系统操作有疑问，可登录政采云（https://www.zcygov.cn/），点击右侧咨询小采，获取采小蜜智能服务管家帮助，或拨打政采云服务热线400-881-7190获取热线服务帮助。       </w:t>
      </w:r>
    </w:p>
    <w:p w14:paraId="3E691118">
      <w:pPr>
        <w:keepNext w:val="0"/>
        <w:keepLines w:val="0"/>
        <w:pageBreakBefore w:val="0"/>
        <w:widowControl w:val="0"/>
        <w:tabs>
          <w:tab w:val="left" w:pos="978"/>
        </w:tabs>
        <w:kinsoku/>
        <w:wordWrap/>
        <w:overflowPunct/>
        <w:topLinePunct w:val="0"/>
        <w:autoSpaceDE/>
        <w:autoSpaceDN/>
        <w:bidi w:val="0"/>
        <w:adjustRightInd/>
        <w:spacing w:line="40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CA问题联系电话（人工）：汇信CA 400-888-4636；天谷CA 400-087-8198。 </w:t>
      </w:r>
    </w:p>
    <w:p w14:paraId="2BFABAC2">
      <w:pPr>
        <w:tabs>
          <w:tab w:val="left" w:pos="2616"/>
        </w:tabs>
        <w:bidi w:val="0"/>
        <w:jc w:val="left"/>
        <w:rPr>
          <w:rFonts w:hint="eastAsia"/>
          <w:color w:val="auto"/>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378C2FA">
      <w:pPr>
        <w:pStyle w:val="12"/>
        <w:numPr>
          <w:ilvl w:val="0"/>
          <w:numId w:val="0"/>
        </w:numPr>
        <w:snapToGrid w:val="0"/>
        <w:spacing w:before="120" w:after="120" w:line="440" w:lineRule="exact"/>
        <w:jc w:val="center"/>
        <w:outlineLvl w:val="0"/>
        <w:rPr>
          <w:rFonts w:hint="eastAsia" w:ascii="宋体" w:hAnsi="宋体" w:eastAsia="宋体" w:cs="宋体"/>
          <w:color w:val="auto"/>
          <w:sz w:val="30"/>
          <w:szCs w:val="30"/>
          <w:highlight w:val="none"/>
        </w:rPr>
      </w:pPr>
      <w:r>
        <w:rPr>
          <w:rFonts w:hint="eastAsia" w:ascii="宋体" w:hAnsi="宋体" w:eastAsia="宋体" w:cs="宋体"/>
          <w:b/>
          <w:color w:val="auto"/>
          <w:kern w:val="0"/>
          <w:sz w:val="30"/>
          <w:szCs w:val="30"/>
          <w:highlight w:val="none"/>
          <w:lang w:val="en-US" w:eastAsia="zh-CN" w:bidi="ar-SA"/>
        </w:rPr>
        <w:t xml:space="preserve">第二章  </w:t>
      </w:r>
      <w:r>
        <w:rPr>
          <w:rFonts w:hint="eastAsia" w:eastAsia="宋体" w:cs="宋体"/>
          <w:b/>
          <w:color w:val="auto"/>
          <w:kern w:val="0"/>
          <w:sz w:val="30"/>
          <w:szCs w:val="30"/>
          <w:highlight w:val="none"/>
          <w:lang w:val="en-US" w:eastAsia="zh-CN" w:bidi="ar-SA"/>
        </w:rPr>
        <w:t>采购</w:t>
      </w:r>
      <w:r>
        <w:rPr>
          <w:rFonts w:hint="eastAsia" w:ascii="宋体" w:hAnsi="宋体" w:eastAsia="宋体" w:cs="宋体"/>
          <w:color w:val="auto"/>
          <w:sz w:val="30"/>
          <w:szCs w:val="30"/>
          <w:highlight w:val="none"/>
        </w:rPr>
        <w:t>需求</w:t>
      </w:r>
    </w:p>
    <w:p w14:paraId="7B300A4D">
      <w:pPr>
        <w:keepNext w:val="0"/>
        <w:pageBreakBefore w:val="0"/>
        <w:widowControl w:val="0"/>
        <w:kinsoku/>
        <w:overflowPunct/>
        <w:topLinePunct w:val="0"/>
        <w:autoSpaceDE/>
        <w:autoSpaceDN/>
        <w:bidi w:val="0"/>
        <w:spacing w:beforeLines="0" w:afterLines="0" w:line="440" w:lineRule="exact"/>
        <w:textAlignment w:val="auto"/>
        <w:rPr>
          <w:rFonts w:hint="eastAsia" w:ascii="宋体" w:hAnsi="宋体" w:eastAsia="宋体" w:cs="宋体"/>
          <w:b/>
          <w:bCs/>
          <w:color w:val="auto"/>
          <w:spacing w:val="0"/>
          <w:sz w:val="21"/>
          <w:szCs w:val="21"/>
          <w:highlight w:val="none"/>
          <w:shd w:val="clear" w:color="auto" w:fill="auto"/>
          <w:lang w:eastAsia="zh-CN"/>
        </w:rPr>
      </w:pPr>
      <w:r>
        <w:rPr>
          <w:rFonts w:hint="eastAsia" w:ascii="宋体" w:hAnsi="宋体" w:eastAsia="宋体" w:cs="宋体"/>
          <w:b/>
          <w:bCs/>
          <w:color w:val="auto"/>
          <w:spacing w:val="0"/>
          <w:sz w:val="21"/>
          <w:szCs w:val="21"/>
          <w:highlight w:val="none"/>
          <w:shd w:val="clear" w:color="auto" w:fill="auto"/>
          <w:lang w:eastAsia="zh-CN"/>
        </w:rPr>
        <w:t>一、项目概况</w:t>
      </w:r>
    </w:p>
    <w:p w14:paraId="4E40F17F">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1、工程名称：</w:t>
      </w:r>
      <w:r>
        <w:rPr>
          <w:rFonts w:hint="eastAsia" w:ascii="宋体" w:hAnsi="宋体" w:cs="宋体"/>
          <w:color w:val="auto"/>
          <w:sz w:val="22"/>
          <w:szCs w:val="22"/>
          <w:highlight w:val="none"/>
          <w:shd w:val="clear" w:color="auto" w:fill="auto"/>
          <w:lang w:val="en-US" w:eastAsia="zh-CN"/>
        </w:rPr>
        <w:t>2026年慈城镇耕地功能恢复项目（监理）</w:t>
      </w:r>
    </w:p>
    <w:p w14:paraId="772C3773">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default"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w:t>
      </w:r>
      <w:r>
        <w:rPr>
          <w:rFonts w:hint="eastAsia" w:ascii="宋体" w:hAnsi="宋体" w:cs="宋体"/>
          <w:color w:val="auto"/>
          <w:sz w:val="22"/>
          <w:szCs w:val="22"/>
          <w:highlight w:val="none"/>
          <w:shd w:val="clear" w:color="auto" w:fill="auto"/>
          <w:lang w:val="en-US" w:eastAsia="zh-CN"/>
        </w:rPr>
        <w:t>项目业主：宁波市江北区慈城镇人民政府</w:t>
      </w:r>
    </w:p>
    <w:p w14:paraId="172097A8">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cs="宋体"/>
          <w:color w:val="auto"/>
          <w:sz w:val="22"/>
          <w:szCs w:val="22"/>
          <w:highlight w:val="none"/>
          <w:shd w:val="clear" w:color="auto" w:fill="auto"/>
          <w:lang w:val="en-US" w:eastAsia="zh-CN"/>
        </w:rPr>
        <w:t>3、</w:t>
      </w:r>
      <w:r>
        <w:rPr>
          <w:rFonts w:hint="eastAsia" w:ascii="宋体" w:hAnsi="宋体" w:eastAsia="宋体" w:cs="宋体"/>
          <w:color w:val="auto"/>
          <w:sz w:val="22"/>
          <w:szCs w:val="22"/>
          <w:highlight w:val="none"/>
          <w:shd w:val="clear" w:color="auto" w:fill="auto"/>
          <w:lang w:val="en-US" w:eastAsia="zh-CN"/>
        </w:rPr>
        <w:t>项目概况：本项目概算总投资</w:t>
      </w:r>
      <w:r>
        <w:rPr>
          <w:rFonts w:hint="eastAsia" w:ascii="宋体" w:hAnsi="宋体" w:cs="宋体"/>
          <w:color w:val="auto"/>
          <w:sz w:val="22"/>
          <w:szCs w:val="22"/>
          <w:highlight w:val="none"/>
          <w:shd w:val="clear" w:color="auto" w:fill="auto"/>
          <w:lang w:val="en-US" w:eastAsia="zh-CN"/>
        </w:rPr>
        <w:t>约8815</w:t>
      </w:r>
      <w:r>
        <w:rPr>
          <w:rFonts w:hint="eastAsia" w:ascii="宋体" w:hAnsi="宋体" w:eastAsia="宋体" w:cs="宋体"/>
          <w:color w:val="auto"/>
          <w:sz w:val="22"/>
          <w:szCs w:val="22"/>
          <w:highlight w:val="none"/>
          <w:shd w:val="clear" w:color="auto" w:fill="auto"/>
          <w:lang w:val="en-US" w:eastAsia="zh-CN"/>
        </w:rPr>
        <w:t>万元，其中</w:t>
      </w:r>
      <w:r>
        <w:rPr>
          <w:rFonts w:hint="eastAsia" w:ascii="宋体" w:hAnsi="宋体" w:cs="宋体"/>
          <w:color w:val="auto"/>
          <w:sz w:val="22"/>
          <w:szCs w:val="22"/>
          <w:highlight w:val="none"/>
          <w:shd w:val="clear" w:color="auto" w:fill="auto"/>
          <w:lang w:val="en-US" w:eastAsia="zh-CN"/>
        </w:rPr>
        <w:t>建安费约3349.7</w:t>
      </w:r>
      <w:r>
        <w:rPr>
          <w:rFonts w:hint="eastAsia" w:ascii="宋体" w:hAnsi="宋体" w:eastAsia="宋体" w:cs="宋体"/>
          <w:color w:val="auto"/>
          <w:sz w:val="22"/>
          <w:szCs w:val="22"/>
          <w:highlight w:val="none"/>
          <w:shd w:val="clear" w:color="auto" w:fill="auto"/>
          <w:lang w:val="en-US" w:eastAsia="zh-CN"/>
        </w:rPr>
        <w:t>万元。</w:t>
      </w:r>
    </w:p>
    <w:p w14:paraId="0FC57761">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cs="宋体"/>
          <w:color w:val="auto"/>
          <w:sz w:val="22"/>
          <w:szCs w:val="22"/>
          <w:highlight w:val="none"/>
          <w:shd w:val="clear" w:color="auto" w:fill="auto"/>
          <w:lang w:val="en-US" w:eastAsia="zh-CN"/>
        </w:rPr>
        <w:t>4</w:t>
      </w:r>
      <w:r>
        <w:rPr>
          <w:rFonts w:hint="eastAsia" w:ascii="宋体" w:hAnsi="宋体" w:eastAsia="宋体" w:cs="宋体"/>
          <w:color w:val="auto"/>
          <w:sz w:val="22"/>
          <w:szCs w:val="22"/>
          <w:highlight w:val="none"/>
          <w:shd w:val="clear" w:color="auto" w:fill="auto"/>
          <w:lang w:val="en-US" w:eastAsia="zh-CN"/>
        </w:rPr>
        <w:t>、项目地点：位于宁波市</w:t>
      </w:r>
      <w:r>
        <w:rPr>
          <w:rFonts w:hint="eastAsia" w:ascii="宋体" w:hAnsi="宋体" w:cs="宋体"/>
          <w:color w:val="auto"/>
          <w:sz w:val="22"/>
          <w:szCs w:val="22"/>
          <w:highlight w:val="none"/>
          <w:shd w:val="clear" w:color="auto" w:fill="auto"/>
          <w:lang w:val="en-US" w:eastAsia="zh-CN"/>
        </w:rPr>
        <w:t>江北</w:t>
      </w:r>
      <w:r>
        <w:rPr>
          <w:rFonts w:hint="eastAsia" w:ascii="宋体" w:hAnsi="宋体" w:eastAsia="宋体" w:cs="宋体"/>
          <w:color w:val="auto"/>
          <w:sz w:val="22"/>
          <w:szCs w:val="22"/>
          <w:highlight w:val="none"/>
          <w:shd w:val="clear" w:color="auto" w:fill="auto"/>
          <w:lang w:val="en-US" w:eastAsia="zh-CN"/>
        </w:rPr>
        <w:t>区</w:t>
      </w:r>
      <w:r>
        <w:rPr>
          <w:rFonts w:hint="eastAsia" w:ascii="宋体" w:hAnsi="宋体" w:cs="宋体"/>
          <w:color w:val="auto"/>
          <w:sz w:val="22"/>
          <w:szCs w:val="22"/>
          <w:highlight w:val="none"/>
          <w:shd w:val="clear" w:color="auto" w:fill="auto"/>
          <w:lang w:val="en-US" w:eastAsia="zh-CN"/>
        </w:rPr>
        <w:t>慈城镇</w:t>
      </w:r>
    </w:p>
    <w:p w14:paraId="2E694B2F">
      <w:pPr>
        <w:keepNext w:val="0"/>
        <w:pageBreakBefore w:val="0"/>
        <w:widowControl w:val="0"/>
        <w:kinsoku/>
        <w:overflowPunct/>
        <w:topLinePunct w:val="0"/>
        <w:autoSpaceDE/>
        <w:autoSpaceDN/>
        <w:bidi w:val="0"/>
        <w:spacing w:beforeLines="0" w:afterLines="0" w:line="440" w:lineRule="exact"/>
        <w:textAlignment w:val="auto"/>
        <w:rPr>
          <w:rFonts w:hint="eastAsia" w:ascii="宋体" w:hAnsi="宋体" w:eastAsia="宋体" w:cs="宋体"/>
          <w:b/>
          <w:bCs/>
          <w:color w:val="auto"/>
          <w:spacing w:val="0"/>
          <w:sz w:val="21"/>
          <w:szCs w:val="21"/>
          <w:highlight w:val="none"/>
          <w:shd w:val="clear" w:color="auto" w:fill="auto"/>
          <w:lang w:val="en-US" w:eastAsia="zh-CN"/>
        </w:rPr>
      </w:pPr>
      <w:r>
        <w:rPr>
          <w:rFonts w:hint="eastAsia" w:ascii="宋体" w:hAnsi="宋体" w:eastAsia="宋体" w:cs="宋体"/>
          <w:b/>
          <w:bCs/>
          <w:color w:val="auto"/>
          <w:spacing w:val="0"/>
          <w:sz w:val="21"/>
          <w:szCs w:val="21"/>
          <w:highlight w:val="none"/>
          <w:shd w:val="clear" w:color="auto" w:fill="auto"/>
          <w:lang w:val="en-US" w:eastAsia="zh-CN"/>
        </w:rPr>
        <w:t>二、服务范围</w:t>
      </w:r>
    </w:p>
    <w:p w14:paraId="7906E730">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default"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1、监理服务内容：本工程施工期全过程监理及缺陷责任期监理，进行本工程施工过程中的质量、进度、费用控制，安全生产监督管理、合同、信息等方面的协调管理以及缺陷责任期的相关服务等。</w:t>
      </w:r>
    </w:p>
    <w:p w14:paraId="2DDD1DC2">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default"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服务要求：按照国家、省、市、区等相关部门法律、法规及技术规范要求执行，并符合上级主管部门对本项目的要求，完成本项目监理工作，确保工程质量，并按要求提交工程验收所需监理文件资料，做好工程验收等相关工作。</w:t>
      </w:r>
    </w:p>
    <w:p w14:paraId="295E0ECA">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3、成果资料：纸质档及电子版按业主需求提供。</w:t>
      </w:r>
    </w:p>
    <w:p w14:paraId="04B6582A">
      <w:pPr>
        <w:keepNext w:val="0"/>
        <w:pageBreakBefore w:val="0"/>
        <w:widowControl w:val="0"/>
        <w:kinsoku/>
        <w:overflowPunct/>
        <w:topLinePunct w:val="0"/>
        <w:autoSpaceDE/>
        <w:autoSpaceDN/>
        <w:bidi w:val="0"/>
        <w:spacing w:beforeLines="0" w:afterLines="0" w:line="440" w:lineRule="exact"/>
        <w:textAlignment w:val="auto"/>
        <w:rPr>
          <w:rFonts w:hint="eastAsia" w:ascii="宋体" w:hAnsi="宋体" w:eastAsia="宋体" w:cs="宋体"/>
          <w:b/>
          <w:bCs/>
          <w:color w:val="auto"/>
          <w:spacing w:val="0"/>
          <w:sz w:val="21"/>
          <w:szCs w:val="21"/>
          <w:highlight w:val="none"/>
          <w:shd w:val="clear" w:color="auto" w:fill="auto"/>
          <w:lang w:val="en-US" w:eastAsia="zh-CN"/>
        </w:rPr>
      </w:pPr>
      <w:r>
        <w:rPr>
          <w:rFonts w:hint="eastAsia" w:ascii="宋体" w:hAnsi="宋体" w:eastAsia="宋体" w:cs="宋体"/>
          <w:b/>
          <w:bCs/>
          <w:color w:val="auto"/>
          <w:spacing w:val="0"/>
          <w:sz w:val="21"/>
          <w:szCs w:val="21"/>
          <w:highlight w:val="none"/>
          <w:shd w:val="clear" w:color="auto" w:fill="auto"/>
          <w:lang w:val="en-US" w:eastAsia="zh-CN"/>
        </w:rPr>
        <w:t>三、监理工作具体内容</w:t>
      </w:r>
    </w:p>
    <w:p w14:paraId="4F885746">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监理范围包括：本项目的施工全过程监理及质量缺陷责任期阶段的工程保修监理。监理工作内容包括施工阶段工程质量、进度、投资控制，合同管理，信息管理，组织协调，安全、文明施工监理，环境保护监理等。</w:t>
      </w:r>
    </w:p>
    <w:p w14:paraId="588438DD">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（2）监理工作具体内容包括：</w:t>
      </w:r>
    </w:p>
    <w:p w14:paraId="65331858">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1）编制监理规划、旁站监理计划、监理实施</w:t>
      </w:r>
    </w:p>
    <w:p w14:paraId="042401AF">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3）参与设计交底工作，审查承包人提交的复测结果、设计细则，报委托人同意后实施；</w:t>
      </w:r>
    </w:p>
    <w:p w14:paraId="66007C9F">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2）熟悉合同文件，了解施工现场；变更和施工组织设计，督促和检查承包人建立质量保证体系、安全保证体系；</w:t>
      </w:r>
    </w:p>
    <w:p w14:paraId="796D2FF2">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4）检查施工承包人的开工准备工作，审批施工组织设计，签认开工报告，批准单项工程开工报告；</w:t>
      </w:r>
    </w:p>
    <w:p w14:paraId="3C9AE3CD">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5）审查承包人授权的常驻现场代表的资质，以及其他派驻到现场的主要技术、管理人员的资质；审查特殊作业人员上岗证件；</w:t>
      </w:r>
    </w:p>
    <w:p w14:paraId="3B66B2FB">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6）建立监理的试验、检测工作体系，按照规定的频率独立开展监理的试验、检测工作；</w:t>
      </w:r>
    </w:p>
    <w:p w14:paraId="213E06CD">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7）审批承包人拟用于本工程的原始材料、成套设备的品质；</w:t>
      </w:r>
    </w:p>
    <w:p w14:paraId="6A938056">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8）审查施工承包人实施工程的实施方案及主要方法或工艺，审批施工承包人提交的各项安全专项方案；还应对施工承包人在施工过程中采取的环境保护措施和施工安全、文明措施加强监督和管理；验收承包人的工地试验室，审核其人员资质；</w:t>
      </w:r>
    </w:p>
    <w:p w14:paraId="2926D3C8">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9）审查施工承包人拟用于本工程的机械设备的性能与数量；</w:t>
      </w:r>
    </w:p>
    <w:p w14:paraId="5D9126BF">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10）审查承包人提交的总体进度计划，检查和督促承包人实施进度计划、核批承包人的修正计划；</w:t>
      </w:r>
    </w:p>
    <w:p w14:paraId="508E6559">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11）审查分包合同和分包人的资质，控制重要外购成品件或半成品的质量；</w:t>
      </w:r>
    </w:p>
    <w:p w14:paraId="0D5B545E">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12）参加第一次开始的工地监理会议和主持日常工地监理会议，参加专题例会，参加跟踪审计造价会议；</w:t>
      </w:r>
    </w:p>
    <w:p w14:paraId="35A6ACBA">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13）要求承包人按照合同条件、技术规范和监理程序进行施工、通过旁站、巡视、检测、整体验收等手段全面监督、检查和控制工程质量；尤其须注意对进场材料、设备的平行检验及对混凝土浇筑等关键部分、关键工序实行全过程旁站；</w:t>
      </w:r>
    </w:p>
    <w:p w14:paraId="17FEDCFE">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14）对已完成工程量进行准确的计量，对工程量的增减做好实测实量，保存好原始凭证，并接受委托人代表检核，重大工程量的计量按施工合同约定执行，审核变更的工作量并签署确认意见，对上报进度款的工作量进行审核，确认。</w:t>
      </w:r>
    </w:p>
    <w:p w14:paraId="48F6170C">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15）对承包人安全、文明施工进行监管，督促承包单位做好半成品保护,对施工单位成品保护工作的质量与效果进行经常性检查,要避免因成品保护不善造成操作损坏或污染,影响工程整体质量；</w:t>
      </w:r>
    </w:p>
    <w:p w14:paraId="4CD12B20">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16）签发中间交工文件；</w:t>
      </w:r>
    </w:p>
    <w:p w14:paraId="0246AF1C">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17）调查、处理工程质量缺陷和事故，与设计、施工单位一起提出改进措施和方法，出现重大质量和安全事故时，督促承包人按规定上报有关部门；</w:t>
      </w:r>
    </w:p>
    <w:p w14:paraId="76D2A6C3">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18）签认中期支付凭证；</w:t>
      </w:r>
    </w:p>
    <w:p w14:paraId="34F7B27F">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19）发布停（复）工令；</w:t>
      </w:r>
    </w:p>
    <w:p w14:paraId="3A14484C">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20）发布变更令（重大、重要变更报委托人核准，凡涉及工程造价须事前经委托人核准）；</w:t>
      </w:r>
    </w:p>
    <w:p w14:paraId="1C52E662">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21）受理合同事宜，根据合同规定进行评估和处理；</w:t>
      </w:r>
    </w:p>
    <w:p w14:paraId="79F21680">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22）根据合同规定处理违约事件，协调争端，在诉讼或仲裁过程中作证；</w:t>
      </w:r>
    </w:p>
    <w:p w14:paraId="1F45B24C">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23）编制监理工作周报、月报；</w:t>
      </w:r>
    </w:p>
    <w:p w14:paraId="2CDFF98D">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24）对承包人的交工申请进行评估，主持对拟交工工程的检查和验收，签认交工文件，签署监理意见；</w:t>
      </w:r>
    </w:p>
    <w:p w14:paraId="4FD4133D">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25）签认交工文件；</w:t>
      </w:r>
    </w:p>
    <w:p w14:paraId="5D6B4178">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26）督促、检查承包人按工程管理部门和委托人的要求编制竣工文件，审核竣工文件和竣工图并签署意见，配合审计工作，并做好归档工作；</w:t>
      </w:r>
    </w:p>
    <w:p w14:paraId="1AB1403F">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27）配合委托人的竣工验收、工程移交和各种预验工作；</w:t>
      </w:r>
    </w:p>
    <w:p w14:paraId="779A446E">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28）对施工承包人的项目负责人及现场管理人员进行考勤；</w:t>
      </w:r>
    </w:p>
    <w:p w14:paraId="7F2D5522">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29）编制监理方面的竣工文件；</w:t>
      </w:r>
    </w:p>
    <w:p w14:paraId="6474A034">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30）配合委托人做好决算工作，对结算中有关争议内容出具公正、独立的书面意见，并提供相关依据；</w:t>
      </w:r>
    </w:p>
    <w:p w14:paraId="3F86557C">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31）配合委托人做好竣工验收和验收后的维保和工程移交工作。</w:t>
      </w:r>
    </w:p>
    <w:p w14:paraId="50836EF3">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32）监理应对施工过程中发生的图纸做法与实际做法不一致的情况及时记录并整理在当期监理例会汇报资料中。监理例会会议纪要中需列项本期例会之前所发生的设计变更、签证单情况，并附上各方确认过的设计变更单及签证单，后补设计变更及签证单不予计算。如发现设计变更单及签证单后补监理并给予确认签字的，扣除监理费2000元/次。</w:t>
      </w:r>
    </w:p>
    <w:p w14:paraId="25C7A7B5">
      <w:pPr>
        <w:keepNext w:val="0"/>
        <w:pageBreakBefore w:val="0"/>
        <w:widowControl w:val="0"/>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33）本工程总包范围以外的全部施工项目的全过程监理及质量缺陷责任期阶段的监理内容。</w:t>
      </w:r>
    </w:p>
    <w:p w14:paraId="5BE6F539">
      <w:pPr>
        <w:keepNext w:val="0"/>
        <w:pageBreakBefore w:val="0"/>
        <w:widowControl w:val="0"/>
        <w:kinsoku/>
        <w:overflowPunct/>
        <w:topLinePunct w:val="0"/>
        <w:autoSpaceDE/>
        <w:autoSpaceDN/>
        <w:bidi w:val="0"/>
        <w:spacing w:beforeLines="0" w:afterLines="0" w:line="440" w:lineRule="exact"/>
        <w:textAlignment w:val="auto"/>
        <w:rPr>
          <w:rFonts w:hint="eastAsia" w:ascii="宋体" w:hAnsi="宋体" w:eastAsia="宋体" w:cs="宋体"/>
          <w:b/>
          <w:bCs/>
          <w:color w:val="auto"/>
          <w:spacing w:val="0"/>
          <w:sz w:val="21"/>
          <w:szCs w:val="21"/>
          <w:highlight w:val="none"/>
          <w:shd w:val="clear" w:color="auto" w:fill="auto"/>
          <w:lang w:val="en-US" w:eastAsia="zh-CN"/>
        </w:rPr>
      </w:pPr>
      <w:r>
        <w:rPr>
          <w:rFonts w:hint="eastAsia" w:ascii="宋体" w:hAnsi="宋体" w:eastAsia="宋体" w:cs="宋体"/>
          <w:b/>
          <w:bCs/>
          <w:color w:val="auto"/>
          <w:spacing w:val="0"/>
          <w:sz w:val="21"/>
          <w:szCs w:val="21"/>
          <w:highlight w:val="none"/>
          <w:shd w:val="clear" w:color="auto" w:fill="auto"/>
          <w:lang w:val="en-US" w:eastAsia="zh-CN"/>
        </w:rPr>
        <w:t>★四、人员要求</w:t>
      </w:r>
    </w:p>
    <w:p w14:paraId="1A11644A">
      <w:pPr>
        <w:keepNext w:val="0"/>
        <w:pageBreakBefore w:val="0"/>
        <w:widowControl w:val="0"/>
        <w:kinsoku/>
        <w:overflowPunct/>
        <w:topLinePunct w:val="0"/>
        <w:autoSpaceDE/>
        <w:autoSpaceDN/>
        <w:bidi w:val="0"/>
        <w:spacing w:beforeLines="0" w:afterLines="0" w:line="440" w:lineRule="exact"/>
        <w:ind w:firstLine="420" w:firstLineChars="200"/>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本项目至少须配备以下人员（要求详见下表）：</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130"/>
        <w:gridCol w:w="4295"/>
        <w:gridCol w:w="922"/>
        <w:gridCol w:w="1268"/>
      </w:tblGrid>
      <w:tr w14:paraId="414F2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9" w:type="pct"/>
            <w:tcBorders>
              <w:tl2br w:val="nil"/>
              <w:tr2bl w:val="nil"/>
            </w:tcBorders>
            <w:noWrap w:val="0"/>
            <w:vAlign w:val="center"/>
          </w:tcPr>
          <w:p w14:paraId="52148B97">
            <w:pPr>
              <w:keepNext w:val="0"/>
              <w:keepLines w:val="0"/>
              <w:pageBreakBefore w:val="0"/>
              <w:widowControl w:val="0"/>
              <w:suppressLineNumbers w:val="0"/>
              <w:tabs>
                <w:tab w:val="center" w:pos="4860"/>
                <w:tab w:val="right" w:pos="972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color w:val="auto"/>
                <w:sz w:val="22"/>
                <w:szCs w:val="21"/>
                <w:highlight w:val="none"/>
                <w:lang w:eastAsia="en-US"/>
              </w:rPr>
            </w:pPr>
            <w:r>
              <w:rPr>
                <w:rFonts w:hint="eastAsia" w:ascii="宋体" w:hAnsi="宋体" w:eastAsia="宋体" w:cs="宋体"/>
                <w:b/>
                <w:color w:val="auto"/>
                <w:sz w:val="22"/>
                <w:szCs w:val="21"/>
                <w:highlight w:val="none"/>
                <w:lang w:eastAsia="en-US"/>
              </w:rPr>
              <w:t>序号</w:t>
            </w:r>
          </w:p>
        </w:tc>
        <w:tc>
          <w:tcPr>
            <w:tcW w:w="1137" w:type="pct"/>
            <w:tcBorders>
              <w:tl2br w:val="nil"/>
              <w:tr2bl w:val="nil"/>
            </w:tcBorders>
            <w:noWrap w:val="0"/>
            <w:vAlign w:val="center"/>
          </w:tcPr>
          <w:p w14:paraId="146B1FE7">
            <w:pPr>
              <w:keepNext w:val="0"/>
              <w:keepLines w:val="0"/>
              <w:pageBreakBefore w:val="0"/>
              <w:widowControl w:val="0"/>
              <w:suppressLineNumbers w:val="0"/>
              <w:tabs>
                <w:tab w:val="center" w:pos="4860"/>
                <w:tab w:val="right" w:pos="972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color w:val="auto"/>
                <w:sz w:val="22"/>
                <w:szCs w:val="21"/>
                <w:highlight w:val="none"/>
                <w:lang w:eastAsia="en-US"/>
              </w:rPr>
            </w:pPr>
            <w:r>
              <w:rPr>
                <w:rFonts w:hint="eastAsia" w:ascii="宋体" w:hAnsi="宋体" w:eastAsia="宋体" w:cs="宋体"/>
                <w:b/>
                <w:color w:val="auto"/>
                <w:sz w:val="22"/>
                <w:szCs w:val="21"/>
                <w:highlight w:val="none"/>
                <w:lang w:eastAsia="en-US"/>
              </w:rPr>
              <w:t>配置岗位要求</w:t>
            </w:r>
          </w:p>
        </w:tc>
        <w:tc>
          <w:tcPr>
            <w:tcW w:w="2293" w:type="pct"/>
            <w:tcBorders>
              <w:tl2br w:val="nil"/>
              <w:tr2bl w:val="nil"/>
            </w:tcBorders>
            <w:noWrap w:val="0"/>
            <w:vAlign w:val="center"/>
          </w:tcPr>
          <w:p w14:paraId="42CC2775">
            <w:pPr>
              <w:keepNext w:val="0"/>
              <w:keepLines w:val="0"/>
              <w:pageBreakBefore w:val="0"/>
              <w:widowControl w:val="0"/>
              <w:suppressLineNumbers w:val="0"/>
              <w:tabs>
                <w:tab w:val="center" w:pos="4860"/>
                <w:tab w:val="right" w:pos="972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color w:val="auto"/>
                <w:sz w:val="22"/>
                <w:szCs w:val="21"/>
                <w:highlight w:val="none"/>
                <w:lang w:eastAsia="en-US"/>
              </w:rPr>
            </w:pPr>
            <w:r>
              <w:rPr>
                <w:rFonts w:hint="eastAsia" w:ascii="宋体" w:hAnsi="宋体" w:eastAsia="宋体" w:cs="宋体"/>
                <w:b/>
                <w:color w:val="auto"/>
                <w:sz w:val="22"/>
                <w:szCs w:val="21"/>
                <w:highlight w:val="none"/>
                <w:lang w:eastAsia="en-US"/>
              </w:rPr>
              <w:t>岗位资格</w:t>
            </w:r>
          </w:p>
        </w:tc>
        <w:tc>
          <w:tcPr>
            <w:tcW w:w="492" w:type="pct"/>
            <w:tcBorders>
              <w:tl2br w:val="nil"/>
              <w:tr2bl w:val="nil"/>
            </w:tcBorders>
            <w:noWrap w:val="0"/>
            <w:vAlign w:val="center"/>
          </w:tcPr>
          <w:p w14:paraId="0149D118">
            <w:pPr>
              <w:keepNext w:val="0"/>
              <w:keepLines w:val="0"/>
              <w:pageBreakBefore w:val="0"/>
              <w:widowControl w:val="0"/>
              <w:suppressLineNumbers w:val="0"/>
              <w:tabs>
                <w:tab w:val="center" w:pos="4860"/>
                <w:tab w:val="right" w:pos="972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b/>
                <w:color w:val="auto"/>
                <w:sz w:val="22"/>
                <w:szCs w:val="21"/>
                <w:highlight w:val="none"/>
                <w:lang w:eastAsia="en-US"/>
              </w:rPr>
            </w:pPr>
            <w:r>
              <w:rPr>
                <w:rFonts w:hint="eastAsia" w:ascii="宋体" w:hAnsi="宋体" w:eastAsia="宋体" w:cs="宋体"/>
                <w:b/>
                <w:color w:val="auto"/>
                <w:sz w:val="22"/>
                <w:szCs w:val="21"/>
                <w:highlight w:val="none"/>
                <w:lang w:eastAsia="en-US"/>
              </w:rPr>
              <w:t>数量要求</w:t>
            </w:r>
          </w:p>
        </w:tc>
        <w:tc>
          <w:tcPr>
            <w:tcW w:w="677" w:type="pct"/>
            <w:tcBorders>
              <w:tl2br w:val="nil"/>
              <w:tr2bl w:val="nil"/>
            </w:tcBorders>
            <w:noWrap w:val="0"/>
            <w:vAlign w:val="center"/>
          </w:tcPr>
          <w:p w14:paraId="00F5B748">
            <w:pPr>
              <w:keepNext w:val="0"/>
              <w:keepLines w:val="0"/>
              <w:pageBreakBefore w:val="0"/>
              <w:widowControl w:val="0"/>
              <w:suppressLineNumbers w:val="0"/>
              <w:tabs>
                <w:tab w:val="center" w:pos="4860"/>
                <w:tab w:val="right" w:pos="9720"/>
              </w:tabs>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b/>
                <w:color w:val="auto"/>
                <w:sz w:val="22"/>
                <w:szCs w:val="21"/>
                <w:highlight w:val="none"/>
                <w:lang w:eastAsia="en-US"/>
              </w:rPr>
            </w:pPr>
            <w:r>
              <w:rPr>
                <w:rFonts w:hint="eastAsia" w:ascii="宋体" w:hAnsi="宋体" w:eastAsia="宋体" w:cs="宋体"/>
                <w:b/>
                <w:color w:val="auto"/>
                <w:sz w:val="22"/>
                <w:szCs w:val="21"/>
                <w:highlight w:val="none"/>
                <w:lang w:eastAsia="en-US"/>
              </w:rPr>
              <w:t>备注</w:t>
            </w:r>
          </w:p>
        </w:tc>
      </w:tr>
      <w:tr w14:paraId="40BDD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99" w:type="pct"/>
            <w:tcBorders>
              <w:tl2br w:val="nil"/>
              <w:tr2bl w:val="nil"/>
            </w:tcBorders>
            <w:noWrap w:val="0"/>
            <w:vAlign w:val="center"/>
          </w:tcPr>
          <w:p w14:paraId="11886A8F">
            <w:pPr>
              <w:keepNext w:val="0"/>
              <w:keepLines w:val="0"/>
              <w:pageBreakBefore w:val="0"/>
              <w:widowControl w:val="0"/>
              <w:suppressLineNumbers w:val="0"/>
              <w:tabs>
                <w:tab w:val="center" w:pos="4860"/>
                <w:tab w:val="right" w:pos="972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w:t>
            </w:r>
          </w:p>
        </w:tc>
        <w:tc>
          <w:tcPr>
            <w:tcW w:w="1137" w:type="pct"/>
            <w:tcBorders>
              <w:tl2br w:val="nil"/>
              <w:tr2bl w:val="nil"/>
            </w:tcBorders>
            <w:noWrap w:val="0"/>
            <w:vAlign w:val="center"/>
          </w:tcPr>
          <w:p w14:paraId="5EB1078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p w14:paraId="4EFA98C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（总监理工程师）</w:t>
            </w:r>
          </w:p>
        </w:tc>
        <w:tc>
          <w:tcPr>
            <w:tcW w:w="2293" w:type="pct"/>
            <w:tcBorders>
              <w:tl2br w:val="nil"/>
              <w:tr2bl w:val="nil"/>
            </w:tcBorders>
            <w:noWrap w:val="0"/>
            <w:vAlign w:val="center"/>
          </w:tcPr>
          <w:p w14:paraId="1875419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注册在投标人单位的水利部颁发的监理工程师注册证书（水利工程施工监理专业）或执业在投标人单位的中国水利工程协会颁发的水利工程建设监理工程师资格证书（水工建筑专业）或注册在投标人单位的住建部颁发的注册监理工程师注册执业证书（水利水电工程专业）</w:t>
            </w:r>
          </w:p>
        </w:tc>
        <w:tc>
          <w:tcPr>
            <w:tcW w:w="492" w:type="pct"/>
            <w:tcBorders>
              <w:tl2br w:val="nil"/>
              <w:tr2bl w:val="nil"/>
            </w:tcBorders>
            <w:noWrap w:val="0"/>
            <w:vAlign w:val="center"/>
          </w:tcPr>
          <w:p w14:paraId="2CF89DB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sz w:val="22"/>
                <w:szCs w:val="21"/>
                <w:highlight w:val="none"/>
                <w:lang w:eastAsia="en-US"/>
              </w:rPr>
            </w:pPr>
            <w:r>
              <w:rPr>
                <w:rFonts w:hint="eastAsia" w:ascii="宋体" w:hAnsi="宋体" w:eastAsia="宋体" w:cs="宋体"/>
                <w:color w:val="auto"/>
                <w:sz w:val="22"/>
                <w:szCs w:val="22"/>
                <w:highlight w:val="none"/>
              </w:rPr>
              <w:t>1</w:t>
            </w:r>
          </w:p>
        </w:tc>
        <w:tc>
          <w:tcPr>
            <w:tcW w:w="677" w:type="pct"/>
            <w:tcBorders>
              <w:tl2br w:val="nil"/>
              <w:tr2bl w:val="nil"/>
            </w:tcBorders>
            <w:noWrap w:val="0"/>
            <w:vAlign w:val="center"/>
          </w:tcPr>
          <w:p w14:paraId="3C40D0E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 w:val="21"/>
                <w:szCs w:val="21"/>
                <w:highlight w:val="none"/>
                <w:shd w:val="clear" w:color="auto" w:fill="auto"/>
                <w:lang w:val="en-US" w:eastAsia="zh-CN"/>
              </w:rPr>
              <w:t>自有人员</w:t>
            </w:r>
          </w:p>
        </w:tc>
      </w:tr>
      <w:tr w14:paraId="6D08B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9" w:type="pct"/>
            <w:tcBorders>
              <w:tl2br w:val="nil"/>
              <w:tr2bl w:val="nil"/>
            </w:tcBorders>
            <w:noWrap w:val="0"/>
            <w:vAlign w:val="center"/>
          </w:tcPr>
          <w:p w14:paraId="7D571B6C">
            <w:pPr>
              <w:keepNext w:val="0"/>
              <w:keepLines w:val="0"/>
              <w:pageBreakBefore w:val="0"/>
              <w:widowControl w:val="0"/>
              <w:suppressLineNumbers w:val="0"/>
              <w:tabs>
                <w:tab w:val="center" w:pos="4860"/>
                <w:tab w:val="right" w:pos="972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2</w:t>
            </w:r>
          </w:p>
        </w:tc>
        <w:tc>
          <w:tcPr>
            <w:tcW w:w="1137" w:type="pct"/>
            <w:tcBorders>
              <w:tl2br w:val="nil"/>
              <w:tr2bl w:val="nil"/>
            </w:tcBorders>
            <w:noWrap w:val="0"/>
            <w:vAlign w:val="center"/>
          </w:tcPr>
          <w:p w14:paraId="28E4D784">
            <w:pPr>
              <w:keepNext w:val="0"/>
              <w:keepLines w:val="0"/>
              <w:pageBreakBefore w:val="0"/>
              <w:widowControl w:val="0"/>
              <w:suppressLineNumbers w:val="0"/>
              <w:tabs>
                <w:tab w:val="center" w:pos="4860"/>
                <w:tab w:val="right" w:pos="972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2"/>
                <w:sz w:val="22"/>
                <w:szCs w:val="21"/>
                <w:highlight w:val="none"/>
                <w:lang w:val="en-US" w:eastAsia="zh-CN" w:bidi="ar-SA"/>
              </w:rPr>
            </w:pPr>
            <w:r>
              <w:rPr>
                <w:rFonts w:hint="eastAsia" w:ascii="宋体" w:hAnsi="宋体" w:eastAsia="宋体" w:cs="宋体"/>
                <w:color w:val="auto"/>
                <w:sz w:val="22"/>
                <w:szCs w:val="21"/>
                <w:highlight w:val="none"/>
              </w:rPr>
              <w:t>专业监理工程师</w:t>
            </w:r>
          </w:p>
        </w:tc>
        <w:tc>
          <w:tcPr>
            <w:tcW w:w="2293" w:type="pct"/>
            <w:tcBorders>
              <w:tl2br w:val="nil"/>
              <w:tr2bl w:val="nil"/>
            </w:tcBorders>
            <w:noWrap w:val="0"/>
            <w:vAlign w:val="center"/>
          </w:tcPr>
          <w:p w14:paraId="043831C6">
            <w:pPr>
              <w:keepNext w:val="0"/>
              <w:keepLines w:val="0"/>
              <w:pageBreakBefore w:val="0"/>
              <w:widowControl w:val="0"/>
              <w:suppressLineNumbers w:val="0"/>
              <w:tabs>
                <w:tab w:val="left" w:pos="54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具有合格有效的水利部颁发的监理工程师注册证书</w:t>
            </w:r>
            <w:r>
              <w:rPr>
                <w:rFonts w:hint="eastAsia" w:ascii="宋体" w:hAnsi="宋体" w:eastAsia="宋体" w:cs="宋体"/>
                <w:color w:val="auto"/>
                <w:sz w:val="21"/>
                <w:szCs w:val="21"/>
                <w:highlight w:val="none"/>
                <w:u w:val="none"/>
              </w:rPr>
              <w:t>（水利工程施工监理专业）</w:t>
            </w:r>
            <w:r>
              <w:rPr>
                <w:rFonts w:hint="eastAsia" w:ascii="宋体" w:hAnsi="宋体" w:eastAsia="宋体" w:cs="宋体"/>
                <w:color w:val="auto"/>
                <w:kern w:val="2"/>
                <w:sz w:val="21"/>
                <w:szCs w:val="21"/>
                <w:highlight w:val="none"/>
                <w:lang w:val="en-US" w:eastAsia="en-US" w:bidi="ar-SA"/>
              </w:rPr>
              <w:t>或合格有效的中国水利工程协会颁发的水利工程建 设监理工程师资格证书</w:t>
            </w:r>
            <w:r>
              <w:rPr>
                <w:rFonts w:hint="eastAsia" w:ascii="宋体" w:hAnsi="宋体" w:eastAsia="宋体" w:cs="宋体"/>
                <w:color w:val="auto"/>
                <w:sz w:val="21"/>
                <w:szCs w:val="21"/>
                <w:highlight w:val="none"/>
                <w:u w:val="none"/>
              </w:rPr>
              <w:t>（水工建筑专业）或注册在投标人单位的住建部颁发的注册监理工程师注册执业证书（水利水电工程专业）</w:t>
            </w:r>
          </w:p>
        </w:tc>
        <w:tc>
          <w:tcPr>
            <w:tcW w:w="492" w:type="pct"/>
            <w:tcBorders>
              <w:tl2br w:val="nil"/>
              <w:tr2bl w:val="nil"/>
            </w:tcBorders>
            <w:noWrap w:val="0"/>
            <w:vAlign w:val="center"/>
          </w:tcPr>
          <w:p w14:paraId="596C4706">
            <w:pPr>
              <w:keepNext w:val="0"/>
              <w:keepLines w:val="0"/>
              <w:pageBreakBefore w:val="0"/>
              <w:widowControl w:val="0"/>
              <w:suppressLineNumbers w:val="0"/>
              <w:tabs>
                <w:tab w:val="center" w:pos="4860"/>
                <w:tab w:val="right" w:pos="972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2"/>
                <w:sz w:val="22"/>
                <w:szCs w:val="21"/>
                <w:highlight w:val="none"/>
                <w:lang w:val="en-US" w:eastAsia="en-US" w:bidi="ar-SA"/>
              </w:rPr>
            </w:pPr>
            <w:r>
              <w:rPr>
                <w:rFonts w:hint="eastAsia" w:ascii="宋体" w:hAnsi="宋体" w:eastAsia="宋体" w:cs="宋体"/>
                <w:color w:val="auto"/>
                <w:sz w:val="22"/>
                <w:szCs w:val="21"/>
                <w:highlight w:val="none"/>
                <w:lang w:eastAsia="en-US"/>
              </w:rPr>
              <w:t>1</w:t>
            </w:r>
          </w:p>
        </w:tc>
        <w:tc>
          <w:tcPr>
            <w:tcW w:w="677" w:type="pct"/>
            <w:vMerge w:val="restart"/>
            <w:tcBorders>
              <w:tl2br w:val="nil"/>
              <w:tr2bl w:val="nil"/>
            </w:tcBorders>
            <w:noWrap w:val="0"/>
            <w:vAlign w:val="center"/>
          </w:tcPr>
          <w:p w14:paraId="2F2F277A">
            <w:pPr>
              <w:keepNext w:val="0"/>
              <w:keepLines w:val="0"/>
              <w:pageBreakBefore w:val="0"/>
              <w:widowControl w:val="0"/>
              <w:suppressLineNumbers w:val="0"/>
              <w:tabs>
                <w:tab w:val="center" w:pos="4860"/>
                <w:tab w:val="right" w:pos="9720"/>
              </w:tabs>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sz w:val="22"/>
                <w:szCs w:val="21"/>
                <w:highlight w:val="none"/>
                <w:lang w:eastAsia="en-US"/>
              </w:rPr>
            </w:pPr>
            <w:r>
              <w:rPr>
                <w:rFonts w:hint="eastAsia" w:ascii="宋体" w:hAnsi="宋体" w:eastAsia="宋体" w:cs="宋体"/>
                <w:b w:val="0"/>
                <w:bCs w:val="0"/>
                <w:color w:val="auto"/>
                <w:sz w:val="21"/>
                <w:szCs w:val="21"/>
                <w:highlight w:val="none"/>
                <w:shd w:val="clear" w:color="auto" w:fill="auto"/>
                <w:lang w:val="en-US" w:eastAsia="zh-CN"/>
              </w:rPr>
              <w:t>自有人员</w:t>
            </w:r>
          </w:p>
        </w:tc>
      </w:tr>
      <w:tr w14:paraId="7F37F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9" w:type="pct"/>
            <w:tcBorders>
              <w:tl2br w:val="nil"/>
              <w:tr2bl w:val="nil"/>
            </w:tcBorders>
            <w:noWrap w:val="0"/>
            <w:vAlign w:val="center"/>
          </w:tcPr>
          <w:p w14:paraId="56C7C0FB">
            <w:pPr>
              <w:keepNext w:val="0"/>
              <w:keepLines w:val="0"/>
              <w:pageBreakBefore w:val="0"/>
              <w:widowControl w:val="0"/>
              <w:suppressLineNumbers w:val="0"/>
              <w:tabs>
                <w:tab w:val="center" w:pos="4860"/>
                <w:tab w:val="right" w:pos="972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default" w:ascii="宋体" w:hAnsi="宋体" w:eastAsia="宋体" w:cs="宋体"/>
                <w:color w:val="auto"/>
                <w:sz w:val="22"/>
                <w:szCs w:val="21"/>
                <w:highlight w:val="none"/>
                <w:lang w:val="en-US" w:eastAsia="zh-CN"/>
              </w:rPr>
            </w:pPr>
            <w:r>
              <w:rPr>
                <w:rFonts w:hint="eastAsia" w:ascii="宋体" w:hAnsi="宋体" w:eastAsia="宋体" w:cs="宋体"/>
                <w:color w:val="auto"/>
                <w:sz w:val="22"/>
                <w:szCs w:val="21"/>
                <w:highlight w:val="none"/>
                <w:lang w:val="en-US" w:eastAsia="zh-CN"/>
              </w:rPr>
              <w:t>3</w:t>
            </w:r>
          </w:p>
        </w:tc>
        <w:tc>
          <w:tcPr>
            <w:tcW w:w="1137" w:type="pct"/>
            <w:tcBorders>
              <w:tl2br w:val="nil"/>
              <w:tr2bl w:val="nil"/>
            </w:tcBorders>
            <w:noWrap w:val="0"/>
            <w:vAlign w:val="center"/>
          </w:tcPr>
          <w:p w14:paraId="6F74158A">
            <w:pPr>
              <w:keepNext w:val="0"/>
              <w:keepLines w:val="0"/>
              <w:pageBreakBefore w:val="0"/>
              <w:widowControl w:val="0"/>
              <w:suppressLineNumbers w:val="0"/>
              <w:tabs>
                <w:tab w:val="center" w:pos="4860"/>
                <w:tab w:val="right" w:pos="972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auto"/>
                <w:sz w:val="22"/>
                <w:szCs w:val="21"/>
                <w:highlight w:val="none"/>
                <w:lang w:eastAsia="en-US"/>
              </w:rPr>
            </w:pPr>
            <w:r>
              <w:rPr>
                <w:rFonts w:hint="eastAsia" w:ascii="宋体" w:hAnsi="宋体" w:eastAsia="宋体" w:cs="宋体"/>
                <w:color w:val="auto"/>
                <w:sz w:val="22"/>
                <w:szCs w:val="21"/>
                <w:highlight w:val="none"/>
                <w:lang w:eastAsia="en-US"/>
              </w:rPr>
              <w:t>监理员</w:t>
            </w:r>
          </w:p>
        </w:tc>
        <w:tc>
          <w:tcPr>
            <w:tcW w:w="2293" w:type="pct"/>
            <w:tcBorders>
              <w:tl2br w:val="nil"/>
              <w:tr2bl w:val="nil"/>
            </w:tcBorders>
            <w:noWrap w:val="0"/>
            <w:vAlign w:val="center"/>
          </w:tcPr>
          <w:p w14:paraId="3BBEFC31">
            <w:pPr>
              <w:keepNext w:val="0"/>
              <w:keepLines w:val="0"/>
              <w:pageBreakBefore w:val="0"/>
              <w:widowControl w:val="0"/>
              <w:suppressLineNumbers w:val="0"/>
              <w:tabs>
                <w:tab w:val="left" w:pos="54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Cs w:val="21"/>
                <w:highlight w:val="none"/>
                <w:lang w:val="en-US" w:eastAsia="zh-CN"/>
              </w:rPr>
              <w:t>水利类</w:t>
            </w:r>
            <w:r>
              <w:rPr>
                <w:rFonts w:hint="eastAsia" w:ascii="宋体" w:hAnsi="宋体" w:eastAsia="宋体" w:cs="宋体"/>
                <w:color w:val="auto"/>
                <w:szCs w:val="21"/>
                <w:highlight w:val="none"/>
                <w:lang w:val="en-US" w:eastAsia="en-US"/>
              </w:rPr>
              <w:t>监理员岗位证书</w:t>
            </w:r>
          </w:p>
        </w:tc>
        <w:tc>
          <w:tcPr>
            <w:tcW w:w="492" w:type="pct"/>
            <w:tcBorders>
              <w:tl2br w:val="nil"/>
              <w:tr2bl w:val="nil"/>
            </w:tcBorders>
            <w:noWrap w:val="0"/>
            <w:vAlign w:val="center"/>
          </w:tcPr>
          <w:p w14:paraId="78A5DC30">
            <w:pPr>
              <w:keepNext w:val="0"/>
              <w:keepLines w:val="0"/>
              <w:pageBreakBefore w:val="0"/>
              <w:widowControl w:val="0"/>
              <w:suppressLineNumbers w:val="0"/>
              <w:tabs>
                <w:tab w:val="center" w:pos="4860"/>
                <w:tab w:val="right" w:pos="9720"/>
              </w:tabs>
              <w:kinsoku/>
              <w:wordWrap/>
              <w:overflowPunct/>
              <w:topLinePunct w:val="0"/>
              <w:autoSpaceDE/>
              <w:autoSpaceDN/>
              <w:bidi w:val="0"/>
              <w:adjustRightInd w:val="0"/>
              <w:snapToGrid w:val="0"/>
              <w:spacing w:before="0" w:beforeAutospacing="0" w:after="0" w:afterAutospacing="0" w:line="360" w:lineRule="exact"/>
              <w:ind w:left="0" w:leftChars="0" w:right="0" w:rightChars="0"/>
              <w:jc w:val="center"/>
              <w:textAlignment w:val="auto"/>
              <w:rPr>
                <w:rFonts w:hint="eastAsia" w:ascii="宋体" w:hAnsi="宋体" w:eastAsia="宋体" w:cs="宋体"/>
                <w:color w:val="auto"/>
                <w:sz w:val="22"/>
                <w:szCs w:val="21"/>
                <w:highlight w:val="none"/>
                <w:lang w:eastAsia="en-US"/>
              </w:rPr>
            </w:pPr>
            <w:r>
              <w:rPr>
                <w:rFonts w:hint="eastAsia" w:ascii="宋体" w:hAnsi="宋体" w:eastAsia="宋体" w:cs="宋体"/>
                <w:color w:val="auto"/>
                <w:sz w:val="22"/>
                <w:szCs w:val="21"/>
                <w:highlight w:val="none"/>
                <w:lang w:eastAsia="en-US"/>
              </w:rPr>
              <w:t>1</w:t>
            </w:r>
          </w:p>
        </w:tc>
        <w:tc>
          <w:tcPr>
            <w:tcW w:w="677" w:type="pct"/>
            <w:vMerge w:val="continue"/>
            <w:tcBorders>
              <w:tl2br w:val="nil"/>
              <w:tr2bl w:val="nil"/>
            </w:tcBorders>
            <w:noWrap w:val="0"/>
            <w:vAlign w:val="center"/>
          </w:tcPr>
          <w:p w14:paraId="1FC4C05A">
            <w:pPr>
              <w:keepNext w:val="0"/>
              <w:keepLines w:val="0"/>
              <w:pageBreakBefore w:val="0"/>
              <w:widowControl w:val="0"/>
              <w:suppressLineNumbers w:val="0"/>
              <w:tabs>
                <w:tab w:val="center" w:pos="4860"/>
                <w:tab w:val="right" w:pos="9720"/>
              </w:tabs>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sz w:val="22"/>
                <w:szCs w:val="21"/>
                <w:highlight w:val="none"/>
                <w:lang w:eastAsia="en-US"/>
              </w:rPr>
            </w:pPr>
          </w:p>
        </w:tc>
      </w:tr>
    </w:tbl>
    <w:p w14:paraId="1935116E">
      <w:pPr>
        <w:keepNext w:val="0"/>
        <w:pageBreakBefore w:val="0"/>
        <w:widowControl w:val="0"/>
        <w:numPr>
          <w:ilvl w:val="0"/>
          <w:numId w:val="0"/>
        </w:numPr>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b w:val="0"/>
          <w:bCs w:val="0"/>
          <w:color w:val="auto"/>
          <w:sz w:val="22"/>
          <w:szCs w:val="22"/>
          <w:highlight w:val="none"/>
          <w:shd w:val="clear" w:color="auto" w:fill="auto"/>
          <w:lang w:val="en-US" w:eastAsia="zh-CN"/>
        </w:rPr>
      </w:pPr>
      <w:r>
        <w:rPr>
          <w:rFonts w:hint="eastAsia" w:ascii="宋体" w:hAnsi="宋体" w:eastAsia="宋体" w:cs="宋体"/>
          <w:b/>
          <w:bCs/>
          <w:color w:val="auto"/>
          <w:sz w:val="22"/>
          <w:szCs w:val="22"/>
          <w:highlight w:val="none"/>
          <w:shd w:val="clear" w:color="auto" w:fill="auto"/>
          <w:lang w:val="en-US" w:eastAsia="zh-CN"/>
        </w:rPr>
        <w:t>注：</w:t>
      </w:r>
      <w:r>
        <w:rPr>
          <w:rFonts w:hint="eastAsia" w:ascii="宋体" w:hAnsi="宋体" w:cs="宋体"/>
          <w:b/>
          <w:bCs/>
          <w:color w:val="auto"/>
          <w:sz w:val="22"/>
          <w:szCs w:val="22"/>
          <w:highlight w:val="none"/>
          <w:shd w:val="clear" w:color="auto" w:fill="auto"/>
          <w:lang w:val="en-US" w:eastAsia="zh-CN"/>
        </w:rPr>
        <w:t>投标文件</w:t>
      </w:r>
      <w:r>
        <w:rPr>
          <w:rFonts w:hint="eastAsia" w:ascii="宋体" w:hAnsi="宋体" w:eastAsia="宋体" w:cs="宋体"/>
          <w:b/>
          <w:bCs/>
          <w:color w:val="auto"/>
          <w:sz w:val="22"/>
          <w:szCs w:val="22"/>
          <w:highlight w:val="none"/>
          <w:shd w:val="clear" w:color="auto" w:fill="auto"/>
          <w:lang w:val="en-US" w:eastAsia="zh-CN"/>
        </w:rPr>
        <w:t>中须提供上述所有人员有效期内的相关证件证书证明以及</w:t>
      </w:r>
      <w:r>
        <w:rPr>
          <w:rFonts w:hint="eastAsia" w:ascii="宋体" w:hAnsi="宋体" w:cs="宋体"/>
          <w:b/>
          <w:bCs/>
          <w:color w:val="auto"/>
          <w:sz w:val="22"/>
          <w:szCs w:val="22"/>
          <w:highlight w:val="none"/>
          <w:shd w:val="clear" w:color="auto" w:fill="auto"/>
          <w:lang w:val="en-US" w:eastAsia="zh-CN"/>
        </w:rPr>
        <w:t>开标日</w:t>
      </w:r>
      <w:r>
        <w:rPr>
          <w:rFonts w:hint="eastAsia" w:ascii="宋体" w:hAnsi="宋体" w:eastAsia="宋体" w:cs="宋体"/>
          <w:b/>
          <w:bCs/>
          <w:color w:val="auto"/>
          <w:sz w:val="22"/>
          <w:szCs w:val="22"/>
          <w:highlight w:val="none"/>
          <w:shd w:val="clear" w:color="auto" w:fill="auto"/>
          <w:lang w:val="en-US" w:eastAsia="zh-CN"/>
        </w:rPr>
        <w:t>前近三个月社保证明复印件并加盖公章。</w:t>
      </w:r>
    </w:p>
    <w:p w14:paraId="2E018583">
      <w:pPr>
        <w:keepNext w:val="0"/>
        <w:pageBreakBefore w:val="0"/>
        <w:widowControl w:val="0"/>
        <w:kinsoku/>
        <w:overflowPunct/>
        <w:topLinePunct w:val="0"/>
        <w:autoSpaceDE/>
        <w:autoSpaceDN/>
        <w:bidi w:val="0"/>
        <w:spacing w:beforeLines="0" w:afterLines="0" w:line="440" w:lineRule="exact"/>
        <w:textAlignment w:val="auto"/>
        <w:rPr>
          <w:rFonts w:hint="default" w:ascii="宋体" w:hAnsi="宋体" w:eastAsia="宋体" w:cs="宋体"/>
          <w:b/>
          <w:bCs/>
          <w:color w:val="auto"/>
          <w:spacing w:val="0"/>
          <w:sz w:val="22"/>
          <w:szCs w:val="22"/>
          <w:highlight w:val="none"/>
          <w:shd w:val="clear" w:color="auto" w:fill="auto"/>
          <w:lang w:val="en-US" w:eastAsia="zh-CN"/>
        </w:rPr>
      </w:pPr>
      <w:r>
        <w:rPr>
          <w:rFonts w:hint="eastAsia" w:ascii="宋体" w:hAnsi="宋体" w:eastAsia="宋体" w:cs="宋体"/>
          <w:b/>
          <w:bCs/>
          <w:color w:val="auto"/>
          <w:spacing w:val="0"/>
          <w:sz w:val="22"/>
          <w:szCs w:val="22"/>
          <w:highlight w:val="none"/>
          <w:shd w:val="clear" w:color="auto" w:fill="auto"/>
          <w:lang w:val="en-US" w:eastAsia="zh-CN"/>
        </w:rPr>
        <w:t>五、工程监理费</w:t>
      </w:r>
    </w:p>
    <w:p w14:paraId="5E1DCB0D">
      <w:pPr>
        <w:keepNext w:val="0"/>
        <w:pageBreakBefore w:val="0"/>
        <w:widowControl w:val="0"/>
        <w:numPr>
          <w:ilvl w:val="0"/>
          <w:numId w:val="0"/>
        </w:numPr>
        <w:kinsoku/>
        <w:overflowPunct/>
        <w:topLinePunct w:val="0"/>
        <w:autoSpaceDE/>
        <w:autoSpaceDN/>
        <w:bidi w:val="0"/>
        <w:spacing w:beforeLines="0" w:afterLines="0" w:line="440" w:lineRule="exact"/>
        <w:ind w:firstLine="440" w:firstLineChars="200"/>
        <w:textAlignment w:val="auto"/>
        <w:rPr>
          <w:rFonts w:hint="default" w:ascii="宋体" w:hAnsi="宋体" w:eastAsia="宋体" w:cs="宋体"/>
          <w:b w:val="0"/>
          <w:bCs w:val="0"/>
          <w:color w:val="auto"/>
          <w:sz w:val="22"/>
          <w:szCs w:val="22"/>
          <w:highlight w:val="none"/>
          <w:shd w:val="clear" w:color="auto" w:fill="auto"/>
          <w:lang w:val="en-US" w:eastAsia="zh-CN"/>
        </w:rPr>
      </w:pPr>
      <w:r>
        <w:rPr>
          <w:rFonts w:hint="eastAsia" w:ascii="宋体" w:hAnsi="宋体" w:cs="宋体"/>
          <w:b/>
          <w:bCs/>
          <w:color w:val="auto"/>
          <w:spacing w:val="0"/>
          <w:sz w:val="22"/>
          <w:szCs w:val="22"/>
          <w:highlight w:val="none"/>
          <w:shd w:val="clear" w:color="auto" w:fill="auto"/>
          <w:lang w:val="en-US" w:eastAsia="zh-CN"/>
        </w:rPr>
        <w:t>工程</w:t>
      </w:r>
      <w:r>
        <w:rPr>
          <w:rFonts w:hint="eastAsia" w:ascii="宋体" w:hAnsi="宋体" w:eastAsia="宋体" w:cs="宋体"/>
          <w:b/>
          <w:bCs/>
          <w:color w:val="auto"/>
          <w:spacing w:val="0"/>
          <w:sz w:val="22"/>
          <w:szCs w:val="22"/>
          <w:highlight w:val="none"/>
          <w:shd w:val="clear" w:color="auto" w:fill="auto"/>
          <w:lang w:val="en-US" w:eastAsia="zh-CN"/>
        </w:rPr>
        <w:t>监理费：</w:t>
      </w:r>
      <w:r>
        <w:rPr>
          <w:rFonts w:hint="eastAsia" w:ascii="宋体" w:hAnsi="宋体" w:eastAsia="宋体" w:cs="宋体"/>
          <w:color w:val="auto"/>
          <w:sz w:val="22"/>
          <w:szCs w:val="22"/>
          <w:highlight w:val="none"/>
          <w:shd w:val="clear" w:color="auto" w:fill="auto"/>
          <w:lang w:val="en-US" w:eastAsia="zh-CN"/>
        </w:rPr>
        <w:t>采用折扣</w:t>
      </w:r>
      <w:r>
        <w:rPr>
          <w:rFonts w:hint="eastAsia" w:ascii="宋体" w:hAnsi="宋体" w:eastAsia="宋体" w:cs="宋体"/>
          <w:b w:val="0"/>
          <w:bCs w:val="0"/>
          <w:color w:val="auto"/>
          <w:sz w:val="22"/>
          <w:szCs w:val="22"/>
          <w:highlight w:val="none"/>
          <w:shd w:val="clear" w:color="auto" w:fill="auto"/>
          <w:lang w:val="en-US" w:eastAsia="zh-CN"/>
        </w:rPr>
        <w:t>报价形式。</w:t>
      </w:r>
    </w:p>
    <w:p w14:paraId="456F4E98">
      <w:pPr>
        <w:keepNext w:val="0"/>
        <w:pageBreakBefore w:val="0"/>
        <w:widowControl w:val="0"/>
        <w:numPr>
          <w:ilvl w:val="0"/>
          <w:numId w:val="0"/>
        </w:numPr>
        <w:kinsoku/>
        <w:overflowPunct/>
        <w:topLinePunct w:val="0"/>
        <w:autoSpaceDE/>
        <w:autoSpaceDN/>
        <w:bidi w:val="0"/>
        <w:spacing w:beforeLines="0" w:afterLines="0" w:line="440" w:lineRule="exact"/>
        <w:ind w:firstLine="440" w:firstLineChars="200"/>
        <w:textAlignment w:val="auto"/>
        <w:rPr>
          <w:rFonts w:hint="default" w:ascii="宋体" w:hAnsi="宋体" w:eastAsia="宋体" w:cs="宋体"/>
          <w:b/>
          <w:bCs/>
          <w:color w:val="auto"/>
          <w:sz w:val="22"/>
          <w:szCs w:val="22"/>
          <w:highlight w:val="none"/>
          <w:shd w:val="clear" w:color="auto" w:fill="auto"/>
          <w:lang w:val="en-US" w:eastAsia="zh-CN"/>
        </w:rPr>
      </w:pPr>
      <w:r>
        <w:rPr>
          <w:rFonts w:hint="eastAsia" w:ascii="宋体" w:hAnsi="宋体" w:cs="宋体"/>
          <w:b w:val="0"/>
          <w:bCs w:val="0"/>
          <w:color w:val="auto"/>
          <w:sz w:val="22"/>
          <w:szCs w:val="22"/>
          <w:highlight w:val="none"/>
          <w:shd w:val="clear" w:color="auto" w:fill="auto"/>
          <w:lang w:val="en-US" w:eastAsia="zh-CN"/>
        </w:rPr>
        <w:t>监</w:t>
      </w:r>
      <w:r>
        <w:rPr>
          <w:rFonts w:hint="eastAsia" w:ascii="宋体" w:hAnsi="宋体" w:eastAsia="宋体" w:cs="宋体"/>
          <w:color w:val="auto"/>
          <w:sz w:val="22"/>
          <w:szCs w:val="22"/>
          <w:highlight w:val="none"/>
          <w:shd w:val="clear" w:color="auto" w:fill="auto"/>
          <w:lang w:val="en-US" w:eastAsia="zh-CN"/>
        </w:rPr>
        <w:t>理服务费暂以3349.7万元为计算基数，预算价=《浙江省水利水电工程设计概(预)算编制规定(2021年)》工程建设监理费的收费标准(工程类型调整系数取0.9，工程复杂程度调整系数取0.85)。</w:t>
      </w:r>
    </w:p>
    <w:p w14:paraId="45EA040A">
      <w:pPr>
        <w:keepNext w:val="0"/>
        <w:pageBreakBefore w:val="0"/>
        <w:widowControl w:val="0"/>
        <w:numPr>
          <w:ilvl w:val="0"/>
          <w:numId w:val="0"/>
        </w:numPr>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b w:val="0"/>
          <w:bCs w:val="0"/>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监理服务费</w:t>
      </w:r>
      <w:r>
        <w:rPr>
          <w:rFonts w:hint="eastAsia" w:ascii="宋体" w:hAnsi="宋体" w:eastAsia="宋体" w:cs="宋体"/>
          <w:b/>
          <w:bCs/>
          <w:color w:val="auto"/>
          <w:sz w:val="22"/>
          <w:szCs w:val="22"/>
          <w:highlight w:val="none"/>
          <w:shd w:val="clear" w:color="auto" w:fill="auto"/>
          <w:lang w:val="en-US" w:eastAsia="zh-CN"/>
        </w:rPr>
        <w:t>最终结算</w:t>
      </w:r>
      <w:r>
        <w:rPr>
          <w:rFonts w:hint="eastAsia" w:ascii="宋体" w:hAnsi="宋体" w:eastAsia="宋体" w:cs="宋体"/>
          <w:color w:val="auto"/>
          <w:sz w:val="22"/>
          <w:szCs w:val="22"/>
          <w:highlight w:val="none"/>
          <w:shd w:val="clear" w:color="auto" w:fill="auto"/>
          <w:lang w:val="en-US" w:eastAsia="zh-CN"/>
        </w:rPr>
        <w:t>参照《浙江省水利水电工程设计概(预)算编制规定(2021年)》工程建设监理费收费标准(工程类型调整系数取0.9，工程复杂程度调整系数取0.85)结合中标折扣计取，最终按各村单独审计审定的建安费总和作为取费基数。</w:t>
      </w:r>
    </w:p>
    <w:p w14:paraId="6DA44146">
      <w:pPr>
        <w:keepNext w:val="0"/>
        <w:pageBreakBefore w:val="0"/>
        <w:widowControl w:val="0"/>
        <w:kinsoku/>
        <w:overflowPunct/>
        <w:topLinePunct w:val="0"/>
        <w:autoSpaceDE/>
        <w:autoSpaceDN/>
        <w:bidi w:val="0"/>
        <w:spacing w:beforeLines="0" w:afterLines="0" w:line="440" w:lineRule="exact"/>
        <w:textAlignment w:val="auto"/>
        <w:rPr>
          <w:rFonts w:hint="eastAsia" w:ascii="宋体" w:hAnsi="宋体" w:eastAsia="宋体" w:cs="宋体"/>
          <w:b/>
          <w:bCs/>
          <w:color w:val="auto"/>
          <w:spacing w:val="0"/>
          <w:sz w:val="22"/>
          <w:szCs w:val="22"/>
          <w:highlight w:val="none"/>
          <w:shd w:val="clear" w:color="auto" w:fill="auto"/>
          <w:lang w:val="en-US" w:eastAsia="zh-CN"/>
        </w:rPr>
      </w:pPr>
      <w:r>
        <w:rPr>
          <w:rFonts w:hint="eastAsia" w:ascii="宋体" w:hAnsi="宋体" w:eastAsia="宋体" w:cs="宋体"/>
          <w:b/>
          <w:bCs/>
          <w:color w:val="auto"/>
          <w:spacing w:val="0"/>
          <w:sz w:val="22"/>
          <w:szCs w:val="22"/>
          <w:highlight w:val="none"/>
          <w:shd w:val="clear" w:color="auto" w:fill="auto"/>
          <w:lang w:val="en-US" w:eastAsia="zh-CN"/>
        </w:rPr>
        <w:t>六、其他工作要求</w:t>
      </w:r>
    </w:p>
    <w:p w14:paraId="2D7553A7">
      <w:pPr>
        <w:keepNext w:val="0"/>
        <w:pageBreakBefore w:val="0"/>
        <w:widowControl w:val="0"/>
        <w:numPr>
          <w:ilvl w:val="0"/>
          <w:numId w:val="0"/>
        </w:numPr>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1、本采购任务量为暂定的计划任务量，采购人将按照核定的最终任务量向中标供应商下达具体的任务通知单。</w:t>
      </w:r>
    </w:p>
    <w:p w14:paraId="35FAF9F8">
      <w:pPr>
        <w:keepNext w:val="0"/>
        <w:pageBreakBefore w:val="0"/>
        <w:widowControl w:val="0"/>
        <w:numPr>
          <w:ilvl w:val="0"/>
          <w:numId w:val="0"/>
        </w:numPr>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2、保密规定：没有采购人事先书面同意，中标人不得将由采购人提供的有关合同或任何合同条文、规格、计划、图纸或资料提供给与履行本合同无关的任何其他人。即使向履行本合同有关的人员提供，也应注意保密并限于履行合同的必需范围。</w:t>
      </w:r>
    </w:p>
    <w:p w14:paraId="63C4ADD5">
      <w:pPr>
        <w:keepNext w:val="0"/>
        <w:pageBreakBefore w:val="0"/>
        <w:widowControl w:val="0"/>
        <w:numPr>
          <w:ilvl w:val="0"/>
          <w:numId w:val="0"/>
        </w:numPr>
        <w:kinsoku/>
        <w:overflowPunct/>
        <w:topLinePunct w:val="0"/>
        <w:autoSpaceDE/>
        <w:autoSpaceDN/>
        <w:bidi w:val="0"/>
        <w:spacing w:beforeLines="0" w:afterLines="0" w:line="440" w:lineRule="exact"/>
        <w:ind w:firstLine="440" w:firstLineChars="20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3、中标人须保证投标承诺的人员中实际到位人数一位，常驻现场。现场到位率必须达到正常工作日（考勤天数按每月25日计）的90%，否则按500元/天的标准赔偿。采购人若现发现人员虽然考勤但未到位或者未请假外出，仍按缺勤处理。</w:t>
      </w:r>
    </w:p>
    <w:p w14:paraId="7D4FC08F">
      <w:pPr>
        <w:keepNext w:val="0"/>
        <w:pageBreakBefore w:val="0"/>
        <w:widowControl w:val="0"/>
        <w:numPr>
          <w:ilvl w:val="0"/>
          <w:numId w:val="0"/>
        </w:numPr>
        <w:kinsoku/>
        <w:overflowPunct/>
        <w:topLinePunct w:val="0"/>
        <w:autoSpaceDE/>
        <w:autoSpaceDN/>
        <w:bidi w:val="0"/>
        <w:spacing w:beforeLines="0" w:afterLines="0" w:line="440" w:lineRule="exact"/>
        <w:ind w:firstLine="440" w:firstLineChars="200"/>
        <w:textAlignment w:val="auto"/>
        <w:rPr>
          <w:rFonts w:hint="default"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4、未经采购人书面同意，中标人不得擅自更换项目总监、监理工程师及其它监理人员，若中标人无正当理由更换项目总监的需向采购人支付每人次1万元的违约金，更换任一监理人员(总监除外)的，中标人须向采购人支付每人次5000元的赔偿金，再次更换赔偿金翻倍。</w:t>
      </w:r>
    </w:p>
    <w:p w14:paraId="78FA2C8C">
      <w:pPr>
        <w:keepNext w:val="0"/>
        <w:pageBreakBefore w:val="0"/>
        <w:widowControl w:val="0"/>
        <w:kinsoku/>
        <w:overflowPunct/>
        <w:topLinePunct w:val="0"/>
        <w:autoSpaceDE/>
        <w:autoSpaceDN/>
        <w:bidi w:val="0"/>
        <w:spacing w:beforeLines="0" w:afterLines="0" w:line="440" w:lineRule="exact"/>
        <w:textAlignment w:val="auto"/>
        <w:rPr>
          <w:rFonts w:hint="eastAsia" w:ascii="宋体" w:hAnsi="宋体" w:eastAsia="宋体" w:cs="宋体"/>
          <w:b/>
          <w:bCs/>
          <w:color w:val="auto"/>
          <w:spacing w:val="0"/>
          <w:sz w:val="22"/>
          <w:szCs w:val="22"/>
          <w:highlight w:val="none"/>
          <w:shd w:val="clear" w:color="auto" w:fill="auto"/>
          <w:lang w:val="en-US" w:eastAsia="zh-CN"/>
        </w:rPr>
      </w:pPr>
      <w:r>
        <w:rPr>
          <w:rFonts w:hint="eastAsia" w:ascii="宋体" w:hAnsi="宋体" w:cs="宋体"/>
          <w:b/>
          <w:bCs/>
          <w:color w:val="auto"/>
          <w:spacing w:val="0"/>
          <w:sz w:val="22"/>
          <w:szCs w:val="22"/>
          <w:highlight w:val="none"/>
          <w:shd w:val="clear" w:color="auto" w:fill="auto"/>
          <w:lang w:val="en-US" w:eastAsia="zh-CN"/>
        </w:rPr>
        <w:t>七</w:t>
      </w:r>
      <w:r>
        <w:rPr>
          <w:rFonts w:hint="eastAsia" w:ascii="宋体" w:hAnsi="宋体" w:eastAsia="宋体" w:cs="宋体"/>
          <w:b/>
          <w:bCs/>
          <w:color w:val="auto"/>
          <w:spacing w:val="0"/>
          <w:sz w:val="22"/>
          <w:szCs w:val="22"/>
          <w:highlight w:val="none"/>
          <w:shd w:val="clear" w:color="auto" w:fill="auto"/>
          <w:lang w:val="en-US" w:eastAsia="zh-CN"/>
        </w:rPr>
        <w:t>、商务要求</w:t>
      </w:r>
    </w:p>
    <w:tbl>
      <w:tblPr>
        <w:tblStyle w:val="19"/>
        <w:tblW w:w="504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73"/>
        <w:gridCol w:w="7483"/>
      </w:tblGrid>
      <w:tr w14:paraId="1CB19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jc w:val="center"/>
        </w:trPr>
        <w:tc>
          <w:tcPr>
            <w:tcW w:w="1043" w:type="pct"/>
            <w:tcBorders>
              <w:top w:val="single" w:color="auto" w:sz="4" w:space="0"/>
              <w:left w:val="single" w:color="auto" w:sz="4" w:space="0"/>
              <w:bottom w:val="single" w:color="auto" w:sz="4" w:space="0"/>
              <w:right w:val="single" w:color="auto" w:sz="4" w:space="0"/>
            </w:tcBorders>
            <w:noWrap w:val="0"/>
            <w:vAlign w:val="center"/>
          </w:tcPr>
          <w:p w14:paraId="226F33E9">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项目</w:t>
            </w:r>
          </w:p>
        </w:tc>
        <w:tc>
          <w:tcPr>
            <w:tcW w:w="3956" w:type="pct"/>
            <w:tcBorders>
              <w:top w:val="single" w:color="auto" w:sz="4" w:space="0"/>
              <w:left w:val="single" w:color="auto" w:sz="4" w:space="0"/>
              <w:bottom w:val="single" w:color="auto" w:sz="4" w:space="0"/>
              <w:right w:val="single" w:color="auto" w:sz="4" w:space="0"/>
            </w:tcBorders>
            <w:noWrap w:val="0"/>
            <w:vAlign w:val="center"/>
          </w:tcPr>
          <w:p w14:paraId="6CD55734">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rPr>
              <w:t>要求</w:t>
            </w:r>
          </w:p>
        </w:tc>
      </w:tr>
      <w:tr w14:paraId="3E615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1043" w:type="pct"/>
            <w:tcBorders>
              <w:top w:val="single" w:color="auto" w:sz="4" w:space="0"/>
              <w:left w:val="single" w:color="auto" w:sz="4" w:space="0"/>
              <w:bottom w:val="single" w:color="auto" w:sz="4" w:space="0"/>
              <w:right w:val="single" w:color="auto" w:sz="4" w:space="0"/>
            </w:tcBorders>
            <w:noWrap w:val="0"/>
            <w:vAlign w:val="center"/>
          </w:tcPr>
          <w:p w14:paraId="0A3B06A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kern w:val="1"/>
                <w:sz w:val="22"/>
                <w:szCs w:val="22"/>
                <w:highlight w:val="none"/>
                <w:shd w:val="clear" w:color="auto" w:fill="auto"/>
              </w:rPr>
            </w:pPr>
            <w:r>
              <w:rPr>
                <w:rFonts w:hint="eastAsia" w:ascii="宋体" w:hAnsi="宋体" w:eastAsia="宋体" w:cs="宋体"/>
                <w:color w:val="auto"/>
                <w:sz w:val="22"/>
                <w:szCs w:val="22"/>
                <w:highlight w:val="none"/>
                <w:shd w:val="clear" w:color="auto" w:fill="auto"/>
              </w:rPr>
              <w:t>★1、签订合同时间</w:t>
            </w:r>
          </w:p>
        </w:tc>
        <w:tc>
          <w:tcPr>
            <w:tcW w:w="3956" w:type="pct"/>
            <w:tcBorders>
              <w:top w:val="single" w:color="auto" w:sz="4" w:space="0"/>
              <w:left w:val="single" w:color="auto" w:sz="4" w:space="0"/>
              <w:bottom w:val="single" w:color="auto" w:sz="4" w:space="0"/>
              <w:right w:val="single" w:color="auto" w:sz="4" w:space="0"/>
            </w:tcBorders>
            <w:noWrap w:val="0"/>
            <w:vAlign w:val="center"/>
          </w:tcPr>
          <w:p w14:paraId="717AED0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成交通知书发出之日起30日内签订合同，具体签约时间以采购人通知为准。</w:t>
            </w:r>
          </w:p>
        </w:tc>
      </w:tr>
      <w:tr w14:paraId="5694C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43" w:type="pct"/>
            <w:tcBorders>
              <w:top w:val="single" w:color="auto" w:sz="4" w:space="0"/>
              <w:left w:val="single" w:color="auto" w:sz="4" w:space="0"/>
              <w:bottom w:val="single" w:color="auto" w:sz="4" w:space="0"/>
              <w:right w:val="single" w:color="auto" w:sz="4" w:space="0"/>
            </w:tcBorders>
            <w:noWrap w:val="0"/>
            <w:vAlign w:val="center"/>
          </w:tcPr>
          <w:p w14:paraId="4881D0A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★2、合同履行期限</w:t>
            </w:r>
          </w:p>
        </w:tc>
        <w:tc>
          <w:tcPr>
            <w:tcW w:w="3956" w:type="pct"/>
            <w:tcBorders>
              <w:top w:val="single" w:color="auto" w:sz="4" w:space="0"/>
              <w:left w:val="single" w:color="auto" w:sz="4" w:space="0"/>
              <w:bottom w:val="single" w:color="auto" w:sz="4" w:space="0"/>
              <w:right w:val="single" w:color="auto" w:sz="4" w:space="0"/>
            </w:tcBorders>
            <w:noWrap w:val="0"/>
            <w:vAlign w:val="center"/>
          </w:tcPr>
          <w:p w14:paraId="643E6C5C">
            <w:pPr>
              <w:pStyle w:val="2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2"/>
                <w:szCs w:val="22"/>
                <w:highlight w:val="none"/>
                <w:shd w:val="clear" w:color="auto" w:fill="auto"/>
                <w:lang w:val="en-US" w:eastAsia="zh-CN" w:bidi="ar-SA"/>
              </w:rPr>
            </w:pPr>
            <w:r>
              <w:rPr>
                <w:rFonts w:hint="eastAsia" w:ascii="宋体" w:hAnsi="宋体" w:cs="宋体"/>
                <w:color w:val="auto"/>
                <w:kern w:val="2"/>
                <w:sz w:val="22"/>
                <w:szCs w:val="22"/>
                <w:highlight w:val="none"/>
                <w:shd w:val="clear" w:color="auto" w:fill="auto"/>
                <w:lang w:val="en-US" w:eastAsia="zh-CN" w:bidi="ar-SA"/>
              </w:rPr>
              <w:t>自合同工程之日起，至监理范围内所有项目通过完工验收并缺陷责任期满止</w:t>
            </w:r>
            <w:r>
              <w:rPr>
                <w:rFonts w:hint="eastAsia" w:ascii="宋体" w:hAnsi="宋体" w:eastAsia="宋体" w:cs="宋体"/>
                <w:color w:val="auto"/>
                <w:kern w:val="2"/>
                <w:sz w:val="22"/>
                <w:szCs w:val="22"/>
                <w:highlight w:val="none"/>
                <w:shd w:val="clear" w:color="auto" w:fill="auto"/>
                <w:lang w:val="en-US" w:eastAsia="zh-CN" w:bidi="ar-SA"/>
              </w:rPr>
              <w:t>。</w:t>
            </w:r>
          </w:p>
        </w:tc>
      </w:tr>
      <w:tr w14:paraId="257AF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1043" w:type="pct"/>
            <w:tcBorders>
              <w:top w:val="single" w:color="auto" w:sz="4" w:space="0"/>
              <w:left w:val="single" w:color="auto" w:sz="4" w:space="0"/>
              <w:bottom w:val="single" w:color="auto" w:sz="4" w:space="0"/>
              <w:right w:val="single" w:color="auto" w:sz="4" w:space="0"/>
            </w:tcBorders>
            <w:noWrap w:val="0"/>
            <w:vAlign w:val="center"/>
          </w:tcPr>
          <w:p w14:paraId="2852CFE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3、服务地点</w:t>
            </w:r>
          </w:p>
        </w:tc>
        <w:tc>
          <w:tcPr>
            <w:tcW w:w="3956" w:type="pct"/>
            <w:tcBorders>
              <w:top w:val="single" w:color="auto" w:sz="4" w:space="0"/>
              <w:left w:val="single" w:color="auto" w:sz="4" w:space="0"/>
              <w:bottom w:val="single" w:color="auto" w:sz="4" w:space="0"/>
              <w:right w:val="single" w:color="auto" w:sz="4" w:space="0"/>
            </w:tcBorders>
            <w:noWrap w:val="0"/>
            <w:vAlign w:val="center"/>
          </w:tcPr>
          <w:p w14:paraId="327EF435">
            <w:pPr>
              <w:pStyle w:val="2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textAlignment w:val="auto"/>
              <w:rPr>
                <w:rFonts w:hint="eastAsia" w:ascii="宋体" w:hAnsi="宋体" w:eastAsia="宋体" w:cs="宋体"/>
                <w:color w:val="auto"/>
                <w:kern w:val="2"/>
                <w:sz w:val="22"/>
                <w:szCs w:val="22"/>
                <w:highlight w:val="none"/>
                <w:shd w:val="clear" w:color="auto" w:fill="auto"/>
                <w:lang w:val="en-US" w:eastAsia="zh-CN" w:bidi="ar-SA"/>
              </w:rPr>
            </w:pPr>
            <w:r>
              <w:rPr>
                <w:rFonts w:hint="eastAsia" w:ascii="宋体" w:hAnsi="宋体" w:eastAsia="宋体" w:cs="宋体"/>
                <w:color w:val="auto"/>
                <w:kern w:val="2"/>
                <w:sz w:val="22"/>
                <w:szCs w:val="22"/>
                <w:highlight w:val="none"/>
                <w:shd w:val="clear" w:color="auto" w:fill="auto"/>
                <w:lang w:val="en-US" w:eastAsia="zh-CN" w:bidi="ar-SA"/>
              </w:rPr>
              <w:t>采购人指定地点。</w:t>
            </w:r>
          </w:p>
        </w:tc>
      </w:tr>
      <w:tr w14:paraId="51748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43" w:type="pct"/>
            <w:tcBorders>
              <w:top w:val="single" w:color="auto" w:sz="4" w:space="0"/>
              <w:left w:val="single" w:color="auto" w:sz="4" w:space="0"/>
              <w:bottom w:val="single" w:color="auto" w:sz="4" w:space="0"/>
              <w:right w:val="single" w:color="auto" w:sz="4" w:space="0"/>
            </w:tcBorders>
            <w:noWrap w:val="0"/>
            <w:vAlign w:val="center"/>
          </w:tcPr>
          <w:p w14:paraId="13C954D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default"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rPr>
              <w:t>★</w:t>
            </w:r>
            <w:r>
              <w:rPr>
                <w:rFonts w:hint="eastAsia" w:ascii="宋体" w:hAnsi="宋体" w:cs="宋体"/>
                <w:color w:val="auto"/>
                <w:sz w:val="22"/>
                <w:szCs w:val="22"/>
                <w:highlight w:val="none"/>
                <w:shd w:val="clear" w:color="auto" w:fill="auto"/>
                <w:lang w:val="en-US" w:eastAsia="zh-CN"/>
              </w:rPr>
              <w:t>4、付款方式</w:t>
            </w:r>
          </w:p>
        </w:tc>
        <w:tc>
          <w:tcPr>
            <w:tcW w:w="3956" w:type="pct"/>
            <w:tcBorders>
              <w:top w:val="single" w:color="auto" w:sz="4" w:space="0"/>
              <w:left w:val="single" w:color="auto" w:sz="4" w:space="0"/>
              <w:bottom w:val="single" w:color="auto" w:sz="4" w:space="0"/>
              <w:right w:val="single" w:color="auto" w:sz="4" w:space="0"/>
            </w:tcBorders>
            <w:noWrap w:val="0"/>
            <w:vAlign w:val="center"/>
          </w:tcPr>
          <w:p w14:paraId="6023CD5D">
            <w:pPr>
              <w:pStyle w:val="2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2"/>
                <w:szCs w:val="22"/>
                <w:highlight w:val="none"/>
                <w:shd w:val="clear" w:color="auto" w:fill="auto"/>
                <w:lang w:val="en-US" w:eastAsia="zh-CN" w:bidi="ar-SA"/>
              </w:rPr>
            </w:pPr>
            <w:r>
              <w:rPr>
                <w:rFonts w:hint="eastAsia" w:ascii="宋体" w:hAnsi="宋体" w:eastAsia="宋体" w:cs="宋体"/>
                <w:color w:val="auto"/>
                <w:kern w:val="2"/>
                <w:sz w:val="22"/>
                <w:szCs w:val="22"/>
                <w:highlight w:val="none"/>
                <w:shd w:val="clear" w:color="auto" w:fill="auto"/>
                <w:lang w:val="en-US" w:eastAsia="zh-CN" w:bidi="ar-SA"/>
              </w:rPr>
              <w:t>（1）合同签订且具备实施条件后，采购人向</w:t>
            </w:r>
            <w:r>
              <w:rPr>
                <w:rFonts w:hint="eastAsia" w:ascii="宋体" w:hAnsi="宋体" w:cs="宋体"/>
                <w:color w:val="auto"/>
                <w:kern w:val="2"/>
                <w:sz w:val="22"/>
                <w:szCs w:val="22"/>
                <w:highlight w:val="none"/>
                <w:shd w:val="clear" w:color="auto" w:fill="auto"/>
                <w:lang w:val="en-US" w:eastAsia="zh-CN" w:bidi="ar-SA"/>
              </w:rPr>
              <w:t>中标</w:t>
            </w:r>
            <w:r>
              <w:rPr>
                <w:rFonts w:hint="eastAsia" w:ascii="宋体" w:hAnsi="宋体" w:eastAsia="宋体" w:cs="宋体"/>
                <w:color w:val="auto"/>
                <w:kern w:val="2"/>
                <w:sz w:val="22"/>
                <w:szCs w:val="22"/>
                <w:highlight w:val="none"/>
                <w:shd w:val="clear" w:color="auto" w:fill="auto"/>
                <w:lang w:val="en-US" w:eastAsia="zh-CN" w:bidi="ar-SA"/>
              </w:rPr>
              <w:t>人支付合同暂定价的20%作为预付款；</w:t>
            </w:r>
          </w:p>
          <w:p w14:paraId="159BEB93">
            <w:pPr>
              <w:pStyle w:val="2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2"/>
                <w:szCs w:val="22"/>
                <w:highlight w:val="none"/>
                <w:shd w:val="clear" w:color="auto" w:fill="auto"/>
                <w:lang w:val="en-US" w:eastAsia="zh-CN" w:bidi="ar-SA"/>
              </w:rPr>
            </w:pPr>
            <w:r>
              <w:rPr>
                <w:rFonts w:hint="eastAsia" w:ascii="宋体" w:hAnsi="宋体" w:eastAsia="宋体" w:cs="宋体"/>
                <w:color w:val="auto"/>
                <w:kern w:val="2"/>
                <w:sz w:val="22"/>
                <w:szCs w:val="22"/>
                <w:highlight w:val="none"/>
                <w:shd w:val="clear" w:color="auto" w:fill="auto"/>
                <w:lang w:val="en-US" w:eastAsia="zh-CN" w:bidi="ar-SA"/>
              </w:rPr>
              <w:t>（2）工程完工验收合格后，支付至监理合同价的85%；</w:t>
            </w:r>
          </w:p>
          <w:p w14:paraId="0E7139DE">
            <w:pPr>
              <w:pStyle w:val="2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2"/>
                <w:szCs w:val="22"/>
                <w:highlight w:val="none"/>
                <w:shd w:val="clear" w:color="auto" w:fill="auto"/>
                <w:lang w:val="en-US" w:eastAsia="zh-CN" w:bidi="ar-SA"/>
              </w:rPr>
            </w:pPr>
            <w:r>
              <w:rPr>
                <w:rFonts w:hint="eastAsia" w:ascii="宋体" w:hAnsi="宋体" w:eastAsia="宋体" w:cs="宋体"/>
                <w:color w:val="auto"/>
                <w:kern w:val="2"/>
                <w:sz w:val="22"/>
                <w:szCs w:val="22"/>
                <w:highlight w:val="none"/>
                <w:shd w:val="clear" w:color="auto" w:fill="auto"/>
                <w:lang w:val="en-US" w:eastAsia="zh-CN" w:bidi="ar-SA"/>
              </w:rPr>
              <w:t>（3）待第三方审计单位审定的工程结算出具报告及资料归档后，按监理费审定金额结清余款。</w:t>
            </w:r>
          </w:p>
          <w:p w14:paraId="451E5D0F">
            <w:pPr>
              <w:pStyle w:val="2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kern w:val="2"/>
                <w:sz w:val="22"/>
                <w:szCs w:val="22"/>
                <w:highlight w:val="none"/>
                <w:shd w:val="clear" w:color="auto" w:fill="auto"/>
                <w:lang w:val="en-US" w:eastAsia="zh-CN" w:bidi="ar-SA"/>
              </w:rPr>
            </w:pPr>
            <w:r>
              <w:rPr>
                <w:rFonts w:hint="eastAsia" w:ascii="宋体" w:hAnsi="宋体" w:eastAsia="宋体" w:cs="宋体"/>
                <w:color w:val="auto"/>
                <w:kern w:val="2"/>
                <w:sz w:val="22"/>
                <w:szCs w:val="22"/>
                <w:highlight w:val="none"/>
                <w:shd w:val="clear" w:color="auto" w:fill="auto"/>
                <w:lang w:val="en-US" w:eastAsia="zh-CN" w:bidi="ar-SA"/>
              </w:rPr>
              <w:t>注：</w:t>
            </w:r>
            <w:r>
              <w:rPr>
                <w:rFonts w:hint="eastAsia" w:ascii="宋体" w:hAnsi="宋体" w:cs="宋体"/>
                <w:color w:val="auto"/>
                <w:kern w:val="2"/>
                <w:sz w:val="22"/>
                <w:szCs w:val="22"/>
                <w:highlight w:val="none"/>
                <w:shd w:val="clear" w:color="auto" w:fill="auto"/>
                <w:lang w:val="en-US" w:eastAsia="zh-CN" w:bidi="ar-SA"/>
              </w:rPr>
              <w:t>中标</w:t>
            </w:r>
            <w:r>
              <w:rPr>
                <w:rFonts w:hint="eastAsia" w:ascii="宋体" w:hAnsi="宋体" w:eastAsia="宋体" w:cs="宋体"/>
                <w:color w:val="auto"/>
                <w:kern w:val="2"/>
                <w:sz w:val="22"/>
                <w:szCs w:val="22"/>
                <w:highlight w:val="none"/>
                <w:shd w:val="clear" w:color="auto" w:fill="auto"/>
                <w:lang w:val="en-US" w:eastAsia="zh-CN" w:bidi="ar-SA"/>
              </w:rPr>
              <w:t>人应在采购人支付合同款项前，向采购人提供与支付金额等额的合法有效增值税发票。若</w:t>
            </w:r>
            <w:r>
              <w:rPr>
                <w:rFonts w:hint="eastAsia" w:ascii="宋体" w:hAnsi="宋体" w:cs="宋体"/>
                <w:color w:val="auto"/>
                <w:kern w:val="2"/>
                <w:sz w:val="22"/>
                <w:szCs w:val="22"/>
                <w:highlight w:val="none"/>
                <w:shd w:val="clear" w:color="auto" w:fill="auto"/>
                <w:lang w:val="en-US" w:eastAsia="zh-CN" w:bidi="ar-SA"/>
              </w:rPr>
              <w:t>中标</w:t>
            </w:r>
            <w:r>
              <w:rPr>
                <w:rFonts w:hint="eastAsia" w:ascii="宋体" w:hAnsi="宋体" w:eastAsia="宋体" w:cs="宋体"/>
                <w:color w:val="auto"/>
                <w:kern w:val="2"/>
                <w:sz w:val="22"/>
                <w:szCs w:val="22"/>
                <w:highlight w:val="none"/>
                <w:shd w:val="clear" w:color="auto" w:fill="auto"/>
                <w:lang w:val="en-US" w:eastAsia="zh-CN" w:bidi="ar-SA"/>
              </w:rPr>
              <w:t>人未按规定时间或要求提供相应增值税发票的，采购人有权暂缓或拒绝支付相应款项，且不因此承担任何违约责任。因发票问题产生的一切法律后果及经济损失由中标人承担。</w:t>
            </w:r>
          </w:p>
        </w:tc>
      </w:tr>
      <w:tr w14:paraId="3719F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43" w:type="pct"/>
            <w:tcBorders>
              <w:top w:val="single" w:color="auto" w:sz="4" w:space="0"/>
              <w:left w:val="single" w:color="auto" w:sz="4" w:space="0"/>
              <w:bottom w:val="single" w:color="auto" w:sz="4" w:space="0"/>
              <w:right w:val="single" w:color="auto" w:sz="4" w:space="0"/>
            </w:tcBorders>
            <w:noWrap w:val="0"/>
            <w:vAlign w:val="center"/>
          </w:tcPr>
          <w:p w14:paraId="3420AF5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w:t>
            </w:r>
            <w:r>
              <w:rPr>
                <w:rFonts w:hint="eastAsia" w:ascii="宋体" w:hAnsi="宋体" w:cs="宋体"/>
                <w:color w:val="auto"/>
                <w:sz w:val="22"/>
                <w:szCs w:val="22"/>
                <w:highlight w:val="none"/>
                <w:shd w:val="clear" w:color="auto" w:fill="auto"/>
                <w:lang w:val="en-US" w:eastAsia="zh-CN"/>
              </w:rPr>
              <w:t>5</w:t>
            </w:r>
            <w:r>
              <w:rPr>
                <w:rFonts w:hint="eastAsia" w:ascii="宋体" w:hAnsi="宋体" w:eastAsia="宋体" w:cs="宋体"/>
                <w:color w:val="auto"/>
                <w:sz w:val="22"/>
                <w:szCs w:val="22"/>
                <w:highlight w:val="none"/>
                <w:shd w:val="clear" w:color="auto" w:fill="auto"/>
              </w:rPr>
              <w:t>、履约保证金</w:t>
            </w:r>
          </w:p>
        </w:tc>
        <w:tc>
          <w:tcPr>
            <w:tcW w:w="3956" w:type="pct"/>
            <w:tcBorders>
              <w:top w:val="single" w:color="auto" w:sz="4" w:space="0"/>
              <w:left w:val="single" w:color="auto" w:sz="4" w:space="0"/>
              <w:bottom w:val="single" w:color="auto" w:sz="4" w:space="0"/>
              <w:right w:val="single" w:color="auto" w:sz="4" w:space="0"/>
            </w:tcBorders>
            <w:noWrap w:val="0"/>
            <w:vAlign w:val="center"/>
          </w:tcPr>
          <w:p w14:paraId="4C6D55C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履约保证金金额：合同价的</w:t>
            </w:r>
            <w:r>
              <w:rPr>
                <w:rFonts w:hint="eastAsia" w:ascii="宋体" w:hAnsi="宋体" w:cs="宋体"/>
                <w:color w:val="auto"/>
                <w:sz w:val="22"/>
                <w:szCs w:val="22"/>
                <w:highlight w:val="none"/>
                <w:shd w:val="clear" w:color="auto" w:fill="auto"/>
                <w:lang w:val="en-US" w:eastAsia="zh-CN"/>
              </w:rPr>
              <w:t>0.5</w:t>
            </w:r>
            <w:r>
              <w:rPr>
                <w:rFonts w:hint="eastAsia" w:ascii="宋体" w:hAnsi="宋体" w:eastAsia="宋体" w:cs="宋体"/>
                <w:color w:val="auto"/>
                <w:sz w:val="22"/>
                <w:szCs w:val="22"/>
                <w:highlight w:val="none"/>
                <w:shd w:val="clear" w:color="auto" w:fill="auto"/>
              </w:rPr>
              <w:t>%。</w:t>
            </w:r>
          </w:p>
          <w:p w14:paraId="3844573A">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shd w:val="clear" w:color="auto" w:fill="auto"/>
                <w:lang w:val="en-US" w:eastAsia="zh-CN"/>
              </w:rPr>
            </w:pPr>
            <w:r>
              <w:rPr>
                <w:rFonts w:hint="eastAsia" w:ascii="宋体" w:hAnsi="宋体" w:eastAsia="宋体" w:cs="宋体"/>
                <w:color w:val="auto"/>
                <w:sz w:val="22"/>
                <w:szCs w:val="22"/>
                <w:highlight w:val="none"/>
                <w:shd w:val="clear" w:color="auto" w:fill="auto"/>
                <w:lang w:val="en-US" w:eastAsia="zh-CN"/>
              </w:rPr>
              <w:t>履约保证金形式：支票、汇票、本票或者金融机构、担保机构出具的保函等非现金形式提交；</w:t>
            </w:r>
          </w:p>
          <w:p w14:paraId="7CE5236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textAlignment w:val="auto"/>
              <w:rPr>
                <w:rFonts w:hint="eastAsia"/>
                <w:color w:val="auto"/>
                <w:sz w:val="22"/>
                <w:szCs w:val="22"/>
                <w:highlight w:val="none"/>
              </w:rPr>
            </w:pPr>
            <w:r>
              <w:rPr>
                <w:rFonts w:hint="eastAsia" w:ascii="宋体" w:hAnsi="宋体" w:eastAsia="宋体" w:cs="宋体"/>
                <w:color w:val="auto"/>
                <w:sz w:val="22"/>
                <w:szCs w:val="22"/>
                <w:highlight w:val="none"/>
                <w:shd w:val="clear" w:color="auto" w:fill="auto"/>
                <w:lang w:val="en-US" w:eastAsia="zh-CN"/>
              </w:rPr>
              <w:t>履约保证金的退还：项目全部验收合格后十日内退还。但如中标供应商未履行或未完全履行合同规定的任何义务，给采购人造成损失的，采购人有权在其提交的履约保证金中获得相应赔偿，不足部分采购人有权继续向中标供应商追偿。</w:t>
            </w:r>
          </w:p>
        </w:tc>
      </w:tr>
      <w:tr w14:paraId="1DA91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8" w:hRule="atLeast"/>
          <w:jc w:val="center"/>
        </w:trPr>
        <w:tc>
          <w:tcPr>
            <w:tcW w:w="1043" w:type="pct"/>
            <w:tcBorders>
              <w:top w:val="single" w:color="auto" w:sz="4" w:space="0"/>
              <w:left w:val="single" w:color="auto" w:sz="4" w:space="0"/>
              <w:bottom w:val="single" w:color="auto" w:sz="4" w:space="0"/>
              <w:right w:val="single" w:color="auto" w:sz="4" w:space="0"/>
            </w:tcBorders>
            <w:noWrap w:val="0"/>
            <w:vAlign w:val="center"/>
          </w:tcPr>
          <w:p w14:paraId="556C132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w:t>
            </w:r>
            <w:r>
              <w:rPr>
                <w:rFonts w:hint="eastAsia" w:ascii="宋体" w:hAnsi="宋体" w:cs="宋体"/>
                <w:color w:val="auto"/>
                <w:sz w:val="22"/>
                <w:szCs w:val="22"/>
                <w:highlight w:val="none"/>
                <w:shd w:val="clear" w:color="auto" w:fill="auto"/>
                <w:lang w:val="en-US" w:eastAsia="zh-CN"/>
              </w:rPr>
              <w:t>6</w:t>
            </w:r>
            <w:r>
              <w:rPr>
                <w:rFonts w:hint="eastAsia" w:ascii="宋体" w:hAnsi="宋体" w:eastAsia="宋体" w:cs="宋体"/>
                <w:color w:val="auto"/>
                <w:sz w:val="22"/>
                <w:szCs w:val="22"/>
                <w:highlight w:val="none"/>
                <w:shd w:val="clear" w:color="auto" w:fill="auto"/>
              </w:rPr>
              <w:t>、投标报价</w:t>
            </w:r>
          </w:p>
        </w:tc>
        <w:tc>
          <w:tcPr>
            <w:tcW w:w="3956" w:type="pct"/>
            <w:tcBorders>
              <w:top w:val="single" w:color="auto" w:sz="4" w:space="0"/>
              <w:left w:val="single" w:color="auto" w:sz="4" w:space="0"/>
              <w:bottom w:val="single" w:color="auto" w:sz="4" w:space="0"/>
              <w:right w:val="single" w:color="auto" w:sz="4" w:space="0"/>
            </w:tcBorders>
            <w:noWrap w:val="0"/>
            <w:vAlign w:val="center"/>
          </w:tcPr>
          <w:p w14:paraId="4BAE0944">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1</w:t>
            </w:r>
            <w:r>
              <w:rPr>
                <w:rFonts w:hint="eastAsia" w:ascii="宋体" w:hAnsi="宋体" w:cs="宋体"/>
                <w:color w:val="auto"/>
                <w:sz w:val="22"/>
                <w:szCs w:val="22"/>
                <w:highlight w:val="none"/>
                <w:shd w:val="clear" w:color="auto" w:fill="auto"/>
                <w:lang w:val="en-US" w:eastAsia="zh-CN"/>
              </w:rPr>
              <w:t>.</w:t>
            </w:r>
            <w:r>
              <w:rPr>
                <w:rFonts w:hint="eastAsia" w:ascii="宋体" w:hAnsi="宋体" w:cs="宋体"/>
                <w:color w:val="auto"/>
                <w:sz w:val="22"/>
                <w:szCs w:val="22"/>
                <w:highlight w:val="none"/>
                <w:shd w:val="clear" w:color="auto" w:fill="auto"/>
                <w:lang w:eastAsia="zh-CN"/>
              </w:rPr>
              <w:t>投标报价</w:t>
            </w:r>
            <w:r>
              <w:rPr>
                <w:rFonts w:hint="eastAsia" w:ascii="宋体" w:hAnsi="宋体" w:eastAsia="宋体" w:cs="宋体"/>
                <w:color w:val="auto"/>
                <w:sz w:val="22"/>
                <w:szCs w:val="22"/>
                <w:highlight w:val="none"/>
                <w:shd w:val="clear" w:color="auto" w:fill="auto"/>
              </w:rPr>
              <w:t>包含但不限于完成服务所需的人员费用、食宿费、交通费、通讯费、管理费、保险、税金、利润等为完成项目的所有费用，采购人不再另行支付其他任何形式的费用。</w:t>
            </w:r>
          </w:p>
          <w:p w14:paraId="58F2D1F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★2</w:t>
            </w:r>
            <w:r>
              <w:rPr>
                <w:rFonts w:hint="eastAsia" w:ascii="宋体" w:hAnsi="宋体" w:cs="宋体"/>
                <w:color w:val="auto"/>
                <w:sz w:val="22"/>
                <w:szCs w:val="22"/>
                <w:highlight w:val="none"/>
                <w:shd w:val="clear" w:color="auto" w:fill="auto"/>
                <w:lang w:val="en-US" w:eastAsia="zh-CN"/>
              </w:rPr>
              <w:t>.</w:t>
            </w:r>
            <w:r>
              <w:rPr>
                <w:rFonts w:hint="eastAsia" w:ascii="宋体" w:hAnsi="宋体" w:eastAsia="宋体" w:cs="宋体"/>
                <w:color w:val="auto"/>
                <w:sz w:val="22"/>
                <w:szCs w:val="22"/>
                <w:highlight w:val="none"/>
                <w:shd w:val="clear" w:color="auto" w:fill="auto"/>
              </w:rPr>
              <w:t>本项目最高限价（%）为：</w:t>
            </w:r>
            <w:r>
              <w:rPr>
                <w:rFonts w:hint="eastAsia" w:ascii="宋体" w:hAnsi="宋体" w:cs="宋体"/>
                <w:color w:val="auto"/>
                <w:sz w:val="22"/>
                <w:szCs w:val="22"/>
                <w:highlight w:val="none"/>
                <w:shd w:val="clear" w:color="auto" w:fill="auto"/>
                <w:lang w:eastAsia="zh-CN"/>
              </w:rPr>
              <w:t>折</w:t>
            </w:r>
            <w:r>
              <w:rPr>
                <w:rFonts w:hint="eastAsia" w:ascii="宋体" w:hAnsi="宋体" w:eastAsia="宋体" w:cs="宋体"/>
                <w:color w:val="auto"/>
                <w:sz w:val="22"/>
                <w:szCs w:val="22"/>
                <w:highlight w:val="none"/>
                <w:shd w:val="clear" w:color="auto" w:fill="auto"/>
                <w:lang w:eastAsia="zh-CN"/>
              </w:rPr>
              <w:t>扣</w:t>
            </w:r>
            <w:r>
              <w:rPr>
                <w:rFonts w:hint="eastAsia" w:ascii="宋体" w:hAnsi="宋体" w:eastAsia="宋体" w:cs="宋体"/>
                <w:color w:val="auto"/>
                <w:sz w:val="22"/>
                <w:szCs w:val="22"/>
                <w:highlight w:val="none"/>
                <w:shd w:val="clear" w:color="auto" w:fill="auto"/>
                <w:lang w:val="en-US" w:eastAsia="zh-CN"/>
              </w:rPr>
              <w:t>90</w:t>
            </w:r>
            <w:r>
              <w:rPr>
                <w:rFonts w:hint="eastAsia" w:ascii="宋体" w:hAnsi="宋体" w:eastAsia="宋体" w:cs="宋体"/>
                <w:color w:val="auto"/>
                <w:sz w:val="22"/>
                <w:szCs w:val="22"/>
                <w:highlight w:val="none"/>
                <w:shd w:val="clear" w:color="auto" w:fill="auto"/>
                <w:lang w:eastAsia="zh-CN"/>
              </w:rPr>
              <w:t>%</w:t>
            </w:r>
            <w:r>
              <w:rPr>
                <w:rFonts w:hint="eastAsia" w:ascii="宋体" w:hAnsi="宋体" w:eastAsia="宋体" w:cs="宋体"/>
                <w:color w:val="auto"/>
                <w:sz w:val="22"/>
                <w:szCs w:val="22"/>
                <w:highlight w:val="none"/>
                <w:shd w:val="clear" w:color="auto" w:fill="auto"/>
              </w:rPr>
              <w:t>。本次投标以折扣形式报价，投标折扣＞</w:t>
            </w:r>
            <w:r>
              <w:rPr>
                <w:rFonts w:hint="eastAsia" w:ascii="宋体" w:hAnsi="宋体" w:eastAsia="宋体" w:cs="宋体"/>
                <w:color w:val="auto"/>
                <w:sz w:val="22"/>
                <w:szCs w:val="22"/>
                <w:highlight w:val="none"/>
                <w:shd w:val="clear" w:color="auto" w:fill="auto"/>
                <w:lang w:val="en-US" w:eastAsia="zh-CN"/>
              </w:rPr>
              <w:t>90</w:t>
            </w:r>
            <w:r>
              <w:rPr>
                <w:rFonts w:hint="eastAsia" w:ascii="宋体" w:hAnsi="宋体" w:eastAsia="宋体" w:cs="宋体"/>
                <w:color w:val="auto"/>
                <w:sz w:val="22"/>
                <w:szCs w:val="22"/>
                <w:highlight w:val="none"/>
                <w:shd w:val="clear" w:color="auto" w:fill="auto"/>
              </w:rPr>
              <w:t>%的，作否决处理。</w:t>
            </w:r>
          </w:p>
          <w:p w14:paraId="6E47E1C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3</w:t>
            </w:r>
            <w:r>
              <w:rPr>
                <w:rFonts w:hint="eastAsia" w:ascii="宋体" w:hAnsi="宋体" w:cs="宋体"/>
                <w:color w:val="auto"/>
                <w:sz w:val="22"/>
                <w:szCs w:val="22"/>
                <w:highlight w:val="none"/>
                <w:shd w:val="clear" w:color="auto" w:fill="auto"/>
                <w:lang w:val="en-US" w:eastAsia="zh-CN"/>
              </w:rPr>
              <w:t>.</w:t>
            </w:r>
            <w:r>
              <w:rPr>
                <w:rFonts w:hint="eastAsia" w:ascii="宋体" w:hAnsi="宋体" w:eastAsia="宋体" w:cs="宋体"/>
                <w:color w:val="auto"/>
                <w:sz w:val="22"/>
                <w:szCs w:val="22"/>
                <w:highlight w:val="none"/>
                <w:shd w:val="clear" w:color="auto" w:fill="auto"/>
              </w:rPr>
              <w:t>不论投标结果如何，</w:t>
            </w:r>
            <w:r>
              <w:rPr>
                <w:rFonts w:hint="eastAsia" w:ascii="宋体" w:hAnsi="宋体" w:cs="宋体"/>
                <w:color w:val="auto"/>
                <w:sz w:val="22"/>
                <w:szCs w:val="22"/>
                <w:highlight w:val="none"/>
                <w:shd w:val="clear" w:color="auto" w:fill="auto"/>
                <w:lang w:eastAsia="zh-CN"/>
              </w:rPr>
              <w:t>供应商</w:t>
            </w:r>
            <w:r>
              <w:rPr>
                <w:rFonts w:hint="eastAsia" w:ascii="宋体" w:hAnsi="宋体" w:eastAsia="宋体" w:cs="宋体"/>
                <w:color w:val="auto"/>
                <w:sz w:val="22"/>
                <w:szCs w:val="22"/>
                <w:highlight w:val="none"/>
                <w:shd w:val="clear" w:color="auto" w:fill="auto"/>
              </w:rPr>
              <w:t>均应自行承担所有与投标有关的全部费用。</w:t>
            </w:r>
          </w:p>
          <w:p w14:paraId="76C9E5E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textAlignment w:val="auto"/>
              <w:rPr>
                <w:rFonts w:hint="eastAsia" w:eastAsia="宋体"/>
                <w:color w:val="auto"/>
                <w:sz w:val="22"/>
                <w:szCs w:val="22"/>
                <w:highlight w:val="none"/>
                <w:lang w:val="en-US" w:eastAsia="zh-CN"/>
              </w:rPr>
            </w:pPr>
            <w:r>
              <w:rPr>
                <w:rFonts w:hint="eastAsia" w:ascii="宋体" w:hAnsi="宋体" w:cs="宋体"/>
                <w:color w:val="auto"/>
                <w:sz w:val="22"/>
                <w:szCs w:val="22"/>
                <w:highlight w:val="none"/>
                <w:shd w:val="clear" w:color="auto" w:fill="auto"/>
                <w:lang w:val="en-US" w:eastAsia="zh-CN"/>
              </w:rPr>
              <w:t>4.</w:t>
            </w:r>
            <w:r>
              <w:rPr>
                <w:rFonts w:hint="eastAsia" w:ascii="宋体" w:hAnsi="宋体" w:eastAsia="宋体" w:cs="宋体"/>
                <w:color w:val="auto"/>
                <w:sz w:val="22"/>
                <w:szCs w:val="22"/>
                <w:highlight w:val="none"/>
                <w:shd w:val="clear" w:color="auto" w:fill="auto"/>
              </w:rPr>
              <w:t>项目实施过程中可能发生的风险和费用均由</w:t>
            </w:r>
            <w:r>
              <w:rPr>
                <w:rFonts w:hint="eastAsia" w:ascii="宋体" w:hAnsi="宋体" w:eastAsia="宋体" w:cs="宋体"/>
                <w:color w:val="auto"/>
                <w:sz w:val="22"/>
                <w:szCs w:val="22"/>
                <w:highlight w:val="none"/>
                <w:shd w:val="clear" w:color="auto" w:fill="auto"/>
                <w:lang w:eastAsia="zh-CN"/>
              </w:rPr>
              <w:t>中标供应商</w:t>
            </w:r>
            <w:r>
              <w:rPr>
                <w:rFonts w:hint="eastAsia" w:ascii="宋体" w:hAnsi="宋体" w:eastAsia="宋体" w:cs="宋体"/>
                <w:color w:val="auto"/>
                <w:sz w:val="22"/>
                <w:szCs w:val="22"/>
                <w:highlight w:val="none"/>
                <w:shd w:val="clear" w:color="auto" w:fill="auto"/>
              </w:rPr>
              <w:t>承担。</w:t>
            </w:r>
          </w:p>
        </w:tc>
      </w:tr>
      <w:tr w14:paraId="36E0F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5" w:hRule="atLeast"/>
          <w:jc w:val="center"/>
        </w:trPr>
        <w:tc>
          <w:tcPr>
            <w:tcW w:w="1043" w:type="pct"/>
            <w:vMerge w:val="restart"/>
            <w:tcBorders>
              <w:top w:val="single" w:color="auto" w:sz="4" w:space="0"/>
              <w:left w:val="single" w:color="auto" w:sz="4" w:space="0"/>
              <w:right w:val="single" w:color="auto" w:sz="4" w:space="0"/>
            </w:tcBorders>
            <w:noWrap w:val="0"/>
            <w:vAlign w:val="center"/>
          </w:tcPr>
          <w:p w14:paraId="289EFB8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w:t>
            </w:r>
            <w:r>
              <w:rPr>
                <w:rFonts w:hint="eastAsia" w:ascii="宋体" w:hAnsi="宋体" w:cs="宋体"/>
                <w:bCs/>
                <w:color w:val="auto"/>
                <w:sz w:val="22"/>
                <w:szCs w:val="22"/>
                <w:highlight w:val="none"/>
                <w:shd w:val="clear" w:color="auto" w:fill="auto"/>
                <w:lang w:val="en-US" w:eastAsia="zh-CN"/>
              </w:rPr>
              <w:t>7</w:t>
            </w:r>
            <w:r>
              <w:rPr>
                <w:rFonts w:hint="eastAsia" w:ascii="宋体" w:hAnsi="宋体" w:eastAsia="宋体" w:cs="宋体"/>
                <w:bCs/>
                <w:color w:val="auto"/>
                <w:sz w:val="22"/>
                <w:szCs w:val="22"/>
                <w:highlight w:val="none"/>
                <w:shd w:val="clear" w:color="auto" w:fill="auto"/>
              </w:rPr>
              <w:t>、</w:t>
            </w:r>
            <w:r>
              <w:rPr>
                <w:rFonts w:hint="eastAsia" w:ascii="宋体" w:hAnsi="宋体" w:eastAsia="宋体" w:cs="宋体"/>
                <w:color w:val="auto"/>
                <w:sz w:val="22"/>
                <w:szCs w:val="22"/>
                <w:highlight w:val="none"/>
                <w:shd w:val="clear" w:color="auto" w:fill="auto"/>
              </w:rPr>
              <w:t>其他</w:t>
            </w:r>
          </w:p>
        </w:tc>
        <w:tc>
          <w:tcPr>
            <w:tcW w:w="3956" w:type="pct"/>
            <w:tcBorders>
              <w:top w:val="single" w:color="auto" w:sz="4" w:space="0"/>
              <w:left w:val="single" w:color="auto" w:sz="4" w:space="0"/>
              <w:bottom w:val="single" w:color="auto" w:sz="4" w:space="0"/>
              <w:right w:val="single" w:color="auto" w:sz="4" w:space="0"/>
            </w:tcBorders>
            <w:noWrap w:val="0"/>
            <w:vAlign w:val="center"/>
          </w:tcPr>
          <w:p w14:paraId="16DE874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1.在采购及合同执行过程中，</w:t>
            </w:r>
            <w:r>
              <w:rPr>
                <w:rFonts w:hint="eastAsia" w:ascii="宋体" w:hAnsi="宋体" w:cs="宋体"/>
                <w:color w:val="auto"/>
                <w:sz w:val="22"/>
                <w:szCs w:val="22"/>
                <w:highlight w:val="none"/>
                <w:shd w:val="clear" w:color="auto" w:fill="auto"/>
                <w:lang w:eastAsia="zh-CN"/>
              </w:rPr>
              <w:t>中标人</w:t>
            </w:r>
            <w:r>
              <w:rPr>
                <w:rFonts w:hint="eastAsia" w:ascii="宋体" w:hAnsi="宋体" w:eastAsia="宋体" w:cs="宋体"/>
                <w:color w:val="auto"/>
                <w:sz w:val="22"/>
                <w:szCs w:val="22"/>
                <w:highlight w:val="none"/>
                <w:shd w:val="clear" w:color="auto" w:fill="auto"/>
              </w:rPr>
              <w:t>应承担由于其行为所造成的人身伤害、财产损失或损坏的责任，无论何种原因所造成，采购人均不负责。</w:t>
            </w:r>
          </w:p>
        </w:tc>
      </w:tr>
      <w:tr w14:paraId="6BE98E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pct"/>
            <w:vMerge w:val="continue"/>
            <w:tcBorders>
              <w:left w:val="single" w:color="auto" w:sz="4" w:space="0"/>
              <w:right w:val="single" w:color="auto" w:sz="4" w:space="0"/>
            </w:tcBorders>
            <w:noWrap w:val="0"/>
            <w:vAlign w:val="center"/>
          </w:tcPr>
          <w:p w14:paraId="271F17D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2"/>
                <w:szCs w:val="22"/>
                <w:highlight w:val="none"/>
                <w:shd w:val="clear" w:color="auto" w:fill="auto"/>
              </w:rPr>
            </w:pPr>
          </w:p>
        </w:tc>
        <w:tc>
          <w:tcPr>
            <w:tcW w:w="3956" w:type="pct"/>
            <w:tcBorders>
              <w:top w:val="single" w:color="auto" w:sz="4" w:space="0"/>
              <w:left w:val="single" w:color="auto" w:sz="4" w:space="0"/>
              <w:bottom w:val="single" w:color="auto" w:sz="4" w:space="0"/>
              <w:right w:val="single" w:color="auto" w:sz="4" w:space="0"/>
            </w:tcBorders>
            <w:noWrap w:val="0"/>
            <w:vAlign w:val="center"/>
          </w:tcPr>
          <w:p w14:paraId="04CC608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textAlignment w:val="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2.在合同履行过程中，</w:t>
            </w:r>
            <w:r>
              <w:rPr>
                <w:rFonts w:hint="eastAsia" w:ascii="宋体" w:hAnsi="宋体" w:cs="宋体"/>
                <w:color w:val="auto"/>
                <w:sz w:val="22"/>
                <w:szCs w:val="22"/>
                <w:highlight w:val="none"/>
                <w:shd w:val="clear" w:color="auto" w:fill="auto"/>
                <w:lang w:eastAsia="zh-CN"/>
              </w:rPr>
              <w:t>中标人</w:t>
            </w:r>
            <w:r>
              <w:rPr>
                <w:rFonts w:hint="eastAsia" w:ascii="宋体" w:hAnsi="宋体" w:eastAsia="宋体" w:cs="宋体"/>
                <w:color w:val="auto"/>
                <w:sz w:val="22"/>
                <w:szCs w:val="22"/>
                <w:highlight w:val="none"/>
                <w:shd w:val="clear" w:color="auto" w:fill="auto"/>
              </w:rPr>
              <w:t>不得存在与本项目实施有利害冲突，影响或可能影响考核公正的情形，一旦出现，采购人有权解除合同。</w:t>
            </w:r>
          </w:p>
        </w:tc>
      </w:tr>
    </w:tbl>
    <w:p w14:paraId="2286E136">
      <w:pPr>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br w:type="page"/>
      </w:r>
    </w:p>
    <w:p w14:paraId="2845AAAF">
      <w:pPr>
        <w:pStyle w:val="12"/>
        <w:numPr>
          <w:ilvl w:val="0"/>
          <w:numId w:val="0"/>
        </w:numPr>
        <w:snapToGrid w:val="0"/>
        <w:spacing w:before="120" w:after="120" w:line="440" w:lineRule="exact"/>
        <w:jc w:val="center"/>
        <w:outlineLvl w:val="0"/>
        <w:rPr>
          <w:rFonts w:hint="eastAsia" w:ascii="宋体" w:hAnsi="宋体" w:eastAsia="宋体" w:cs="宋体"/>
          <w:color w:val="auto"/>
          <w:sz w:val="30"/>
          <w:szCs w:val="30"/>
          <w:highlight w:val="none"/>
        </w:rPr>
      </w:pPr>
      <w:r>
        <w:rPr>
          <w:rFonts w:hint="eastAsia" w:ascii="宋体" w:hAnsi="宋体" w:eastAsia="宋体" w:cs="宋体"/>
          <w:b/>
          <w:color w:val="auto"/>
          <w:kern w:val="0"/>
          <w:sz w:val="30"/>
          <w:szCs w:val="30"/>
          <w:highlight w:val="none"/>
          <w:lang w:val="en-US" w:eastAsia="zh-CN" w:bidi="ar-SA"/>
        </w:rPr>
        <w:t xml:space="preserve">第三章  </w:t>
      </w:r>
      <w:r>
        <w:rPr>
          <w:rFonts w:hint="eastAsia" w:ascii="宋体" w:hAnsi="宋体" w:eastAsia="宋体" w:cs="宋体"/>
          <w:color w:val="auto"/>
          <w:sz w:val="30"/>
          <w:szCs w:val="30"/>
          <w:highlight w:val="none"/>
        </w:rPr>
        <w:t>投标人须知</w:t>
      </w:r>
    </w:p>
    <w:p w14:paraId="3D02BC4D">
      <w:pPr>
        <w:keepNext w:val="0"/>
        <w:keepLines w:val="0"/>
        <w:pageBreakBefore w:val="0"/>
        <w:widowControl w:val="0"/>
        <w:kinsoku/>
        <w:wordWrap/>
        <w:overflowPunct/>
        <w:topLinePunct w:val="0"/>
        <w:autoSpaceDE/>
        <w:autoSpaceDN/>
        <w:bidi w:val="0"/>
        <w:adjustRightInd/>
        <w:snapToGrid w:val="0"/>
        <w:spacing w:line="240" w:lineRule="auto"/>
        <w:ind w:left="0"/>
        <w:jc w:val="center"/>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前附表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2"/>
        <w:gridCol w:w="8776"/>
      </w:tblGrid>
      <w:tr w14:paraId="09945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562" w:type="dxa"/>
            <w:tcBorders>
              <w:top w:val="double" w:color="auto" w:sz="4" w:space="0"/>
              <w:left w:val="double" w:color="auto" w:sz="4" w:space="0"/>
              <w:bottom w:val="single" w:color="auto" w:sz="4" w:space="0"/>
              <w:right w:val="single" w:color="auto" w:sz="4" w:space="0"/>
            </w:tcBorders>
            <w:noWrap w:val="0"/>
            <w:vAlign w:val="center"/>
          </w:tcPr>
          <w:p w14:paraId="71F025D4">
            <w:pPr>
              <w:spacing w:line="2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776" w:type="dxa"/>
            <w:tcBorders>
              <w:top w:val="double" w:color="auto" w:sz="4" w:space="0"/>
              <w:left w:val="single" w:color="auto" w:sz="4" w:space="0"/>
              <w:bottom w:val="single" w:color="auto" w:sz="4" w:space="0"/>
              <w:right w:val="double" w:color="auto" w:sz="4" w:space="0"/>
            </w:tcBorders>
            <w:noWrap w:val="0"/>
            <w:vAlign w:val="center"/>
          </w:tcPr>
          <w:p w14:paraId="18681967">
            <w:pPr>
              <w:spacing w:line="2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内容、要求</w:t>
            </w:r>
          </w:p>
        </w:tc>
      </w:tr>
      <w:tr w14:paraId="77DFE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615E6BB2">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1B17D0E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eastAsia="zh-CN"/>
              </w:rPr>
              <w:t>2026年慈城镇耕地功能恢复项目（监理）</w:t>
            </w:r>
          </w:p>
        </w:tc>
      </w:tr>
      <w:tr w14:paraId="039BD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2CC2212F">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665EC28C">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合同履约期限：自合同工程之日起，至监理范围内所有项目通过完工验收并缺陷责任期满止。</w:t>
            </w:r>
          </w:p>
        </w:tc>
      </w:tr>
      <w:tr w14:paraId="714162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60F6A15E">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0"/>
                <w:szCs w:val="21"/>
                <w:highlight w:val="none"/>
                <w:shd w:val="clear" w:color="auto" w:fill="auto"/>
              </w:rPr>
              <w:t>★</w:t>
            </w:r>
            <w:r>
              <w:rPr>
                <w:rFonts w:hint="eastAsia" w:ascii="宋体" w:hAnsi="宋体" w:eastAsia="宋体" w:cs="宋体"/>
                <w:b/>
                <w:bCs/>
                <w:color w:val="auto"/>
                <w:sz w:val="22"/>
                <w:szCs w:val="22"/>
                <w:highlight w:val="none"/>
              </w:rPr>
              <w:t>3</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2B229AB4">
            <w:pPr>
              <w:keepNext w:val="0"/>
              <w:keepLines w:val="0"/>
              <w:pageBreakBefore w:val="0"/>
              <w:widowControl w:val="0"/>
              <w:tabs>
                <w:tab w:val="left" w:pos="231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2"/>
                <w:szCs w:val="22"/>
                <w:highlight w:val="none"/>
              </w:rPr>
            </w:pPr>
            <w:r>
              <w:rPr>
                <w:rFonts w:hint="eastAsia" w:ascii="宋体" w:hAnsi="宋体" w:eastAsia="宋体" w:cs="宋体"/>
                <w:b/>
                <w:bCs w:val="0"/>
                <w:color w:val="auto"/>
                <w:sz w:val="22"/>
                <w:szCs w:val="22"/>
                <w:highlight w:val="none"/>
                <w:lang w:val="en-US" w:eastAsia="zh-CN"/>
              </w:rPr>
              <w:t>1、</w:t>
            </w:r>
            <w:r>
              <w:rPr>
                <w:rFonts w:hint="eastAsia" w:ascii="宋体" w:hAnsi="宋体" w:eastAsia="宋体" w:cs="宋体"/>
                <w:b/>
                <w:bCs w:val="0"/>
                <w:color w:val="auto"/>
                <w:sz w:val="22"/>
                <w:szCs w:val="22"/>
                <w:highlight w:val="none"/>
                <w:shd w:val="clear" w:color="auto" w:fill="auto"/>
              </w:rPr>
              <w:t>本项目最高限价（%）为：</w:t>
            </w:r>
            <w:r>
              <w:rPr>
                <w:rFonts w:hint="eastAsia" w:ascii="宋体" w:hAnsi="宋体" w:cs="宋体"/>
                <w:b/>
                <w:bCs w:val="0"/>
                <w:color w:val="auto"/>
                <w:sz w:val="22"/>
                <w:szCs w:val="22"/>
                <w:highlight w:val="none"/>
                <w:shd w:val="clear" w:color="auto" w:fill="auto"/>
                <w:lang w:eastAsia="zh-CN"/>
              </w:rPr>
              <w:t>折扣</w:t>
            </w:r>
            <w:r>
              <w:rPr>
                <w:rFonts w:hint="eastAsia" w:ascii="宋体" w:hAnsi="宋体" w:cs="宋体"/>
                <w:b/>
                <w:bCs w:val="0"/>
                <w:color w:val="auto"/>
                <w:sz w:val="22"/>
                <w:szCs w:val="22"/>
                <w:highlight w:val="none"/>
                <w:shd w:val="clear" w:color="auto" w:fill="auto"/>
                <w:lang w:val="en-US" w:eastAsia="zh-CN"/>
              </w:rPr>
              <w:t>90</w:t>
            </w:r>
            <w:r>
              <w:rPr>
                <w:rFonts w:hint="eastAsia" w:ascii="宋体" w:hAnsi="宋体" w:cs="宋体"/>
                <w:b/>
                <w:bCs w:val="0"/>
                <w:color w:val="auto"/>
                <w:sz w:val="22"/>
                <w:szCs w:val="22"/>
                <w:highlight w:val="none"/>
                <w:shd w:val="clear" w:color="auto" w:fill="auto"/>
                <w:lang w:eastAsia="zh-CN"/>
              </w:rPr>
              <w:t>%。</w:t>
            </w:r>
            <w:r>
              <w:rPr>
                <w:rFonts w:hint="eastAsia" w:ascii="宋体" w:hAnsi="宋体" w:eastAsia="宋体" w:cs="宋体"/>
                <w:b/>
                <w:bCs w:val="0"/>
                <w:color w:val="auto"/>
                <w:sz w:val="22"/>
                <w:szCs w:val="22"/>
                <w:highlight w:val="none"/>
                <w:lang w:val="en-US" w:eastAsia="zh-CN"/>
              </w:rPr>
              <w:t>本次投标以折扣形式报价，最高折扣报价为按《浙江省水利水电工程设计概(预)算编制规定(2021年)》工程建设监理费的收费标准90%（含）计取(工程类型调整系数取0.9，工程复杂程度调整系数取0.85)</w:t>
            </w:r>
            <w:r>
              <w:rPr>
                <w:rFonts w:hint="eastAsia" w:ascii="宋体" w:hAnsi="宋体" w:eastAsia="宋体" w:cs="宋体"/>
                <w:b/>
                <w:bCs w:val="0"/>
                <w:color w:val="auto"/>
                <w:sz w:val="22"/>
                <w:szCs w:val="22"/>
                <w:highlight w:val="none"/>
                <w:lang w:val="zh-CN"/>
              </w:rPr>
              <w:t>。</w:t>
            </w:r>
            <w:r>
              <w:rPr>
                <w:rFonts w:hint="eastAsia" w:ascii="宋体" w:hAnsi="宋体" w:eastAsia="宋体" w:cs="宋体"/>
                <w:b/>
                <w:bCs w:val="0"/>
                <w:color w:val="auto"/>
                <w:sz w:val="22"/>
                <w:szCs w:val="22"/>
                <w:highlight w:val="none"/>
                <w:lang w:val="zh-CN" w:eastAsia="zh-CN"/>
              </w:rPr>
              <w:t>超过最高折扣的作无效标处理。</w:t>
            </w:r>
          </w:p>
          <w:p w14:paraId="59B99912">
            <w:pPr>
              <w:keepNext w:val="0"/>
              <w:keepLines w:val="0"/>
              <w:pageBreakBefore w:val="0"/>
              <w:widowControl w:val="0"/>
              <w:tabs>
                <w:tab w:val="left" w:pos="231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2"/>
                <w:szCs w:val="22"/>
                <w:highlight w:val="none"/>
                <w:lang w:eastAsia="zh-CN"/>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lang w:eastAsia="zh-CN"/>
              </w:rPr>
              <w:t>投标报价包含但不限于完成服务所需的人员费用、食宿费、交通费、通讯费、管理费、保险、税金、利润等为完成项目的所有费用，采购人不再另行支付其他任何形式的费用。</w:t>
            </w:r>
          </w:p>
          <w:p w14:paraId="30031B1D">
            <w:pPr>
              <w:keepNext w:val="0"/>
              <w:keepLines w:val="0"/>
              <w:pageBreakBefore w:val="0"/>
              <w:widowControl w:val="0"/>
              <w:tabs>
                <w:tab w:val="left" w:pos="231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rPr>
              <w:t>不论投标结果如何，</w:t>
            </w:r>
            <w:r>
              <w:rPr>
                <w:rFonts w:hint="eastAsia" w:ascii="宋体" w:hAnsi="宋体" w:eastAsia="宋体" w:cs="宋体"/>
                <w:bCs/>
                <w:color w:val="auto"/>
                <w:sz w:val="22"/>
                <w:szCs w:val="22"/>
                <w:highlight w:val="none"/>
                <w:lang w:eastAsia="zh-CN"/>
              </w:rPr>
              <w:t>供应商</w:t>
            </w:r>
            <w:r>
              <w:rPr>
                <w:rFonts w:hint="eastAsia" w:ascii="宋体" w:hAnsi="宋体" w:eastAsia="宋体" w:cs="宋体"/>
                <w:bCs/>
                <w:color w:val="auto"/>
                <w:sz w:val="22"/>
                <w:szCs w:val="22"/>
                <w:highlight w:val="none"/>
              </w:rPr>
              <w:t>均应自行承担所有与投标有关的全部费用。</w:t>
            </w:r>
          </w:p>
          <w:p w14:paraId="5F84F347">
            <w:pPr>
              <w:keepNext w:val="0"/>
              <w:keepLines w:val="0"/>
              <w:pageBreakBefore w:val="0"/>
              <w:widowControl w:val="0"/>
              <w:tabs>
                <w:tab w:val="left" w:pos="231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项目实施过程中可能发生的风险和费用均由</w:t>
            </w:r>
            <w:r>
              <w:rPr>
                <w:rFonts w:hint="eastAsia" w:ascii="宋体" w:hAnsi="宋体" w:eastAsia="宋体" w:cs="宋体"/>
                <w:bCs/>
                <w:color w:val="auto"/>
                <w:sz w:val="22"/>
                <w:szCs w:val="22"/>
                <w:highlight w:val="none"/>
                <w:lang w:eastAsia="zh-CN"/>
              </w:rPr>
              <w:t>中标供应商</w:t>
            </w:r>
            <w:r>
              <w:rPr>
                <w:rFonts w:hint="eastAsia" w:ascii="宋体" w:hAnsi="宋体" w:eastAsia="宋体" w:cs="宋体"/>
                <w:bCs/>
                <w:color w:val="auto"/>
                <w:sz w:val="22"/>
                <w:szCs w:val="22"/>
                <w:highlight w:val="none"/>
              </w:rPr>
              <w:t>承担。</w:t>
            </w:r>
          </w:p>
        </w:tc>
      </w:tr>
      <w:tr w14:paraId="71794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17C569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38F0DC2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投标保证金：无</w:t>
            </w:r>
          </w:p>
        </w:tc>
      </w:tr>
      <w:tr w14:paraId="42986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6886D0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615883A2">
            <w:pPr>
              <w:keepNext w:val="0"/>
              <w:keepLines w:val="0"/>
              <w:pageBreakBefore w:val="0"/>
              <w:widowControl w:val="0"/>
              <w:tabs>
                <w:tab w:val="left" w:pos="231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现场踏勘：本项目不统一组织现场勘察，投标人可自行对本项目现场和周围环境进行勘察。勘察现场所发生的费用由投标人自己承担。不论何种原因所造成，在勘察过程中，投标人自行对由此次踏勘现场而造成的死亡、人身伤害、财产损失、损害以及任何其它损失、损害和引起的费用和开支承担责任。</w:t>
            </w:r>
          </w:p>
        </w:tc>
      </w:tr>
      <w:tr w14:paraId="0D7C2E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2254DF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736804B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演示时间及地点：无。</w:t>
            </w:r>
          </w:p>
        </w:tc>
      </w:tr>
      <w:tr w14:paraId="61ED6E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13DF5C54">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42EE378B">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投标文件组成与份数：</w:t>
            </w:r>
          </w:p>
          <w:p w14:paraId="4758262C">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本项目实行网上投标，供应商</w:t>
            </w:r>
            <w:r>
              <w:rPr>
                <w:rFonts w:hint="eastAsia" w:ascii="宋体" w:hAnsi="宋体" w:eastAsia="宋体" w:cs="宋体"/>
                <w:color w:val="auto"/>
                <w:sz w:val="22"/>
                <w:szCs w:val="22"/>
                <w:highlight w:val="none"/>
                <w:lang w:val="en-US" w:eastAsia="zh-CN"/>
              </w:rPr>
              <w:t>可</w:t>
            </w:r>
            <w:r>
              <w:rPr>
                <w:rFonts w:hint="eastAsia" w:ascii="宋体" w:hAnsi="宋体" w:eastAsia="宋体" w:cs="宋体"/>
                <w:color w:val="auto"/>
                <w:sz w:val="22"/>
                <w:szCs w:val="22"/>
                <w:highlight w:val="none"/>
              </w:rPr>
              <w:t>准备以下投标文件：</w:t>
            </w:r>
          </w:p>
          <w:p w14:paraId="30B58CD4">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（1）供应商于“政采云”上传电子投标文件（含</w:t>
            </w:r>
            <w:r>
              <w:rPr>
                <w:rFonts w:hint="eastAsia" w:ascii="宋体" w:hAnsi="宋体" w:eastAsia="宋体" w:cs="宋体"/>
                <w:color w:val="auto"/>
                <w:sz w:val="22"/>
                <w:szCs w:val="22"/>
                <w:highlight w:val="none"/>
                <w:lang w:eastAsia="zh-CN"/>
              </w:rPr>
              <w:t>技术商务文件</w:t>
            </w:r>
            <w:r>
              <w:rPr>
                <w:rFonts w:hint="eastAsia" w:ascii="宋体" w:hAnsi="宋体" w:eastAsia="宋体" w:cs="宋体"/>
                <w:color w:val="auto"/>
                <w:sz w:val="22"/>
                <w:szCs w:val="22"/>
                <w:highlight w:val="none"/>
              </w:rPr>
              <w:t>、报价文件、资格证明文件）。</w:t>
            </w:r>
          </w:p>
          <w:p w14:paraId="7289CF0D">
            <w:pPr>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（2）以U盘</w:t>
            </w:r>
            <w:r>
              <w:rPr>
                <w:rFonts w:hint="eastAsia" w:ascii="宋体" w:hAnsi="宋体" w:eastAsia="宋体" w:cs="宋体"/>
                <w:color w:val="auto"/>
                <w:sz w:val="22"/>
                <w:szCs w:val="22"/>
                <w:highlight w:val="none"/>
                <w:lang w:val="en-US" w:eastAsia="zh-CN"/>
              </w:rPr>
              <w:t>或光盘</w:t>
            </w:r>
            <w:r>
              <w:rPr>
                <w:rFonts w:hint="eastAsia" w:ascii="宋体" w:hAnsi="宋体" w:eastAsia="宋体" w:cs="宋体"/>
                <w:color w:val="auto"/>
                <w:sz w:val="22"/>
                <w:szCs w:val="22"/>
                <w:highlight w:val="none"/>
              </w:rPr>
              <w:t>等介质存储的数据电文形式提供的备份电子投标文件（含</w:t>
            </w:r>
            <w:r>
              <w:rPr>
                <w:rFonts w:hint="eastAsia" w:ascii="宋体" w:hAnsi="宋体" w:eastAsia="宋体" w:cs="宋体"/>
                <w:color w:val="auto"/>
                <w:sz w:val="22"/>
                <w:szCs w:val="22"/>
                <w:highlight w:val="none"/>
                <w:lang w:eastAsia="zh-CN"/>
              </w:rPr>
              <w:t>技术商务文件</w:t>
            </w:r>
            <w:r>
              <w:rPr>
                <w:rFonts w:hint="eastAsia" w:ascii="宋体" w:hAnsi="宋体" w:eastAsia="宋体" w:cs="宋体"/>
                <w:color w:val="auto"/>
                <w:sz w:val="22"/>
                <w:szCs w:val="22"/>
                <w:highlight w:val="none"/>
              </w:rPr>
              <w:t>、报价文件、资格证明文件）1份。</w:t>
            </w:r>
            <w:r>
              <w:rPr>
                <w:rFonts w:hint="eastAsia" w:ascii="宋体" w:hAnsi="宋体" w:eastAsia="宋体" w:cs="宋体"/>
                <w:color w:val="auto"/>
                <w:sz w:val="22"/>
                <w:szCs w:val="22"/>
                <w:highlight w:val="none"/>
                <w:lang w:eastAsia="zh-CN"/>
              </w:rPr>
              <w:t>（注：备份电子投标文件不作实质性要求，是否提交由供应商自行决定。）</w:t>
            </w:r>
          </w:p>
          <w:p w14:paraId="46EB3995">
            <w:pPr>
              <w:keepNext w:val="0"/>
              <w:keepLines w:val="0"/>
              <w:pageBreakBefore w:val="0"/>
              <w:widowControl w:val="0"/>
              <w:kinsoku/>
              <w:wordWrap/>
              <w:overflowPunct/>
              <w:topLinePunct w:val="0"/>
              <w:autoSpaceDE w:val="0"/>
              <w:autoSpaceDN w:val="0"/>
              <w:bidi w:val="0"/>
              <w:adjustRightInd/>
              <w:snapToGrid w:val="0"/>
              <w:spacing w:before="157" w:beforeLines="50" w:line="36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中标人中标后提供</w:t>
            </w:r>
            <w:r>
              <w:rPr>
                <w:rFonts w:hint="eastAsia" w:ascii="宋体" w:hAnsi="宋体" w:eastAsia="宋体" w:cs="宋体"/>
                <w:color w:val="auto"/>
                <w:sz w:val="22"/>
                <w:szCs w:val="22"/>
                <w:highlight w:val="none"/>
              </w:rPr>
              <w:t>纸质投标文件：报价文件、</w:t>
            </w:r>
            <w:r>
              <w:rPr>
                <w:rFonts w:hint="eastAsia" w:ascii="宋体" w:hAnsi="宋体" w:eastAsia="宋体" w:cs="宋体"/>
                <w:color w:val="auto"/>
                <w:sz w:val="22"/>
                <w:szCs w:val="22"/>
                <w:highlight w:val="none"/>
                <w:lang w:eastAsia="zh-CN"/>
              </w:rPr>
              <w:t>技术商务文件</w:t>
            </w:r>
            <w:r>
              <w:rPr>
                <w:rFonts w:hint="eastAsia" w:ascii="宋体" w:hAnsi="宋体" w:eastAsia="宋体" w:cs="宋体"/>
                <w:color w:val="auto"/>
                <w:sz w:val="22"/>
                <w:szCs w:val="22"/>
                <w:highlight w:val="none"/>
              </w:rPr>
              <w:t>、资格证明文件各</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份。</w:t>
            </w:r>
          </w:p>
        </w:tc>
      </w:tr>
      <w:tr w14:paraId="71B2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6B68B85B">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1A6AB7F4">
            <w:pPr>
              <w:keepNext w:val="0"/>
              <w:keepLines w:val="0"/>
              <w:pageBreakBefore w:val="0"/>
              <w:kinsoku/>
              <w:wordWrap/>
              <w:overflowPunct/>
              <w:topLinePunct w:val="0"/>
              <w:autoSpaceDE w:val="0"/>
              <w:autoSpaceDN w:val="0"/>
              <w:bidi w:val="0"/>
              <w:adjustRightInd/>
              <w:snapToGrid w:val="0"/>
              <w:spacing w:line="24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投标截止时间及地点：详见招标公告</w:t>
            </w:r>
          </w:p>
        </w:tc>
      </w:tr>
      <w:tr w14:paraId="730A0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2E744294">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725CD2CB">
            <w:pPr>
              <w:keepNext w:val="0"/>
              <w:keepLines w:val="0"/>
              <w:pageBreakBefore w:val="0"/>
              <w:kinsoku/>
              <w:wordWrap/>
              <w:overflowPunct/>
              <w:topLinePunct w:val="0"/>
              <w:autoSpaceDE w:val="0"/>
              <w:autoSpaceDN w:val="0"/>
              <w:bidi w:val="0"/>
              <w:adjustRightInd/>
              <w:snapToGrid w:val="0"/>
              <w:spacing w:line="24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开标时间及地点：详见招标公告</w:t>
            </w:r>
          </w:p>
        </w:tc>
      </w:tr>
      <w:tr w14:paraId="0DDD13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650D9FA9">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43A65E2E">
            <w:pPr>
              <w:keepNext w:val="0"/>
              <w:keepLines w:val="0"/>
              <w:pageBreakBefore w:val="0"/>
              <w:kinsoku/>
              <w:wordWrap/>
              <w:overflowPunct/>
              <w:topLinePunct w:val="0"/>
              <w:autoSpaceDE w:val="0"/>
              <w:autoSpaceDN w:val="0"/>
              <w:bidi w:val="0"/>
              <w:adjustRightInd/>
              <w:snapToGrid w:val="0"/>
              <w:spacing w:line="24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评标办法及评分标准：详见第四章 评标办法及评分标准。</w:t>
            </w:r>
          </w:p>
        </w:tc>
      </w:tr>
      <w:tr w14:paraId="7DEA9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7378E243">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0C640C03">
            <w:pPr>
              <w:keepNext w:val="0"/>
              <w:keepLines w:val="0"/>
              <w:pageBreakBefore w:val="0"/>
              <w:kinsoku/>
              <w:wordWrap/>
              <w:overflowPunct/>
              <w:topLinePunct w:val="0"/>
              <w:autoSpaceDE w:val="0"/>
              <w:autoSpaceDN w:val="0"/>
              <w:bidi w:val="0"/>
              <w:adjustRightInd/>
              <w:snapToGrid w:val="0"/>
              <w:spacing w:line="24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评标结果公告</w:t>
            </w:r>
            <w:r>
              <w:rPr>
                <w:rFonts w:hint="eastAsia" w:ascii="宋体" w:hAnsi="宋体" w:eastAsia="宋体" w:cs="宋体"/>
                <w:color w:val="auto"/>
                <w:sz w:val="22"/>
                <w:szCs w:val="22"/>
                <w:highlight w:val="none"/>
                <w:lang w:val="en-US" w:eastAsia="zh-CN"/>
              </w:rPr>
              <w:t>媒体</w:t>
            </w:r>
            <w:r>
              <w:rPr>
                <w:rFonts w:hint="eastAsia" w:ascii="宋体" w:hAnsi="宋体" w:eastAsia="宋体" w:cs="宋体"/>
                <w:color w:val="auto"/>
                <w:sz w:val="22"/>
                <w:szCs w:val="22"/>
                <w:highlight w:val="none"/>
              </w:rPr>
              <w:t>：“浙江政府采购网”、“宁波市公共资源交易电子服务系统”。</w:t>
            </w:r>
          </w:p>
        </w:tc>
      </w:tr>
      <w:tr w14:paraId="66723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40958016">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4828843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付款方式：</w:t>
            </w:r>
            <w:r>
              <w:rPr>
                <w:rFonts w:hint="eastAsia" w:ascii="宋体" w:hAnsi="宋体" w:eastAsia="宋体" w:cs="宋体"/>
                <w:color w:val="auto"/>
                <w:sz w:val="22"/>
                <w:szCs w:val="22"/>
                <w:highlight w:val="none"/>
                <w:lang w:val="en-US" w:eastAsia="zh-CN"/>
              </w:rPr>
              <w:t>详见 第二章  采购需求商务要求。</w:t>
            </w:r>
          </w:p>
        </w:tc>
      </w:tr>
      <w:tr w14:paraId="1FDFF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4AD5E8F0">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6A4FD69B">
            <w:pPr>
              <w:keepNext w:val="0"/>
              <w:keepLines w:val="0"/>
              <w:pageBreakBefore w:val="0"/>
              <w:wordWrap/>
              <w:topLinePunct w:val="0"/>
              <w:autoSpaceDE w:val="0"/>
              <w:autoSpaceDN w:val="0"/>
              <w:bidi w:val="0"/>
              <w:snapToGrid w:val="0"/>
              <w:spacing w:line="240" w:lineRule="auto"/>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签订合同时间：中标通知书发出后30日内。</w:t>
            </w:r>
          </w:p>
        </w:tc>
      </w:tr>
      <w:tr w14:paraId="5F5C8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571D9012">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43C1039D">
            <w:pPr>
              <w:pStyle w:val="28"/>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履约保证金：</w:t>
            </w:r>
            <w:r>
              <w:rPr>
                <w:rFonts w:hint="eastAsia" w:ascii="宋体" w:hAnsi="宋体" w:eastAsia="宋体" w:cs="宋体"/>
                <w:bCs/>
                <w:color w:val="auto"/>
                <w:kern w:val="2"/>
                <w:sz w:val="22"/>
                <w:szCs w:val="22"/>
                <w:highlight w:val="none"/>
                <w:lang w:val="en-US" w:eastAsia="zh-CN"/>
              </w:rPr>
              <w:t>合同价的</w:t>
            </w:r>
            <w:r>
              <w:rPr>
                <w:rFonts w:hint="eastAsia" w:ascii="宋体" w:hAnsi="宋体" w:cs="宋体"/>
                <w:bCs/>
                <w:color w:val="auto"/>
                <w:kern w:val="2"/>
                <w:sz w:val="22"/>
                <w:szCs w:val="22"/>
                <w:highlight w:val="none"/>
                <w:lang w:val="en-US" w:eastAsia="zh-CN"/>
              </w:rPr>
              <w:t>0.5</w:t>
            </w:r>
            <w:r>
              <w:rPr>
                <w:rFonts w:hint="eastAsia" w:ascii="宋体" w:hAnsi="宋体" w:eastAsia="宋体" w:cs="宋体"/>
                <w:bCs/>
                <w:color w:val="auto"/>
                <w:kern w:val="2"/>
                <w:sz w:val="22"/>
                <w:szCs w:val="22"/>
                <w:highlight w:val="none"/>
                <w:lang w:val="en-US" w:eastAsia="zh-CN"/>
              </w:rPr>
              <w:t>%</w:t>
            </w:r>
            <w:r>
              <w:rPr>
                <w:rFonts w:hint="eastAsia" w:ascii="宋体" w:hAnsi="宋体" w:eastAsia="宋体" w:cs="宋体"/>
                <w:bCs/>
                <w:color w:val="auto"/>
                <w:kern w:val="2"/>
                <w:sz w:val="22"/>
                <w:szCs w:val="22"/>
                <w:highlight w:val="none"/>
              </w:rPr>
              <w:t>。</w:t>
            </w:r>
          </w:p>
          <w:p w14:paraId="19231CD5">
            <w:pPr>
              <w:pStyle w:val="28"/>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 xml:space="preserve">履约保证金形式：支票、汇票、本票或者金融机构、担保机构出具的保函等非现金形式。 </w:t>
            </w:r>
          </w:p>
          <w:p w14:paraId="43F2EA2A">
            <w:pPr>
              <w:pStyle w:val="28"/>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履约保证金收取：在合同签订后</w:t>
            </w:r>
            <w:r>
              <w:rPr>
                <w:rFonts w:hint="eastAsia" w:ascii="宋体" w:hAnsi="宋体" w:cs="宋体"/>
                <w:bCs/>
                <w:color w:val="auto"/>
                <w:kern w:val="2"/>
                <w:sz w:val="22"/>
                <w:szCs w:val="22"/>
                <w:highlight w:val="none"/>
                <w:lang w:val="en-US" w:eastAsia="zh-CN"/>
              </w:rPr>
              <w:t>7</w:t>
            </w:r>
            <w:r>
              <w:rPr>
                <w:rFonts w:hint="eastAsia" w:ascii="宋体" w:hAnsi="宋体" w:eastAsia="宋体" w:cs="宋体"/>
                <w:bCs/>
                <w:color w:val="auto"/>
                <w:kern w:val="2"/>
                <w:sz w:val="22"/>
                <w:szCs w:val="22"/>
                <w:highlight w:val="none"/>
              </w:rPr>
              <w:t>个工作日内提交。</w:t>
            </w:r>
          </w:p>
          <w:p w14:paraId="0F25705A">
            <w:pPr>
              <w:pStyle w:val="28"/>
              <w:keepNext w:val="0"/>
              <w:keepLines w:val="0"/>
              <w:pageBreakBefore w:val="0"/>
              <w:widowControl w:val="0"/>
              <w:kinsoku w:val="0"/>
              <w:wordWrap/>
              <w:overflowPunct w:val="0"/>
              <w:topLinePunct w:val="0"/>
              <w:autoSpaceDE w:val="0"/>
              <w:autoSpaceDN w:val="0"/>
              <w:bidi w:val="0"/>
              <w:adjustRightInd w:val="0"/>
              <w:snapToGrid/>
              <w:spacing w:line="360" w:lineRule="auto"/>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rPr>
              <w:t>履约保证金退还：</w:t>
            </w:r>
            <w:r>
              <w:rPr>
                <w:rFonts w:hint="eastAsia" w:ascii="宋体" w:hAnsi="宋体" w:eastAsia="宋体" w:cs="宋体"/>
                <w:bCs/>
                <w:color w:val="auto"/>
                <w:sz w:val="22"/>
                <w:szCs w:val="22"/>
                <w:highlight w:val="none"/>
                <w:lang w:val="en-US" w:eastAsia="zh-CN"/>
              </w:rPr>
              <w:t>项目</w:t>
            </w:r>
            <w:r>
              <w:rPr>
                <w:rFonts w:hint="eastAsia" w:ascii="宋体" w:hAnsi="宋体" w:cs="宋体"/>
                <w:bCs/>
                <w:color w:val="auto"/>
                <w:sz w:val="22"/>
                <w:szCs w:val="22"/>
                <w:highlight w:val="none"/>
                <w:lang w:val="en-US" w:eastAsia="zh-CN"/>
              </w:rPr>
              <w:t>全部</w:t>
            </w:r>
            <w:r>
              <w:rPr>
                <w:rFonts w:hint="eastAsia" w:ascii="宋体" w:hAnsi="宋体" w:eastAsia="宋体" w:cs="宋体"/>
                <w:bCs/>
                <w:color w:val="auto"/>
                <w:sz w:val="22"/>
                <w:szCs w:val="22"/>
                <w:highlight w:val="none"/>
                <w:lang w:val="en-US" w:eastAsia="zh-CN"/>
              </w:rPr>
              <w:t>验收合格后十日内退还。但如</w:t>
            </w:r>
            <w:r>
              <w:rPr>
                <w:rFonts w:hint="eastAsia" w:ascii="宋体" w:hAnsi="宋体" w:cs="宋体"/>
                <w:bCs/>
                <w:color w:val="auto"/>
                <w:sz w:val="22"/>
                <w:szCs w:val="22"/>
                <w:highlight w:val="none"/>
                <w:lang w:val="en-US" w:eastAsia="zh-CN"/>
              </w:rPr>
              <w:t>中标供应商</w:t>
            </w:r>
            <w:r>
              <w:rPr>
                <w:rFonts w:hint="eastAsia" w:ascii="宋体" w:hAnsi="宋体" w:eastAsia="宋体" w:cs="宋体"/>
                <w:bCs/>
                <w:color w:val="auto"/>
                <w:sz w:val="22"/>
                <w:szCs w:val="22"/>
                <w:highlight w:val="none"/>
                <w:lang w:val="en-US" w:eastAsia="zh-CN"/>
              </w:rPr>
              <w:t>未履行或未完全履行合同规定的任何义务，给采购人造成损失的，采购人有权在其提交的履约保证金中获得相应赔偿，不足部分采购人有权继续向</w:t>
            </w:r>
            <w:r>
              <w:rPr>
                <w:rFonts w:hint="eastAsia" w:ascii="宋体" w:hAnsi="宋体" w:cs="宋体"/>
                <w:bCs/>
                <w:color w:val="auto"/>
                <w:sz w:val="22"/>
                <w:szCs w:val="22"/>
                <w:highlight w:val="none"/>
                <w:lang w:val="en-US" w:eastAsia="zh-CN"/>
              </w:rPr>
              <w:t>中标供应商</w:t>
            </w:r>
            <w:r>
              <w:rPr>
                <w:rFonts w:hint="eastAsia" w:ascii="宋体" w:hAnsi="宋体" w:eastAsia="宋体" w:cs="宋体"/>
                <w:bCs/>
                <w:color w:val="auto"/>
                <w:sz w:val="22"/>
                <w:szCs w:val="22"/>
                <w:highlight w:val="none"/>
                <w:lang w:val="en-US" w:eastAsia="zh-CN"/>
              </w:rPr>
              <w:t>追偿。</w:t>
            </w:r>
          </w:p>
        </w:tc>
      </w:tr>
      <w:tr w14:paraId="4DEF5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37114C6E">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46A8BCEB">
            <w:pPr>
              <w:keepNext w:val="0"/>
              <w:keepLines w:val="0"/>
              <w:pageBreakBefore w:val="0"/>
              <w:wordWrap/>
              <w:topLinePunct w:val="0"/>
              <w:autoSpaceDE w:val="0"/>
              <w:autoSpaceDN w:val="0"/>
              <w:bidi w:val="0"/>
              <w:snapToGrid w:val="0"/>
              <w:spacing w:line="240" w:lineRule="auto"/>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采购资金来源：财政预算</w:t>
            </w:r>
          </w:p>
        </w:tc>
      </w:tr>
      <w:tr w14:paraId="30F37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660E3D89">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7D1F4CB4">
            <w:pPr>
              <w:keepNext w:val="0"/>
              <w:keepLines w:val="0"/>
              <w:pageBreakBefore w:val="0"/>
              <w:wordWrap/>
              <w:topLinePunct w:val="0"/>
              <w:bidi w:val="0"/>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投标文件有效期：投标截止日起</w:t>
            </w:r>
            <w:r>
              <w:rPr>
                <w:rFonts w:hint="eastAsia" w:ascii="宋体" w:hAnsi="宋体" w:eastAsia="宋体" w:cs="宋体"/>
                <w:color w:val="auto"/>
                <w:sz w:val="22"/>
                <w:szCs w:val="22"/>
                <w:highlight w:val="none"/>
                <w:u w:val="single"/>
              </w:rPr>
              <w:t>90</w:t>
            </w:r>
            <w:r>
              <w:rPr>
                <w:rFonts w:hint="eastAsia" w:ascii="宋体" w:hAnsi="宋体" w:eastAsia="宋体" w:cs="宋体"/>
                <w:color w:val="auto"/>
                <w:sz w:val="22"/>
                <w:szCs w:val="22"/>
                <w:highlight w:val="none"/>
              </w:rPr>
              <w:t>天。</w:t>
            </w:r>
          </w:p>
        </w:tc>
      </w:tr>
      <w:tr w14:paraId="19897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63F78B98">
            <w:pPr>
              <w:snapToGrid w:val="0"/>
              <w:spacing w:line="44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0910418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招标代理服务费：</w:t>
            </w:r>
          </w:p>
          <w:p w14:paraId="59F3609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1、招标代理服务费根据《宁波市招标（采购）代理服务收费标准指引》服务类计算，以中标价作为计费基数下浮20%向中标人收取招标代理费。专家评审费由委托人支付。</w:t>
            </w:r>
          </w:p>
          <w:p w14:paraId="0E30AFF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2、中标人应在接到代理机构通知之日起5个工作日之内向采购代理机构支付招标服务费。</w:t>
            </w:r>
          </w:p>
        </w:tc>
      </w:tr>
      <w:tr w14:paraId="2C16C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single" w:color="auto" w:sz="4" w:space="0"/>
              <w:right w:val="single" w:color="auto" w:sz="4" w:space="0"/>
            </w:tcBorders>
            <w:noWrap w:val="0"/>
            <w:vAlign w:val="center"/>
          </w:tcPr>
          <w:p w14:paraId="1CE3F3FD">
            <w:pPr>
              <w:snapToGrid w:val="0"/>
              <w:spacing w:line="44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18</w:t>
            </w:r>
          </w:p>
        </w:tc>
        <w:tc>
          <w:tcPr>
            <w:tcW w:w="8776" w:type="dxa"/>
            <w:tcBorders>
              <w:top w:val="single" w:color="auto" w:sz="4" w:space="0"/>
              <w:left w:val="single" w:color="auto" w:sz="4" w:space="0"/>
              <w:bottom w:val="single" w:color="auto" w:sz="4" w:space="0"/>
              <w:right w:val="double" w:color="auto" w:sz="4" w:space="0"/>
            </w:tcBorders>
            <w:noWrap w:val="0"/>
            <w:vAlign w:val="center"/>
          </w:tcPr>
          <w:p w14:paraId="2F829EB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报价文件出现下列情形之一的，评审委员会应当启动异常低价投标（响应）审查程序：</w:t>
            </w:r>
          </w:p>
          <w:p w14:paraId="5A0D8BB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1.投标（响应）报价低于全部通过符合性审查供应商投标（响应）报价平均值50%的，即投标（响应）报价&lt;全部通过符合性审查供应商投标（响应）报价平均值×50%； </w:t>
            </w:r>
          </w:p>
          <w:p w14:paraId="2518012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2.投标（响应）报价低于通过符合性审查的次低报价供应商投标（响应）报价50%的，即投标（响应）报价&lt;通过符合性审查的次低报价供应商投标（响应）报价×50%； </w:t>
            </w:r>
          </w:p>
          <w:p w14:paraId="22EA9B6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3.投标（响应）报价低于采购项目最高限价45%的，即投标（响应）报价&lt;采购项目最高限价×45%；</w:t>
            </w:r>
          </w:p>
          <w:p w14:paraId="0E63890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4.评审委员会基于专业判断，认为供应商报价过低，有可能影响产品质量或者不能诚信履约的其他情形。</w:t>
            </w:r>
          </w:p>
          <w:p w14:paraId="76C2085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为30分钟。</w:t>
            </w:r>
            <w:r>
              <w:rPr>
                <w:rFonts w:hint="eastAsia" w:ascii="宋体" w:hAnsi="宋体" w:eastAsia="宋体" w:cs="宋体"/>
                <w:b/>
                <w:bCs/>
                <w:color w:val="auto"/>
                <w:kern w:val="2"/>
                <w:sz w:val="22"/>
                <w:szCs w:val="22"/>
                <w:highlight w:val="none"/>
                <w:lang w:val="en-US" w:eastAsia="zh-CN" w:bidi="ar-SA"/>
              </w:rPr>
              <w:t>其中，属于第3项情形，供应商应当随投标（响应）文件一并提交相关书面说明及必要的证明材料，在评审现场可不再重复提交。</w:t>
            </w:r>
          </w:p>
        </w:tc>
      </w:tr>
      <w:tr w14:paraId="5438E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2" w:type="dxa"/>
            <w:tcBorders>
              <w:top w:val="single" w:color="auto" w:sz="4" w:space="0"/>
              <w:left w:val="double" w:color="auto" w:sz="4" w:space="0"/>
              <w:bottom w:val="double" w:color="auto" w:sz="4" w:space="0"/>
              <w:right w:val="single" w:color="auto" w:sz="4" w:space="0"/>
            </w:tcBorders>
            <w:noWrap w:val="0"/>
            <w:vAlign w:val="center"/>
          </w:tcPr>
          <w:p w14:paraId="5CE714EE">
            <w:pPr>
              <w:snapToGrid w:val="0"/>
              <w:spacing w:line="440" w:lineRule="exact"/>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19</w:t>
            </w:r>
          </w:p>
        </w:tc>
        <w:tc>
          <w:tcPr>
            <w:tcW w:w="8776" w:type="dxa"/>
            <w:tcBorders>
              <w:top w:val="single" w:color="auto" w:sz="4" w:space="0"/>
              <w:left w:val="single" w:color="auto" w:sz="4" w:space="0"/>
              <w:bottom w:val="double" w:color="auto" w:sz="4" w:space="0"/>
              <w:right w:val="double" w:color="auto" w:sz="4" w:space="0"/>
            </w:tcBorders>
            <w:noWrap w:val="0"/>
            <w:vAlign w:val="center"/>
          </w:tcPr>
          <w:p w14:paraId="241E865A">
            <w:pPr>
              <w:keepNext w:val="0"/>
              <w:keepLines w:val="0"/>
              <w:pageBreakBefore w:val="0"/>
              <w:wordWrap/>
              <w:topLinePunct w:val="0"/>
              <w:bidi w:val="0"/>
              <w:snapToGrid w:val="0"/>
              <w:spacing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解释：本招标文件的解释权属于招标采购单位。</w:t>
            </w:r>
          </w:p>
        </w:tc>
      </w:tr>
    </w:tbl>
    <w:p w14:paraId="4EC74F5F">
      <w:pPr>
        <w:pStyle w:val="3"/>
        <w:keepNext w:val="0"/>
        <w:keepLines w:val="0"/>
        <w:pageBreakBefore w:val="0"/>
        <w:kinsoku/>
        <w:wordWrap/>
        <w:overflowPunct/>
        <w:topLinePunct w:val="0"/>
        <w:autoSpaceDE/>
        <w:autoSpaceDN/>
        <w:bidi w:val="0"/>
        <w:snapToGrid w:val="0"/>
        <w:spacing w:line="440" w:lineRule="exact"/>
        <w:ind w:left="0" w:leftChars="0" w:right="0" w:rightChars="0" w:firstLine="0" w:firstLineChars="0"/>
        <w:textAlignment w:val="auto"/>
        <w:outlineLvl w:val="9"/>
        <w:rPr>
          <w:rFonts w:hint="eastAsia" w:ascii="宋体" w:hAnsi="宋体" w:eastAsia="宋体" w:cs="宋体"/>
          <w:b/>
          <w:color w:val="auto"/>
          <w:sz w:val="22"/>
          <w:szCs w:val="22"/>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2"/>
          <w:szCs w:val="22"/>
          <w:highlight w:val="none"/>
        </w:rPr>
        <w:t>一、总  则</w:t>
      </w:r>
    </w:p>
    <w:p w14:paraId="0E7C0E51">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 适用范围</w:t>
      </w:r>
    </w:p>
    <w:p w14:paraId="1C3C352E">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本招标文件适用于本项目的招标、投标、评标、定标、验收、合同履约、付款等行为（法律、法规另有规定的，从其规定）。</w:t>
      </w:r>
    </w:p>
    <w:p w14:paraId="064699BA">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（二）定义</w:t>
      </w:r>
    </w:p>
    <w:p w14:paraId="6952FFE2">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1、招标采购单位系指组织本次招标的代理机构和采购单位。</w:t>
      </w:r>
    </w:p>
    <w:p w14:paraId="1B3FA661">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2、“投标人”系指向招标方提交投标文件的单位或个人。</w:t>
      </w:r>
    </w:p>
    <w:p w14:paraId="5CAD348E">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、“服务”系指招标文件规定投标人须承担的本项目招标文件要求的一切服务内容。</w:t>
      </w:r>
    </w:p>
    <w:p w14:paraId="5786DBB9">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、“项目”系指投标人按招标文件规定向采购人提供的产品和服务。</w:t>
      </w:r>
    </w:p>
    <w:p w14:paraId="2065F93D">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、“书面形式”包括信函、传真、电报等。</w:t>
      </w:r>
    </w:p>
    <w:p w14:paraId="6F79F46F">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”系指实质性要求条款。</w:t>
      </w:r>
    </w:p>
    <w:p w14:paraId="142D40FD">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（三）招标方式</w:t>
      </w:r>
    </w:p>
    <w:p w14:paraId="1E8209E2">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本次招标采用公开招标方式进行。</w:t>
      </w:r>
    </w:p>
    <w:p w14:paraId="7CB0033C">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（四）投标委托</w:t>
      </w:r>
    </w:p>
    <w:p w14:paraId="6893A5D1">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1、投标文件的签署人应当为投标人的法定代表人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负责人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或其授权的代表。投标文件的签署人为投标人的法定代表人时，投标文件中必须提供法定代表人身份证正反面复印件；投标文件的签署人非投标人的法定代表人时，投标文件中必须提供投标人的法定代表人出具的授权委托书及法定代表人授权代表的身份证正反面复印件。</w:t>
      </w:r>
    </w:p>
    <w:p w14:paraId="02AFF49E">
      <w:pPr>
        <w:pStyle w:val="3"/>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b w:val="0"/>
          <w:bCs w:val="0"/>
          <w:color w:val="auto"/>
          <w:spacing w:val="0"/>
          <w:sz w:val="22"/>
          <w:szCs w:val="22"/>
          <w:highlight w:val="none"/>
        </w:rPr>
      </w:pPr>
      <w:r>
        <w:rPr>
          <w:rFonts w:hint="eastAsia" w:ascii="宋体" w:hAnsi="宋体" w:eastAsia="宋体" w:cs="宋体"/>
          <w:b w:val="0"/>
          <w:bCs w:val="0"/>
          <w:color w:val="auto"/>
          <w:spacing w:val="0"/>
          <w:sz w:val="22"/>
          <w:szCs w:val="22"/>
          <w:highlight w:val="none"/>
        </w:rPr>
        <w:t>2、银行、保险、石油石化、电力、电信、移动、联通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政府采购活动。</w:t>
      </w:r>
    </w:p>
    <w:p w14:paraId="0A4FFAD3">
      <w:pPr>
        <w:pStyle w:val="3"/>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pacing w:val="0"/>
          <w:sz w:val="22"/>
          <w:szCs w:val="22"/>
          <w:highlight w:val="none"/>
        </w:rPr>
      </w:pPr>
      <w:r>
        <w:rPr>
          <w:rFonts w:hint="eastAsia" w:ascii="宋体" w:hAnsi="宋体" w:eastAsia="宋体" w:cs="宋体"/>
          <w:b w:val="0"/>
          <w:bCs w:val="0"/>
          <w:color w:val="auto"/>
          <w:spacing w:val="0"/>
          <w:sz w:val="22"/>
          <w:szCs w:val="22"/>
          <w:highlight w:val="none"/>
        </w:rPr>
        <w:t>上述单位参加政府采购活动时，应提供该单位负责人签署的相关文件材料（合伙企业由全</w:t>
      </w:r>
      <w:r>
        <w:rPr>
          <w:rFonts w:hint="eastAsia" w:ascii="宋体" w:hAnsi="宋体" w:eastAsia="宋体" w:cs="宋体"/>
          <w:color w:val="auto"/>
          <w:spacing w:val="0"/>
          <w:sz w:val="22"/>
          <w:szCs w:val="22"/>
          <w:highlight w:val="none"/>
        </w:rPr>
        <w:t>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p w14:paraId="5B18DC36">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（五）投标费用</w:t>
      </w:r>
    </w:p>
    <w:p w14:paraId="302D39CD">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不论投标结果如何，投标人均应自行承担所有与投标有关的全部费用。</w:t>
      </w:r>
    </w:p>
    <w:p w14:paraId="557F8C06">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（六）联合体投标</w:t>
      </w:r>
    </w:p>
    <w:p w14:paraId="685FF9B9">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w:t>
      </w:r>
      <w:r>
        <w:rPr>
          <w:rFonts w:hint="eastAsia" w:ascii="宋体" w:hAnsi="宋体" w:eastAsia="宋体" w:cs="宋体"/>
          <w:color w:val="auto"/>
          <w:sz w:val="22"/>
          <w:szCs w:val="22"/>
          <w:highlight w:val="none"/>
          <w:lang w:eastAsia="zh-CN"/>
        </w:rPr>
        <w:t>不</w:t>
      </w:r>
      <w:r>
        <w:rPr>
          <w:rFonts w:hint="eastAsia" w:ascii="宋体" w:hAnsi="宋体" w:eastAsia="宋体" w:cs="宋体"/>
          <w:color w:val="auto"/>
          <w:sz w:val="22"/>
          <w:szCs w:val="22"/>
          <w:highlight w:val="none"/>
        </w:rPr>
        <w:t>接受联合体投标。</w:t>
      </w:r>
    </w:p>
    <w:p w14:paraId="5CEFFF75">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kern w:val="0"/>
          <w:sz w:val="22"/>
          <w:szCs w:val="22"/>
          <w:highlight w:val="none"/>
        </w:rPr>
      </w:pPr>
      <w:r>
        <w:rPr>
          <w:rFonts w:hint="eastAsia" w:ascii="宋体" w:hAnsi="宋体" w:eastAsia="宋体" w:cs="宋体"/>
          <w:b/>
          <w:color w:val="auto"/>
          <w:sz w:val="22"/>
          <w:szCs w:val="22"/>
          <w:highlight w:val="none"/>
        </w:rPr>
        <w:t>（七）</w:t>
      </w:r>
      <w:r>
        <w:rPr>
          <w:rFonts w:hint="eastAsia" w:ascii="宋体" w:hAnsi="宋体" w:eastAsia="宋体" w:cs="宋体"/>
          <w:b/>
          <w:color w:val="auto"/>
          <w:kern w:val="0"/>
          <w:sz w:val="22"/>
          <w:szCs w:val="22"/>
          <w:highlight w:val="none"/>
        </w:rPr>
        <w:t>转包与分包</w:t>
      </w:r>
    </w:p>
    <w:p w14:paraId="0A790C4C">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1、本项目不允许转包。</w:t>
      </w:r>
    </w:p>
    <w:p w14:paraId="239ACA81">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2、本项目不允许分包。</w:t>
      </w:r>
    </w:p>
    <w:p w14:paraId="685BB274">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（八）特别说明：</w:t>
      </w:r>
    </w:p>
    <w:p w14:paraId="7671E478">
      <w:pPr>
        <w:pStyle w:val="12"/>
        <w:keepNext w:val="0"/>
        <w:keepLines w:val="0"/>
        <w:pageBreakBefore w:val="0"/>
        <w:widowControl w:val="0"/>
        <w:kinsoku/>
        <w:wordWrap/>
        <w:overflowPunct/>
        <w:topLinePunct w:val="0"/>
        <w:autoSpaceDE/>
        <w:autoSpaceDN/>
        <w:bidi w:val="0"/>
        <w:adjustRightInd/>
        <w:snapToGrid w:val="0"/>
        <w:spacing w:before="0"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.投标人应仔细阅读招标文件的所有内容，按照招标文件的要求提交投标文件，并对所提供的全部资料的真实性承担法律责任。</w:t>
      </w:r>
    </w:p>
    <w:p w14:paraId="1B7A6349">
      <w:pPr>
        <w:pStyle w:val="12"/>
        <w:keepNext w:val="0"/>
        <w:keepLines w:val="0"/>
        <w:pageBreakBefore w:val="0"/>
        <w:widowControl w:val="0"/>
        <w:kinsoku/>
        <w:wordWrap/>
        <w:overflowPunct/>
        <w:topLinePunct w:val="0"/>
        <w:autoSpaceDE/>
        <w:autoSpaceDN/>
        <w:bidi w:val="0"/>
        <w:adjustRightInd/>
        <w:snapToGrid w:val="0"/>
        <w:spacing w:before="0" w:line="440" w:lineRule="exact"/>
        <w:ind w:left="0" w:leftChars="0" w:right="0" w:rightChars="0" w:firstLine="440" w:firstLineChars="200"/>
        <w:textAlignment w:val="auto"/>
        <w:rPr>
          <w:rFonts w:hint="eastAsia" w:ascii="宋体" w:hAnsi="宋体" w:eastAsia="宋体" w:cs="宋体"/>
          <w:b/>
          <w:bCs/>
          <w:color w:val="auto"/>
          <w:sz w:val="22"/>
          <w:szCs w:val="22"/>
          <w:highlight w:val="none"/>
        </w:rPr>
      </w:pPr>
      <w:r>
        <w:rPr>
          <w:rFonts w:hint="eastAsia"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.投标人在投标活动中提供任何虚假材料,其投标无效，并报监管部门查处；</w:t>
      </w:r>
      <w:r>
        <w:rPr>
          <w:rFonts w:hint="eastAsia" w:ascii="宋体" w:hAnsi="宋体" w:eastAsia="宋体" w:cs="宋体"/>
          <w:b/>
          <w:bCs/>
          <w:color w:val="auto"/>
          <w:sz w:val="22"/>
          <w:szCs w:val="22"/>
          <w:highlight w:val="none"/>
        </w:rPr>
        <w:t xml:space="preserve"> </w:t>
      </w:r>
    </w:p>
    <w:p w14:paraId="0F49B331">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（九）质疑和投诉</w:t>
      </w:r>
    </w:p>
    <w:p w14:paraId="2E9A72E8">
      <w:pPr>
        <w:pStyle w:val="12"/>
        <w:keepNext w:val="0"/>
        <w:keepLines w:val="0"/>
        <w:pageBreakBefore w:val="0"/>
        <w:widowControl w:val="0"/>
        <w:kinsoku/>
        <w:wordWrap/>
        <w:overflowPunct/>
        <w:topLinePunct w:val="0"/>
        <w:autoSpaceDE/>
        <w:autoSpaceDN/>
        <w:bidi w:val="0"/>
        <w:adjustRightInd/>
        <w:snapToGrid w:val="0"/>
        <w:spacing w:before="0"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shd w:val="clear" w:color="auto" w:fill="FFFFFF"/>
        </w:rPr>
        <w:t>1</w:t>
      </w:r>
      <w:r>
        <w:rPr>
          <w:rFonts w:hint="eastAsia" w:ascii="宋体" w:hAnsi="宋体" w:eastAsia="宋体" w:cs="宋体"/>
          <w:color w:val="auto"/>
          <w:sz w:val="22"/>
          <w:szCs w:val="22"/>
          <w:highlight w:val="none"/>
        </w:rPr>
        <w:t>、供应商认为采购文件、采购过程、中标或者成交结果使自己的权益受到损害的，可以在知道或者应知其权益受到损害之日起7个工作日内，以书面形式向采购人、采购代理机构提出质疑。</w:t>
      </w:r>
    </w:p>
    <w:p w14:paraId="19D18109">
      <w:pPr>
        <w:pStyle w:val="12"/>
        <w:keepNext w:val="0"/>
        <w:keepLines w:val="0"/>
        <w:pageBreakBefore w:val="0"/>
        <w:widowControl w:val="0"/>
        <w:kinsoku/>
        <w:wordWrap/>
        <w:overflowPunct/>
        <w:topLinePunct w:val="0"/>
        <w:autoSpaceDE/>
        <w:autoSpaceDN/>
        <w:bidi w:val="0"/>
        <w:adjustRightInd/>
        <w:snapToGrid w:val="0"/>
        <w:spacing w:before="0"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2、供应商应在法定质疑期内一次性提出针对同一采购程序环节的质疑。</w:t>
      </w:r>
    </w:p>
    <w:p w14:paraId="20512E98">
      <w:pPr>
        <w:pStyle w:val="12"/>
        <w:keepNext w:val="0"/>
        <w:keepLines w:val="0"/>
        <w:pageBreakBefore w:val="0"/>
        <w:widowControl w:val="0"/>
        <w:kinsoku/>
        <w:wordWrap/>
        <w:overflowPunct/>
        <w:topLinePunct w:val="0"/>
        <w:autoSpaceDE/>
        <w:autoSpaceDN/>
        <w:bidi w:val="0"/>
        <w:adjustRightInd/>
        <w:snapToGrid w:val="0"/>
        <w:spacing w:before="0"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3、提出质疑的供应商应当是参与所质疑项目采购活动的供应商。</w:t>
      </w:r>
    </w:p>
    <w:p w14:paraId="793B8C2D">
      <w:pPr>
        <w:pStyle w:val="12"/>
        <w:keepNext w:val="0"/>
        <w:keepLines w:val="0"/>
        <w:pageBreakBefore w:val="0"/>
        <w:widowControl w:val="0"/>
        <w:kinsoku/>
        <w:wordWrap/>
        <w:overflowPunct/>
        <w:topLinePunct w:val="0"/>
        <w:autoSpaceDE/>
        <w:autoSpaceDN/>
        <w:bidi w:val="0"/>
        <w:adjustRightInd/>
        <w:snapToGrid w:val="0"/>
        <w:spacing w:before="0"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4、潜在供应商已依法获取其可质疑的采购文件的，可以对该文件提出质疑。对采购文件提出质疑的，应当在获取采购文件或者采购文件公告期限届满之日起7个工作日内提出。</w:t>
      </w:r>
    </w:p>
    <w:p w14:paraId="6EF7A0F4">
      <w:pPr>
        <w:pStyle w:val="12"/>
        <w:keepNext w:val="0"/>
        <w:keepLines w:val="0"/>
        <w:pageBreakBefore w:val="0"/>
        <w:widowControl w:val="0"/>
        <w:kinsoku/>
        <w:wordWrap/>
        <w:overflowPunct/>
        <w:topLinePunct w:val="0"/>
        <w:autoSpaceDE/>
        <w:autoSpaceDN/>
        <w:bidi w:val="0"/>
        <w:adjustRightInd/>
        <w:snapToGrid w:val="0"/>
        <w:spacing w:before="0"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5、供应商为自然人的，应当由本人签字；供应商为法人或者其他组织的，应当由法定代表人、主要负责人，或者其授权代表签字或者盖章，并加盖公章。</w:t>
      </w:r>
    </w:p>
    <w:p w14:paraId="3B613622">
      <w:pPr>
        <w:pStyle w:val="12"/>
        <w:keepNext w:val="0"/>
        <w:keepLines w:val="0"/>
        <w:pageBreakBefore w:val="0"/>
        <w:widowControl w:val="0"/>
        <w:kinsoku/>
        <w:wordWrap/>
        <w:overflowPunct/>
        <w:topLinePunct w:val="0"/>
        <w:autoSpaceDE/>
        <w:autoSpaceDN/>
        <w:bidi w:val="0"/>
        <w:adjustRightInd/>
        <w:snapToGrid w:val="0"/>
        <w:spacing w:before="0"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rPr>
        <w:t>6、文件具体要求详见中华人民共和国财政部令第94号--政府采购质疑和投诉办法</w:t>
      </w:r>
      <w:r>
        <w:rPr>
          <w:rFonts w:hint="eastAsia" w:ascii="宋体" w:hAnsi="宋体" w:eastAsia="宋体" w:cs="宋体"/>
          <w:bCs/>
          <w:color w:val="auto"/>
          <w:sz w:val="22"/>
          <w:szCs w:val="22"/>
          <w:highlight w:val="none"/>
        </w:rPr>
        <w:t>。</w:t>
      </w:r>
    </w:p>
    <w:p w14:paraId="12F3067D">
      <w:pPr>
        <w:pStyle w:val="3"/>
        <w:keepNext w:val="0"/>
        <w:keepLines w:val="0"/>
        <w:pageBreakBefore w:val="0"/>
        <w:kinsoku/>
        <w:wordWrap/>
        <w:overflowPunct/>
        <w:topLinePunct w:val="0"/>
        <w:autoSpaceDE/>
        <w:autoSpaceDN/>
        <w:bidi w:val="0"/>
        <w:snapToGrid w:val="0"/>
        <w:spacing w:line="440" w:lineRule="exact"/>
        <w:ind w:left="0" w:leftChars="0" w:right="0" w:rightChars="0" w:firstLine="0" w:firstLineChars="0"/>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二、招标文件</w:t>
      </w:r>
    </w:p>
    <w:p w14:paraId="3F198F91">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（一）招标文件的构成。本招标文件由以下部</w:t>
      </w:r>
      <w:r>
        <w:rPr>
          <w:rFonts w:hint="eastAsia" w:ascii="宋体" w:hAnsi="宋体" w:eastAsia="宋体" w:cs="宋体"/>
          <w:b/>
          <w:color w:val="auto"/>
          <w:sz w:val="22"/>
          <w:szCs w:val="22"/>
          <w:highlight w:val="none"/>
          <w:lang w:val="en-US" w:eastAsia="zh-CN"/>
        </w:rPr>
        <w:t>分</w:t>
      </w:r>
      <w:r>
        <w:rPr>
          <w:rFonts w:hint="eastAsia" w:ascii="宋体" w:hAnsi="宋体" w:eastAsia="宋体" w:cs="宋体"/>
          <w:b/>
          <w:color w:val="auto"/>
          <w:sz w:val="22"/>
          <w:szCs w:val="22"/>
          <w:highlight w:val="none"/>
        </w:rPr>
        <w:t>组成：</w:t>
      </w:r>
    </w:p>
    <w:p w14:paraId="5F3A3814">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1、招标公告</w:t>
      </w:r>
    </w:p>
    <w:p w14:paraId="345A3EAA">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需求</w:t>
      </w:r>
    </w:p>
    <w:p w14:paraId="3B06CC39">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3、投标人须知</w:t>
      </w:r>
    </w:p>
    <w:p w14:paraId="2D07B8E0">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4、评标办法及</w:t>
      </w:r>
      <w:r>
        <w:rPr>
          <w:rFonts w:hint="eastAsia" w:ascii="宋体" w:hAnsi="宋体" w:eastAsia="宋体" w:cs="宋体"/>
          <w:color w:val="auto"/>
          <w:sz w:val="22"/>
          <w:szCs w:val="22"/>
          <w:highlight w:val="none"/>
          <w:lang w:val="en-US" w:eastAsia="zh-CN"/>
        </w:rPr>
        <w:t>评分</w:t>
      </w:r>
      <w:r>
        <w:rPr>
          <w:rFonts w:hint="eastAsia" w:ascii="宋体" w:hAnsi="宋体" w:eastAsia="宋体" w:cs="宋体"/>
          <w:color w:val="auto"/>
          <w:sz w:val="22"/>
          <w:szCs w:val="22"/>
          <w:highlight w:val="none"/>
        </w:rPr>
        <w:t>标准</w:t>
      </w:r>
    </w:p>
    <w:p w14:paraId="6D7CCE18">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5、合同条款</w:t>
      </w:r>
    </w:p>
    <w:p w14:paraId="749EAAA1">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6、投标文件格式</w:t>
      </w:r>
    </w:p>
    <w:p w14:paraId="5F854DED">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7、本项目招标文件的澄清、答复、修改、补充的内容</w:t>
      </w:r>
    </w:p>
    <w:p w14:paraId="69AEFE84">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（二）投标人的风险</w:t>
      </w:r>
    </w:p>
    <w:p w14:paraId="1369BD9A">
      <w:pPr>
        <w:pStyle w:val="15"/>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投标人没有按照招标文件要求提供全部资料，或者投标人没有对招标文件在各方面作出实质性响应是投标人的风险，并可能导致其投标被拒绝。</w:t>
      </w:r>
    </w:p>
    <w:p w14:paraId="272FD61B">
      <w:pPr>
        <w:pStyle w:val="7"/>
        <w:keepNext w:val="0"/>
        <w:keepLines w:val="0"/>
        <w:pageBreakBefore w:val="0"/>
        <w:widowControl w:val="0"/>
        <w:numPr>
          <w:ilvl w:val="0"/>
          <w:numId w:val="0"/>
        </w:numPr>
        <w:tabs>
          <w:tab w:val="left" w:pos="454"/>
          <w:tab w:val="left" w:pos="720"/>
        </w:tabs>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（三）招标文件的澄清与修改 </w:t>
      </w:r>
    </w:p>
    <w:p w14:paraId="5BE4B8CF">
      <w:pPr>
        <w:pStyle w:val="15"/>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5C543166">
      <w:pPr>
        <w:pStyle w:val="15"/>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8C71E37">
      <w:pPr>
        <w:pStyle w:val="15"/>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3、招标文件澄清、答复、修改、补充的内容为招标文件的组成部分。当招标文件与招标文件的答复、澄清、修改、补充通知就同一内容的表述不一致时，以最后发出的书面文件为准。</w:t>
      </w:r>
    </w:p>
    <w:p w14:paraId="11B69EA7">
      <w:pPr>
        <w:pStyle w:val="12"/>
        <w:keepNext w:val="0"/>
        <w:keepLines w:val="0"/>
        <w:pageBreakBefore w:val="0"/>
        <w:widowControl w:val="0"/>
        <w:kinsoku/>
        <w:wordWrap/>
        <w:overflowPunct/>
        <w:topLinePunct w:val="0"/>
        <w:autoSpaceDE/>
        <w:autoSpaceDN/>
        <w:bidi w:val="0"/>
        <w:adjustRightInd/>
        <w:snapToGrid w:val="0"/>
        <w:spacing w:before="0"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4、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r>
        <w:rPr>
          <w:rFonts w:hint="eastAsia" w:ascii="宋体" w:hAnsi="宋体" w:eastAsia="宋体" w:cs="宋体"/>
          <w:b/>
          <w:color w:val="auto"/>
          <w:sz w:val="22"/>
          <w:szCs w:val="22"/>
          <w:highlight w:val="none"/>
        </w:rPr>
        <w:t>三、投标文件的编制</w:t>
      </w:r>
    </w:p>
    <w:p w14:paraId="3EE91B49">
      <w:pPr>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重要提示：投标文件的形式和效力</w:t>
      </w:r>
    </w:p>
    <w:p w14:paraId="1DC9AF5C">
      <w:pPr>
        <w:pStyle w:val="15"/>
        <w:keepNext w:val="0"/>
        <w:keepLines w:val="0"/>
        <w:pageBreakBefore w:val="0"/>
        <w:kinsoku/>
        <w:wordWrap/>
        <w:overflowPunct/>
        <w:topLinePunct w:val="0"/>
        <w:autoSpaceDE/>
        <w:autoSpaceDN/>
        <w:bidi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1.投标文件分为电子投标文件以及备份投标文件，备份文件分为以介质存储的数据电文形式的备份投标文件投标文件。</w:t>
      </w:r>
    </w:p>
    <w:p w14:paraId="191876D5">
      <w:pPr>
        <w:pStyle w:val="15"/>
        <w:keepNext w:val="0"/>
        <w:keepLines w:val="0"/>
        <w:pageBreakBefore w:val="0"/>
        <w:kinsoku/>
        <w:wordWrap/>
        <w:overflowPunct/>
        <w:topLinePunct w:val="0"/>
        <w:autoSpaceDE/>
        <w:autoSpaceDN/>
        <w:bidi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2.电子投标文件，按“政采云供应商项目采购-电子招投标操作指南”及本采购文件要求制作、加密并递交。</w:t>
      </w:r>
    </w:p>
    <w:p w14:paraId="35C812AD">
      <w:pPr>
        <w:pStyle w:val="15"/>
        <w:keepNext w:val="0"/>
        <w:keepLines w:val="0"/>
        <w:pageBreakBefore w:val="0"/>
        <w:kinsoku/>
        <w:wordWrap/>
        <w:overflowPunct/>
        <w:topLinePunct w:val="0"/>
        <w:autoSpaceDE/>
        <w:autoSpaceDN/>
        <w:bidi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3.以介质存储的数据电文形式的备份投标文件，即电子投标文件按“政采云供应商项目采购-电子招投标操作指南”制作的备份文件。</w:t>
      </w:r>
    </w:p>
    <w:p w14:paraId="3AC919F2">
      <w:pPr>
        <w:pStyle w:val="15"/>
        <w:keepNext w:val="0"/>
        <w:keepLines w:val="0"/>
        <w:pageBreakBefore w:val="0"/>
        <w:kinsoku/>
        <w:wordWrap/>
        <w:overflowPunct/>
        <w:topLinePunct w:val="0"/>
        <w:autoSpaceDE/>
        <w:autoSpaceDN/>
        <w:bidi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4.投标文件的效力</w:t>
      </w:r>
    </w:p>
    <w:p w14:paraId="0C112FF9">
      <w:pPr>
        <w:pStyle w:val="15"/>
        <w:keepNext w:val="0"/>
        <w:keepLines w:val="0"/>
        <w:pageBreakBefore w:val="0"/>
        <w:kinsoku/>
        <w:wordWrap/>
        <w:overflowPunct/>
        <w:topLinePunct w:val="0"/>
        <w:autoSpaceDE/>
        <w:autoSpaceDN/>
        <w:bidi w:val="0"/>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color w:val="auto"/>
          <w:sz w:val="22"/>
          <w:szCs w:val="22"/>
          <w:highlight w:val="none"/>
        </w:rPr>
        <w:t>投标文件的启用，按先后顺位分别为电子投标文件、</w:t>
      </w:r>
      <w:r>
        <w:rPr>
          <w:rFonts w:hint="eastAsia" w:ascii="宋体" w:hAnsi="宋体" w:eastAsia="宋体" w:cs="宋体"/>
          <w:color w:val="auto"/>
          <w:sz w:val="22"/>
          <w:szCs w:val="22"/>
          <w:highlight w:val="none"/>
          <w:lang w:val="en-US" w:eastAsia="zh-CN"/>
        </w:rPr>
        <w:t>电子</w:t>
      </w:r>
      <w:r>
        <w:rPr>
          <w:rFonts w:hint="eastAsia" w:ascii="宋体" w:hAnsi="宋体" w:eastAsia="宋体" w:cs="宋体"/>
          <w:color w:val="auto"/>
          <w:sz w:val="22"/>
          <w:szCs w:val="22"/>
          <w:highlight w:val="none"/>
        </w:rPr>
        <w:t>备份投标文件。在下一顺位的投标文件启用时，前一顺位的投标文件自动失效。</w:t>
      </w:r>
      <w:r>
        <w:rPr>
          <w:rFonts w:hint="eastAsia" w:ascii="宋体" w:hAnsi="宋体" w:eastAsia="宋体" w:cs="宋体"/>
          <w:b w:val="0"/>
          <w:bCs/>
          <w:color w:val="auto"/>
          <w:sz w:val="22"/>
          <w:szCs w:val="22"/>
          <w:highlight w:val="none"/>
        </w:rPr>
        <w:t>电子投标文件未能按时解密，投标人提供了电子备份投标文件以电子备份投标文件作为评标依据。电子投标文件已按时解密的，电子备份投标文件自动失效。</w:t>
      </w:r>
    </w:p>
    <w:p w14:paraId="192FBFF3">
      <w:pPr>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（一）投标文件的组成</w:t>
      </w:r>
    </w:p>
    <w:p w14:paraId="0664DD50">
      <w:pPr>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b/>
          <w:bCs/>
          <w:color w:val="auto"/>
          <w:sz w:val="22"/>
          <w:szCs w:val="22"/>
          <w:highlight w:val="none"/>
          <w:lang w:val="en-US"/>
        </w:rPr>
      </w:pPr>
      <w:r>
        <w:rPr>
          <w:rFonts w:hint="eastAsia" w:ascii="宋体" w:hAnsi="宋体" w:eastAsia="宋体" w:cs="宋体"/>
          <w:b/>
          <w:bCs/>
          <w:color w:val="auto"/>
          <w:kern w:val="2"/>
          <w:sz w:val="22"/>
          <w:szCs w:val="22"/>
          <w:highlight w:val="none"/>
          <w:lang w:val="en-US" w:eastAsia="zh-CN" w:bidi="ar-SA"/>
        </w:rPr>
        <w:t>投标文件由资格证明文件、技术商务文件、报价文件三部分组成。（投标文件至少包含以下部分，提供格式的按照格式填写，未提供格式的由投标人自拟。）</w:t>
      </w:r>
    </w:p>
    <w:p w14:paraId="74C24FE5">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rPr>
        <w:t>、资格证明文件</w:t>
      </w:r>
      <w:r>
        <w:rPr>
          <w:rFonts w:hint="eastAsia" w:ascii="宋体" w:hAnsi="宋体" w:eastAsia="宋体" w:cs="宋体"/>
          <w:bCs/>
          <w:color w:val="auto"/>
          <w:kern w:val="0"/>
          <w:szCs w:val="21"/>
          <w:highlight w:val="none"/>
          <w:shd w:val="clear" w:color="auto" w:fill="auto"/>
        </w:rPr>
        <w:t>（详见第六章</w:t>
      </w:r>
      <w:r>
        <w:rPr>
          <w:rFonts w:hint="eastAsia" w:ascii="宋体" w:hAnsi="宋体" w:cs="宋体"/>
          <w:bCs/>
          <w:color w:val="auto"/>
          <w:kern w:val="0"/>
          <w:szCs w:val="21"/>
          <w:highlight w:val="none"/>
          <w:shd w:val="clear" w:color="auto" w:fill="auto"/>
          <w:lang w:eastAsia="zh-CN"/>
        </w:rPr>
        <w:t>投标文件</w:t>
      </w:r>
      <w:r>
        <w:rPr>
          <w:rFonts w:hint="eastAsia" w:ascii="宋体" w:hAnsi="宋体" w:eastAsia="宋体" w:cs="宋体"/>
          <w:bCs/>
          <w:color w:val="auto"/>
          <w:kern w:val="0"/>
          <w:szCs w:val="21"/>
          <w:highlight w:val="none"/>
          <w:shd w:val="clear" w:color="auto" w:fill="auto"/>
        </w:rPr>
        <w:t>格式，如未提供格式部分由供</w:t>
      </w:r>
      <w:r>
        <w:rPr>
          <w:rFonts w:hint="eastAsia" w:ascii="宋体" w:hAnsi="宋体" w:eastAsia="宋体" w:cs="宋体"/>
          <w:color w:val="auto"/>
          <w:sz w:val="22"/>
          <w:szCs w:val="22"/>
          <w:highlight w:val="none"/>
        </w:rPr>
        <w:t xml:space="preserve">应商自拟）： </w:t>
      </w:r>
    </w:p>
    <w:p w14:paraId="50EE47E8">
      <w:pPr>
        <w:keepNext w:val="0"/>
        <w:keepLines w:val="0"/>
        <w:pageBreakBefore w:val="0"/>
        <w:numPr>
          <w:ilvl w:val="0"/>
          <w:numId w:val="0"/>
        </w:numPr>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资格声明函</w:t>
      </w:r>
      <w:r>
        <w:rPr>
          <w:rFonts w:hint="eastAsia" w:ascii="宋体" w:hAnsi="宋体" w:eastAsia="宋体" w:cs="宋体"/>
          <w:color w:val="auto"/>
          <w:sz w:val="22"/>
          <w:szCs w:val="22"/>
          <w:highlight w:val="none"/>
        </w:rPr>
        <w:t>；</w:t>
      </w:r>
    </w:p>
    <w:p w14:paraId="5311B12E">
      <w:pPr>
        <w:keepNext w:val="0"/>
        <w:keepLines w:val="0"/>
        <w:pageBreakBefore w:val="0"/>
        <w:numPr>
          <w:ilvl w:val="0"/>
          <w:numId w:val="0"/>
        </w:numPr>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投标代表为法定代表人时提供：法定代表人的正反面身份证复印件（加盖公章）；如投标代表非法定代表人时提供法定代表人授权委托书原件、法定代表人及授权代表的正反面身份证复印件（加盖公章）；</w:t>
      </w:r>
    </w:p>
    <w:p w14:paraId="111026C8">
      <w:pPr>
        <w:keepNext w:val="0"/>
        <w:keepLines w:val="0"/>
        <w:pageBreakBefore w:val="0"/>
        <w:numPr>
          <w:ilvl w:val="0"/>
          <w:numId w:val="0"/>
        </w:numPr>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（3）有效的企业营业执照（或法人登记证）或者民办非企业单位登记证书复印件并加盖公章；</w:t>
      </w:r>
    </w:p>
    <w:p w14:paraId="0F326FA2">
      <w:pPr>
        <w:keepNext w:val="0"/>
        <w:keepLines w:val="0"/>
        <w:pageBreakBefore w:val="0"/>
        <w:numPr>
          <w:ilvl w:val="0"/>
          <w:numId w:val="0"/>
        </w:numPr>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（4）本项目公告发布日期之后通过“信用中国”（www.creditchina.gov.cn</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、中国政府采购网（www.ccgp.gov.cn）列入失信被执行人、重大税收违法失信主体、政府采购严重违法失信行为记录名单的信息查询结果网页打印件或截图；</w:t>
      </w:r>
    </w:p>
    <w:p w14:paraId="6C0B8B21">
      <w:pPr>
        <w:keepNext w:val="0"/>
        <w:keepLines w:val="0"/>
        <w:pageBreakBefore w:val="0"/>
        <w:numPr>
          <w:ilvl w:val="0"/>
          <w:numId w:val="0"/>
        </w:numPr>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（5）中小企业声明函；</w:t>
      </w:r>
    </w:p>
    <w:p w14:paraId="2A969DD9">
      <w:pPr>
        <w:keepNext w:val="0"/>
        <w:keepLines w:val="0"/>
        <w:pageBreakBefore w:val="0"/>
        <w:numPr>
          <w:ilvl w:val="0"/>
          <w:numId w:val="0"/>
        </w:numPr>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（6）残疾人福利性单位声明函（残疾人福利性单位须提供）（如有）；</w:t>
      </w:r>
    </w:p>
    <w:p w14:paraId="200B1143">
      <w:pPr>
        <w:keepNext w:val="0"/>
        <w:keepLines w:val="0"/>
        <w:pageBreakBefore w:val="0"/>
        <w:numPr>
          <w:ilvl w:val="0"/>
          <w:numId w:val="0"/>
        </w:numPr>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（7）投标供应商为监狱企业的证明文件：省级以上监狱管理局、戒毒管理局（含新疆生产建设兵团）出具（如是请提供）</w:t>
      </w:r>
      <w:r>
        <w:rPr>
          <w:rFonts w:hint="eastAsia" w:ascii="宋体" w:hAnsi="宋体" w:eastAsia="宋体" w:cs="宋体"/>
          <w:color w:val="auto"/>
          <w:sz w:val="22"/>
          <w:szCs w:val="22"/>
          <w:highlight w:val="none"/>
          <w:lang w:eastAsia="zh-CN"/>
        </w:rPr>
        <w:t>；</w:t>
      </w:r>
    </w:p>
    <w:p w14:paraId="4E94A5A7">
      <w:pPr>
        <w:keepNext w:val="0"/>
        <w:keepLines w:val="0"/>
        <w:pageBreakBefore w:val="0"/>
        <w:numPr>
          <w:ilvl w:val="0"/>
          <w:numId w:val="0"/>
        </w:numPr>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（8）合格供应商的资格承诺书；</w:t>
      </w:r>
    </w:p>
    <w:p w14:paraId="78E827BF">
      <w:pPr>
        <w:keepNext w:val="0"/>
        <w:keepLines w:val="0"/>
        <w:pageBreakBefore w:val="0"/>
        <w:numPr>
          <w:ilvl w:val="0"/>
          <w:numId w:val="0"/>
        </w:numPr>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（9）供应商基本情况表；</w:t>
      </w:r>
    </w:p>
    <w:p w14:paraId="7049D5DD">
      <w:pPr>
        <w:keepNext w:val="0"/>
        <w:keepLines w:val="0"/>
        <w:pageBreakBefore w:val="0"/>
        <w:numPr>
          <w:ilvl w:val="0"/>
          <w:numId w:val="0"/>
        </w:numPr>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（10）本项目的特定资格要求证明材料。</w:t>
      </w:r>
    </w:p>
    <w:p w14:paraId="2D3929A0">
      <w:pPr>
        <w:keepNext w:val="0"/>
        <w:keepLines w:val="0"/>
        <w:pageBreakBefore w:val="0"/>
        <w:widowControl/>
        <w:kinsoku/>
        <w:wordWrap/>
        <w:overflowPunct/>
        <w:topLinePunct w:val="0"/>
        <w:autoSpaceDE/>
        <w:autoSpaceDN/>
        <w:bidi w:val="0"/>
        <w:spacing w:line="440" w:lineRule="exact"/>
        <w:ind w:left="0" w:leftChars="0" w:right="0" w:rightChars="0" w:firstLine="440" w:firstLineChars="200"/>
        <w:jc w:val="left"/>
        <w:textAlignment w:val="auto"/>
        <w:outlineLvl w:val="9"/>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eastAsia="zh-CN"/>
        </w:rPr>
        <w:t>技术商务文件</w:t>
      </w:r>
      <w:r>
        <w:rPr>
          <w:rFonts w:hint="eastAsia" w:ascii="宋体" w:hAnsi="宋体" w:eastAsia="宋体" w:cs="宋体"/>
          <w:color w:val="auto"/>
          <w:szCs w:val="21"/>
          <w:highlight w:val="none"/>
          <w:shd w:val="clear" w:color="auto" w:fill="auto"/>
        </w:rPr>
        <w:t>（详见第六章</w:t>
      </w:r>
      <w:r>
        <w:rPr>
          <w:rFonts w:hint="eastAsia" w:ascii="宋体" w:hAnsi="宋体" w:cs="宋体"/>
          <w:color w:val="auto"/>
          <w:szCs w:val="21"/>
          <w:highlight w:val="none"/>
          <w:shd w:val="clear" w:color="auto" w:fill="auto"/>
          <w:lang w:eastAsia="zh-CN"/>
        </w:rPr>
        <w:t>投标文件</w:t>
      </w:r>
      <w:r>
        <w:rPr>
          <w:rFonts w:hint="eastAsia" w:ascii="宋体" w:hAnsi="宋体" w:eastAsia="宋体" w:cs="宋体"/>
          <w:color w:val="auto"/>
          <w:szCs w:val="21"/>
          <w:highlight w:val="none"/>
          <w:shd w:val="clear" w:color="auto" w:fill="auto"/>
        </w:rPr>
        <w:t>格式，如未提供格式部分由供应商自拟）：</w:t>
      </w:r>
    </w:p>
    <w:p w14:paraId="334D550F">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（1）商务条款偏离表；</w:t>
      </w:r>
    </w:p>
    <w:p w14:paraId="546628FE">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（2）技术服务条款偏离表；</w:t>
      </w:r>
    </w:p>
    <w:p w14:paraId="37E62D42">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（3）项目总监理工程师简历表；</w:t>
      </w:r>
    </w:p>
    <w:p w14:paraId="5BE33D9E">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（4）拟投入本项目团队情况表；</w:t>
      </w:r>
    </w:p>
    <w:p w14:paraId="0DA1C848">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（5）技术商务评审中需提供的评审内容；</w:t>
      </w:r>
    </w:p>
    <w:p w14:paraId="6D118198">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（6）供应商认为需要提供的其他材料。</w:t>
      </w:r>
    </w:p>
    <w:p w14:paraId="6A0B7E7F">
      <w:pPr>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、报价文件</w:t>
      </w:r>
      <w:r>
        <w:rPr>
          <w:rFonts w:hint="eastAsia" w:ascii="宋体" w:hAnsi="宋体" w:eastAsia="宋体" w:cs="宋体"/>
          <w:color w:val="auto"/>
          <w:szCs w:val="21"/>
          <w:highlight w:val="none"/>
          <w:shd w:val="clear" w:color="auto" w:fill="auto"/>
        </w:rPr>
        <w:t>（详见第六章</w:t>
      </w:r>
      <w:r>
        <w:rPr>
          <w:rFonts w:hint="eastAsia" w:ascii="宋体" w:hAnsi="宋体" w:cs="宋体"/>
          <w:color w:val="auto"/>
          <w:szCs w:val="21"/>
          <w:highlight w:val="none"/>
          <w:shd w:val="clear" w:color="auto" w:fill="auto"/>
          <w:lang w:eastAsia="zh-CN"/>
        </w:rPr>
        <w:t>投标文件</w:t>
      </w:r>
      <w:r>
        <w:rPr>
          <w:rFonts w:hint="eastAsia" w:ascii="宋体" w:hAnsi="宋体" w:eastAsia="宋体" w:cs="宋体"/>
          <w:color w:val="auto"/>
          <w:szCs w:val="21"/>
          <w:highlight w:val="none"/>
          <w:shd w:val="clear" w:color="auto" w:fill="auto"/>
        </w:rPr>
        <w:t>格式，如未提供格式部分由供应商自拟）：</w:t>
      </w:r>
    </w:p>
    <w:p w14:paraId="4CAAB374">
      <w:pPr>
        <w:keepNext w:val="0"/>
        <w:keepLines w:val="0"/>
        <w:pageBreakBefore w:val="0"/>
        <w:tabs>
          <w:tab w:val="left" w:pos="518"/>
        </w:tabs>
        <w:kinsoku/>
        <w:wordWrap/>
        <w:overflowPunct/>
        <w:topLinePunct w:val="0"/>
        <w:autoSpaceDE/>
        <w:autoSpaceDN/>
        <w:bidi w:val="0"/>
        <w:adjustRightInd w:val="0"/>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（1）投标函；</w:t>
      </w:r>
      <w:r>
        <w:rPr>
          <w:rFonts w:hint="eastAsia" w:ascii="宋体" w:hAnsi="宋体" w:eastAsia="宋体" w:cs="宋体"/>
          <w:color w:val="auto"/>
          <w:sz w:val="22"/>
          <w:szCs w:val="22"/>
          <w:highlight w:val="none"/>
          <w:lang w:val="en-US" w:eastAsia="zh-CN"/>
        </w:rPr>
        <w:t xml:space="preserve"> </w:t>
      </w:r>
    </w:p>
    <w:p w14:paraId="7C748024">
      <w:pPr>
        <w:keepNext w:val="0"/>
        <w:keepLines w:val="0"/>
        <w:pageBreakBefore w:val="0"/>
        <w:tabs>
          <w:tab w:val="left" w:pos="518"/>
        </w:tabs>
        <w:kinsoku/>
        <w:wordWrap/>
        <w:overflowPunct/>
        <w:topLinePunct w:val="0"/>
        <w:autoSpaceDE/>
        <w:autoSpaceDN/>
        <w:bidi w:val="0"/>
        <w:adjustRightInd w:val="0"/>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（2）开标一览表；</w:t>
      </w:r>
    </w:p>
    <w:p w14:paraId="07B812A8">
      <w:pPr>
        <w:pStyle w:val="16"/>
        <w:keepNext w:val="0"/>
        <w:keepLines w:val="0"/>
        <w:pageBreakBefore w:val="0"/>
        <w:widowControl w:val="0"/>
        <w:kinsoku/>
        <w:wordWrap/>
        <w:overflowPunct/>
        <w:topLinePunct w:val="0"/>
        <w:autoSpaceDE/>
        <w:autoSpaceDN/>
        <w:bidi w:val="0"/>
        <w:spacing w:before="0" w:after="0" w:afterLines="0" w:line="440" w:lineRule="exact"/>
        <w:ind w:left="0" w:leftChars="0" w:right="0" w:rightChars="0" w:firstLine="440" w:firstLineChars="200"/>
        <w:textAlignment w:val="auto"/>
        <w:rPr>
          <w:rFonts w:hint="eastAsia" w:eastAsia="宋体" w:cs="宋体"/>
          <w:color w:val="auto"/>
          <w:sz w:val="22"/>
          <w:szCs w:val="22"/>
          <w:highlight w:val="none"/>
          <w:lang w:eastAsia="zh-CN"/>
        </w:rPr>
      </w:pPr>
      <w:r>
        <w:rPr>
          <w:rFonts w:hint="eastAsia" w:ascii="宋体" w:hAnsi="宋体" w:eastAsia="宋体" w:cs="宋体"/>
          <w:color w:val="auto"/>
          <w:sz w:val="22"/>
          <w:szCs w:val="22"/>
          <w:highlight w:val="none"/>
        </w:rPr>
        <w:t>（3）供应商针对报价需要说明的其他文件和说明</w:t>
      </w:r>
      <w:r>
        <w:rPr>
          <w:rFonts w:hint="eastAsia" w:eastAsia="宋体" w:cs="宋体"/>
          <w:color w:val="auto"/>
          <w:sz w:val="22"/>
          <w:szCs w:val="22"/>
          <w:highlight w:val="none"/>
          <w:lang w:eastAsia="zh-CN"/>
        </w:rPr>
        <w:t>。</w:t>
      </w:r>
    </w:p>
    <w:p w14:paraId="2B38203E">
      <w:pPr>
        <w:pStyle w:val="16"/>
        <w:keepNext w:val="0"/>
        <w:keepLines w:val="0"/>
        <w:pageBreakBefore w:val="0"/>
        <w:widowControl w:val="0"/>
        <w:kinsoku/>
        <w:wordWrap/>
        <w:overflowPunct/>
        <w:topLinePunct w:val="0"/>
        <w:autoSpaceDE/>
        <w:autoSpaceDN/>
        <w:bidi w:val="0"/>
        <w:spacing w:before="0" w:after="0" w:afterLines="0" w:line="440" w:lineRule="exact"/>
        <w:ind w:left="0" w:leftChars="0" w:right="0" w:rightChars="0" w:firstLine="440" w:firstLineChars="200"/>
        <w:textAlignment w:val="auto"/>
        <w:rPr>
          <w:rFonts w:hint="eastAsia" w:ascii="宋体" w:hAnsi="宋体" w:eastAsia="宋体" w:cs="宋体"/>
          <w:b/>
          <w:bCs/>
          <w:color w:val="auto"/>
          <w:sz w:val="22"/>
          <w:szCs w:val="22"/>
          <w:highlight w:val="none"/>
        </w:rPr>
      </w:pPr>
      <w:r>
        <w:rPr>
          <w:rFonts w:hint="eastAsia" w:eastAsia="宋体" w:cs="宋体"/>
          <w:color w:val="auto"/>
          <w:sz w:val="22"/>
          <w:szCs w:val="22"/>
          <w:highlight w:val="none"/>
          <w:lang w:eastAsia="zh-CN"/>
        </w:rPr>
        <w:t>★</w:t>
      </w:r>
      <w:r>
        <w:rPr>
          <w:rFonts w:hint="eastAsia" w:ascii="宋体" w:hAnsi="宋体" w:eastAsia="宋体" w:cs="宋体"/>
          <w:b/>
          <w:bCs/>
          <w:color w:val="auto"/>
          <w:sz w:val="22"/>
          <w:szCs w:val="22"/>
          <w:highlight w:val="none"/>
        </w:rPr>
        <w:t>注：</w:t>
      </w:r>
      <w:r>
        <w:rPr>
          <w:rFonts w:hint="eastAsia" w:eastAsia="宋体" w:cs="宋体"/>
          <w:b/>
          <w:bCs/>
          <w:color w:val="auto"/>
          <w:sz w:val="22"/>
          <w:szCs w:val="22"/>
          <w:highlight w:val="none"/>
          <w:lang w:val="en-US" w:eastAsia="zh-CN"/>
        </w:rPr>
        <w:t>技术商务文件</w:t>
      </w:r>
      <w:r>
        <w:rPr>
          <w:rFonts w:hint="eastAsia" w:ascii="宋体" w:hAnsi="宋体" w:eastAsia="宋体" w:cs="宋体"/>
          <w:b/>
          <w:bCs/>
          <w:color w:val="auto"/>
          <w:sz w:val="22"/>
          <w:szCs w:val="22"/>
          <w:highlight w:val="none"/>
        </w:rPr>
        <w:t>中不能出现报价。</w:t>
      </w:r>
    </w:p>
    <w:p w14:paraId="6C4EF2FA">
      <w:pPr>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（二）投标文件的语言及计量</w:t>
      </w:r>
    </w:p>
    <w:p w14:paraId="4E396FAD">
      <w:pPr>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投标文件以及投标方与招标方就有关投标事宜的所有来往函电，均应以中文汉语书写。除签名、盖章、专用名称等特殊情形外，以中文汉语以外的文字表述的投标文件视同未提供。</w:t>
      </w:r>
    </w:p>
    <w:p w14:paraId="1EE180A8">
      <w:pPr>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投标计量单位，招标文件已有明确规定的，使用招标文件规定的计量单位；招标文件没有规定的，应采用中华人民共和国法定计量单位（货币单位：人民币元），否则视同未响应。</w:t>
      </w:r>
    </w:p>
    <w:p w14:paraId="6C602F5E">
      <w:pPr>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（三）投标报价</w:t>
      </w:r>
    </w:p>
    <w:p w14:paraId="2D9F813B">
      <w:pPr>
        <w:pStyle w:val="12"/>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1.投标报价应按招标文件中相关附表格式填写。</w:t>
      </w:r>
    </w:p>
    <w:p w14:paraId="0A4CFB3A">
      <w:pPr>
        <w:pStyle w:val="12"/>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2.投标报价详见招标文第三章《投标人须知》前附表。</w:t>
      </w:r>
    </w:p>
    <w:p w14:paraId="13359CA8">
      <w:pPr>
        <w:keepNext w:val="0"/>
        <w:keepLines w:val="0"/>
        <w:pageBreakBefore w:val="0"/>
        <w:tabs>
          <w:tab w:val="left" w:pos="525"/>
        </w:tabs>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3.投标文件只允许有一个报价，有选择的或有条件的报价将不予接受。</w:t>
      </w:r>
    </w:p>
    <w:p w14:paraId="296423ED">
      <w:pPr>
        <w:pStyle w:val="7"/>
        <w:keepNext w:val="0"/>
        <w:keepLines w:val="0"/>
        <w:pageBreakBefore w:val="0"/>
        <w:widowControl w:val="0"/>
        <w:numPr>
          <w:ilvl w:val="0"/>
          <w:numId w:val="0"/>
        </w:numPr>
        <w:tabs>
          <w:tab w:val="left" w:pos="454"/>
          <w:tab w:val="left" w:pos="720"/>
        </w:tabs>
        <w:kinsoku/>
        <w:wordWrap/>
        <w:overflowPunct/>
        <w:topLinePunct w:val="0"/>
        <w:autoSpaceDE/>
        <w:autoSpaceDN/>
        <w:bidi w:val="0"/>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（四）投标文件的有效期</w:t>
      </w:r>
    </w:p>
    <w:p w14:paraId="2425024C">
      <w:pPr>
        <w:pStyle w:val="7"/>
        <w:keepNext w:val="0"/>
        <w:keepLines w:val="0"/>
        <w:pageBreakBefore w:val="0"/>
        <w:widowControl w:val="0"/>
        <w:numPr>
          <w:ilvl w:val="0"/>
          <w:numId w:val="0"/>
        </w:numPr>
        <w:tabs>
          <w:tab w:val="left" w:pos="454"/>
          <w:tab w:val="left" w:pos="720"/>
        </w:tabs>
        <w:kinsoku/>
        <w:wordWrap/>
        <w:overflowPunct/>
        <w:topLinePunct w:val="0"/>
        <w:autoSpaceDE/>
        <w:autoSpaceDN/>
        <w:bidi w:val="0"/>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1.自投标截止日起</w:t>
      </w:r>
      <w:r>
        <w:rPr>
          <w:rFonts w:hint="eastAsia" w:ascii="宋体" w:hAnsi="宋体" w:eastAsia="宋体" w:cs="宋体"/>
          <w:color w:val="auto"/>
          <w:sz w:val="22"/>
          <w:szCs w:val="22"/>
          <w:highlight w:val="none"/>
          <w:u w:val="single"/>
        </w:rPr>
        <w:t>90</w:t>
      </w:r>
      <w:r>
        <w:rPr>
          <w:rFonts w:hint="eastAsia" w:ascii="宋体" w:hAnsi="宋体" w:eastAsia="宋体" w:cs="宋体"/>
          <w:color w:val="auto"/>
          <w:sz w:val="22"/>
          <w:szCs w:val="22"/>
          <w:highlight w:val="none"/>
        </w:rPr>
        <w:t>天投标文件应保持有效。有效期不足的投标文件将被拒绝。</w:t>
      </w:r>
    </w:p>
    <w:p w14:paraId="498B4B2B">
      <w:pPr>
        <w:pStyle w:val="7"/>
        <w:keepNext w:val="0"/>
        <w:keepLines w:val="0"/>
        <w:pageBreakBefore w:val="0"/>
        <w:widowControl w:val="0"/>
        <w:numPr>
          <w:ilvl w:val="0"/>
          <w:numId w:val="0"/>
        </w:numPr>
        <w:tabs>
          <w:tab w:val="left" w:pos="454"/>
          <w:tab w:val="left" w:pos="720"/>
        </w:tabs>
        <w:kinsoku/>
        <w:wordWrap/>
        <w:overflowPunct/>
        <w:topLinePunct w:val="0"/>
        <w:autoSpaceDE/>
        <w:autoSpaceDN/>
        <w:bidi w:val="0"/>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2.在特殊情况下，采购人可与投标人协商延长投标书的有效期，这种要求和答复均以书面形式进行。</w:t>
      </w:r>
    </w:p>
    <w:p w14:paraId="5CFD8900">
      <w:pPr>
        <w:pStyle w:val="7"/>
        <w:keepNext w:val="0"/>
        <w:keepLines w:val="0"/>
        <w:pageBreakBefore w:val="0"/>
        <w:widowControl w:val="0"/>
        <w:numPr>
          <w:ilvl w:val="0"/>
          <w:numId w:val="0"/>
        </w:numPr>
        <w:tabs>
          <w:tab w:val="left" w:pos="454"/>
          <w:tab w:val="left" w:pos="720"/>
        </w:tabs>
        <w:kinsoku/>
        <w:wordWrap/>
        <w:overflowPunct/>
        <w:topLinePunct w:val="0"/>
        <w:autoSpaceDE/>
        <w:autoSpaceDN/>
        <w:bidi w:val="0"/>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3.投标人可拒绝接受延期要求而不会导致投标保证金被没收。同意延长有效期的投标人需要相应延长投标保证金的有效期，但不能修改投标文件。 </w:t>
      </w:r>
    </w:p>
    <w:p w14:paraId="148FB7AD">
      <w:pPr>
        <w:pStyle w:val="7"/>
        <w:keepNext w:val="0"/>
        <w:keepLines w:val="0"/>
        <w:pageBreakBefore w:val="0"/>
        <w:widowControl w:val="0"/>
        <w:numPr>
          <w:ilvl w:val="0"/>
          <w:numId w:val="0"/>
        </w:numPr>
        <w:tabs>
          <w:tab w:val="left" w:pos="454"/>
          <w:tab w:val="left" w:pos="720"/>
        </w:tabs>
        <w:kinsoku/>
        <w:wordWrap/>
        <w:overflowPunct/>
        <w:topLinePunct w:val="0"/>
        <w:autoSpaceDE/>
        <w:autoSpaceDN/>
        <w:bidi w:val="0"/>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4.中标人的投标文件自开标之日起至合同履行完毕止均应保持有效。</w:t>
      </w:r>
    </w:p>
    <w:p w14:paraId="55E38D7A">
      <w:pPr>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（五）投标保证金：</w:t>
      </w:r>
      <w:r>
        <w:rPr>
          <w:rFonts w:hint="eastAsia" w:ascii="宋体" w:hAnsi="宋体" w:eastAsia="宋体" w:cs="宋体"/>
          <w:color w:val="auto"/>
          <w:sz w:val="22"/>
          <w:szCs w:val="22"/>
          <w:highlight w:val="none"/>
        </w:rPr>
        <w:t>本项目无投标保证金。</w:t>
      </w:r>
    </w:p>
    <w:p w14:paraId="0CDF0720">
      <w:pPr>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（六）投标文件的签署和份数</w:t>
      </w:r>
    </w:p>
    <w:p w14:paraId="2E79B5DC">
      <w:pPr>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1.投标人应按本招标文件规定的格式和顺序编制、装订投标文件并标注页码，投标文件内容不完整、编排混乱导致投标文件被误读、漏读或者查找不到相关内容的，是投标人的责任。</w:t>
      </w:r>
    </w:p>
    <w:p w14:paraId="5D4BD7AD">
      <w:pPr>
        <w:keepNext w:val="0"/>
        <w:keepLines w:val="0"/>
        <w:pageBreakBefore w:val="0"/>
        <w:kinsoku/>
        <w:wordWrap/>
        <w:overflowPunct/>
        <w:topLinePunct w:val="0"/>
        <w:autoSpaceDE/>
        <w:autoSpaceDN/>
        <w:bidi w:val="0"/>
        <w:spacing w:line="440" w:lineRule="exact"/>
        <w:ind w:left="0" w:leftChars="0" w:right="0" w:rightChars="0" w:firstLine="440" w:firstLineChars="20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2.电子投标文件部分：投标人应根据“政府采购项目电子交易管理操作指南-投标人”及本招标文件规定的格式和顺序编制电子投标文件并进行关联定位；电子投标文件中须加盖投标人公章部分均采用CA签章，签字部分可用CA锁法人章（如有），未申请法人章的将签名部分签好后以扫描件形式上传至投标文件（具体操作请咨询政采云 400-881-7190）。 </w:t>
      </w:r>
    </w:p>
    <w:p w14:paraId="29162B33">
      <w:pPr>
        <w:keepNext w:val="0"/>
        <w:keepLines w:val="0"/>
        <w:pageBreakBefore w:val="0"/>
        <w:kinsoku/>
        <w:wordWrap/>
        <w:overflowPunct/>
        <w:topLinePunct w:val="0"/>
        <w:autoSpaceDE/>
        <w:autoSpaceDN/>
        <w:bidi w:val="0"/>
        <w:spacing w:line="440" w:lineRule="exact"/>
        <w:ind w:left="0" w:leftChars="0" w:right="0" w:rightChars="0" w:firstLine="440" w:firstLineChars="200"/>
        <w:jc w:val="lef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注：①投标文件中由委托代理人签字的，投标文件应附法定代表人签署的授权委托书。②联合体投标的，投标文件除联合体协议书及采购文件要求须联合体双方盖章外，其余采购文件要求投标人盖章处只需联合体的牵头人盖章。</w:t>
      </w:r>
    </w:p>
    <w:p w14:paraId="202D5368">
      <w:pPr>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 xml:space="preserve"> 3.电子备份投标文件部分：电子投标文件的备份文件，以U盘或光盘形式存储，并单独密封递交。电子备份投标文件不作实质性要求，是否提交由投标人自行决定。</w:t>
      </w:r>
    </w:p>
    <w:p w14:paraId="7D993F63">
      <w:pPr>
        <w:keepNext w:val="0"/>
        <w:keepLines w:val="0"/>
        <w:pageBreakBefore w:val="0"/>
        <w:kinsoku/>
        <w:wordWrap/>
        <w:overflowPunct/>
        <w:topLinePunct w:val="0"/>
        <w:autoSpaceDE/>
        <w:autoSpaceDN/>
        <w:bidi w:val="0"/>
        <w:snapToGrid w:val="0"/>
        <w:spacing w:line="440" w:lineRule="exact"/>
        <w:ind w:left="0" w:leftChars="0" w:right="0" w:rightChars="0" w:firstLine="440"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（七）投标文件的包装、递交、修改和撤回</w:t>
      </w:r>
    </w:p>
    <w:p w14:paraId="75897445">
      <w:pPr>
        <w:keepNext w:val="0"/>
        <w:keepLines w:val="0"/>
        <w:pageBreakBefore w:val="0"/>
        <w:kinsoku/>
        <w:wordWrap/>
        <w:overflowPunct/>
        <w:topLinePunct w:val="0"/>
        <w:autoSpaceDE/>
        <w:autoSpaceDN/>
        <w:bidi w:val="0"/>
        <w:spacing w:line="440" w:lineRule="exact"/>
        <w:ind w:left="0" w:leftChars="0" w:right="0" w:rightChars="0"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val="0"/>
          <w:bCs w:val="0"/>
          <w:color w:val="auto"/>
          <w:sz w:val="22"/>
          <w:szCs w:val="22"/>
          <w:highlight w:val="none"/>
        </w:rPr>
        <w:t xml:space="preserve">1.电子投标文件：投标人应根据“政府采购项目电子交易管理操作指南-投标人”及本招标文件规定的格式和顺序编制电子投标文件并进行关联定位。 </w:t>
      </w:r>
    </w:p>
    <w:p w14:paraId="0F3C6F64">
      <w:pPr>
        <w:keepNext w:val="0"/>
        <w:keepLines w:val="0"/>
        <w:pageBreakBefore w:val="0"/>
        <w:kinsoku/>
        <w:wordWrap/>
        <w:overflowPunct/>
        <w:topLinePunct w:val="0"/>
        <w:autoSpaceDE/>
        <w:autoSpaceDN/>
        <w:bidi w:val="0"/>
        <w:spacing w:line="440" w:lineRule="exact"/>
        <w:ind w:left="0" w:leftChars="0" w:right="0" w:rightChars="0"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 xml:space="preserve">2.电子备份投标文件：单独包封，外包装封面上应注明投标人名称、投标人地址、投标文件名称（电子备份投标文件）、投标项目名称、项目编号及“投标文件于投标截止时间前不得启封”字样，并加盖投标人公章。 </w:t>
      </w:r>
    </w:p>
    <w:p w14:paraId="3663CD8C">
      <w:pPr>
        <w:keepNext w:val="0"/>
        <w:keepLines w:val="0"/>
        <w:pageBreakBefore w:val="0"/>
        <w:kinsoku/>
        <w:wordWrap/>
        <w:overflowPunct/>
        <w:topLinePunct w:val="0"/>
        <w:autoSpaceDE/>
        <w:autoSpaceDN/>
        <w:bidi w:val="0"/>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3.未按规定密封或标记的投标文件，采购人有权拒绝接受其投标。</w:t>
      </w:r>
    </w:p>
    <w:p w14:paraId="7BDF0E96">
      <w:pPr>
        <w:keepNext w:val="0"/>
        <w:keepLines w:val="0"/>
        <w:pageBreakBefore w:val="0"/>
        <w:kinsoku/>
        <w:wordWrap/>
        <w:overflowPunct/>
        <w:topLinePunct w:val="0"/>
        <w:autoSpaceDE/>
        <w:autoSpaceDN/>
        <w:bidi w:val="0"/>
        <w:spacing w:line="440" w:lineRule="exact"/>
        <w:ind w:left="0" w:leftChars="0" w:right="0" w:rightChars="0" w:firstLine="440" w:firstLineChars="200"/>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4.如果投标人未按上述要求密封或标记而造成投标文件被误投或提前拆封的风险由投标人承担。</w:t>
      </w:r>
    </w:p>
    <w:p w14:paraId="0C1DA9CC">
      <w:pPr>
        <w:keepNext w:val="0"/>
        <w:keepLines w:val="0"/>
        <w:pageBreakBefore w:val="0"/>
        <w:kinsoku/>
        <w:wordWrap/>
        <w:overflowPunct/>
        <w:topLinePunct w:val="0"/>
        <w:autoSpaceDE/>
        <w:autoSpaceDN/>
        <w:bidi w:val="0"/>
        <w:spacing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val="0"/>
          <w:bCs w:val="0"/>
          <w:color w:val="auto"/>
          <w:sz w:val="22"/>
          <w:szCs w:val="22"/>
          <w:highlight w:val="none"/>
        </w:rPr>
        <w:t>5.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传输递交的投标、投标文件，将被拒收。</w:t>
      </w:r>
    </w:p>
    <w:p w14:paraId="66A99C53">
      <w:pPr>
        <w:pStyle w:val="3"/>
        <w:keepNext w:val="0"/>
        <w:keepLines w:val="0"/>
        <w:pageBreakBefore w:val="0"/>
        <w:numPr>
          <w:ilvl w:val="0"/>
          <w:numId w:val="0"/>
        </w:numPr>
        <w:kinsoku/>
        <w:wordWrap/>
        <w:overflowPunct/>
        <w:topLinePunct w:val="0"/>
        <w:autoSpaceDE/>
        <w:autoSpaceDN/>
        <w:bidi w:val="0"/>
        <w:snapToGrid w:val="0"/>
        <w:spacing w:line="440" w:lineRule="exact"/>
        <w:ind w:right="0" w:rightChars="0"/>
        <w:textAlignment w:val="auto"/>
        <w:rPr>
          <w:rFonts w:hint="eastAsia" w:ascii="宋体" w:hAnsi="宋体" w:eastAsia="宋体" w:cs="宋体"/>
          <w:b/>
          <w:snapToGrid w:val="0"/>
          <w:color w:val="auto"/>
          <w:sz w:val="22"/>
          <w:szCs w:val="22"/>
          <w:highlight w:val="none"/>
        </w:rPr>
      </w:pPr>
      <w:r>
        <w:rPr>
          <w:rFonts w:hint="eastAsia" w:ascii="宋体" w:hAnsi="宋体" w:eastAsia="宋体" w:cs="宋体"/>
          <w:b/>
          <w:color w:val="auto"/>
          <w:sz w:val="22"/>
          <w:szCs w:val="22"/>
          <w:highlight w:val="none"/>
        </w:rPr>
        <w:t>四、开标</w:t>
      </w:r>
    </w:p>
    <w:p w14:paraId="11C804FE">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（一）开标准备</w:t>
      </w:r>
    </w:p>
    <w:p w14:paraId="49699A3E">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4"/>
          <w:kern w:val="2"/>
          <w:sz w:val="22"/>
          <w:szCs w:val="22"/>
          <w:highlight w:val="none"/>
          <w:lang w:val="en-US" w:eastAsia="zh-CN" w:bidi="ar-SA"/>
        </w:rPr>
        <w:t>采购代理机构将在规定的时间和地点进行开标。所有投标人在投标截止时间前可安排相关人员将电子备份投标文件送至</w:t>
      </w:r>
      <w:r>
        <w:rPr>
          <w:rFonts w:hint="eastAsia" w:eastAsia="宋体" w:cs="宋体"/>
          <w:color w:val="auto"/>
          <w:spacing w:val="-4"/>
          <w:kern w:val="2"/>
          <w:sz w:val="22"/>
          <w:szCs w:val="22"/>
          <w:highlight w:val="none"/>
          <w:lang w:val="en-US" w:eastAsia="zh-CN" w:bidi="ar-SA"/>
        </w:rPr>
        <w:t>开标</w:t>
      </w:r>
      <w:r>
        <w:rPr>
          <w:rFonts w:hint="eastAsia" w:ascii="宋体" w:hAnsi="宋体" w:eastAsia="宋体" w:cs="宋体"/>
          <w:color w:val="auto"/>
          <w:spacing w:val="-4"/>
          <w:kern w:val="2"/>
          <w:sz w:val="22"/>
          <w:szCs w:val="22"/>
          <w:highlight w:val="none"/>
          <w:lang w:val="en-US" w:eastAsia="zh-CN" w:bidi="ar-SA"/>
        </w:rPr>
        <w:t>地点</w:t>
      </w:r>
      <w:r>
        <w:rPr>
          <w:rFonts w:hint="eastAsia" w:ascii="宋体" w:hAnsi="宋体" w:eastAsia="宋体" w:cs="宋体"/>
          <w:color w:val="auto"/>
          <w:sz w:val="22"/>
          <w:szCs w:val="22"/>
          <w:highlight w:val="none"/>
        </w:rPr>
        <w:t>。</w:t>
      </w:r>
    </w:p>
    <w:p w14:paraId="0AB93CD5">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（二）电子招投标开标及评审程序：</w:t>
      </w:r>
    </w:p>
    <w:p w14:paraId="0C27F4FE">
      <w:pPr>
        <w:pStyle w:val="3"/>
        <w:keepNext w:val="0"/>
        <w:keepLines w:val="0"/>
        <w:pageBreakBefore w:val="0"/>
        <w:widowControl w:val="0"/>
        <w:kinsoku/>
        <w:wordWrap/>
        <w:overflowPunct/>
        <w:topLinePunct w:val="0"/>
        <w:autoSpaceDE/>
        <w:autoSpaceDN/>
        <w:bidi w:val="0"/>
        <w:adjustRightInd/>
        <w:spacing w:line="440" w:lineRule="exact"/>
        <w:ind w:left="0" w:leftChars="0" w:right="0" w:rightChars="0" w:firstLine="424"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投标截止时间后，投标人登录政采云平台，用“项目采购-开标评标”功能对电子投标文件进行在线解密，在线解密电子投标文件时间为开标时间起30分钟内；投标人按时在线解密投标文件的，以在线解密的投标文件作为评审依据，若投标人在规定时间内无法解密或解密失败，则以电子备份投标文件作为评审依据（若电子备份投标文件与政采云平台上传的投标文件被识别为不一致，仍以电子备份投标文件作为评审依据）。无论是否启用电子备份投标文件，电子备份投标文件均不退还投标人。若投标人在规定时间内无法解密或解密失败且未提供电子备份投标文件或所提供的电子备份投标文件无法读取的，视为投标文件撤回。</w:t>
      </w:r>
    </w:p>
    <w:p w14:paraId="165BF491">
      <w:pPr>
        <w:pStyle w:val="3"/>
        <w:keepNext w:val="0"/>
        <w:keepLines w:val="0"/>
        <w:pageBreakBefore w:val="0"/>
        <w:widowControl w:val="0"/>
        <w:kinsoku/>
        <w:wordWrap/>
        <w:overflowPunct/>
        <w:topLinePunct w:val="0"/>
        <w:autoSpaceDE/>
        <w:autoSpaceDN/>
        <w:bidi w:val="0"/>
        <w:adjustRightInd/>
        <w:spacing w:line="440" w:lineRule="exact"/>
        <w:ind w:left="0" w:leftChars="0" w:right="0" w:rightChars="0" w:firstLine="424"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2、在政采云平台开启已解密投标人的</w:t>
      </w:r>
      <w:r>
        <w:rPr>
          <w:rFonts w:hint="eastAsia" w:hAnsi="宋体" w:eastAsia="宋体" w:cs="宋体"/>
          <w:bCs/>
          <w:color w:val="auto"/>
          <w:sz w:val="22"/>
          <w:szCs w:val="22"/>
          <w:highlight w:val="none"/>
          <w:lang w:eastAsia="zh-CN"/>
        </w:rPr>
        <w:t>资格证明文件</w:t>
      </w:r>
      <w:r>
        <w:rPr>
          <w:rFonts w:hint="eastAsia" w:ascii="宋体" w:hAnsi="宋体" w:eastAsia="宋体" w:cs="宋体"/>
          <w:bCs/>
          <w:color w:val="auto"/>
          <w:sz w:val="22"/>
          <w:szCs w:val="22"/>
          <w:highlight w:val="none"/>
        </w:rPr>
        <w:t>和</w:t>
      </w:r>
      <w:r>
        <w:rPr>
          <w:rFonts w:hint="eastAsia" w:hAnsi="宋体" w:eastAsia="宋体" w:cs="宋体"/>
          <w:bCs/>
          <w:color w:val="auto"/>
          <w:sz w:val="22"/>
          <w:szCs w:val="22"/>
          <w:highlight w:val="none"/>
          <w:lang w:eastAsia="zh-CN"/>
        </w:rPr>
        <w:t>技术商务文件</w:t>
      </w:r>
      <w:r>
        <w:rPr>
          <w:rFonts w:hint="eastAsia" w:ascii="宋体" w:hAnsi="宋体" w:eastAsia="宋体" w:cs="宋体"/>
          <w:bCs/>
          <w:color w:val="auto"/>
          <w:sz w:val="22"/>
          <w:szCs w:val="22"/>
          <w:highlight w:val="none"/>
        </w:rPr>
        <w:t>；</w:t>
      </w:r>
    </w:p>
    <w:p w14:paraId="7A20C649">
      <w:pPr>
        <w:pStyle w:val="3"/>
        <w:keepNext w:val="0"/>
        <w:keepLines w:val="0"/>
        <w:pageBreakBefore w:val="0"/>
        <w:widowControl w:val="0"/>
        <w:kinsoku/>
        <w:wordWrap/>
        <w:overflowPunct/>
        <w:topLinePunct w:val="0"/>
        <w:autoSpaceDE/>
        <w:autoSpaceDN/>
        <w:bidi w:val="0"/>
        <w:adjustRightInd/>
        <w:spacing w:line="440" w:lineRule="exact"/>
        <w:ind w:left="0" w:leftChars="0" w:right="0" w:rightChars="0" w:firstLine="424"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3、采购人或代理机构对投标人的资格进行审查； </w:t>
      </w:r>
    </w:p>
    <w:p w14:paraId="238250F3">
      <w:pPr>
        <w:pStyle w:val="3"/>
        <w:keepNext w:val="0"/>
        <w:keepLines w:val="0"/>
        <w:pageBreakBefore w:val="0"/>
        <w:widowControl w:val="0"/>
        <w:kinsoku/>
        <w:wordWrap/>
        <w:overflowPunct/>
        <w:topLinePunct w:val="0"/>
        <w:autoSpaceDE/>
        <w:autoSpaceDN/>
        <w:bidi w:val="0"/>
        <w:adjustRightInd/>
        <w:spacing w:line="440" w:lineRule="exact"/>
        <w:ind w:left="0" w:leftChars="0" w:right="0" w:rightChars="0" w:firstLine="424"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4、评标委员会对商务技术响应文件进行评审； </w:t>
      </w:r>
    </w:p>
    <w:p w14:paraId="2E7375EB">
      <w:pPr>
        <w:pStyle w:val="3"/>
        <w:keepNext w:val="0"/>
        <w:keepLines w:val="0"/>
        <w:pageBreakBefore w:val="0"/>
        <w:widowControl w:val="0"/>
        <w:kinsoku/>
        <w:wordWrap/>
        <w:overflowPunct/>
        <w:topLinePunct w:val="0"/>
        <w:autoSpaceDE/>
        <w:autoSpaceDN/>
        <w:bidi w:val="0"/>
        <w:adjustRightInd/>
        <w:spacing w:line="440" w:lineRule="exact"/>
        <w:ind w:left="0" w:leftChars="0" w:right="0" w:rightChars="0" w:firstLine="424"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4、在政采云平台上公开资格和商务技术评审结果； </w:t>
      </w:r>
    </w:p>
    <w:p w14:paraId="6C764507">
      <w:pPr>
        <w:pStyle w:val="3"/>
        <w:keepNext w:val="0"/>
        <w:keepLines w:val="0"/>
        <w:pageBreakBefore w:val="0"/>
        <w:widowControl w:val="0"/>
        <w:kinsoku/>
        <w:wordWrap/>
        <w:overflowPunct/>
        <w:topLinePunct w:val="0"/>
        <w:autoSpaceDE/>
        <w:autoSpaceDN/>
        <w:bidi w:val="0"/>
        <w:adjustRightInd/>
        <w:spacing w:line="440" w:lineRule="exact"/>
        <w:ind w:left="0" w:leftChars="0" w:right="0" w:rightChars="0" w:firstLine="424"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5、在政采云平台上公开报价开标情况； </w:t>
      </w:r>
    </w:p>
    <w:p w14:paraId="15FB2948">
      <w:pPr>
        <w:pStyle w:val="3"/>
        <w:keepNext w:val="0"/>
        <w:keepLines w:val="0"/>
        <w:pageBreakBefore w:val="0"/>
        <w:widowControl w:val="0"/>
        <w:kinsoku/>
        <w:wordWrap/>
        <w:overflowPunct/>
        <w:topLinePunct w:val="0"/>
        <w:autoSpaceDE/>
        <w:autoSpaceDN/>
        <w:bidi w:val="0"/>
        <w:adjustRightInd/>
        <w:spacing w:line="440" w:lineRule="exact"/>
        <w:ind w:left="0" w:leftChars="0" w:right="0" w:rightChars="0" w:firstLine="424"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6、评标委员会对报价情况进行评审； </w:t>
      </w:r>
    </w:p>
    <w:p w14:paraId="20387B9A">
      <w:pPr>
        <w:pStyle w:val="3"/>
        <w:keepNext w:val="0"/>
        <w:keepLines w:val="0"/>
        <w:pageBreakBefore w:val="0"/>
        <w:widowControl w:val="0"/>
        <w:kinsoku/>
        <w:wordWrap/>
        <w:overflowPunct/>
        <w:topLinePunct w:val="0"/>
        <w:autoSpaceDE/>
        <w:autoSpaceDN/>
        <w:bidi w:val="0"/>
        <w:adjustRightInd/>
        <w:spacing w:line="440" w:lineRule="exact"/>
        <w:ind w:left="0" w:leftChars="0" w:right="0" w:rightChars="0" w:firstLine="424"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7、在政采云平台上公布评审结果。 </w:t>
      </w:r>
    </w:p>
    <w:p w14:paraId="5F1E0A55">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注：（1）开标过程需投标人确认的事宜，通过微信或电子邮箱发送邮件等方式进行，请投标人在开标期间做好相应的准备。（2）投标人代表对开标过程和开标记录有疑义，以及认为采购人、采购代理机构相关工作人员有需要回避的情形的，应当场提出询问或者回避申请。采购人、采购代理机构对投标人代表提出的询问或者回避申请应当及时处理。（3）政采云公司如对电子化开标及评审程序有调整的，按调整后的程序操作。</w:t>
      </w:r>
    </w:p>
    <w:p w14:paraId="5D8B38F4">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jc w:val="left"/>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三</w:t>
      </w:r>
      <w:r>
        <w:rPr>
          <w:rFonts w:hint="eastAsia" w:ascii="宋体" w:hAnsi="宋体" w:eastAsia="宋体" w:cs="宋体"/>
          <w:b/>
          <w:color w:val="auto"/>
          <w:sz w:val="22"/>
          <w:szCs w:val="22"/>
          <w:highlight w:val="none"/>
        </w:rPr>
        <w:t>）特别说明</w:t>
      </w:r>
    </w:p>
    <w:p w14:paraId="12AD2DA6">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1.本项目原则上采用政采云电子招投标开标及评审程序，但有下情形之一的，按以下情况处理：</w:t>
      </w:r>
    </w:p>
    <w:p w14:paraId="29477268">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（1）若投标人在规定时间内无法解密或解密失败，采购组织机构开启所有投标人递交的以介质存储的数据电文形式的备份投标文件，上传至政采云平台项目采购模块，以完成开标，电子投标文件自动失效。</w:t>
      </w:r>
    </w:p>
    <w:p w14:paraId="367C4487">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）采购过程中出现以下情形，导致电子交易平台无法正常运行，或者无法保证电子交易的公平、公正和安全时，采购组织机构可中止电子交易活动：</w:t>
      </w:r>
    </w:p>
    <w:p w14:paraId="0D90CA01">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a.电子交易平台发生故障而无法登录访问的； </w:t>
      </w:r>
    </w:p>
    <w:p w14:paraId="68905105">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b.电子交易平台应用或数据库出现错误，不能进行正常操作的；</w:t>
      </w:r>
    </w:p>
    <w:p w14:paraId="04C49903">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c.电子交易平台发现严重安全漏洞，有潜在泄密危险的；</w:t>
      </w:r>
    </w:p>
    <w:p w14:paraId="16F8B758">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d.病毒发作导致不能进行正常操作的； </w:t>
      </w:r>
    </w:p>
    <w:p w14:paraId="7FC523EB">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e.其他无法保证电子交易的公平、公正和安全的情况。</w:t>
      </w:r>
    </w:p>
    <w:p w14:paraId="1AD2C16B">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bCs/>
          <w:color w:val="auto"/>
          <w:sz w:val="22"/>
          <w:szCs w:val="22"/>
          <w:highlight w:val="none"/>
        </w:rPr>
        <w:t>出现前款规定情形，不影响采购公平、公正性的，采购组织机构可以待上述情形消除后继续组织电子交易活动，也可以决定某些环节以</w:t>
      </w:r>
      <w:r>
        <w:rPr>
          <w:rFonts w:hint="eastAsia" w:ascii="宋体" w:hAnsi="宋体" w:eastAsia="宋体" w:cs="宋体"/>
          <w:bCs/>
          <w:color w:val="auto"/>
          <w:sz w:val="22"/>
          <w:szCs w:val="22"/>
          <w:highlight w:val="none"/>
          <w:lang w:val="en-US" w:eastAsia="zh-CN"/>
        </w:rPr>
        <w:t>电子备份</w:t>
      </w:r>
      <w:r>
        <w:rPr>
          <w:rFonts w:hint="eastAsia" w:ascii="宋体" w:hAnsi="宋体" w:eastAsia="宋体" w:cs="宋体"/>
          <w:bCs/>
          <w:color w:val="auto"/>
          <w:sz w:val="22"/>
          <w:szCs w:val="22"/>
          <w:highlight w:val="none"/>
        </w:rPr>
        <w:t>形式进行</w:t>
      </w:r>
      <w:r>
        <w:rPr>
          <w:rFonts w:hint="eastAsia" w:ascii="宋体" w:hAnsi="宋体" w:eastAsia="宋体" w:cs="宋体"/>
          <w:bCs/>
          <w:color w:val="auto"/>
          <w:sz w:val="22"/>
          <w:szCs w:val="22"/>
          <w:highlight w:val="none"/>
          <w:lang w:eastAsia="zh-CN"/>
        </w:rPr>
        <w:t>。</w:t>
      </w:r>
    </w:p>
    <w:p w14:paraId="7C0FA495">
      <w:pPr>
        <w:pStyle w:val="12"/>
        <w:keepNext w:val="0"/>
        <w:keepLines w:val="0"/>
        <w:pageBreakBefore w:val="0"/>
        <w:kinsoku/>
        <w:wordWrap/>
        <w:overflowPunct/>
        <w:topLinePunct w:val="0"/>
        <w:autoSpaceDE/>
        <w:autoSpaceDN/>
        <w:bidi w:val="0"/>
        <w:snapToGrid w:val="0"/>
        <w:spacing w:before="0" w:line="440" w:lineRule="exact"/>
        <w:ind w:right="0" w:rightChars="0"/>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五、评标</w:t>
      </w:r>
    </w:p>
    <w:p w14:paraId="6DE88A53">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（一）组建评标委员会</w:t>
      </w:r>
    </w:p>
    <w:p w14:paraId="444DFD23">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采购人依据《中华人民共和国政府采购法》、《政府采购货物和服务招标投标管理办法》等有关规定组建评标委员会。评标委员会负责本项目的评标工作。</w:t>
      </w:r>
    </w:p>
    <w:p w14:paraId="456338C7">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（二）评标的方式</w:t>
      </w:r>
    </w:p>
    <w:p w14:paraId="282A08AE">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本项目采用不公开方式评标，评标的依据为招标文件和投标文件。</w:t>
      </w:r>
    </w:p>
    <w:p w14:paraId="6F6B7074">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（三）组织评标程序</w:t>
      </w:r>
    </w:p>
    <w:p w14:paraId="7ED9B4C2">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采购代理机构将按照招标文件规定的时间、地点和程序组织评标，各评审专家及相关人员应参加评审活动并接受核验、签到，无关人员不得进入评审现场。</w:t>
      </w:r>
    </w:p>
    <w:p w14:paraId="56C40602">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1、核验出席评审活动现场的评审小组各成员和相关监督人员身份，并要求其分别登记、签到，按规定统一收缴、保存其通讯工具，无关人员一律拒绝其进入评审现场。</w:t>
      </w:r>
    </w:p>
    <w:p w14:paraId="2A0A9CB0">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2、介绍评审现场的人员情况，宣布评审工作纪律，告知评审人员应当回避情形；组织推选评审小组组长。</w:t>
      </w:r>
    </w:p>
    <w:p w14:paraId="01B9EFDB">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3、宣读提交投标文件的供应商名单，组织评审小组各位成员签订《政府采购评审人员廉洁自律承诺书》。</w:t>
      </w:r>
    </w:p>
    <w:p w14:paraId="0E13C2B8">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根据需要简要介绍招标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对评审人员提出的有关招标文件、投标文件的问题进行必要的说明、解释或讨论。</w:t>
      </w:r>
    </w:p>
    <w:p w14:paraId="4B2A25B7">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评审小组组长组织评审人员独立评审。评审小组对拟认定为投标文件无效、供应商资格不符合的，应组织相关供应商代表进行陈述、澄清或申辩；采购代理机构可协助评审小组组长对打分结果进行校对、核对并汇总统计；对明显畸高、畸低的评分，评审小组组长应提醒相关评审人员进行复核或书面说明理由，评审人员拒绝说明的，由现场监督员据实记录；评审人员的评审、修改记录应保留原件，随项目其他资料一并存档。</w:t>
      </w:r>
    </w:p>
    <w:p w14:paraId="4857AC97">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6、做好评审现场相关记录，协助评审小组组长做好评审报告起草、有关内容电脑文字录入等工作，并要求评审小组各成员签字确认。</w:t>
      </w:r>
    </w:p>
    <w:p w14:paraId="53C194A8">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7、评审结束后，采购代理机构应对评审小组各成员的专业水平、职业道德、遵纪守法等情况进行评价；同时按规定向评审专家发放评审费，并交还评审人员及其他现场相关人员的通讯工具。</w:t>
      </w:r>
    </w:p>
    <w:p w14:paraId="7813E6FA">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（四）评标委员评审程序</w:t>
      </w:r>
    </w:p>
    <w:p w14:paraId="2997F016">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1、在评审专家中推选评审小组组长。</w:t>
      </w:r>
    </w:p>
    <w:p w14:paraId="42D9F0C7">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评审小组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09C5A769">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3、评审人员对各供应商投标文件的有效性、完整性和响应程度进行审查，确定是否对招标文件作出实质性响应。</w:t>
      </w:r>
    </w:p>
    <w:p w14:paraId="08EDD4FE">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4、评审人员按招标文件规定的评审方法和评审标准，依法独立对供应商投标文件进行评估、比较，并给予评价或打分，不受任何单位和个人的干预。</w:t>
      </w:r>
    </w:p>
    <w:p w14:paraId="10DB5BFF">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评审人员对各供应商投标文件非实质性内容有疑议或异议，或者审查发现明显的文字或计算错误等，及时向评审小组组长提出。经评审小组商议认为需要供应商作出必要澄清或说明的，应通知该供应商以书面形式作出澄清或说明。书面通知及澄清说明文件应作为政府采购项目档案归档留存。</w:t>
      </w:r>
    </w:p>
    <w:p w14:paraId="44FCA616">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6、评审人员需对采购代理机构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0D49FA70">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7、评审小组根据评审汇总情况和招标文件规定确定中标候选供应商排序名单。 采购单位、经其书面授权的采购单位代表或经其书面授权的评审小组按中标候选供应商排名顺序对供应商逐一进行资格审查，直至依法产生合格的中标供应商。</w:t>
      </w:r>
    </w:p>
    <w:p w14:paraId="53AAD2E2">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8、起草评审报告，所有评审人员须在评审报告上签字确认。</w:t>
      </w:r>
    </w:p>
    <w:p w14:paraId="43C4C8CF">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（五）</w:t>
      </w:r>
      <w:r>
        <w:rPr>
          <w:rFonts w:hint="eastAsia" w:ascii="宋体" w:hAnsi="宋体" w:eastAsia="宋体" w:cs="宋体"/>
          <w:b/>
          <w:color w:val="auto"/>
          <w:sz w:val="22"/>
          <w:szCs w:val="22"/>
          <w:highlight w:val="none"/>
        </w:rPr>
        <w:t>错误修正</w:t>
      </w:r>
    </w:p>
    <w:p w14:paraId="1B183382">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投标文件如果出现计算或表达上的错误，修正错误的原则如下：</w:t>
      </w:r>
    </w:p>
    <w:p w14:paraId="1FE1B533">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1、投标文件中开标一览表（报价表）内容与投标文件中相应内容不一致，以开标一览表（报价表）为准；</w:t>
      </w:r>
    </w:p>
    <w:p w14:paraId="54194BFF">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2、大写金额和小写金额不一致的，以大写金额为准；</w:t>
      </w:r>
    </w:p>
    <w:p w14:paraId="069F76A1">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3、单价金额小数点或者百分比有明显错位的，以开标一览表的总价为准，并修改单价；</w:t>
      </w:r>
    </w:p>
    <w:p w14:paraId="202535B4">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4、总价金额与按单价汇总金额不一致的，以单价金额计算结果为准；</w:t>
      </w:r>
    </w:p>
    <w:p w14:paraId="1F95C6A1">
      <w:pPr>
        <w:keepNext w:val="0"/>
        <w:keepLines w:val="0"/>
        <w:pageBreakBefore w:val="0"/>
        <w:widowControl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5、政采云平台填报的开标一览表中的价格与上传的报价文件中开标一览表的报价不一致的，以上传的报价文件为准。</w:t>
      </w:r>
    </w:p>
    <w:p w14:paraId="401DA8E2">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、对不同文字文本投标文件的解释发生异议的，以中文文本为准。</w:t>
      </w:r>
    </w:p>
    <w:p w14:paraId="43E7A963">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14:paraId="45308F9F">
      <w:pPr>
        <w:pStyle w:val="12"/>
        <w:keepNext w:val="0"/>
        <w:keepLines w:val="0"/>
        <w:pageBreakBefore w:val="0"/>
        <w:widowControl w:val="0"/>
        <w:tabs>
          <w:tab w:val="left" w:pos="630"/>
        </w:tabs>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（六）评标原则和评标办法</w:t>
      </w:r>
    </w:p>
    <w:p w14:paraId="5AF875A0">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6210FCAB">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14:paraId="4FCD490F">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审人员对有关招标文件、投标文件、样品、现场演示（如有）的说明、解释、要求、标准存在不同意见的，持不同意见的评审人员及其意见或理由应予以完整记录，并在评审过程中按照少数服从多数的原则表决执行。对招标文件本身不明确或存在歧义、矛盾的内容，应作对供应商而非采购单位有利的解释；对因招标文件中有关产品技术参数需求表述不清导致供应商实质性响应不一致时，应终止评审，重新组织采购。评审人员拒绝在评审报告中签字又不说明其不同意见或理由的，由现场监督员记录在案后，可视为同意评审结果。</w:t>
      </w:r>
    </w:p>
    <w:p w14:paraId="03F782D2">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.评标办法。本项目评标办法是 综合评分法 ，具体评标内容及评分标准等详见《第四章：评标办法及评分标准》。</w:t>
      </w:r>
    </w:p>
    <w:p w14:paraId="59A70922">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（七）评标过程的监控</w:t>
      </w:r>
    </w:p>
    <w:p w14:paraId="5DA65FC4">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本项目评标过程实行全程录音、录像监控，投标人在评标过程中所进行的试图影响评标结果的不公正活动，可能导致其投标被拒绝。</w:t>
      </w:r>
    </w:p>
    <w:p w14:paraId="50FE2320">
      <w:pPr>
        <w:pStyle w:val="12"/>
        <w:keepNext w:val="0"/>
        <w:keepLines w:val="0"/>
        <w:pageBreakBefore w:val="0"/>
        <w:widowControl w:val="0"/>
        <w:kinsoku/>
        <w:wordWrap/>
        <w:overflowPunct/>
        <w:topLinePunct w:val="0"/>
        <w:autoSpaceDE/>
        <w:autoSpaceDN/>
        <w:bidi w:val="0"/>
        <w:adjustRightInd/>
        <w:snapToGrid w:val="0"/>
        <w:spacing w:line="440" w:lineRule="exact"/>
        <w:ind w:right="0" w:rightChars="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六、定标</w:t>
      </w:r>
    </w:p>
    <w:p w14:paraId="4D58CE98">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1、采购代理机构应当在评标结束后2个工作日内将评标报告送采购人。</w:t>
      </w:r>
    </w:p>
    <w:p w14:paraId="750360C8">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C285A6E">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3、采购人自行组织招标的，应当在评标结束后5个工作日内确定中标人。</w:t>
      </w:r>
    </w:p>
    <w:p w14:paraId="2936D38C">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4、采购人在收到评标报告5个工作日内未按评标报告推荐的中标候选人顺序确定中标人，又不能说明合法理由的，视同按评标报告推荐的顺序确定排名第一的中标候选人为中标人。</w:t>
      </w:r>
    </w:p>
    <w:p w14:paraId="33591944">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5、采购人或者采购代理机构应当自中标人确定之日起2个工作日内，在省级以上财政部门指定的媒体上公告中标结果。</w:t>
      </w:r>
    </w:p>
    <w:p w14:paraId="1EE28891">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6、中标公告期限为1个工作日。</w:t>
      </w:r>
    </w:p>
    <w:p w14:paraId="5613FA98">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8、在公告中标结果的同时，采购人或者采购代理机构应当向中标人发出中标通知书.。</w:t>
      </w:r>
    </w:p>
    <w:p w14:paraId="47AECCE7">
      <w:pPr>
        <w:pStyle w:val="12"/>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9、中标通知书发出后，采购人不得违法改变中标结果，中标人无正当理由不得放弃中标。</w:t>
      </w:r>
    </w:p>
    <w:p w14:paraId="50E8C2E0">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10、若中标人被投诉有效以及其他原因导致中标无效，或者拒不签订合同的，采购人将在评标委员会推荐的中标候选人中确定排名其次的中标候选人为本项目的中标人或重新招标。</w:t>
      </w:r>
    </w:p>
    <w:p w14:paraId="6C5BEA05">
      <w:pPr>
        <w:pStyle w:val="12"/>
        <w:keepNext w:val="0"/>
        <w:keepLines w:val="0"/>
        <w:pageBreakBefore w:val="0"/>
        <w:kinsoku/>
        <w:wordWrap/>
        <w:overflowPunct/>
        <w:topLinePunct w:val="0"/>
        <w:autoSpaceDE/>
        <w:autoSpaceDN/>
        <w:bidi w:val="0"/>
        <w:snapToGrid w:val="0"/>
        <w:spacing w:before="0" w:line="440" w:lineRule="exact"/>
        <w:ind w:right="0" w:rightChars="0"/>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val="en-US" w:eastAsia="zh-CN"/>
        </w:rPr>
        <w:t>七</w:t>
      </w:r>
      <w:r>
        <w:rPr>
          <w:rFonts w:hint="eastAsia" w:ascii="宋体" w:hAnsi="宋体" w:eastAsia="宋体" w:cs="宋体"/>
          <w:b/>
          <w:color w:val="auto"/>
          <w:sz w:val="22"/>
          <w:szCs w:val="22"/>
          <w:highlight w:val="none"/>
        </w:rPr>
        <w:t>、合同授予</w:t>
      </w:r>
    </w:p>
    <w:p w14:paraId="05FF5402">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（一）签订合同</w:t>
      </w:r>
    </w:p>
    <w:p w14:paraId="327E7338">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1.采购人与中标人应当在《中标通知书》发出之日起30日内签订政府采购合同。同时，采购代理机构对合同内容进行鉴证，如发现与采购结果和投标承诺内容不一致的，应予以纠正。</w:t>
      </w:r>
    </w:p>
    <w:p w14:paraId="76BAF9EC">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2.中标人拖延、拒签合同的,将被取消中标资格。</w:t>
      </w:r>
    </w:p>
    <w:p w14:paraId="146ACE18">
      <w:pPr>
        <w:pStyle w:val="12"/>
        <w:keepNext w:val="0"/>
        <w:keepLines w:val="0"/>
        <w:pageBreakBefore w:val="0"/>
        <w:widowControl w:val="0"/>
        <w:kinsoku/>
        <w:wordWrap/>
        <w:overflowPunct/>
        <w:topLinePunct w:val="0"/>
        <w:autoSpaceDE/>
        <w:autoSpaceDN/>
        <w:bidi w:val="0"/>
        <w:adjustRightInd/>
        <w:snapToGrid w:val="0"/>
        <w:spacing w:before="0" w:line="440" w:lineRule="exact"/>
        <w:ind w:left="0" w:leftChars="0" w:right="0" w:rightChars="0"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（二）履约保证金</w:t>
      </w:r>
    </w:p>
    <w:p w14:paraId="3C81BDF9">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1.中标人应根据招标文件确定的履约保证金的金额，向采购人交纳履约保证金。并保证按照投标承诺及时签订合同并履约，若违背承诺，接受在政府采购指定媒体上公告曝光处理并按约定承但违约责任。</w:t>
      </w:r>
    </w:p>
    <w:p w14:paraId="3CB287AB">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2.签订合同后，如中标人不按双方合同约定履约，则没收其全部履约保证金，履约保证金不足以赔偿损失的，按实际损失赔偿。</w:t>
      </w:r>
    </w:p>
    <w:p w14:paraId="58A0F76F">
      <w:pPr>
        <w:pStyle w:val="12"/>
        <w:keepNext w:val="0"/>
        <w:keepLines w:val="0"/>
        <w:pageBreakBefore w:val="0"/>
        <w:kinsoku/>
        <w:wordWrap/>
        <w:overflowPunct/>
        <w:topLinePunct w:val="0"/>
        <w:autoSpaceDE/>
        <w:autoSpaceDN/>
        <w:bidi w:val="0"/>
        <w:snapToGrid w:val="0"/>
        <w:spacing w:before="0" w:line="440" w:lineRule="exact"/>
        <w:ind w:right="0" w:rightChars="0"/>
        <w:textAlignment w:val="auto"/>
        <w:outlineLvl w:val="9"/>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、特别说明</w:t>
      </w:r>
    </w:p>
    <w:p w14:paraId="11568289">
      <w:pPr>
        <w:pStyle w:val="9"/>
        <w:keepNext w:val="0"/>
        <w:keepLines w:val="0"/>
        <w:pageBreakBefore w:val="0"/>
        <w:numPr>
          <w:ilvl w:val="0"/>
          <w:numId w:val="3"/>
        </w:numPr>
        <w:kinsoku/>
        <w:wordWrap/>
        <w:overflowPunct/>
        <w:topLinePunct w:val="0"/>
        <w:autoSpaceDE/>
        <w:autoSpaceDN/>
        <w:bidi w:val="0"/>
        <w:adjustRightInd/>
        <w:spacing w:after="0"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本项目专门面向中小企业采购。</w:t>
      </w:r>
    </w:p>
    <w:p w14:paraId="7CDE9255">
      <w:pPr>
        <w:pStyle w:val="9"/>
        <w:keepNext w:val="0"/>
        <w:keepLines w:val="0"/>
        <w:pageBreakBefore w:val="0"/>
        <w:kinsoku/>
        <w:wordWrap/>
        <w:overflowPunct/>
        <w:topLinePunct w:val="0"/>
        <w:autoSpaceDE/>
        <w:autoSpaceDN/>
        <w:bidi w:val="0"/>
        <w:adjustRightInd/>
        <w:spacing w:after="0" w:line="440" w:lineRule="exact"/>
        <w:ind w:left="0" w:leftChars="0" w:right="0" w:rightChars="0"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2、本项目对应的中小企业划分标准所属行业：</w:t>
      </w:r>
      <w:r>
        <w:rPr>
          <w:rFonts w:hint="eastAsia" w:ascii="宋体" w:hAnsi="宋体" w:eastAsia="宋体" w:cs="宋体"/>
          <w:b/>
          <w:bCs/>
          <w:color w:val="auto"/>
          <w:sz w:val="22"/>
          <w:szCs w:val="22"/>
          <w:highlight w:val="none"/>
          <w:u w:val="single"/>
        </w:rPr>
        <w:t>其他</w:t>
      </w:r>
      <w:r>
        <w:rPr>
          <w:rFonts w:hint="eastAsia" w:ascii="宋体" w:hAnsi="宋体" w:eastAsia="宋体" w:cs="宋体"/>
          <w:b/>
          <w:bCs/>
          <w:color w:val="auto"/>
          <w:sz w:val="22"/>
          <w:szCs w:val="22"/>
          <w:highlight w:val="none"/>
          <w:u w:val="single"/>
          <w:lang w:val="en-US" w:eastAsia="zh-CN"/>
        </w:rPr>
        <w:t>未列明</w:t>
      </w:r>
      <w:r>
        <w:rPr>
          <w:rFonts w:hint="eastAsia" w:ascii="宋体" w:hAnsi="宋体" w:eastAsia="宋体" w:cs="宋体"/>
          <w:b/>
          <w:bCs/>
          <w:color w:val="auto"/>
          <w:sz w:val="22"/>
          <w:szCs w:val="22"/>
          <w:highlight w:val="none"/>
          <w:u w:val="single"/>
        </w:rPr>
        <w:t xml:space="preserve">行业 </w:t>
      </w:r>
      <w:r>
        <w:rPr>
          <w:rFonts w:hint="eastAsia" w:ascii="宋体" w:hAnsi="宋体" w:eastAsia="宋体" w:cs="宋体"/>
          <w:b/>
          <w:bCs/>
          <w:color w:val="auto"/>
          <w:sz w:val="22"/>
          <w:szCs w:val="22"/>
          <w:highlight w:val="none"/>
        </w:rPr>
        <w:t xml:space="preserve">。 </w:t>
      </w:r>
    </w:p>
    <w:p w14:paraId="34A0D9EF">
      <w:pPr>
        <w:keepNext w:val="0"/>
        <w:keepLines w:val="0"/>
        <w:pageBreakBefore w:val="0"/>
        <w:kinsoku/>
        <w:wordWrap/>
        <w:overflowPunct/>
        <w:topLinePunct w:val="0"/>
        <w:autoSpaceDE/>
        <w:autoSpaceDN/>
        <w:bidi w:val="0"/>
        <w:adjustRightInd/>
        <w:snapToGrid w:val="0"/>
        <w:spacing w:line="440" w:lineRule="exact"/>
        <w:ind w:left="0" w:leftChars="0" w:right="0" w:rightChars="0"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3、中小企业，是指在中华人民共和国境内依法设立，依据国务院批准的中小企业划分标准确定的中型企业、小型企业和微型企业，但与大企业的负责人为同一人，或者与大企业存在直接控股、管理关系的除外。</w:t>
      </w:r>
    </w:p>
    <w:p w14:paraId="09D6B18B">
      <w:pPr>
        <w:keepNext w:val="0"/>
        <w:keepLines w:val="0"/>
        <w:pageBreakBefore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符合中小企业划分标准的个体工商户，在政府采购活动中视同中小企业。</w:t>
      </w:r>
    </w:p>
    <w:p w14:paraId="5D2762F9">
      <w:pPr>
        <w:keepNext w:val="0"/>
        <w:keepLines w:val="0"/>
        <w:pageBreakBefore w:val="0"/>
        <w:kinsoku/>
        <w:wordWrap/>
        <w:overflowPunct/>
        <w:topLinePunct w:val="0"/>
        <w:autoSpaceDE/>
        <w:autoSpaceDN/>
        <w:bidi w:val="0"/>
        <w:adjustRightInd/>
        <w:spacing w:line="440" w:lineRule="exact"/>
        <w:ind w:left="0" w:leftChars="0" w:right="0" w:righ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国务院批准的中小企业划分标准：具体见工信部联企业[2011]300号。</w:t>
      </w:r>
    </w:p>
    <w:p w14:paraId="16FCB17D">
      <w:pPr>
        <w:keepNext w:val="0"/>
        <w:keepLines w:val="0"/>
        <w:pageBreakBefore w:val="0"/>
        <w:kinsoku/>
        <w:wordWrap/>
        <w:overflowPunct/>
        <w:topLinePunct w:val="0"/>
        <w:autoSpaceDE/>
        <w:autoSpaceDN/>
        <w:bidi w:val="0"/>
        <w:adjustRightInd/>
        <w:spacing w:line="440" w:lineRule="exact"/>
        <w:ind w:left="0" w:leftChars="0" w:right="0" w:rightChars="0"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w:t>
      </w:r>
      <w:r>
        <w:rPr>
          <w:rFonts w:hint="eastAsia" w:ascii="宋体" w:hAnsi="宋体" w:eastAsia="宋体" w:cs="宋体"/>
          <w:color w:val="auto"/>
          <w:sz w:val="22"/>
          <w:szCs w:val="22"/>
          <w:highlight w:val="none"/>
        </w:rPr>
        <w:t>在政府采购活动中，供应商提供的货物、工程或者服务符合下列情形的，享受《政府采购促进中小企业发展管理办法》规定的中小企业扶持政策：</w:t>
      </w:r>
    </w:p>
    <w:p w14:paraId="2216B9C7">
      <w:pPr>
        <w:keepNext w:val="0"/>
        <w:keepLines w:val="0"/>
        <w:pageBreakBefore w:val="0"/>
        <w:kinsoku/>
        <w:wordWrap/>
        <w:overflowPunct/>
        <w:topLinePunct w:val="0"/>
        <w:autoSpaceDE/>
        <w:autoSpaceDN/>
        <w:bidi w:val="0"/>
        <w:adjustRightInd/>
        <w:spacing w:line="440" w:lineRule="exact"/>
        <w:ind w:left="0" w:leftChars="0" w:right="0" w:rightChars="0"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（1）在货物采购项目中，货物由小微企业制造，即货物由小微企业生产且使用该小微企业商号或者注册商标；</w:t>
      </w:r>
    </w:p>
    <w:p w14:paraId="349F6B78">
      <w:pPr>
        <w:keepNext w:val="0"/>
        <w:keepLines w:val="0"/>
        <w:pageBreakBefore w:val="0"/>
        <w:kinsoku/>
        <w:wordWrap/>
        <w:overflowPunct/>
        <w:topLinePunct w:val="0"/>
        <w:autoSpaceDE/>
        <w:autoSpaceDN/>
        <w:bidi w:val="0"/>
        <w:adjustRightInd/>
        <w:spacing w:line="440" w:lineRule="exact"/>
        <w:ind w:left="0" w:leftChars="0" w:right="0" w:rightChars="0"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（2）在工程采购项目中，工程由小微企业承建，即工程施工单位为小微企业；</w:t>
      </w:r>
    </w:p>
    <w:p w14:paraId="2389CE3B">
      <w:pPr>
        <w:keepNext w:val="0"/>
        <w:keepLines w:val="0"/>
        <w:pageBreakBefore w:val="0"/>
        <w:kinsoku/>
        <w:wordWrap/>
        <w:overflowPunct/>
        <w:topLinePunct w:val="0"/>
        <w:autoSpaceDE/>
        <w:autoSpaceDN/>
        <w:bidi w:val="0"/>
        <w:adjustRightInd/>
        <w:spacing w:line="440" w:lineRule="exact"/>
        <w:ind w:left="0" w:leftChars="0" w:right="0" w:rightChars="0"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（3）在服务采购项目中，服务由小微企业承接，即提供服务的人员为小微企业依照《中华人民共和国劳动合同法》订立劳动合同的从业人员。</w:t>
      </w:r>
    </w:p>
    <w:p w14:paraId="2BC18ABB">
      <w:pPr>
        <w:keepNext w:val="0"/>
        <w:keepLines w:val="0"/>
        <w:pageBreakBefore w:val="0"/>
        <w:kinsoku/>
        <w:wordWrap/>
        <w:overflowPunct/>
        <w:topLinePunct w:val="0"/>
        <w:autoSpaceDE/>
        <w:autoSpaceDN/>
        <w:bidi w:val="0"/>
        <w:adjustRightInd/>
        <w:spacing w:line="440" w:lineRule="exact"/>
        <w:ind w:left="0" w:leftChars="0" w:right="0" w:rightChars="0"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以联合体形式参加政府采购活动，联合体各方均为小微企业的，联合体视同小微企业。</w:t>
      </w:r>
    </w:p>
    <w:p w14:paraId="714D4948">
      <w:pPr>
        <w:keepNext w:val="0"/>
        <w:keepLines w:val="0"/>
        <w:pageBreakBefore w:val="0"/>
        <w:kinsoku/>
        <w:wordWrap/>
        <w:overflowPunct/>
        <w:topLinePunct w:val="0"/>
        <w:autoSpaceDE/>
        <w:autoSpaceDN/>
        <w:bidi w:val="0"/>
        <w:adjustRightInd/>
        <w:spacing w:line="440" w:lineRule="exact"/>
        <w:ind w:left="0" w:leftChars="0" w:right="0" w:rightChars="0" w:firstLine="440" w:firstLineChars="200"/>
        <w:jc w:val="left"/>
        <w:textAlignment w:val="auto"/>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注：本项目是专门面向中小企业/小微企业采购，满足要求的供应商不再享受价格扣除优惠。</w:t>
      </w:r>
    </w:p>
    <w:p w14:paraId="48695A42">
      <w:pPr>
        <w:keepNext w:val="0"/>
        <w:keepLines w:val="0"/>
        <w:pageBreakBefore w:val="0"/>
        <w:kinsoku/>
        <w:wordWrap/>
        <w:overflowPunct/>
        <w:topLinePunct w:val="0"/>
        <w:autoSpaceDE/>
        <w:autoSpaceDN/>
        <w:bidi w:val="0"/>
        <w:adjustRightInd/>
        <w:spacing w:line="440" w:lineRule="exact"/>
        <w:ind w:left="0" w:leftChars="0" w:right="0" w:rightChars="0"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5、在货物采购项目中，供应商提供的货物既有中小企业制造货物，也有大型企业制造货物的，不享受的小微企业价格扣除。</w:t>
      </w:r>
    </w:p>
    <w:p w14:paraId="2C8F5032">
      <w:pPr>
        <w:keepNext w:val="0"/>
        <w:keepLines w:val="0"/>
        <w:pageBreakBefore w:val="0"/>
        <w:kinsoku/>
        <w:wordWrap/>
        <w:overflowPunct/>
        <w:topLinePunct w:val="0"/>
        <w:autoSpaceDE/>
        <w:autoSpaceDN/>
        <w:bidi w:val="0"/>
        <w:adjustRightInd/>
        <w:spacing w:line="440" w:lineRule="exact"/>
        <w:ind w:left="0" w:leftChars="0" w:right="0" w:rightChars="0"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6</w:t>
      </w:r>
      <w:r>
        <w:rPr>
          <w:rFonts w:hint="eastAsia" w:ascii="宋体" w:hAnsi="宋体" w:eastAsia="宋体" w:cs="宋体"/>
          <w:color w:val="auto"/>
          <w:kern w:val="2"/>
          <w:sz w:val="22"/>
          <w:szCs w:val="22"/>
          <w:highlight w:val="none"/>
        </w:rPr>
        <w:t>、小微企业应按照招标文件格式要求提供《中小企业声明函》。</w:t>
      </w:r>
    </w:p>
    <w:p w14:paraId="3A90BC40">
      <w:pPr>
        <w:keepNext w:val="0"/>
        <w:keepLines w:val="0"/>
        <w:pageBreakBefore w:val="0"/>
        <w:kinsoku/>
        <w:wordWrap/>
        <w:overflowPunct/>
        <w:topLinePunct w:val="0"/>
        <w:autoSpaceDE/>
        <w:autoSpaceDN/>
        <w:bidi w:val="0"/>
        <w:adjustRightInd/>
        <w:spacing w:line="440" w:lineRule="exact"/>
        <w:ind w:left="0" w:leftChars="0" w:right="0" w:rightChars="0"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7</w:t>
      </w:r>
      <w:r>
        <w:rPr>
          <w:rFonts w:hint="eastAsia" w:ascii="宋体" w:hAnsi="宋体" w:eastAsia="宋体" w:cs="宋体"/>
          <w:color w:val="auto"/>
          <w:kern w:val="2"/>
          <w:sz w:val="22"/>
          <w:szCs w:val="22"/>
          <w:highlight w:val="none"/>
        </w:rPr>
        <w:t>、根据《财政部司法部关于政府采购支持监狱企业发展有关问题的通知》（财库〔2014〕68号）规定，监狱企业视同小型、微型企业。监狱企业参加政府采购活动时，应当提供由省级以上监狱管理局、戒毒管理局（含新疆生产建设兵团）出具的属于监狱企业的证明文件。</w:t>
      </w:r>
    </w:p>
    <w:p w14:paraId="3AA98D0C">
      <w:pPr>
        <w:keepNext w:val="0"/>
        <w:keepLines w:val="0"/>
        <w:pageBreakBefore w:val="0"/>
        <w:kinsoku/>
        <w:wordWrap/>
        <w:overflowPunct/>
        <w:topLinePunct w:val="0"/>
        <w:autoSpaceDE/>
        <w:autoSpaceDN/>
        <w:bidi w:val="0"/>
        <w:adjustRightInd/>
        <w:spacing w:line="440" w:lineRule="exact"/>
        <w:ind w:left="0" w:leftChars="0" w:right="0" w:rightChars="0"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8</w:t>
      </w:r>
      <w:r>
        <w:rPr>
          <w:rFonts w:hint="eastAsia" w:ascii="宋体" w:hAnsi="宋体" w:eastAsia="宋体" w:cs="宋体"/>
          <w:color w:val="auto"/>
          <w:kern w:val="2"/>
          <w:sz w:val="22"/>
          <w:szCs w:val="22"/>
          <w:highlight w:val="none"/>
        </w:rPr>
        <w:t>、根据《关于促进残疾人就业政府采购政策的通知》（财库[2017]141号）规定，在政府采购活动中，残疾人福利性单位视同小型、微型企业。残疾人福利性单位参加政府采购活动时，提供《残疾人福利性单位声明函》。</w:t>
      </w:r>
    </w:p>
    <w:p w14:paraId="09B14083">
      <w:pPr>
        <w:keepNext w:val="0"/>
        <w:keepLines w:val="0"/>
        <w:pageBreakBefore w:val="0"/>
        <w:kinsoku/>
        <w:wordWrap/>
        <w:overflowPunct/>
        <w:topLinePunct w:val="0"/>
        <w:autoSpaceDE/>
        <w:autoSpaceDN/>
        <w:bidi w:val="0"/>
        <w:adjustRightInd/>
        <w:spacing w:line="440" w:lineRule="exact"/>
        <w:ind w:left="0" w:leftChars="0" w:right="0" w:rightChars="0"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9</w:t>
      </w:r>
      <w:r>
        <w:rPr>
          <w:rFonts w:hint="eastAsia" w:ascii="宋体" w:hAnsi="宋体" w:eastAsia="宋体" w:cs="宋体"/>
          <w:color w:val="auto"/>
          <w:kern w:val="2"/>
          <w:sz w:val="22"/>
          <w:szCs w:val="22"/>
          <w:highlight w:val="none"/>
        </w:rPr>
        <w:t>、按规定享受扶持政策获得政府采购合同的，小微企业不得将合同分包给大中型企业，中型企业不得将合同分包给大型企业。</w:t>
      </w:r>
    </w:p>
    <w:p w14:paraId="630A3FF4">
      <w:pPr>
        <w:pStyle w:val="12"/>
        <w:keepNext w:val="0"/>
        <w:keepLines w:val="0"/>
        <w:pageBreakBefore w:val="0"/>
        <w:widowControl/>
        <w:kinsoku/>
        <w:wordWrap/>
        <w:overflowPunct/>
        <w:topLinePunct w:val="0"/>
        <w:autoSpaceDE/>
        <w:autoSpaceDN/>
        <w:bidi w:val="0"/>
        <w:adjustRightInd/>
        <w:spacing w:before="0" w:line="440" w:lineRule="exact"/>
        <w:ind w:left="0" w:leftChars="0" w:right="0" w:rightChars="0" w:firstLine="440" w:firstLineChars="200"/>
        <w:jc w:val="left"/>
        <w:textAlignment w:val="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、供应商按照《政府采购促进中小企业发展管理办法》（财库﹝2020﹞46号）规定提供声明函内容不实的，属于提供虚假材料谋取中标、成交，依照《中华人民共和国政府采购法》等国家有关规定追究相应责任。</w:t>
      </w:r>
    </w:p>
    <w:p w14:paraId="41E369B3">
      <w:pPr>
        <w:pStyle w:val="12"/>
        <w:keepNext w:val="0"/>
        <w:keepLines w:val="0"/>
        <w:pageBreakBefore w:val="0"/>
        <w:widowControl w:val="0"/>
        <w:kinsoku/>
        <w:wordWrap/>
        <w:overflowPunct/>
        <w:topLinePunct w:val="0"/>
        <w:autoSpaceDE/>
        <w:autoSpaceDN/>
        <w:bidi w:val="0"/>
        <w:snapToGrid w:val="0"/>
        <w:spacing w:line="600" w:lineRule="exact"/>
        <w:jc w:val="center"/>
        <w:textAlignment w:val="auto"/>
        <w:outlineLvl w:val="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第四章  评标办法及评分标准</w:t>
      </w:r>
    </w:p>
    <w:p w14:paraId="6594D2F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（综合评分法）</w:t>
      </w:r>
    </w:p>
    <w:p w14:paraId="466C18D8">
      <w:pPr>
        <w:pStyle w:val="12"/>
        <w:keepNext w:val="0"/>
        <w:keepLines w:val="0"/>
        <w:pageBreakBefore w:val="0"/>
        <w:widowControl/>
        <w:kinsoku/>
        <w:wordWrap/>
        <w:overflowPunct/>
        <w:topLinePunct w:val="0"/>
        <w:autoSpaceDE/>
        <w:autoSpaceDN/>
        <w:bidi w:val="0"/>
        <w:adjustRightInd/>
        <w:snapToGrid w:val="0"/>
        <w:spacing w:before="0" w:after="0" w:line="500" w:lineRule="exact"/>
        <w:ind w:firstLine="440" w:firstLineChars="200"/>
        <w:textAlignment w:val="auto"/>
        <w:outlineLvl w:val="9"/>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本办法严格遵照《中华人民共和国政府采购法》、《政府采购货物和服务招标投标管理办法》，结合项目所在地政府有关政府采购规定和项目的实际情况制定。</w:t>
      </w:r>
    </w:p>
    <w:p w14:paraId="54ED4A0D">
      <w:pPr>
        <w:keepNext w:val="0"/>
        <w:keepLines w:val="0"/>
        <w:pageBreakBefore w:val="0"/>
        <w:widowControl/>
        <w:kinsoku/>
        <w:wordWrap/>
        <w:overflowPunct/>
        <w:topLinePunct w:val="0"/>
        <w:autoSpaceDE/>
        <w:autoSpaceDN/>
        <w:bidi w:val="0"/>
        <w:adjustRightInd/>
        <w:snapToGrid w:val="0"/>
        <w:spacing w:line="5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一、总则</w:t>
      </w:r>
    </w:p>
    <w:p w14:paraId="4E8ABFFA">
      <w:pPr>
        <w:keepNext w:val="0"/>
        <w:keepLines w:val="0"/>
        <w:pageBreakBefore w:val="0"/>
        <w:widowControl/>
        <w:kinsoku/>
        <w:wordWrap/>
        <w:overflowPunct/>
        <w:topLinePunct w:val="0"/>
        <w:autoSpaceDE/>
        <w:autoSpaceDN/>
        <w:bidi w:val="0"/>
        <w:adjustRightInd/>
        <w:snapToGrid w:val="0"/>
        <w:spacing w:line="5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招标活动遵循公平、公正、科学、择优的原则依法进行，招标活动及当事人接受依法实施的监督。</w:t>
      </w:r>
    </w:p>
    <w:p w14:paraId="708422F1">
      <w:pPr>
        <w:keepNext w:val="0"/>
        <w:keepLines w:val="0"/>
        <w:pageBreakBefore w:val="0"/>
        <w:widowControl/>
        <w:kinsoku/>
        <w:wordWrap/>
        <w:overflowPunct/>
        <w:topLinePunct w:val="0"/>
        <w:autoSpaceDE/>
        <w:autoSpaceDN/>
        <w:bidi w:val="0"/>
        <w:adjustRightInd/>
        <w:snapToGrid w:val="0"/>
        <w:spacing w:line="5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综合评分法，采用百分制，总分100分。供应商的综合得分为商务技术得分与报价得分之和。按综合得分由高到低的排序，推荐中标候选人。若供应商的综合得分相等，则投标报价低者列前；若投标报价也相同时，采取随机抽签的方式确定排序。</w:t>
      </w:r>
    </w:p>
    <w:p w14:paraId="55783A2F">
      <w:pPr>
        <w:keepNext w:val="0"/>
        <w:keepLines w:val="0"/>
        <w:pageBreakBefore w:val="0"/>
        <w:widowControl/>
        <w:kinsoku/>
        <w:wordWrap/>
        <w:overflowPunct/>
        <w:topLinePunct w:val="0"/>
        <w:autoSpaceDE/>
        <w:autoSpaceDN/>
        <w:bidi w:val="0"/>
        <w:adjustRightInd/>
        <w:snapToGrid w:val="0"/>
        <w:spacing w:line="5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本项目需要落实的政府采购政策：《政府采购促进中小企业发展管理办法》（财库〔2020〕46 号）</w:t>
      </w:r>
      <w:r>
        <w:rPr>
          <w:rFonts w:hint="eastAsia" w:ascii="宋体" w:hAnsi="宋体" w:eastAsia="宋体" w:cs="宋体"/>
          <w:color w:val="auto"/>
          <w:sz w:val="22"/>
          <w:szCs w:val="22"/>
          <w:highlight w:val="none"/>
          <w:lang w:eastAsia="zh-CN"/>
        </w:rPr>
        <w:t>、根</w:t>
      </w:r>
      <w:r>
        <w:rPr>
          <w:rFonts w:hint="eastAsia" w:ascii="宋体" w:hAnsi="宋体" w:eastAsia="宋体" w:cs="宋体"/>
          <w:color w:val="auto"/>
          <w:sz w:val="22"/>
          <w:szCs w:val="22"/>
          <w:highlight w:val="none"/>
        </w:rPr>
        <w:t>据《财政部司法部关于政府采购支持监狱企业发展有关问题的通知》（财库〔2014〕68号）、《关于促进残疾人就业政府采购政策的通知》（财库[2017]141号）等。</w:t>
      </w:r>
    </w:p>
    <w:p w14:paraId="7C5A9BBB">
      <w:pPr>
        <w:keepNext w:val="0"/>
        <w:keepLines w:val="0"/>
        <w:pageBreakBefore w:val="0"/>
        <w:widowControl/>
        <w:kinsoku/>
        <w:wordWrap/>
        <w:overflowPunct/>
        <w:topLinePunct w:val="0"/>
        <w:autoSpaceDE/>
        <w:autoSpaceDN/>
        <w:bidi w:val="0"/>
        <w:adjustRightInd/>
        <w:snapToGrid w:val="0"/>
        <w:spacing w:line="5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本次采购为专门面向中小企业/小微企业采购，满足要求的供应商不再享受价格扣除优惠。</w:t>
      </w:r>
    </w:p>
    <w:p w14:paraId="1A9F3E16">
      <w:pPr>
        <w:keepNext w:val="0"/>
        <w:keepLines w:val="0"/>
        <w:pageBreakBefore w:val="0"/>
        <w:widowControl/>
        <w:kinsoku/>
        <w:wordWrap/>
        <w:overflowPunct/>
        <w:topLinePunct w:val="0"/>
        <w:autoSpaceDE/>
        <w:autoSpaceDN/>
        <w:bidi w:val="0"/>
        <w:adjustRightInd/>
        <w:snapToGrid w:val="0"/>
        <w:spacing w:line="5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评标委员会成员对需要共同认定的事项存在争议的，应当按照少数服从多数的原则作出结论。</w:t>
      </w:r>
    </w:p>
    <w:p w14:paraId="0350505C">
      <w:pPr>
        <w:keepNext w:val="0"/>
        <w:keepLines w:val="0"/>
        <w:pageBreakBefore w:val="0"/>
        <w:widowControl/>
        <w:kinsoku/>
        <w:wordWrap/>
        <w:overflowPunct/>
        <w:topLinePunct w:val="0"/>
        <w:autoSpaceDE/>
        <w:autoSpaceDN/>
        <w:bidi w:val="0"/>
        <w:adjustRightInd/>
        <w:snapToGrid w:val="0"/>
        <w:spacing w:line="5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二、评标过程</w:t>
      </w:r>
    </w:p>
    <w:p w14:paraId="65E0B438">
      <w:pPr>
        <w:keepNext w:val="0"/>
        <w:keepLines w:val="0"/>
        <w:pageBreakBefore w:val="0"/>
        <w:kinsoku/>
        <w:wordWrap/>
        <w:overflowPunct/>
        <w:topLinePunct w:val="0"/>
        <w:autoSpaceDE/>
        <w:autoSpaceDN/>
        <w:bidi w:val="0"/>
        <w:adjustRightInd/>
        <w:snapToGrid w:val="0"/>
        <w:spacing w:line="500" w:lineRule="exact"/>
        <w:ind w:firstLine="440" w:firstLineChars="200"/>
        <w:contextualSpacing/>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（一）资格条件审查</w:t>
      </w:r>
    </w:p>
    <w:p w14:paraId="5DFBEAA1">
      <w:pPr>
        <w:keepNext w:val="0"/>
        <w:keepLines w:val="0"/>
        <w:pageBreakBefore w:val="0"/>
        <w:kinsoku/>
        <w:wordWrap/>
        <w:overflowPunct/>
        <w:topLinePunct w:val="0"/>
        <w:autoSpaceDE/>
        <w:autoSpaceDN/>
        <w:bidi w:val="0"/>
        <w:adjustRightInd/>
        <w:snapToGrid w:val="0"/>
        <w:spacing w:line="50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由采购人或采购代理机构对投标人的资格进行审查。</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653"/>
        <w:gridCol w:w="5584"/>
      </w:tblGrid>
      <w:tr w14:paraId="1CD3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99" w:type="pct"/>
            <w:noWrap w:val="0"/>
            <w:vAlign w:val="bottom"/>
          </w:tcPr>
          <w:p w14:paraId="4F4565CD">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审查类别</w:t>
            </w:r>
          </w:p>
        </w:tc>
        <w:tc>
          <w:tcPr>
            <w:tcW w:w="1417" w:type="pct"/>
            <w:noWrap w:val="0"/>
            <w:vAlign w:val="bottom"/>
          </w:tcPr>
          <w:p w14:paraId="5302A617">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审查项目</w:t>
            </w:r>
          </w:p>
        </w:tc>
        <w:tc>
          <w:tcPr>
            <w:tcW w:w="2983" w:type="pct"/>
            <w:noWrap w:val="0"/>
            <w:vAlign w:val="bottom"/>
          </w:tcPr>
          <w:p w14:paraId="3E8B376D">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审查内容</w:t>
            </w:r>
          </w:p>
        </w:tc>
      </w:tr>
      <w:tr w14:paraId="7CF0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9" w:type="pct"/>
            <w:vMerge w:val="restart"/>
            <w:noWrap w:val="0"/>
            <w:vAlign w:val="center"/>
          </w:tcPr>
          <w:p w14:paraId="76F213F5">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资格条件</w:t>
            </w:r>
          </w:p>
          <w:p w14:paraId="2F2461DD">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审查</w:t>
            </w:r>
          </w:p>
        </w:tc>
        <w:tc>
          <w:tcPr>
            <w:tcW w:w="1417" w:type="pct"/>
            <w:noWrap w:val="0"/>
            <w:vAlign w:val="center"/>
          </w:tcPr>
          <w:p w14:paraId="4760E1D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1.符合《中华人民共和国政府采购法》第二十二条的要求</w:t>
            </w:r>
          </w:p>
        </w:tc>
        <w:tc>
          <w:tcPr>
            <w:tcW w:w="2983" w:type="pct"/>
            <w:noWrap w:val="0"/>
            <w:vAlign w:val="center"/>
          </w:tcPr>
          <w:p w14:paraId="107B7DC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w:t>
            </w:r>
            <w:r>
              <w:rPr>
                <w:rFonts w:hint="eastAsia" w:ascii="宋体" w:hAnsi="宋体" w:cs="宋体"/>
                <w:color w:val="auto"/>
                <w:szCs w:val="21"/>
                <w:highlight w:val="none"/>
                <w:shd w:val="clear" w:color="auto" w:fill="auto"/>
                <w:lang w:eastAsia="zh-CN"/>
              </w:rPr>
              <w:t>资格声明函</w:t>
            </w:r>
            <w:r>
              <w:rPr>
                <w:rFonts w:hint="eastAsia" w:ascii="宋体" w:hAnsi="宋体" w:eastAsia="宋体" w:cs="宋体"/>
                <w:color w:val="auto"/>
                <w:szCs w:val="21"/>
                <w:highlight w:val="none"/>
                <w:shd w:val="clear" w:color="auto" w:fill="auto"/>
              </w:rPr>
              <w:t>；</w:t>
            </w:r>
          </w:p>
          <w:p w14:paraId="79081E3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如投标代表为法定代表人时提供：法定代表人的正反面身份证复印件（加盖公章）；如投标代表非法定代表人时提供法定代表人授权委托书原件、法定代表人及授权代表的正反面身份证复印件（加盖公章）；</w:t>
            </w:r>
          </w:p>
          <w:p w14:paraId="54D4680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（3）有效的企业营业执照（或法人登记证）或者民办非企业单位登记证书复印件并加盖公章；</w:t>
            </w:r>
          </w:p>
          <w:p w14:paraId="605527E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（4）合格供应商的资格承诺书；</w:t>
            </w:r>
          </w:p>
          <w:p w14:paraId="6D5D30D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（5）供应商基本情况表；</w:t>
            </w:r>
          </w:p>
        </w:tc>
      </w:tr>
      <w:tr w14:paraId="75A5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9" w:hRule="atLeast"/>
          <w:jc w:val="center"/>
        </w:trPr>
        <w:tc>
          <w:tcPr>
            <w:tcW w:w="599" w:type="pct"/>
            <w:vMerge w:val="continue"/>
            <w:noWrap w:val="0"/>
            <w:vAlign w:val="center"/>
          </w:tcPr>
          <w:p w14:paraId="03DEF4AB">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p>
        </w:tc>
        <w:tc>
          <w:tcPr>
            <w:tcW w:w="1417" w:type="pct"/>
            <w:noWrap w:val="0"/>
            <w:vAlign w:val="center"/>
          </w:tcPr>
          <w:p w14:paraId="46B13F4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2.未被“信用中国”（www.creditchina.gov.cn</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、中国政府采购网（www.ccgp.gov.cn）列入失信被执行人、重大税收违法失信主体、政府采购严重违法失信行为记录名单。</w:t>
            </w:r>
          </w:p>
        </w:tc>
        <w:tc>
          <w:tcPr>
            <w:tcW w:w="2983" w:type="pct"/>
            <w:noWrap w:val="0"/>
            <w:vAlign w:val="center"/>
          </w:tcPr>
          <w:p w14:paraId="695205B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根据财库</w:t>
            </w:r>
            <w:r>
              <w:rPr>
                <w:rFonts w:hint="eastAsia" w:ascii="宋体" w:hAnsi="宋体" w:eastAsia="宋体" w:cs="宋体"/>
                <w:color w:val="auto"/>
                <w:szCs w:val="21"/>
                <w:highlight w:val="none"/>
                <w:shd w:val="clear" w:color="auto" w:fill="auto"/>
                <w:lang w:eastAsia="zh-CN"/>
              </w:rPr>
              <w:t>〔2016〕</w:t>
            </w:r>
            <w:r>
              <w:rPr>
                <w:rFonts w:hint="eastAsia" w:ascii="宋体" w:hAnsi="宋体" w:eastAsia="宋体" w:cs="宋体"/>
                <w:color w:val="auto"/>
                <w:szCs w:val="21"/>
                <w:highlight w:val="none"/>
                <w:shd w:val="clear" w:color="auto" w:fill="auto"/>
              </w:rPr>
              <w:t>125号文要求，采购人或采购代理机构对供应商的信用记录进行查询并甄别：</w:t>
            </w:r>
          </w:p>
          <w:p w14:paraId="518DC7A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（1）信用信息查询的截止时点：投标截止时间；</w:t>
            </w:r>
          </w:p>
          <w:p w14:paraId="451C21A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（2）查询渠道：“信用中国”（www.creditchina.gov.cn</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、中国政府采购网（www.ccgp.gov.cn）；</w:t>
            </w:r>
          </w:p>
          <w:p w14:paraId="3772354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（3）信用信息查询记录和证据留存具体方式：打印查询网页并与其他</w:t>
            </w:r>
            <w:r>
              <w:rPr>
                <w:rFonts w:hint="eastAsia" w:ascii="宋体" w:hAnsi="宋体" w:cs="宋体"/>
                <w:color w:val="auto"/>
                <w:szCs w:val="21"/>
                <w:highlight w:val="none"/>
                <w:shd w:val="clear" w:color="auto" w:fill="auto"/>
                <w:lang w:eastAsia="zh-CN"/>
              </w:rPr>
              <w:t>招标文件</w:t>
            </w:r>
            <w:r>
              <w:rPr>
                <w:rFonts w:hint="eastAsia" w:ascii="宋体" w:hAnsi="宋体" w:eastAsia="宋体" w:cs="宋体"/>
                <w:color w:val="auto"/>
                <w:szCs w:val="21"/>
                <w:highlight w:val="none"/>
                <w:shd w:val="clear" w:color="auto" w:fill="auto"/>
              </w:rPr>
              <w:t>一并保存；</w:t>
            </w:r>
          </w:p>
          <w:p w14:paraId="78BEDD2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（4）信用信息的使用规则：供应商存在不良信用记录的，其投标将被作为无效投标处理。不良信用记录指：被列入失信被执行人、重大税收违法失信主体、政府采购严重违法失信行为记录名单。</w:t>
            </w:r>
          </w:p>
          <w:p w14:paraId="5486EEC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若在开标当天因不可抗力事件导致无法查询且一时无法恢复查询的，可在中标公示期间对中标候选人进行事后查询。中标候选人被列入失信被执行人、重大税收违法失信主体、政府采购严重违法失信行为记录名单的，采购人将依法取消其中标资格。</w:t>
            </w:r>
          </w:p>
        </w:tc>
      </w:tr>
      <w:tr w14:paraId="426A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99" w:type="pct"/>
            <w:vMerge w:val="continue"/>
            <w:noWrap w:val="0"/>
            <w:vAlign w:val="center"/>
          </w:tcPr>
          <w:p w14:paraId="4296681D">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p>
        </w:tc>
        <w:tc>
          <w:tcPr>
            <w:tcW w:w="1417" w:type="pct"/>
            <w:noWrap w:val="0"/>
            <w:vAlign w:val="center"/>
          </w:tcPr>
          <w:p w14:paraId="4767BCB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3.落实政府采购政策需满足的资格要求</w:t>
            </w:r>
          </w:p>
        </w:tc>
        <w:tc>
          <w:tcPr>
            <w:tcW w:w="2983" w:type="pct"/>
            <w:noWrap w:val="0"/>
            <w:vAlign w:val="center"/>
          </w:tcPr>
          <w:p w14:paraId="7D98ED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依据《政府采购促进中小企业发展管理办法》</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财库〔2020〕46号，本项目为专门面向中小企业采购，承接工程的企业属于“其他未列明行业”的中型、小型、微型企业</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须提供中小企业声明函</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以及监狱企业、残疾人福利性单位视同小型、微型企业</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提供相关证明材料</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rPr>
              <w:t>方可参与本项目的</w:t>
            </w:r>
            <w:r>
              <w:rPr>
                <w:rFonts w:hint="eastAsia" w:ascii="宋体" w:hAnsi="宋体" w:eastAsia="宋体" w:cs="宋体"/>
                <w:color w:val="auto"/>
                <w:szCs w:val="21"/>
                <w:highlight w:val="none"/>
                <w:shd w:val="clear" w:color="auto" w:fill="auto"/>
                <w:lang w:val="en-US" w:eastAsia="zh-CN"/>
              </w:rPr>
              <w:t>投标</w:t>
            </w:r>
            <w:r>
              <w:rPr>
                <w:rFonts w:hint="eastAsia" w:ascii="宋体" w:hAnsi="宋体" w:eastAsia="宋体" w:cs="宋体"/>
                <w:color w:val="auto"/>
                <w:szCs w:val="21"/>
                <w:highlight w:val="none"/>
                <w:shd w:val="clear" w:color="auto" w:fill="auto"/>
              </w:rPr>
              <w:t>活动。中小微企业划型标准详见</w:t>
            </w:r>
            <w:r>
              <w:rPr>
                <w:rFonts w:hint="eastAsia" w:ascii="宋体" w:hAnsi="宋体" w:eastAsia="宋体" w:cs="宋体"/>
                <w:color w:val="auto"/>
                <w:szCs w:val="21"/>
                <w:highlight w:val="none"/>
                <w:shd w:val="clear" w:color="auto" w:fill="auto"/>
                <w:lang w:eastAsia="zh-CN"/>
              </w:rPr>
              <w:t>〔2011〕</w:t>
            </w:r>
            <w:r>
              <w:rPr>
                <w:rFonts w:hint="eastAsia" w:ascii="宋体" w:hAnsi="宋体" w:eastAsia="宋体" w:cs="宋体"/>
                <w:color w:val="auto"/>
                <w:szCs w:val="21"/>
                <w:highlight w:val="none"/>
                <w:shd w:val="clear" w:color="auto" w:fill="auto"/>
              </w:rPr>
              <w:t>300号文。</w:t>
            </w:r>
          </w:p>
        </w:tc>
      </w:tr>
      <w:tr w14:paraId="4CAC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599" w:type="pct"/>
            <w:vMerge w:val="continue"/>
            <w:noWrap w:val="0"/>
            <w:vAlign w:val="center"/>
          </w:tcPr>
          <w:p w14:paraId="311DB839">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p>
        </w:tc>
        <w:tc>
          <w:tcPr>
            <w:tcW w:w="1417" w:type="pct"/>
            <w:noWrap w:val="0"/>
            <w:vAlign w:val="center"/>
          </w:tcPr>
          <w:p w14:paraId="34B0F7D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default"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rPr>
              <w:t>4.本项目的特定资格要求</w:t>
            </w:r>
          </w:p>
        </w:tc>
        <w:tc>
          <w:tcPr>
            <w:tcW w:w="2983" w:type="pct"/>
            <w:noWrap w:val="0"/>
            <w:vAlign w:val="center"/>
          </w:tcPr>
          <w:p w14:paraId="4DB118F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textAlignment w:val="auto"/>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供应商须具有合法有效的营业执照，并具备水利部核发的水利工程施工监理乙级及以上资质。</w:t>
            </w:r>
          </w:p>
        </w:tc>
      </w:tr>
      <w:tr w14:paraId="2CDB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016" w:type="pct"/>
            <w:gridSpan w:val="2"/>
            <w:noWrap w:val="0"/>
            <w:vAlign w:val="center"/>
          </w:tcPr>
          <w:p w14:paraId="38D39BFE">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资格审查结论</w:t>
            </w:r>
          </w:p>
        </w:tc>
        <w:tc>
          <w:tcPr>
            <w:tcW w:w="2983" w:type="pct"/>
            <w:noWrap w:val="0"/>
            <w:vAlign w:val="center"/>
          </w:tcPr>
          <w:p w14:paraId="4FF9078C">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p>
        </w:tc>
      </w:tr>
    </w:tbl>
    <w:p w14:paraId="3F9A1D83">
      <w:pPr>
        <w:widowControl/>
        <w:spacing w:before="120" w:beforeLines="50" w:line="360" w:lineRule="auto"/>
        <w:ind w:firstLine="440"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（二）符合性审查</w:t>
      </w:r>
    </w:p>
    <w:p w14:paraId="0FE27DA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评标委员会应当对符合资格的投标人的投标文件进行符合性审查，以确定其是否满足采购文件的实质性要求。</w:t>
      </w:r>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548"/>
        <w:gridCol w:w="3105"/>
      </w:tblGrid>
      <w:tr w14:paraId="39BA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76" w:type="pct"/>
            <w:noWrap w:val="0"/>
            <w:vAlign w:val="center"/>
          </w:tcPr>
          <w:p w14:paraId="56CD953F">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b/>
                <w:color w:val="auto"/>
                <w:szCs w:val="21"/>
                <w:highlight w:val="none"/>
                <w:shd w:val="clear" w:color="auto" w:fill="auto"/>
              </w:rPr>
            </w:pPr>
            <w:bookmarkStart w:id="23" w:name="_Toc249866767"/>
            <w:bookmarkStart w:id="24" w:name="_Toc259108323"/>
            <w:r>
              <w:rPr>
                <w:rFonts w:hint="eastAsia" w:ascii="宋体" w:hAnsi="宋体" w:eastAsia="宋体" w:cs="宋体"/>
                <w:b/>
                <w:color w:val="auto"/>
                <w:szCs w:val="21"/>
                <w:highlight w:val="none"/>
                <w:shd w:val="clear" w:color="auto" w:fill="auto"/>
              </w:rPr>
              <w:t>序号</w:t>
            </w:r>
          </w:p>
        </w:tc>
        <w:tc>
          <w:tcPr>
            <w:tcW w:w="2964" w:type="pct"/>
            <w:noWrap w:val="0"/>
            <w:vAlign w:val="center"/>
          </w:tcPr>
          <w:p w14:paraId="4BD035BF">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要求说明</w:t>
            </w:r>
          </w:p>
        </w:tc>
        <w:tc>
          <w:tcPr>
            <w:tcW w:w="1659" w:type="pct"/>
            <w:noWrap w:val="0"/>
            <w:vAlign w:val="center"/>
          </w:tcPr>
          <w:p w14:paraId="69992C8E">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审查要求</w:t>
            </w:r>
          </w:p>
        </w:tc>
      </w:tr>
      <w:tr w14:paraId="5254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noWrap w:val="0"/>
            <w:vAlign w:val="center"/>
          </w:tcPr>
          <w:p w14:paraId="796A1C0D">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w:t>
            </w:r>
          </w:p>
        </w:tc>
        <w:tc>
          <w:tcPr>
            <w:tcW w:w="2964" w:type="pct"/>
            <w:noWrap w:val="0"/>
            <w:vAlign w:val="center"/>
          </w:tcPr>
          <w:p w14:paraId="0F6CE531">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投标有效期：符合第三章“供应商须知”（8）的要求。</w:t>
            </w:r>
          </w:p>
        </w:tc>
        <w:tc>
          <w:tcPr>
            <w:tcW w:w="1659" w:type="pct"/>
            <w:noWrap w:val="0"/>
            <w:vAlign w:val="center"/>
          </w:tcPr>
          <w:p w14:paraId="66689D3E">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提供“</w:t>
            </w:r>
            <w:r>
              <w:rPr>
                <w:rFonts w:hint="eastAsia" w:ascii="宋体" w:hAnsi="宋体" w:cs="宋体"/>
                <w:color w:val="auto"/>
                <w:szCs w:val="21"/>
                <w:highlight w:val="none"/>
                <w:shd w:val="clear" w:color="auto" w:fill="auto"/>
                <w:lang w:eastAsia="zh-CN"/>
              </w:rPr>
              <w:t>投标函</w:t>
            </w:r>
            <w:r>
              <w:rPr>
                <w:rFonts w:hint="eastAsia" w:ascii="宋体" w:hAnsi="宋体" w:eastAsia="宋体" w:cs="宋体"/>
                <w:color w:val="auto"/>
                <w:szCs w:val="21"/>
                <w:highlight w:val="none"/>
                <w:shd w:val="clear" w:color="auto" w:fill="auto"/>
              </w:rPr>
              <w:t>”。</w:t>
            </w:r>
          </w:p>
        </w:tc>
      </w:tr>
      <w:tr w14:paraId="492E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noWrap w:val="0"/>
            <w:vAlign w:val="center"/>
          </w:tcPr>
          <w:p w14:paraId="6C7250F8">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w:t>
            </w:r>
          </w:p>
        </w:tc>
        <w:tc>
          <w:tcPr>
            <w:tcW w:w="2964" w:type="pct"/>
            <w:noWrap w:val="0"/>
            <w:vAlign w:val="center"/>
          </w:tcPr>
          <w:p w14:paraId="27DD6032">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法定代表人身份证明书或法定代表人授权书。</w:t>
            </w:r>
          </w:p>
        </w:tc>
        <w:tc>
          <w:tcPr>
            <w:tcW w:w="1659" w:type="pct"/>
            <w:noWrap w:val="0"/>
            <w:vAlign w:val="center"/>
          </w:tcPr>
          <w:p w14:paraId="780DBBB6">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w:t>
            </w:r>
            <w:r>
              <w:rPr>
                <w:rFonts w:hint="eastAsia" w:ascii="宋体" w:hAnsi="宋体" w:cs="宋体"/>
                <w:color w:val="auto"/>
                <w:szCs w:val="21"/>
                <w:highlight w:val="none"/>
                <w:shd w:val="clear" w:color="auto" w:fill="auto"/>
                <w:lang w:eastAsia="zh-CN"/>
              </w:rPr>
              <w:t>投标文件</w:t>
            </w:r>
            <w:r>
              <w:rPr>
                <w:rFonts w:hint="eastAsia" w:ascii="宋体" w:hAnsi="宋体" w:eastAsia="宋体" w:cs="宋体"/>
                <w:color w:val="auto"/>
                <w:szCs w:val="21"/>
                <w:highlight w:val="none"/>
                <w:shd w:val="clear" w:color="auto" w:fill="auto"/>
              </w:rPr>
              <w:t>由法定代表人签字或盖章的，提供“法定代表人身份证明书”。</w:t>
            </w:r>
          </w:p>
          <w:p w14:paraId="5DF4649B">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w:t>
            </w:r>
            <w:r>
              <w:rPr>
                <w:rFonts w:hint="eastAsia" w:ascii="宋体" w:hAnsi="宋体" w:cs="宋体"/>
                <w:color w:val="auto"/>
                <w:szCs w:val="21"/>
                <w:highlight w:val="none"/>
                <w:shd w:val="clear" w:color="auto" w:fill="auto"/>
                <w:lang w:eastAsia="zh-CN"/>
              </w:rPr>
              <w:t>投标文件</w:t>
            </w:r>
            <w:r>
              <w:rPr>
                <w:rFonts w:hint="eastAsia" w:ascii="宋体" w:hAnsi="宋体" w:eastAsia="宋体" w:cs="宋体"/>
                <w:color w:val="auto"/>
                <w:szCs w:val="21"/>
                <w:highlight w:val="none"/>
                <w:shd w:val="clear" w:color="auto" w:fill="auto"/>
              </w:rPr>
              <w:t>由授权代表签字或盖章的，提供“法定代表人授权书”。</w:t>
            </w:r>
          </w:p>
        </w:tc>
      </w:tr>
      <w:tr w14:paraId="3AC5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noWrap w:val="0"/>
            <w:vAlign w:val="center"/>
          </w:tcPr>
          <w:p w14:paraId="65CD1030">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w:t>
            </w:r>
          </w:p>
        </w:tc>
        <w:tc>
          <w:tcPr>
            <w:tcW w:w="2964" w:type="pct"/>
            <w:noWrap w:val="0"/>
            <w:vAlign w:val="center"/>
          </w:tcPr>
          <w:p w14:paraId="4FB32E17">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符合第三章“供应商须知”第三条的要求。</w:t>
            </w:r>
          </w:p>
        </w:tc>
        <w:tc>
          <w:tcPr>
            <w:tcW w:w="1659" w:type="pct"/>
            <w:noWrap w:val="0"/>
            <w:vAlign w:val="center"/>
          </w:tcPr>
          <w:p w14:paraId="53A4B590">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投标文件</w:t>
            </w:r>
            <w:r>
              <w:rPr>
                <w:rFonts w:hint="eastAsia" w:ascii="宋体" w:hAnsi="宋体" w:eastAsia="宋体" w:cs="宋体"/>
                <w:color w:val="auto"/>
                <w:szCs w:val="21"/>
                <w:highlight w:val="none"/>
                <w:shd w:val="clear" w:color="auto" w:fill="auto"/>
              </w:rPr>
              <w:t>的签署盖章符合所述要求。</w:t>
            </w:r>
          </w:p>
        </w:tc>
      </w:tr>
      <w:tr w14:paraId="5B01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noWrap w:val="0"/>
            <w:vAlign w:val="center"/>
          </w:tcPr>
          <w:p w14:paraId="6E9D2455">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w:t>
            </w:r>
          </w:p>
        </w:tc>
        <w:tc>
          <w:tcPr>
            <w:tcW w:w="2964" w:type="pct"/>
            <w:noWrap w:val="0"/>
            <w:vAlign w:val="center"/>
          </w:tcPr>
          <w:p w14:paraId="4CE6CE28">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标项以赠送方式投标的，对一个标项提供两个投标方案的。</w:t>
            </w:r>
          </w:p>
        </w:tc>
        <w:tc>
          <w:tcPr>
            <w:tcW w:w="1659" w:type="pct"/>
            <w:noWrap w:val="0"/>
            <w:vAlign w:val="center"/>
          </w:tcPr>
          <w:p w14:paraId="5C3D187B">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不得有所述情形。</w:t>
            </w:r>
          </w:p>
        </w:tc>
      </w:tr>
      <w:tr w14:paraId="00BF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noWrap w:val="0"/>
            <w:vAlign w:val="center"/>
          </w:tcPr>
          <w:p w14:paraId="4140C7D4">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w:t>
            </w:r>
          </w:p>
        </w:tc>
        <w:tc>
          <w:tcPr>
            <w:tcW w:w="2964" w:type="pct"/>
            <w:noWrap w:val="0"/>
            <w:vAlign w:val="center"/>
          </w:tcPr>
          <w:p w14:paraId="36433E23">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供应商不得在投标活动中提供任何虚假材料或从事其他违法活动的。</w:t>
            </w:r>
          </w:p>
        </w:tc>
        <w:tc>
          <w:tcPr>
            <w:tcW w:w="1659" w:type="pct"/>
            <w:noWrap w:val="0"/>
            <w:vAlign w:val="center"/>
          </w:tcPr>
          <w:p w14:paraId="06266562">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不得提供任何虚假材料或从事其他违法活动。</w:t>
            </w:r>
          </w:p>
        </w:tc>
      </w:tr>
      <w:tr w14:paraId="5784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noWrap w:val="0"/>
            <w:vAlign w:val="center"/>
          </w:tcPr>
          <w:p w14:paraId="564C36A2">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6</w:t>
            </w:r>
          </w:p>
        </w:tc>
        <w:tc>
          <w:tcPr>
            <w:tcW w:w="2964" w:type="pct"/>
            <w:noWrap w:val="0"/>
            <w:vAlign w:val="center"/>
          </w:tcPr>
          <w:p w14:paraId="1C26D8AE">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违反公平竞争的原则或恶意串通或妨碍其他供应商的竞争行为或损害采购人或者其他供应商的合法权益的；</w:t>
            </w:r>
          </w:p>
        </w:tc>
        <w:tc>
          <w:tcPr>
            <w:tcW w:w="1659" w:type="pct"/>
            <w:noWrap w:val="0"/>
            <w:vAlign w:val="center"/>
          </w:tcPr>
          <w:p w14:paraId="2B599AC4">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不得有所述情形。</w:t>
            </w:r>
          </w:p>
        </w:tc>
      </w:tr>
      <w:tr w14:paraId="6E92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noWrap w:val="0"/>
            <w:vAlign w:val="center"/>
          </w:tcPr>
          <w:p w14:paraId="022E2FCD">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7</w:t>
            </w:r>
          </w:p>
        </w:tc>
        <w:tc>
          <w:tcPr>
            <w:tcW w:w="2964" w:type="pct"/>
            <w:noWrap w:val="0"/>
            <w:vAlign w:val="center"/>
          </w:tcPr>
          <w:p w14:paraId="1360EBD9">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不允许含有采购人不能接受的附加条件的；</w:t>
            </w:r>
          </w:p>
        </w:tc>
        <w:tc>
          <w:tcPr>
            <w:tcW w:w="1659" w:type="pct"/>
            <w:noWrap w:val="0"/>
            <w:vAlign w:val="center"/>
          </w:tcPr>
          <w:p w14:paraId="055E9008">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不得有所述情形。</w:t>
            </w:r>
          </w:p>
        </w:tc>
      </w:tr>
      <w:tr w14:paraId="481E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noWrap w:val="0"/>
            <w:vAlign w:val="center"/>
          </w:tcPr>
          <w:p w14:paraId="2C265E42">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8</w:t>
            </w:r>
          </w:p>
        </w:tc>
        <w:tc>
          <w:tcPr>
            <w:tcW w:w="2964" w:type="pct"/>
            <w:noWrap w:val="0"/>
            <w:vAlign w:val="center"/>
          </w:tcPr>
          <w:p w14:paraId="530D129F">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不允许出现与</w:t>
            </w:r>
            <w:r>
              <w:rPr>
                <w:rFonts w:hint="eastAsia" w:ascii="宋体" w:hAnsi="宋体" w:cs="宋体"/>
                <w:color w:val="auto"/>
                <w:szCs w:val="21"/>
                <w:highlight w:val="none"/>
                <w:shd w:val="clear" w:color="auto" w:fill="auto"/>
                <w:lang w:eastAsia="zh-CN"/>
              </w:rPr>
              <w:t>招标文件</w:t>
            </w:r>
            <w:r>
              <w:rPr>
                <w:rFonts w:hint="eastAsia" w:ascii="宋体" w:hAnsi="宋体" w:eastAsia="宋体" w:cs="宋体"/>
                <w:color w:val="auto"/>
                <w:szCs w:val="21"/>
                <w:highlight w:val="none"/>
                <w:shd w:val="clear" w:color="auto" w:fill="auto"/>
              </w:rPr>
              <w:t>有重大偏离的</w:t>
            </w:r>
            <w:r>
              <w:rPr>
                <w:rFonts w:hint="eastAsia" w:ascii="宋体" w:hAnsi="宋体" w:cs="宋体"/>
                <w:color w:val="auto"/>
                <w:szCs w:val="21"/>
                <w:highlight w:val="none"/>
                <w:shd w:val="clear" w:color="auto" w:fill="auto"/>
                <w:lang w:eastAsia="zh-CN"/>
              </w:rPr>
              <w:t>投标文件</w:t>
            </w:r>
            <w:r>
              <w:rPr>
                <w:rFonts w:hint="eastAsia" w:ascii="宋体" w:hAnsi="宋体" w:eastAsia="宋体" w:cs="宋体"/>
                <w:color w:val="auto"/>
                <w:szCs w:val="21"/>
                <w:highlight w:val="none"/>
                <w:shd w:val="clear" w:color="auto" w:fill="auto"/>
              </w:rPr>
              <w:t>。</w:t>
            </w:r>
          </w:p>
        </w:tc>
        <w:tc>
          <w:tcPr>
            <w:tcW w:w="1659" w:type="pct"/>
            <w:noWrap w:val="0"/>
            <w:vAlign w:val="center"/>
          </w:tcPr>
          <w:p w14:paraId="72E54313">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不得有所述情形。</w:t>
            </w:r>
          </w:p>
        </w:tc>
      </w:tr>
      <w:tr w14:paraId="1576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noWrap w:val="0"/>
            <w:vAlign w:val="center"/>
          </w:tcPr>
          <w:p w14:paraId="22B2390E">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9</w:t>
            </w:r>
          </w:p>
        </w:tc>
        <w:tc>
          <w:tcPr>
            <w:tcW w:w="2964" w:type="pct"/>
            <w:noWrap w:val="0"/>
            <w:vAlign w:val="center"/>
          </w:tcPr>
          <w:p w14:paraId="657028DE">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评标委员会经过审查，认定供应商虚假应标、串通投标的，有下列情形之一的，视为供应商串通投标：</w:t>
            </w:r>
          </w:p>
          <w:p w14:paraId="3B907A01">
            <w:pPr>
              <w:keepNext w:val="0"/>
              <w:keepLines w:val="0"/>
              <w:pageBreakBefore w:val="0"/>
              <w:widowControl w:val="0"/>
              <w:suppressLineNumbers w:val="0"/>
              <w:overflowPunct/>
              <w:bidi w:val="0"/>
              <w:spacing w:before="0" w:beforeLines="0" w:beforeAutospacing="0" w:after="0" w:afterLines="0" w:afterAutospacing="0" w:line="240" w:lineRule="auto"/>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（1）不同供应商的</w:t>
            </w:r>
            <w:r>
              <w:rPr>
                <w:rFonts w:hint="eastAsia" w:ascii="宋体" w:hAnsi="宋体" w:cs="宋体"/>
                <w:color w:val="auto"/>
                <w:szCs w:val="21"/>
                <w:highlight w:val="none"/>
                <w:shd w:val="clear" w:color="auto" w:fill="auto"/>
                <w:lang w:eastAsia="zh-CN"/>
              </w:rPr>
              <w:t>投标文件</w:t>
            </w:r>
            <w:r>
              <w:rPr>
                <w:rFonts w:hint="eastAsia" w:ascii="宋体" w:hAnsi="宋体" w:eastAsia="宋体" w:cs="宋体"/>
                <w:color w:val="auto"/>
                <w:szCs w:val="21"/>
                <w:highlight w:val="none"/>
                <w:shd w:val="clear" w:color="auto" w:fill="auto"/>
              </w:rPr>
              <w:t>由同一单位或者个人编制；</w:t>
            </w:r>
          </w:p>
          <w:p w14:paraId="7163FDBB">
            <w:pPr>
              <w:keepNext w:val="0"/>
              <w:keepLines w:val="0"/>
              <w:pageBreakBefore w:val="0"/>
              <w:widowControl w:val="0"/>
              <w:suppressLineNumbers w:val="0"/>
              <w:overflowPunct/>
              <w:bidi w:val="0"/>
              <w:spacing w:before="0" w:beforeLines="0" w:beforeAutospacing="0" w:after="0" w:afterLines="0" w:afterAutospacing="0" w:line="240" w:lineRule="auto"/>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（2）不同供应商委托同一单位或者个人办理投标事宜；</w:t>
            </w:r>
          </w:p>
          <w:p w14:paraId="2D63FFC9">
            <w:pPr>
              <w:keepNext w:val="0"/>
              <w:keepLines w:val="0"/>
              <w:pageBreakBefore w:val="0"/>
              <w:widowControl w:val="0"/>
              <w:suppressLineNumbers w:val="0"/>
              <w:overflowPunct/>
              <w:bidi w:val="0"/>
              <w:spacing w:before="0" w:beforeLines="0" w:beforeAutospacing="0" w:after="0" w:afterLines="0" w:afterAutospacing="0" w:line="240" w:lineRule="auto"/>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（3）不同供应商的</w:t>
            </w:r>
            <w:r>
              <w:rPr>
                <w:rFonts w:hint="eastAsia" w:ascii="宋体" w:hAnsi="宋体" w:cs="宋体"/>
                <w:color w:val="auto"/>
                <w:szCs w:val="21"/>
                <w:highlight w:val="none"/>
                <w:shd w:val="clear" w:color="auto" w:fill="auto"/>
                <w:lang w:eastAsia="zh-CN"/>
              </w:rPr>
              <w:t>投标文件</w:t>
            </w:r>
            <w:r>
              <w:rPr>
                <w:rFonts w:hint="eastAsia" w:ascii="宋体" w:hAnsi="宋体" w:eastAsia="宋体" w:cs="宋体"/>
                <w:color w:val="auto"/>
                <w:szCs w:val="21"/>
                <w:highlight w:val="none"/>
                <w:shd w:val="clear" w:color="auto" w:fill="auto"/>
              </w:rPr>
              <w:t>载明的项目管理成员或者联系人员为同一人；</w:t>
            </w:r>
          </w:p>
          <w:p w14:paraId="3CDC516A">
            <w:pPr>
              <w:keepNext w:val="0"/>
              <w:keepLines w:val="0"/>
              <w:pageBreakBefore w:val="0"/>
              <w:widowControl w:val="0"/>
              <w:suppressLineNumbers w:val="0"/>
              <w:overflowPunct/>
              <w:bidi w:val="0"/>
              <w:spacing w:before="0" w:beforeLines="0" w:beforeAutospacing="0" w:after="0" w:afterLines="0" w:afterAutospacing="0" w:line="240" w:lineRule="auto"/>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（4）不同供应商的</w:t>
            </w:r>
            <w:r>
              <w:rPr>
                <w:rFonts w:hint="eastAsia" w:ascii="宋体" w:hAnsi="宋体" w:cs="宋体"/>
                <w:color w:val="auto"/>
                <w:szCs w:val="21"/>
                <w:highlight w:val="none"/>
                <w:shd w:val="clear" w:color="auto" w:fill="auto"/>
                <w:lang w:eastAsia="zh-CN"/>
              </w:rPr>
              <w:t>投标文件</w:t>
            </w:r>
            <w:r>
              <w:rPr>
                <w:rFonts w:hint="eastAsia" w:ascii="宋体" w:hAnsi="宋体" w:eastAsia="宋体" w:cs="宋体"/>
                <w:color w:val="auto"/>
                <w:szCs w:val="21"/>
                <w:highlight w:val="none"/>
                <w:shd w:val="clear" w:color="auto" w:fill="auto"/>
              </w:rPr>
              <w:t>异常一致或者投标报价呈规律性差异；</w:t>
            </w:r>
          </w:p>
          <w:p w14:paraId="7702638E">
            <w:pPr>
              <w:keepNext w:val="0"/>
              <w:keepLines w:val="0"/>
              <w:pageBreakBefore w:val="0"/>
              <w:widowControl w:val="0"/>
              <w:suppressLineNumbers w:val="0"/>
              <w:overflowPunct/>
              <w:bidi w:val="0"/>
              <w:spacing w:before="0" w:beforeLines="0" w:beforeAutospacing="0" w:after="0" w:afterLines="0" w:afterAutospacing="0" w:line="240" w:lineRule="auto"/>
              <w:ind w:left="0" w:right="0"/>
              <w:jc w:val="left"/>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（5）不同供应商的</w:t>
            </w:r>
            <w:r>
              <w:rPr>
                <w:rFonts w:hint="eastAsia" w:ascii="宋体" w:hAnsi="宋体" w:cs="宋体"/>
                <w:color w:val="auto"/>
                <w:szCs w:val="21"/>
                <w:highlight w:val="none"/>
                <w:shd w:val="clear" w:color="auto" w:fill="auto"/>
                <w:lang w:eastAsia="zh-CN"/>
              </w:rPr>
              <w:t>投标文件</w:t>
            </w:r>
            <w:r>
              <w:rPr>
                <w:rFonts w:hint="eastAsia" w:ascii="宋体" w:hAnsi="宋体" w:eastAsia="宋体" w:cs="宋体"/>
                <w:color w:val="auto"/>
                <w:szCs w:val="21"/>
                <w:highlight w:val="none"/>
                <w:shd w:val="clear" w:color="auto" w:fill="auto"/>
              </w:rPr>
              <w:t>相互混装；</w:t>
            </w:r>
          </w:p>
        </w:tc>
        <w:tc>
          <w:tcPr>
            <w:tcW w:w="1659" w:type="pct"/>
            <w:noWrap w:val="0"/>
            <w:vAlign w:val="center"/>
          </w:tcPr>
          <w:p w14:paraId="30EB3245">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不得有所述情形。</w:t>
            </w:r>
          </w:p>
        </w:tc>
      </w:tr>
      <w:tr w14:paraId="53A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noWrap w:val="0"/>
            <w:vAlign w:val="center"/>
          </w:tcPr>
          <w:p w14:paraId="4D13D9AB">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10</w:t>
            </w:r>
          </w:p>
        </w:tc>
        <w:tc>
          <w:tcPr>
            <w:tcW w:w="2964" w:type="pct"/>
            <w:noWrap w:val="0"/>
            <w:vAlign w:val="center"/>
          </w:tcPr>
          <w:p w14:paraId="1170F9CD">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符合法律、法规和</w:t>
            </w:r>
            <w:r>
              <w:rPr>
                <w:rFonts w:hint="eastAsia" w:ascii="宋体" w:hAnsi="宋体" w:cs="宋体"/>
                <w:color w:val="auto"/>
                <w:szCs w:val="21"/>
                <w:highlight w:val="none"/>
                <w:shd w:val="clear" w:color="auto" w:fill="auto"/>
                <w:lang w:eastAsia="zh-CN"/>
              </w:rPr>
              <w:t>招标文件</w:t>
            </w:r>
            <w:r>
              <w:rPr>
                <w:rFonts w:hint="eastAsia" w:ascii="宋体" w:hAnsi="宋体" w:eastAsia="宋体" w:cs="宋体"/>
                <w:color w:val="auto"/>
                <w:szCs w:val="21"/>
                <w:highlight w:val="none"/>
                <w:shd w:val="clear" w:color="auto" w:fill="auto"/>
              </w:rPr>
              <w:t>中规定的其他实质性要求（实质性要求</w:t>
            </w:r>
            <w:r>
              <w:rPr>
                <w:rFonts w:hint="eastAsia" w:ascii="宋体" w:hAnsi="宋体" w:cs="宋体"/>
                <w:color w:val="auto"/>
                <w:szCs w:val="21"/>
                <w:highlight w:val="none"/>
                <w:shd w:val="clear" w:color="auto" w:fill="auto"/>
                <w:lang w:eastAsia="zh-CN"/>
              </w:rPr>
              <w:t>招标文件</w:t>
            </w:r>
            <w:r>
              <w:rPr>
                <w:rFonts w:hint="eastAsia" w:ascii="宋体" w:hAnsi="宋体" w:eastAsia="宋体" w:cs="宋体"/>
                <w:color w:val="auto"/>
                <w:szCs w:val="21"/>
                <w:highlight w:val="none"/>
                <w:shd w:val="clear" w:color="auto" w:fill="auto"/>
              </w:rPr>
              <w:t>中“</w:t>
            </w:r>
            <w:r>
              <w:rPr>
                <w:rFonts w:hint="eastAsia" w:ascii="宋体" w:hAnsi="宋体" w:eastAsia="宋体" w:cs="宋体"/>
                <w:b/>
                <w:color w:val="auto"/>
                <w:szCs w:val="21"/>
                <w:highlight w:val="none"/>
                <w:shd w:val="clear" w:color="auto" w:fill="auto"/>
              </w:rPr>
              <w:t>★</w:t>
            </w:r>
            <w:r>
              <w:rPr>
                <w:rFonts w:hint="eastAsia" w:ascii="宋体" w:hAnsi="宋体" w:eastAsia="宋体" w:cs="宋体"/>
                <w:color w:val="auto"/>
                <w:szCs w:val="21"/>
                <w:highlight w:val="none"/>
                <w:shd w:val="clear" w:color="auto" w:fill="auto"/>
              </w:rPr>
              <w:t>”标记）</w:t>
            </w:r>
          </w:p>
        </w:tc>
        <w:tc>
          <w:tcPr>
            <w:tcW w:w="1659" w:type="pct"/>
            <w:noWrap w:val="0"/>
            <w:vAlign w:val="center"/>
          </w:tcPr>
          <w:p w14:paraId="64B62810">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符合所述要求。</w:t>
            </w:r>
          </w:p>
        </w:tc>
      </w:tr>
      <w:tr w14:paraId="2534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noWrap w:val="0"/>
            <w:vAlign w:val="center"/>
          </w:tcPr>
          <w:p w14:paraId="4CA616FD">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11</w:t>
            </w:r>
          </w:p>
        </w:tc>
        <w:tc>
          <w:tcPr>
            <w:tcW w:w="2964" w:type="pct"/>
            <w:noWrap w:val="0"/>
            <w:vAlign w:val="top"/>
          </w:tcPr>
          <w:p w14:paraId="0E133248">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本项目招标设有</w:t>
            </w:r>
            <w:r>
              <w:rPr>
                <w:rFonts w:hint="eastAsia" w:ascii="宋体" w:hAnsi="宋体" w:eastAsia="宋体" w:cs="宋体"/>
                <w:b/>
                <w:bCs/>
                <w:color w:val="auto"/>
                <w:szCs w:val="21"/>
                <w:highlight w:val="none"/>
                <w:shd w:val="clear" w:color="auto" w:fill="auto"/>
              </w:rPr>
              <w:t>最高限价</w:t>
            </w:r>
            <w:r>
              <w:rPr>
                <w:rFonts w:hint="eastAsia" w:ascii="宋体" w:hAnsi="宋体" w:eastAsia="宋体" w:cs="宋体"/>
                <w:b/>
                <w:bCs/>
                <w:color w:val="auto"/>
                <w:szCs w:val="21"/>
                <w:highlight w:val="none"/>
                <w:shd w:val="clear" w:color="auto" w:fill="auto"/>
                <w:lang w:eastAsia="zh-CN"/>
              </w:rPr>
              <w:t>：</w:t>
            </w:r>
            <w:r>
              <w:rPr>
                <w:rFonts w:hint="eastAsia" w:ascii="宋体" w:hAnsi="宋体" w:cs="宋体"/>
                <w:b/>
                <w:bCs/>
                <w:color w:val="auto"/>
                <w:szCs w:val="21"/>
                <w:highlight w:val="none"/>
                <w:shd w:val="clear" w:color="auto" w:fill="auto"/>
                <w:lang w:eastAsia="zh-CN"/>
              </w:rPr>
              <w:t>折扣</w:t>
            </w:r>
            <w:r>
              <w:rPr>
                <w:rFonts w:hint="eastAsia" w:ascii="宋体" w:hAnsi="宋体" w:cs="宋体"/>
                <w:b/>
                <w:bCs/>
                <w:color w:val="auto"/>
                <w:szCs w:val="21"/>
                <w:highlight w:val="none"/>
                <w:shd w:val="clear" w:color="auto" w:fill="auto"/>
                <w:lang w:val="en-US" w:eastAsia="zh-CN"/>
              </w:rPr>
              <w:t>90</w:t>
            </w:r>
            <w:r>
              <w:rPr>
                <w:rFonts w:hint="eastAsia" w:ascii="宋体" w:hAnsi="宋体" w:cs="宋体"/>
                <w:b/>
                <w:bCs/>
                <w:color w:val="auto"/>
                <w:szCs w:val="21"/>
                <w:highlight w:val="none"/>
                <w:shd w:val="clear" w:color="auto" w:fill="auto"/>
                <w:lang w:eastAsia="zh-CN"/>
              </w:rPr>
              <w:t>%</w:t>
            </w:r>
            <w:r>
              <w:rPr>
                <w:rFonts w:hint="eastAsia" w:ascii="宋体" w:hAnsi="宋体" w:eastAsia="宋体" w:cs="宋体"/>
                <w:b/>
                <w:bCs/>
                <w:color w:val="auto"/>
                <w:szCs w:val="21"/>
                <w:highlight w:val="none"/>
                <w:shd w:val="clear" w:color="auto" w:fill="auto"/>
                <w:lang w:eastAsia="zh-CN"/>
              </w:rPr>
              <w:t>。</w:t>
            </w:r>
          </w:p>
          <w:p w14:paraId="1C4024E5">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cs="宋体"/>
                <w:b/>
                <w:bCs/>
                <w:color w:val="auto"/>
                <w:kern w:val="2"/>
                <w:sz w:val="21"/>
                <w:szCs w:val="21"/>
                <w:highlight w:val="none"/>
                <w:shd w:val="clear" w:color="auto" w:fill="auto"/>
                <w:lang w:val="en-US" w:eastAsia="zh-CN"/>
              </w:rPr>
              <w:t>投标报价超过最高限价的，作无效报价处理。</w:t>
            </w:r>
          </w:p>
        </w:tc>
        <w:tc>
          <w:tcPr>
            <w:tcW w:w="1659" w:type="pct"/>
            <w:noWrap w:val="0"/>
            <w:vAlign w:val="center"/>
          </w:tcPr>
          <w:p w14:paraId="439BE9D8">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提供“</w:t>
            </w:r>
            <w:r>
              <w:rPr>
                <w:rFonts w:hint="eastAsia" w:ascii="宋体" w:hAnsi="宋体" w:cs="宋体"/>
                <w:color w:val="auto"/>
                <w:szCs w:val="21"/>
                <w:highlight w:val="none"/>
                <w:shd w:val="clear" w:color="auto" w:fill="auto"/>
                <w:lang w:eastAsia="zh-CN"/>
              </w:rPr>
              <w:t>开标一览表</w:t>
            </w:r>
            <w:r>
              <w:rPr>
                <w:rFonts w:hint="eastAsia" w:ascii="宋体" w:hAnsi="宋体" w:eastAsia="宋体" w:cs="宋体"/>
                <w:color w:val="auto"/>
                <w:szCs w:val="21"/>
                <w:highlight w:val="none"/>
                <w:shd w:val="clear" w:color="auto" w:fill="auto"/>
              </w:rPr>
              <w:t>”。</w:t>
            </w:r>
          </w:p>
        </w:tc>
      </w:tr>
      <w:tr w14:paraId="0815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 w:type="pct"/>
            <w:noWrap w:val="0"/>
            <w:vAlign w:val="center"/>
          </w:tcPr>
          <w:p w14:paraId="652CA4BA">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12</w:t>
            </w:r>
          </w:p>
        </w:tc>
        <w:tc>
          <w:tcPr>
            <w:tcW w:w="2964" w:type="pct"/>
            <w:noWrap w:val="0"/>
            <w:vAlign w:val="top"/>
          </w:tcPr>
          <w:p w14:paraId="5AF8F391">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cs="宋体"/>
                <w:color w:val="auto"/>
                <w:szCs w:val="21"/>
                <w:highlight w:val="none"/>
                <w:shd w:val="clear" w:color="auto" w:fill="auto"/>
                <w:lang w:eastAsia="zh-CN"/>
              </w:rPr>
              <w:t>投标文件</w:t>
            </w:r>
            <w:r>
              <w:rPr>
                <w:rFonts w:hint="eastAsia" w:ascii="宋体" w:hAnsi="宋体" w:eastAsia="宋体" w:cs="宋体"/>
                <w:color w:val="auto"/>
                <w:szCs w:val="21"/>
                <w:highlight w:val="none"/>
                <w:shd w:val="clear" w:color="auto" w:fill="auto"/>
              </w:rPr>
              <w:t>报价出现前后不一致，经按</w:t>
            </w:r>
            <w:r>
              <w:rPr>
                <w:rFonts w:hint="eastAsia" w:ascii="宋体" w:hAnsi="宋体" w:cs="宋体"/>
                <w:color w:val="auto"/>
                <w:szCs w:val="21"/>
                <w:highlight w:val="none"/>
                <w:shd w:val="clear" w:color="auto" w:fill="auto"/>
                <w:lang w:eastAsia="zh-CN"/>
              </w:rPr>
              <w:t>招标文件</w:t>
            </w:r>
            <w:r>
              <w:rPr>
                <w:rFonts w:hint="eastAsia" w:ascii="宋体" w:hAnsi="宋体" w:eastAsia="宋体" w:cs="宋体"/>
                <w:color w:val="auto"/>
                <w:szCs w:val="21"/>
                <w:highlight w:val="none"/>
                <w:shd w:val="clear" w:color="auto" w:fill="auto"/>
              </w:rPr>
              <w:t>规定修正后，供应商对修正后的报价不确认的；</w:t>
            </w:r>
          </w:p>
        </w:tc>
        <w:tc>
          <w:tcPr>
            <w:tcW w:w="1659" w:type="pct"/>
            <w:noWrap w:val="0"/>
            <w:vAlign w:val="center"/>
          </w:tcPr>
          <w:p w14:paraId="3A3C7A75">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不得有所述情形。</w:t>
            </w:r>
          </w:p>
        </w:tc>
      </w:tr>
      <w:tr w14:paraId="37C5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40" w:type="pct"/>
            <w:gridSpan w:val="2"/>
            <w:noWrap w:val="0"/>
            <w:vAlign w:val="center"/>
          </w:tcPr>
          <w:p w14:paraId="56A8D5B3">
            <w:pPr>
              <w:keepNext w:val="0"/>
              <w:keepLines w:val="0"/>
              <w:pageBreakBefore w:val="0"/>
              <w:widowControl w:val="0"/>
              <w:suppressLineNumbers w:val="0"/>
              <w:overflowPunct/>
              <w:bidi w:val="0"/>
              <w:spacing w:before="0" w:beforeLines="0" w:beforeAutospacing="0" w:after="0" w:afterLines="0" w:afterAutospacing="0" w:line="24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符合性审查结论</w:t>
            </w:r>
          </w:p>
        </w:tc>
        <w:tc>
          <w:tcPr>
            <w:tcW w:w="1659" w:type="pct"/>
            <w:noWrap w:val="0"/>
            <w:vAlign w:val="center"/>
          </w:tcPr>
          <w:p w14:paraId="240488FD">
            <w:pPr>
              <w:keepNext w:val="0"/>
              <w:keepLines w:val="0"/>
              <w:pageBreakBefore w:val="0"/>
              <w:widowControl w:val="0"/>
              <w:suppressLineNumbers w:val="0"/>
              <w:overflowPunct/>
              <w:bidi w:val="0"/>
              <w:spacing w:before="0" w:beforeLines="0" w:beforeAutospacing="0" w:after="0" w:afterLines="0" w:afterAutospacing="0" w:line="240" w:lineRule="auto"/>
              <w:ind w:left="0" w:right="0"/>
              <w:rPr>
                <w:rFonts w:hint="eastAsia" w:ascii="宋体" w:hAnsi="宋体" w:eastAsia="宋体" w:cs="宋体"/>
                <w:color w:val="auto"/>
                <w:szCs w:val="21"/>
                <w:highlight w:val="none"/>
                <w:shd w:val="clear" w:color="auto" w:fill="auto"/>
              </w:rPr>
            </w:pPr>
          </w:p>
        </w:tc>
      </w:tr>
    </w:tbl>
    <w:p w14:paraId="41F03D11">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（三）投标无效的情形</w:t>
      </w:r>
      <w:bookmarkEnd w:id="23"/>
      <w:bookmarkEnd w:id="24"/>
    </w:p>
    <w:p w14:paraId="4299BC62">
      <w:pPr>
        <w:keepNext w:val="0"/>
        <w:keepLines w:val="0"/>
        <w:pageBreakBefore w:val="0"/>
        <w:kinsoku/>
        <w:wordWrap/>
        <w:overflowPunct/>
        <w:topLinePunct w:val="0"/>
        <w:autoSpaceDE/>
        <w:autoSpaceDN/>
        <w:bidi w:val="0"/>
        <w:adjustRightInd/>
        <w:snapToGrid/>
        <w:spacing w:line="440" w:lineRule="exact"/>
        <w:ind w:firstLine="440" w:firstLineChars="200"/>
        <w:contextualSpacing/>
        <w:jc w:val="both"/>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修改或者补正投标文件必须以书面形式进行，限期内不补正或经补正后仍不符合招标文件要求的，应认定其投标无效。投标人修改、补正投标文件后，不影响评标委员会对其投标文件所作的评价和评分结果。</w:t>
      </w:r>
    </w:p>
    <w:p w14:paraId="596F2AC9">
      <w:pPr>
        <w:keepNext w:val="0"/>
        <w:keepLines w:val="0"/>
        <w:pageBreakBefore w:val="0"/>
        <w:kinsoku/>
        <w:wordWrap/>
        <w:overflowPunct/>
        <w:topLinePunct w:val="0"/>
        <w:autoSpaceDE/>
        <w:autoSpaceDN/>
        <w:bidi w:val="0"/>
        <w:adjustRightInd/>
        <w:snapToGrid/>
        <w:spacing w:line="440" w:lineRule="exact"/>
        <w:ind w:firstLine="440" w:firstLineChars="200"/>
        <w:contextualSpacing/>
        <w:jc w:val="both"/>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A、在电子投标文件解密时，如发现下列情形之一的，将被视为无效投标文件：</w:t>
      </w:r>
    </w:p>
    <w:p w14:paraId="205E2B7B">
      <w:pPr>
        <w:keepNext w:val="0"/>
        <w:keepLines w:val="0"/>
        <w:pageBreakBefore w:val="0"/>
        <w:kinsoku/>
        <w:wordWrap/>
        <w:overflowPunct/>
        <w:topLinePunct w:val="0"/>
        <w:autoSpaceDE/>
        <w:autoSpaceDN/>
        <w:bidi w:val="0"/>
        <w:adjustRightInd/>
        <w:snapToGrid/>
        <w:spacing w:line="440" w:lineRule="exact"/>
        <w:ind w:firstLine="440" w:firstLineChars="200"/>
        <w:contextualSpacing/>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1、电子投标文件解密失败的，且未在规定时间内提交备份的电子投标文件的或备份的电子投标文件解密失败的。</w:t>
      </w:r>
    </w:p>
    <w:p w14:paraId="0B15A5BD">
      <w:pPr>
        <w:keepNext w:val="0"/>
        <w:keepLines w:val="0"/>
        <w:pageBreakBefore w:val="0"/>
        <w:kinsoku/>
        <w:wordWrap/>
        <w:overflowPunct/>
        <w:topLinePunct w:val="0"/>
        <w:autoSpaceDE/>
        <w:autoSpaceDN/>
        <w:bidi w:val="0"/>
        <w:adjustRightInd/>
        <w:snapToGrid/>
        <w:spacing w:line="440" w:lineRule="exact"/>
        <w:ind w:firstLine="440" w:firstLineChars="200"/>
        <w:contextualSpacing/>
        <w:jc w:val="both"/>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B、在资格审查时，如发现下列情形之一的，将被视为无效投标文件：</w:t>
      </w:r>
    </w:p>
    <w:p w14:paraId="07D5DD89">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1、资格证明文件不全的或者不符合采购文件标明的资格要求的；</w:t>
      </w:r>
    </w:p>
    <w:p w14:paraId="4B72770F">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2、未按照采购文件规定要求签署或盖章；</w:t>
      </w:r>
    </w:p>
    <w:p w14:paraId="5F24DD62">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C、在符合性审查（</w:t>
      </w:r>
      <w:r>
        <w:rPr>
          <w:rFonts w:hint="eastAsia" w:ascii="宋体" w:hAnsi="宋体" w:eastAsia="宋体" w:cs="宋体"/>
          <w:b/>
          <w:bCs/>
          <w:color w:val="auto"/>
          <w:sz w:val="22"/>
          <w:szCs w:val="22"/>
          <w:highlight w:val="none"/>
          <w:lang w:eastAsia="zh-CN"/>
        </w:rPr>
        <w:t>技术商务文件</w:t>
      </w:r>
      <w:r>
        <w:rPr>
          <w:rFonts w:hint="eastAsia" w:ascii="宋体" w:hAnsi="宋体" w:eastAsia="宋体" w:cs="宋体"/>
          <w:b/>
          <w:bCs/>
          <w:color w:val="auto"/>
          <w:sz w:val="22"/>
          <w:szCs w:val="22"/>
          <w:highlight w:val="none"/>
        </w:rPr>
        <w:t>）时，如发现下列情形之一的，将被视为无效投标文件：</w:t>
      </w:r>
    </w:p>
    <w:p w14:paraId="43BEEA5A">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1、未按照采购文件规定要求签署或盖章；</w:t>
      </w:r>
    </w:p>
    <w:p w14:paraId="35F4A1A2">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2、投标文件无法定代表人签署本人姓名（或印盖本人姓名章），或签署人未提供有效的法定代表人授权委托书或授权委托书填写项目不齐全的；</w:t>
      </w:r>
    </w:p>
    <w:p w14:paraId="4925D5E8">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3、投标文件项目不齐全；</w:t>
      </w:r>
    </w:p>
    <w:p w14:paraId="7344BB7F">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4、投标文件标明的响应或偏离与事实不符或虚假投标的；</w:t>
      </w:r>
    </w:p>
    <w:p w14:paraId="41589355">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5、投标文件的实质性内容未使用中文表述、意思表述不明确、前后矛盾或者使用计量单位不符合采购文件要求的（经评标委员会认定并允许其当场更正的笔误除外）；</w:t>
      </w:r>
    </w:p>
    <w:p w14:paraId="4975D299">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”的条款不能满足采购文件要求、未实质性响应采购文件要求或者投标文件有采购人不能接受的附加条件的；</w:t>
      </w:r>
    </w:p>
    <w:p w14:paraId="595D41C6">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7、投标技术方案不明确，存在一个或一个以上备选（替代）投标方案的；</w:t>
      </w:r>
    </w:p>
    <w:p w14:paraId="3A578A75">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8、</w:t>
      </w:r>
      <w:r>
        <w:rPr>
          <w:rFonts w:hint="eastAsia" w:ascii="宋体" w:hAnsi="宋体" w:eastAsia="宋体" w:cs="宋体"/>
          <w:color w:val="auto"/>
          <w:kern w:val="1"/>
          <w:sz w:val="22"/>
          <w:szCs w:val="22"/>
          <w:highlight w:val="none"/>
          <w:lang w:eastAsia="zh-CN"/>
        </w:rPr>
        <w:t>技术商务文件</w:t>
      </w:r>
      <w:r>
        <w:rPr>
          <w:rFonts w:hint="eastAsia" w:ascii="宋体" w:hAnsi="宋体" w:eastAsia="宋体" w:cs="宋体"/>
          <w:color w:val="auto"/>
          <w:kern w:val="1"/>
          <w:sz w:val="22"/>
          <w:szCs w:val="22"/>
          <w:highlight w:val="none"/>
        </w:rPr>
        <w:t>中出现报价或单价的；</w:t>
      </w:r>
    </w:p>
    <w:p w14:paraId="50B63BAE">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9、法律、法规和采购文件规定的其他无效情形；</w:t>
      </w:r>
    </w:p>
    <w:p w14:paraId="72C1C383">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10、投标文件的有效期不满足采购文件要求；</w:t>
      </w:r>
    </w:p>
    <w:p w14:paraId="04205992">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11、</w:t>
      </w:r>
      <w:r>
        <w:rPr>
          <w:rFonts w:hint="eastAsia" w:ascii="宋体" w:hAnsi="宋体" w:eastAsia="宋体" w:cs="宋体"/>
          <w:color w:val="auto"/>
          <w:kern w:val="1"/>
          <w:sz w:val="22"/>
          <w:szCs w:val="22"/>
          <w:highlight w:val="none"/>
          <w:lang w:eastAsia="zh-CN"/>
        </w:rPr>
        <w:t>技术商务文件</w:t>
      </w:r>
      <w:r>
        <w:rPr>
          <w:rFonts w:hint="eastAsia" w:ascii="宋体" w:hAnsi="宋体" w:eastAsia="宋体" w:cs="宋体"/>
          <w:color w:val="auto"/>
          <w:kern w:val="1"/>
          <w:sz w:val="22"/>
          <w:szCs w:val="22"/>
          <w:highlight w:val="none"/>
        </w:rPr>
        <w:t>存在采购文件所规定的其它无效投标条款要求。</w:t>
      </w:r>
    </w:p>
    <w:p w14:paraId="1B4E7368">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D、在符合性审查（报价文件）时，如发现下列情形之一的，将被视为无效投标文件：</w:t>
      </w:r>
    </w:p>
    <w:p w14:paraId="4F797270">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1、未按照采购文件规定要求签署或盖章；</w:t>
      </w:r>
    </w:p>
    <w:p w14:paraId="41E92876">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2、投标文件项目不齐全；</w:t>
      </w:r>
    </w:p>
    <w:p w14:paraId="3318B697">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3、未采用人民币报价或者未按照采购文件标明的币种报价的；</w:t>
      </w:r>
    </w:p>
    <w:p w14:paraId="51258692">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4、报价超出最高限价，或者超出采购预算金额，采购人不能支付的；</w:t>
      </w:r>
    </w:p>
    <w:p w14:paraId="59FE044C">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5、投标报价具有选择性的；</w:t>
      </w:r>
    </w:p>
    <w:p w14:paraId="0910F0FE">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6、投标报价中出现重大缺项、漏项；</w:t>
      </w:r>
    </w:p>
    <w:p w14:paraId="0DF18CD0">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7、评标委员会认定投标人报价显著低于其他通过符合性审查投标人的报价，且投标（响应）供应商不能提供书面说明、证明材料或者提供的书面说明、证明材料不能证明其报价合理性的的情形。</w:t>
      </w:r>
    </w:p>
    <w:p w14:paraId="01D32082">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投标人的报名明显低于其他通过符合性审查投标人报价的情形包括：</w:t>
      </w:r>
    </w:p>
    <w:p w14:paraId="18784173">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投标（响应）报价低于全部通过符合性审查供应商投标（响应）报价平均值50%的，即投标（响应）报价&lt;全部通过符合性审查供应商投标（响应）报价平均值×50%； </w:t>
      </w:r>
    </w:p>
    <w:p w14:paraId="077E4E98">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投标（响应）报价低于通过符合性审查的次低报价供应商投标（响应）报价50%的，即投标（响应）报价&lt;通过符合性审查的次低报价供应商投标（响应）报价×50%； </w:t>
      </w:r>
    </w:p>
    <w:p w14:paraId="56DD2FD2">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投标（响应）报价低于采购项目最高限价45%的，即投标（响应）报价&lt;采购项目最高限价×45%；</w:t>
      </w:r>
    </w:p>
    <w:p w14:paraId="5C7F87B2">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评审委员会基于专业判断，认为供应商报价过低，有可能影响产品质量或者不能诚信履约的其他情形。</w:t>
      </w:r>
    </w:p>
    <w:p w14:paraId="34678E88">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8、投标文件（报价文件）内容与投标文件（</w:t>
      </w:r>
      <w:r>
        <w:rPr>
          <w:rFonts w:hint="eastAsia" w:ascii="宋体" w:hAnsi="宋体" w:eastAsia="宋体" w:cs="宋体"/>
          <w:color w:val="auto"/>
          <w:sz w:val="22"/>
          <w:szCs w:val="22"/>
          <w:highlight w:val="none"/>
          <w:lang w:eastAsia="zh-CN"/>
        </w:rPr>
        <w:t>技术商务文件</w:t>
      </w:r>
      <w:r>
        <w:rPr>
          <w:rFonts w:hint="eastAsia" w:ascii="宋体" w:hAnsi="宋体" w:eastAsia="宋体" w:cs="宋体"/>
          <w:color w:val="auto"/>
          <w:sz w:val="22"/>
          <w:szCs w:val="22"/>
          <w:highlight w:val="none"/>
        </w:rPr>
        <w:t>）内容有重大差异的；</w:t>
      </w:r>
    </w:p>
    <w:p w14:paraId="0E45CFD6">
      <w:pPr>
        <w:keepNext w:val="0"/>
        <w:keepLines w:val="0"/>
        <w:pageBreakBefore w:val="0"/>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9、法律、法规和采购文件规定的其他无效情形；</w:t>
      </w:r>
    </w:p>
    <w:p w14:paraId="3050307A">
      <w:pPr>
        <w:keepNext w:val="0"/>
        <w:keepLines w:val="0"/>
        <w:pageBreakBefore w:val="0"/>
        <w:tabs>
          <w:tab w:val="left" w:pos="0"/>
          <w:tab w:val="left" w:pos="723"/>
        </w:tabs>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10、报价文件存在采购文件所规定的其它无效投标条款要求。</w:t>
      </w:r>
    </w:p>
    <w:p w14:paraId="3A4477A4">
      <w:pPr>
        <w:keepNext w:val="0"/>
        <w:keepLines w:val="0"/>
        <w:pageBreakBefore w:val="0"/>
        <w:kinsoku/>
        <w:wordWrap/>
        <w:overflowPunct/>
        <w:topLinePunct w:val="0"/>
        <w:autoSpaceDE/>
        <w:autoSpaceDN/>
        <w:bidi w:val="0"/>
        <w:adjustRightInd/>
        <w:snapToGrid/>
        <w:spacing w:line="440" w:lineRule="exact"/>
        <w:ind w:left="396"/>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E、评审时如发现下列情形之一的，视为投标人串通投标，其投标无效：</w:t>
      </w:r>
    </w:p>
    <w:p w14:paraId="56D0BE9D">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1、不同投标人的投标文件由同一单位或者个人编制；</w:t>
      </w:r>
    </w:p>
    <w:p w14:paraId="3AB21ECD">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2、不同投标人委托同一单位或者个人办理投标事宜；</w:t>
      </w:r>
    </w:p>
    <w:p w14:paraId="05484F09">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3、不同投标人的投标文件载明的项目管理成员或者联系人员为同一人；</w:t>
      </w:r>
    </w:p>
    <w:p w14:paraId="3ED14EBB">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4、不同投标人的投标文件异常一致或者投标报价呈规律性差异；</w:t>
      </w:r>
    </w:p>
    <w:p w14:paraId="37720E29">
      <w:pPr>
        <w:keepNext w:val="0"/>
        <w:keepLines w:val="0"/>
        <w:pageBreakBefore w:val="0"/>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5、不同投标人的投标文件相互混装；</w:t>
      </w:r>
    </w:p>
    <w:p w14:paraId="1D630ACD">
      <w:pPr>
        <w:keepNext w:val="0"/>
        <w:keepLines w:val="0"/>
        <w:pageBreakBefore w:val="0"/>
        <w:tabs>
          <w:tab w:val="left" w:pos="0"/>
          <w:tab w:val="left" w:pos="723"/>
        </w:tabs>
        <w:kinsoku/>
        <w:wordWrap/>
        <w:overflowPunct/>
        <w:topLinePunct w:val="0"/>
        <w:autoSpaceDE/>
        <w:autoSpaceDN/>
        <w:bidi w:val="0"/>
        <w:adjustRightInd/>
        <w:snapToGrid/>
        <w:spacing w:line="440" w:lineRule="exact"/>
        <w:ind w:firstLine="440" w:firstLineChars="200"/>
        <w:contextualSpacing/>
        <w:textAlignment w:val="auto"/>
        <w:rPr>
          <w:rFonts w:hint="eastAsia" w:ascii="宋体" w:hAnsi="宋体" w:eastAsia="宋体" w:cs="宋体"/>
          <w:b w:val="0"/>
          <w:bCs w:val="0"/>
          <w:color w:val="auto"/>
          <w:kern w:val="1"/>
          <w:sz w:val="22"/>
          <w:szCs w:val="22"/>
          <w:highlight w:val="none"/>
        </w:rPr>
      </w:pPr>
      <w:r>
        <w:rPr>
          <w:rFonts w:hint="eastAsia" w:ascii="宋体" w:hAnsi="宋体" w:eastAsia="宋体" w:cs="宋体"/>
          <w:b w:val="0"/>
          <w:bCs w:val="0"/>
          <w:color w:val="auto"/>
          <w:kern w:val="1"/>
          <w:sz w:val="22"/>
          <w:szCs w:val="22"/>
          <w:highlight w:val="none"/>
          <w:lang w:val="en-US" w:eastAsia="zh-CN"/>
        </w:rPr>
        <w:t>6</w:t>
      </w:r>
      <w:r>
        <w:rPr>
          <w:rFonts w:hint="eastAsia" w:ascii="宋体" w:hAnsi="宋体" w:eastAsia="宋体" w:cs="宋体"/>
          <w:b w:val="0"/>
          <w:bCs w:val="0"/>
          <w:color w:val="auto"/>
          <w:kern w:val="1"/>
          <w:sz w:val="22"/>
          <w:szCs w:val="22"/>
          <w:highlight w:val="none"/>
        </w:rPr>
        <w:t>、不同投标人的投标文件出自同一终端设备或在相同Internet主机分配地址（相同IP地址）网上报名投标。</w:t>
      </w:r>
    </w:p>
    <w:p w14:paraId="5F4C3CCC">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rPr>
        <w:t>四</w:t>
      </w:r>
      <w:r>
        <w:rPr>
          <w:rFonts w:hint="eastAsia" w:ascii="宋体" w:hAnsi="宋体" w:eastAsia="宋体" w:cs="宋体"/>
          <w:b/>
          <w:bCs/>
          <w:color w:val="auto"/>
          <w:sz w:val="22"/>
          <w:szCs w:val="22"/>
          <w:highlight w:val="none"/>
        </w:rPr>
        <w:t>）澄清问题</w:t>
      </w:r>
    </w:p>
    <w:p w14:paraId="2EADA6D9">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对投标文件中含义不明确、同类问题表述不一致或者有明显文字和计算错误的内容，评标委员会要求投标人作出必要的澄清、说明或者纠正。</w:t>
      </w:r>
    </w:p>
    <w:p w14:paraId="238F3CCA">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（五）详细评审</w:t>
      </w:r>
    </w:p>
    <w:p w14:paraId="6C2E6420">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评标委员会对初步评审合格的投标文件，依照本办法对投标文件作进一步评审、比较。评标委员会成员经过阅标、审标和询标，对各投标人进行打分。</w:t>
      </w:r>
    </w:p>
    <w:p w14:paraId="38CD8668">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委打分参照：评分标准。评委打分采用记名方式进行独立打分，汇总所有评委会成员评分取算术平均值（小数点后保留二位数）为该投标人的商务技术得分。报价文件经评标委员会评审后按评分标准表进行统一计算（小数点后保留二位小数）。最终汇总商务技术得分和报价得分（小数点后保留二位小数）。</w:t>
      </w:r>
    </w:p>
    <w:p w14:paraId="5386EC08">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（六）推荐中标候选人原则</w:t>
      </w:r>
    </w:p>
    <w:p w14:paraId="068CD179">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评标委员会根据投标人的综合得分由高到低的排序，推荐中标候选人。若供应商的综合得分相等，则投标报价低者列前；若投标报价也相同时，采取随机抽签的方式确定排序。</w:t>
      </w:r>
    </w:p>
    <w:p w14:paraId="642C87EE">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（七）中标结果</w:t>
      </w:r>
    </w:p>
    <w:p w14:paraId="2AD30CE0">
      <w:pPr>
        <w:keepNext w:val="0"/>
        <w:keepLines w:val="0"/>
        <w:pageBreakBefore w:val="0"/>
        <w:widowControl/>
        <w:kinsoku/>
        <w:wordWrap/>
        <w:overflowPunct/>
        <w:topLinePunct w:val="0"/>
        <w:autoSpaceDE/>
        <w:autoSpaceDN/>
        <w:bidi w:val="0"/>
        <w:adjustRightInd/>
        <w:snapToGrid/>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评标委员会按综合得分由高到低的排序，向采购人推荐中标候选人。代理机构应当自评审结束之日起2个工作日内将评审报告送交采购人。采购人应当自收到评审报告之日起5个工作日内在评审报告推荐的中标候选人中按顺序确定1名中标供应商。中标供应商因不可抗力或者自身原因不能履行政府采购合同的，采购人可以按照评审报告推荐的下一中标候选人为中标供应商或重新招标。 </w:t>
      </w:r>
    </w:p>
    <w:p w14:paraId="787CFDEA">
      <w:pPr>
        <w:spacing w:line="280" w:lineRule="exact"/>
        <w:rPr>
          <w:rFonts w:hint="eastAsia" w:ascii="宋体" w:hAnsi="宋体" w:eastAsia="宋体" w:cs="宋体"/>
          <w:color w:val="auto"/>
          <w:sz w:val="22"/>
          <w:szCs w:val="22"/>
          <w:highlight w:val="none"/>
        </w:rPr>
        <w:sectPr>
          <w:headerReference r:id="rId4" w:type="default"/>
          <w:footerReference r:id="rId5" w:type="default"/>
          <w:pgSz w:w="11906" w:h="16838"/>
          <w:pgMar w:top="1134" w:right="1287" w:bottom="623" w:left="618" w:header="1134" w:footer="1134" w:gutter="851"/>
          <w:pgBorders>
            <w:top w:val="none" w:sz="0" w:space="0"/>
            <w:left w:val="none" w:sz="0" w:space="0"/>
            <w:bottom w:val="none" w:sz="0" w:space="0"/>
            <w:right w:val="none" w:sz="0" w:space="0"/>
          </w:pgBorders>
          <w:pgNumType w:fmt="decimal"/>
          <w:cols w:space="720" w:num="1"/>
          <w:docGrid w:type="linesAndChars" w:linePitch="312" w:charSpace="0"/>
        </w:sectPr>
      </w:pPr>
    </w:p>
    <w:p w14:paraId="4A8B5D8E">
      <w:pPr>
        <w:widowControl/>
        <w:spacing w:line="360" w:lineRule="auto"/>
        <w:ind w:right="25" w:rightChars="12"/>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评分细则</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52"/>
        <w:gridCol w:w="6516"/>
        <w:gridCol w:w="744"/>
      </w:tblGrid>
      <w:tr w14:paraId="39CD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3" w:type="dxa"/>
            <w:gridSpan w:val="3"/>
            <w:noWrap w:val="0"/>
            <w:vAlign w:val="center"/>
          </w:tcPr>
          <w:p w14:paraId="5E9491A8">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评分内容</w:t>
            </w:r>
          </w:p>
        </w:tc>
        <w:tc>
          <w:tcPr>
            <w:tcW w:w="744" w:type="dxa"/>
            <w:noWrap w:val="0"/>
            <w:vAlign w:val="center"/>
          </w:tcPr>
          <w:p w14:paraId="522560CE">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分值</w:t>
            </w:r>
          </w:p>
        </w:tc>
      </w:tr>
      <w:tr w14:paraId="2448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595" w:type="dxa"/>
            <w:vMerge w:val="restart"/>
            <w:noWrap w:val="0"/>
            <w:vAlign w:val="center"/>
          </w:tcPr>
          <w:p w14:paraId="73CE2DE0">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w:t>
            </w:r>
          </w:p>
          <w:p w14:paraId="4D6C1A8B">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w:t>
            </w:r>
          </w:p>
          <w:p w14:paraId="1D8A2C4F">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w:t>
            </w:r>
          </w:p>
          <w:p w14:paraId="196B06C6">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分）</w:t>
            </w:r>
          </w:p>
        </w:tc>
        <w:tc>
          <w:tcPr>
            <w:tcW w:w="1352" w:type="dxa"/>
            <w:vMerge w:val="restart"/>
            <w:noWrap w:val="0"/>
            <w:vAlign w:val="center"/>
          </w:tcPr>
          <w:p w14:paraId="29B2EEB2">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0"/>
                <w:highlight w:val="none"/>
                <w:lang w:eastAsia="zh-CN"/>
              </w:rPr>
            </w:pPr>
            <w:r>
              <w:rPr>
                <w:rFonts w:hint="eastAsia" w:ascii="宋体" w:hAnsi="宋体" w:eastAsia="宋体" w:cs="宋体"/>
                <w:color w:val="auto"/>
                <w:szCs w:val="20"/>
                <w:highlight w:val="none"/>
                <w:lang w:val="en-US" w:eastAsia="zh-CN"/>
              </w:rPr>
              <w:t>1、监理实施</w:t>
            </w:r>
            <w:r>
              <w:rPr>
                <w:rFonts w:hint="eastAsia" w:ascii="宋体" w:hAnsi="宋体" w:eastAsia="宋体" w:cs="宋体"/>
                <w:color w:val="auto"/>
                <w:szCs w:val="20"/>
                <w:highlight w:val="none"/>
              </w:rPr>
              <w:t>方案</w:t>
            </w:r>
            <w:r>
              <w:rPr>
                <w:rFonts w:hint="eastAsia" w:ascii="宋体" w:hAnsi="宋体" w:eastAsia="宋体" w:cs="宋体"/>
                <w:color w:val="auto"/>
                <w:szCs w:val="20"/>
                <w:highlight w:val="none"/>
                <w:lang w:eastAsia="zh-CN"/>
              </w:rPr>
              <w:t>（</w:t>
            </w:r>
            <w:r>
              <w:rPr>
                <w:rFonts w:hint="eastAsia" w:ascii="宋体" w:hAnsi="宋体" w:cs="宋体"/>
                <w:color w:val="auto"/>
                <w:szCs w:val="20"/>
                <w:highlight w:val="none"/>
                <w:lang w:val="en-US" w:eastAsia="zh-CN"/>
              </w:rPr>
              <w:t>60</w:t>
            </w:r>
            <w:r>
              <w:rPr>
                <w:rFonts w:hint="eastAsia" w:ascii="宋体" w:hAnsi="宋体" w:eastAsia="宋体" w:cs="宋体"/>
                <w:color w:val="auto"/>
                <w:szCs w:val="20"/>
                <w:highlight w:val="none"/>
                <w:lang w:val="en-US" w:eastAsia="zh-CN"/>
              </w:rPr>
              <w:t>分</w:t>
            </w:r>
            <w:r>
              <w:rPr>
                <w:rFonts w:hint="eastAsia" w:ascii="宋体" w:hAnsi="宋体" w:eastAsia="宋体" w:cs="宋体"/>
                <w:color w:val="auto"/>
                <w:szCs w:val="20"/>
                <w:highlight w:val="none"/>
                <w:lang w:eastAsia="zh-CN"/>
              </w:rPr>
              <w:t>）</w:t>
            </w:r>
          </w:p>
        </w:tc>
        <w:tc>
          <w:tcPr>
            <w:tcW w:w="6516" w:type="dxa"/>
            <w:noWrap w:val="0"/>
            <w:vAlign w:val="center"/>
          </w:tcPr>
          <w:p w14:paraId="6DF0B5C3">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评标委员会根据</w:t>
            </w:r>
            <w:r>
              <w:rPr>
                <w:rFonts w:hint="eastAsia" w:ascii="宋体" w:hAnsi="宋体" w:eastAsia="宋体" w:cs="宋体"/>
                <w:color w:val="auto"/>
                <w:szCs w:val="21"/>
                <w:highlight w:val="none"/>
                <w:shd w:val="clear" w:color="auto" w:fill="auto"/>
                <w:lang w:eastAsia="zh-CN"/>
              </w:rPr>
              <w:t>供应商针对本项目</w:t>
            </w:r>
            <w:r>
              <w:rPr>
                <w:rFonts w:hint="eastAsia" w:ascii="宋体" w:hAnsi="宋体" w:eastAsia="宋体" w:cs="宋体"/>
                <w:color w:val="auto"/>
                <w:szCs w:val="21"/>
                <w:highlight w:val="none"/>
                <w:shd w:val="clear" w:color="auto" w:fill="auto"/>
              </w:rPr>
              <w:t>的</w:t>
            </w:r>
            <w:r>
              <w:rPr>
                <w:rFonts w:hint="eastAsia" w:ascii="宋体" w:hAnsi="宋体" w:eastAsia="宋体" w:cs="宋体"/>
                <w:color w:val="auto"/>
                <w:szCs w:val="21"/>
                <w:highlight w:val="none"/>
                <w:shd w:val="clear" w:color="auto" w:fill="auto"/>
                <w:lang w:val="en-US" w:eastAsia="zh-CN"/>
              </w:rPr>
              <w:t>监理大纲内容</w:t>
            </w:r>
            <w:r>
              <w:rPr>
                <w:rFonts w:hint="eastAsia" w:ascii="宋体" w:hAnsi="宋体" w:eastAsia="宋体" w:cs="宋体"/>
                <w:color w:val="auto"/>
                <w:szCs w:val="21"/>
                <w:highlight w:val="none"/>
                <w:shd w:val="clear" w:color="auto" w:fill="auto"/>
              </w:rPr>
              <w:t>进行评议</w:t>
            </w:r>
            <w:r>
              <w:rPr>
                <w:rFonts w:hint="eastAsia" w:ascii="宋体" w:hAnsi="宋体" w:eastAsia="宋体" w:cs="宋体"/>
                <w:color w:val="auto"/>
                <w:szCs w:val="21"/>
                <w:highlight w:val="none"/>
                <w:shd w:val="clear" w:color="auto" w:fill="auto"/>
                <w:lang w:eastAsia="zh-CN"/>
              </w:rPr>
              <w:t>：</w:t>
            </w:r>
          </w:p>
          <w:p w14:paraId="154935EA">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监理大纲内容齐全，得</w:t>
            </w:r>
            <w:r>
              <w:rPr>
                <w:rFonts w:hint="eastAsia" w:ascii="宋体" w:hAnsi="宋体" w:cs="宋体"/>
                <w:color w:val="auto"/>
                <w:szCs w:val="21"/>
                <w:highlight w:val="none"/>
                <w:shd w:val="clear" w:color="auto" w:fill="auto"/>
                <w:lang w:val="en-US" w:eastAsia="zh-CN"/>
              </w:rPr>
              <w:t>7</w:t>
            </w:r>
            <w:r>
              <w:rPr>
                <w:rFonts w:hint="eastAsia" w:ascii="宋体" w:hAnsi="宋体" w:eastAsia="宋体" w:cs="宋体"/>
                <w:color w:val="auto"/>
                <w:szCs w:val="21"/>
                <w:highlight w:val="none"/>
                <w:shd w:val="clear" w:color="auto" w:fill="auto"/>
                <w:lang w:val="en-US" w:eastAsia="zh-CN"/>
              </w:rPr>
              <w:t>分；</w:t>
            </w:r>
          </w:p>
          <w:p w14:paraId="0D897E11">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监理大纲内容完整性一般，得</w:t>
            </w:r>
            <w:r>
              <w:rPr>
                <w:rFonts w:hint="eastAsia" w:ascii="宋体" w:hAnsi="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lang w:val="en-US" w:eastAsia="zh-CN"/>
              </w:rPr>
              <w:t>分；</w:t>
            </w:r>
          </w:p>
          <w:p w14:paraId="531F6BA7">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监理大纲内容欠完整，得3分；</w:t>
            </w:r>
          </w:p>
          <w:p w14:paraId="38A76BC8">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监理大纲内容不够完整，得1分；</w:t>
            </w:r>
          </w:p>
          <w:p w14:paraId="13197A94">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未提供的不得分。</w:t>
            </w:r>
          </w:p>
        </w:tc>
        <w:tc>
          <w:tcPr>
            <w:tcW w:w="744" w:type="dxa"/>
            <w:noWrap w:val="0"/>
            <w:vAlign w:val="center"/>
          </w:tcPr>
          <w:p w14:paraId="3490D22C">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center"/>
              <w:textAlignment w:val="baseline"/>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r>
      <w:tr w14:paraId="3FA5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595" w:type="dxa"/>
            <w:vMerge w:val="continue"/>
            <w:noWrap w:val="0"/>
            <w:vAlign w:val="center"/>
          </w:tcPr>
          <w:p w14:paraId="188A3379">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vMerge w:val="continue"/>
            <w:noWrap w:val="0"/>
            <w:vAlign w:val="center"/>
          </w:tcPr>
          <w:p w14:paraId="38FAB375">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left"/>
              <w:rPr>
                <w:rFonts w:hint="eastAsia" w:ascii="宋体" w:hAnsi="宋体" w:eastAsia="宋体" w:cs="宋体"/>
                <w:color w:val="auto"/>
                <w:szCs w:val="20"/>
                <w:highlight w:val="none"/>
              </w:rPr>
            </w:pPr>
          </w:p>
        </w:tc>
        <w:tc>
          <w:tcPr>
            <w:tcW w:w="6516" w:type="dxa"/>
            <w:noWrap w:val="0"/>
            <w:vAlign w:val="center"/>
          </w:tcPr>
          <w:p w14:paraId="3938B4CB">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评标委员会根据</w:t>
            </w:r>
            <w:r>
              <w:rPr>
                <w:rFonts w:hint="eastAsia" w:ascii="宋体" w:hAnsi="宋体" w:eastAsia="宋体" w:cs="宋体"/>
                <w:color w:val="auto"/>
                <w:szCs w:val="21"/>
                <w:highlight w:val="none"/>
                <w:shd w:val="clear" w:color="auto" w:fill="auto"/>
                <w:lang w:eastAsia="zh-CN"/>
              </w:rPr>
              <w:t>供应商针对本项目</w:t>
            </w:r>
            <w:r>
              <w:rPr>
                <w:rFonts w:hint="eastAsia" w:ascii="宋体" w:hAnsi="宋体" w:eastAsia="宋体" w:cs="宋体"/>
                <w:color w:val="auto"/>
                <w:szCs w:val="21"/>
                <w:highlight w:val="none"/>
                <w:shd w:val="clear" w:color="auto" w:fill="auto"/>
              </w:rPr>
              <w:t>的质量目标及措施等方案进行评议</w:t>
            </w:r>
            <w:r>
              <w:rPr>
                <w:rFonts w:hint="eastAsia" w:ascii="宋体" w:hAnsi="宋体" w:eastAsia="宋体" w:cs="宋体"/>
                <w:color w:val="auto"/>
                <w:szCs w:val="21"/>
                <w:highlight w:val="none"/>
                <w:shd w:val="clear" w:color="auto" w:fill="auto"/>
                <w:lang w:eastAsia="zh-CN"/>
              </w:rPr>
              <w:t>：</w:t>
            </w:r>
          </w:p>
          <w:p w14:paraId="3A52AC56">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质量目标及措施方案明确、具体、可行，得</w:t>
            </w:r>
            <w:r>
              <w:rPr>
                <w:rFonts w:hint="eastAsia" w:ascii="宋体" w:hAnsi="宋体" w:cs="宋体"/>
                <w:color w:val="auto"/>
                <w:szCs w:val="21"/>
                <w:highlight w:val="none"/>
                <w:shd w:val="clear" w:color="auto" w:fill="auto"/>
                <w:lang w:val="en-US" w:eastAsia="zh-CN"/>
              </w:rPr>
              <w:t>7</w:t>
            </w:r>
            <w:r>
              <w:rPr>
                <w:rFonts w:hint="eastAsia" w:ascii="宋体" w:hAnsi="宋体" w:eastAsia="宋体" w:cs="宋体"/>
                <w:color w:val="auto"/>
                <w:szCs w:val="21"/>
                <w:highlight w:val="none"/>
                <w:shd w:val="clear" w:color="auto" w:fill="auto"/>
                <w:lang w:val="en-US" w:eastAsia="zh-CN"/>
              </w:rPr>
              <w:t>分；</w:t>
            </w:r>
          </w:p>
          <w:p w14:paraId="33D6B196">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质量目标及措施方案基本明确，但在具体措施上略显不足，得</w:t>
            </w:r>
            <w:r>
              <w:rPr>
                <w:rFonts w:hint="eastAsia" w:ascii="宋体" w:hAnsi="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lang w:val="en-US" w:eastAsia="zh-CN"/>
              </w:rPr>
              <w:t>分；</w:t>
            </w:r>
          </w:p>
          <w:p w14:paraId="680645BD">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质量目标及措施方案部分内容较为模糊，得</w:t>
            </w:r>
            <w:r>
              <w:rPr>
                <w:rFonts w:hint="eastAsia" w:ascii="宋体" w:hAnsi="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lang w:val="en-US" w:eastAsia="zh-CN"/>
              </w:rPr>
              <w:t>分；</w:t>
            </w:r>
          </w:p>
          <w:p w14:paraId="1D65F8ED">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质量目标及措施方案存在明显的问题或不足，得1分；</w:t>
            </w:r>
          </w:p>
          <w:p w14:paraId="28E5A69C">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未提供的不得分。</w:t>
            </w:r>
          </w:p>
        </w:tc>
        <w:tc>
          <w:tcPr>
            <w:tcW w:w="744" w:type="dxa"/>
            <w:noWrap w:val="0"/>
            <w:vAlign w:val="center"/>
          </w:tcPr>
          <w:p w14:paraId="4573F302">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r>
      <w:tr w14:paraId="775E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5" w:type="dxa"/>
            <w:vMerge w:val="continue"/>
            <w:noWrap w:val="0"/>
            <w:vAlign w:val="center"/>
          </w:tcPr>
          <w:p w14:paraId="2EAB5A7F">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vMerge w:val="continue"/>
            <w:noWrap w:val="0"/>
            <w:vAlign w:val="center"/>
          </w:tcPr>
          <w:p w14:paraId="51827C91">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left"/>
              <w:rPr>
                <w:rFonts w:hint="eastAsia" w:ascii="宋体" w:hAnsi="宋体" w:eastAsia="宋体" w:cs="宋体"/>
                <w:color w:val="auto"/>
                <w:szCs w:val="20"/>
                <w:highlight w:val="none"/>
              </w:rPr>
            </w:pPr>
          </w:p>
        </w:tc>
        <w:tc>
          <w:tcPr>
            <w:tcW w:w="6516" w:type="dxa"/>
            <w:noWrap w:val="0"/>
            <w:vAlign w:val="center"/>
          </w:tcPr>
          <w:p w14:paraId="12459CC3">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评标委员会根据</w:t>
            </w:r>
            <w:r>
              <w:rPr>
                <w:rFonts w:hint="eastAsia" w:ascii="宋体" w:hAnsi="宋体" w:eastAsia="宋体" w:cs="宋体"/>
                <w:color w:val="auto"/>
                <w:szCs w:val="21"/>
                <w:highlight w:val="none"/>
                <w:shd w:val="clear" w:color="auto" w:fill="auto"/>
                <w:lang w:eastAsia="zh-CN"/>
              </w:rPr>
              <w:t>供应商针对本项目</w:t>
            </w:r>
            <w:r>
              <w:rPr>
                <w:rFonts w:hint="eastAsia" w:ascii="宋体" w:hAnsi="宋体" w:eastAsia="宋体" w:cs="宋体"/>
                <w:color w:val="auto"/>
                <w:szCs w:val="21"/>
                <w:highlight w:val="none"/>
                <w:shd w:val="clear" w:color="auto" w:fill="auto"/>
              </w:rPr>
              <w:t>的进度目标及措施等方案进行评议：</w:t>
            </w:r>
          </w:p>
          <w:p w14:paraId="542FF452">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进度目标及措施明确、具体、可行，得</w:t>
            </w:r>
            <w:r>
              <w:rPr>
                <w:rFonts w:hint="eastAsia" w:ascii="宋体" w:hAnsi="宋体" w:cs="宋体"/>
                <w:color w:val="auto"/>
                <w:szCs w:val="21"/>
                <w:highlight w:val="none"/>
                <w:shd w:val="clear" w:color="auto" w:fill="auto"/>
                <w:lang w:val="en-US" w:eastAsia="zh-CN"/>
              </w:rPr>
              <w:t>7</w:t>
            </w:r>
            <w:r>
              <w:rPr>
                <w:rFonts w:hint="eastAsia" w:ascii="宋体" w:hAnsi="宋体" w:eastAsia="宋体" w:cs="宋体"/>
                <w:color w:val="auto"/>
                <w:szCs w:val="21"/>
                <w:highlight w:val="none"/>
                <w:shd w:val="clear" w:color="auto" w:fill="auto"/>
                <w:lang w:val="en-US" w:eastAsia="zh-CN"/>
              </w:rPr>
              <w:t>分；</w:t>
            </w:r>
          </w:p>
          <w:p w14:paraId="6BD93266">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进度目标及措施基本明确，但在具体措施上略显不足，得</w:t>
            </w:r>
            <w:r>
              <w:rPr>
                <w:rFonts w:hint="eastAsia" w:ascii="宋体" w:hAnsi="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lang w:val="en-US" w:eastAsia="zh-CN"/>
              </w:rPr>
              <w:t>分；</w:t>
            </w:r>
          </w:p>
          <w:p w14:paraId="71ABE427">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进度目标及措施部分内容较为模糊，得3分；</w:t>
            </w:r>
          </w:p>
          <w:p w14:paraId="00644F03">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进度目标及措施存在明显的问题或不足，得1分；</w:t>
            </w:r>
          </w:p>
          <w:p w14:paraId="1D460527">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未提供的不得分。</w:t>
            </w:r>
          </w:p>
        </w:tc>
        <w:tc>
          <w:tcPr>
            <w:tcW w:w="744" w:type="dxa"/>
            <w:noWrap w:val="0"/>
            <w:vAlign w:val="center"/>
          </w:tcPr>
          <w:p w14:paraId="66FD7E13">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r>
      <w:tr w14:paraId="5A92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95" w:type="dxa"/>
            <w:vMerge w:val="continue"/>
            <w:noWrap w:val="0"/>
            <w:vAlign w:val="center"/>
          </w:tcPr>
          <w:p w14:paraId="6523C699">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vMerge w:val="continue"/>
            <w:noWrap w:val="0"/>
            <w:vAlign w:val="center"/>
          </w:tcPr>
          <w:p w14:paraId="677EB784">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left"/>
              <w:rPr>
                <w:rFonts w:hint="eastAsia" w:ascii="宋体" w:hAnsi="宋体" w:eastAsia="宋体" w:cs="宋体"/>
                <w:color w:val="auto"/>
                <w:szCs w:val="20"/>
                <w:highlight w:val="none"/>
              </w:rPr>
            </w:pPr>
          </w:p>
        </w:tc>
        <w:tc>
          <w:tcPr>
            <w:tcW w:w="6516" w:type="dxa"/>
            <w:noWrap w:val="0"/>
            <w:vAlign w:val="center"/>
          </w:tcPr>
          <w:p w14:paraId="6B615D22">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评标委员会根据</w:t>
            </w:r>
            <w:r>
              <w:rPr>
                <w:rFonts w:hint="eastAsia" w:ascii="宋体" w:hAnsi="宋体" w:eastAsia="宋体" w:cs="宋体"/>
                <w:color w:val="auto"/>
                <w:szCs w:val="21"/>
                <w:highlight w:val="none"/>
                <w:shd w:val="clear" w:color="auto" w:fill="auto"/>
                <w:lang w:eastAsia="zh-CN"/>
              </w:rPr>
              <w:t>供应商</w:t>
            </w:r>
            <w:r>
              <w:rPr>
                <w:rFonts w:hint="eastAsia" w:ascii="宋体" w:hAnsi="宋体" w:eastAsia="宋体" w:cs="宋体"/>
                <w:color w:val="auto"/>
                <w:szCs w:val="21"/>
                <w:highlight w:val="none"/>
                <w:shd w:val="clear" w:color="auto" w:fill="auto"/>
              </w:rPr>
              <w:t>针对</w:t>
            </w:r>
            <w:r>
              <w:rPr>
                <w:rFonts w:hint="eastAsia" w:ascii="宋体" w:hAnsi="宋体" w:eastAsia="宋体" w:cs="宋体"/>
                <w:color w:val="auto"/>
                <w:szCs w:val="21"/>
                <w:highlight w:val="none"/>
                <w:shd w:val="clear" w:color="auto" w:fill="auto"/>
                <w:lang w:eastAsia="zh-CN"/>
              </w:rPr>
              <w:t>本项目</w:t>
            </w:r>
            <w:r>
              <w:rPr>
                <w:rFonts w:hint="eastAsia" w:ascii="宋体" w:hAnsi="宋体" w:eastAsia="宋体" w:cs="宋体"/>
                <w:color w:val="auto"/>
                <w:szCs w:val="21"/>
                <w:highlight w:val="none"/>
                <w:shd w:val="clear" w:color="auto" w:fill="auto"/>
              </w:rPr>
              <w:t>的投资目标及措施等方案进行评议</w:t>
            </w:r>
            <w:r>
              <w:rPr>
                <w:rFonts w:hint="eastAsia" w:ascii="宋体" w:hAnsi="宋体" w:eastAsia="宋体" w:cs="宋体"/>
                <w:color w:val="auto"/>
                <w:szCs w:val="21"/>
                <w:highlight w:val="none"/>
                <w:shd w:val="clear" w:color="auto" w:fill="auto"/>
                <w:lang w:eastAsia="zh-CN"/>
              </w:rPr>
              <w:t>：</w:t>
            </w:r>
          </w:p>
          <w:p w14:paraId="0B7D57A1">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投资目标及措施明确、具体、可行，得</w:t>
            </w:r>
            <w:r>
              <w:rPr>
                <w:rFonts w:hint="eastAsia" w:ascii="宋体" w:hAnsi="宋体" w:cs="宋体"/>
                <w:color w:val="auto"/>
                <w:szCs w:val="21"/>
                <w:highlight w:val="none"/>
                <w:shd w:val="clear" w:color="auto" w:fill="auto"/>
                <w:lang w:val="en-US" w:eastAsia="zh-CN"/>
              </w:rPr>
              <w:t>7</w:t>
            </w:r>
            <w:r>
              <w:rPr>
                <w:rFonts w:hint="eastAsia" w:ascii="宋体" w:hAnsi="宋体" w:eastAsia="宋体" w:cs="宋体"/>
                <w:color w:val="auto"/>
                <w:szCs w:val="21"/>
                <w:highlight w:val="none"/>
                <w:shd w:val="clear" w:color="auto" w:fill="auto"/>
                <w:lang w:val="en-US" w:eastAsia="zh-CN"/>
              </w:rPr>
              <w:t>分；</w:t>
            </w:r>
          </w:p>
          <w:p w14:paraId="5681C39A">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投资目标及措施基本明确，但在具体措施上略显不足，得</w:t>
            </w:r>
            <w:r>
              <w:rPr>
                <w:rFonts w:hint="eastAsia" w:ascii="宋体" w:hAnsi="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lang w:val="en-US" w:eastAsia="zh-CN"/>
              </w:rPr>
              <w:t>分；</w:t>
            </w:r>
          </w:p>
          <w:p w14:paraId="53AAD2C1">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投资目标及措施部分内容较为模糊，得3分；</w:t>
            </w:r>
          </w:p>
          <w:p w14:paraId="71E1816A">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投资目标及措施存在明显的问题或不足，得1分；</w:t>
            </w:r>
          </w:p>
          <w:p w14:paraId="50DD3AD7">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未提供的不得分。</w:t>
            </w:r>
          </w:p>
        </w:tc>
        <w:tc>
          <w:tcPr>
            <w:tcW w:w="744" w:type="dxa"/>
            <w:noWrap w:val="0"/>
            <w:vAlign w:val="center"/>
          </w:tcPr>
          <w:p w14:paraId="78AFB083">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r>
      <w:tr w14:paraId="32DE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5" w:type="dxa"/>
            <w:vMerge w:val="continue"/>
            <w:noWrap w:val="0"/>
            <w:vAlign w:val="center"/>
          </w:tcPr>
          <w:p w14:paraId="5BB645D6">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vMerge w:val="continue"/>
            <w:noWrap w:val="0"/>
            <w:vAlign w:val="center"/>
          </w:tcPr>
          <w:p w14:paraId="19547BE6">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both"/>
              <w:textAlignment w:val="baseline"/>
              <w:rPr>
                <w:rFonts w:hint="eastAsia" w:ascii="宋体" w:hAnsi="宋体" w:eastAsia="宋体" w:cs="宋体"/>
                <w:color w:val="auto"/>
                <w:kern w:val="2"/>
                <w:sz w:val="21"/>
                <w:szCs w:val="21"/>
                <w:highlight w:val="none"/>
                <w:lang w:val="en-US" w:eastAsia="zh-CN" w:bidi="ar-SA"/>
              </w:rPr>
            </w:pPr>
          </w:p>
        </w:tc>
        <w:tc>
          <w:tcPr>
            <w:tcW w:w="6516" w:type="dxa"/>
            <w:noWrap w:val="0"/>
            <w:vAlign w:val="center"/>
          </w:tcPr>
          <w:p w14:paraId="5FD224FE">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评标委员会根据</w:t>
            </w:r>
            <w:r>
              <w:rPr>
                <w:rFonts w:hint="eastAsia" w:ascii="宋体" w:hAnsi="宋体" w:eastAsia="宋体" w:cs="宋体"/>
                <w:color w:val="auto"/>
                <w:szCs w:val="21"/>
                <w:highlight w:val="none"/>
                <w:shd w:val="clear" w:color="auto" w:fill="auto"/>
                <w:lang w:eastAsia="zh-CN"/>
              </w:rPr>
              <w:t>供应商针对本项目</w:t>
            </w:r>
            <w:r>
              <w:rPr>
                <w:rFonts w:hint="eastAsia" w:ascii="宋体" w:hAnsi="宋体" w:eastAsia="宋体" w:cs="宋体"/>
                <w:color w:val="auto"/>
                <w:szCs w:val="21"/>
                <w:highlight w:val="none"/>
                <w:shd w:val="clear" w:color="auto" w:fill="auto"/>
              </w:rPr>
              <w:t>中的合同管理及组织协调等方案进行评议</w:t>
            </w:r>
            <w:r>
              <w:rPr>
                <w:rFonts w:hint="eastAsia" w:ascii="宋体" w:hAnsi="宋体" w:eastAsia="宋体" w:cs="宋体"/>
                <w:color w:val="auto"/>
                <w:szCs w:val="21"/>
                <w:highlight w:val="none"/>
                <w:shd w:val="clear" w:color="auto" w:fill="auto"/>
                <w:lang w:eastAsia="zh-CN"/>
              </w:rPr>
              <w:t>：</w:t>
            </w:r>
          </w:p>
          <w:p w14:paraId="43E2FCE1">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合同管理及组织协调方案全面、细致，得</w:t>
            </w:r>
            <w:r>
              <w:rPr>
                <w:rFonts w:hint="eastAsia" w:ascii="宋体" w:hAnsi="宋体" w:cs="宋体"/>
                <w:color w:val="auto"/>
                <w:szCs w:val="21"/>
                <w:highlight w:val="none"/>
                <w:shd w:val="clear" w:color="auto" w:fill="auto"/>
                <w:lang w:val="en-US" w:eastAsia="zh-CN"/>
              </w:rPr>
              <w:t>7</w:t>
            </w:r>
            <w:r>
              <w:rPr>
                <w:rFonts w:hint="eastAsia" w:ascii="宋体" w:hAnsi="宋体" w:eastAsia="宋体" w:cs="宋体"/>
                <w:color w:val="auto"/>
                <w:szCs w:val="21"/>
                <w:highlight w:val="none"/>
                <w:shd w:val="clear" w:color="auto" w:fill="auto"/>
                <w:lang w:val="en-US" w:eastAsia="zh-CN"/>
              </w:rPr>
              <w:t>分；</w:t>
            </w:r>
          </w:p>
          <w:p w14:paraId="2C084B42">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合同管理及组织协调方案完整性尚可，得</w:t>
            </w:r>
            <w:r>
              <w:rPr>
                <w:rFonts w:hint="eastAsia" w:ascii="宋体" w:hAnsi="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lang w:val="en-US" w:eastAsia="zh-CN"/>
              </w:rPr>
              <w:t>分；</w:t>
            </w:r>
          </w:p>
          <w:p w14:paraId="02AC3F89">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合同管理及组织协调方案部分内容较为模糊，得</w:t>
            </w:r>
            <w:r>
              <w:rPr>
                <w:rFonts w:hint="eastAsia" w:ascii="宋体" w:hAnsi="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lang w:val="en-US" w:eastAsia="zh-CN"/>
              </w:rPr>
              <w:t>分；</w:t>
            </w:r>
          </w:p>
          <w:p w14:paraId="6AC1FE36">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合同管理及组织协调方案存在明显的问题或不足，得1分；</w:t>
            </w:r>
          </w:p>
          <w:p w14:paraId="56C06F4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未提供的不得分。</w:t>
            </w:r>
          </w:p>
        </w:tc>
        <w:tc>
          <w:tcPr>
            <w:tcW w:w="744" w:type="dxa"/>
            <w:noWrap w:val="0"/>
            <w:vAlign w:val="center"/>
          </w:tcPr>
          <w:p w14:paraId="354E8DBD">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w:t>
            </w:r>
          </w:p>
        </w:tc>
      </w:tr>
      <w:tr w14:paraId="73F1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595" w:type="dxa"/>
            <w:vMerge w:val="continue"/>
            <w:noWrap w:val="0"/>
            <w:vAlign w:val="center"/>
          </w:tcPr>
          <w:p w14:paraId="2A333196">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vMerge w:val="continue"/>
            <w:noWrap w:val="0"/>
            <w:vAlign w:val="center"/>
          </w:tcPr>
          <w:p w14:paraId="4B110EA9">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left"/>
              <w:textAlignment w:val="baseline"/>
              <w:rPr>
                <w:rFonts w:hint="eastAsia" w:ascii="宋体" w:hAnsi="宋体" w:eastAsia="宋体" w:cs="宋体"/>
                <w:color w:val="auto"/>
                <w:szCs w:val="21"/>
                <w:highlight w:val="none"/>
                <w:lang w:val="en-US" w:eastAsia="zh-CN"/>
              </w:rPr>
            </w:pPr>
          </w:p>
        </w:tc>
        <w:tc>
          <w:tcPr>
            <w:tcW w:w="6516" w:type="dxa"/>
            <w:noWrap w:val="0"/>
            <w:vAlign w:val="center"/>
          </w:tcPr>
          <w:p w14:paraId="72130FE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评标委员会根据</w:t>
            </w:r>
            <w:r>
              <w:rPr>
                <w:rFonts w:hint="eastAsia" w:ascii="宋体" w:hAnsi="宋体" w:eastAsia="宋体" w:cs="宋体"/>
                <w:color w:val="auto"/>
                <w:szCs w:val="21"/>
                <w:highlight w:val="none"/>
                <w:shd w:val="clear" w:color="auto" w:fill="auto"/>
                <w:lang w:eastAsia="zh-CN"/>
              </w:rPr>
              <w:t>供应商针对本项目</w:t>
            </w:r>
            <w:r>
              <w:rPr>
                <w:rFonts w:hint="eastAsia" w:ascii="宋体" w:hAnsi="宋体" w:eastAsia="宋体" w:cs="宋体"/>
                <w:color w:val="auto"/>
                <w:szCs w:val="21"/>
                <w:highlight w:val="none"/>
                <w:shd w:val="clear" w:color="auto" w:fill="auto"/>
              </w:rPr>
              <w:t>中的安全及文明</w:t>
            </w:r>
            <w:r>
              <w:rPr>
                <w:rFonts w:hint="eastAsia" w:ascii="宋体" w:hAnsi="宋体" w:eastAsia="宋体" w:cs="宋体"/>
                <w:color w:val="auto"/>
                <w:szCs w:val="21"/>
                <w:highlight w:val="none"/>
                <w:shd w:val="clear" w:color="auto" w:fill="auto"/>
                <w:lang w:val="en-US" w:eastAsia="zh-CN"/>
              </w:rPr>
              <w:t>实施管控</w:t>
            </w:r>
            <w:r>
              <w:rPr>
                <w:rFonts w:hint="eastAsia" w:ascii="宋体" w:hAnsi="宋体" w:eastAsia="宋体" w:cs="宋体"/>
                <w:color w:val="auto"/>
                <w:szCs w:val="21"/>
                <w:highlight w:val="none"/>
                <w:shd w:val="clear" w:color="auto" w:fill="auto"/>
              </w:rPr>
              <w:t>等方案进行评议：</w:t>
            </w:r>
          </w:p>
          <w:p w14:paraId="2E1A47AD">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方案目标明确性、科学合理性强，措施方法全面具体的得5分；</w:t>
            </w:r>
          </w:p>
          <w:p w14:paraId="19C3F64E">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方案目标明确性、科学合理性尚可，措施方法基本全面具体的得3分；</w:t>
            </w:r>
          </w:p>
          <w:p w14:paraId="36AACC44">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方案目标明确性、科学合理性差，措施方法片面模糊的得1分。</w:t>
            </w:r>
          </w:p>
          <w:p w14:paraId="17B4DF5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未提供的不得分。</w:t>
            </w:r>
          </w:p>
        </w:tc>
        <w:tc>
          <w:tcPr>
            <w:tcW w:w="744" w:type="dxa"/>
            <w:noWrap w:val="0"/>
            <w:vAlign w:val="center"/>
          </w:tcPr>
          <w:p w14:paraId="72FC191C">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r>
      <w:tr w14:paraId="6981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95" w:type="dxa"/>
            <w:vMerge w:val="continue"/>
            <w:noWrap w:val="0"/>
            <w:vAlign w:val="center"/>
          </w:tcPr>
          <w:p w14:paraId="0C0756FB">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vMerge w:val="continue"/>
            <w:noWrap w:val="0"/>
            <w:vAlign w:val="center"/>
          </w:tcPr>
          <w:p w14:paraId="7F317CB6">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center"/>
              <w:textAlignment w:val="baseline"/>
              <w:rPr>
                <w:rFonts w:hint="eastAsia" w:ascii="宋体" w:hAnsi="宋体" w:eastAsia="宋体" w:cs="宋体"/>
                <w:color w:val="auto"/>
                <w:kern w:val="2"/>
                <w:sz w:val="21"/>
                <w:szCs w:val="21"/>
                <w:highlight w:val="none"/>
                <w:lang w:val="en-US" w:eastAsia="zh-CN" w:bidi="ar-SA"/>
              </w:rPr>
            </w:pPr>
          </w:p>
        </w:tc>
        <w:tc>
          <w:tcPr>
            <w:tcW w:w="6516" w:type="dxa"/>
            <w:noWrap w:val="0"/>
            <w:vAlign w:val="center"/>
          </w:tcPr>
          <w:p w14:paraId="4640FB0D">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评标委员会根据</w:t>
            </w:r>
            <w:r>
              <w:rPr>
                <w:rFonts w:hint="eastAsia" w:ascii="宋体" w:hAnsi="宋体" w:eastAsia="宋体" w:cs="宋体"/>
                <w:color w:val="auto"/>
                <w:szCs w:val="21"/>
                <w:highlight w:val="none"/>
                <w:shd w:val="clear" w:color="auto" w:fill="auto"/>
                <w:lang w:eastAsia="zh-CN"/>
              </w:rPr>
              <w:t>供应商针对本项目</w:t>
            </w:r>
            <w:r>
              <w:rPr>
                <w:rFonts w:hint="eastAsia" w:ascii="宋体" w:hAnsi="宋体" w:eastAsia="宋体" w:cs="宋体"/>
                <w:color w:val="auto"/>
                <w:szCs w:val="21"/>
                <w:highlight w:val="none"/>
                <w:shd w:val="clear" w:color="auto" w:fill="auto"/>
              </w:rPr>
              <w:t>中的</w:t>
            </w:r>
            <w:r>
              <w:rPr>
                <w:rFonts w:hint="eastAsia" w:ascii="宋体" w:hAnsi="宋体" w:eastAsia="宋体" w:cs="宋体"/>
                <w:color w:val="auto"/>
                <w:szCs w:val="21"/>
                <w:highlight w:val="none"/>
                <w:shd w:val="clear" w:color="auto" w:fill="auto"/>
                <w:lang w:val="en-US" w:eastAsia="zh-CN"/>
              </w:rPr>
              <w:t>关键点特殊控制措施和必要的旁站工作计划进行评议</w:t>
            </w:r>
            <w:r>
              <w:rPr>
                <w:rFonts w:hint="eastAsia" w:ascii="宋体" w:hAnsi="宋体" w:eastAsia="宋体" w:cs="宋体"/>
                <w:color w:val="auto"/>
                <w:szCs w:val="21"/>
                <w:highlight w:val="none"/>
                <w:shd w:val="clear" w:color="auto" w:fill="auto"/>
              </w:rPr>
              <w:t>：</w:t>
            </w:r>
          </w:p>
          <w:p w14:paraId="2E0F9CE6">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特殊控制措施可行性强，计划全面的得5分；</w:t>
            </w:r>
          </w:p>
          <w:p w14:paraId="196ECDF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特殊控制措施可行性一般，计划有待完善的得3分；</w:t>
            </w:r>
          </w:p>
          <w:p w14:paraId="01A5F344">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特殊控制措施可行性差，计划片面的得1分。</w:t>
            </w:r>
          </w:p>
          <w:p w14:paraId="5E6A57F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未提供的不得分。</w:t>
            </w:r>
          </w:p>
        </w:tc>
        <w:tc>
          <w:tcPr>
            <w:tcW w:w="744" w:type="dxa"/>
            <w:noWrap w:val="0"/>
            <w:vAlign w:val="center"/>
          </w:tcPr>
          <w:p w14:paraId="25E3320C">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w:t>
            </w:r>
          </w:p>
        </w:tc>
      </w:tr>
      <w:tr w14:paraId="4042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595" w:type="dxa"/>
            <w:vMerge w:val="continue"/>
            <w:noWrap w:val="0"/>
            <w:vAlign w:val="center"/>
          </w:tcPr>
          <w:p w14:paraId="19A38527">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vMerge w:val="continue"/>
            <w:noWrap w:val="0"/>
            <w:vAlign w:val="center"/>
          </w:tcPr>
          <w:p w14:paraId="3FADAEF8">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center"/>
              <w:textAlignment w:val="baseline"/>
              <w:rPr>
                <w:rFonts w:hint="eastAsia" w:ascii="宋体" w:hAnsi="宋体" w:eastAsia="宋体" w:cs="宋体"/>
                <w:color w:val="auto"/>
                <w:kern w:val="2"/>
                <w:sz w:val="21"/>
                <w:szCs w:val="21"/>
                <w:highlight w:val="none"/>
                <w:lang w:val="en-US" w:eastAsia="zh-CN" w:bidi="ar-SA"/>
              </w:rPr>
            </w:pPr>
          </w:p>
        </w:tc>
        <w:tc>
          <w:tcPr>
            <w:tcW w:w="6516" w:type="dxa"/>
            <w:noWrap w:val="0"/>
            <w:vAlign w:val="center"/>
          </w:tcPr>
          <w:p w14:paraId="00DE7142">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评标委员会根据</w:t>
            </w:r>
            <w:r>
              <w:rPr>
                <w:rFonts w:hint="eastAsia" w:ascii="宋体" w:hAnsi="宋体" w:eastAsia="宋体" w:cs="宋体"/>
                <w:color w:val="auto"/>
                <w:szCs w:val="21"/>
                <w:highlight w:val="none"/>
                <w:shd w:val="clear" w:color="auto" w:fill="auto"/>
                <w:lang w:eastAsia="zh-CN"/>
              </w:rPr>
              <w:t>供应商针对本项目</w:t>
            </w:r>
            <w:r>
              <w:rPr>
                <w:rFonts w:hint="eastAsia" w:ascii="宋体" w:hAnsi="宋体" w:eastAsia="宋体" w:cs="宋体"/>
                <w:color w:val="auto"/>
                <w:szCs w:val="21"/>
                <w:highlight w:val="none"/>
                <w:shd w:val="clear" w:color="auto" w:fill="auto"/>
                <w:lang w:val="en-US" w:eastAsia="zh-CN"/>
              </w:rPr>
              <w:t>投入的办公及检测设备进行评议</w:t>
            </w:r>
            <w:r>
              <w:rPr>
                <w:rFonts w:hint="eastAsia" w:ascii="宋体" w:hAnsi="宋体" w:eastAsia="宋体" w:cs="宋体"/>
                <w:color w:val="auto"/>
                <w:szCs w:val="21"/>
                <w:highlight w:val="none"/>
                <w:shd w:val="clear" w:color="auto" w:fill="auto"/>
              </w:rPr>
              <w:t>：</w:t>
            </w:r>
          </w:p>
          <w:p w14:paraId="50FA4159">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设备先进，配备齐全，得5分；</w:t>
            </w:r>
          </w:p>
          <w:p w14:paraId="0557C1ED">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设备先进性一般，配备齐全性一般，得3分；</w:t>
            </w:r>
          </w:p>
          <w:p w14:paraId="54224C96">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设备不够先进，配备不够齐全，得1分；</w:t>
            </w:r>
          </w:p>
          <w:p w14:paraId="2062F909">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未提供的不得分。</w:t>
            </w:r>
          </w:p>
        </w:tc>
        <w:tc>
          <w:tcPr>
            <w:tcW w:w="744" w:type="dxa"/>
            <w:noWrap w:val="0"/>
            <w:vAlign w:val="center"/>
          </w:tcPr>
          <w:p w14:paraId="37A4DB62">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5</w:t>
            </w:r>
          </w:p>
        </w:tc>
      </w:tr>
      <w:tr w14:paraId="3CB6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595" w:type="dxa"/>
            <w:vMerge w:val="continue"/>
            <w:noWrap w:val="0"/>
            <w:vAlign w:val="center"/>
          </w:tcPr>
          <w:p w14:paraId="415E2A44">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vMerge w:val="continue"/>
            <w:noWrap w:val="0"/>
            <w:vAlign w:val="center"/>
          </w:tcPr>
          <w:p w14:paraId="4D7BE14D">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kern w:val="2"/>
                <w:sz w:val="21"/>
                <w:szCs w:val="21"/>
                <w:highlight w:val="none"/>
                <w:lang w:val="en-US" w:eastAsia="zh-CN" w:bidi="ar-SA"/>
              </w:rPr>
            </w:pPr>
          </w:p>
        </w:tc>
        <w:tc>
          <w:tcPr>
            <w:tcW w:w="6516" w:type="dxa"/>
            <w:noWrap w:val="0"/>
            <w:vAlign w:val="center"/>
          </w:tcPr>
          <w:p w14:paraId="6A8DC7ED">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评标委员会根据供应商</w:t>
            </w:r>
            <w:r>
              <w:rPr>
                <w:rFonts w:hint="eastAsia" w:ascii="宋体" w:hAnsi="宋体" w:eastAsia="宋体" w:cs="宋体"/>
                <w:color w:val="auto"/>
                <w:szCs w:val="21"/>
                <w:highlight w:val="none"/>
                <w:shd w:val="clear" w:color="auto" w:fill="auto"/>
                <w:lang w:val="en-US" w:eastAsia="zh-CN"/>
              </w:rPr>
              <w:t>对本项目监理工作中廉政制度及相关承诺进行评议</w:t>
            </w:r>
            <w:r>
              <w:rPr>
                <w:rFonts w:hint="eastAsia" w:ascii="宋体" w:hAnsi="宋体" w:eastAsia="宋体" w:cs="宋体"/>
                <w:color w:val="auto"/>
                <w:szCs w:val="21"/>
                <w:highlight w:val="none"/>
                <w:shd w:val="clear" w:color="auto" w:fill="auto"/>
              </w:rPr>
              <w:t>：</w:t>
            </w:r>
          </w:p>
          <w:p w14:paraId="117FBA19">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廉政建设、相关承诺明确、完善的得5分；</w:t>
            </w:r>
          </w:p>
          <w:p w14:paraId="5FF187E5">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廉政建设、相关承诺明确性、完善性一般的得3分；</w:t>
            </w:r>
          </w:p>
          <w:p w14:paraId="608D852E">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廉政建设、相关承诺不够明确、不够完善的得1分；</w:t>
            </w:r>
          </w:p>
          <w:p w14:paraId="5A5A1F4A">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未提供的不得分。</w:t>
            </w:r>
          </w:p>
        </w:tc>
        <w:tc>
          <w:tcPr>
            <w:tcW w:w="744" w:type="dxa"/>
            <w:noWrap w:val="0"/>
            <w:vAlign w:val="center"/>
          </w:tcPr>
          <w:p w14:paraId="736530B0">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5</w:t>
            </w:r>
          </w:p>
        </w:tc>
      </w:tr>
      <w:tr w14:paraId="51F7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595" w:type="dxa"/>
            <w:vMerge w:val="continue"/>
            <w:noWrap w:val="0"/>
            <w:vAlign w:val="center"/>
          </w:tcPr>
          <w:p w14:paraId="348612FA">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vMerge w:val="continue"/>
            <w:noWrap w:val="0"/>
            <w:vAlign w:val="center"/>
          </w:tcPr>
          <w:p w14:paraId="33DB51FA">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kern w:val="2"/>
                <w:sz w:val="21"/>
                <w:szCs w:val="21"/>
                <w:highlight w:val="none"/>
                <w:lang w:val="en-US" w:eastAsia="zh-CN" w:bidi="ar-SA"/>
              </w:rPr>
            </w:pPr>
          </w:p>
        </w:tc>
        <w:tc>
          <w:tcPr>
            <w:tcW w:w="6516" w:type="dxa"/>
            <w:noWrap w:val="0"/>
            <w:vAlign w:val="center"/>
          </w:tcPr>
          <w:p w14:paraId="32182B4C">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评标委员会根据</w:t>
            </w:r>
            <w:r>
              <w:rPr>
                <w:rFonts w:hint="eastAsia" w:ascii="宋体" w:hAnsi="宋体" w:eastAsia="宋体" w:cs="宋体"/>
                <w:color w:val="auto"/>
                <w:szCs w:val="21"/>
                <w:highlight w:val="none"/>
                <w:shd w:val="clear" w:color="auto" w:fill="auto"/>
                <w:lang w:val="en-US" w:eastAsia="zh-CN"/>
              </w:rPr>
              <w:t>供应商</w:t>
            </w:r>
            <w:r>
              <w:rPr>
                <w:rFonts w:hint="eastAsia" w:ascii="宋体" w:hAnsi="宋体" w:eastAsia="宋体" w:cs="宋体"/>
                <w:color w:val="auto"/>
                <w:szCs w:val="21"/>
                <w:highlight w:val="none"/>
                <w:shd w:val="clear" w:color="auto" w:fill="auto"/>
              </w:rPr>
              <w:t>提供的</w:t>
            </w:r>
            <w:r>
              <w:rPr>
                <w:rFonts w:hint="eastAsia" w:ascii="宋体" w:hAnsi="宋体" w:eastAsia="宋体" w:cs="宋体"/>
                <w:color w:val="auto"/>
                <w:szCs w:val="21"/>
                <w:highlight w:val="none"/>
                <w:shd w:val="clear" w:color="auto" w:fill="auto"/>
                <w:lang w:val="en-US" w:eastAsia="zh-CN"/>
              </w:rPr>
              <w:t>对本项目监理工作的档案、信息管理措施</w:t>
            </w:r>
            <w:r>
              <w:rPr>
                <w:rFonts w:hint="eastAsia" w:ascii="宋体" w:hAnsi="宋体" w:eastAsia="宋体" w:cs="宋体"/>
                <w:color w:val="auto"/>
                <w:szCs w:val="21"/>
                <w:highlight w:val="none"/>
                <w:shd w:val="clear" w:color="auto" w:fill="auto"/>
              </w:rPr>
              <w:t>的措施内容、目标要求进行评议：</w:t>
            </w:r>
          </w:p>
          <w:p w14:paraId="578A0B1E">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措施内容切实有效、目标要求明确，得5分；</w:t>
            </w:r>
          </w:p>
          <w:p w14:paraId="12AE29CF">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措施内容切实有效程度一般、目标要求明确程度一般，得3分；</w:t>
            </w:r>
          </w:p>
          <w:p w14:paraId="07F13DE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措施内容不够切实有效、目标要求不够明确，得1分；</w:t>
            </w:r>
          </w:p>
          <w:p w14:paraId="2F1C566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未提供本项不得分。</w:t>
            </w:r>
          </w:p>
        </w:tc>
        <w:tc>
          <w:tcPr>
            <w:tcW w:w="744" w:type="dxa"/>
            <w:noWrap w:val="0"/>
            <w:vAlign w:val="center"/>
          </w:tcPr>
          <w:p w14:paraId="14F424EE">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r>
      <w:tr w14:paraId="5264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95" w:type="dxa"/>
            <w:vMerge w:val="continue"/>
            <w:noWrap w:val="0"/>
            <w:vAlign w:val="center"/>
          </w:tcPr>
          <w:p w14:paraId="1714FD2D">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noWrap w:val="0"/>
            <w:vAlign w:val="center"/>
          </w:tcPr>
          <w:p w14:paraId="18AD23BF">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both"/>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2、应急保障措施（6分）</w:t>
            </w:r>
          </w:p>
        </w:tc>
        <w:tc>
          <w:tcPr>
            <w:tcW w:w="6516" w:type="dxa"/>
            <w:noWrap w:val="0"/>
            <w:vAlign w:val="center"/>
          </w:tcPr>
          <w:p w14:paraId="3163D357">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评标委员会根据供应商针对本项目提出的应急保障措施进行评议：</w:t>
            </w:r>
          </w:p>
          <w:p w14:paraId="3D57E6A4">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措施内容齐全，编制科学、合理的得6分；</w:t>
            </w:r>
          </w:p>
          <w:p w14:paraId="1B1C23FD">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措施内容齐全性，编制的科学性、合理性一般的得4分；</w:t>
            </w:r>
          </w:p>
          <w:p w14:paraId="1E47C94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措施内容齐全性不够，编制不够科学、合理性的得2分；</w:t>
            </w:r>
          </w:p>
          <w:p w14:paraId="53C2089B">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未提供内容本项不得分。</w:t>
            </w:r>
          </w:p>
        </w:tc>
        <w:tc>
          <w:tcPr>
            <w:tcW w:w="744" w:type="dxa"/>
            <w:noWrap w:val="0"/>
            <w:vAlign w:val="center"/>
          </w:tcPr>
          <w:p w14:paraId="2E4E71AE">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r>
      <w:tr w14:paraId="34AE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595" w:type="dxa"/>
            <w:vMerge w:val="continue"/>
            <w:noWrap w:val="0"/>
            <w:vAlign w:val="center"/>
          </w:tcPr>
          <w:p w14:paraId="379B365C">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noWrap w:val="0"/>
            <w:vAlign w:val="center"/>
          </w:tcPr>
          <w:p w14:paraId="3E13AF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0" w:right="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3、服务便捷响应（</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分）</w:t>
            </w:r>
          </w:p>
        </w:tc>
        <w:tc>
          <w:tcPr>
            <w:tcW w:w="6516" w:type="dxa"/>
            <w:noWrap w:val="0"/>
            <w:vAlign w:val="center"/>
          </w:tcPr>
          <w:p w14:paraId="67E96797">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评标委员会根据供应商针对本项目提供的服务便捷性方案内容、响应及时情况等进行综合评议：</w:t>
            </w:r>
          </w:p>
          <w:p w14:paraId="50E3D2F3">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方案内容合理、响应时间迅捷，得</w:t>
            </w:r>
            <w:r>
              <w:rPr>
                <w:rFonts w:hint="eastAsia" w:ascii="宋体" w:hAnsi="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lang w:val="en-US" w:eastAsia="zh-CN"/>
              </w:rPr>
              <w:t>分；</w:t>
            </w:r>
          </w:p>
          <w:p w14:paraId="6C6F4BBF">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方案内容合理性一般、响应时间迅捷程度一般，得4分；</w:t>
            </w:r>
          </w:p>
          <w:p w14:paraId="2582615F">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方案内容不合理、响应时间不迅捷，得</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lang w:val="en-US" w:eastAsia="zh-CN"/>
              </w:rPr>
              <w:t>分；</w:t>
            </w:r>
          </w:p>
          <w:p w14:paraId="6CCA3195">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未提供的不得分。</w:t>
            </w:r>
          </w:p>
        </w:tc>
        <w:tc>
          <w:tcPr>
            <w:tcW w:w="744" w:type="dxa"/>
            <w:noWrap w:val="0"/>
            <w:vAlign w:val="center"/>
          </w:tcPr>
          <w:p w14:paraId="312A8CE9">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r>
      <w:tr w14:paraId="2B53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595" w:type="dxa"/>
            <w:vMerge w:val="continue"/>
            <w:noWrap w:val="0"/>
            <w:vAlign w:val="center"/>
          </w:tcPr>
          <w:p w14:paraId="0BF06267">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vMerge w:val="restart"/>
            <w:noWrap w:val="0"/>
            <w:vAlign w:val="center"/>
          </w:tcPr>
          <w:p w14:paraId="2F6BE3DD">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kern w:val="1"/>
                <w:szCs w:val="21"/>
                <w:highlight w:val="none"/>
                <w:lang w:val="en-US" w:eastAsia="zh-CN"/>
              </w:rPr>
            </w:pPr>
            <w:r>
              <w:rPr>
                <w:rFonts w:hint="eastAsia" w:ascii="宋体" w:hAnsi="宋体" w:eastAsia="宋体" w:cs="宋体"/>
                <w:color w:val="auto"/>
                <w:szCs w:val="21"/>
                <w:highlight w:val="none"/>
                <w:lang w:val="en-US" w:eastAsia="zh-CN"/>
              </w:rPr>
              <w:t>4、本项目拟派人员（</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分）</w:t>
            </w:r>
          </w:p>
        </w:tc>
        <w:tc>
          <w:tcPr>
            <w:tcW w:w="6516" w:type="dxa"/>
            <w:noWrap w:val="0"/>
            <w:vAlign w:val="center"/>
          </w:tcPr>
          <w:p w14:paraId="2034B096">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评标委员会根据投标人提供的针对本项目拟配备监理人员方案的岗位设置、分工安排进行评议：</w:t>
            </w:r>
          </w:p>
          <w:p w14:paraId="17C3684E">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岗位配置合理、分工安排可行，得</w:t>
            </w:r>
            <w:r>
              <w:rPr>
                <w:rFonts w:hint="eastAsia" w:ascii="宋体" w:hAnsi="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lang w:val="en-US" w:eastAsia="zh-CN"/>
              </w:rPr>
              <w:t>分；</w:t>
            </w:r>
          </w:p>
          <w:p w14:paraId="7F9597AF">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岗位配置合理性一般、分工安排可行性一般，得4分；</w:t>
            </w:r>
          </w:p>
          <w:p w14:paraId="6C20669D">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岗位配置不够合理、分工安排不可行，得</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lang w:val="en-US" w:eastAsia="zh-CN"/>
              </w:rPr>
              <w:t>分；</w:t>
            </w:r>
          </w:p>
          <w:p w14:paraId="536C732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未提供的不得分。</w:t>
            </w:r>
          </w:p>
        </w:tc>
        <w:tc>
          <w:tcPr>
            <w:tcW w:w="744" w:type="dxa"/>
            <w:noWrap w:val="0"/>
            <w:vAlign w:val="center"/>
          </w:tcPr>
          <w:p w14:paraId="3E251242">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r>
      <w:tr w14:paraId="4589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95" w:type="dxa"/>
            <w:vMerge w:val="continue"/>
            <w:noWrap w:val="0"/>
            <w:vAlign w:val="center"/>
          </w:tcPr>
          <w:p w14:paraId="70F1CF90">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vMerge w:val="continue"/>
            <w:noWrap w:val="0"/>
            <w:vAlign w:val="center"/>
          </w:tcPr>
          <w:p w14:paraId="007BF674">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kern w:val="1"/>
                <w:szCs w:val="21"/>
                <w:highlight w:val="none"/>
                <w:lang w:val="en-US" w:eastAsia="zh-CN"/>
              </w:rPr>
            </w:pPr>
          </w:p>
        </w:tc>
        <w:tc>
          <w:tcPr>
            <w:tcW w:w="6516" w:type="dxa"/>
            <w:noWrap w:val="0"/>
            <w:vAlign w:val="center"/>
          </w:tcPr>
          <w:p w14:paraId="64380C03">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根据供应商制定的人员考核方案，人员安全保障措施，岗位技能培训方案等进行评议：</w:t>
            </w:r>
          </w:p>
          <w:p w14:paraId="7CF021E9">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人员考核方案、安全保障措施、培训方案合理、可行，得</w:t>
            </w:r>
            <w:r>
              <w:rPr>
                <w:rFonts w:hint="eastAsia" w:ascii="宋体" w:hAnsi="宋体" w:cs="宋体"/>
                <w:color w:val="auto"/>
                <w:szCs w:val="21"/>
                <w:highlight w:val="none"/>
                <w:shd w:val="clear" w:color="auto" w:fill="auto"/>
                <w:lang w:val="en-US" w:eastAsia="zh-CN"/>
              </w:rPr>
              <w:t>6</w:t>
            </w:r>
            <w:r>
              <w:rPr>
                <w:rFonts w:hint="eastAsia" w:ascii="宋体" w:hAnsi="宋体" w:eastAsia="宋体" w:cs="宋体"/>
                <w:color w:val="auto"/>
                <w:szCs w:val="21"/>
                <w:highlight w:val="none"/>
                <w:shd w:val="clear" w:color="auto" w:fill="auto"/>
                <w:lang w:val="en-US" w:eastAsia="zh-CN"/>
              </w:rPr>
              <w:t>分；</w:t>
            </w:r>
          </w:p>
          <w:p w14:paraId="179CC99E">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人员考核方案、安全保障措施、培训方案一般，得4分；</w:t>
            </w:r>
          </w:p>
          <w:p w14:paraId="7F34872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人员考核方案、安全保障措施、培训方案不够合理、不可行，得</w:t>
            </w:r>
            <w:r>
              <w:rPr>
                <w:rFonts w:hint="eastAsia" w:ascii="宋体" w:hAnsi="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lang w:val="en-US" w:eastAsia="zh-CN"/>
              </w:rPr>
              <w:t>分；</w:t>
            </w:r>
          </w:p>
          <w:p w14:paraId="1F3C078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未提供的不得分。</w:t>
            </w:r>
          </w:p>
        </w:tc>
        <w:tc>
          <w:tcPr>
            <w:tcW w:w="744" w:type="dxa"/>
            <w:noWrap w:val="0"/>
            <w:vAlign w:val="center"/>
          </w:tcPr>
          <w:p w14:paraId="61494A56">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center"/>
              <w:textAlignment w:val="baseline"/>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r>
      <w:tr w14:paraId="7A86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5" w:type="dxa"/>
            <w:vMerge w:val="continue"/>
            <w:noWrap w:val="0"/>
            <w:vAlign w:val="center"/>
          </w:tcPr>
          <w:p w14:paraId="13BFCCC1">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szCs w:val="21"/>
                <w:highlight w:val="none"/>
              </w:rPr>
            </w:pPr>
          </w:p>
        </w:tc>
        <w:tc>
          <w:tcPr>
            <w:tcW w:w="1352" w:type="dxa"/>
            <w:noWrap w:val="0"/>
            <w:vAlign w:val="center"/>
          </w:tcPr>
          <w:p w14:paraId="72E33F64">
            <w:pPr>
              <w:keepNext w:val="0"/>
              <w:keepLines w:val="0"/>
              <w:pageBreakBefore w:val="0"/>
              <w:widowControl w:val="0"/>
              <w:suppressLineNumbers w:val="0"/>
              <w:shd w:val="clear" w:color="auto" w:fill="auto"/>
              <w:kinsoku/>
              <w:wordWrap/>
              <w:overflowPunct/>
              <w:topLinePunct w:val="0"/>
              <w:bidi w:val="0"/>
              <w:adjustRightInd/>
              <w:snapToGrid/>
              <w:spacing w:before="0" w:beforeAutospacing="0" w:after="0" w:afterAutospacing="0" w:line="280" w:lineRule="exact"/>
              <w:ind w:left="0" w:right="0" w:firstLine="0" w:firstLineChars="0"/>
              <w:jc w:val="center"/>
              <w:rPr>
                <w:rFonts w:hint="eastAsia" w:ascii="宋体" w:hAnsi="宋体" w:eastAsia="宋体" w:cs="宋体"/>
                <w:color w:val="auto"/>
                <w:kern w:val="1"/>
                <w:szCs w:val="21"/>
                <w:highlight w:val="none"/>
                <w:lang w:val="en-US" w:eastAsia="zh-CN"/>
              </w:rPr>
            </w:pPr>
            <w:r>
              <w:rPr>
                <w:rFonts w:hint="eastAsia" w:ascii="宋体" w:hAnsi="宋体" w:cs="宋体"/>
                <w:color w:val="auto"/>
                <w:kern w:val="1"/>
                <w:szCs w:val="21"/>
                <w:highlight w:val="none"/>
                <w:lang w:val="en-US" w:eastAsia="zh-CN"/>
              </w:rPr>
              <w:t>5</w:t>
            </w:r>
            <w:r>
              <w:rPr>
                <w:rFonts w:hint="eastAsia" w:ascii="宋体" w:hAnsi="宋体" w:eastAsia="宋体" w:cs="宋体"/>
                <w:color w:val="auto"/>
                <w:kern w:val="1"/>
                <w:szCs w:val="21"/>
                <w:highlight w:val="none"/>
                <w:lang w:val="en-US" w:eastAsia="zh-CN"/>
              </w:rPr>
              <w:t>、业绩分（</w:t>
            </w:r>
            <w:r>
              <w:rPr>
                <w:rFonts w:hint="eastAsia" w:ascii="宋体" w:hAnsi="宋体" w:cs="宋体"/>
                <w:color w:val="auto"/>
                <w:kern w:val="1"/>
                <w:szCs w:val="21"/>
                <w:highlight w:val="none"/>
                <w:lang w:val="en-US" w:eastAsia="zh-CN"/>
              </w:rPr>
              <w:t>1分</w:t>
            </w:r>
            <w:r>
              <w:rPr>
                <w:rFonts w:hint="eastAsia" w:ascii="宋体" w:hAnsi="宋体" w:eastAsia="宋体" w:cs="宋体"/>
                <w:color w:val="auto"/>
                <w:kern w:val="1"/>
                <w:szCs w:val="21"/>
                <w:highlight w:val="none"/>
                <w:lang w:val="en-US" w:eastAsia="zh-CN"/>
              </w:rPr>
              <w:t>）</w:t>
            </w:r>
          </w:p>
        </w:tc>
        <w:tc>
          <w:tcPr>
            <w:tcW w:w="6516" w:type="dxa"/>
            <w:noWrap w:val="0"/>
            <w:vAlign w:val="center"/>
          </w:tcPr>
          <w:p w14:paraId="1F1DF20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供应商</w:t>
            </w:r>
            <w:r>
              <w:rPr>
                <w:rFonts w:hint="eastAsia" w:ascii="宋体" w:hAnsi="宋体" w:eastAsia="宋体" w:cs="宋体"/>
                <w:color w:val="auto"/>
                <w:szCs w:val="21"/>
                <w:highlight w:val="none"/>
                <w:shd w:val="clear" w:color="auto" w:fill="auto"/>
                <w:lang w:val="en-US" w:eastAsia="zh-CN"/>
              </w:rPr>
              <w:t>自</w:t>
            </w:r>
            <w:r>
              <w:rPr>
                <w:rFonts w:hint="eastAsia" w:ascii="宋体" w:hAnsi="宋体" w:eastAsia="宋体" w:cs="宋体"/>
                <w:color w:val="auto"/>
                <w:szCs w:val="21"/>
                <w:highlight w:val="none"/>
                <w:shd w:val="clear" w:color="auto" w:fill="auto"/>
                <w:lang w:val="zh-CN"/>
              </w:rPr>
              <w:t>20</w:t>
            </w:r>
            <w:r>
              <w:rPr>
                <w:rFonts w:hint="eastAsia" w:ascii="宋体" w:hAnsi="宋体" w:eastAsia="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lang w:val="en-US" w:eastAsia="zh-CN"/>
              </w:rPr>
              <w:t>3</w:t>
            </w:r>
            <w:r>
              <w:rPr>
                <w:rFonts w:hint="eastAsia" w:ascii="宋体" w:hAnsi="宋体" w:eastAsia="宋体" w:cs="宋体"/>
                <w:color w:val="auto"/>
                <w:szCs w:val="21"/>
                <w:highlight w:val="none"/>
                <w:shd w:val="clear" w:color="auto" w:fill="auto"/>
                <w:lang w:val="zh-CN"/>
              </w:rPr>
              <w:t>年1月</w:t>
            </w:r>
            <w:r>
              <w:rPr>
                <w:rFonts w:hint="eastAsia" w:ascii="宋体" w:hAnsi="宋体" w:eastAsia="宋体" w:cs="宋体"/>
                <w:color w:val="auto"/>
                <w:szCs w:val="21"/>
                <w:highlight w:val="none"/>
                <w:shd w:val="clear" w:color="auto" w:fill="auto"/>
              </w:rPr>
              <w:t>1日</w:t>
            </w:r>
            <w:r>
              <w:rPr>
                <w:rFonts w:hint="eastAsia" w:ascii="宋体" w:hAnsi="宋体" w:eastAsia="宋体" w:cs="宋体"/>
                <w:color w:val="auto"/>
                <w:szCs w:val="21"/>
                <w:highlight w:val="none"/>
                <w:shd w:val="clear" w:color="auto" w:fill="auto"/>
                <w:lang w:val="en-US" w:eastAsia="zh-CN"/>
              </w:rPr>
              <w:t>起</w:t>
            </w:r>
            <w:r>
              <w:rPr>
                <w:rFonts w:hint="eastAsia" w:ascii="宋体" w:hAnsi="宋体" w:eastAsia="宋体" w:cs="宋体"/>
                <w:color w:val="auto"/>
                <w:szCs w:val="21"/>
                <w:highlight w:val="none"/>
                <w:shd w:val="clear" w:color="auto" w:fill="auto"/>
                <w:lang w:val="zh-CN"/>
              </w:rPr>
              <w:t>至今（</w:t>
            </w:r>
            <w:r>
              <w:rPr>
                <w:rFonts w:hint="eastAsia" w:ascii="宋体" w:hAnsi="宋体" w:eastAsia="宋体" w:cs="宋体"/>
                <w:color w:val="auto"/>
                <w:szCs w:val="21"/>
                <w:highlight w:val="none"/>
                <w:shd w:val="clear" w:color="auto" w:fill="auto"/>
              </w:rPr>
              <w:t>合同签订时间为准</w:t>
            </w:r>
            <w:r>
              <w:rPr>
                <w:rFonts w:hint="eastAsia" w:ascii="宋体" w:hAnsi="宋体" w:eastAsia="宋体" w:cs="宋体"/>
                <w:color w:val="auto"/>
                <w:szCs w:val="21"/>
                <w:highlight w:val="none"/>
                <w:shd w:val="clear" w:color="auto" w:fill="auto"/>
                <w:lang w:val="zh-CN"/>
              </w:rPr>
              <w:t>）</w:t>
            </w:r>
            <w:r>
              <w:rPr>
                <w:rFonts w:hint="eastAsia" w:ascii="宋体" w:hAnsi="宋体" w:eastAsia="宋体" w:cs="宋体"/>
                <w:color w:val="auto"/>
                <w:szCs w:val="21"/>
                <w:highlight w:val="none"/>
                <w:shd w:val="clear" w:color="auto" w:fill="auto"/>
                <w:lang w:val="en-US" w:eastAsia="zh-CN"/>
              </w:rPr>
              <w:t>具有类似</w:t>
            </w:r>
            <w:r>
              <w:rPr>
                <w:rFonts w:hint="eastAsia" w:ascii="宋体" w:hAnsi="宋体" w:cs="宋体"/>
                <w:color w:val="auto"/>
                <w:szCs w:val="21"/>
                <w:highlight w:val="none"/>
                <w:shd w:val="clear" w:color="auto" w:fill="auto"/>
                <w:lang w:val="en-US" w:eastAsia="zh-CN"/>
              </w:rPr>
              <w:t>水利监理</w:t>
            </w:r>
            <w:r>
              <w:rPr>
                <w:rFonts w:hint="eastAsia" w:ascii="宋体" w:hAnsi="宋体" w:eastAsia="宋体" w:cs="宋体"/>
                <w:color w:val="auto"/>
                <w:szCs w:val="21"/>
                <w:highlight w:val="none"/>
                <w:shd w:val="clear" w:color="auto" w:fill="auto"/>
                <w:lang w:val="en-US" w:eastAsia="zh-CN"/>
              </w:rPr>
              <w:t>项目业绩的</w:t>
            </w:r>
            <w:r>
              <w:rPr>
                <w:rFonts w:hint="eastAsia" w:ascii="宋体" w:hAnsi="宋体" w:eastAsia="宋体" w:cs="宋体"/>
                <w:color w:val="auto"/>
                <w:szCs w:val="21"/>
                <w:highlight w:val="none"/>
                <w:shd w:val="clear" w:color="auto" w:fill="auto"/>
                <w:lang w:val="zh-CN"/>
              </w:rPr>
              <w:t>，每提供一</w:t>
            </w:r>
            <w:r>
              <w:rPr>
                <w:rFonts w:hint="eastAsia" w:ascii="宋体" w:hAnsi="宋体" w:eastAsia="宋体" w:cs="宋体"/>
                <w:color w:val="auto"/>
                <w:szCs w:val="21"/>
                <w:highlight w:val="none"/>
                <w:shd w:val="clear" w:color="auto" w:fill="auto"/>
              </w:rPr>
              <w:t>个</w:t>
            </w:r>
            <w:r>
              <w:rPr>
                <w:rFonts w:hint="eastAsia" w:ascii="宋体" w:hAnsi="宋体" w:eastAsia="宋体" w:cs="宋体"/>
                <w:color w:val="auto"/>
                <w:szCs w:val="21"/>
                <w:highlight w:val="none"/>
                <w:shd w:val="clear" w:color="auto" w:fill="auto"/>
                <w:lang w:val="zh-CN"/>
              </w:rPr>
              <w:t>得</w:t>
            </w:r>
            <w:r>
              <w:rPr>
                <w:rFonts w:hint="eastAsia" w:ascii="宋体" w:hAnsi="宋体" w:cs="宋体"/>
                <w:color w:val="auto"/>
                <w:szCs w:val="21"/>
                <w:highlight w:val="none"/>
                <w:shd w:val="clear" w:color="auto" w:fill="auto"/>
                <w:lang w:val="en-US" w:eastAsia="zh-CN"/>
              </w:rPr>
              <w:t>0.5</w:t>
            </w:r>
            <w:r>
              <w:rPr>
                <w:rFonts w:hint="eastAsia" w:ascii="宋体" w:hAnsi="宋体" w:eastAsia="宋体" w:cs="宋体"/>
                <w:color w:val="auto"/>
                <w:szCs w:val="21"/>
                <w:highlight w:val="none"/>
                <w:shd w:val="clear" w:color="auto" w:fill="auto"/>
                <w:lang w:val="zh-CN"/>
              </w:rPr>
              <w:t>分，</w:t>
            </w:r>
            <w:r>
              <w:rPr>
                <w:rFonts w:hint="eastAsia" w:ascii="宋体" w:hAnsi="宋体" w:eastAsia="宋体" w:cs="宋体"/>
                <w:color w:val="auto"/>
                <w:szCs w:val="21"/>
                <w:highlight w:val="none"/>
                <w:shd w:val="clear" w:color="auto" w:fill="auto"/>
                <w:lang w:val="en-US" w:eastAsia="zh-CN"/>
              </w:rPr>
              <w:t>最高</w:t>
            </w:r>
            <w:r>
              <w:rPr>
                <w:rFonts w:hint="eastAsia" w:ascii="宋体" w:hAnsi="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lang w:val="en-US" w:eastAsia="zh-CN"/>
              </w:rPr>
              <w:t>分</w:t>
            </w:r>
            <w:r>
              <w:rPr>
                <w:rFonts w:hint="eastAsia" w:ascii="宋体" w:hAnsi="宋体" w:eastAsia="宋体" w:cs="宋体"/>
                <w:color w:val="auto"/>
                <w:szCs w:val="21"/>
                <w:highlight w:val="none"/>
                <w:shd w:val="clear" w:color="auto" w:fill="auto"/>
                <w:lang w:val="zh-CN"/>
              </w:rPr>
              <w:t>。</w:t>
            </w:r>
          </w:p>
          <w:p w14:paraId="0171F719">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lang w:val="en-US" w:eastAsia="zh-CN"/>
              </w:rPr>
            </w:pPr>
            <w:r>
              <w:rPr>
                <w:rFonts w:hint="eastAsia" w:ascii="宋体" w:hAnsi="宋体" w:eastAsia="宋体" w:cs="宋体"/>
                <w:color w:val="auto"/>
                <w:szCs w:val="21"/>
                <w:highlight w:val="none"/>
                <w:shd w:val="clear" w:color="auto" w:fill="auto"/>
                <w:lang w:val="en-US" w:eastAsia="zh-CN"/>
              </w:rPr>
              <w:t>注：</w:t>
            </w:r>
            <w:r>
              <w:rPr>
                <w:rFonts w:hint="eastAsia" w:ascii="宋体" w:hAnsi="宋体" w:cs="宋体"/>
                <w:color w:val="auto"/>
                <w:szCs w:val="21"/>
                <w:highlight w:val="none"/>
                <w:shd w:val="clear" w:color="auto" w:fill="auto"/>
                <w:lang w:val="en-US" w:eastAsia="zh-CN"/>
              </w:rPr>
              <w:t>投标文件</w:t>
            </w:r>
            <w:r>
              <w:rPr>
                <w:rFonts w:hint="eastAsia" w:ascii="宋体" w:hAnsi="宋体" w:eastAsia="宋体" w:cs="宋体"/>
                <w:color w:val="auto"/>
                <w:szCs w:val="21"/>
                <w:highlight w:val="none"/>
                <w:shd w:val="clear" w:color="auto" w:fill="auto"/>
                <w:lang w:val="en-US" w:eastAsia="zh-CN"/>
              </w:rPr>
              <w:t>中应附相应合同复印件并加盖公章，时间以合同签订时间为准。未将合同复印件附入</w:t>
            </w:r>
            <w:r>
              <w:rPr>
                <w:rFonts w:hint="eastAsia" w:ascii="宋体" w:hAnsi="宋体" w:cs="宋体"/>
                <w:color w:val="auto"/>
                <w:szCs w:val="21"/>
                <w:highlight w:val="none"/>
                <w:shd w:val="clear" w:color="auto" w:fill="auto"/>
                <w:lang w:val="en-US" w:eastAsia="zh-CN"/>
              </w:rPr>
              <w:t>投标文件</w:t>
            </w:r>
            <w:r>
              <w:rPr>
                <w:rFonts w:hint="eastAsia" w:ascii="宋体" w:hAnsi="宋体" w:eastAsia="宋体" w:cs="宋体"/>
                <w:color w:val="auto"/>
                <w:szCs w:val="21"/>
                <w:highlight w:val="none"/>
                <w:shd w:val="clear" w:color="auto" w:fill="auto"/>
                <w:lang w:val="en-US" w:eastAsia="zh-CN"/>
              </w:rPr>
              <w:t>的或合同无效的或合同中未体现监理项目内容的，则不得分。</w:t>
            </w:r>
          </w:p>
        </w:tc>
        <w:tc>
          <w:tcPr>
            <w:tcW w:w="744" w:type="dxa"/>
            <w:noWrap w:val="0"/>
            <w:vAlign w:val="center"/>
          </w:tcPr>
          <w:p w14:paraId="37452485">
            <w:pPr>
              <w:keepNext w:val="0"/>
              <w:keepLines w:val="0"/>
              <w:pageBreakBefore w:val="0"/>
              <w:widowControl w:val="0"/>
              <w:suppressLineNumbers w:val="0"/>
              <w:shd w:val="clear" w:color="auto" w:fill="auto"/>
              <w:kinsoku/>
              <w:wordWrap/>
              <w:overflowPunct/>
              <w:topLinePunct w:val="0"/>
              <w:autoSpaceDE w:val="0"/>
              <w:autoSpaceDN w:val="0"/>
              <w:bidi w:val="0"/>
              <w:adjustRightInd w:val="0"/>
              <w:snapToGrid w:val="0"/>
              <w:spacing w:before="0" w:beforeAutospacing="0" w:after="0" w:afterAutospacing="0" w:line="280" w:lineRule="exact"/>
              <w:ind w:left="0" w:right="0" w:firstLine="0" w:firstLineChars="0"/>
              <w:jc w:val="center"/>
              <w:textAlignment w:val="baseline"/>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r>
      <w:tr w14:paraId="3F7B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47" w:type="dxa"/>
            <w:gridSpan w:val="2"/>
            <w:noWrap w:val="0"/>
            <w:vAlign w:val="center"/>
          </w:tcPr>
          <w:p w14:paraId="1D1D3FE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Cs w:val="21"/>
                <w:highlight w:val="none"/>
                <w:shd w:val="clear" w:color="auto" w:fill="auto"/>
              </w:rPr>
              <w:t>价格分</w:t>
            </w:r>
            <w:r>
              <w:rPr>
                <w:rFonts w:hint="eastAsia" w:ascii="宋体" w:hAnsi="宋体" w:eastAsia="宋体" w:cs="宋体"/>
                <w:color w:val="auto"/>
                <w:szCs w:val="21"/>
                <w:highlight w:val="none"/>
                <w:shd w:val="clear" w:color="auto" w:fill="auto"/>
                <w:lang w:eastAsia="zh-CN"/>
              </w:rPr>
              <w:t>（</w:t>
            </w:r>
            <w:r>
              <w:rPr>
                <w:rFonts w:hint="eastAsia" w:ascii="宋体" w:hAnsi="宋体" w:eastAsia="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lang w:val="en-US" w:eastAsia="zh-CN"/>
              </w:rPr>
              <w:t>分</w:t>
            </w:r>
            <w:r>
              <w:rPr>
                <w:rFonts w:hint="eastAsia" w:ascii="宋体" w:hAnsi="宋体" w:eastAsia="宋体" w:cs="宋体"/>
                <w:color w:val="auto"/>
                <w:szCs w:val="21"/>
                <w:highlight w:val="none"/>
                <w:shd w:val="clear" w:color="auto" w:fill="auto"/>
                <w:lang w:eastAsia="zh-CN"/>
              </w:rPr>
              <w:t>）</w:t>
            </w:r>
          </w:p>
        </w:tc>
        <w:tc>
          <w:tcPr>
            <w:tcW w:w="6516" w:type="dxa"/>
            <w:shd w:val="clear" w:color="auto" w:fill="auto"/>
            <w:noWrap w:val="0"/>
            <w:vAlign w:val="center"/>
          </w:tcPr>
          <w:p w14:paraId="3D636880">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参与评审的价格=投标报价</w:t>
            </w:r>
          </w:p>
          <w:p w14:paraId="6C9046FE">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lang w:val="en-US" w:eastAsia="zh-CN"/>
              </w:rPr>
              <w:t>评标</w:t>
            </w:r>
            <w:r>
              <w:rPr>
                <w:rFonts w:hint="eastAsia" w:ascii="宋体" w:hAnsi="宋体" w:eastAsia="宋体" w:cs="宋体"/>
                <w:color w:val="auto"/>
                <w:szCs w:val="21"/>
                <w:highlight w:val="none"/>
                <w:shd w:val="clear" w:color="auto" w:fill="auto"/>
              </w:rPr>
              <w:t>基准价=满足</w:t>
            </w:r>
            <w:r>
              <w:rPr>
                <w:rFonts w:hint="eastAsia" w:ascii="宋体" w:hAnsi="宋体" w:eastAsia="宋体" w:cs="宋体"/>
                <w:color w:val="auto"/>
                <w:szCs w:val="21"/>
                <w:highlight w:val="none"/>
                <w:shd w:val="clear" w:color="auto" w:fill="auto"/>
                <w:lang w:eastAsia="zh-CN"/>
              </w:rPr>
              <w:t>采购文件</w:t>
            </w:r>
            <w:r>
              <w:rPr>
                <w:rFonts w:hint="eastAsia" w:ascii="宋体" w:hAnsi="宋体" w:eastAsia="宋体" w:cs="宋体"/>
                <w:color w:val="auto"/>
                <w:szCs w:val="21"/>
                <w:highlight w:val="none"/>
                <w:shd w:val="clear" w:color="auto" w:fill="auto"/>
              </w:rPr>
              <w:t>要求且最低的参与评审的价格，基准价得满分。</w:t>
            </w:r>
          </w:p>
          <w:p w14:paraId="28C4963E">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right="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得分：投标报价为评标基准价的得满分</w:t>
            </w:r>
            <w:r>
              <w:rPr>
                <w:rFonts w:hint="eastAsia" w:ascii="宋体" w:hAnsi="宋体" w:eastAsia="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rPr>
              <w:t>分，其他投标报价得分计算公式如下：</w:t>
            </w:r>
          </w:p>
          <w:p w14:paraId="4C64C7B2">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leftChars="0" w:right="0" w:rightChars="0"/>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Cs w:val="21"/>
                <w:highlight w:val="none"/>
                <w:shd w:val="clear" w:color="auto" w:fill="auto"/>
              </w:rPr>
              <w:t>投标报价得分=（评标基准价/</w:t>
            </w:r>
            <w:r>
              <w:rPr>
                <w:rFonts w:hint="eastAsia" w:ascii="宋体" w:hAnsi="宋体" w:eastAsia="宋体" w:cs="宋体"/>
                <w:color w:val="auto"/>
                <w:szCs w:val="21"/>
                <w:highlight w:val="none"/>
                <w:shd w:val="clear" w:color="auto" w:fill="auto"/>
                <w:lang w:val="en-US" w:eastAsia="zh-CN"/>
              </w:rPr>
              <w:t>各供应商</w:t>
            </w:r>
            <w:r>
              <w:rPr>
                <w:rFonts w:hint="eastAsia" w:ascii="宋体" w:hAnsi="宋体" w:eastAsia="宋体" w:cs="宋体"/>
                <w:color w:val="auto"/>
                <w:szCs w:val="21"/>
                <w:highlight w:val="none"/>
                <w:shd w:val="clear" w:color="auto" w:fill="auto"/>
              </w:rPr>
              <w:t>参与评审的价格）×</w:t>
            </w:r>
            <w:r>
              <w:rPr>
                <w:rFonts w:hint="eastAsia" w:ascii="宋体" w:hAnsi="宋体" w:eastAsia="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5</w:t>
            </w:r>
            <w:r>
              <w:rPr>
                <w:rFonts w:hint="eastAsia" w:ascii="宋体" w:hAnsi="宋体" w:eastAsia="宋体" w:cs="宋体"/>
                <w:color w:val="auto"/>
                <w:szCs w:val="21"/>
                <w:highlight w:val="none"/>
                <w:shd w:val="clear" w:color="auto" w:fill="auto"/>
                <w:lang w:val="en-US" w:eastAsia="zh-CN"/>
              </w:rPr>
              <w:t>%</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100</w:t>
            </w:r>
            <w:r>
              <w:rPr>
                <w:rFonts w:hint="eastAsia" w:ascii="宋体" w:hAnsi="宋体" w:eastAsia="宋体" w:cs="宋体"/>
                <w:color w:val="auto"/>
                <w:szCs w:val="21"/>
                <w:highlight w:val="none"/>
                <w:shd w:val="clear" w:color="auto" w:fill="auto"/>
              </w:rPr>
              <w:t>。</w:t>
            </w:r>
          </w:p>
        </w:tc>
        <w:tc>
          <w:tcPr>
            <w:tcW w:w="744" w:type="dxa"/>
            <w:shd w:val="clear" w:color="auto" w:fill="auto"/>
            <w:noWrap w:val="0"/>
            <w:vAlign w:val="center"/>
          </w:tcPr>
          <w:p w14:paraId="19A20A6F">
            <w:pPr>
              <w:keepNext w:val="0"/>
              <w:keepLines w:val="0"/>
              <w:pageBreakBefore w:val="0"/>
              <w:widowControl w:val="0"/>
              <w:suppressLineNumbers w:val="0"/>
              <w:kinsoku/>
              <w:wordWrap/>
              <w:overflowPunct/>
              <w:topLinePunct w:val="0"/>
              <w:bidi w:val="0"/>
              <w:spacing w:before="0" w:beforeLines="0" w:beforeAutospacing="0" w:after="0" w:afterLines="0" w:afterAutospacing="0" w:line="280" w:lineRule="exact"/>
              <w:ind w:left="0" w:leftChars="0" w:right="0" w:rightChars="0"/>
              <w:jc w:val="center"/>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lang w:val="en-US" w:eastAsia="zh-CN"/>
              </w:rPr>
              <w:t>5</w:t>
            </w:r>
          </w:p>
        </w:tc>
      </w:tr>
    </w:tbl>
    <w:p w14:paraId="0CA110F3">
      <w:pPr>
        <w:widowControl/>
        <w:spacing w:line="360" w:lineRule="auto"/>
        <w:ind w:right="25" w:rightChars="12"/>
        <w:jc w:val="left"/>
        <w:rPr>
          <w:rFonts w:hint="eastAsia" w:ascii="宋体" w:hAnsi="宋体" w:eastAsia="宋体" w:cs="宋体"/>
          <w:b/>
          <w:color w:val="auto"/>
          <w:sz w:val="24"/>
          <w:highlight w:val="none"/>
        </w:rPr>
      </w:pPr>
    </w:p>
    <w:p w14:paraId="476FDBC1">
      <w:pPr>
        <w:widowControl/>
        <w:spacing w:line="360" w:lineRule="auto"/>
        <w:ind w:right="25" w:rightChars="12"/>
        <w:jc w:val="left"/>
        <w:rPr>
          <w:rFonts w:hint="eastAsia" w:ascii="宋体" w:hAnsi="宋体" w:eastAsia="宋体" w:cs="宋体"/>
          <w:b/>
          <w:color w:val="auto"/>
          <w:sz w:val="24"/>
          <w:highlight w:val="none"/>
        </w:rPr>
      </w:pPr>
    </w:p>
    <w:p w14:paraId="69E44C5D">
      <w:pPr>
        <w:widowControl/>
        <w:spacing w:line="360" w:lineRule="auto"/>
        <w:ind w:right="25" w:rightChars="12"/>
        <w:jc w:val="left"/>
        <w:rPr>
          <w:rFonts w:hint="eastAsia" w:ascii="宋体" w:hAnsi="宋体" w:eastAsia="宋体" w:cs="宋体"/>
          <w:color w:val="auto"/>
          <w:spacing w:val="0"/>
          <w:kern w:val="2"/>
          <w:sz w:val="30"/>
          <w:szCs w:val="30"/>
          <w:highlight w:val="none"/>
          <w:lang w:val="en-US" w:eastAsia="zh-CN" w:bidi="ar-SA"/>
        </w:rPr>
      </w:pPr>
      <w:r>
        <w:rPr>
          <w:rFonts w:hint="eastAsia" w:ascii="宋体" w:hAnsi="宋体" w:eastAsia="宋体" w:cs="宋体"/>
          <w:b/>
          <w:color w:val="auto"/>
          <w:sz w:val="24"/>
          <w:highlight w:val="none"/>
        </w:rPr>
        <w:br w:type="page"/>
      </w:r>
      <w:bookmarkStart w:id="25" w:name="_Toc382546952"/>
    </w:p>
    <w:p w14:paraId="3AF2C58B">
      <w:pPr>
        <w:pStyle w:val="3"/>
        <w:numPr>
          <w:ilvl w:val="0"/>
          <w:numId w:val="0"/>
        </w:numPr>
        <w:spacing w:line="360" w:lineRule="auto"/>
        <w:ind w:left="0" w:leftChars="0" w:firstLine="0" w:firstLineChars="0"/>
        <w:jc w:val="center"/>
        <w:outlineLvl w:val="0"/>
        <w:rPr>
          <w:rFonts w:hint="eastAsia" w:ascii="宋体" w:hAnsi="宋体" w:eastAsia="宋体" w:cs="宋体"/>
          <w:b/>
          <w:color w:val="auto"/>
          <w:spacing w:val="0"/>
          <w:kern w:val="0"/>
          <w:sz w:val="30"/>
          <w:szCs w:val="30"/>
          <w:highlight w:val="none"/>
          <w:lang w:val="en-US" w:eastAsia="zh-CN" w:bidi="ar-SA"/>
        </w:rPr>
      </w:pPr>
      <w:r>
        <w:rPr>
          <w:rFonts w:hint="eastAsia" w:ascii="宋体" w:hAnsi="宋体" w:eastAsia="宋体" w:cs="宋体"/>
          <w:b/>
          <w:color w:val="auto"/>
          <w:spacing w:val="0"/>
          <w:kern w:val="0"/>
          <w:sz w:val="30"/>
          <w:szCs w:val="30"/>
          <w:highlight w:val="none"/>
          <w:lang w:val="en-US" w:eastAsia="zh-CN" w:bidi="ar-SA"/>
        </w:rPr>
        <w:t>第五章  合同条款</w:t>
      </w:r>
      <w:bookmarkEnd w:id="25"/>
    </w:p>
    <w:p w14:paraId="4E9FD382">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b/>
          <w:bCs/>
          <w:color w:val="auto"/>
          <w:sz w:val="22"/>
          <w:szCs w:val="22"/>
          <w:highlight w:val="none"/>
        </w:rPr>
      </w:pPr>
      <w:r>
        <w:rPr>
          <w:rFonts w:ascii="Times New Roman" w:hAnsi="Times New Roman" w:eastAsia="宋体"/>
          <w:b/>
          <w:i w:val="0"/>
          <w:iCs/>
          <w:color w:val="auto"/>
          <w:sz w:val="22"/>
          <w:szCs w:val="22"/>
          <w:highlight w:val="none"/>
        </w:rPr>
        <w:t>（合同模板仅供参考</w:t>
      </w:r>
      <w:r>
        <w:rPr>
          <w:rFonts w:hint="eastAsia" w:ascii="Times New Roman" w:hAnsi="Times New Roman" w:eastAsia="宋体"/>
          <w:b/>
          <w:i w:val="0"/>
          <w:iCs/>
          <w:color w:val="auto"/>
          <w:sz w:val="22"/>
          <w:szCs w:val="22"/>
          <w:highlight w:val="none"/>
          <w:lang w:eastAsia="zh-CN"/>
        </w:rPr>
        <w:t>，</w:t>
      </w:r>
      <w:r>
        <w:rPr>
          <w:rFonts w:ascii="Times New Roman" w:hAnsi="Times New Roman" w:eastAsia="宋体"/>
          <w:b/>
          <w:i w:val="0"/>
          <w:iCs/>
          <w:color w:val="auto"/>
          <w:sz w:val="22"/>
          <w:szCs w:val="22"/>
          <w:highlight w:val="none"/>
        </w:rPr>
        <w:t>最终以</w:t>
      </w:r>
      <w:r>
        <w:rPr>
          <w:rFonts w:hint="eastAsia" w:ascii="Times New Roman" w:hAnsi="Times New Roman" w:eastAsia="宋体"/>
          <w:b/>
          <w:i w:val="0"/>
          <w:iCs/>
          <w:color w:val="auto"/>
          <w:sz w:val="22"/>
          <w:szCs w:val="22"/>
          <w:highlight w:val="none"/>
        </w:rPr>
        <w:t>采购人</w:t>
      </w:r>
      <w:r>
        <w:rPr>
          <w:rFonts w:ascii="Times New Roman" w:hAnsi="Times New Roman" w:eastAsia="宋体"/>
          <w:b/>
          <w:i w:val="0"/>
          <w:iCs/>
          <w:color w:val="auto"/>
          <w:sz w:val="22"/>
          <w:szCs w:val="22"/>
          <w:highlight w:val="none"/>
        </w:rPr>
        <w:t>认可合同为准）</w:t>
      </w:r>
    </w:p>
    <w:p w14:paraId="1740721E">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委托人：</w:t>
      </w:r>
      <w:r>
        <w:rPr>
          <w:rFonts w:hint="eastAsia" w:ascii="宋体" w:hAnsi="宋体" w:eastAsia="宋体" w:cs="宋体"/>
          <w:color w:val="auto"/>
          <w:sz w:val="22"/>
          <w:szCs w:val="22"/>
          <w:highlight w:val="none"/>
          <w:u w:val="single"/>
        </w:rPr>
        <w:t>宁波市江北区慈城镇人民政府</w:t>
      </w:r>
    </w:p>
    <w:p w14:paraId="41130C22">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rPr>
        <w:t>监理人：</w:t>
      </w:r>
    </w:p>
    <w:p w14:paraId="0F62771C">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合同名称：</w:t>
      </w:r>
      <w:r>
        <w:rPr>
          <w:rFonts w:hint="eastAsia" w:ascii="宋体" w:hAnsi="宋体" w:eastAsia="宋体" w:cs="宋体"/>
          <w:color w:val="auto"/>
          <w:sz w:val="22"/>
          <w:szCs w:val="22"/>
          <w:highlight w:val="none"/>
          <w:u w:val="single"/>
          <w:lang w:eastAsia="zh-CN"/>
        </w:rPr>
        <w:t>2026年慈城镇耕地功能恢复项目（监理）</w:t>
      </w:r>
      <w:r>
        <w:rPr>
          <w:rFonts w:hint="eastAsia" w:ascii="宋体" w:hAnsi="宋体" w:eastAsia="宋体" w:cs="宋体"/>
          <w:color w:val="auto"/>
          <w:sz w:val="22"/>
          <w:szCs w:val="22"/>
          <w:highlight w:val="none"/>
          <w:u w:val="single"/>
        </w:rPr>
        <w:t>监理合同</w:t>
      </w:r>
    </w:p>
    <w:p w14:paraId="4142C315">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依据国家有关法律、法规，</w:t>
      </w:r>
      <w:r>
        <w:rPr>
          <w:rFonts w:hint="eastAsia" w:ascii="宋体" w:hAnsi="宋体" w:eastAsia="宋体" w:cs="宋体"/>
          <w:color w:val="auto"/>
          <w:sz w:val="22"/>
          <w:szCs w:val="22"/>
          <w:highlight w:val="none"/>
          <w:u w:val="single"/>
        </w:rPr>
        <w:t>宁波市江北区慈城镇人民政府</w:t>
      </w:r>
      <w:r>
        <w:rPr>
          <w:rFonts w:hint="eastAsia" w:ascii="宋体" w:hAnsi="宋体" w:eastAsia="宋体" w:cs="宋体"/>
          <w:color w:val="auto"/>
          <w:sz w:val="22"/>
          <w:szCs w:val="22"/>
          <w:highlight w:val="none"/>
        </w:rPr>
        <w:t>（以下简称委托人）, 委托</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（以下简称监理人）提供</w:t>
      </w:r>
      <w:r>
        <w:rPr>
          <w:rFonts w:hint="eastAsia" w:ascii="宋体" w:hAnsi="宋体" w:eastAsia="宋体" w:cs="宋体"/>
          <w:color w:val="auto"/>
          <w:sz w:val="22"/>
          <w:szCs w:val="22"/>
          <w:highlight w:val="none"/>
          <w:u w:val="single"/>
          <w:lang w:eastAsia="zh-CN"/>
        </w:rPr>
        <w:t>2026年慈城镇耕地功能恢复项目（监理）</w:t>
      </w:r>
      <w:r>
        <w:rPr>
          <w:rFonts w:hint="eastAsia" w:ascii="宋体" w:hAnsi="宋体" w:eastAsia="宋体" w:cs="宋体"/>
          <w:color w:val="auto"/>
          <w:sz w:val="22"/>
          <w:szCs w:val="22"/>
          <w:highlight w:val="none"/>
        </w:rPr>
        <w:t>监理服务，经双方协商一致，订立本合同。</w:t>
      </w:r>
    </w:p>
    <w:p w14:paraId="6B987C2B">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一、工程概况</w:t>
      </w:r>
    </w:p>
    <w:p w14:paraId="584DE74B">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rPr>
        <w:t>1、工程名称：</w:t>
      </w:r>
      <w:r>
        <w:rPr>
          <w:rFonts w:hint="eastAsia" w:ascii="宋体" w:hAnsi="宋体" w:eastAsia="宋体" w:cs="宋体"/>
          <w:color w:val="auto"/>
          <w:sz w:val="22"/>
          <w:szCs w:val="22"/>
          <w:highlight w:val="none"/>
          <w:u w:val="single"/>
          <w:lang w:eastAsia="zh-CN"/>
        </w:rPr>
        <w:t>2026年慈城镇耕地功能恢复项目（监理）</w:t>
      </w:r>
    </w:p>
    <w:p w14:paraId="55C123B0">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2、建设地点：</w:t>
      </w:r>
      <w:r>
        <w:rPr>
          <w:rFonts w:hint="eastAsia" w:ascii="宋体" w:hAnsi="宋体" w:eastAsia="宋体" w:cs="宋体"/>
          <w:color w:val="auto"/>
          <w:sz w:val="22"/>
          <w:szCs w:val="22"/>
          <w:highlight w:val="none"/>
          <w:u w:val="single"/>
          <w:lang w:val="en-US" w:eastAsia="zh-CN"/>
        </w:rPr>
        <w:t>宁波市江北区</w:t>
      </w:r>
      <w:r>
        <w:rPr>
          <w:rFonts w:hint="eastAsia" w:ascii="宋体" w:hAnsi="宋体" w:eastAsia="宋体" w:cs="宋体"/>
          <w:color w:val="auto"/>
          <w:sz w:val="22"/>
          <w:szCs w:val="22"/>
          <w:highlight w:val="none"/>
          <w:u w:val="single"/>
        </w:rPr>
        <w:t>慈城镇</w:t>
      </w:r>
    </w:p>
    <w:p w14:paraId="2AFDCDE2">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3、工程等别（级）:</w:t>
      </w:r>
    </w:p>
    <w:p w14:paraId="7CBE06CF">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4、工程总投资（人民币，下同）:</w:t>
      </w:r>
    </w:p>
    <w:p w14:paraId="008C881F">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5、工期：</w:t>
      </w:r>
    </w:p>
    <w:p w14:paraId="5641E268">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二、监理范围</w:t>
      </w:r>
    </w:p>
    <w:p w14:paraId="66932AB1">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1、监理项目名称：</w:t>
      </w:r>
      <w:r>
        <w:rPr>
          <w:rFonts w:hint="eastAsia" w:ascii="宋体" w:hAnsi="宋体" w:eastAsia="宋体" w:cs="宋体"/>
          <w:color w:val="auto"/>
          <w:sz w:val="22"/>
          <w:szCs w:val="22"/>
          <w:highlight w:val="none"/>
          <w:u w:val="single"/>
          <w:lang w:eastAsia="zh-CN"/>
        </w:rPr>
        <w:t>2026年慈城镇耕地功能恢复项目（监理）</w:t>
      </w:r>
    </w:p>
    <w:p w14:paraId="7EC2574E">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2、监理项目内容:</w:t>
      </w:r>
    </w:p>
    <w:p w14:paraId="6AED5C87">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3、监理项目投资：</w:t>
      </w:r>
      <w:r>
        <w:rPr>
          <w:rFonts w:hint="eastAsia" w:ascii="宋体" w:hAnsi="宋体" w:eastAsia="宋体" w:cs="宋体"/>
          <w:color w:val="auto"/>
          <w:sz w:val="22"/>
          <w:szCs w:val="22"/>
          <w:highlight w:val="none"/>
          <w:u w:val="single"/>
        </w:rPr>
        <w:t xml:space="preserve">    /   </w:t>
      </w:r>
    </w:p>
    <w:p w14:paraId="2ACAFF3D">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4、监理阶段：</w:t>
      </w:r>
      <w:r>
        <w:rPr>
          <w:rFonts w:hint="eastAsia" w:ascii="宋体" w:hAnsi="宋体" w:eastAsia="宋体" w:cs="宋体"/>
          <w:color w:val="auto"/>
          <w:sz w:val="22"/>
          <w:szCs w:val="22"/>
          <w:highlight w:val="none"/>
          <w:u w:val="single"/>
        </w:rPr>
        <w:t>施工阶段</w:t>
      </w:r>
    </w:p>
    <w:p w14:paraId="4D0C7D37">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三、监理服务内容、期限及拟派监理工程师</w:t>
      </w:r>
    </w:p>
    <w:p w14:paraId="25EBD9D0">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l、监理服务内容：按专用合同条款约定</w:t>
      </w:r>
    </w:p>
    <w:p w14:paraId="59CE51D3">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2、监理服务期限：</w:t>
      </w:r>
    </w:p>
    <w:p w14:paraId="669EC73C">
      <w:pPr>
        <w:pStyle w:val="17"/>
        <w:spacing w:before="0" w:beforeAutospacing="0" w:after="0" w:afterAutospacing="0" w:line="360" w:lineRule="auto"/>
        <w:ind w:left="46" w:leftChars="22"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自合同工程之日起，至监理范围内所有项目通过完工验收并缺陷责任期满止。</w:t>
      </w:r>
    </w:p>
    <w:p w14:paraId="64E88573">
      <w:pPr>
        <w:pStyle w:val="17"/>
        <w:spacing w:before="0" w:beforeAutospacing="0" w:after="0" w:afterAutospacing="0" w:line="360" w:lineRule="auto"/>
        <w:ind w:left="46" w:leftChars="22" w:firstLine="431" w:firstLineChars="196"/>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3、拟派总监理工程师</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u w:val="single"/>
          <w:lang w:val="en-US" w:eastAsia="zh-CN"/>
        </w:rPr>
        <w:t xml:space="preserve">     </w:t>
      </w:r>
    </w:p>
    <w:p w14:paraId="17B9D97E">
      <w:p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四、监理服务酬金：监理服务酬金暂定为（大写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（监理费</w:t>
      </w:r>
      <w:r>
        <w:rPr>
          <w:rFonts w:hint="eastAsia" w:ascii="宋体" w:hAnsi="宋体" w:eastAsia="宋体" w:cs="宋体"/>
          <w:color w:val="auto"/>
          <w:sz w:val="22"/>
          <w:szCs w:val="22"/>
          <w:highlight w:val="none"/>
          <w:lang w:val="en-US" w:eastAsia="zh-CN"/>
        </w:rPr>
        <w:t>折扣</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参照《浙江省水利水电工程设计概（预）算编制规定（2021年）》工程建设监理费收费标准（工程类型调整系数取0.9，工程复杂程度调整系数取0.85）结合</w:t>
      </w:r>
      <w:r>
        <w:rPr>
          <w:rFonts w:hint="eastAsia" w:ascii="宋体" w:hAnsi="宋体" w:eastAsia="宋体" w:cs="宋体"/>
          <w:color w:val="auto"/>
          <w:sz w:val="22"/>
          <w:szCs w:val="22"/>
          <w:highlight w:val="none"/>
          <w:lang w:val="en-US" w:eastAsia="zh-CN"/>
        </w:rPr>
        <w:t>中标折扣</w:t>
      </w:r>
      <w:r>
        <w:rPr>
          <w:rFonts w:hint="eastAsia" w:ascii="宋体" w:hAnsi="宋体" w:eastAsia="宋体" w:cs="宋体"/>
          <w:color w:val="auto"/>
          <w:sz w:val="22"/>
          <w:szCs w:val="22"/>
          <w:highlight w:val="none"/>
          <w:lang w:eastAsia="zh-CN"/>
        </w:rPr>
        <w:t>计取，暂</w:t>
      </w:r>
      <w:r>
        <w:rPr>
          <w:rFonts w:hint="eastAsia" w:ascii="宋体" w:hAnsi="宋体" w:eastAsia="宋体" w:cs="宋体"/>
          <w:color w:val="auto"/>
          <w:sz w:val="22"/>
          <w:szCs w:val="22"/>
          <w:highlight w:val="none"/>
          <w:lang w:val="en-US" w:eastAsia="zh-CN"/>
        </w:rPr>
        <w:t>以3349.7万元为计算基数</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最终按各村单独审计审定的建安费总和作为取费基数</w:t>
      </w:r>
      <w:r>
        <w:rPr>
          <w:rFonts w:hint="eastAsia" w:ascii="宋体" w:hAnsi="宋体" w:eastAsia="宋体" w:cs="宋体"/>
          <w:color w:val="auto"/>
          <w:sz w:val="22"/>
          <w:szCs w:val="22"/>
          <w:highlight w:val="none"/>
        </w:rPr>
        <w:t>。由委托人按专用合同条款约定的方</w:t>
      </w:r>
      <w:r>
        <w:rPr>
          <w:rFonts w:hint="eastAsia" w:ascii="宋体" w:hAnsi="宋体" w:eastAsia="宋体" w:cs="宋体"/>
          <w:color w:val="auto"/>
          <w:sz w:val="22"/>
          <w:szCs w:val="22"/>
          <w:highlight w:val="none"/>
          <w:lang w:eastAsia="zh-CN"/>
        </w:rPr>
        <w:t>式、时间向监理人支付。</w:t>
      </w:r>
    </w:p>
    <w:p w14:paraId="30EB9D3E">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五、履约保证金</w:t>
      </w:r>
    </w:p>
    <w:p w14:paraId="1EBD4857">
      <w:p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履约保证金金额：合同价的</w:t>
      </w:r>
      <w:r>
        <w:rPr>
          <w:rFonts w:hint="eastAsia" w:ascii="宋体" w:hAnsi="宋体" w:eastAsia="宋体" w:cs="宋体"/>
          <w:color w:val="auto"/>
          <w:sz w:val="22"/>
          <w:szCs w:val="22"/>
          <w:highlight w:val="none"/>
          <w:lang w:val="en-US" w:eastAsia="zh-CN"/>
        </w:rPr>
        <w:t>0.5</w:t>
      </w:r>
      <w:r>
        <w:rPr>
          <w:rFonts w:hint="eastAsia" w:ascii="宋体" w:hAnsi="宋体" w:eastAsia="宋体" w:cs="宋体"/>
          <w:color w:val="auto"/>
          <w:sz w:val="22"/>
          <w:szCs w:val="22"/>
          <w:highlight w:val="none"/>
          <w:lang w:eastAsia="zh-CN"/>
        </w:rPr>
        <w:t>%。</w:t>
      </w:r>
    </w:p>
    <w:p w14:paraId="54D0D042">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履约保证金形式：支票、汇票、本票或者金融机构、担保机构出具的保函等非现金形式提交；</w:t>
      </w:r>
    </w:p>
    <w:p w14:paraId="71383AE1">
      <w:pPr>
        <w:spacing w:line="360" w:lineRule="auto"/>
        <w:ind w:firstLine="440" w:firstLineChars="20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履约保证金的退还：项目全部验收合格后十日内退还。但如中标供应商未履行或未完全履行合同规定的任何义务，给采购人造成损失的，采购人有权在其提交的履约保证金中获得相应赔偿，不足部分采购人有权继续向中标供应商追偿。</w:t>
      </w:r>
    </w:p>
    <w:p w14:paraId="1F4C854A">
      <w:pPr>
        <w:pStyle w:val="17"/>
        <w:spacing w:before="0" w:beforeAutospacing="0" w:after="0" w:afterAutospacing="0" w:line="360" w:lineRule="auto"/>
        <w:ind w:left="361" w:leftChars="1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、监理合同的组成文件及解释顺序</w:t>
      </w:r>
    </w:p>
    <w:p w14:paraId="43C0F593">
      <w:pPr>
        <w:pStyle w:val="17"/>
        <w:spacing w:before="0" w:beforeAutospacing="0" w:after="0" w:afterAutospacing="0" w:line="360" w:lineRule="auto"/>
        <w:ind w:left="361" w:leftChars="1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l、监理合同书（含补充协议）; </w:t>
      </w:r>
    </w:p>
    <w:p w14:paraId="11E42E23">
      <w:pPr>
        <w:pStyle w:val="17"/>
        <w:spacing w:before="0" w:beforeAutospacing="0" w:after="0" w:afterAutospacing="0" w:line="360" w:lineRule="auto"/>
        <w:ind w:left="361" w:leftChars="1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2、中标通知书；</w:t>
      </w:r>
    </w:p>
    <w:p w14:paraId="3CB4DD0E">
      <w:pPr>
        <w:pStyle w:val="17"/>
        <w:spacing w:before="0" w:beforeAutospacing="0" w:after="0" w:afterAutospacing="0" w:line="360" w:lineRule="auto"/>
        <w:ind w:left="361" w:leftChars="1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投标文件</w:t>
      </w:r>
      <w:r>
        <w:rPr>
          <w:rFonts w:hint="eastAsia" w:ascii="宋体" w:hAnsi="宋体" w:eastAsia="宋体" w:cs="宋体"/>
          <w:color w:val="auto"/>
          <w:sz w:val="22"/>
          <w:szCs w:val="22"/>
          <w:highlight w:val="none"/>
        </w:rPr>
        <w:t>；</w:t>
      </w:r>
    </w:p>
    <w:p w14:paraId="01BE4947">
      <w:pPr>
        <w:pStyle w:val="17"/>
        <w:spacing w:before="0" w:beforeAutospacing="0" w:after="0" w:afterAutospacing="0" w:line="360" w:lineRule="auto"/>
        <w:ind w:left="361" w:leftChars="1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4、专用合同条款；</w:t>
      </w:r>
    </w:p>
    <w:p w14:paraId="6D4833A1">
      <w:pPr>
        <w:pStyle w:val="17"/>
        <w:spacing w:before="0" w:beforeAutospacing="0" w:after="0" w:afterAutospacing="0" w:line="360" w:lineRule="auto"/>
        <w:ind w:left="361" w:leftChars="1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5、通用合同条款；</w:t>
      </w:r>
    </w:p>
    <w:p w14:paraId="18343D2A">
      <w:pPr>
        <w:pStyle w:val="17"/>
        <w:spacing w:before="0" w:beforeAutospacing="0" w:after="0" w:afterAutospacing="0" w:line="360" w:lineRule="auto"/>
        <w:ind w:left="361" w:leftChars="1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6、监理大纲：</w:t>
      </w:r>
    </w:p>
    <w:p w14:paraId="42BADAF3">
      <w:pPr>
        <w:pStyle w:val="17"/>
        <w:spacing w:before="0" w:beforeAutospacing="0" w:after="0" w:afterAutospacing="0" w:line="360" w:lineRule="auto"/>
        <w:ind w:left="361" w:leftChars="1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7、双方确认需进入合同的其他文件。</w:t>
      </w:r>
    </w:p>
    <w:p w14:paraId="3506FCC4">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、本合同书经双方法定代表人或其授权代表人（签字或盖章）并加盖本单位章后生效。</w:t>
      </w:r>
    </w:p>
    <w:p w14:paraId="4368720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八</w:t>
      </w:r>
      <w:r>
        <w:rPr>
          <w:rFonts w:hint="eastAsia" w:ascii="宋体" w:hAnsi="宋体" w:eastAsia="宋体" w:cs="宋体"/>
          <w:color w:val="auto"/>
          <w:sz w:val="22"/>
          <w:szCs w:val="22"/>
          <w:highlight w:val="none"/>
        </w:rPr>
        <w:t>、本合同书一式</w:t>
      </w:r>
      <w:r>
        <w:rPr>
          <w:rFonts w:hint="eastAsia" w:ascii="宋体" w:hAnsi="宋体" w:eastAsia="宋体" w:cs="宋体"/>
          <w:color w:val="auto"/>
          <w:sz w:val="22"/>
          <w:szCs w:val="22"/>
          <w:highlight w:val="none"/>
          <w:u w:val="single"/>
        </w:rPr>
        <w:t>陆</w:t>
      </w:r>
      <w:r>
        <w:rPr>
          <w:rFonts w:hint="eastAsia" w:ascii="宋体" w:hAnsi="宋体" w:eastAsia="宋体" w:cs="宋体"/>
          <w:color w:val="auto"/>
          <w:sz w:val="22"/>
          <w:szCs w:val="22"/>
          <w:highlight w:val="none"/>
        </w:rPr>
        <w:t>份，委托人执</w:t>
      </w:r>
      <w:r>
        <w:rPr>
          <w:rFonts w:hint="eastAsia" w:ascii="宋体" w:hAnsi="宋体" w:eastAsia="宋体" w:cs="宋体"/>
          <w:color w:val="auto"/>
          <w:sz w:val="22"/>
          <w:szCs w:val="22"/>
          <w:highlight w:val="none"/>
          <w:u w:val="single"/>
        </w:rPr>
        <w:t>肆</w:t>
      </w:r>
      <w:r>
        <w:rPr>
          <w:rFonts w:hint="eastAsia" w:ascii="宋体" w:hAnsi="宋体" w:eastAsia="宋体" w:cs="宋体"/>
          <w:color w:val="auto"/>
          <w:sz w:val="22"/>
          <w:szCs w:val="22"/>
          <w:highlight w:val="none"/>
        </w:rPr>
        <w:t>份，监理人执</w:t>
      </w:r>
      <w:r>
        <w:rPr>
          <w:rFonts w:hint="eastAsia" w:ascii="宋体" w:hAnsi="宋体" w:eastAsia="宋体" w:cs="宋体"/>
          <w:color w:val="auto"/>
          <w:sz w:val="22"/>
          <w:szCs w:val="22"/>
          <w:highlight w:val="none"/>
          <w:u w:val="single"/>
        </w:rPr>
        <w:t>贰</w:t>
      </w:r>
      <w:r>
        <w:rPr>
          <w:rFonts w:hint="eastAsia" w:ascii="宋体" w:hAnsi="宋体" w:eastAsia="宋体" w:cs="宋体"/>
          <w:color w:val="auto"/>
          <w:sz w:val="22"/>
          <w:szCs w:val="22"/>
          <w:highlight w:val="none"/>
        </w:rPr>
        <w:t>份。</w:t>
      </w:r>
    </w:p>
    <w:p w14:paraId="744C4511">
      <w:pPr>
        <w:pStyle w:val="17"/>
        <w:spacing w:before="0" w:beforeAutospacing="0" w:after="0" w:afterAutospacing="0" w:line="360" w:lineRule="auto"/>
        <w:ind w:firstLine="501"/>
        <w:rPr>
          <w:rFonts w:hint="eastAsia" w:ascii="宋体" w:hAnsi="宋体" w:eastAsia="宋体" w:cs="宋体"/>
          <w:color w:val="auto"/>
          <w:sz w:val="22"/>
          <w:szCs w:val="22"/>
          <w:highlight w:val="none"/>
        </w:rPr>
      </w:pPr>
    </w:p>
    <w:p w14:paraId="1BB8EAB0">
      <w:pPr>
        <w:shd w:val="clear" w:color="auto" w:fill="FFFFFF"/>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委托人：</w:t>
      </w:r>
      <w:r>
        <w:rPr>
          <w:rFonts w:hint="eastAsia" w:ascii="宋体" w:hAnsi="宋体" w:eastAsia="宋体" w:cs="宋体"/>
          <w:color w:val="auto"/>
          <w:sz w:val="22"/>
          <w:szCs w:val="22"/>
          <w:highlight w:val="none"/>
          <w:u w:val="single"/>
        </w:rPr>
        <w:t xml:space="preserve">（盖章）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 xml:space="preserve">   </w:t>
      </w:r>
      <w:r>
        <w:rPr>
          <w:rFonts w:hint="eastAsia" w:ascii="宋体" w:hAnsi="宋体" w:eastAsia="宋体" w:cs="宋体"/>
          <w:color w:val="auto"/>
          <w:sz w:val="22"/>
          <w:szCs w:val="22"/>
          <w:highlight w:val="none"/>
        </w:rPr>
        <w:t>监理人：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（盖章）        </w:t>
      </w:r>
    </w:p>
    <w:p w14:paraId="1D043C46">
      <w:pPr>
        <w:shd w:val="clear" w:color="auto" w:fill="FFFFFF"/>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u w:val="single"/>
        </w:rPr>
        <w:t xml:space="preserve">   （签章）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 xml:space="preserve">   </w:t>
      </w: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（签章）  </w:t>
      </w:r>
    </w:p>
    <w:p w14:paraId="0EF9B28A">
      <w:pPr>
        <w:shd w:val="clear" w:color="auto" w:fill="FFFFFF"/>
        <w:spacing w:line="360" w:lineRule="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或授权代表人：</w:t>
      </w:r>
      <w:r>
        <w:rPr>
          <w:rFonts w:hint="eastAsia" w:ascii="宋体" w:hAnsi="宋体" w:eastAsia="宋体" w:cs="宋体"/>
          <w:color w:val="auto"/>
          <w:sz w:val="22"/>
          <w:szCs w:val="22"/>
          <w:highlight w:val="none"/>
          <w:u w:val="single"/>
        </w:rPr>
        <w:t xml:space="preserve">  （签章）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 xml:space="preserve">   </w:t>
      </w:r>
      <w:r>
        <w:rPr>
          <w:rFonts w:hint="eastAsia" w:ascii="宋体" w:hAnsi="宋体" w:eastAsia="宋体" w:cs="宋体"/>
          <w:color w:val="auto"/>
          <w:sz w:val="22"/>
          <w:szCs w:val="22"/>
          <w:highlight w:val="none"/>
        </w:rPr>
        <w:t>或授权代表人：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（签章）</w:t>
      </w:r>
      <w:r>
        <w:rPr>
          <w:rFonts w:hint="eastAsia" w:ascii="宋体" w:hAnsi="宋体" w:eastAsia="宋体" w:cs="宋体"/>
          <w:color w:val="auto"/>
          <w:sz w:val="22"/>
          <w:szCs w:val="22"/>
          <w:highlight w:val="none"/>
          <w:u w:val="single"/>
          <w:lang w:val="en-US" w:eastAsia="zh-CN"/>
        </w:rPr>
        <w:t xml:space="preserve">  </w:t>
      </w:r>
    </w:p>
    <w:p w14:paraId="31E3B0DC">
      <w:pPr>
        <w:shd w:val="clear" w:color="auto" w:fill="FFFFFF"/>
        <w:spacing w:line="360" w:lineRule="auto"/>
        <w:ind w:left="5520" w:right="-865" w:rightChars="-412" w:hanging="5060" w:hangingChars="23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单位地址：</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单位地址：</w:t>
      </w:r>
    </w:p>
    <w:p w14:paraId="271E599F">
      <w:pPr>
        <w:shd w:val="clear" w:color="auto" w:fill="FFFFFF"/>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邮政编码：</w:t>
      </w:r>
    </w:p>
    <w:p w14:paraId="09D303E3">
      <w:pPr>
        <w:shd w:val="clear" w:color="auto" w:fill="FFFFFF"/>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电    话：</w:t>
      </w:r>
    </w:p>
    <w:p w14:paraId="3351FC7F">
      <w:pPr>
        <w:shd w:val="clear" w:color="auto" w:fill="FFFFFF"/>
        <w:spacing w:line="360" w:lineRule="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电子信箱：</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电子信箱：</w:t>
      </w:r>
    </w:p>
    <w:p w14:paraId="094A3292">
      <w:pPr>
        <w:shd w:val="clear" w:color="auto" w:fill="FFFFFF"/>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    真：</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传    真：</w:t>
      </w:r>
    </w:p>
    <w:p w14:paraId="6974CB0A">
      <w:pPr>
        <w:shd w:val="clear" w:color="auto" w:fill="FFFFFF"/>
        <w:spacing w:line="360" w:lineRule="auto"/>
        <w:ind w:left="5760" w:hanging="5280" w:hangingChars="24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开户银行：</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开户银行：</w:t>
      </w:r>
    </w:p>
    <w:p w14:paraId="50DDF189">
      <w:pPr>
        <w:shd w:val="clear" w:color="auto" w:fill="FFFFFF"/>
        <w:spacing w:line="360" w:lineRule="auto"/>
        <w:outlineLvl w:val="9"/>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帐    号：</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帐    号：</w:t>
      </w:r>
    </w:p>
    <w:p w14:paraId="09699973">
      <w:pPr>
        <w:pStyle w:val="17"/>
        <w:spacing w:before="0" w:beforeAutospacing="0" w:after="0" w:afterAutospacing="0" w:line="5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签订地点：</w:t>
      </w:r>
      <w:r>
        <w:rPr>
          <w:rFonts w:hint="eastAsia" w:ascii="宋体" w:hAnsi="宋体" w:eastAsia="宋体" w:cs="宋体"/>
          <w:color w:val="auto"/>
          <w:sz w:val="22"/>
          <w:szCs w:val="22"/>
          <w:highlight w:val="none"/>
          <w:u w:val="single"/>
        </w:rPr>
        <w:t>宁波市江北区慈城镇人民政府</w:t>
      </w:r>
    </w:p>
    <w:p w14:paraId="2EDDFE0F">
      <w:pPr>
        <w:pStyle w:val="17"/>
        <w:spacing w:before="0" w:beforeAutospacing="0" w:after="0" w:afterAutospacing="0" w:line="360" w:lineRule="auto"/>
        <w:ind w:firstLine="431" w:firstLineChars="196"/>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 xml:space="preserve">                               签订时间：</w:t>
      </w:r>
      <w:r>
        <w:rPr>
          <w:rFonts w:hint="eastAsia" w:ascii="宋体" w:hAnsi="宋体" w:eastAsia="宋体" w:cs="宋体"/>
          <w:color w:val="auto"/>
          <w:sz w:val="22"/>
          <w:szCs w:val="22"/>
          <w:highlight w:val="none"/>
          <w:u w:val="none"/>
          <w:lang w:val="en-US" w:eastAsia="zh-CN"/>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w:t>
      </w:r>
      <w:r>
        <w:rPr>
          <w:rFonts w:hint="eastAsia" w:ascii="宋体" w:hAnsi="宋体" w:eastAsia="宋体" w:cs="宋体"/>
          <w:color w:val="auto"/>
          <w:sz w:val="22"/>
          <w:szCs w:val="22"/>
          <w:highlight w:val="none"/>
        </w:rPr>
        <w:br w:type="page"/>
      </w:r>
      <w:r>
        <w:rPr>
          <w:rFonts w:hint="eastAsia" w:ascii="宋体" w:hAnsi="宋体" w:eastAsia="宋体" w:cs="宋体"/>
          <w:b/>
          <w:color w:val="auto"/>
          <w:spacing w:val="0"/>
          <w:kern w:val="0"/>
          <w:sz w:val="22"/>
          <w:szCs w:val="22"/>
          <w:highlight w:val="none"/>
          <w:lang w:val="en-US" w:eastAsia="zh-CN" w:bidi="ar-SA"/>
        </w:rPr>
        <w:t>第一部分通用合同条款</w:t>
      </w:r>
    </w:p>
    <w:p w14:paraId="6BEFF08A">
      <w:pPr>
        <w:pStyle w:val="17"/>
        <w:spacing w:before="0" w:beforeAutospacing="0" w:after="0" w:afterAutospacing="0" w:line="360" w:lineRule="auto"/>
        <w:jc w:val="center"/>
        <w:rPr>
          <w:rFonts w:hint="eastAsia" w:ascii="宋体" w:hAnsi="宋体" w:eastAsia="宋体" w:cs="宋体"/>
          <w:b/>
          <w:color w:val="auto"/>
          <w:sz w:val="22"/>
          <w:szCs w:val="22"/>
          <w:highlight w:val="none"/>
        </w:rPr>
      </w:pPr>
    </w:p>
    <w:p w14:paraId="4BB0E793">
      <w:pPr>
        <w:pStyle w:val="17"/>
        <w:spacing w:before="0" w:beforeAutospacing="0" w:after="0" w:afterAutospacing="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词语涵义及适用语言</w:t>
      </w:r>
    </w:p>
    <w:p w14:paraId="38CA7034">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第一条</w:t>
      </w:r>
      <w:r>
        <w:rPr>
          <w:rFonts w:hint="eastAsia" w:ascii="宋体" w:hAnsi="宋体" w:eastAsia="宋体" w:cs="宋体"/>
          <w:color w:val="auto"/>
          <w:sz w:val="22"/>
          <w:szCs w:val="22"/>
          <w:highlight w:val="none"/>
        </w:rPr>
        <w:t>下列名词和用语，除上下文另有约定外，具有本条所赋予的涵义：</w:t>
      </w:r>
    </w:p>
    <w:p w14:paraId="752474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一、“委托人”指承担工程建设项目直接建设管理责任，委托监理业务的法人或其合法继承人。</w:t>
      </w:r>
    </w:p>
    <w:p w14:paraId="584838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二、“监理人”指受委托人委托，提供监理服务的法人或其合法继承人。</w:t>
      </w:r>
    </w:p>
    <w:p w14:paraId="3EF3D5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三、“承包人”指与委托人（发包人）签订了施工合同，承担工程施工的法人或其合法继承人。</w:t>
      </w:r>
    </w:p>
    <w:p w14:paraId="3C6E74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四、“监理机构”指监理人派驻工程现场直接开展监理业务的组织，由总监理工程师、监理工程师和监理员以及其他人员组成。</w:t>
      </w:r>
    </w:p>
    <w:p w14:paraId="4A7650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五、“监理项目”是指委托人委托监理人实施建设监理的工程建设项目。</w:t>
      </w:r>
    </w:p>
    <w:p w14:paraId="72E06C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六、“服务”是指监理人根据监理合同约定所承担的各项工作，包括正常服务和附加服务。</w:t>
      </w:r>
    </w:p>
    <w:p w14:paraId="706F17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七、“正常服务”指监理人按照合同约定的监理范围、内容和期限所提供的服务。</w:t>
      </w:r>
    </w:p>
    <w:p w14:paraId="066BF3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八、“附加服务”指监理人为委托人提供正常服务以外的服务。</w:t>
      </w:r>
    </w:p>
    <w:p w14:paraId="201A2E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九、“服务酬金”指本合同中监理人完成“正常服务”、“附加服务”应得到的正常服务酬金和附加服务酬金。</w:t>
      </w:r>
    </w:p>
    <w:p w14:paraId="626A32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十、“天”指日历天。</w:t>
      </w:r>
    </w:p>
    <w:p w14:paraId="098C11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十一、“现场”指监理项目实施的场所。</w:t>
      </w:r>
    </w:p>
    <w:p w14:paraId="42E191C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第二条</w:t>
      </w:r>
      <w:r>
        <w:rPr>
          <w:rFonts w:hint="eastAsia" w:ascii="宋体" w:hAnsi="宋体" w:eastAsia="宋体" w:cs="宋体"/>
          <w:color w:val="auto"/>
          <w:sz w:val="22"/>
          <w:szCs w:val="22"/>
          <w:highlight w:val="none"/>
        </w:rPr>
        <w:t>本合同适用的语言文字为汉语文字。</w:t>
      </w:r>
    </w:p>
    <w:p w14:paraId="2EAEEC8C">
      <w:pPr>
        <w:pStyle w:val="17"/>
        <w:spacing w:before="0" w:beforeAutospacing="0" w:after="0" w:afterAutospacing="0" w:line="360" w:lineRule="auto"/>
        <w:ind w:firstLine="2644" w:firstLineChars="1197"/>
        <w:rPr>
          <w:rFonts w:hint="eastAsia" w:ascii="宋体" w:hAnsi="宋体" w:eastAsia="宋体" w:cs="宋体"/>
          <w:b/>
          <w:color w:val="auto"/>
          <w:sz w:val="22"/>
          <w:szCs w:val="22"/>
          <w:highlight w:val="none"/>
        </w:rPr>
      </w:pPr>
    </w:p>
    <w:p w14:paraId="5121F30A">
      <w:pPr>
        <w:pStyle w:val="17"/>
        <w:spacing w:before="0" w:beforeAutospacing="0" w:after="0" w:afterAutospacing="0" w:line="360" w:lineRule="auto"/>
        <w:jc w:val="center"/>
        <w:rPr>
          <w:rFonts w:hint="eastAsia" w:ascii="宋体" w:hAnsi="宋体" w:eastAsia="宋体" w:cs="宋体"/>
          <w:b/>
          <w:color w:val="auto"/>
          <w:sz w:val="22"/>
          <w:szCs w:val="22"/>
          <w:highlight w:val="none"/>
        </w:rPr>
      </w:pPr>
    </w:p>
    <w:p w14:paraId="045053BA">
      <w:pPr>
        <w:pStyle w:val="17"/>
        <w:spacing w:before="0" w:beforeAutospacing="0" w:after="0" w:afterAutospacing="0"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监理依据</w:t>
      </w:r>
    </w:p>
    <w:p w14:paraId="7C919B2D">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第三条</w:t>
      </w:r>
      <w:r>
        <w:rPr>
          <w:rFonts w:hint="eastAsia" w:ascii="宋体" w:hAnsi="宋体" w:eastAsia="宋体" w:cs="宋体"/>
          <w:color w:val="auto"/>
          <w:sz w:val="22"/>
          <w:szCs w:val="22"/>
          <w:highlight w:val="none"/>
        </w:rPr>
        <w:t>监理的依据是有关工程建设的法律、法规、规章和规范性文件；工程建设强制性条文、有关技术标准；经批准的工程建设项目设计文件及其相关文件；监理合同、施工合同等合同文件。具体内容在专用合同条款中约定。</w:t>
      </w:r>
    </w:p>
    <w:p w14:paraId="47917F24">
      <w:pPr>
        <w:pStyle w:val="17"/>
        <w:spacing w:before="0" w:beforeAutospacing="0" w:after="0" w:afterAutospacing="0" w:line="360" w:lineRule="auto"/>
        <w:jc w:val="center"/>
        <w:rPr>
          <w:rFonts w:hint="eastAsia" w:ascii="宋体" w:hAnsi="宋体" w:eastAsia="宋体" w:cs="宋体"/>
          <w:b/>
          <w:color w:val="auto"/>
          <w:sz w:val="22"/>
          <w:szCs w:val="22"/>
          <w:highlight w:val="none"/>
        </w:rPr>
      </w:pPr>
    </w:p>
    <w:p w14:paraId="21AAFA16">
      <w:pPr>
        <w:pStyle w:val="17"/>
        <w:spacing w:before="0" w:beforeAutospacing="0" w:after="0" w:afterAutospacing="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通知和联系</w:t>
      </w:r>
    </w:p>
    <w:p w14:paraId="60FE6A32">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第四条</w:t>
      </w:r>
      <w:r>
        <w:rPr>
          <w:rFonts w:hint="eastAsia" w:ascii="宋体" w:hAnsi="宋体" w:eastAsia="宋体" w:cs="宋体"/>
          <w:color w:val="auto"/>
          <w:sz w:val="22"/>
          <w:szCs w:val="22"/>
          <w:highlight w:val="none"/>
        </w:rPr>
        <w:t>委托人应指定一名联系人，负责与监理机构联系。更换联系人时，应提前通知监理人。</w:t>
      </w:r>
    </w:p>
    <w:p w14:paraId="59439D40">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第五条</w:t>
      </w:r>
      <w:r>
        <w:rPr>
          <w:rFonts w:hint="eastAsia" w:ascii="宋体" w:hAnsi="宋体" w:eastAsia="宋体" w:cs="宋体"/>
          <w:color w:val="auto"/>
          <w:sz w:val="22"/>
          <w:szCs w:val="22"/>
          <w:highlight w:val="none"/>
        </w:rPr>
        <w:t>在监理合同实施过程中，双方的联系均应以书面函件为准。在不做出紧急处理即可能导致安全、质量事故的情况下，可先以口头形式通知，并在48小时内补做书面通知。</w:t>
      </w:r>
    </w:p>
    <w:p w14:paraId="61803F28">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第六条</w:t>
      </w:r>
      <w:r>
        <w:rPr>
          <w:rFonts w:hint="eastAsia" w:ascii="宋体" w:hAnsi="宋体" w:eastAsia="宋体" w:cs="宋体"/>
          <w:color w:val="auto"/>
          <w:sz w:val="22"/>
          <w:szCs w:val="22"/>
          <w:highlight w:val="none"/>
        </w:rPr>
        <w:t>委托人对委托监理范围内工程项目实施的意见和决策，应通过监理机构下达，法律、法规另有规定的除外。</w:t>
      </w:r>
    </w:p>
    <w:p w14:paraId="64D1302F">
      <w:pPr>
        <w:pStyle w:val="17"/>
        <w:spacing w:before="0" w:beforeAutospacing="0" w:after="0" w:afterAutospacing="0" w:line="360" w:lineRule="auto"/>
        <w:rPr>
          <w:rFonts w:hint="eastAsia" w:ascii="宋体" w:hAnsi="宋体" w:eastAsia="宋体" w:cs="宋体"/>
          <w:b/>
          <w:color w:val="auto"/>
          <w:sz w:val="22"/>
          <w:szCs w:val="22"/>
          <w:highlight w:val="none"/>
        </w:rPr>
      </w:pPr>
    </w:p>
    <w:p w14:paraId="21F5A3C3">
      <w:pPr>
        <w:pStyle w:val="17"/>
        <w:tabs>
          <w:tab w:val="left" w:pos="2263"/>
        </w:tabs>
        <w:spacing w:before="0" w:beforeAutospacing="0" w:after="0" w:afterAutospacing="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委托人的权利</w:t>
      </w:r>
    </w:p>
    <w:p w14:paraId="753D2950">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第七条</w:t>
      </w:r>
      <w:r>
        <w:rPr>
          <w:rFonts w:hint="eastAsia" w:ascii="宋体" w:hAnsi="宋体" w:eastAsia="宋体" w:cs="宋体"/>
          <w:color w:val="auto"/>
          <w:sz w:val="22"/>
          <w:szCs w:val="22"/>
          <w:highlight w:val="none"/>
        </w:rPr>
        <w:t>委托人享有如下权利：</w:t>
      </w:r>
    </w:p>
    <w:p w14:paraId="3F8CF1BA">
      <w:pPr>
        <w:pStyle w:val="17"/>
        <w:spacing w:before="0" w:beforeAutospacing="0" w:after="0" w:afterAutospacing="0" w:line="360" w:lineRule="auto"/>
        <w:ind w:firstLine="437" w:firstLineChars="19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一、对监理工作进行监督、检查，并提出撤换不能胜任监理工作人员的建议或要求：</w:t>
      </w:r>
    </w:p>
    <w:p w14:paraId="38DB6532">
      <w:pPr>
        <w:pStyle w:val="17"/>
        <w:spacing w:before="0" w:beforeAutospacing="0" w:after="0" w:afterAutospacing="0" w:line="360" w:lineRule="auto"/>
        <w:ind w:left="361" w:leftChars="1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二、对工程建设中质量、安全、投资、进度方面的重大问题的决策权；</w:t>
      </w:r>
    </w:p>
    <w:p w14:paraId="11D839C1">
      <w:pPr>
        <w:pStyle w:val="17"/>
        <w:spacing w:before="0" w:beforeAutospacing="0" w:after="0" w:afterAutospacing="0" w:line="360" w:lineRule="auto"/>
        <w:ind w:left="361" w:leftChars="17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三、核定监理人签发的工程计量、付款凭证；</w:t>
      </w:r>
    </w:p>
    <w:p w14:paraId="53FB06A9">
      <w:pPr>
        <w:pStyle w:val="17"/>
        <w:spacing w:before="0" w:beforeAutospacing="0" w:after="0" w:afterAutospacing="0" w:line="360" w:lineRule="auto"/>
        <w:ind w:firstLine="437" w:firstLineChars="19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四、要求监理人提交监理月报、监理专题报告、监理工作报告和监理工作总结报告；</w:t>
      </w:r>
    </w:p>
    <w:p w14:paraId="346F1792">
      <w:pPr>
        <w:pStyle w:val="17"/>
        <w:spacing w:before="0" w:beforeAutospacing="0" w:after="0" w:afterAutospacing="0" w:line="360" w:lineRule="auto"/>
        <w:ind w:firstLine="437" w:firstLineChars="19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五、当监理人发生本合同专用条款约定的违约情形时，有权解除本合同。</w:t>
      </w:r>
    </w:p>
    <w:p w14:paraId="5D10C27E">
      <w:pPr>
        <w:pStyle w:val="17"/>
        <w:spacing w:before="0" w:beforeAutospacing="0" w:after="0" w:afterAutospacing="0" w:line="360" w:lineRule="auto"/>
        <w:rPr>
          <w:rFonts w:hint="eastAsia" w:ascii="宋体" w:hAnsi="宋体" w:eastAsia="宋体" w:cs="宋体"/>
          <w:b/>
          <w:color w:val="auto"/>
          <w:sz w:val="22"/>
          <w:szCs w:val="22"/>
          <w:highlight w:val="none"/>
        </w:rPr>
      </w:pPr>
    </w:p>
    <w:p w14:paraId="04E5F17B">
      <w:pPr>
        <w:pStyle w:val="17"/>
        <w:spacing w:before="0" w:beforeAutospacing="0" w:after="0" w:afterAutospacing="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监理人的权利</w:t>
      </w:r>
    </w:p>
    <w:p w14:paraId="08889B09">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第八条</w:t>
      </w:r>
      <w:r>
        <w:rPr>
          <w:rFonts w:hint="eastAsia" w:ascii="宋体" w:hAnsi="宋体" w:eastAsia="宋体" w:cs="宋体"/>
          <w:color w:val="auto"/>
          <w:sz w:val="22"/>
          <w:szCs w:val="22"/>
          <w:highlight w:val="none"/>
        </w:rPr>
        <w:t>委托人赋予监理人如下权利：</w:t>
      </w:r>
    </w:p>
    <w:p w14:paraId="7591E26A">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一、审查承包人拟选择的分包项目和分包人，报委托人批准；</w:t>
      </w:r>
    </w:p>
    <w:p w14:paraId="60256435">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二、审查承包人提交的施工组织设计、安全技术措施及专项施工方案等各类文件；</w:t>
      </w:r>
    </w:p>
    <w:p w14:paraId="771CEB27">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三、核查并签发施工图纸;</w:t>
      </w:r>
    </w:p>
    <w:p w14:paraId="4389D4CB">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四、签发合同项目开工令、暂停施工指示，但应事先征得委托人同意；签发进场通知、复工通知；</w:t>
      </w:r>
    </w:p>
    <w:p w14:paraId="28D811B7">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五、审核和签发工程计量、付款凭证；</w:t>
      </w:r>
    </w:p>
    <w:p w14:paraId="35E7FF5A">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六、核查承包人现场工作人员数量及相应岗位资格，有权要求承包人撤换不称职的现场工作人员；</w:t>
      </w:r>
    </w:p>
    <w:p w14:paraId="3CD5BD9B">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七、发现承包人使用的施工设备影响工程质量或进度时，有权要求承包人增加或更换施工设备；</w:t>
      </w:r>
    </w:p>
    <w:p w14:paraId="482453C6">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八、当委托人发生本合同专用条款约定的违约情形时，有权解除本合同；</w:t>
      </w:r>
    </w:p>
    <w:p w14:paraId="3220A511">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九、专用合同条款约定的其他权利。</w:t>
      </w:r>
    </w:p>
    <w:p w14:paraId="202AF5A4">
      <w:pPr>
        <w:pStyle w:val="17"/>
        <w:spacing w:before="0" w:beforeAutospacing="0" w:after="0" w:afterAutospacing="0" w:line="360" w:lineRule="auto"/>
        <w:rPr>
          <w:rFonts w:hint="eastAsia" w:ascii="宋体" w:hAnsi="宋体" w:eastAsia="宋体" w:cs="宋体"/>
          <w:b/>
          <w:color w:val="auto"/>
          <w:sz w:val="22"/>
          <w:szCs w:val="22"/>
          <w:highlight w:val="none"/>
        </w:rPr>
      </w:pPr>
    </w:p>
    <w:p w14:paraId="442EB9BE">
      <w:pPr>
        <w:pStyle w:val="17"/>
        <w:spacing w:before="0" w:beforeAutospacing="0" w:after="0" w:afterAutospacing="0"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委托人的义务</w:t>
      </w:r>
    </w:p>
    <w:p w14:paraId="20E8BE08">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第九条</w:t>
      </w:r>
      <w:r>
        <w:rPr>
          <w:rFonts w:hint="eastAsia" w:ascii="宋体" w:hAnsi="宋体" w:eastAsia="宋体" w:cs="宋体"/>
          <w:color w:val="auto"/>
          <w:sz w:val="22"/>
          <w:szCs w:val="22"/>
          <w:highlight w:val="none"/>
        </w:rPr>
        <w:t>工程建设外部环境的协调工作。</w:t>
      </w:r>
    </w:p>
    <w:p w14:paraId="6DF57C94">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第十条</w:t>
      </w:r>
      <w:r>
        <w:rPr>
          <w:rFonts w:hint="eastAsia" w:ascii="宋体" w:hAnsi="宋体" w:eastAsia="宋体" w:cs="宋体"/>
          <w:color w:val="auto"/>
          <w:sz w:val="22"/>
          <w:szCs w:val="22"/>
          <w:highlight w:val="none"/>
        </w:rPr>
        <w:t>按专用合同条款约定的时间、数量、方式，免费向监理机构提供开展监理服务的有关本工程建设的资料。</w:t>
      </w:r>
    </w:p>
    <w:p w14:paraId="70382974">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第十一条</w:t>
      </w:r>
      <w:r>
        <w:rPr>
          <w:rFonts w:hint="eastAsia" w:ascii="宋体" w:hAnsi="宋体" w:eastAsia="宋体" w:cs="宋体"/>
          <w:color w:val="auto"/>
          <w:sz w:val="22"/>
          <w:szCs w:val="22"/>
          <w:highlight w:val="none"/>
        </w:rPr>
        <w:t>在专用合同条款约定的时间内，就监理机构书面提交并要求作出决定的问题作出书面决定，并及时送达监理机构。超过约定时间，监理机构未收到委托人的书面决定，且委托人未说明理由，监理机构可认为委托人对其提出的事宜已无不同意见，无须再作确认。</w:t>
      </w:r>
    </w:p>
    <w:p w14:paraId="3ED59D4C">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第十二条</w:t>
      </w:r>
      <w:r>
        <w:rPr>
          <w:rFonts w:hint="eastAsia" w:ascii="宋体" w:hAnsi="宋体" w:eastAsia="宋体" w:cs="宋体"/>
          <w:color w:val="auto"/>
          <w:sz w:val="22"/>
          <w:szCs w:val="22"/>
          <w:highlight w:val="none"/>
        </w:rPr>
        <w:t>与承包人签订的施工合同中明确其赋予监理人的权限，并在工程开工前将监理单位、总监理工程师通知承包人。</w:t>
      </w:r>
    </w:p>
    <w:p w14:paraId="2D69C9F9">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第十三条</w:t>
      </w:r>
      <w:r>
        <w:rPr>
          <w:rFonts w:hint="eastAsia" w:ascii="宋体" w:hAnsi="宋体" w:eastAsia="宋体" w:cs="宋体"/>
          <w:color w:val="auto"/>
          <w:sz w:val="22"/>
          <w:szCs w:val="22"/>
          <w:highlight w:val="none"/>
        </w:rPr>
        <w:t>提供监理人员在现场的工作和生活条件，具体内容在专用合同条款中明确。如果不能提供上述条件的，应按实际发生费用给予监理人补偿。</w:t>
      </w:r>
    </w:p>
    <w:p w14:paraId="36F29B14">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第十四条</w:t>
      </w:r>
      <w:r>
        <w:rPr>
          <w:rFonts w:hint="eastAsia" w:ascii="宋体" w:hAnsi="宋体" w:eastAsia="宋体" w:cs="宋体"/>
          <w:color w:val="auto"/>
          <w:sz w:val="22"/>
          <w:szCs w:val="22"/>
          <w:highlight w:val="none"/>
        </w:rPr>
        <w:t>按本合同约定及时、足额支付监理服务酬金。</w:t>
      </w:r>
    </w:p>
    <w:p w14:paraId="076D4A7E">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第十五条</w:t>
      </w:r>
      <w:r>
        <w:rPr>
          <w:rFonts w:hint="eastAsia" w:ascii="宋体" w:hAnsi="宋体" w:eastAsia="宋体" w:cs="宋体"/>
          <w:color w:val="auto"/>
          <w:sz w:val="22"/>
          <w:szCs w:val="22"/>
          <w:highlight w:val="none"/>
        </w:rPr>
        <w:t>为监理机构指定具有检验、试验资质的机构并承担检验、试验相关费用。</w:t>
      </w:r>
    </w:p>
    <w:p w14:paraId="5775D047">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第十六条</w:t>
      </w:r>
      <w:r>
        <w:rPr>
          <w:rFonts w:hint="eastAsia" w:ascii="宋体" w:hAnsi="宋体" w:eastAsia="宋体" w:cs="宋体"/>
          <w:color w:val="auto"/>
          <w:sz w:val="22"/>
          <w:szCs w:val="22"/>
          <w:highlight w:val="none"/>
        </w:rPr>
        <w:t>维护监理机构工作的独立性，不干涉监理机构正常开展监理业务，不擅自作出有悖于监理机构在合同授权范围内所作出的指示的决定；未经监理机构签字确认，不得支付工程款。</w:t>
      </w:r>
    </w:p>
    <w:p w14:paraId="7F003E71">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第十七条</w:t>
      </w:r>
      <w:r>
        <w:rPr>
          <w:rFonts w:hint="eastAsia" w:ascii="宋体" w:hAnsi="宋体" w:eastAsia="宋体" w:cs="宋体"/>
          <w:color w:val="auto"/>
          <w:sz w:val="22"/>
          <w:szCs w:val="22"/>
          <w:highlight w:val="none"/>
        </w:rPr>
        <w:t>为监理人员投保人身意外伤害险和第三者责任险。如要求监</w:t>
      </w:r>
    </w:p>
    <w:p w14:paraId="3F42C94C">
      <w:pPr>
        <w:pStyle w:val="17"/>
        <w:spacing w:before="0" w:beforeAutospacing="0" w:after="0" w:afterAutospacing="0" w:line="360" w:lineRule="auto"/>
        <w:ind w:left="470" w:hanging="431" w:hanging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理人自己投保，则应同意监理人将投保的费用计入报价中。</w:t>
      </w:r>
    </w:p>
    <w:p w14:paraId="74841B20">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第十八条</w:t>
      </w:r>
      <w:r>
        <w:rPr>
          <w:rFonts w:hint="eastAsia" w:ascii="宋体" w:hAnsi="宋体" w:eastAsia="宋体" w:cs="宋体"/>
          <w:color w:val="auto"/>
          <w:sz w:val="22"/>
          <w:szCs w:val="22"/>
          <w:highlight w:val="none"/>
        </w:rPr>
        <w:t>将投保工程险的保险合同提供给监理人作为工程合同管理的一部分。</w:t>
      </w:r>
    </w:p>
    <w:p w14:paraId="1D0711E8">
      <w:pPr>
        <w:pStyle w:val="17"/>
        <w:spacing w:before="0" w:beforeAutospacing="0" w:after="0" w:afterAutospacing="0" w:line="360" w:lineRule="auto"/>
        <w:jc w:val="both"/>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第十九条</w:t>
      </w:r>
      <w:r>
        <w:rPr>
          <w:rFonts w:hint="eastAsia" w:ascii="宋体" w:hAnsi="宋体" w:eastAsia="宋体" w:cs="宋体"/>
          <w:color w:val="auto"/>
          <w:sz w:val="22"/>
          <w:szCs w:val="22"/>
          <w:highlight w:val="none"/>
        </w:rPr>
        <w:t>未经监理人同意，不得将监理人用于本工程监理服务的任何</w:t>
      </w:r>
    </w:p>
    <w:p w14:paraId="67420CAE">
      <w:pPr>
        <w:pStyle w:val="17"/>
        <w:spacing w:before="0" w:beforeAutospacing="0" w:after="0" w:afterAutospacing="0" w:line="360" w:lineRule="auto"/>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文件直接或间接用于其他工程建设之中。</w:t>
      </w:r>
    </w:p>
    <w:p w14:paraId="7A097C07">
      <w:pPr>
        <w:pStyle w:val="17"/>
        <w:widowControl w:val="0"/>
        <w:spacing w:before="0" w:beforeAutospacing="0" w:after="0" w:afterAutospacing="0" w:line="360" w:lineRule="auto"/>
        <w:rPr>
          <w:rFonts w:hint="eastAsia" w:ascii="宋体" w:hAnsi="宋体" w:eastAsia="宋体" w:cs="宋体"/>
          <w:b/>
          <w:color w:val="auto"/>
          <w:sz w:val="22"/>
          <w:szCs w:val="22"/>
          <w:highlight w:val="none"/>
        </w:rPr>
      </w:pPr>
    </w:p>
    <w:p w14:paraId="5F349386">
      <w:pPr>
        <w:pStyle w:val="17"/>
        <w:widowControl w:val="0"/>
        <w:spacing w:before="0" w:beforeAutospacing="0" w:after="0" w:afterAutospacing="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监理人的义务</w:t>
      </w:r>
    </w:p>
    <w:p w14:paraId="4A347E74">
      <w:pPr>
        <w:pStyle w:val="17"/>
        <w:widowControl w:val="0"/>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第二十条</w:t>
      </w:r>
      <w:r>
        <w:rPr>
          <w:rFonts w:hint="eastAsia" w:ascii="宋体" w:hAnsi="宋体" w:eastAsia="宋体" w:cs="宋体"/>
          <w:color w:val="auto"/>
          <w:sz w:val="22"/>
          <w:szCs w:val="22"/>
          <w:highlight w:val="none"/>
        </w:rPr>
        <w:t>本着“守法、诚信、公正、科学”的原则，按专用合同条款约定的监理服务内容为委托人提供优质服务。</w:t>
      </w:r>
    </w:p>
    <w:p w14:paraId="3E4DC506">
      <w:pPr>
        <w:pStyle w:val="17"/>
        <w:widowControl w:val="0"/>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第二十一条</w:t>
      </w:r>
      <w:r>
        <w:rPr>
          <w:rFonts w:hint="eastAsia" w:ascii="宋体" w:hAnsi="宋体" w:eastAsia="宋体" w:cs="宋体"/>
          <w:color w:val="auto"/>
          <w:sz w:val="22"/>
          <w:szCs w:val="22"/>
          <w:highlight w:val="none"/>
        </w:rPr>
        <w:t>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总监理工程师和其他主要监理人员应征得委托人同意。</w:t>
      </w:r>
    </w:p>
    <w:p w14:paraId="080FCE86">
      <w:pPr>
        <w:pStyle w:val="17"/>
        <w:widowControl w:val="0"/>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第二十二条</w:t>
      </w:r>
      <w:r>
        <w:rPr>
          <w:rFonts w:hint="eastAsia" w:ascii="宋体" w:hAnsi="宋体" w:eastAsia="宋体" w:cs="宋体"/>
          <w:color w:val="auto"/>
          <w:sz w:val="22"/>
          <w:szCs w:val="22"/>
          <w:highlight w:val="none"/>
        </w:rPr>
        <w:t>发现设计文件不符合有关规定或合同约定时，应向委托人报告。</w:t>
      </w:r>
    </w:p>
    <w:p w14:paraId="12B8EF9E">
      <w:pPr>
        <w:pStyle w:val="17"/>
        <w:widowControl w:val="0"/>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第二十三条</w:t>
      </w:r>
      <w:r>
        <w:rPr>
          <w:rFonts w:hint="eastAsia" w:ascii="宋体" w:hAnsi="宋体" w:eastAsia="宋体" w:cs="宋体"/>
          <w:color w:val="auto"/>
          <w:sz w:val="22"/>
          <w:szCs w:val="22"/>
          <w:highlight w:val="none"/>
        </w:rPr>
        <w:t>核验建筑材料、建筑构配件和设备质量，检查、检验并确认工程的施工质量；检查施工安全生产情况。发现存在质量、安全事故隐患，或发生质量、安全事故，应按有关规定及时采取相应的监理措施。</w:t>
      </w:r>
    </w:p>
    <w:p w14:paraId="5CAFFD46">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第二十四条</w:t>
      </w:r>
      <w:r>
        <w:rPr>
          <w:rFonts w:hint="eastAsia" w:ascii="宋体" w:hAnsi="宋体" w:eastAsia="宋体" w:cs="宋体"/>
          <w:color w:val="auto"/>
          <w:sz w:val="22"/>
          <w:szCs w:val="22"/>
          <w:highlight w:val="none"/>
        </w:rPr>
        <w:t>监督、检查工程施工进度。</w:t>
      </w:r>
    </w:p>
    <w:p w14:paraId="3443FAB1">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第二十五条</w:t>
      </w:r>
      <w:r>
        <w:rPr>
          <w:rFonts w:hint="eastAsia" w:ascii="宋体" w:hAnsi="宋体" w:eastAsia="宋体" w:cs="宋体"/>
          <w:color w:val="auto"/>
          <w:sz w:val="22"/>
          <w:szCs w:val="22"/>
          <w:highlight w:val="none"/>
        </w:rPr>
        <w:t>按照委托人签订的工程保险合同，做好施工现场工程保险合同的管理。协助委托人向保险公司及时提供一切必要的材料和证据。</w:t>
      </w:r>
    </w:p>
    <w:p w14:paraId="4E4BC2C7">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第二十六条</w:t>
      </w:r>
      <w:r>
        <w:rPr>
          <w:rFonts w:hint="eastAsia" w:ascii="宋体" w:hAnsi="宋体" w:eastAsia="宋体" w:cs="宋体"/>
          <w:color w:val="auto"/>
          <w:sz w:val="22"/>
          <w:szCs w:val="22"/>
          <w:highlight w:val="none"/>
        </w:rPr>
        <w:t>协调施工合同各方之间的关系。</w:t>
      </w:r>
    </w:p>
    <w:p w14:paraId="29D31F2F">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第二十七条</w:t>
      </w:r>
      <w:r>
        <w:rPr>
          <w:rFonts w:hint="eastAsia" w:ascii="宋体" w:hAnsi="宋体" w:eastAsia="宋体" w:cs="宋体"/>
          <w:color w:val="auto"/>
          <w:sz w:val="22"/>
          <w:szCs w:val="22"/>
          <w:highlight w:val="none"/>
        </w:rPr>
        <w:t>按照施工作业程序，采取旁站、巡视、跟踪检测和平行检测等方法实施监理。需要旁站的重要部位和关键工序在专用合同条款中约定。</w:t>
      </w:r>
    </w:p>
    <w:p w14:paraId="65F4EC8C">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第二十八条</w:t>
      </w:r>
      <w:r>
        <w:rPr>
          <w:rFonts w:hint="eastAsia" w:ascii="宋体" w:hAnsi="宋体" w:eastAsia="宋体" w:cs="宋体"/>
          <w:color w:val="auto"/>
          <w:sz w:val="22"/>
          <w:szCs w:val="22"/>
          <w:highlight w:val="none"/>
        </w:rPr>
        <w:t>及时做好工程施工过程各种监理信息的收集、整理和归档，并保证现场记录、试验、检验、检查等资料的完整和真实。</w:t>
      </w:r>
    </w:p>
    <w:p w14:paraId="46CDE42B">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第二十九条</w:t>
      </w:r>
      <w:r>
        <w:rPr>
          <w:rFonts w:hint="eastAsia" w:ascii="宋体" w:hAnsi="宋体" w:eastAsia="宋体" w:cs="宋体"/>
          <w:color w:val="auto"/>
          <w:sz w:val="22"/>
          <w:szCs w:val="22"/>
          <w:highlight w:val="none"/>
        </w:rPr>
        <w:t>编制《监理日志》，并向委托人提交监理月报、监理专题报告、监理工作报告和监理工作总结报告。</w:t>
      </w:r>
    </w:p>
    <w:p w14:paraId="770AC986">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第三十条</w:t>
      </w:r>
      <w:r>
        <w:rPr>
          <w:rFonts w:hint="eastAsia" w:ascii="宋体" w:hAnsi="宋体" w:eastAsia="宋体" w:cs="宋体"/>
          <w:color w:val="auto"/>
          <w:sz w:val="22"/>
          <w:szCs w:val="22"/>
          <w:highlight w:val="none"/>
        </w:rPr>
        <w:t>按有关规定参加工程验收，做好相关配合工作。委托人委托监理人主持的分部工程验收由专用合同条款约定。</w:t>
      </w:r>
    </w:p>
    <w:p w14:paraId="05C9FF9F">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第三十一条</w:t>
      </w:r>
      <w:r>
        <w:rPr>
          <w:rFonts w:hint="eastAsia" w:ascii="宋体" w:hAnsi="宋体" w:eastAsia="宋体" w:cs="宋体"/>
          <w:color w:val="auto"/>
          <w:sz w:val="22"/>
          <w:szCs w:val="22"/>
          <w:highlight w:val="none"/>
        </w:rPr>
        <w:t>妥善做好委托人所提供的工程建设文件资料的保存、回收及保密工作。在本合同期限内或专用合同条款约定的合同终止后的一定期限内，未征得委托人同意，不得公开涉及委托人的专利、专有技术或其他需保密的资料，不得泄露与本合同业务有关的技术、商务等秘密。</w:t>
      </w:r>
    </w:p>
    <w:p w14:paraId="76A12EF8">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p>
    <w:p w14:paraId="754F7B69">
      <w:pPr>
        <w:pStyle w:val="17"/>
        <w:spacing w:before="0" w:beforeAutospacing="0" w:after="0" w:afterAutospacing="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监理服务酬金</w:t>
      </w:r>
    </w:p>
    <w:p w14:paraId="0C83BAFE">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第三十二条</w:t>
      </w:r>
      <w:r>
        <w:rPr>
          <w:rFonts w:hint="eastAsia" w:ascii="宋体" w:hAnsi="宋体" w:eastAsia="宋体" w:cs="宋体"/>
          <w:color w:val="auto"/>
          <w:sz w:val="22"/>
          <w:szCs w:val="22"/>
          <w:highlight w:val="none"/>
        </w:rPr>
        <w:t>监理正常服务酬金的支付时间和支付方式在专用合同条款中约定。</w:t>
      </w:r>
    </w:p>
    <w:p w14:paraId="1C288E5C">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第三十三条</w:t>
      </w:r>
      <w:r>
        <w:rPr>
          <w:rFonts w:hint="eastAsia" w:ascii="宋体" w:hAnsi="宋体" w:eastAsia="宋体" w:cs="宋体"/>
          <w:color w:val="auto"/>
          <w:sz w:val="22"/>
          <w:szCs w:val="22"/>
          <w:highlight w:val="none"/>
        </w:rPr>
        <w:t>除不可抗力外，有下列情形之一且由此引起监理工作量增加或服务期限延长，均应视为监理机构的附加服务，监理人应得到监理附加服务酬金：</w:t>
      </w:r>
    </w:p>
    <w:p w14:paraId="23417C2C">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一、由于委托人、第三方责任、设计变更及不良地质条件等非监理人原因致使正常的监理服务受到阻碍或延误；</w:t>
      </w:r>
    </w:p>
    <w:p w14:paraId="6F2D6FAE">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二、在本合同履行过程中，委托人要求监理机构完成监理合同约定范围和内容以外的服务；</w:t>
      </w:r>
    </w:p>
    <w:p w14:paraId="469D6A1E">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三、由于非监理人原因暂停或终止监理业务时，其善后工作或恢复执行监理业务的工作。</w:t>
      </w:r>
    </w:p>
    <w:p w14:paraId="163B1CB4">
      <w:pPr>
        <w:pStyle w:val="17"/>
        <w:spacing w:before="0" w:beforeAutospacing="0" w:after="0" w:afterAutospacing="0" w:line="360" w:lineRule="auto"/>
        <w:ind w:firstLine="539" w:firstLineChars="24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监理人完成附加服务应得到的酬金，按专用合同条款约定的方法或监理补充协议计取和支付。</w:t>
      </w:r>
    </w:p>
    <w:p w14:paraId="486CABFB">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第三十四条</w:t>
      </w:r>
      <w:r>
        <w:rPr>
          <w:rFonts w:hint="eastAsia" w:ascii="宋体" w:hAnsi="宋体" w:eastAsia="宋体" w:cs="宋体"/>
          <w:color w:val="auto"/>
          <w:sz w:val="22"/>
          <w:szCs w:val="22"/>
          <w:highlight w:val="none"/>
        </w:rPr>
        <w:t>国家有关法律、法规、规章和监理酬金标准发生变化时，应按有关规定调整监理服务酬金。</w:t>
      </w:r>
    </w:p>
    <w:p w14:paraId="4CB68985">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第三十五条</w:t>
      </w:r>
      <w:r>
        <w:rPr>
          <w:rFonts w:hint="eastAsia" w:ascii="宋体" w:hAnsi="宋体" w:eastAsia="宋体" w:cs="宋体"/>
          <w:color w:val="auto"/>
          <w:sz w:val="22"/>
          <w:szCs w:val="22"/>
          <w:highlight w:val="none"/>
        </w:rPr>
        <w:t>委托人对监理人申请支付的监理酬金项目及金额有异议时，应当在收到监理人支付申请书后7天内向监理人发出异议通知，由双方协商解决。7天内未发出异议通知，则按通用合同条款第三十二条、第三十三条、第三十四条的约定支付。</w:t>
      </w:r>
    </w:p>
    <w:p w14:paraId="3FC33DF1">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p>
    <w:p w14:paraId="2035FBC4">
      <w:pPr>
        <w:pStyle w:val="17"/>
        <w:spacing w:before="0" w:beforeAutospacing="0" w:after="0" w:afterAutospacing="0"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合同变更与终止</w:t>
      </w:r>
    </w:p>
    <w:p w14:paraId="2039A2AD">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第三十六条</w:t>
      </w:r>
      <w:r>
        <w:rPr>
          <w:rFonts w:hint="eastAsia" w:ascii="宋体" w:hAnsi="宋体" w:eastAsia="宋体" w:cs="宋体"/>
          <w:color w:val="auto"/>
          <w:sz w:val="22"/>
          <w:szCs w:val="22"/>
          <w:highlight w:val="none"/>
        </w:rPr>
        <w:t>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14:paraId="403DCD4E">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第三十七条</w:t>
      </w:r>
      <w:r>
        <w:rPr>
          <w:rFonts w:hint="eastAsia" w:ascii="宋体" w:hAnsi="宋体" w:eastAsia="宋体" w:cs="宋体"/>
          <w:color w:val="auto"/>
          <w:sz w:val="22"/>
          <w:szCs w:val="22"/>
          <w:highlight w:val="none"/>
        </w:rPr>
        <w:t>当发生法律或本合同约定的解除合同的情形时，有权解除合同的一方要求解除合同的，应书面通知对方；若通知送达后28 天未收到对方的答复，可发出终止监理合同的通知，本合同即行终止。因解除合同遭受损失的，除依法可以免除责任的外，应由责任方赔偿损失。</w:t>
      </w:r>
    </w:p>
    <w:p w14:paraId="7E2DAFCF">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第三十八条</w:t>
      </w:r>
      <w:r>
        <w:rPr>
          <w:rFonts w:hint="eastAsia" w:ascii="宋体" w:hAnsi="宋体" w:eastAsia="宋体" w:cs="宋体"/>
          <w:color w:val="auto"/>
          <w:sz w:val="22"/>
          <w:szCs w:val="22"/>
          <w:highlight w:val="none"/>
        </w:rPr>
        <w:t>在监理服务期内，由于国家政策致使工程建设计划重大调整，或不可抗力致使合同不能履行时，双方协商解决因合同终止所产生的遗留问题。</w:t>
      </w:r>
    </w:p>
    <w:p w14:paraId="66A563DC">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第三十九条</w:t>
      </w:r>
      <w:r>
        <w:rPr>
          <w:rFonts w:hint="eastAsia" w:ascii="宋体" w:hAnsi="宋体" w:eastAsia="宋体" w:cs="宋体"/>
          <w:color w:val="auto"/>
          <w:sz w:val="22"/>
          <w:szCs w:val="22"/>
          <w:highlight w:val="none"/>
        </w:rPr>
        <w:t>本合同在监理期限届满并结清监理服务酬金后即终止。</w:t>
      </w:r>
    </w:p>
    <w:p w14:paraId="5BE14BEE">
      <w:pPr>
        <w:pStyle w:val="17"/>
        <w:spacing w:before="0" w:beforeAutospacing="0" w:after="0" w:afterAutospacing="0" w:line="360" w:lineRule="auto"/>
        <w:ind w:firstLine="431" w:firstLineChars="196"/>
        <w:rPr>
          <w:rFonts w:hint="eastAsia" w:ascii="宋体" w:hAnsi="宋体" w:eastAsia="宋体" w:cs="宋体"/>
          <w:color w:val="auto"/>
          <w:sz w:val="22"/>
          <w:szCs w:val="22"/>
          <w:highlight w:val="none"/>
        </w:rPr>
      </w:pPr>
    </w:p>
    <w:p w14:paraId="2570C100">
      <w:pPr>
        <w:pStyle w:val="17"/>
        <w:spacing w:before="0" w:beforeAutospacing="0" w:after="0" w:afterAutospacing="0"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违约责任</w:t>
      </w:r>
    </w:p>
    <w:p w14:paraId="40444151">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第四十条</w:t>
      </w:r>
      <w:r>
        <w:rPr>
          <w:rFonts w:hint="eastAsia" w:ascii="宋体" w:hAnsi="宋体" w:eastAsia="宋体" w:cs="宋体"/>
          <w:color w:val="auto"/>
          <w:sz w:val="22"/>
          <w:szCs w:val="22"/>
          <w:highlight w:val="none"/>
        </w:rPr>
        <w:t>委托人未履行合同条款第十条、第十一条、第十三条、第十四条、第十五条，第十六条、第十七条、第十九条约定的义务和责任，除按专用合同条款约定向监理人支付违约金外，还应继续履行合同约定的义务和责任。</w:t>
      </w:r>
    </w:p>
    <w:p w14:paraId="3A76182D">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第四十一条</w:t>
      </w:r>
      <w:r>
        <w:rPr>
          <w:rFonts w:hint="eastAsia" w:ascii="宋体" w:hAnsi="宋体" w:eastAsia="宋体" w:cs="宋体"/>
          <w:color w:val="auto"/>
          <w:sz w:val="22"/>
          <w:szCs w:val="22"/>
          <w:highlight w:val="none"/>
        </w:rPr>
        <w:t>委托人未按合同条款第三十二条、第三十三条、第三十四条约定支付监理服务酬金，除按专用合同条款约定向监理人支付逾期付款违约金外，还应继续履行合同约定的支付义务。</w:t>
      </w:r>
    </w:p>
    <w:p w14:paraId="1C650554">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第四十二条</w:t>
      </w:r>
      <w:r>
        <w:rPr>
          <w:rFonts w:hint="eastAsia" w:ascii="宋体" w:hAnsi="宋体" w:eastAsia="宋体" w:cs="宋体"/>
          <w:color w:val="auto"/>
          <w:sz w:val="22"/>
          <w:szCs w:val="22"/>
          <w:highlight w:val="none"/>
        </w:rPr>
        <w:t>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p>
    <w:p w14:paraId="5F3830DA">
      <w:pPr>
        <w:pStyle w:val="17"/>
        <w:tabs>
          <w:tab w:val="left" w:pos="2850"/>
        </w:tabs>
        <w:spacing w:before="0" w:beforeAutospacing="0" w:after="0" w:afterAutospacing="0" w:line="360" w:lineRule="auto"/>
        <w:rPr>
          <w:rFonts w:hint="eastAsia" w:ascii="宋体" w:hAnsi="宋体" w:eastAsia="宋体" w:cs="宋体"/>
          <w:b/>
          <w:color w:val="auto"/>
          <w:sz w:val="22"/>
          <w:szCs w:val="22"/>
          <w:highlight w:val="none"/>
          <w:lang w:eastAsia="zh-CN"/>
        </w:rPr>
      </w:pPr>
    </w:p>
    <w:p w14:paraId="093632DD">
      <w:pPr>
        <w:pStyle w:val="17"/>
        <w:spacing w:before="0" w:beforeAutospacing="0" w:after="0" w:afterAutospacing="0" w:line="360" w:lineRule="auto"/>
        <w:jc w:val="center"/>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争议的解决</w:t>
      </w:r>
    </w:p>
    <w:p w14:paraId="38BFACC2">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第四十三条</w:t>
      </w:r>
      <w:r>
        <w:rPr>
          <w:rFonts w:hint="eastAsia" w:ascii="宋体" w:hAnsi="宋体" w:eastAsia="宋体" w:cs="宋体"/>
          <w:color w:val="auto"/>
          <w:sz w:val="22"/>
          <w:szCs w:val="22"/>
          <w:highlight w:val="none"/>
        </w:rPr>
        <w:t>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14:paraId="09D11261">
      <w:pPr>
        <w:pStyle w:val="17"/>
        <w:spacing w:before="0" w:beforeAutospacing="0" w:after="0" w:afterAutospacing="0"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第四十四条</w:t>
      </w:r>
      <w:r>
        <w:rPr>
          <w:rFonts w:hint="eastAsia" w:ascii="宋体" w:hAnsi="宋体" w:eastAsia="宋体" w:cs="宋体"/>
          <w:color w:val="auto"/>
          <w:sz w:val="22"/>
          <w:szCs w:val="22"/>
          <w:highlight w:val="none"/>
        </w:rPr>
        <w:t>在争议协商、调解、仲裁或起诉过程中，双方仍应继续履行本合同约定的责任和义务。</w:t>
      </w:r>
    </w:p>
    <w:p w14:paraId="50EC975A">
      <w:pPr>
        <w:pStyle w:val="17"/>
        <w:spacing w:before="0" w:beforeAutospacing="0" w:after="0" w:afterAutospacing="0" w:line="360" w:lineRule="auto"/>
        <w:rPr>
          <w:rFonts w:hint="eastAsia" w:ascii="宋体" w:hAnsi="宋体" w:eastAsia="宋体" w:cs="宋体"/>
          <w:color w:val="auto"/>
          <w:sz w:val="22"/>
          <w:szCs w:val="22"/>
          <w:highlight w:val="none"/>
        </w:rPr>
      </w:pPr>
    </w:p>
    <w:p w14:paraId="5B9F6474">
      <w:pPr>
        <w:pStyle w:val="17"/>
        <w:spacing w:before="0" w:beforeAutospacing="0" w:after="0" w:afterAutospacing="0" w:line="360" w:lineRule="auto"/>
        <w:ind w:firstLine="2531" w:firstLineChars="1146"/>
        <w:rPr>
          <w:rFonts w:hint="eastAsia" w:ascii="宋体" w:hAnsi="宋体" w:eastAsia="宋体" w:cs="宋体"/>
          <w:b/>
          <w:color w:val="auto"/>
          <w:sz w:val="22"/>
          <w:szCs w:val="22"/>
          <w:highlight w:val="none"/>
        </w:rPr>
      </w:pPr>
    </w:p>
    <w:p w14:paraId="72EF8EC9">
      <w:pPr>
        <w:pStyle w:val="17"/>
        <w:spacing w:before="0" w:beforeAutospacing="0" w:after="0" w:afterAutospacing="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其他</w:t>
      </w:r>
    </w:p>
    <w:p w14:paraId="559FFF97">
      <w:pPr>
        <w:pStyle w:val="17"/>
        <w:spacing w:before="0" w:beforeAutospacing="0" w:after="0" w:afterAutospacing="0" w:line="360" w:lineRule="auto"/>
        <w:rPr>
          <w:rFonts w:hint="eastAsia" w:ascii="宋体" w:hAnsi="宋体" w:eastAsia="宋体" w:cs="宋体"/>
          <w:color w:val="auto"/>
          <w:sz w:val="22"/>
          <w:szCs w:val="22"/>
          <w:highlight w:val="none"/>
          <w:lang w:eastAsia="zh-CN"/>
        </w:rPr>
      </w:pPr>
      <w:r>
        <w:rPr>
          <w:rFonts w:hint="eastAsia" w:ascii="宋体" w:hAnsi="宋体" w:eastAsia="宋体" w:cs="宋体"/>
          <w:b/>
          <w:color w:val="auto"/>
          <w:sz w:val="22"/>
          <w:szCs w:val="22"/>
          <w:highlight w:val="none"/>
        </w:rPr>
        <w:t>第四十五条</w:t>
      </w:r>
      <w:r>
        <w:rPr>
          <w:rFonts w:hint="eastAsia" w:ascii="宋体" w:hAnsi="宋体" w:eastAsia="宋体" w:cs="宋体"/>
          <w:color w:val="auto"/>
          <w:sz w:val="22"/>
          <w:szCs w:val="22"/>
          <w:highlight w:val="none"/>
        </w:rPr>
        <w:t>委托人可以对监理人提出并落实的合理化建议给予奖励。奖励办法在专用合同条款中约定</w:t>
      </w:r>
      <w:r>
        <w:rPr>
          <w:rFonts w:hint="eastAsia" w:ascii="宋体" w:hAnsi="宋体" w:eastAsia="宋体" w:cs="宋体"/>
          <w:color w:val="auto"/>
          <w:sz w:val="22"/>
          <w:szCs w:val="22"/>
          <w:highlight w:val="none"/>
          <w:lang w:eastAsia="zh-CN"/>
        </w:rPr>
        <w:t>。</w:t>
      </w:r>
    </w:p>
    <w:p w14:paraId="1E0A4109">
      <w:pPr>
        <w:spacing w:line="360" w:lineRule="auto"/>
        <w:jc w:val="center"/>
        <w:outlineLvl w:val="9"/>
        <w:rPr>
          <w:rFonts w:hint="eastAsia" w:ascii="宋体" w:hAnsi="宋体" w:eastAsia="宋体" w:cs="宋体"/>
          <w:color w:val="auto"/>
          <w:sz w:val="22"/>
          <w:szCs w:val="22"/>
          <w:highlight w:val="none"/>
        </w:rPr>
      </w:pPr>
      <w:bookmarkStart w:id="26" w:name="_Toc317700567"/>
      <w:bookmarkStart w:id="27" w:name="_Toc195512395"/>
      <w:bookmarkStart w:id="28" w:name="_Toc379895124"/>
      <w:bookmarkStart w:id="29" w:name="_Toc317699002"/>
      <w:r>
        <w:rPr>
          <w:rFonts w:hint="eastAsia" w:ascii="宋体" w:hAnsi="宋体" w:eastAsia="宋体" w:cs="宋体"/>
          <w:color w:val="auto"/>
          <w:sz w:val="22"/>
          <w:szCs w:val="22"/>
          <w:highlight w:val="none"/>
        </w:rPr>
        <w:br w:type="page"/>
      </w:r>
      <w:r>
        <w:rPr>
          <w:rFonts w:hint="eastAsia" w:ascii="宋体" w:hAnsi="宋体" w:eastAsia="宋体" w:cs="宋体"/>
          <w:b/>
          <w:color w:val="auto"/>
          <w:spacing w:val="0"/>
          <w:kern w:val="0"/>
          <w:sz w:val="22"/>
          <w:szCs w:val="22"/>
          <w:highlight w:val="none"/>
          <w:lang w:val="en-US" w:eastAsia="zh-CN" w:bidi="ar-SA"/>
        </w:rPr>
        <w:t>第二部分专用合同条款</w:t>
      </w:r>
      <w:bookmarkEnd w:id="26"/>
      <w:bookmarkEnd w:id="27"/>
      <w:bookmarkEnd w:id="28"/>
      <w:bookmarkEnd w:id="29"/>
    </w:p>
    <w:p w14:paraId="55F6D540">
      <w:pPr>
        <w:pStyle w:val="17"/>
        <w:spacing w:before="0" w:beforeAutospacing="0" w:after="0" w:afterAutospacing="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监理依据</w:t>
      </w:r>
    </w:p>
    <w:p w14:paraId="68273EA8">
      <w:pPr>
        <w:pStyle w:val="17"/>
        <w:spacing w:before="0" w:beforeAutospacing="0" w:after="0" w:afterAutospacing="0" w:line="360" w:lineRule="auto"/>
        <w:ind w:firstLine="442" w:firstLineChars="200"/>
        <w:jc w:val="both"/>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第三条</w:t>
      </w:r>
      <w:r>
        <w:rPr>
          <w:rFonts w:hint="eastAsia" w:ascii="宋体" w:hAnsi="宋体" w:eastAsia="宋体" w:cs="宋体"/>
          <w:color w:val="auto"/>
          <w:sz w:val="22"/>
          <w:szCs w:val="22"/>
          <w:highlight w:val="none"/>
        </w:rPr>
        <w:t>本合同的监理依据为：</w:t>
      </w:r>
    </w:p>
    <w:p w14:paraId="1A553B39">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国家法律、法规、规章及技术标准；</w:t>
      </w:r>
    </w:p>
    <w:p w14:paraId="28C9C147">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《水利工程施工监理规范》及相关的监理规范；</w:t>
      </w:r>
    </w:p>
    <w:p w14:paraId="4277B94B">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工程建设合同、勘测设计合同及监理合同；</w:t>
      </w:r>
    </w:p>
    <w:p w14:paraId="6491A812">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上级有关主管部门对本工程的有关指示文件或批件；</w:t>
      </w:r>
    </w:p>
    <w:p w14:paraId="0B459AD0">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本工程的设计文件、技术要求和图纸。</w:t>
      </w:r>
    </w:p>
    <w:p w14:paraId="398465C3">
      <w:pPr>
        <w:spacing w:line="360" w:lineRule="auto"/>
        <w:ind w:firstLine="440" w:firstLineChars="200"/>
        <w:rPr>
          <w:rFonts w:hint="eastAsia" w:ascii="宋体" w:hAnsi="宋体" w:eastAsia="宋体" w:cs="宋体"/>
          <w:snapToGrid w:val="0"/>
          <w:color w:val="auto"/>
          <w:sz w:val="22"/>
          <w:szCs w:val="22"/>
          <w:highlight w:val="none"/>
        </w:rPr>
      </w:pPr>
    </w:p>
    <w:p w14:paraId="09B09624">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委托人的权利</w:t>
      </w:r>
    </w:p>
    <w:p w14:paraId="28DA522D">
      <w:pPr>
        <w:pStyle w:val="17"/>
        <w:spacing w:before="0" w:beforeAutospacing="0" w:after="0" w:afterAutospacing="0" w:line="360" w:lineRule="auto"/>
        <w:ind w:firstLine="442" w:firstLineChars="200"/>
        <w:jc w:val="both"/>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第七条</w:t>
      </w:r>
    </w:p>
    <w:p w14:paraId="3807FF4E">
      <w:pPr>
        <w:pStyle w:val="17"/>
        <w:spacing w:before="0" w:beforeAutospacing="0" w:after="0" w:afterAutospacing="0"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五、当监理人发生下列违约情形时，委托人有权解除合同；</w:t>
      </w:r>
    </w:p>
    <w:p w14:paraId="13F74A1A">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1、未经委托人同意，入驻工地的总监理工程师及监理工程师与投标文件不一致。</w:t>
      </w:r>
    </w:p>
    <w:p w14:paraId="1B36CCAE">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2、未经委托人同意，擅自更换总监理工程师；</w:t>
      </w:r>
    </w:p>
    <w:p w14:paraId="09F0F07E">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3、因监理人原因给工程造成损失或工期延误的；</w:t>
      </w:r>
    </w:p>
    <w:p w14:paraId="2566E0C1">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4、总监理工程师每月驻工地时间未达到招标文件要求的。</w:t>
      </w:r>
    </w:p>
    <w:p w14:paraId="7AA8FB52">
      <w:pPr>
        <w:pStyle w:val="23"/>
        <w:spacing w:line="360" w:lineRule="auto"/>
        <w:ind w:firstLine="480"/>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rPr>
        <w:t>5、违约处罚：</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1）</w:t>
      </w:r>
      <w:r>
        <w:rPr>
          <w:rFonts w:hint="eastAsia" w:ascii="宋体" w:hAnsi="宋体" w:eastAsia="宋体" w:cs="宋体"/>
          <w:color w:val="auto"/>
          <w:sz w:val="22"/>
          <w:szCs w:val="22"/>
          <w:highlight w:val="none"/>
          <w:u w:val="single"/>
        </w:rPr>
        <w:t>变更监理人员的违约处罚标准:未经委托人书面同意，监理人不得擅自更换项目总监、监理工程师及其它监理人员，若监理人无正当理由更换项目总监的需向委托人支付每人次1万元的违约金，更换任一监理人员(总监除外)的，监理人须向委托人支付每人次5000元的赔偿金，再次更换赔偿金翻倍。</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2）监理人须保证投标承诺的人员中实际到位人数一位，常驻现场。现场到位率必须达到正常工作日（考勤天数按每月25日计）的90%，否则按500元/天的标准赔偿。委托人若现发现人员虽然考勤但未到位或者未请假外出，仍按缺勤处理。</w:t>
      </w:r>
    </w:p>
    <w:p w14:paraId="6E17E4AC">
      <w:pPr>
        <w:pStyle w:val="23"/>
        <w:spacing w:line="360" w:lineRule="auto"/>
        <w:ind w:firstLine="480"/>
        <w:rPr>
          <w:rFonts w:hint="default" w:ascii="宋体" w:hAnsi="宋体" w:eastAsia="宋体" w:cs="宋体"/>
          <w:color w:val="auto"/>
          <w:sz w:val="22"/>
          <w:szCs w:val="22"/>
          <w:highlight w:val="none"/>
          <w:lang w:val="en-US" w:eastAsia="zh-CN"/>
        </w:rPr>
      </w:pPr>
    </w:p>
    <w:p w14:paraId="4B60B28A">
      <w:pPr>
        <w:spacing w:line="360" w:lineRule="auto"/>
        <w:ind w:firstLine="440" w:firstLineChars="200"/>
        <w:rPr>
          <w:rFonts w:hint="eastAsia" w:ascii="宋体" w:hAnsi="宋体" w:eastAsia="宋体" w:cs="宋体"/>
          <w:snapToGrid w:val="0"/>
          <w:color w:val="auto"/>
          <w:sz w:val="22"/>
          <w:szCs w:val="22"/>
          <w:highlight w:val="none"/>
        </w:rPr>
      </w:pPr>
    </w:p>
    <w:p w14:paraId="2EDD8C49">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监理人的权利</w:t>
      </w:r>
    </w:p>
    <w:p w14:paraId="5FE845C1">
      <w:pPr>
        <w:pStyle w:val="17"/>
        <w:spacing w:before="0" w:beforeAutospacing="0" w:after="0" w:afterAutospacing="0" w:line="360" w:lineRule="auto"/>
        <w:ind w:firstLine="442" w:firstLineChars="200"/>
        <w:jc w:val="both"/>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第八条</w:t>
      </w:r>
    </w:p>
    <w:p w14:paraId="6317BC9A">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八、当委托人发生下列违约情形时，监理人有权解除合同：</w:t>
      </w:r>
    </w:p>
    <w:p w14:paraId="4F760E9C">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1、未支付监理服务酬金超过合同规定时间6个月以上；</w:t>
      </w:r>
    </w:p>
    <w:p w14:paraId="59CEBAE7">
      <w:pPr>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2、                  /                       ；</w:t>
      </w:r>
    </w:p>
    <w:p w14:paraId="016CA92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3、                /         </w:t>
      </w:r>
      <w:r>
        <w:rPr>
          <w:rFonts w:hint="eastAsia" w:ascii="宋体" w:hAnsi="宋体" w:eastAsia="宋体" w:cs="宋体"/>
          <w:color w:val="auto"/>
          <w:kern w:val="2"/>
          <w:sz w:val="22"/>
          <w:szCs w:val="22"/>
          <w:highlight w:val="none"/>
          <w:u w:val="single"/>
        </w:rPr>
        <w:t>；</w:t>
      </w:r>
    </w:p>
    <w:p w14:paraId="1D79A728">
      <w:pPr>
        <w:pStyle w:val="17"/>
        <w:spacing w:before="0" w:beforeAutospacing="0" w:after="0" w:afterAutospacing="0" w:line="360" w:lineRule="auto"/>
        <w:ind w:firstLine="440" w:firstLineChars="200"/>
        <w:jc w:val="both"/>
        <w:rPr>
          <w:rFonts w:hint="eastAsia" w:ascii="宋体" w:hAnsi="宋体" w:eastAsia="宋体" w:cs="宋体"/>
          <w:color w:val="auto"/>
          <w:sz w:val="22"/>
          <w:szCs w:val="22"/>
          <w:highlight w:val="none"/>
        </w:rPr>
      </w:pPr>
      <w:bookmarkStart w:id="30" w:name="_Toc175023236"/>
      <w:r>
        <w:rPr>
          <w:rFonts w:hint="eastAsia" w:ascii="宋体" w:hAnsi="宋体" w:eastAsia="宋体" w:cs="宋体"/>
          <w:color w:val="auto"/>
          <w:sz w:val="22"/>
          <w:szCs w:val="22"/>
          <w:highlight w:val="none"/>
        </w:rPr>
        <w:t>九、委托人赋予监理人的其他权利：</w:t>
      </w:r>
      <w:bookmarkEnd w:id="30"/>
    </w:p>
    <w:p w14:paraId="275759F3">
      <w:pPr>
        <w:spacing w:line="360" w:lineRule="auto"/>
        <w:ind w:firstLine="440" w:firstLineChars="200"/>
        <w:rPr>
          <w:rFonts w:hint="eastAsia" w:ascii="宋体" w:hAnsi="宋体" w:eastAsia="宋体" w:cs="宋体"/>
          <w:snapToGrid w:val="0"/>
          <w:color w:val="auto"/>
          <w:sz w:val="22"/>
          <w:szCs w:val="22"/>
          <w:highlight w:val="none"/>
          <w:lang w:eastAsia="zh-CN"/>
        </w:rPr>
      </w:pPr>
      <w:r>
        <w:rPr>
          <w:rFonts w:hint="eastAsia" w:ascii="宋体" w:hAnsi="宋体" w:eastAsia="宋体" w:cs="宋体"/>
          <w:color w:val="auto"/>
          <w:sz w:val="22"/>
          <w:szCs w:val="22"/>
          <w:highlight w:val="none"/>
          <w:u w:val="single"/>
        </w:rPr>
        <w:t>无</w:t>
      </w:r>
    </w:p>
    <w:p w14:paraId="15A56A63">
      <w:pPr>
        <w:spacing w:line="360" w:lineRule="auto"/>
        <w:ind w:firstLine="440" w:firstLineChars="200"/>
        <w:rPr>
          <w:rFonts w:hint="eastAsia" w:ascii="宋体" w:hAnsi="宋体" w:eastAsia="宋体" w:cs="宋体"/>
          <w:snapToGrid w:val="0"/>
          <w:color w:val="auto"/>
          <w:sz w:val="22"/>
          <w:szCs w:val="22"/>
          <w:highlight w:val="none"/>
        </w:rPr>
      </w:pPr>
    </w:p>
    <w:p w14:paraId="2A4CA0B9">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委托人的义务</w:t>
      </w:r>
    </w:p>
    <w:p w14:paraId="40FA86C3">
      <w:pPr>
        <w:pStyle w:val="17"/>
        <w:spacing w:before="0" w:beforeAutospacing="0" w:after="0" w:afterAutospacing="0" w:line="360" w:lineRule="auto"/>
        <w:ind w:firstLine="442" w:firstLineChars="200"/>
        <w:jc w:val="both"/>
        <w:rPr>
          <w:rFonts w:hint="eastAsia" w:ascii="宋体" w:hAnsi="宋体" w:eastAsia="宋体" w:cs="宋体"/>
          <w:snapToGrid w:val="0"/>
          <w:color w:val="auto"/>
          <w:sz w:val="22"/>
          <w:szCs w:val="22"/>
          <w:highlight w:val="none"/>
        </w:rPr>
      </w:pPr>
      <w:r>
        <w:rPr>
          <w:rFonts w:hint="eastAsia" w:ascii="宋体" w:hAnsi="宋体" w:eastAsia="宋体" w:cs="宋体"/>
          <w:b/>
          <w:color w:val="auto"/>
          <w:sz w:val="22"/>
          <w:szCs w:val="22"/>
          <w:highlight w:val="none"/>
        </w:rPr>
        <w:t>第十条</w:t>
      </w:r>
      <w:r>
        <w:rPr>
          <w:rFonts w:hint="eastAsia" w:ascii="宋体" w:hAnsi="宋体" w:eastAsia="宋体" w:cs="宋体"/>
          <w:color w:val="auto"/>
          <w:sz w:val="22"/>
          <w:szCs w:val="22"/>
          <w:highlight w:val="none"/>
        </w:rPr>
        <w:t>委托人向监理机构免费提供的资料为：</w:t>
      </w:r>
    </w:p>
    <w:tbl>
      <w:tblPr>
        <w:tblStyle w:val="19"/>
        <w:tblW w:w="90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30"/>
        <w:gridCol w:w="1465"/>
        <w:gridCol w:w="520"/>
        <w:gridCol w:w="2512"/>
        <w:gridCol w:w="1988"/>
        <w:gridCol w:w="2058"/>
      </w:tblGrid>
      <w:tr w14:paraId="4D01D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top w:val="single" w:color="auto" w:sz="8" w:space="0"/>
            </w:tcBorders>
            <w:vAlign w:val="center"/>
          </w:tcPr>
          <w:p w14:paraId="2D025333">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序号</w:t>
            </w:r>
          </w:p>
        </w:tc>
        <w:tc>
          <w:tcPr>
            <w:tcW w:w="1465" w:type="dxa"/>
            <w:tcBorders>
              <w:top w:val="single" w:color="auto" w:sz="8" w:space="0"/>
            </w:tcBorders>
            <w:vAlign w:val="center"/>
          </w:tcPr>
          <w:p w14:paraId="03500F1A">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资料名称</w:t>
            </w:r>
          </w:p>
        </w:tc>
        <w:tc>
          <w:tcPr>
            <w:tcW w:w="520" w:type="dxa"/>
            <w:tcBorders>
              <w:top w:val="single" w:color="auto" w:sz="8" w:space="0"/>
            </w:tcBorders>
            <w:vAlign w:val="center"/>
          </w:tcPr>
          <w:p w14:paraId="17BF1DCA">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份数</w:t>
            </w:r>
          </w:p>
        </w:tc>
        <w:tc>
          <w:tcPr>
            <w:tcW w:w="2512" w:type="dxa"/>
            <w:tcBorders>
              <w:top w:val="single" w:color="auto" w:sz="8" w:space="0"/>
            </w:tcBorders>
            <w:vAlign w:val="center"/>
          </w:tcPr>
          <w:p w14:paraId="492614D3">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提供时间</w:t>
            </w:r>
          </w:p>
        </w:tc>
        <w:tc>
          <w:tcPr>
            <w:tcW w:w="1988" w:type="dxa"/>
            <w:tcBorders>
              <w:top w:val="single" w:color="auto" w:sz="8" w:space="0"/>
            </w:tcBorders>
            <w:vAlign w:val="center"/>
          </w:tcPr>
          <w:p w14:paraId="2A96D66D">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收回时间</w:t>
            </w:r>
          </w:p>
        </w:tc>
        <w:tc>
          <w:tcPr>
            <w:tcW w:w="2058" w:type="dxa"/>
            <w:tcBorders>
              <w:top w:val="single" w:color="auto" w:sz="8" w:space="0"/>
            </w:tcBorders>
            <w:vAlign w:val="center"/>
          </w:tcPr>
          <w:p w14:paraId="6C96E753">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保存和保密要求</w:t>
            </w:r>
          </w:p>
        </w:tc>
      </w:tr>
      <w:tr w14:paraId="7BF423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Mar>
              <w:left w:w="85" w:type="dxa"/>
              <w:right w:w="85" w:type="dxa"/>
            </w:tcMar>
            <w:vAlign w:val="center"/>
          </w:tcPr>
          <w:p w14:paraId="5D9D1A06">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w:t>
            </w:r>
          </w:p>
        </w:tc>
        <w:tc>
          <w:tcPr>
            <w:tcW w:w="1465" w:type="dxa"/>
            <w:tcMar>
              <w:left w:w="85" w:type="dxa"/>
              <w:right w:w="85" w:type="dxa"/>
            </w:tcMar>
            <w:vAlign w:val="center"/>
          </w:tcPr>
          <w:p w14:paraId="27D38206">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施工招标文件</w:t>
            </w:r>
          </w:p>
        </w:tc>
        <w:tc>
          <w:tcPr>
            <w:tcW w:w="520" w:type="dxa"/>
            <w:tcMar>
              <w:left w:w="85" w:type="dxa"/>
              <w:right w:w="85" w:type="dxa"/>
            </w:tcMar>
            <w:vAlign w:val="center"/>
          </w:tcPr>
          <w:p w14:paraId="12FBC98B">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w:t>
            </w:r>
          </w:p>
        </w:tc>
        <w:tc>
          <w:tcPr>
            <w:tcW w:w="2512" w:type="dxa"/>
            <w:tcMar>
              <w:left w:w="85" w:type="dxa"/>
              <w:right w:w="85" w:type="dxa"/>
            </w:tcMar>
            <w:vAlign w:val="center"/>
          </w:tcPr>
          <w:p w14:paraId="25E31CEA">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根据招标进度提供</w:t>
            </w:r>
          </w:p>
        </w:tc>
        <w:tc>
          <w:tcPr>
            <w:tcW w:w="1988" w:type="dxa"/>
            <w:tcMar>
              <w:left w:w="85" w:type="dxa"/>
              <w:right w:w="85" w:type="dxa"/>
            </w:tcMar>
            <w:vAlign w:val="center"/>
          </w:tcPr>
          <w:p w14:paraId="403E225E">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监理任务结束后</w:t>
            </w:r>
          </w:p>
        </w:tc>
        <w:tc>
          <w:tcPr>
            <w:tcW w:w="2058" w:type="dxa"/>
            <w:tcMar>
              <w:left w:w="85" w:type="dxa"/>
              <w:right w:w="85" w:type="dxa"/>
            </w:tcMar>
            <w:vAlign w:val="center"/>
          </w:tcPr>
          <w:p w14:paraId="41062B38">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保存完整，不得泄露</w:t>
            </w:r>
          </w:p>
        </w:tc>
      </w:tr>
      <w:tr w14:paraId="3919C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Mar>
              <w:left w:w="85" w:type="dxa"/>
              <w:right w:w="85" w:type="dxa"/>
            </w:tcMar>
            <w:vAlign w:val="center"/>
          </w:tcPr>
          <w:p w14:paraId="63633E94">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2</w:t>
            </w:r>
          </w:p>
        </w:tc>
        <w:tc>
          <w:tcPr>
            <w:tcW w:w="1465" w:type="dxa"/>
            <w:tcMar>
              <w:left w:w="85" w:type="dxa"/>
              <w:right w:w="85" w:type="dxa"/>
            </w:tcMar>
            <w:vAlign w:val="center"/>
          </w:tcPr>
          <w:p w14:paraId="084FB557">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施工投标文件</w:t>
            </w:r>
          </w:p>
        </w:tc>
        <w:tc>
          <w:tcPr>
            <w:tcW w:w="520" w:type="dxa"/>
            <w:tcMar>
              <w:left w:w="85" w:type="dxa"/>
              <w:right w:w="85" w:type="dxa"/>
            </w:tcMar>
            <w:vAlign w:val="center"/>
          </w:tcPr>
          <w:p w14:paraId="569485EE">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w:t>
            </w:r>
          </w:p>
        </w:tc>
        <w:tc>
          <w:tcPr>
            <w:tcW w:w="2512" w:type="dxa"/>
            <w:tcMar>
              <w:left w:w="85" w:type="dxa"/>
              <w:right w:w="85" w:type="dxa"/>
            </w:tcMar>
            <w:vAlign w:val="center"/>
          </w:tcPr>
          <w:p w14:paraId="35BB76A8">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根据招标进度提供</w:t>
            </w:r>
          </w:p>
        </w:tc>
        <w:tc>
          <w:tcPr>
            <w:tcW w:w="1988" w:type="dxa"/>
            <w:tcMar>
              <w:left w:w="85" w:type="dxa"/>
              <w:right w:w="85" w:type="dxa"/>
            </w:tcMar>
          </w:tcPr>
          <w:p w14:paraId="1E1B393B">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监理任务结束后</w:t>
            </w:r>
          </w:p>
        </w:tc>
        <w:tc>
          <w:tcPr>
            <w:tcW w:w="2058" w:type="dxa"/>
            <w:tcMar>
              <w:left w:w="85" w:type="dxa"/>
              <w:right w:w="85" w:type="dxa"/>
            </w:tcMar>
            <w:vAlign w:val="center"/>
          </w:tcPr>
          <w:p w14:paraId="6F5D6F17">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保存完整，不得泄露</w:t>
            </w:r>
          </w:p>
        </w:tc>
      </w:tr>
      <w:tr w14:paraId="50E70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Mar>
              <w:left w:w="85" w:type="dxa"/>
              <w:right w:w="85" w:type="dxa"/>
            </w:tcMar>
            <w:vAlign w:val="center"/>
          </w:tcPr>
          <w:p w14:paraId="2542A129">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3</w:t>
            </w:r>
          </w:p>
        </w:tc>
        <w:tc>
          <w:tcPr>
            <w:tcW w:w="1465" w:type="dxa"/>
            <w:tcMar>
              <w:left w:w="85" w:type="dxa"/>
              <w:right w:w="85" w:type="dxa"/>
            </w:tcMar>
            <w:vAlign w:val="center"/>
          </w:tcPr>
          <w:p w14:paraId="00BBFB46">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施工图</w:t>
            </w:r>
          </w:p>
        </w:tc>
        <w:tc>
          <w:tcPr>
            <w:tcW w:w="520" w:type="dxa"/>
            <w:tcMar>
              <w:left w:w="85" w:type="dxa"/>
              <w:right w:w="85" w:type="dxa"/>
            </w:tcMar>
            <w:vAlign w:val="center"/>
          </w:tcPr>
          <w:p w14:paraId="52B0C911">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8</w:t>
            </w:r>
          </w:p>
        </w:tc>
        <w:tc>
          <w:tcPr>
            <w:tcW w:w="2512" w:type="dxa"/>
            <w:tcMar>
              <w:left w:w="85" w:type="dxa"/>
              <w:right w:w="85" w:type="dxa"/>
            </w:tcMar>
            <w:vAlign w:val="center"/>
          </w:tcPr>
          <w:p w14:paraId="6B75490D">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根据工程进度，逐步提供</w:t>
            </w:r>
          </w:p>
        </w:tc>
        <w:tc>
          <w:tcPr>
            <w:tcW w:w="1988" w:type="dxa"/>
            <w:tcMar>
              <w:left w:w="85" w:type="dxa"/>
              <w:right w:w="85" w:type="dxa"/>
            </w:tcMar>
          </w:tcPr>
          <w:p w14:paraId="1C886386">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监理任务结束后</w:t>
            </w:r>
          </w:p>
        </w:tc>
        <w:tc>
          <w:tcPr>
            <w:tcW w:w="2058" w:type="dxa"/>
            <w:tcMar>
              <w:left w:w="85" w:type="dxa"/>
              <w:right w:w="85" w:type="dxa"/>
            </w:tcMar>
            <w:vAlign w:val="center"/>
          </w:tcPr>
          <w:p w14:paraId="2CA46ECE">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保存完整，不得泄露</w:t>
            </w:r>
          </w:p>
        </w:tc>
      </w:tr>
      <w:tr w14:paraId="34EF5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30" w:type="dxa"/>
            <w:tcBorders>
              <w:bottom w:val="single" w:color="auto" w:sz="8" w:space="0"/>
            </w:tcBorders>
            <w:tcMar>
              <w:left w:w="85" w:type="dxa"/>
              <w:right w:w="85" w:type="dxa"/>
            </w:tcMar>
            <w:vAlign w:val="center"/>
          </w:tcPr>
          <w:p w14:paraId="2F0EFCAD">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4</w:t>
            </w:r>
          </w:p>
        </w:tc>
        <w:tc>
          <w:tcPr>
            <w:tcW w:w="1465" w:type="dxa"/>
            <w:tcBorders>
              <w:bottom w:val="single" w:color="auto" w:sz="8" w:space="0"/>
            </w:tcBorders>
            <w:tcMar>
              <w:left w:w="85" w:type="dxa"/>
              <w:right w:w="85" w:type="dxa"/>
            </w:tcMar>
            <w:vAlign w:val="center"/>
          </w:tcPr>
          <w:p w14:paraId="24AFD56D">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施工承包合同</w:t>
            </w:r>
          </w:p>
        </w:tc>
        <w:tc>
          <w:tcPr>
            <w:tcW w:w="520" w:type="dxa"/>
            <w:tcBorders>
              <w:bottom w:val="single" w:color="auto" w:sz="8" w:space="0"/>
            </w:tcBorders>
            <w:tcMar>
              <w:left w:w="85" w:type="dxa"/>
              <w:right w:w="85" w:type="dxa"/>
            </w:tcMar>
            <w:vAlign w:val="center"/>
          </w:tcPr>
          <w:p w14:paraId="3492E00D">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w:t>
            </w:r>
          </w:p>
        </w:tc>
        <w:tc>
          <w:tcPr>
            <w:tcW w:w="2512" w:type="dxa"/>
            <w:tcBorders>
              <w:bottom w:val="single" w:color="auto" w:sz="8" w:space="0"/>
            </w:tcBorders>
            <w:tcMar>
              <w:left w:w="85" w:type="dxa"/>
              <w:right w:w="85" w:type="dxa"/>
            </w:tcMar>
            <w:vAlign w:val="center"/>
          </w:tcPr>
          <w:p w14:paraId="28F0239D">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签订施工合同后7天</w:t>
            </w:r>
          </w:p>
        </w:tc>
        <w:tc>
          <w:tcPr>
            <w:tcW w:w="1988" w:type="dxa"/>
            <w:tcBorders>
              <w:bottom w:val="single" w:color="auto" w:sz="8" w:space="0"/>
            </w:tcBorders>
            <w:tcMar>
              <w:left w:w="85" w:type="dxa"/>
              <w:right w:w="85" w:type="dxa"/>
            </w:tcMar>
          </w:tcPr>
          <w:p w14:paraId="6BB573FA">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监理任务结束后</w:t>
            </w:r>
          </w:p>
        </w:tc>
        <w:tc>
          <w:tcPr>
            <w:tcW w:w="2058" w:type="dxa"/>
            <w:tcBorders>
              <w:bottom w:val="single" w:color="auto" w:sz="8" w:space="0"/>
            </w:tcBorders>
            <w:tcMar>
              <w:left w:w="85" w:type="dxa"/>
              <w:right w:w="85" w:type="dxa"/>
            </w:tcMar>
            <w:vAlign w:val="center"/>
          </w:tcPr>
          <w:p w14:paraId="3DB3A256">
            <w:pPr>
              <w:spacing w:line="360" w:lineRule="auto"/>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保存完整，不得泄露</w:t>
            </w:r>
          </w:p>
        </w:tc>
      </w:tr>
    </w:tbl>
    <w:p w14:paraId="692C58CC">
      <w:pPr>
        <w:spacing w:line="360" w:lineRule="auto"/>
        <w:ind w:firstLine="440" w:firstLineChars="200"/>
        <w:rPr>
          <w:rFonts w:hint="eastAsia" w:ascii="宋体" w:hAnsi="宋体" w:eastAsia="宋体" w:cs="宋体"/>
          <w:snapToGrid w:val="0"/>
          <w:color w:val="auto"/>
          <w:sz w:val="22"/>
          <w:szCs w:val="22"/>
          <w:highlight w:val="none"/>
        </w:rPr>
      </w:pPr>
    </w:p>
    <w:p w14:paraId="46A56643">
      <w:pPr>
        <w:spacing w:line="360" w:lineRule="auto"/>
        <w:ind w:firstLine="433" w:firstLineChars="196"/>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第十一条</w:t>
      </w:r>
      <w:r>
        <w:rPr>
          <w:rFonts w:hint="eastAsia" w:ascii="宋体" w:hAnsi="宋体" w:eastAsia="宋体" w:cs="宋体"/>
          <w:color w:val="auto"/>
          <w:sz w:val="22"/>
          <w:szCs w:val="22"/>
          <w:highlight w:val="none"/>
        </w:rPr>
        <w:t>委托人对监理机构书面提交并要求作出决定的事宜作出书面决定并送达的时限：</w:t>
      </w:r>
    </w:p>
    <w:p w14:paraId="2E240E2E">
      <w:pPr>
        <w:spacing w:line="360" w:lineRule="auto"/>
        <w:ind w:firstLine="431" w:firstLineChars="196"/>
        <w:rPr>
          <w:rFonts w:hint="eastAsia" w:ascii="宋体" w:hAnsi="宋体" w:eastAsia="宋体" w:cs="宋体"/>
          <w:snapToGrid w:val="0"/>
          <w:color w:val="auto"/>
          <w:sz w:val="22"/>
          <w:szCs w:val="22"/>
          <w:highlight w:val="none"/>
        </w:rPr>
      </w:pPr>
      <w:r>
        <w:rPr>
          <w:rFonts w:hint="eastAsia" w:ascii="宋体" w:hAnsi="宋体" w:eastAsia="宋体" w:cs="宋体"/>
          <w:color w:val="auto"/>
          <w:sz w:val="22"/>
          <w:szCs w:val="22"/>
          <w:highlight w:val="none"/>
        </w:rPr>
        <w:t>一般文件</w:t>
      </w:r>
      <w:r>
        <w:rPr>
          <w:rFonts w:hint="eastAsia" w:ascii="宋体" w:hAnsi="宋体" w:eastAsia="宋体" w:cs="宋体"/>
          <w:color w:val="auto"/>
          <w:sz w:val="22"/>
          <w:szCs w:val="22"/>
          <w:highlight w:val="none"/>
          <w:u w:val="single"/>
        </w:rPr>
        <w:t>7天</w:t>
      </w:r>
      <w:r>
        <w:rPr>
          <w:rFonts w:hint="eastAsia" w:ascii="宋体" w:hAnsi="宋体" w:eastAsia="宋体" w:cs="宋体"/>
          <w:color w:val="auto"/>
          <w:sz w:val="22"/>
          <w:szCs w:val="22"/>
          <w:highlight w:val="none"/>
        </w:rPr>
        <w:t>；</w:t>
      </w:r>
      <w:r>
        <w:rPr>
          <w:rFonts w:hint="eastAsia" w:ascii="宋体" w:hAnsi="宋体" w:eastAsia="宋体" w:cs="宋体"/>
          <w:snapToGrid w:val="0"/>
          <w:color w:val="auto"/>
          <w:sz w:val="22"/>
          <w:szCs w:val="22"/>
          <w:highlight w:val="none"/>
        </w:rPr>
        <w:t>变更文件</w:t>
      </w:r>
      <w:r>
        <w:rPr>
          <w:rFonts w:hint="eastAsia" w:ascii="宋体" w:hAnsi="宋体" w:eastAsia="宋体" w:cs="宋体"/>
          <w:snapToGrid w:val="0"/>
          <w:color w:val="auto"/>
          <w:sz w:val="22"/>
          <w:szCs w:val="22"/>
          <w:highlight w:val="none"/>
          <w:u w:val="single"/>
        </w:rPr>
        <w:t xml:space="preserve"> 7 天</w:t>
      </w:r>
      <w:r>
        <w:rPr>
          <w:rFonts w:hint="eastAsia" w:ascii="宋体" w:hAnsi="宋体" w:eastAsia="宋体" w:cs="宋体"/>
          <w:snapToGrid w:val="0"/>
          <w:color w:val="auto"/>
          <w:sz w:val="22"/>
          <w:szCs w:val="22"/>
          <w:highlight w:val="none"/>
        </w:rPr>
        <w:t>；紧急事项委托人应在签收后一个经双方协商的能满足工程要求的更短时间内予以回复。</w:t>
      </w:r>
    </w:p>
    <w:p w14:paraId="089F1359">
      <w:pPr>
        <w:pStyle w:val="17"/>
        <w:spacing w:before="0" w:beforeAutospacing="0" w:after="0" w:afterAutospacing="0" w:line="360" w:lineRule="auto"/>
        <w:ind w:firstLine="433" w:firstLineChars="196"/>
        <w:jc w:val="both"/>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第十三条</w:t>
      </w:r>
      <w:r>
        <w:rPr>
          <w:rFonts w:hint="eastAsia" w:ascii="宋体" w:hAnsi="宋体" w:eastAsia="宋体" w:cs="宋体"/>
          <w:color w:val="auto"/>
          <w:sz w:val="22"/>
          <w:szCs w:val="22"/>
          <w:highlight w:val="none"/>
        </w:rPr>
        <w:t>本条款改为：</w:t>
      </w:r>
    </w:p>
    <w:p w14:paraId="5B2E6058">
      <w:pPr>
        <w:spacing w:line="360" w:lineRule="auto"/>
        <w:ind w:firstLine="440" w:firstLineChars="20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委托人不提供任何工作、生活设施。</w:t>
      </w:r>
    </w:p>
    <w:p w14:paraId="13D88971">
      <w:pPr>
        <w:spacing w:line="360" w:lineRule="auto"/>
        <w:ind w:firstLine="440" w:firstLineChars="200"/>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监理期间监理机构的工作、生活设施等费用均由监理人自行承担，并已包含在监理报酬报价中。</w:t>
      </w:r>
    </w:p>
    <w:p w14:paraId="15116A53">
      <w:pPr>
        <w:pStyle w:val="17"/>
        <w:spacing w:before="0" w:beforeAutospacing="0" w:after="0" w:afterAutospacing="0" w:line="360" w:lineRule="auto"/>
        <w:ind w:firstLine="433" w:firstLineChars="196"/>
        <w:jc w:val="both"/>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第十七条</w:t>
      </w:r>
      <w:r>
        <w:rPr>
          <w:rFonts w:hint="eastAsia" w:ascii="宋体" w:hAnsi="宋体" w:eastAsia="宋体" w:cs="宋体"/>
          <w:color w:val="auto"/>
          <w:sz w:val="22"/>
          <w:szCs w:val="22"/>
          <w:highlight w:val="none"/>
        </w:rPr>
        <w:t>监理人员的人身意外伤害险和第三者责任险由监理人自行投保</w:t>
      </w:r>
      <w:r>
        <w:rPr>
          <w:rFonts w:hint="eastAsia" w:ascii="宋体" w:hAnsi="宋体" w:eastAsia="宋体" w:cs="宋体"/>
          <w:snapToGrid w:val="0"/>
          <w:color w:val="auto"/>
          <w:sz w:val="22"/>
          <w:szCs w:val="22"/>
          <w:highlight w:val="none"/>
        </w:rPr>
        <w:t>，</w:t>
      </w:r>
      <w:r>
        <w:rPr>
          <w:rFonts w:hint="eastAsia" w:ascii="宋体" w:hAnsi="宋体" w:eastAsia="宋体" w:cs="宋体"/>
          <w:color w:val="auto"/>
          <w:sz w:val="22"/>
          <w:szCs w:val="22"/>
          <w:highlight w:val="none"/>
        </w:rPr>
        <w:t>投保的费用应已计入报价中。</w:t>
      </w:r>
    </w:p>
    <w:p w14:paraId="11E3A9F4">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监理人的义务</w:t>
      </w:r>
    </w:p>
    <w:p w14:paraId="7B6377D0">
      <w:pPr>
        <w:pStyle w:val="17"/>
        <w:spacing w:before="0" w:beforeAutospacing="0" w:after="0" w:afterAutospacing="0" w:line="360" w:lineRule="auto"/>
        <w:ind w:firstLine="442" w:firstLineChars="200"/>
        <w:jc w:val="both"/>
        <w:rPr>
          <w:rFonts w:hint="eastAsia"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rPr>
        <w:t>第二十条</w:t>
      </w:r>
      <w:r>
        <w:rPr>
          <w:rFonts w:hint="eastAsia" w:ascii="宋体" w:hAnsi="宋体" w:eastAsia="宋体" w:cs="宋体"/>
          <w:color w:val="auto"/>
          <w:sz w:val="22"/>
          <w:szCs w:val="22"/>
          <w:highlight w:val="none"/>
        </w:rPr>
        <w:t>监理服务内容：</w:t>
      </w:r>
      <w:r>
        <w:rPr>
          <w:rFonts w:hint="eastAsia" w:ascii="宋体" w:hAnsi="宋体" w:eastAsia="宋体" w:cs="宋体"/>
          <w:snapToGrid w:val="0"/>
          <w:color w:val="auto"/>
          <w:sz w:val="22"/>
          <w:szCs w:val="22"/>
          <w:highlight w:val="none"/>
          <w:u w:val="single"/>
        </w:rPr>
        <w:t>本工程施工期全过程监理及缺陷责任期监理，进行</w:t>
      </w:r>
      <w:r>
        <w:rPr>
          <w:rFonts w:hint="eastAsia" w:ascii="宋体" w:hAnsi="宋体" w:eastAsia="宋体" w:cs="宋体"/>
          <w:color w:val="auto"/>
          <w:sz w:val="22"/>
          <w:szCs w:val="22"/>
          <w:highlight w:val="none"/>
          <w:u w:val="single"/>
        </w:rPr>
        <w:t>本工程施工过程中的质量、进度、费用控制，安全生产监督管理、合同、信息等方面的协调管理以及缺陷责任期的相关服务等。</w:t>
      </w:r>
    </w:p>
    <w:p w14:paraId="3568D28F">
      <w:pPr>
        <w:pStyle w:val="17"/>
        <w:spacing w:before="0" w:beforeAutospacing="0" w:after="0" w:afterAutospacing="0" w:line="360" w:lineRule="auto"/>
        <w:ind w:firstLine="442" w:firstLineChars="200"/>
        <w:jc w:val="both"/>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第二十一条</w:t>
      </w:r>
      <w:r>
        <w:rPr>
          <w:rFonts w:hint="eastAsia" w:ascii="宋体" w:hAnsi="宋体" w:eastAsia="宋体" w:cs="宋体"/>
          <w:snapToGrid w:val="0"/>
          <w:color w:val="auto"/>
          <w:sz w:val="22"/>
          <w:szCs w:val="22"/>
          <w:highlight w:val="none"/>
        </w:rPr>
        <w:t>本条补充以下内容：</w:t>
      </w:r>
    </w:p>
    <w:p w14:paraId="12B8299E">
      <w:pPr>
        <w:spacing w:line="360" w:lineRule="auto"/>
        <w:ind w:firstLine="431" w:firstLineChars="196"/>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1、总监理工程师或监理工程师未经委托人同意不得擅自更换。若委托人同意更换总监的.</w:t>
      </w:r>
    </w:p>
    <w:p w14:paraId="6CA513AA">
      <w:pPr>
        <w:pStyle w:val="6"/>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第二十一条</w:t>
      </w:r>
      <w:r>
        <w:rPr>
          <w:rFonts w:hint="eastAsia" w:ascii="宋体" w:hAnsi="宋体" w:eastAsia="宋体" w:cs="宋体"/>
          <w:bCs/>
          <w:color w:val="auto"/>
          <w:sz w:val="22"/>
          <w:szCs w:val="22"/>
          <w:highlight w:val="none"/>
        </w:rPr>
        <w:t>监理人应当在本合同生效后7天内组建监理机构，并进驻现场。监理机构组成中除1名总监理工程师外，但常驻工地监理员不得少于1人。</w:t>
      </w:r>
    </w:p>
    <w:p w14:paraId="44C8CE89">
      <w:pPr>
        <w:pStyle w:val="6"/>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第二十七条需旁站监理的工程重要部位、关键工序是：</w:t>
      </w:r>
      <w:r>
        <w:rPr>
          <w:rFonts w:hint="eastAsia" w:ascii="宋体" w:hAnsi="宋体" w:eastAsia="宋体" w:cs="宋体"/>
          <w:b/>
          <w:color w:val="auto"/>
          <w:sz w:val="22"/>
          <w:szCs w:val="22"/>
          <w:highlight w:val="none"/>
          <w:u w:val="single"/>
        </w:rPr>
        <w:t>按照监理规范和相关规定要求，对工程的关键部位、关键工序进行旁站监理</w:t>
      </w:r>
      <w:r>
        <w:rPr>
          <w:rFonts w:hint="eastAsia" w:ascii="宋体" w:hAnsi="宋体" w:eastAsia="宋体" w:cs="宋体"/>
          <w:b/>
          <w:color w:val="auto"/>
          <w:sz w:val="22"/>
          <w:szCs w:val="22"/>
          <w:highlight w:val="none"/>
        </w:rPr>
        <w:t>。</w:t>
      </w:r>
    </w:p>
    <w:p w14:paraId="53C919EC">
      <w:pPr>
        <w:pStyle w:val="17"/>
        <w:spacing w:before="0" w:beforeAutospacing="0" w:after="0" w:afterAutospacing="0" w:line="360" w:lineRule="auto"/>
        <w:ind w:firstLine="442" w:firstLineChars="200"/>
        <w:jc w:val="both"/>
        <w:rPr>
          <w:rFonts w:hint="eastAsia"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rPr>
        <w:t>第三十条</w:t>
      </w:r>
      <w:r>
        <w:rPr>
          <w:rFonts w:hint="eastAsia" w:ascii="宋体" w:hAnsi="宋体" w:eastAsia="宋体" w:cs="宋体"/>
          <w:color w:val="auto"/>
          <w:sz w:val="22"/>
          <w:szCs w:val="22"/>
          <w:highlight w:val="none"/>
        </w:rPr>
        <w:t>委托人委托监理人主持的分部工程验收：</w:t>
      </w:r>
      <w:r>
        <w:rPr>
          <w:rFonts w:hint="eastAsia" w:ascii="宋体" w:hAnsi="宋体" w:eastAsia="宋体" w:cs="宋体"/>
          <w:color w:val="auto"/>
          <w:sz w:val="22"/>
          <w:szCs w:val="22"/>
          <w:highlight w:val="none"/>
          <w:u w:val="single"/>
        </w:rPr>
        <w:t>按项目划分确定</w:t>
      </w:r>
      <w:r>
        <w:rPr>
          <w:rFonts w:hint="eastAsia" w:ascii="宋体" w:hAnsi="宋体" w:eastAsia="宋体" w:cs="宋体"/>
          <w:color w:val="auto"/>
          <w:sz w:val="22"/>
          <w:szCs w:val="22"/>
          <w:highlight w:val="none"/>
        </w:rPr>
        <w:t>。</w:t>
      </w:r>
    </w:p>
    <w:p w14:paraId="18B0D258">
      <w:pPr>
        <w:spacing w:line="360" w:lineRule="auto"/>
        <w:ind w:firstLine="431" w:firstLineChars="195"/>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第三十一条</w:t>
      </w:r>
      <w:r>
        <w:rPr>
          <w:rFonts w:hint="eastAsia" w:ascii="宋体" w:hAnsi="宋体" w:eastAsia="宋体" w:cs="宋体"/>
          <w:color w:val="auto"/>
          <w:sz w:val="22"/>
          <w:szCs w:val="22"/>
          <w:highlight w:val="none"/>
        </w:rPr>
        <w:t>在本合同终止后365天内，未征得委托人同意，不得泄露与本合同业务有关的技术、商务、著作权等秘密。</w:t>
      </w:r>
    </w:p>
    <w:p w14:paraId="515939EA">
      <w:pPr>
        <w:rPr>
          <w:rFonts w:hint="eastAsia" w:ascii="宋体" w:hAnsi="宋体" w:eastAsia="宋体" w:cs="宋体"/>
          <w:b/>
          <w:color w:val="auto"/>
          <w:sz w:val="22"/>
          <w:szCs w:val="22"/>
          <w:highlight w:val="none"/>
        </w:rPr>
      </w:pPr>
    </w:p>
    <w:p w14:paraId="12D98B57">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监理服务酬金</w:t>
      </w:r>
    </w:p>
    <w:p w14:paraId="52921867">
      <w:pPr>
        <w:spacing w:line="360" w:lineRule="auto"/>
        <w:ind w:firstLine="433" w:firstLineChars="196"/>
        <w:rPr>
          <w:rFonts w:hint="eastAsia" w:ascii="宋体" w:hAnsi="宋体" w:eastAsia="宋体" w:cs="宋体"/>
          <w:color w:val="auto"/>
          <w:sz w:val="22"/>
          <w:szCs w:val="22"/>
          <w:highlight w:val="none"/>
        </w:rPr>
      </w:pPr>
      <w:bookmarkStart w:id="31" w:name="_Toc214338344"/>
      <w:r>
        <w:rPr>
          <w:rFonts w:hint="eastAsia" w:ascii="宋体" w:hAnsi="宋体" w:eastAsia="宋体" w:cs="宋体"/>
          <w:b/>
          <w:color w:val="auto"/>
          <w:sz w:val="22"/>
          <w:szCs w:val="22"/>
          <w:highlight w:val="none"/>
        </w:rPr>
        <w:t>第三十二条</w:t>
      </w:r>
      <w:r>
        <w:rPr>
          <w:rFonts w:hint="eastAsia" w:ascii="宋体" w:hAnsi="宋体" w:eastAsia="宋体" w:cs="宋体"/>
          <w:color w:val="auto"/>
          <w:sz w:val="22"/>
          <w:szCs w:val="22"/>
          <w:highlight w:val="none"/>
        </w:rPr>
        <w:t>监理正常服务酬金及支付方法：</w:t>
      </w:r>
      <w:bookmarkEnd w:id="31"/>
    </w:p>
    <w:p w14:paraId="486AE73A">
      <w:pPr>
        <w:spacing w:line="360" w:lineRule="auto"/>
        <w:ind w:firstLine="431" w:firstLineChars="196"/>
        <w:rPr>
          <w:rFonts w:hint="eastAsia" w:ascii="宋体" w:hAnsi="宋体" w:eastAsia="宋体" w:cs="宋体"/>
          <w:bCs/>
          <w:color w:val="auto"/>
          <w:sz w:val="22"/>
          <w:szCs w:val="22"/>
          <w:highlight w:val="none"/>
          <w:u w:val="single"/>
        </w:rPr>
      </w:pPr>
      <w:bookmarkStart w:id="32" w:name="_Toc214338345"/>
      <w:r>
        <w:rPr>
          <w:rFonts w:hint="eastAsia" w:ascii="宋体" w:hAnsi="宋体" w:eastAsia="宋体" w:cs="宋体"/>
          <w:color w:val="auto"/>
          <w:sz w:val="22"/>
          <w:szCs w:val="22"/>
          <w:highlight w:val="none"/>
          <w:u w:val="single"/>
        </w:rPr>
        <w:t>监理服务酬金计算方法：</w:t>
      </w:r>
      <w:r>
        <w:rPr>
          <w:rFonts w:hint="eastAsia" w:ascii="宋体" w:hAnsi="宋体" w:eastAsia="宋体" w:cs="宋体"/>
          <w:b/>
          <w:color w:val="auto"/>
          <w:spacing w:val="-2"/>
          <w:sz w:val="22"/>
          <w:szCs w:val="22"/>
          <w:highlight w:val="none"/>
          <w:u w:val="single"/>
        </w:rPr>
        <w:t>监理服务酬金暂定为（大写</w:t>
      </w:r>
      <w:r>
        <w:rPr>
          <w:rFonts w:hint="eastAsia" w:ascii="宋体" w:hAnsi="宋体" w:eastAsia="宋体" w:cs="宋体"/>
          <w:b/>
          <w:color w:val="auto"/>
          <w:spacing w:val="-2"/>
          <w:sz w:val="22"/>
          <w:szCs w:val="22"/>
          <w:highlight w:val="none"/>
          <w:u w:val="single"/>
          <w:lang w:eastAsia="zh-CN"/>
        </w:rPr>
        <w:t>）</w:t>
      </w:r>
      <w:r>
        <w:rPr>
          <w:rFonts w:hint="eastAsia" w:ascii="宋体" w:hAnsi="宋体" w:eastAsia="宋体" w:cs="宋体"/>
          <w:b/>
          <w:color w:val="auto"/>
          <w:spacing w:val="-2"/>
          <w:sz w:val="22"/>
          <w:szCs w:val="22"/>
          <w:highlight w:val="none"/>
          <w:u w:val="single"/>
          <w:lang w:val="en-US" w:eastAsia="zh-CN"/>
        </w:rPr>
        <w:t xml:space="preserve">   </w:t>
      </w:r>
      <w:r>
        <w:rPr>
          <w:rFonts w:hint="eastAsia" w:ascii="宋体" w:hAnsi="宋体" w:eastAsia="宋体" w:cs="宋体"/>
          <w:b/>
          <w:color w:val="auto"/>
          <w:spacing w:val="-2"/>
          <w:sz w:val="22"/>
          <w:szCs w:val="22"/>
          <w:highlight w:val="none"/>
          <w:u w:val="single"/>
        </w:rPr>
        <w:t xml:space="preserve"> （监理费</w:t>
      </w:r>
      <w:r>
        <w:rPr>
          <w:rFonts w:hint="eastAsia" w:ascii="宋体" w:hAnsi="宋体" w:eastAsia="宋体" w:cs="宋体"/>
          <w:b/>
          <w:color w:val="auto"/>
          <w:spacing w:val="-2"/>
          <w:sz w:val="22"/>
          <w:szCs w:val="22"/>
          <w:highlight w:val="none"/>
          <w:u w:val="single"/>
          <w:lang w:val="en-US" w:eastAsia="zh-CN"/>
        </w:rPr>
        <w:t xml:space="preserve">折扣  </w:t>
      </w:r>
      <w:r>
        <w:rPr>
          <w:rFonts w:hint="eastAsia" w:ascii="宋体" w:hAnsi="宋体" w:eastAsia="宋体" w:cs="宋体"/>
          <w:b/>
          <w:color w:val="auto"/>
          <w:spacing w:val="-2"/>
          <w:sz w:val="22"/>
          <w:szCs w:val="22"/>
          <w:highlight w:val="none"/>
          <w:u w:val="single"/>
        </w:rPr>
        <w:t>%），</w:t>
      </w:r>
      <w:r>
        <w:rPr>
          <w:rFonts w:hint="eastAsia" w:ascii="宋体" w:hAnsi="宋体" w:eastAsia="宋体" w:cs="宋体"/>
          <w:bCs/>
          <w:color w:val="auto"/>
          <w:spacing w:val="-2"/>
          <w:sz w:val="22"/>
          <w:szCs w:val="22"/>
          <w:highlight w:val="none"/>
          <w:u w:val="single"/>
          <w:lang w:eastAsia="zh-CN"/>
        </w:rPr>
        <w:t>参照《浙江省水利水电工程设计概（预）算编制规定（2021年）》工程建设监理费收费标准（工程类型调整系数取0.9，工程复杂程度调整系数取0.85）结合</w:t>
      </w:r>
      <w:r>
        <w:rPr>
          <w:rFonts w:hint="eastAsia" w:ascii="宋体" w:hAnsi="宋体" w:eastAsia="宋体" w:cs="宋体"/>
          <w:bCs/>
          <w:color w:val="auto"/>
          <w:spacing w:val="-2"/>
          <w:sz w:val="22"/>
          <w:szCs w:val="22"/>
          <w:highlight w:val="none"/>
          <w:u w:val="single"/>
          <w:lang w:val="en-US" w:eastAsia="zh-CN"/>
        </w:rPr>
        <w:t>中标折扣</w:t>
      </w:r>
      <w:r>
        <w:rPr>
          <w:rFonts w:hint="eastAsia" w:ascii="宋体" w:hAnsi="宋体" w:eastAsia="宋体" w:cs="宋体"/>
          <w:bCs/>
          <w:color w:val="auto"/>
          <w:spacing w:val="-2"/>
          <w:sz w:val="22"/>
          <w:szCs w:val="22"/>
          <w:highlight w:val="none"/>
          <w:u w:val="single"/>
          <w:lang w:eastAsia="zh-CN"/>
        </w:rPr>
        <w:t>计取，暂以</w:t>
      </w:r>
      <w:r>
        <w:rPr>
          <w:rFonts w:hint="eastAsia" w:ascii="宋体" w:hAnsi="宋体" w:eastAsia="宋体" w:cs="宋体"/>
          <w:bCs/>
          <w:color w:val="auto"/>
          <w:spacing w:val="-2"/>
          <w:sz w:val="22"/>
          <w:szCs w:val="22"/>
          <w:highlight w:val="none"/>
          <w:u w:val="single"/>
          <w:lang w:val="en-US" w:eastAsia="zh-CN"/>
        </w:rPr>
        <w:t>3349.7万元为计算基数</w:t>
      </w:r>
      <w:r>
        <w:rPr>
          <w:rFonts w:hint="eastAsia" w:ascii="宋体" w:hAnsi="宋体" w:eastAsia="宋体" w:cs="宋体"/>
          <w:bCs/>
          <w:color w:val="auto"/>
          <w:spacing w:val="-2"/>
          <w:sz w:val="22"/>
          <w:szCs w:val="22"/>
          <w:highlight w:val="none"/>
          <w:u w:val="single"/>
          <w:lang w:eastAsia="zh-CN"/>
        </w:rPr>
        <w:t>，</w:t>
      </w:r>
      <w:r>
        <w:rPr>
          <w:rFonts w:hint="eastAsia" w:ascii="宋体" w:hAnsi="宋体" w:eastAsia="宋体" w:cs="宋体"/>
          <w:bCs/>
          <w:color w:val="auto"/>
          <w:spacing w:val="-2"/>
          <w:sz w:val="22"/>
          <w:szCs w:val="22"/>
          <w:highlight w:val="none"/>
          <w:u w:val="single"/>
          <w:lang w:val="en-US" w:eastAsia="zh-CN"/>
        </w:rPr>
        <w:t>最终按各村单独审计审定的建安费总和作为取费基数</w:t>
      </w:r>
      <w:r>
        <w:rPr>
          <w:rFonts w:hint="eastAsia" w:ascii="宋体" w:hAnsi="宋体" w:eastAsia="宋体" w:cs="宋体"/>
          <w:bCs/>
          <w:color w:val="auto"/>
          <w:spacing w:val="-2"/>
          <w:sz w:val="22"/>
          <w:szCs w:val="22"/>
          <w:highlight w:val="none"/>
          <w:u w:val="single"/>
        </w:rPr>
        <w:t>。</w:t>
      </w:r>
    </w:p>
    <w:p w14:paraId="1CADAA6A">
      <w:pPr>
        <w:spacing w:line="360" w:lineRule="auto"/>
        <w:ind w:firstLine="431" w:firstLineChars="196"/>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支付监理服务酬金时间：</w:t>
      </w:r>
    </w:p>
    <w:p w14:paraId="04F5E73D">
      <w:pPr>
        <w:spacing w:line="360" w:lineRule="auto"/>
        <w:ind w:firstLine="433" w:firstLineChars="196"/>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（1）合同签订且具备实施条件后，委托人向监理人支付合同暂定价的20%作为预付款；</w:t>
      </w:r>
    </w:p>
    <w:p w14:paraId="2BBB127D">
      <w:pPr>
        <w:spacing w:line="360" w:lineRule="auto"/>
        <w:ind w:firstLine="433" w:firstLineChars="196"/>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（2）工程完工验收合格后，支付至监理合同价的85%；</w:t>
      </w:r>
    </w:p>
    <w:p w14:paraId="682AD52E">
      <w:pPr>
        <w:spacing w:line="360" w:lineRule="auto"/>
        <w:ind w:firstLine="433" w:firstLineChars="196"/>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（3）待第三方审计单位审定的工程结算出具报告及资料归档后，按监理费审定金额结清余款。</w:t>
      </w:r>
    </w:p>
    <w:p w14:paraId="152651FB">
      <w:pPr>
        <w:spacing w:line="360" w:lineRule="auto"/>
        <w:ind w:firstLine="433" w:firstLineChars="196"/>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lang w:val="en-US" w:eastAsia="zh-CN"/>
        </w:rPr>
        <w:t>注：监理人应在委托人支付合同款项前，向委托人提供与支付金额等额的合法有效增值税发票。若监理人未按规定时间或要求提供相应增值税发票的，委托人有权暂缓或拒绝支付相应款项，且不因此承担任何违约责任。因发票问题产生的一切法律后果及经济损失由监理人承担。</w:t>
      </w:r>
      <w:r>
        <w:rPr>
          <w:rFonts w:hint="eastAsia" w:ascii="宋体" w:hAnsi="宋体" w:eastAsia="宋体" w:cs="宋体"/>
          <w:b/>
          <w:color w:val="auto"/>
          <w:sz w:val="22"/>
          <w:szCs w:val="22"/>
          <w:highlight w:val="none"/>
        </w:rPr>
        <w:t>第三十三条</w:t>
      </w:r>
      <w:r>
        <w:rPr>
          <w:rFonts w:hint="eastAsia" w:ascii="宋体" w:hAnsi="宋体" w:eastAsia="宋体" w:cs="宋体"/>
          <w:color w:val="auto"/>
          <w:sz w:val="22"/>
          <w:szCs w:val="22"/>
          <w:highlight w:val="none"/>
        </w:rPr>
        <w:t>监理附加服务酬金及额外工作的计取与支付方法：</w:t>
      </w:r>
      <w:bookmarkEnd w:id="32"/>
    </w:p>
    <w:p w14:paraId="42C222C4">
      <w:pPr>
        <w:tabs>
          <w:tab w:val="left" w:pos="3855"/>
        </w:tabs>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w:t>
      </w:r>
    </w:p>
    <w:p w14:paraId="04A23AD4">
      <w:pPr>
        <w:spacing w:line="360" w:lineRule="auto"/>
        <w:jc w:val="both"/>
        <w:rPr>
          <w:rFonts w:hint="eastAsia" w:ascii="宋体" w:hAnsi="宋体" w:eastAsia="宋体" w:cs="宋体"/>
          <w:b/>
          <w:color w:val="auto"/>
          <w:sz w:val="22"/>
          <w:szCs w:val="22"/>
          <w:highlight w:val="none"/>
        </w:rPr>
      </w:pPr>
    </w:p>
    <w:p w14:paraId="434A81A2">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违约责任</w:t>
      </w:r>
    </w:p>
    <w:p w14:paraId="15D27BC7">
      <w:pPr>
        <w:pStyle w:val="17"/>
        <w:spacing w:before="0" w:beforeAutospacing="0" w:after="0" w:afterAutospacing="0" w:line="360" w:lineRule="auto"/>
        <w:ind w:firstLine="442" w:firstLineChars="200"/>
        <w:jc w:val="both"/>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第四十条</w:t>
      </w:r>
      <w:r>
        <w:rPr>
          <w:rFonts w:hint="eastAsia" w:ascii="宋体" w:hAnsi="宋体" w:eastAsia="宋体" w:cs="宋体"/>
          <w:color w:val="auto"/>
          <w:sz w:val="22"/>
          <w:szCs w:val="22"/>
          <w:highlight w:val="none"/>
        </w:rPr>
        <w:t>委托人违约，应支付给监理人违约金。</w:t>
      </w:r>
    </w:p>
    <w:p w14:paraId="6DA07062">
      <w:pPr>
        <w:pStyle w:val="17"/>
        <w:spacing w:before="0" w:beforeAutospacing="0" w:after="0" w:afterAutospacing="0" w:line="360" w:lineRule="auto"/>
        <w:ind w:firstLine="440" w:firstLineChars="200"/>
        <w:jc w:val="both"/>
        <w:rPr>
          <w:rFonts w:hint="eastAsia" w:ascii="宋体" w:hAnsi="宋体" w:eastAsia="宋体" w:cs="宋体"/>
          <w:snapToGrid w:val="0"/>
          <w:color w:val="auto"/>
          <w:sz w:val="22"/>
          <w:szCs w:val="22"/>
          <w:highlight w:val="none"/>
          <w:u w:val="single"/>
        </w:rPr>
      </w:pPr>
      <w:r>
        <w:rPr>
          <w:rFonts w:hint="eastAsia" w:ascii="宋体" w:hAnsi="宋体" w:eastAsia="宋体" w:cs="宋体"/>
          <w:color w:val="auto"/>
          <w:sz w:val="22"/>
          <w:szCs w:val="22"/>
          <w:highlight w:val="none"/>
        </w:rPr>
        <w:t>违约金：</w:t>
      </w:r>
      <w:r>
        <w:rPr>
          <w:rFonts w:hint="eastAsia" w:ascii="宋体" w:hAnsi="宋体" w:eastAsia="宋体" w:cs="宋体"/>
          <w:color w:val="auto"/>
          <w:sz w:val="22"/>
          <w:szCs w:val="22"/>
          <w:highlight w:val="none"/>
          <w:u w:val="single"/>
        </w:rPr>
        <w:t>/</w:t>
      </w:r>
      <w:r>
        <w:rPr>
          <w:rFonts w:hint="eastAsia" w:ascii="宋体" w:hAnsi="宋体" w:eastAsia="宋体" w:cs="宋体"/>
          <w:snapToGrid w:val="0"/>
          <w:color w:val="auto"/>
          <w:sz w:val="22"/>
          <w:szCs w:val="22"/>
          <w:highlight w:val="none"/>
          <w:u w:val="single"/>
        </w:rPr>
        <w:t>。</w:t>
      </w:r>
    </w:p>
    <w:p w14:paraId="349946AA">
      <w:pPr>
        <w:pStyle w:val="17"/>
        <w:spacing w:before="0" w:beforeAutospacing="0" w:after="0" w:afterAutospacing="0" w:line="360" w:lineRule="auto"/>
        <w:ind w:firstLine="442" w:firstLineChars="200"/>
        <w:jc w:val="both"/>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第四十一条</w:t>
      </w:r>
      <w:r>
        <w:rPr>
          <w:rFonts w:hint="eastAsia" w:ascii="宋体" w:hAnsi="宋体" w:eastAsia="宋体" w:cs="宋体"/>
          <w:color w:val="auto"/>
          <w:sz w:val="22"/>
          <w:szCs w:val="22"/>
          <w:highlight w:val="none"/>
        </w:rPr>
        <w:t>因委托人延期支付监理服务酬金而向监理人支付逾期付款违约金的计算办法：</w:t>
      </w:r>
      <w:r>
        <w:rPr>
          <w:rFonts w:hint="eastAsia" w:ascii="宋体" w:hAnsi="宋体" w:eastAsia="宋体" w:cs="宋体"/>
          <w:color w:val="auto"/>
          <w:sz w:val="22"/>
          <w:szCs w:val="22"/>
          <w:highlight w:val="none"/>
          <w:u w:val="single"/>
        </w:rPr>
        <w:t>逾期付款违约金=违约金额</w:t>
      </w:r>
      <w:r>
        <w:rPr>
          <w:rFonts w:hint="eastAsia" w:ascii="宋体" w:hAnsi="宋体" w:eastAsia="宋体" w:cs="宋体"/>
          <w:snapToGrid w:val="0"/>
          <w:color w:val="auto"/>
          <w:sz w:val="22"/>
          <w:szCs w:val="22"/>
          <w:highlight w:val="none"/>
          <w:u w:val="single"/>
        </w:rPr>
        <w:t>×同期中国人民银行存款利率×延期付款时间。</w:t>
      </w:r>
    </w:p>
    <w:p w14:paraId="1C667020">
      <w:pPr>
        <w:spacing w:line="360" w:lineRule="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第四十二条</w:t>
      </w:r>
      <w:r>
        <w:rPr>
          <w:rFonts w:hint="eastAsia" w:ascii="宋体" w:hAnsi="宋体" w:eastAsia="宋体" w:cs="宋体"/>
          <w:color w:val="auto"/>
          <w:sz w:val="22"/>
          <w:szCs w:val="22"/>
          <w:highlight w:val="none"/>
        </w:rPr>
        <w:t>监理人违约，应支付给委托人违约金。</w:t>
      </w:r>
    </w:p>
    <w:p w14:paraId="3ACC9512">
      <w:pPr>
        <w:pStyle w:val="17"/>
        <w:spacing w:before="0" w:beforeAutospacing="0" w:after="0" w:afterAutospacing="0" w:line="360" w:lineRule="auto"/>
        <w:ind w:firstLine="440" w:firstLineChars="200"/>
        <w:jc w:val="both"/>
        <w:rPr>
          <w:rFonts w:hint="eastAsia" w:ascii="宋体" w:hAnsi="宋体" w:eastAsia="宋体" w:cs="宋体"/>
          <w:snapToGrid w:val="0"/>
          <w:color w:val="auto"/>
          <w:sz w:val="22"/>
          <w:szCs w:val="22"/>
          <w:highlight w:val="none"/>
          <w:u w:val="single"/>
        </w:rPr>
      </w:pPr>
      <w:r>
        <w:rPr>
          <w:rFonts w:hint="eastAsia" w:ascii="宋体" w:hAnsi="宋体" w:eastAsia="宋体" w:cs="宋体"/>
          <w:color w:val="auto"/>
          <w:sz w:val="22"/>
          <w:szCs w:val="22"/>
          <w:highlight w:val="none"/>
        </w:rPr>
        <w:t>违约金：</w:t>
      </w:r>
      <w:r>
        <w:rPr>
          <w:rFonts w:hint="eastAsia" w:ascii="宋体" w:hAnsi="宋体" w:eastAsia="宋体" w:cs="宋体"/>
          <w:snapToGrid w:val="0"/>
          <w:color w:val="auto"/>
          <w:sz w:val="22"/>
          <w:szCs w:val="22"/>
          <w:highlight w:val="none"/>
          <w:u w:val="single"/>
        </w:rPr>
        <w:t>监理报酬的1%/每次。</w:t>
      </w:r>
    </w:p>
    <w:p w14:paraId="7C0F4762">
      <w:pPr>
        <w:spacing w:line="360" w:lineRule="auto"/>
        <w:jc w:val="center"/>
        <w:rPr>
          <w:rFonts w:hint="eastAsia" w:ascii="宋体" w:hAnsi="宋体" w:eastAsia="宋体" w:cs="宋体"/>
          <w:color w:val="auto"/>
          <w:sz w:val="22"/>
          <w:szCs w:val="22"/>
          <w:highlight w:val="none"/>
        </w:rPr>
      </w:pPr>
    </w:p>
    <w:p w14:paraId="76DDC04F">
      <w:pPr>
        <w:spacing w:line="360" w:lineRule="auto"/>
        <w:jc w:val="both"/>
        <w:rPr>
          <w:rFonts w:hint="eastAsia" w:ascii="宋体" w:hAnsi="宋体" w:eastAsia="宋体" w:cs="宋体"/>
          <w:b/>
          <w:color w:val="auto"/>
          <w:sz w:val="22"/>
          <w:szCs w:val="22"/>
          <w:highlight w:val="none"/>
        </w:rPr>
      </w:pPr>
    </w:p>
    <w:p w14:paraId="71D7CB1D">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争议的解决</w:t>
      </w:r>
    </w:p>
    <w:p w14:paraId="0FF6CD41">
      <w:pPr>
        <w:pStyle w:val="17"/>
        <w:spacing w:before="0" w:beforeAutospacing="0" w:after="0" w:afterAutospacing="0" w:line="360" w:lineRule="auto"/>
        <w:ind w:firstLine="442" w:firstLineChars="200"/>
        <w:jc w:val="both"/>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第四十三条</w:t>
      </w:r>
      <w:r>
        <w:rPr>
          <w:rFonts w:hint="eastAsia" w:ascii="宋体" w:hAnsi="宋体" w:eastAsia="宋体" w:cs="宋体"/>
          <w:color w:val="auto"/>
          <w:sz w:val="22"/>
          <w:szCs w:val="22"/>
          <w:highlight w:val="none"/>
        </w:rPr>
        <w:t>争议诉讼：</w:t>
      </w:r>
    </w:p>
    <w:p w14:paraId="4ACFA068">
      <w:pPr>
        <w:pStyle w:val="17"/>
        <w:spacing w:before="0" w:beforeAutospacing="0" w:after="0" w:afterAutospacing="0"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一、诉讼管辖地为：项目所在地人民法院。</w:t>
      </w:r>
    </w:p>
    <w:p w14:paraId="37DE784F">
      <w:pPr>
        <w:spacing w:line="360" w:lineRule="auto"/>
        <w:jc w:val="center"/>
        <w:rPr>
          <w:rFonts w:hint="eastAsia" w:ascii="宋体" w:hAnsi="宋体" w:eastAsia="宋体" w:cs="宋体"/>
          <w:b/>
          <w:color w:val="auto"/>
          <w:sz w:val="22"/>
          <w:szCs w:val="22"/>
          <w:highlight w:val="none"/>
        </w:rPr>
      </w:pPr>
    </w:p>
    <w:p w14:paraId="2CA00A0F">
      <w:pPr>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其他</w:t>
      </w:r>
    </w:p>
    <w:p w14:paraId="48D0E259">
      <w:pPr>
        <w:spacing w:line="360" w:lineRule="auto"/>
        <w:ind w:firstLine="442" w:firstLineChars="200"/>
        <w:rPr>
          <w:rFonts w:hint="eastAsia" w:ascii="宋体" w:hAnsi="宋体" w:eastAsia="宋体" w:cs="宋体"/>
          <w:snapToGrid w:val="0"/>
          <w:color w:val="auto"/>
          <w:sz w:val="22"/>
          <w:szCs w:val="22"/>
          <w:highlight w:val="none"/>
        </w:rPr>
      </w:pPr>
      <w:r>
        <w:rPr>
          <w:rFonts w:hint="eastAsia" w:ascii="宋体" w:hAnsi="宋体" w:eastAsia="宋体" w:cs="宋体"/>
          <w:b/>
          <w:color w:val="auto"/>
          <w:sz w:val="22"/>
          <w:szCs w:val="22"/>
          <w:highlight w:val="none"/>
        </w:rPr>
        <w:t>第四十五条</w:t>
      </w:r>
      <w:r>
        <w:rPr>
          <w:rFonts w:hint="eastAsia" w:ascii="宋体" w:hAnsi="宋体" w:eastAsia="宋体" w:cs="宋体"/>
          <w:color w:val="auto"/>
          <w:sz w:val="22"/>
          <w:szCs w:val="22"/>
          <w:highlight w:val="none"/>
        </w:rPr>
        <w:t>委托人对监理人提出并落实的合理化建议的奖励办法为：</w:t>
      </w:r>
      <w:r>
        <w:rPr>
          <w:rFonts w:hint="eastAsia" w:ascii="宋体" w:hAnsi="宋体" w:eastAsia="宋体" w:cs="宋体"/>
          <w:snapToGrid w:val="0"/>
          <w:color w:val="auto"/>
          <w:sz w:val="22"/>
          <w:szCs w:val="22"/>
          <w:highlight w:val="none"/>
          <w:u w:val="single"/>
        </w:rPr>
        <w:t>双方另行协商</w:t>
      </w:r>
      <w:r>
        <w:rPr>
          <w:rFonts w:hint="eastAsia" w:ascii="宋体" w:hAnsi="宋体" w:eastAsia="宋体" w:cs="宋体"/>
          <w:snapToGrid w:val="0"/>
          <w:color w:val="auto"/>
          <w:sz w:val="22"/>
          <w:szCs w:val="22"/>
          <w:highlight w:val="none"/>
        </w:rPr>
        <w:t>。</w:t>
      </w:r>
    </w:p>
    <w:p w14:paraId="2D2B72DB">
      <w:pPr>
        <w:spacing w:line="360" w:lineRule="auto"/>
        <w:ind w:firstLine="440" w:firstLineChars="200"/>
        <w:rPr>
          <w:rFonts w:hint="eastAsia" w:ascii="宋体" w:hAnsi="宋体" w:eastAsia="宋体" w:cs="宋体"/>
          <w:snapToGrid w:val="0"/>
          <w:color w:val="auto"/>
          <w:sz w:val="22"/>
          <w:szCs w:val="22"/>
          <w:highlight w:val="none"/>
        </w:rPr>
      </w:pPr>
    </w:p>
    <w:p w14:paraId="74FBA747">
      <w:pPr>
        <w:spacing w:line="360" w:lineRule="auto"/>
        <w:ind w:firstLine="442" w:firstLineChars="200"/>
        <w:rPr>
          <w:rFonts w:hint="eastAsia" w:ascii="宋体" w:hAnsi="宋体" w:eastAsia="宋体" w:cs="宋体"/>
          <w:bCs/>
          <w:color w:val="auto"/>
          <w:sz w:val="22"/>
          <w:szCs w:val="22"/>
          <w:highlight w:val="none"/>
        </w:rPr>
      </w:pPr>
      <w:r>
        <w:rPr>
          <w:rFonts w:hint="eastAsia" w:ascii="宋体" w:hAnsi="宋体" w:eastAsia="宋体" w:cs="宋体"/>
          <w:b/>
          <w:color w:val="auto"/>
          <w:sz w:val="22"/>
          <w:szCs w:val="22"/>
          <w:highlight w:val="none"/>
        </w:rPr>
        <w:t>第四十六条</w:t>
      </w:r>
      <w:r>
        <w:rPr>
          <w:rFonts w:hint="eastAsia" w:ascii="宋体" w:hAnsi="宋体" w:eastAsia="宋体" w:cs="宋体"/>
          <w:bCs/>
          <w:color w:val="auto"/>
          <w:sz w:val="22"/>
          <w:szCs w:val="22"/>
          <w:highlight w:val="none"/>
        </w:rPr>
        <w:t>根据《水利水电建设工程验收规程》（SL223-2025）之规定，本工程的验收分为分部工程验收、单位工程验收、合同工程完工验收等，在验收过程中，监理人需按规范规定认真履行监理职</w:t>
      </w:r>
      <w:r>
        <w:rPr>
          <w:rFonts w:hint="eastAsia" w:ascii="宋体" w:hAnsi="宋体" w:eastAsia="宋体" w:cs="宋体"/>
          <w:bCs/>
          <w:color w:val="auto"/>
          <w:sz w:val="22"/>
          <w:szCs w:val="22"/>
          <w:highlight w:val="none"/>
          <w:lang w:val="en-US" w:eastAsia="zh-CN"/>
        </w:rPr>
        <w:t>责</w:t>
      </w:r>
      <w:r>
        <w:rPr>
          <w:rFonts w:hint="eastAsia" w:ascii="宋体" w:hAnsi="宋体" w:eastAsia="宋体" w:cs="宋体"/>
          <w:bCs/>
          <w:color w:val="auto"/>
          <w:sz w:val="22"/>
          <w:szCs w:val="22"/>
          <w:highlight w:val="none"/>
        </w:rPr>
        <w:t>。</w:t>
      </w:r>
    </w:p>
    <w:p w14:paraId="524B39FC">
      <w:pPr>
        <w:numPr>
          <w:ilvl w:val="0"/>
          <w:numId w:val="4"/>
        </w:num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工程验收标准：合格。</w:t>
      </w:r>
    </w:p>
    <w:p w14:paraId="75C77604">
      <w:pPr>
        <w:numPr>
          <w:ilvl w:val="0"/>
          <w:numId w:val="4"/>
        </w:num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验收时间：</w:t>
      </w:r>
    </w:p>
    <w:p w14:paraId="250ECBAD">
      <w:pPr>
        <w:numPr>
          <w:ilvl w:val="0"/>
          <w:numId w:val="5"/>
        </w:num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分部工程验收：参加由项目法人主持（或由项目法人委托主持）验收会，审查是否符合验收条件，在符合验收条件下，在10个工作日内</w:t>
      </w:r>
      <w:r>
        <w:rPr>
          <w:rFonts w:hint="eastAsia" w:ascii="宋体" w:hAnsi="宋体" w:eastAsia="宋体" w:cs="宋体"/>
          <w:bCs/>
          <w:color w:val="auto"/>
          <w:sz w:val="22"/>
          <w:szCs w:val="22"/>
          <w:highlight w:val="none"/>
          <w:lang w:val="en-US" w:eastAsia="zh-CN"/>
        </w:rPr>
        <w:t>决定是否同意</w:t>
      </w:r>
      <w:r>
        <w:rPr>
          <w:rFonts w:hint="eastAsia" w:ascii="宋体" w:hAnsi="宋体" w:eastAsia="宋体" w:cs="宋体"/>
          <w:bCs/>
          <w:color w:val="auto"/>
          <w:sz w:val="22"/>
          <w:szCs w:val="22"/>
          <w:highlight w:val="none"/>
        </w:rPr>
        <w:t>验收。</w:t>
      </w:r>
    </w:p>
    <w:p w14:paraId="64C1E1CC">
      <w:pPr>
        <w:numPr>
          <w:ilvl w:val="0"/>
          <w:numId w:val="5"/>
        </w:num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单位工程验收：参加由项目法人主持验收会，审查是否符合验收条件，在符合验收条件下，在10个工作日内</w:t>
      </w:r>
      <w:r>
        <w:rPr>
          <w:rFonts w:hint="eastAsia" w:ascii="宋体" w:hAnsi="宋体" w:eastAsia="宋体" w:cs="宋体"/>
          <w:bCs/>
          <w:color w:val="auto"/>
          <w:sz w:val="22"/>
          <w:szCs w:val="22"/>
          <w:highlight w:val="none"/>
          <w:lang w:val="en-US" w:eastAsia="zh-CN"/>
        </w:rPr>
        <w:t>决定是否同意</w:t>
      </w:r>
      <w:r>
        <w:rPr>
          <w:rFonts w:hint="eastAsia" w:ascii="宋体" w:hAnsi="宋体" w:eastAsia="宋体" w:cs="宋体"/>
          <w:bCs/>
          <w:color w:val="auto"/>
          <w:sz w:val="22"/>
          <w:szCs w:val="22"/>
          <w:highlight w:val="none"/>
        </w:rPr>
        <w:t>验收。</w:t>
      </w:r>
    </w:p>
    <w:p w14:paraId="72BEDD2F">
      <w:pPr>
        <w:numPr>
          <w:ilvl w:val="0"/>
          <w:numId w:val="5"/>
        </w:numPr>
        <w:spacing w:line="360" w:lineRule="auto"/>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合同工程完工验收：参加由项目法人主持验收会，审查是否符合验收条件，在符合验收条件下，在10个工作日内</w:t>
      </w:r>
      <w:r>
        <w:rPr>
          <w:rFonts w:hint="eastAsia" w:ascii="宋体" w:hAnsi="宋体" w:eastAsia="宋体" w:cs="宋体"/>
          <w:bCs/>
          <w:color w:val="auto"/>
          <w:sz w:val="22"/>
          <w:szCs w:val="22"/>
          <w:highlight w:val="none"/>
          <w:lang w:val="en-US" w:eastAsia="zh-CN"/>
        </w:rPr>
        <w:t>决定是否同意</w:t>
      </w:r>
      <w:r>
        <w:rPr>
          <w:rFonts w:hint="eastAsia" w:ascii="宋体" w:hAnsi="宋体" w:eastAsia="宋体" w:cs="宋体"/>
          <w:bCs/>
          <w:color w:val="auto"/>
          <w:sz w:val="22"/>
          <w:szCs w:val="22"/>
          <w:highlight w:val="none"/>
        </w:rPr>
        <w:t>验收。</w:t>
      </w:r>
    </w:p>
    <w:p w14:paraId="2F4562AA">
      <w:pPr>
        <w:numPr>
          <w:ilvl w:val="0"/>
          <w:numId w:val="4"/>
        </w:numPr>
        <w:spacing w:line="360" w:lineRule="auto"/>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如上述验收未通过验收，监理人应督促施工单位对造成未通过验收的原因进行整改，直至通过验收。</w:t>
      </w:r>
    </w:p>
    <w:p w14:paraId="0E74ED3B">
      <w:pPr>
        <w:numPr>
          <w:ilvl w:val="0"/>
          <w:numId w:val="4"/>
        </w:numPr>
        <w:spacing w:line="360" w:lineRule="auto"/>
        <w:ind w:firstLine="44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2"/>
          <w:szCs w:val="22"/>
          <w:highlight w:val="none"/>
        </w:rPr>
        <w:t>完工验收合格后7个工作日内，监理人向委托人提供2份监理工作报告。</w:t>
      </w:r>
    </w:p>
    <w:p w14:paraId="048F7D15">
      <w:pPr>
        <w:pStyle w:val="23"/>
        <w:spacing w:line="360" w:lineRule="auto"/>
        <w:rPr>
          <w:rFonts w:hint="default" w:ascii="宋体" w:hAnsi="宋体" w:eastAsia="宋体" w:cs="宋体"/>
          <w:b/>
          <w:color w:val="auto"/>
          <w:kern w:val="2"/>
          <w:sz w:val="22"/>
          <w:szCs w:val="22"/>
          <w:highlight w:val="none"/>
          <w:lang w:val="en-US" w:eastAsia="zh-CN" w:bidi="ar-SA"/>
        </w:rPr>
      </w:pPr>
      <w:r>
        <w:rPr>
          <w:rFonts w:hint="eastAsia" w:ascii="宋体" w:hAnsi="宋体" w:eastAsia="宋体" w:cs="宋体"/>
          <w:b/>
          <w:color w:val="auto"/>
          <w:kern w:val="2"/>
          <w:sz w:val="22"/>
          <w:szCs w:val="22"/>
          <w:highlight w:val="none"/>
          <w:lang w:val="en-US" w:eastAsia="zh-CN" w:bidi="ar-SA"/>
        </w:rPr>
        <w:t>第四十七条 监理工作具体内容</w:t>
      </w:r>
    </w:p>
    <w:p w14:paraId="55507C2B">
      <w:pPr>
        <w:adjustRightInd w:val="0"/>
        <w:snapToGrid w:val="0"/>
        <w:spacing w:line="360" w:lineRule="auto"/>
        <w:ind w:firstLine="442" w:firstLineChars="200"/>
        <w:rPr>
          <w:rFonts w:hint="eastAsia" w:ascii="宋体" w:hAnsi="宋体" w:eastAsia="宋体" w:cs="宋体"/>
          <w:b w:val="0"/>
          <w:bCs w:val="0"/>
          <w:color w:val="auto"/>
          <w:sz w:val="22"/>
          <w:szCs w:val="22"/>
          <w:highlight w:val="none"/>
        </w:rPr>
      </w:pPr>
      <w:r>
        <w:rPr>
          <w:rFonts w:hint="eastAsia"/>
          <w:b/>
          <w:bCs/>
          <w:color w:val="auto"/>
          <w:sz w:val="22"/>
          <w:szCs w:val="22"/>
          <w:highlight w:val="none"/>
          <w:lang w:val="en-US" w:eastAsia="zh-CN"/>
        </w:rPr>
        <w:t>（一）监理工作具体内容</w:t>
      </w:r>
    </w:p>
    <w:p w14:paraId="6A9E3975">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1）监理范围包括：本项目的施工全过程监理及质量缺陷责任期阶段的工程保修监理。监理工作内容包括施工阶段工程质量、进度、投资控制，合同管理，信息管理，组织协调，安全、文明施工监理，环境保护监理等。</w:t>
      </w:r>
    </w:p>
    <w:p w14:paraId="70A1135F">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（2）监理工作具体内容包括：</w:t>
      </w:r>
    </w:p>
    <w:p w14:paraId="5AD8ADD8">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1）编制监理规划、旁站监理计划、监理实施细则，报委托人同意后实施；</w:t>
      </w:r>
    </w:p>
    <w:p w14:paraId="02AF49D4">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2）熟悉合同文件，了解施工现场；</w:t>
      </w:r>
    </w:p>
    <w:p w14:paraId="1401F8D4">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3）参与设计交底工作，审查承包人提交的复测结果、设计变更和施工组织设计，督促和检查承包人建立质量保证体系、安全保证体系；</w:t>
      </w:r>
    </w:p>
    <w:p w14:paraId="472CADC9">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4）检查施工承包人的开工准备工作，审批施工组织设计，签认开工报告，批准单项工程开工报告；</w:t>
      </w:r>
    </w:p>
    <w:p w14:paraId="61D2DEF9">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5）审查承包人授权的常驻现场代表的资质，以及其他派驻到现场的主要技术、管理人员的资质；审查特殊作业人员上岗证件；</w:t>
      </w:r>
    </w:p>
    <w:p w14:paraId="2CBD4780">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6）建立监理的试验、检测工作体系，按照规定的频率独立开展监理的试验、检测工作；</w:t>
      </w:r>
    </w:p>
    <w:p w14:paraId="6F326B78">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7）审批承包人拟用于本工程的原始材料、成套设备的品质；</w:t>
      </w:r>
    </w:p>
    <w:p w14:paraId="375E3E91">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8）审查施工承包人实施工程的实施方案及主要方法或工艺，审批施工承包人提交的各项安全专项方案；还应对施工承包人在施工过程中采取的环境保护措施和施工安全、文明措施加强监督和管理；验收承包人的工地试验室，审核其人员资质；</w:t>
      </w:r>
    </w:p>
    <w:p w14:paraId="19036399">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9）审查施工承包人拟用于本工程的机械设备的性能与数量；</w:t>
      </w:r>
    </w:p>
    <w:p w14:paraId="4E8AAA73">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10）审查承包人提交的总体进度计划，检查和督促承包人实施进度计划、核批承包人的修正计划；</w:t>
      </w:r>
    </w:p>
    <w:p w14:paraId="2A12F2D4">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11）审查分包合同和分包人的资质，控制重要外购成品件或半成品的质量；</w:t>
      </w:r>
    </w:p>
    <w:p w14:paraId="4D06D72C">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12）参加第一次开始的工地监理会议和主持日常工地监理会议，参加专题例会，参加跟踪审计造价会议；</w:t>
      </w:r>
    </w:p>
    <w:p w14:paraId="3FD42CD0">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13）要求承包人按照合同条件、技术规范和监理程序进行施工、通过旁站、巡视、检测、整体验收等手段全面监督、检查和控制工程质量；尤其须注意对进场材料、设备的平行检验及对混凝土浇筑等关键部分、关键工序实行全过程旁站；</w:t>
      </w:r>
    </w:p>
    <w:p w14:paraId="4C0A1055">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14）对已完成工程量进行准确的计量，对工程量的增减做好实测实量，保存好原始凭证，并接受委托人代表检核，重大工程量的计量按施工合同约定执行，审核变更的工作量并签署确认意见，对上报进度款的工作量进行审核，确认。</w:t>
      </w:r>
    </w:p>
    <w:p w14:paraId="7D8BF36E">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15）对承包人安全、文明施工进行监管，督促承包单位做好半成品保护,对施工单位成品保护工作的质量与效果进行经常性检查,要避免因成品保护不善造成操作损坏或污染,影响工程整体质量；</w:t>
      </w:r>
    </w:p>
    <w:p w14:paraId="29316427">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16）签发中间交工文件；</w:t>
      </w:r>
    </w:p>
    <w:p w14:paraId="3C9BB186">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17）调查、处理工程质量缺陷和事故，与设计、施工单位一起提出改进措施和方法，出现重大质量和安全事故时，督促承包人按规定上报有关部门；</w:t>
      </w:r>
    </w:p>
    <w:p w14:paraId="35F0BC66">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18）签认中期支付凭证；</w:t>
      </w:r>
    </w:p>
    <w:p w14:paraId="2030470F">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19）发布停（复）工令；</w:t>
      </w:r>
    </w:p>
    <w:p w14:paraId="6EB53B20">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20）发布变更令（重大、重要变更报委托人核准，凡涉及工程造价须事前经委托人核准）；</w:t>
      </w:r>
    </w:p>
    <w:p w14:paraId="677DEE80">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21）受理合同事宜，根据合同规定进行评估和处理；</w:t>
      </w:r>
    </w:p>
    <w:p w14:paraId="542A158B">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22）根据合同规定处理违约事件，协调争端，在诉讼或仲裁过程中作证；</w:t>
      </w:r>
    </w:p>
    <w:p w14:paraId="397D6DE3">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23）编制监理工作周报、月报；</w:t>
      </w:r>
    </w:p>
    <w:p w14:paraId="049FD19C">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24）对承包人的交工申请进行评估，主持对拟交工工程的检查和验收，签认交工文件，签署监理意见；</w:t>
      </w:r>
    </w:p>
    <w:p w14:paraId="3DC54AB5">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25）签认交工文件；</w:t>
      </w:r>
    </w:p>
    <w:p w14:paraId="43A98B36">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26）督促、检查承包人按工程管理部门和委托人的要求编制竣工文件，审核竣工文件和竣工图并签署意见，配合审计工作，并做好归档工作；</w:t>
      </w:r>
    </w:p>
    <w:p w14:paraId="3440DABA">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27）配合委托人的竣工验收、工程移交和各种预验工作；</w:t>
      </w:r>
    </w:p>
    <w:p w14:paraId="568E93FB">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28）对施工承包人的项目负责人及现场管理人员进行考勤；</w:t>
      </w:r>
    </w:p>
    <w:p w14:paraId="297DCF7F">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29）编制监理方面的竣工文件；</w:t>
      </w:r>
    </w:p>
    <w:p w14:paraId="3EE4EE8A">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30）配合委托人做好决算工作，对结算中有关争议内容出具公正、独立的书面意见，并提供相关依据；</w:t>
      </w:r>
    </w:p>
    <w:p w14:paraId="151D4E3E">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31）配合委托人做好竣工验收和验收后的维保和工程移交工作。</w:t>
      </w:r>
    </w:p>
    <w:p w14:paraId="6462D81B">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32）监理应对施工过程中发生的图纸做法与实际做法不一致的情况及时记录并整理在当期监理例会汇报资料中。监理例会会议纪要中需列项本期例会之前所发生的设计变更、签证单情况，并附上各方确认过的设计变更单及签证单，后补设计变更及签证单不予计算。如发现设计变更单及签证单后补监理并给予确认签字的，扣除监理费2000元/次。</w:t>
      </w:r>
    </w:p>
    <w:p w14:paraId="6301E328">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33）本工程总包范围以外的全部施工项目的全过程监理及质量缺陷责任期阶段的监理内容。</w:t>
      </w:r>
    </w:p>
    <w:p w14:paraId="3BC98160">
      <w:pPr>
        <w:keepNext w:val="0"/>
        <w:keepLines w:val="0"/>
        <w:pageBreakBefore w:val="0"/>
        <w:widowControl w:val="0"/>
        <w:kinsoku/>
        <w:wordWrap/>
        <w:overflowPunct/>
        <w:topLinePunct w:val="0"/>
        <w:autoSpaceDE/>
        <w:autoSpaceDN/>
        <w:bidi w:val="0"/>
        <w:adjustRightInd/>
        <w:snapToGrid/>
        <w:spacing w:line="360" w:lineRule="auto"/>
        <w:ind w:left="0" w:leftChars="0" w:firstLine="442" w:firstLineChars="200"/>
        <w:contextualSpacing/>
        <w:jc w:val="left"/>
        <w:textAlignment w:val="auto"/>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（二）其他工作要求</w:t>
      </w:r>
    </w:p>
    <w:p w14:paraId="52C6D87B">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1、本采购任务量为暂定的计划任务量，委托人将按照核定的最终任务量向监理人下达具体的任务通知单。</w:t>
      </w:r>
    </w:p>
    <w:p w14:paraId="10112309">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2、保密规定：没有委托人事先书面同意，监理人不得将由委托人提供的有关合同或任何合同条文、规格、计划、图纸或资料提供给与履行本合同无关的任何其他人。即使向履行本合同有关的人员提供，也应注意保密并限于履行合同的必需范围。</w:t>
      </w:r>
    </w:p>
    <w:p w14:paraId="69DD3655">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3、监理人须保证投标承诺的人员中实际到位人数一位，常驻现场。现场到位率必须达到正常工作日（考勤天数按每月25日计）的90%，否则按500元/天的标准赔偿。委托人若现发现人员虽然考勤但未到位或者未请假外出，仍按缺勤处理。</w:t>
      </w:r>
    </w:p>
    <w:p w14:paraId="3F713CD7">
      <w:pPr>
        <w:adjustRightInd w:val="0"/>
        <w:snapToGrid w:val="0"/>
        <w:spacing w:line="360" w:lineRule="auto"/>
        <w:ind w:firstLine="440" w:firstLineChars="200"/>
        <w:rPr>
          <w:rFonts w:hint="eastAsia" w:ascii="宋体" w:hAnsi="宋体" w:eastAsia="宋体" w:cs="Arial"/>
          <w:color w:val="auto"/>
          <w:sz w:val="22"/>
          <w:szCs w:val="22"/>
          <w:highlight w:val="none"/>
          <w:lang w:val="en-US" w:eastAsia="zh-CN"/>
        </w:rPr>
      </w:pPr>
      <w:r>
        <w:rPr>
          <w:rFonts w:hint="eastAsia" w:ascii="宋体" w:hAnsi="宋体" w:eastAsia="宋体" w:cs="Arial"/>
          <w:color w:val="auto"/>
          <w:sz w:val="22"/>
          <w:szCs w:val="22"/>
          <w:highlight w:val="none"/>
          <w:lang w:val="en-US" w:eastAsia="zh-CN"/>
        </w:rPr>
        <w:t>4、未经委托人书面同意，监理人不得擅自更换项目总监、监理工程师及其它监理人员，若监理人无正当理由更换项目总监的需向委托人支付每人次1万元的违约金，更换任一监理人员(总监除外)的，监理人须向委托人支付每人次5000元的赔偿金，再次更换赔偿金翻倍。</w:t>
      </w:r>
    </w:p>
    <w:p w14:paraId="4ACE5383">
      <w:pPr>
        <w:adjustRightInd w:val="0"/>
        <w:snapToGrid w:val="0"/>
        <w:spacing w:line="360" w:lineRule="auto"/>
        <w:ind w:firstLine="420" w:firstLineChars="200"/>
        <w:rPr>
          <w:rFonts w:hint="eastAsia" w:ascii="宋体" w:hAnsi="宋体" w:eastAsia="宋体" w:cs="Arial"/>
          <w:color w:val="auto"/>
          <w:szCs w:val="21"/>
          <w:highlight w:val="none"/>
          <w:lang w:val="en-US" w:eastAsia="zh-CN"/>
        </w:rPr>
      </w:pPr>
    </w:p>
    <w:p w14:paraId="4E106D6D">
      <w:pPr>
        <w:ind w:firstLine="480" w:firstLineChars="200"/>
        <w:rPr>
          <w:snapToGrid w:val="0"/>
          <w:color w:val="auto"/>
          <w:sz w:val="24"/>
          <w:highlight w:val="none"/>
        </w:rPr>
      </w:pPr>
    </w:p>
    <w:p w14:paraId="5F0EB51E">
      <w:pPr>
        <w:ind w:firstLine="480" w:firstLineChars="200"/>
        <w:rPr>
          <w:snapToGrid w:val="0"/>
          <w:color w:val="auto"/>
          <w:sz w:val="24"/>
          <w:highlight w:val="none"/>
        </w:rPr>
      </w:pPr>
    </w:p>
    <w:p w14:paraId="246BB917">
      <w:pPr>
        <w:ind w:firstLine="480" w:firstLineChars="200"/>
        <w:rPr>
          <w:snapToGrid w:val="0"/>
          <w:color w:val="auto"/>
          <w:sz w:val="24"/>
          <w:highlight w:val="none"/>
        </w:rPr>
      </w:pPr>
    </w:p>
    <w:p w14:paraId="216D09E6">
      <w:pPr>
        <w:ind w:firstLine="480" w:firstLineChars="200"/>
        <w:rPr>
          <w:snapToGrid w:val="0"/>
          <w:color w:val="auto"/>
          <w:sz w:val="24"/>
          <w:highlight w:val="none"/>
        </w:rPr>
      </w:pPr>
    </w:p>
    <w:p w14:paraId="75BAA713">
      <w:pPr>
        <w:rPr>
          <w:b/>
          <w:color w:val="auto"/>
          <w:highlight w:val="none"/>
        </w:rPr>
      </w:pPr>
    </w:p>
    <w:p w14:paraId="3A7BED1C">
      <w:pPr>
        <w:rPr>
          <w:rFonts w:hint="eastAsia" w:ascii="宋体" w:hAnsi="宋体" w:eastAsia="宋体" w:cs="宋体"/>
          <w:color w:val="auto"/>
          <w:spacing w:val="0"/>
          <w:kern w:val="2"/>
          <w:sz w:val="30"/>
          <w:szCs w:val="30"/>
          <w:highlight w:val="none"/>
          <w:lang w:val="en-US" w:eastAsia="zh-CN" w:bidi="ar-SA"/>
        </w:rPr>
      </w:pPr>
    </w:p>
    <w:p w14:paraId="2EF0AE71">
      <w:pPr>
        <w:rPr>
          <w:rFonts w:hint="eastAsia" w:ascii="宋体" w:hAnsi="宋体" w:eastAsia="宋体" w:cs="宋体"/>
          <w:b/>
          <w:color w:val="auto"/>
          <w:spacing w:val="0"/>
          <w:kern w:val="0"/>
          <w:sz w:val="30"/>
          <w:szCs w:val="30"/>
          <w:highlight w:val="none"/>
          <w:lang w:val="en-US" w:eastAsia="zh-CN" w:bidi="ar-SA"/>
        </w:rPr>
      </w:pPr>
      <w:r>
        <w:rPr>
          <w:rFonts w:hint="eastAsia" w:ascii="宋体" w:hAnsi="宋体" w:eastAsia="宋体" w:cs="宋体"/>
          <w:b/>
          <w:color w:val="auto"/>
          <w:spacing w:val="0"/>
          <w:kern w:val="0"/>
          <w:sz w:val="30"/>
          <w:szCs w:val="30"/>
          <w:highlight w:val="none"/>
          <w:lang w:val="en-US" w:eastAsia="zh-CN" w:bidi="ar-SA"/>
        </w:rPr>
        <w:br w:type="page"/>
      </w:r>
    </w:p>
    <w:p w14:paraId="2486F581">
      <w:pPr>
        <w:pStyle w:val="3"/>
        <w:numPr>
          <w:ilvl w:val="0"/>
          <w:numId w:val="0"/>
        </w:numPr>
        <w:spacing w:line="360" w:lineRule="auto"/>
        <w:ind w:left="0" w:leftChars="0" w:firstLine="0" w:firstLineChars="0"/>
        <w:jc w:val="center"/>
        <w:outlineLvl w:val="0"/>
        <w:rPr>
          <w:rFonts w:hint="eastAsia" w:ascii="宋体" w:hAnsi="宋体" w:eastAsia="宋体" w:cs="宋体"/>
          <w:b/>
          <w:color w:val="auto"/>
          <w:spacing w:val="0"/>
          <w:kern w:val="0"/>
          <w:sz w:val="30"/>
          <w:szCs w:val="30"/>
          <w:highlight w:val="none"/>
          <w:lang w:val="en-US" w:eastAsia="zh-CN" w:bidi="ar-SA"/>
        </w:rPr>
      </w:pPr>
      <w:r>
        <w:rPr>
          <w:rFonts w:hint="eastAsia" w:ascii="宋体" w:hAnsi="宋体" w:eastAsia="宋体" w:cs="宋体"/>
          <w:b/>
          <w:color w:val="auto"/>
          <w:spacing w:val="0"/>
          <w:kern w:val="0"/>
          <w:sz w:val="30"/>
          <w:szCs w:val="30"/>
          <w:highlight w:val="none"/>
          <w:lang w:val="en-US" w:eastAsia="zh-CN" w:bidi="ar-SA"/>
        </w:rPr>
        <w:t>第六章  投标文件格式</w:t>
      </w:r>
    </w:p>
    <w:p w14:paraId="0EDA5DC2">
      <w:pPr>
        <w:keepNext w:val="0"/>
        <w:pageBreakBefore w:val="0"/>
        <w:widowControl w:val="0"/>
        <w:overflowPunct/>
        <w:bidi w:val="0"/>
        <w:snapToGrid w:val="0"/>
        <w:spacing w:line="360" w:lineRule="auto"/>
        <w:rPr>
          <w:rFonts w:hint="eastAsia" w:ascii="宋体" w:hAnsi="宋体" w:eastAsia="宋体" w:cs="宋体"/>
          <w:color w:val="auto"/>
          <w:sz w:val="32"/>
          <w:szCs w:val="20"/>
          <w:highlight w:val="none"/>
          <w:shd w:val="clear" w:color="auto" w:fill="auto"/>
        </w:rPr>
      </w:pPr>
    </w:p>
    <w:p w14:paraId="2950B94A">
      <w:pPr>
        <w:keepNext w:val="0"/>
        <w:pageBreakBefore w:val="0"/>
        <w:widowControl w:val="0"/>
        <w:overflowPunct/>
        <w:bidi w:val="0"/>
        <w:snapToGrid w:val="0"/>
        <w:spacing w:line="360" w:lineRule="auto"/>
        <w:ind w:firstLine="211" w:firstLineChars="100"/>
        <w:jc w:val="left"/>
        <w:rPr>
          <w:rFonts w:hint="eastAsia" w:ascii="宋体" w:hAnsi="宋体" w:eastAsia="宋体" w:cs="宋体"/>
          <w:b/>
          <w:color w:val="auto"/>
          <w:szCs w:val="21"/>
          <w:highlight w:val="none"/>
          <w:shd w:val="clear" w:color="auto" w:fill="auto"/>
        </w:rPr>
      </w:pPr>
      <w:r>
        <w:rPr>
          <w:rFonts w:hint="eastAsia" w:ascii="宋体" w:hAnsi="宋体" w:eastAsia="宋体" w:cs="宋体"/>
          <w:b/>
          <w:color w:val="auto"/>
          <w:szCs w:val="21"/>
          <w:highlight w:val="none"/>
          <w:shd w:val="clear" w:color="auto" w:fill="auto"/>
        </w:rPr>
        <w:t>电子备份</w:t>
      </w:r>
      <w:r>
        <w:rPr>
          <w:rFonts w:hint="eastAsia" w:ascii="宋体" w:hAnsi="宋体" w:cs="宋体"/>
          <w:b/>
          <w:color w:val="auto"/>
          <w:szCs w:val="21"/>
          <w:highlight w:val="none"/>
          <w:shd w:val="clear" w:color="auto" w:fill="auto"/>
          <w:lang w:eastAsia="zh-CN"/>
        </w:rPr>
        <w:t>投标文件</w:t>
      </w:r>
      <w:r>
        <w:rPr>
          <w:rFonts w:hint="eastAsia" w:ascii="宋体" w:hAnsi="宋体" w:eastAsia="宋体" w:cs="宋体"/>
          <w:b/>
          <w:color w:val="auto"/>
          <w:szCs w:val="21"/>
          <w:highlight w:val="none"/>
          <w:shd w:val="clear" w:color="auto" w:fill="auto"/>
        </w:rPr>
        <w:t>的外包装封面格式：</w:t>
      </w:r>
    </w:p>
    <w:p w14:paraId="342A6BE7">
      <w:pPr>
        <w:keepNext w:val="0"/>
        <w:pageBreakBefore w:val="0"/>
        <w:widowControl w:val="0"/>
        <w:overflowPunct/>
        <w:bidi w:val="0"/>
        <w:snapToGrid w:val="0"/>
        <w:spacing w:line="360" w:lineRule="auto"/>
        <w:rPr>
          <w:rFonts w:hint="eastAsia" w:ascii="宋体" w:hAnsi="宋体" w:eastAsia="宋体" w:cs="宋体"/>
          <w:color w:val="auto"/>
          <w:szCs w:val="21"/>
          <w:highlight w:val="none"/>
          <w:shd w:val="clear" w:color="auto" w:fill="auto"/>
        </w:rPr>
      </w:pPr>
    </w:p>
    <w:p w14:paraId="46F0CA43">
      <w:pPr>
        <w:keepNext w:val="0"/>
        <w:pageBreakBefore w:val="0"/>
        <w:widowControl w:val="0"/>
        <w:overflowPunct/>
        <w:bidi w:val="0"/>
        <w:snapToGrid w:val="0"/>
        <w:spacing w:line="360" w:lineRule="auto"/>
        <w:jc w:val="center"/>
        <w:rPr>
          <w:rFonts w:hint="eastAsia" w:ascii="宋体" w:hAnsi="宋体" w:eastAsia="宋体" w:cs="宋体"/>
          <w:bCs/>
          <w:color w:val="auto"/>
          <w:szCs w:val="21"/>
          <w:highlight w:val="none"/>
          <w:shd w:val="clear" w:color="auto" w:fill="auto"/>
        </w:rPr>
      </w:pPr>
    </w:p>
    <w:p w14:paraId="38222A78">
      <w:pPr>
        <w:keepNext w:val="0"/>
        <w:pageBreakBefore w:val="0"/>
        <w:widowControl w:val="0"/>
        <w:overflowPunct/>
        <w:bidi w:val="0"/>
        <w:snapToGrid w:val="0"/>
        <w:spacing w:line="360" w:lineRule="auto"/>
        <w:jc w:val="center"/>
        <w:rPr>
          <w:rFonts w:hint="eastAsia" w:ascii="宋体" w:hAnsi="宋体" w:eastAsia="宋体" w:cs="宋体"/>
          <w:bCs/>
          <w:color w:val="auto"/>
          <w:szCs w:val="21"/>
          <w:highlight w:val="none"/>
          <w:shd w:val="clear" w:color="auto" w:fill="auto"/>
        </w:rPr>
      </w:pPr>
    </w:p>
    <w:p w14:paraId="0D00B60A">
      <w:pPr>
        <w:keepNext w:val="0"/>
        <w:pageBreakBefore w:val="0"/>
        <w:widowControl w:val="0"/>
        <w:overflowPunct/>
        <w:bidi w:val="0"/>
        <w:spacing w:line="360" w:lineRule="auto"/>
        <w:jc w:val="center"/>
        <w:rPr>
          <w:rFonts w:hint="eastAsia" w:ascii="宋体" w:hAnsi="宋体" w:eastAsia="宋体" w:cs="宋体"/>
          <w:bCs/>
          <w:color w:val="auto"/>
          <w:sz w:val="44"/>
          <w:szCs w:val="44"/>
          <w:highlight w:val="none"/>
          <w:shd w:val="clear" w:color="auto" w:fill="auto"/>
          <w:lang w:eastAsia="zh-CN"/>
        </w:rPr>
      </w:pPr>
      <w:r>
        <w:rPr>
          <w:rFonts w:hint="eastAsia" w:ascii="宋体" w:hAnsi="宋体" w:cs="宋体"/>
          <w:b/>
          <w:color w:val="auto"/>
          <w:sz w:val="44"/>
          <w:szCs w:val="44"/>
          <w:highlight w:val="none"/>
          <w:shd w:val="clear" w:color="auto" w:fill="auto"/>
          <w:lang w:eastAsia="zh-CN"/>
        </w:rPr>
        <w:t>投 标 文 件</w:t>
      </w:r>
    </w:p>
    <w:p w14:paraId="175311D6">
      <w:pPr>
        <w:keepNext w:val="0"/>
        <w:pageBreakBefore w:val="0"/>
        <w:widowControl w:val="0"/>
        <w:overflowPunct/>
        <w:bidi w:val="0"/>
        <w:spacing w:line="360" w:lineRule="auto"/>
        <w:ind w:firstLine="945" w:firstLineChars="450"/>
        <w:rPr>
          <w:rFonts w:hint="eastAsia" w:ascii="宋体" w:hAnsi="宋体" w:eastAsia="宋体" w:cs="宋体"/>
          <w:bCs/>
          <w:color w:val="auto"/>
          <w:szCs w:val="21"/>
          <w:highlight w:val="none"/>
          <w:shd w:val="clear" w:color="auto" w:fill="auto"/>
        </w:rPr>
      </w:pPr>
    </w:p>
    <w:p w14:paraId="69F25B44">
      <w:pPr>
        <w:keepNext w:val="0"/>
        <w:pageBreakBefore w:val="0"/>
        <w:widowControl w:val="0"/>
        <w:overflowPunct/>
        <w:bidi w:val="0"/>
        <w:spacing w:line="480" w:lineRule="auto"/>
        <w:ind w:firstLine="945" w:firstLineChars="450"/>
        <w:rPr>
          <w:rFonts w:hint="eastAsia" w:ascii="宋体" w:hAnsi="宋体" w:eastAsia="宋体" w:cs="宋体"/>
          <w:bCs/>
          <w:color w:val="auto"/>
          <w:szCs w:val="21"/>
          <w:highlight w:val="none"/>
          <w:shd w:val="clear" w:color="auto" w:fill="auto"/>
        </w:rPr>
      </w:pPr>
    </w:p>
    <w:p w14:paraId="5279F1FF">
      <w:pPr>
        <w:keepNext w:val="0"/>
        <w:pageBreakBefore w:val="0"/>
        <w:widowControl w:val="0"/>
        <w:overflowPunct/>
        <w:bidi w:val="0"/>
        <w:spacing w:line="480" w:lineRule="auto"/>
        <w:ind w:firstLine="990" w:firstLineChars="450"/>
        <w:rPr>
          <w:rFonts w:hint="eastAsia" w:ascii="宋体" w:hAnsi="宋体" w:eastAsia="宋体" w:cs="宋体"/>
          <w:bCs/>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项目编号：</w:t>
      </w:r>
    </w:p>
    <w:p w14:paraId="71B51D6F">
      <w:pPr>
        <w:keepNext w:val="0"/>
        <w:pageBreakBefore w:val="0"/>
        <w:widowControl w:val="0"/>
        <w:overflowPunct/>
        <w:bidi w:val="0"/>
        <w:spacing w:line="480" w:lineRule="auto"/>
        <w:ind w:firstLine="440" w:firstLineChars="200"/>
        <w:rPr>
          <w:rFonts w:hint="eastAsia" w:ascii="宋体" w:hAnsi="宋体" w:eastAsia="宋体" w:cs="宋体"/>
          <w:bCs/>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 xml:space="preserve">     项目名称：</w:t>
      </w:r>
    </w:p>
    <w:p w14:paraId="4F786D9E">
      <w:pPr>
        <w:keepNext w:val="0"/>
        <w:pageBreakBefore w:val="0"/>
        <w:widowControl w:val="0"/>
        <w:overflowPunct/>
        <w:bidi w:val="0"/>
        <w:spacing w:line="480" w:lineRule="auto"/>
        <w:ind w:firstLine="440" w:firstLineChars="200"/>
        <w:rPr>
          <w:rFonts w:hint="eastAsia" w:ascii="宋体" w:hAnsi="宋体" w:eastAsia="宋体" w:cs="宋体"/>
          <w:bCs/>
          <w:color w:val="auto"/>
          <w:sz w:val="22"/>
          <w:szCs w:val="22"/>
          <w:highlight w:val="none"/>
          <w:shd w:val="clear" w:color="auto" w:fill="auto"/>
          <w:lang w:eastAsia="zh-CN"/>
        </w:rPr>
      </w:pPr>
      <w:r>
        <w:rPr>
          <w:rFonts w:hint="eastAsia" w:ascii="宋体" w:hAnsi="宋体" w:eastAsia="宋体" w:cs="宋体"/>
          <w:bCs/>
          <w:color w:val="auto"/>
          <w:sz w:val="22"/>
          <w:szCs w:val="22"/>
          <w:highlight w:val="none"/>
          <w:shd w:val="clear" w:color="auto" w:fill="auto"/>
        </w:rPr>
        <w:t xml:space="preserve">     </w:t>
      </w:r>
      <w:r>
        <w:rPr>
          <w:rFonts w:hint="eastAsia" w:ascii="宋体" w:hAnsi="宋体" w:cs="宋体"/>
          <w:bCs/>
          <w:color w:val="auto"/>
          <w:sz w:val="22"/>
          <w:szCs w:val="22"/>
          <w:highlight w:val="none"/>
          <w:shd w:val="clear" w:color="auto" w:fill="auto"/>
          <w:lang w:eastAsia="zh-CN"/>
        </w:rPr>
        <w:t>投标文件</w:t>
      </w:r>
      <w:r>
        <w:rPr>
          <w:rFonts w:hint="eastAsia" w:ascii="宋体" w:hAnsi="宋体" w:eastAsia="宋体" w:cs="宋体"/>
          <w:bCs/>
          <w:color w:val="auto"/>
          <w:sz w:val="22"/>
          <w:szCs w:val="22"/>
          <w:highlight w:val="none"/>
          <w:shd w:val="clear" w:color="auto" w:fill="auto"/>
        </w:rPr>
        <w:t>名称：电子备份</w:t>
      </w:r>
      <w:r>
        <w:rPr>
          <w:rFonts w:hint="eastAsia" w:ascii="宋体" w:hAnsi="宋体" w:cs="宋体"/>
          <w:bCs/>
          <w:color w:val="auto"/>
          <w:sz w:val="22"/>
          <w:szCs w:val="22"/>
          <w:highlight w:val="none"/>
          <w:shd w:val="clear" w:color="auto" w:fill="auto"/>
          <w:lang w:eastAsia="zh-CN"/>
        </w:rPr>
        <w:t>投标文件</w:t>
      </w:r>
    </w:p>
    <w:p w14:paraId="28969431">
      <w:pPr>
        <w:keepNext w:val="0"/>
        <w:pageBreakBefore w:val="0"/>
        <w:widowControl w:val="0"/>
        <w:overflowPunct/>
        <w:bidi w:val="0"/>
        <w:spacing w:line="480" w:lineRule="auto"/>
        <w:ind w:firstLine="990" w:firstLineChars="450"/>
        <w:rPr>
          <w:rFonts w:hint="eastAsia" w:ascii="宋体" w:hAnsi="宋体" w:eastAsia="宋体" w:cs="宋体"/>
          <w:bCs/>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供应商名称（加盖公章）：</w:t>
      </w:r>
    </w:p>
    <w:p w14:paraId="79F530D7">
      <w:pPr>
        <w:keepNext w:val="0"/>
        <w:pageBreakBefore w:val="0"/>
        <w:widowControl w:val="0"/>
        <w:overflowPunct/>
        <w:bidi w:val="0"/>
        <w:spacing w:line="480" w:lineRule="auto"/>
        <w:ind w:firstLine="990" w:firstLineChars="450"/>
        <w:rPr>
          <w:rFonts w:hint="eastAsia" w:ascii="宋体" w:hAnsi="宋体" w:eastAsia="宋体" w:cs="宋体"/>
          <w:bCs/>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法定代表人或授权代表（签字或盖章）：</w:t>
      </w:r>
    </w:p>
    <w:p w14:paraId="537FDE4D">
      <w:pPr>
        <w:keepNext w:val="0"/>
        <w:pageBreakBefore w:val="0"/>
        <w:widowControl w:val="0"/>
        <w:overflowPunct/>
        <w:bidi w:val="0"/>
        <w:spacing w:line="480" w:lineRule="auto"/>
        <w:ind w:firstLine="990" w:firstLineChars="450"/>
        <w:rPr>
          <w:rFonts w:hint="eastAsia" w:ascii="宋体" w:hAnsi="宋体" w:eastAsia="宋体" w:cs="宋体"/>
          <w:bCs/>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供应商地址：</w:t>
      </w:r>
    </w:p>
    <w:p w14:paraId="16E9AE5E">
      <w:pPr>
        <w:keepNext w:val="0"/>
        <w:pageBreakBefore w:val="0"/>
        <w:widowControl w:val="0"/>
        <w:overflowPunct/>
        <w:bidi w:val="0"/>
        <w:spacing w:line="480" w:lineRule="auto"/>
        <w:jc w:val="center"/>
        <w:rPr>
          <w:rFonts w:hint="eastAsia" w:ascii="宋体" w:hAnsi="宋体" w:eastAsia="宋体" w:cs="宋体"/>
          <w:bCs/>
          <w:color w:val="auto"/>
          <w:sz w:val="22"/>
          <w:szCs w:val="22"/>
          <w:highlight w:val="none"/>
          <w:shd w:val="clear" w:color="auto" w:fill="auto"/>
        </w:rPr>
      </w:pPr>
    </w:p>
    <w:p w14:paraId="26A01654">
      <w:pPr>
        <w:keepNext w:val="0"/>
        <w:pageBreakBefore w:val="0"/>
        <w:widowControl w:val="0"/>
        <w:overflowPunct/>
        <w:bidi w:val="0"/>
        <w:spacing w:line="360" w:lineRule="auto"/>
        <w:jc w:val="center"/>
        <w:rPr>
          <w:rFonts w:hint="eastAsia" w:ascii="宋体" w:hAnsi="宋体" w:eastAsia="宋体" w:cs="宋体"/>
          <w:bCs/>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在   年   月   日   时  分之前不得启封</w:t>
      </w:r>
    </w:p>
    <w:p w14:paraId="5C525BAA">
      <w:pPr>
        <w:keepNext w:val="0"/>
        <w:pageBreakBefore w:val="0"/>
        <w:widowControl w:val="0"/>
        <w:overflowPunct/>
        <w:bidi w:val="0"/>
        <w:snapToGrid w:val="0"/>
        <w:spacing w:line="360" w:lineRule="auto"/>
        <w:jc w:val="center"/>
        <w:rPr>
          <w:rFonts w:hint="eastAsia" w:ascii="宋体" w:hAnsi="宋体" w:eastAsia="宋体" w:cs="宋体"/>
          <w:color w:val="auto"/>
          <w:sz w:val="22"/>
          <w:szCs w:val="22"/>
          <w:highlight w:val="none"/>
          <w:shd w:val="clear" w:color="auto" w:fill="auto"/>
        </w:rPr>
      </w:pPr>
    </w:p>
    <w:p w14:paraId="7EEB089A">
      <w:pPr>
        <w:keepNext w:val="0"/>
        <w:pageBreakBefore w:val="0"/>
        <w:widowControl w:val="0"/>
        <w:overflowPunct/>
        <w:bidi w:val="0"/>
        <w:snapToGrid w:val="0"/>
        <w:spacing w:line="360" w:lineRule="auto"/>
        <w:jc w:val="center"/>
        <w:rPr>
          <w:rFonts w:hint="eastAsia" w:ascii="宋体" w:hAnsi="宋体" w:eastAsia="宋体" w:cs="宋体"/>
          <w:color w:val="auto"/>
          <w:szCs w:val="21"/>
          <w:highlight w:val="none"/>
          <w:shd w:val="clear" w:color="auto" w:fill="auto"/>
        </w:rPr>
      </w:pPr>
    </w:p>
    <w:p w14:paraId="3489BD23">
      <w:pPr>
        <w:keepNext w:val="0"/>
        <w:pageBreakBefore w:val="0"/>
        <w:widowControl w:val="0"/>
        <w:overflowPunct/>
        <w:bidi w:val="0"/>
        <w:spacing w:line="360" w:lineRule="auto"/>
        <w:rPr>
          <w:rFonts w:hint="eastAsia" w:ascii="仿宋" w:hAnsi="仿宋" w:eastAsia="仿宋" w:cs="仿宋"/>
          <w:b/>
          <w:bCs w:val="0"/>
          <w:color w:val="auto"/>
          <w:szCs w:val="21"/>
          <w:highlight w:val="none"/>
        </w:rPr>
      </w:pPr>
    </w:p>
    <w:p w14:paraId="590EB64E">
      <w:pPr>
        <w:keepNext w:val="0"/>
        <w:pageBreakBefore w:val="0"/>
        <w:widowControl w:val="0"/>
        <w:overflowPunct/>
        <w:bidi w:val="0"/>
        <w:spacing w:line="360" w:lineRule="auto"/>
        <w:rPr>
          <w:rFonts w:hint="eastAsia" w:ascii="仿宋" w:hAnsi="仿宋" w:eastAsia="仿宋" w:cs="仿宋"/>
          <w:b/>
          <w:bCs w:val="0"/>
          <w:color w:val="auto"/>
          <w:szCs w:val="21"/>
          <w:highlight w:val="none"/>
        </w:rPr>
      </w:pPr>
    </w:p>
    <w:p w14:paraId="337BACBB">
      <w:pPr>
        <w:keepNext w:val="0"/>
        <w:pageBreakBefore w:val="0"/>
        <w:widowControl w:val="0"/>
        <w:overflowPunct/>
        <w:bidi w:val="0"/>
        <w:spacing w:line="360" w:lineRule="auto"/>
        <w:rPr>
          <w:rFonts w:hint="eastAsia" w:ascii="仿宋" w:hAnsi="仿宋" w:eastAsia="仿宋" w:cs="仿宋"/>
          <w:b/>
          <w:bCs w:val="0"/>
          <w:color w:val="auto"/>
          <w:szCs w:val="21"/>
          <w:highlight w:val="none"/>
        </w:rPr>
      </w:pPr>
    </w:p>
    <w:p w14:paraId="4E76FC03">
      <w:pPr>
        <w:keepNext w:val="0"/>
        <w:pageBreakBefore w:val="0"/>
        <w:widowControl w:val="0"/>
        <w:overflowPunct/>
        <w:bidi w:val="0"/>
        <w:spacing w:line="360" w:lineRule="auto"/>
        <w:rPr>
          <w:rFonts w:hint="eastAsia" w:ascii="仿宋" w:hAnsi="仿宋" w:eastAsia="仿宋" w:cs="仿宋"/>
          <w:b/>
          <w:bCs w:val="0"/>
          <w:color w:val="auto"/>
          <w:szCs w:val="21"/>
          <w:highlight w:val="none"/>
        </w:rPr>
      </w:pPr>
    </w:p>
    <w:p w14:paraId="4FBEF379">
      <w:pPr>
        <w:keepNext w:val="0"/>
        <w:pageBreakBefore w:val="0"/>
        <w:widowControl w:val="0"/>
        <w:overflowPunct/>
        <w:bidi w:val="0"/>
        <w:spacing w:line="360" w:lineRule="auto"/>
        <w:rPr>
          <w:rFonts w:hint="eastAsia" w:ascii="仿宋" w:hAnsi="仿宋" w:eastAsia="仿宋" w:cs="仿宋"/>
          <w:b/>
          <w:bCs w:val="0"/>
          <w:color w:val="auto"/>
          <w:szCs w:val="21"/>
          <w:highlight w:val="none"/>
        </w:rPr>
      </w:pPr>
    </w:p>
    <w:p w14:paraId="08B2E036">
      <w:pPr>
        <w:keepNext w:val="0"/>
        <w:pageBreakBefore w:val="0"/>
        <w:widowControl w:val="0"/>
        <w:overflowPunct/>
        <w:bidi w:val="0"/>
        <w:spacing w:line="360" w:lineRule="auto"/>
        <w:rPr>
          <w:rFonts w:hint="eastAsia" w:ascii="仿宋" w:hAnsi="仿宋" w:eastAsia="仿宋" w:cs="仿宋"/>
          <w:b/>
          <w:bCs w:val="0"/>
          <w:color w:val="auto"/>
          <w:szCs w:val="21"/>
          <w:highlight w:val="none"/>
        </w:rPr>
      </w:pPr>
    </w:p>
    <w:p w14:paraId="4452E73B">
      <w:pPr>
        <w:keepNext w:val="0"/>
        <w:pageBreakBefore w:val="0"/>
        <w:widowControl w:val="0"/>
        <w:overflowPunct/>
        <w:bidi w:val="0"/>
        <w:spacing w:line="360" w:lineRule="auto"/>
        <w:rPr>
          <w:rFonts w:hint="eastAsia" w:ascii="仿宋" w:hAnsi="仿宋" w:eastAsia="仿宋" w:cs="仿宋"/>
          <w:b/>
          <w:bCs w:val="0"/>
          <w:color w:val="auto"/>
          <w:szCs w:val="21"/>
          <w:highlight w:val="none"/>
        </w:rPr>
      </w:pPr>
    </w:p>
    <w:p w14:paraId="317954A0">
      <w:pPr>
        <w:keepNext w:val="0"/>
        <w:pageBreakBefore w:val="0"/>
        <w:widowControl w:val="0"/>
        <w:overflowPunct/>
        <w:bidi w:val="0"/>
        <w:spacing w:line="360" w:lineRule="auto"/>
        <w:rPr>
          <w:rFonts w:hint="eastAsia" w:ascii="仿宋" w:hAnsi="仿宋" w:eastAsia="仿宋" w:cs="仿宋"/>
          <w:b/>
          <w:bCs w:val="0"/>
          <w:color w:val="auto"/>
          <w:szCs w:val="21"/>
          <w:highlight w:val="none"/>
        </w:rPr>
      </w:pPr>
    </w:p>
    <w:p w14:paraId="60AFA31A">
      <w:pPr>
        <w:keepNext w:val="0"/>
        <w:pageBreakBefore w:val="0"/>
        <w:widowControl w:val="0"/>
        <w:overflowPunct/>
        <w:bidi w:val="0"/>
        <w:spacing w:line="360" w:lineRule="auto"/>
        <w:rPr>
          <w:rFonts w:hint="eastAsia" w:ascii="宋体" w:hAnsi="宋体" w:eastAsia="宋体" w:cs="宋体"/>
          <w:b/>
          <w:bCs/>
          <w:color w:val="auto"/>
          <w:szCs w:val="21"/>
          <w:highlight w:val="none"/>
          <w:shd w:val="clear" w:color="auto" w:fill="auto"/>
        </w:rPr>
      </w:pPr>
      <w:r>
        <w:rPr>
          <w:rFonts w:hint="eastAsia" w:ascii="宋体" w:hAnsi="宋体" w:eastAsia="宋体" w:cs="宋体"/>
          <w:b/>
          <w:color w:val="auto"/>
          <w:szCs w:val="21"/>
          <w:highlight w:val="none"/>
          <w:shd w:val="clear" w:color="auto" w:fill="auto"/>
        </w:rPr>
        <w:br w:type="page"/>
      </w:r>
      <w:r>
        <w:rPr>
          <w:rFonts w:hint="eastAsia" w:ascii="宋体" w:hAnsi="宋体" w:cs="宋体"/>
          <w:b/>
          <w:color w:val="auto"/>
          <w:szCs w:val="21"/>
          <w:highlight w:val="none"/>
          <w:shd w:val="clear" w:color="auto" w:fill="auto"/>
          <w:lang w:eastAsia="zh-CN"/>
        </w:rPr>
        <w:t>投标文件</w:t>
      </w:r>
      <w:r>
        <w:rPr>
          <w:rFonts w:hint="eastAsia" w:ascii="宋体" w:hAnsi="宋体" w:eastAsia="宋体" w:cs="宋体"/>
          <w:b/>
          <w:color w:val="auto"/>
          <w:szCs w:val="21"/>
          <w:highlight w:val="none"/>
          <w:shd w:val="clear" w:color="auto" w:fill="auto"/>
        </w:rPr>
        <w:t>封面格式：</w:t>
      </w:r>
    </w:p>
    <w:p w14:paraId="1CC28BAE">
      <w:pPr>
        <w:keepNext w:val="0"/>
        <w:pageBreakBefore w:val="0"/>
        <w:widowControl w:val="0"/>
        <w:overflowPunct/>
        <w:bidi w:val="0"/>
        <w:spacing w:line="360" w:lineRule="auto"/>
        <w:rPr>
          <w:rFonts w:hint="eastAsia" w:ascii="宋体" w:hAnsi="宋体" w:eastAsia="宋体" w:cs="宋体"/>
          <w:b/>
          <w:bCs/>
          <w:color w:val="auto"/>
          <w:szCs w:val="21"/>
          <w:highlight w:val="none"/>
          <w:shd w:val="clear" w:color="auto" w:fill="auto"/>
        </w:rPr>
      </w:pPr>
    </w:p>
    <w:p w14:paraId="370CB412">
      <w:pPr>
        <w:keepNext w:val="0"/>
        <w:pageBreakBefore w:val="0"/>
        <w:widowControl w:val="0"/>
        <w:overflowPunct/>
        <w:bidi w:val="0"/>
        <w:spacing w:line="360" w:lineRule="auto"/>
        <w:rPr>
          <w:rFonts w:hint="eastAsia" w:ascii="宋体" w:hAnsi="宋体" w:eastAsia="宋体" w:cs="宋体"/>
          <w:b/>
          <w:bCs/>
          <w:color w:val="auto"/>
          <w:szCs w:val="21"/>
          <w:highlight w:val="none"/>
          <w:shd w:val="clear" w:color="auto" w:fill="auto"/>
        </w:rPr>
      </w:pPr>
    </w:p>
    <w:p w14:paraId="5D82D564">
      <w:pPr>
        <w:keepNext w:val="0"/>
        <w:pageBreakBefore w:val="0"/>
        <w:widowControl w:val="0"/>
        <w:overflowPunct/>
        <w:bidi w:val="0"/>
        <w:spacing w:line="360" w:lineRule="auto"/>
        <w:rPr>
          <w:rFonts w:hint="eastAsia" w:ascii="宋体" w:hAnsi="宋体" w:eastAsia="宋体" w:cs="宋体"/>
          <w:b/>
          <w:bCs/>
          <w:color w:val="auto"/>
          <w:szCs w:val="21"/>
          <w:highlight w:val="none"/>
          <w:shd w:val="clear" w:color="auto" w:fill="auto"/>
        </w:rPr>
      </w:pPr>
    </w:p>
    <w:p w14:paraId="27D0E2A6">
      <w:pPr>
        <w:keepNext w:val="0"/>
        <w:pageBreakBefore w:val="0"/>
        <w:widowControl w:val="0"/>
        <w:overflowPunct/>
        <w:bidi w:val="0"/>
        <w:spacing w:line="360" w:lineRule="auto"/>
        <w:rPr>
          <w:rFonts w:hint="eastAsia" w:ascii="宋体" w:hAnsi="宋体" w:eastAsia="宋体" w:cs="宋体"/>
          <w:b/>
          <w:bCs/>
          <w:color w:val="auto"/>
          <w:szCs w:val="21"/>
          <w:highlight w:val="none"/>
          <w:shd w:val="clear" w:color="auto" w:fill="auto"/>
        </w:rPr>
      </w:pPr>
    </w:p>
    <w:p w14:paraId="02587846">
      <w:pPr>
        <w:keepNext w:val="0"/>
        <w:pageBreakBefore w:val="0"/>
        <w:widowControl w:val="0"/>
        <w:overflowPunct/>
        <w:bidi w:val="0"/>
        <w:spacing w:line="360" w:lineRule="auto"/>
        <w:rPr>
          <w:rFonts w:hint="eastAsia" w:ascii="宋体" w:hAnsi="宋体" w:eastAsia="宋体" w:cs="宋体"/>
          <w:b/>
          <w:bCs/>
          <w:color w:val="auto"/>
          <w:szCs w:val="21"/>
          <w:highlight w:val="none"/>
          <w:shd w:val="clear" w:color="auto" w:fill="auto"/>
        </w:rPr>
      </w:pPr>
    </w:p>
    <w:p w14:paraId="79B1AC35">
      <w:pPr>
        <w:keepNext w:val="0"/>
        <w:pageBreakBefore w:val="0"/>
        <w:widowControl w:val="0"/>
        <w:overflowPunct/>
        <w:bidi w:val="0"/>
        <w:spacing w:line="360" w:lineRule="auto"/>
        <w:jc w:val="right"/>
        <w:rPr>
          <w:rFonts w:hint="eastAsia" w:ascii="宋体" w:hAnsi="宋体" w:eastAsia="宋体" w:cs="宋体"/>
          <w:bCs/>
          <w:color w:val="auto"/>
          <w:szCs w:val="21"/>
          <w:highlight w:val="none"/>
          <w:shd w:val="clear" w:color="auto" w:fill="auto"/>
        </w:rPr>
      </w:pPr>
    </w:p>
    <w:p w14:paraId="6957D973">
      <w:pPr>
        <w:keepNext w:val="0"/>
        <w:pageBreakBefore w:val="0"/>
        <w:widowControl w:val="0"/>
        <w:overflowPunct/>
        <w:bidi w:val="0"/>
        <w:spacing w:line="360" w:lineRule="auto"/>
        <w:jc w:val="center"/>
        <w:rPr>
          <w:rFonts w:hint="eastAsia" w:ascii="宋体" w:hAnsi="宋体" w:eastAsia="宋体" w:cs="宋体"/>
          <w:bCs/>
          <w:color w:val="auto"/>
          <w:sz w:val="48"/>
          <w:szCs w:val="48"/>
          <w:highlight w:val="none"/>
          <w:shd w:val="clear" w:color="auto" w:fill="auto"/>
          <w:lang w:eastAsia="zh-CN"/>
        </w:rPr>
      </w:pPr>
      <w:r>
        <w:rPr>
          <w:rFonts w:hint="eastAsia" w:ascii="宋体" w:hAnsi="宋体" w:cs="宋体"/>
          <w:b/>
          <w:color w:val="auto"/>
          <w:sz w:val="48"/>
          <w:szCs w:val="48"/>
          <w:highlight w:val="none"/>
          <w:shd w:val="clear" w:color="auto" w:fill="auto"/>
          <w:lang w:eastAsia="zh-CN"/>
        </w:rPr>
        <w:t>投 标 文 件</w:t>
      </w:r>
    </w:p>
    <w:p w14:paraId="40AF139B">
      <w:pPr>
        <w:keepNext w:val="0"/>
        <w:pageBreakBefore w:val="0"/>
        <w:widowControl w:val="0"/>
        <w:overflowPunct/>
        <w:bidi w:val="0"/>
        <w:spacing w:line="360" w:lineRule="auto"/>
        <w:ind w:firstLine="6919" w:firstLineChars="2883"/>
        <w:rPr>
          <w:rFonts w:hint="eastAsia" w:ascii="宋体" w:hAnsi="宋体" w:eastAsia="宋体" w:cs="宋体"/>
          <w:bCs/>
          <w:color w:val="auto"/>
          <w:sz w:val="24"/>
          <w:highlight w:val="none"/>
          <w:shd w:val="clear" w:color="auto" w:fill="auto"/>
        </w:rPr>
      </w:pPr>
    </w:p>
    <w:p w14:paraId="5A6FCF77">
      <w:pPr>
        <w:keepNext w:val="0"/>
        <w:pageBreakBefore w:val="0"/>
        <w:widowControl w:val="0"/>
        <w:overflowPunct/>
        <w:bidi w:val="0"/>
        <w:spacing w:line="600" w:lineRule="auto"/>
        <w:ind w:firstLine="990" w:firstLineChars="450"/>
        <w:rPr>
          <w:rFonts w:hint="eastAsia" w:ascii="宋体" w:hAnsi="宋体" w:eastAsia="宋体" w:cs="宋体"/>
          <w:bCs/>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项目编号：</w:t>
      </w:r>
    </w:p>
    <w:p w14:paraId="41805CE5">
      <w:pPr>
        <w:keepNext w:val="0"/>
        <w:pageBreakBefore w:val="0"/>
        <w:widowControl w:val="0"/>
        <w:overflowPunct/>
        <w:bidi w:val="0"/>
        <w:spacing w:line="600" w:lineRule="auto"/>
        <w:ind w:firstLine="440" w:firstLineChars="200"/>
        <w:rPr>
          <w:rFonts w:hint="eastAsia" w:ascii="宋体" w:hAnsi="宋体" w:eastAsia="宋体" w:cs="宋体"/>
          <w:bCs/>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 xml:space="preserve">     项目名称：</w:t>
      </w:r>
    </w:p>
    <w:p w14:paraId="19326ED2">
      <w:pPr>
        <w:keepNext w:val="0"/>
        <w:pageBreakBefore w:val="0"/>
        <w:widowControl w:val="0"/>
        <w:overflowPunct/>
        <w:bidi w:val="0"/>
        <w:spacing w:line="600" w:lineRule="auto"/>
        <w:ind w:firstLine="440" w:firstLineChars="200"/>
        <w:rPr>
          <w:rFonts w:hint="eastAsia" w:ascii="宋体" w:hAnsi="宋体" w:eastAsia="宋体" w:cs="宋体"/>
          <w:bCs/>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 xml:space="preserve">     </w:t>
      </w:r>
      <w:r>
        <w:rPr>
          <w:rFonts w:hint="eastAsia" w:ascii="宋体" w:hAnsi="宋体" w:cs="宋体"/>
          <w:bCs/>
          <w:color w:val="auto"/>
          <w:sz w:val="22"/>
          <w:szCs w:val="22"/>
          <w:highlight w:val="none"/>
          <w:shd w:val="clear" w:color="auto" w:fill="auto"/>
          <w:lang w:eastAsia="zh-CN"/>
        </w:rPr>
        <w:t>投标文件</w:t>
      </w:r>
      <w:r>
        <w:rPr>
          <w:rFonts w:hint="eastAsia" w:ascii="宋体" w:hAnsi="宋体" w:eastAsia="宋体" w:cs="宋体"/>
          <w:bCs/>
          <w:color w:val="auto"/>
          <w:sz w:val="22"/>
          <w:szCs w:val="22"/>
          <w:highlight w:val="none"/>
          <w:shd w:val="clear" w:color="auto" w:fill="auto"/>
        </w:rPr>
        <w:t>名称：</w:t>
      </w:r>
      <w:r>
        <w:rPr>
          <w:rFonts w:hint="eastAsia" w:ascii="宋体" w:hAnsi="宋体" w:eastAsia="宋体" w:cs="宋体"/>
          <w:bCs/>
          <w:color w:val="auto"/>
          <w:sz w:val="22"/>
          <w:szCs w:val="22"/>
          <w:highlight w:val="none"/>
          <w:shd w:val="clear" w:color="auto" w:fill="auto"/>
          <w:lang w:eastAsia="zh-CN"/>
        </w:rPr>
        <w:t>资格证明文件</w:t>
      </w:r>
      <w:r>
        <w:rPr>
          <w:rFonts w:hint="eastAsia" w:ascii="宋体" w:hAnsi="宋体" w:eastAsia="宋体" w:cs="宋体"/>
          <w:bCs/>
          <w:color w:val="auto"/>
          <w:sz w:val="22"/>
          <w:szCs w:val="22"/>
          <w:highlight w:val="none"/>
          <w:shd w:val="clear" w:color="auto" w:fill="auto"/>
        </w:rPr>
        <w:t>/报价文件/技术商务文件</w:t>
      </w:r>
    </w:p>
    <w:p w14:paraId="34137F6C">
      <w:pPr>
        <w:keepNext w:val="0"/>
        <w:pageBreakBefore w:val="0"/>
        <w:widowControl w:val="0"/>
        <w:overflowPunct/>
        <w:bidi w:val="0"/>
        <w:spacing w:line="600" w:lineRule="auto"/>
        <w:ind w:firstLine="990" w:firstLineChars="450"/>
        <w:rPr>
          <w:rFonts w:hint="eastAsia" w:ascii="宋体" w:hAnsi="宋体" w:eastAsia="宋体" w:cs="宋体"/>
          <w:bCs/>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供应商名称（加盖公章）：</w:t>
      </w:r>
    </w:p>
    <w:p w14:paraId="67781A99">
      <w:pPr>
        <w:keepNext w:val="0"/>
        <w:pageBreakBefore w:val="0"/>
        <w:widowControl w:val="0"/>
        <w:overflowPunct/>
        <w:bidi w:val="0"/>
        <w:spacing w:line="600" w:lineRule="auto"/>
        <w:ind w:firstLine="990" w:firstLineChars="450"/>
        <w:rPr>
          <w:rFonts w:hint="eastAsia" w:ascii="宋体" w:hAnsi="宋体" w:eastAsia="宋体" w:cs="宋体"/>
          <w:bCs/>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法定代表人或授权代表（签字或盖章）：</w:t>
      </w:r>
    </w:p>
    <w:p w14:paraId="3164A114">
      <w:pPr>
        <w:keepNext w:val="0"/>
        <w:pageBreakBefore w:val="0"/>
        <w:widowControl w:val="0"/>
        <w:overflowPunct/>
        <w:bidi w:val="0"/>
        <w:spacing w:line="600" w:lineRule="auto"/>
        <w:ind w:firstLine="990" w:firstLineChars="450"/>
        <w:rPr>
          <w:rFonts w:hint="eastAsia" w:ascii="宋体" w:hAnsi="宋体" w:eastAsia="宋体" w:cs="宋体"/>
          <w:bCs/>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供应商地址：</w:t>
      </w:r>
    </w:p>
    <w:p w14:paraId="627B6B17">
      <w:pPr>
        <w:keepNext w:val="0"/>
        <w:pageBreakBefore w:val="0"/>
        <w:widowControl w:val="0"/>
        <w:overflowPunct/>
        <w:bidi w:val="0"/>
        <w:spacing w:line="480" w:lineRule="auto"/>
        <w:ind w:firstLine="3740" w:firstLineChars="1700"/>
        <w:rPr>
          <w:rFonts w:hint="eastAsia" w:ascii="宋体" w:hAnsi="宋体" w:eastAsia="宋体" w:cs="宋体"/>
          <w:bCs/>
          <w:color w:val="auto"/>
          <w:sz w:val="22"/>
          <w:szCs w:val="22"/>
          <w:highlight w:val="none"/>
          <w:shd w:val="clear" w:color="auto" w:fill="auto"/>
        </w:rPr>
      </w:pPr>
    </w:p>
    <w:p w14:paraId="0C3FB294">
      <w:pPr>
        <w:keepNext w:val="0"/>
        <w:pageBreakBefore w:val="0"/>
        <w:widowControl w:val="0"/>
        <w:overflowPunct/>
        <w:bidi w:val="0"/>
        <w:spacing w:line="480" w:lineRule="auto"/>
        <w:ind w:firstLine="645"/>
        <w:jc w:val="center"/>
        <w:rPr>
          <w:rFonts w:hint="eastAsia" w:ascii="宋体" w:hAnsi="宋体" w:eastAsia="宋体" w:cs="宋体"/>
          <w:bCs/>
          <w:color w:val="auto"/>
          <w:sz w:val="22"/>
          <w:szCs w:val="22"/>
          <w:highlight w:val="none"/>
          <w:shd w:val="clear" w:color="auto" w:fill="auto"/>
        </w:rPr>
      </w:pPr>
      <w:r>
        <w:rPr>
          <w:rFonts w:hint="eastAsia" w:ascii="宋体" w:hAnsi="宋体" w:eastAsia="宋体" w:cs="宋体"/>
          <w:bCs/>
          <w:color w:val="auto"/>
          <w:sz w:val="22"/>
          <w:szCs w:val="22"/>
          <w:highlight w:val="none"/>
          <w:shd w:val="clear" w:color="auto" w:fill="auto"/>
        </w:rPr>
        <w:t xml:space="preserve">                              年   月   日</w:t>
      </w:r>
    </w:p>
    <w:p w14:paraId="3B931D78">
      <w:pPr>
        <w:keepNext w:val="0"/>
        <w:pageBreakBefore w:val="0"/>
        <w:widowControl w:val="0"/>
        <w:overflowPunct/>
        <w:bidi w:val="0"/>
        <w:snapToGrid w:val="0"/>
        <w:spacing w:line="360" w:lineRule="auto"/>
        <w:ind w:firstLine="413" w:firstLineChars="196"/>
        <w:jc w:val="left"/>
        <w:rPr>
          <w:rFonts w:hint="eastAsia" w:ascii="宋体" w:hAnsi="宋体" w:eastAsia="宋体" w:cs="宋体"/>
          <w:b/>
          <w:color w:val="auto"/>
          <w:szCs w:val="21"/>
          <w:highlight w:val="none"/>
          <w:shd w:val="clear" w:color="auto" w:fill="auto"/>
        </w:rPr>
      </w:pPr>
    </w:p>
    <w:p w14:paraId="679FD377">
      <w:pPr>
        <w:keepNext w:val="0"/>
        <w:pageBreakBefore w:val="0"/>
        <w:widowControl w:val="0"/>
        <w:overflowPunct/>
        <w:bidi w:val="0"/>
        <w:snapToGrid w:val="0"/>
        <w:spacing w:line="360" w:lineRule="auto"/>
        <w:ind w:firstLine="422" w:firstLineChars="200"/>
        <w:jc w:val="left"/>
        <w:rPr>
          <w:rFonts w:hint="eastAsia" w:ascii="宋体" w:hAnsi="宋体" w:eastAsia="宋体" w:cs="宋体"/>
          <w:b/>
          <w:bCs w:val="0"/>
          <w:color w:val="auto"/>
          <w:sz w:val="21"/>
          <w:szCs w:val="21"/>
          <w:highlight w:val="none"/>
          <w:shd w:val="clear" w:color="auto" w:fill="auto"/>
        </w:rPr>
      </w:pPr>
    </w:p>
    <w:p w14:paraId="6339284A">
      <w:pPr>
        <w:keepNext w:val="0"/>
        <w:pageBreakBefore w:val="0"/>
        <w:widowControl w:val="0"/>
        <w:overflowPunct/>
        <w:bidi w:val="0"/>
        <w:snapToGrid w:val="0"/>
        <w:spacing w:line="360" w:lineRule="auto"/>
        <w:ind w:firstLine="422" w:firstLineChars="200"/>
        <w:jc w:val="left"/>
        <w:rPr>
          <w:rFonts w:hint="eastAsia" w:ascii="宋体" w:hAnsi="宋体" w:eastAsia="宋体" w:cs="宋体"/>
          <w:b/>
          <w:bCs w:val="0"/>
          <w:color w:val="auto"/>
          <w:sz w:val="21"/>
          <w:szCs w:val="21"/>
          <w:highlight w:val="none"/>
          <w:shd w:val="clear" w:color="auto" w:fill="auto"/>
        </w:rPr>
      </w:pPr>
    </w:p>
    <w:p w14:paraId="6A90F7F8">
      <w:pPr>
        <w:keepNext w:val="0"/>
        <w:pageBreakBefore w:val="0"/>
        <w:widowControl w:val="0"/>
        <w:overflowPunct/>
        <w:bidi w:val="0"/>
        <w:snapToGrid w:val="0"/>
        <w:spacing w:line="360" w:lineRule="auto"/>
        <w:ind w:firstLine="422" w:firstLineChars="200"/>
        <w:jc w:val="left"/>
        <w:rPr>
          <w:rFonts w:hint="eastAsia" w:ascii="宋体" w:hAnsi="宋体" w:eastAsia="宋体" w:cs="宋体"/>
          <w:b/>
          <w:bCs w:val="0"/>
          <w:color w:val="auto"/>
          <w:sz w:val="21"/>
          <w:szCs w:val="21"/>
          <w:highlight w:val="none"/>
          <w:shd w:val="clear" w:color="auto" w:fill="auto"/>
        </w:rPr>
      </w:pPr>
    </w:p>
    <w:p w14:paraId="13BA51B1">
      <w:pPr>
        <w:keepNext w:val="0"/>
        <w:pageBreakBefore w:val="0"/>
        <w:widowControl w:val="0"/>
        <w:overflowPunct/>
        <w:bidi w:val="0"/>
        <w:snapToGrid w:val="0"/>
        <w:spacing w:line="360" w:lineRule="auto"/>
        <w:ind w:firstLine="422" w:firstLineChars="200"/>
        <w:jc w:val="left"/>
        <w:rPr>
          <w:rFonts w:hint="eastAsia" w:ascii="宋体" w:hAnsi="宋体" w:eastAsia="宋体" w:cs="宋体"/>
          <w:b/>
          <w:bCs w:val="0"/>
          <w:color w:val="auto"/>
          <w:sz w:val="21"/>
          <w:szCs w:val="21"/>
          <w:highlight w:val="none"/>
          <w:shd w:val="clear" w:color="auto" w:fill="auto"/>
        </w:rPr>
      </w:pPr>
    </w:p>
    <w:p w14:paraId="42568381">
      <w:pPr>
        <w:keepNext w:val="0"/>
        <w:pageBreakBefore w:val="0"/>
        <w:widowControl w:val="0"/>
        <w:overflowPunct/>
        <w:bidi w:val="0"/>
        <w:snapToGrid w:val="0"/>
        <w:spacing w:line="360" w:lineRule="auto"/>
        <w:ind w:firstLine="422" w:firstLineChars="200"/>
        <w:jc w:val="left"/>
        <w:rPr>
          <w:rFonts w:hint="eastAsia" w:ascii="宋体" w:hAnsi="宋体" w:eastAsia="宋体" w:cs="宋体"/>
          <w:b/>
          <w:bCs w:val="0"/>
          <w:color w:val="auto"/>
          <w:sz w:val="21"/>
          <w:szCs w:val="21"/>
          <w:highlight w:val="none"/>
          <w:shd w:val="clear" w:color="auto" w:fill="auto"/>
        </w:rPr>
      </w:pPr>
    </w:p>
    <w:p w14:paraId="43E902AD">
      <w:pPr>
        <w:keepNext w:val="0"/>
        <w:pageBreakBefore w:val="0"/>
        <w:widowControl w:val="0"/>
        <w:overflowPunct/>
        <w:bidi w:val="0"/>
        <w:snapToGrid w:val="0"/>
        <w:spacing w:line="360" w:lineRule="auto"/>
        <w:ind w:firstLine="422" w:firstLineChars="200"/>
        <w:jc w:val="left"/>
        <w:rPr>
          <w:rFonts w:hint="eastAsia" w:ascii="宋体" w:hAnsi="宋体" w:eastAsia="宋体" w:cs="宋体"/>
          <w:b/>
          <w:bCs w:val="0"/>
          <w:color w:val="auto"/>
          <w:sz w:val="21"/>
          <w:szCs w:val="21"/>
          <w:highlight w:val="none"/>
          <w:shd w:val="clear" w:color="auto" w:fill="auto"/>
        </w:rPr>
      </w:pPr>
    </w:p>
    <w:p w14:paraId="67E64F71">
      <w:pPr>
        <w:keepNext w:val="0"/>
        <w:pageBreakBefore w:val="0"/>
        <w:widowControl w:val="0"/>
        <w:overflowPunct/>
        <w:bidi w:val="0"/>
        <w:snapToGrid w:val="0"/>
        <w:spacing w:line="360" w:lineRule="auto"/>
        <w:ind w:firstLine="422" w:firstLineChars="200"/>
        <w:jc w:val="left"/>
        <w:rPr>
          <w:rFonts w:hint="eastAsia" w:ascii="宋体" w:hAnsi="宋体" w:eastAsia="宋体" w:cs="宋体"/>
          <w:b/>
          <w:bCs w:val="0"/>
          <w:color w:val="auto"/>
          <w:sz w:val="21"/>
          <w:szCs w:val="21"/>
          <w:highlight w:val="none"/>
          <w:shd w:val="clear" w:color="auto" w:fill="auto"/>
        </w:rPr>
      </w:pPr>
    </w:p>
    <w:p w14:paraId="6E7A415C">
      <w:pPr>
        <w:keepNext w:val="0"/>
        <w:pageBreakBefore w:val="0"/>
        <w:widowControl w:val="0"/>
        <w:overflowPunct/>
        <w:bidi w:val="0"/>
        <w:snapToGrid w:val="0"/>
        <w:spacing w:line="360" w:lineRule="auto"/>
        <w:ind w:firstLine="420" w:firstLineChars="200"/>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Cs w:val="21"/>
          <w:highlight w:val="none"/>
          <w:shd w:val="clear" w:color="auto" w:fill="auto"/>
        </w:rPr>
        <w:br w:type="page"/>
      </w:r>
      <w:r>
        <w:rPr>
          <w:rFonts w:hint="eastAsia" w:ascii="宋体" w:hAnsi="宋体" w:cs="宋体"/>
          <w:color w:val="auto"/>
          <w:sz w:val="22"/>
          <w:szCs w:val="22"/>
          <w:highlight w:val="none"/>
          <w:shd w:val="clear" w:color="auto" w:fill="auto"/>
          <w:lang w:eastAsia="zh-CN"/>
        </w:rPr>
        <w:t>投标文件</w:t>
      </w:r>
      <w:r>
        <w:rPr>
          <w:rFonts w:hint="eastAsia" w:ascii="宋体" w:hAnsi="宋体" w:eastAsia="宋体" w:cs="宋体"/>
          <w:color w:val="auto"/>
          <w:sz w:val="22"/>
          <w:szCs w:val="22"/>
          <w:highlight w:val="none"/>
          <w:shd w:val="clear" w:color="auto" w:fill="auto"/>
        </w:rPr>
        <w:t>至少包含以下部分：</w:t>
      </w:r>
    </w:p>
    <w:p w14:paraId="0CCBAA97">
      <w:pPr>
        <w:keepNext w:val="0"/>
        <w:pageBreakBefore w:val="0"/>
        <w:widowControl w:val="0"/>
        <w:overflowPunct/>
        <w:bidi w:val="0"/>
        <w:spacing w:line="360" w:lineRule="auto"/>
        <w:jc w:val="left"/>
        <w:rPr>
          <w:rFonts w:hint="eastAsia" w:ascii="宋体" w:hAnsi="宋体" w:eastAsia="宋体" w:cs="宋体"/>
          <w:color w:val="auto"/>
          <w:kern w:val="0"/>
          <w:sz w:val="22"/>
          <w:szCs w:val="22"/>
          <w:highlight w:val="none"/>
          <w:shd w:val="clear" w:color="auto" w:fill="auto"/>
          <w:lang w:eastAsia="zh-CN"/>
        </w:rPr>
      </w:pPr>
      <w:r>
        <w:rPr>
          <w:rFonts w:hint="eastAsia" w:ascii="宋体" w:hAnsi="宋体" w:eastAsia="宋体" w:cs="宋体"/>
          <w:b/>
          <w:color w:val="auto"/>
          <w:sz w:val="22"/>
          <w:szCs w:val="22"/>
          <w:highlight w:val="none"/>
          <w:shd w:val="clear" w:color="auto" w:fill="auto"/>
        </w:rPr>
        <w:t>1.</w:t>
      </w:r>
      <w:r>
        <w:rPr>
          <w:rFonts w:hint="eastAsia" w:ascii="宋体" w:hAnsi="宋体" w:eastAsia="宋体" w:cs="宋体"/>
          <w:b/>
          <w:bCs/>
          <w:color w:val="auto"/>
          <w:kern w:val="0"/>
          <w:sz w:val="22"/>
          <w:szCs w:val="22"/>
          <w:highlight w:val="none"/>
          <w:shd w:val="clear" w:color="auto" w:fill="auto"/>
          <w:lang w:eastAsia="zh-CN"/>
        </w:rPr>
        <w:t>资格证明文件</w:t>
      </w:r>
    </w:p>
    <w:p w14:paraId="6D7AC4C6">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（1）</w:t>
      </w:r>
      <w:r>
        <w:rPr>
          <w:rFonts w:hint="eastAsia" w:ascii="宋体" w:hAnsi="宋体" w:cs="宋体"/>
          <w:color w:val="auto"/>
          <w:kern w:val="0"/>
          <w:sz w:val="22"/>
          <w:szCs w:val="22"/>
          <w:highlight w:val="none"/>
          <w:shd w:val="clear" w:color="auto" w:fill="auto"/>
          <w:lang w:eastAsia="zh-CN"/>
        </w:rPr>
        <w:t>资格声明函</w:t>
      </w:r>
      <w:r>
        <w:rPr>
          <w:rFonts w:hint="eastAsia" w:ascii="宋体" w:hAnsi="宋体" w:eastAsia="宋体" w:cs="宋体"/>
          <w:color w:val="auto"/>
          <w:kern w:val="0"/>
          <w:sz w:val="22"/>
          <w:szCs w:val="22"/>
          <w:highlight w:val="none"/>
          <w:shd w:val="clear" w:color="auto" w:fill="auto"/>
        </w:rPr>
        <w:t>；</w:t>
      </w:r>
    </w:p>
    <w:p w14:paraId="4F4D22E4">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2）如投标代表为法定代表人时提供：法定代表人的正反面身份证复印件（加盖公章）；如投标代表非法定代表人时提供法定代表人授权委托书原件、法定代表人及授权代表的正反面身份证复印件（加盖公章）；</w:t>
      </w:r>
    </w:p>
    <w:p w14:paraId="0941EEDC">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（3）有效的企业营业执照（或法人登记证）或者民办非企业单位登记证书复印件并加盖公章；</w:t>
      </w:r>
    </w:p>
    <w:p w14:paraId="7D864C89">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（4）本项目公告发布日期之后通过“信用中国”（www.creditchina.gov.cn</w:t>
      </w:r>
      <w:r>
        <w:rPr>
          <w:rFonts w:hint="eastAsia" w:ascii="宋体" w:hAnsi="宋体" w:eastAsia="宋体" w:cs="宋体"/>
          <w:color w:val="auto"/>
          <w:kern w:val="0"/>
          <w:sz w:val="22"/>
          <w:szCs w:val="22"/>
          <w:highlight w:val="none"/>
          <w:shd w:val="clear" w:color="auto" w:fill="auto"/>
          <w:lang w:eastAsia="zh-CN"/>
        </w:rPr>
        <w:t>）</w:t>
      </w:r>
      <w:r>
        <w:rPr>
          <w:rFonts w:hint="eastAsia" w:ascii="宋体" w:hAnsi="宋体" w:eastAsia="宋体" w:cs="宋体"/>
          <w:color w:val="auto"/>
          <w:kern w:val="0"/>
          <w:sz w:val="22"/>
          <w:szCs w:val="22"/>
          <w:highlight w:val="none"/>
          <w:shd w:val="clear" w:color="auto" w:fill="auto"/>
        </w:rPr>
        <w:t>、中国政府采购网（www.ccgp.gov.cn）列入失信被执行人、重大税收违法失信主体、政府采购严重违法失信行为记录名单的信息查询结果网页打印件或截图；</w:t>
      </w:r>
    </w:p>
    <w:p w14:paraId="27180CF7">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（5）中小企业声明函；</w:t>
      </w:r>
    </w:p>
    <w:p w14:paraId="6E8A439E">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（6）残疾人福利性单位声明函（残疾人福利性单位须提供）（如有）；</w:t>
      </w:r>
    </w:p>
    <w:p w14:paraId="30C7ABB6">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（7）投标供应商为监狱企业的证明文件：省级以上监狱管理局、戒毒管理局（含新疆生产建设兵团）出具（如是请提供）</w:t>
      </w:r>
    </w:p>
    <w:p w14:paraId="037FAF7E">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（8）合格供应商的资格承诺书；</w:t>
      </w:r>
    </w:p>
    <w:p w14:paraId="464F4180">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（9）供应商基本情况表；</w:t>
      </w:r>
    </w:p>
    <w:p w14:paraId="7F981200">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lang w:eastAsia="zh-CN"/>
        </w:rPr>
      </w:pPr>
      <w:r>
        <w:rPr>
          <w:rFonts w:hint="eastAsia" w:ascii="宋体" w:hAnsi="宋体" w:eastAsia="宋体" w:cs="宋体"/>
          <w:color w:val="auto"/>
          <w:kern w:val="0"/>
          <w:sz w:val="22"/>
          <w:szCs w:val="22"/>
          <w:highlight w:val="none"/>
          <w:shd w:val="clear" w:color="auto" w:fill="auto"/>
        </w:rPr>
        <w:t>（10）本项目的特定资格要求证明材料。</w:t>
      </w:r>
    </w:p>
    <w:p w14:paraId="0727550B">
      <w:pPr>
        <w:keepNext w:val="0"/>
        <w:pageBreakBefore w:val="0"/>
        <w:widowControl w:val="0"/>
        <w:overflowPunct/>
        <w:bidi w:val="0"/>
        <w:spacing w:line="360" w:lineRule="auto"/>
        <w:jc w:val="left"/>
        <w:rPr>
          <w:rFonts w:hint="eastAsia" w:ascii="宋体" w:hAnsi="宋体" w:eastAsia="宋体" w:cs="宋体"/>
          <w:b/>
          <w:bCs/>
          <w:color w:val="auto"/>
          <w:kern w:val="0"/>
          <w:sz w:val="22"/>
          <w:szCs w:val="22"/>
          <w:highlight w:val="none"/>
          <w:shd w:val="clear" w:color="auto" w:fill="auto"/>
        </w:rPr>
      </w:pPr>
      <w:r>
        <w:rPr>
          <w:rFonts w:hint="eastAsia" w:ascii="宋体" w:hAnsi="宋体" w:eastAsia="宋体" w:cs="宋体"/>
          <w:b/>
          <w:bCs/>
          <w:color w:val="auto"/>
          <w:kern w:val="0"/>
          <w:sz w:val="22"/>
          <w:szCs w:val="22"/>
          <w:highlight w:val="none"/>
          <w:shd w:val="clear" w:color="auto" w:fill="auto"/>
        </w:rPr>
        <w:t>2.技术商务文件</w:t>
      </w:r>
    </w:p>
    <w:p w14:paraId="149AC389">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（1）商务条款偏离表；</w:t>
      </w:r>
    </w:p>
    <w:p w14:paraId="67B78FE2">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（2）技术服务条款偏离表；</w:t>
      </w:r>
    </w:p>
    <w:p w14:paraId="6C5B8FCF">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（3）</w:t>
      </w:r>
      <w:r>
        <w:rPr>
          <w:rFonts w:hint="eastAsia" w:ascii="宋体" w:hAnsi="宋体" w:cs="宋体"/>
          <w:color w:val="auto"/>
          <w:kern w:val="0"/>
          <w:sz w:val="22"/>
          <w:szCs w:val="22"/>
          <w:highlight w:val="none"/>
          <w:shd w:val="clear" w:color="auto" w:fill="auto"/>
          <w:lang w:eastAsia="zh-CN"/>
        </w:rPr>
        <w:t>项目总监理工程师简历表</w:t>
      </w:r>
      <w:r>
        <w:rPr>
          <w:rFonts w:hint="eastAsia" w:ascii="宋体" w:hAnsi="宋体" w:eastAsia="宋体" w:cs="宋体"/>
          <w:color w:val="auto"/>
          <w:kern w:val="0"/>
          <w:sz w:val="22"/>
          <w:szCs w:val="22"/>
          <w:highlight w:val="none"/>
          <w:shd w:val="clear" w:color="auto" w:fill="auto"/>
        </w:rPr>
        <w:t>；</w:t>
      </w:r>
    </w:p>
    <w:p w14:paraId="258CA397">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（4）拟投入本项目团队情况表；</w:t>
      </w:r>
    </w:p>
    <w:p w14:paraId="42B7BF9E">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（5）技术商务评审中需提供的评审内容；</w:t>
      </w:r>
    </w:p>
    <w:p w14:paraId="632F4807">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（6）供应商认为需要提供的其他材料。</w:t>
      </w:r>
    </w:p>
    <w:p w14:paraId="2BCF6872">
      <w:pPr>
        <w:keepNext w:val="0"/>
        <w:pageBreakBefore w:val="0"/>
        <w:widowControl w:val="0"/>
        <w:overflowPunct/>
        <w:bidi w:val="0"/>
        <w:spacing w:line="360" w:lineRule="auto"/>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b/>
          <w:bCs/>
          <w:color w:val="auto"/>
          <w:kern w:val="0"/>
          <w:sz w:val="22"/>
          <w:szCs w:val="22"/>
          <w:highlight w:val="none"/>
          <w:shd w:val="clear" w:color="auto" w:fill="auto"/>
        </w:rPr>
        <w:t>3.报价文件</w:t>
      </w:r>
    </w:p>
    <w:p w14:paraId="2B6D8FA7">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（1）</w:t>
      </w:r>
      <w:r>
        <w:rPr>
          <w:rFonts w:hint="eastAsia" w:ascii="宋体" w:hAnsi="宋体" w:cs="宋体"/>
          <w:color w:val="auto"/>
          <w:kern w:val="0"/>
          <w:sz w:val="22"/>
          <w:szCs w:val="22"/>
          <w:highlight w:val="none"/>
          <w:shd w:val="clear" w:color="auto" w:fill="auto"/>
          <w:lang w:eastAsia="zh-CN"/>
        </w:rPr>
        <w:t>投标函</w:t>
      </w:r>
      <w:r>
        <w:rPr>
          <w:rFonts w:hint="eastAsia" w:ascii="宋体" w:hAnsi="宋体" w:eastAsia="宋体" w:cs="宋体"/>
          <w:color w:val="auto"/>
          <w:kern w:val="0"/>
          <w:sz w:val="22"/>
          <w:szCs w:val="22"/>
          <w:highlight w:val="none"/>
          <w:shd w:val="clear" w:color="auto" w:fill="auto"/>
        </w:rPr>
        <w:t>；</w:t>
      </w:r>
    </w:p>
    <w:p w14:paraId="0F567651">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（2）</w:t>
      </w:r>
      <w:r>
        <w:rPr>
          <w:rFonts w:hint="eastAsia" w:ascii="宋体" w:hAnsi="宋体" w:cs="宋体"/>
          <w:color w:val="auto"/>
          <w:kern w:val="0"/>
          <w:sz w:val="22"/>
          <w:szCs w:val="22"/>
          <w:highlight w:val="none"/>
          <w:shd w:val="clear" w:color="auto" w:fill="auto"/>
          <w:lang w:eastAsia="zh-CN"/>
        </w:rPr>
        <w:t>开标一览表</w:t>
      </w:r>
      <w:r>
        <w:rPr>
          <w:rFonts w:hint="eastAsia" w:ascii="宋体" w:hAnsi="宋体" w:eastAsia="宋体" w:cs="宋体"/>
          <w:color w:val="auto"/>
          <w:kern w:val="0"/>
          <w:sz w:val="22"/>
          <w:szCs w:val="22"/>
          <w:highlight w:val="none"/>
          <w:shd w:val="clear" w:color="auto" w:fill="auto"/>
        </w:rPr>
        <w:t>；</w:t>
      </w:r>
    </w:p>
    <w:p w14:paraId="076B8585">
      <w:pPr>
        <w:keepNext w:val="0"/>
        <w:pageBreakBefore w:val="0"/>
        <w:widowControl w:val="0"/>
        <w:overflowPunct/>
        <w:bidi w:val="0"/>
        <w:spacing w:line="360" w:lineRule="auto"/>
        <w:ind w:firstLine="440" w:firstLineChars="200"/>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（3）供应商针对报价需要说明的其他文件和说明。</w:t>
      </w:r>
    </w:p>
    <w:p w14:paraId="43B9314E">
      <w:pPr>
        <w:keepNext w:val="0"/>
        <w:pageBreakBefore w:val="0"/>
        <w:widowControl w:val="0"/>
        <w:overflowPunct/>
        <w:bidi w:val="0"/>
        <w:snapToGrid w:val="0"/>
        <w:spacing w:line="360" w:lineRule="auto"/>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color w:val="auto"/>
          <w:szCs w:val="21"/>
          <w:highlight w:val="none"/>
          <w:shd w:val="clear" w:color="auto" w:fill="auto"/>
        </w:rPr>
        <w:br w:type="page"/>
      </w:r>
      <w:r>
        <w:rPr>
          <w:rFonts w:hint="eastAsia" w:ascii="宋体" w:hAnsi="宋体" w:eastAsia="宋体" w:cs="宋体"/>
          <w:b/>
          <w:bCs/>
          <w:color w:val="auto"/>
          <w:sz w:val="22"/>
          <w:szCs w:val="22"/>
          <w:highlight w:val="none"/>
          <w:shd w:val="clear" w:color="auto" w:fill="auto"/>
          <w:lang w:eastAsia="zh-CN"/>
        </w:rPr>
        <w:t>资格证明文件</w:t>
      </w:r>
      <w:r>
        <w:rPr>
          <w:rFonts w:hint="eastAsia" w:ascii="宋体" w:hAnsi="宋体" w:eastAsia="宋体" w:cs="宋体"/>
          <w:b/>
          <w:bCs/>
          <w:color w:val="auto"/>
          <w:sz w:val="22"/>
          <w:szCs w:val="22"/>
          <w:highlight w:val="none"/>
          <w:shd w:val="clear" w:color="auto" w:fill="auto"/>
        </w:rPr>
        <w:t>：</w:t>
      </w:r>
    </w:p>
    <w:p w14:paraId="1DD45B41">
      <w:pPr>
        <w:keepNext w:val="0"/>
        <w:pageBreakBefore w:val="0"/>
        <w:widowControl w:val="0"/>
        <w:overflowPunct/>
        <w:bidi w:val="0"/>
        <w:snapToGrid w:val="0"/>
        <w:spacing w:after="240" w:afterLines="100" w:line="360" w:lineRule="auto"/>
        <w:jc w:val="left"/>
        <w:rPr>
          <w:rFonts w:hint="eastAsia" w:ascii="宋体" w:hAnsi="宋体" w:eastAsia="宋体" w:cs="宋体"/>
          <w:b/>
          <w:bCs/>
          <w:color w:val="auto"/>
          <w:sz w:val="28"/>
          <w:szCs w:val="28"/>
          <w:highlight w:val="none"/>
          <w:shd w:val="clear" w:color="auto" w:fill="auto"/>
        </w:rPr>
      </w:pPr>
      <w:r>
        <w:rPr>
          <w:rFonts w:hint="eastAsia" w:ascii="宋体" w:hAnsi="宋体" w:eastAsia="宋体" w:cs="宋体"/>
          <w:color w:val="auto"/>
          <w:sz w:val="22"/>
          <w:szCs w:val="22"/>
          <w:highlight w:val="none"/>
          <w:shd w:val="clear" w:color="auto" w:fill="auto"/>
        </w:rPr>
        <w:t>1.</w:t>
      </w:r>
      <w:r>
        <w:rPr>
          <w:rFonts w:hint="eastAsia" w:ascii="宋体" w:hAnsi="宋体" w:cs="宋体"/>
          <w:color w:val="auto"/>
          <w:sz w:val="22"/>
          <w:szCs w:val="22"/>
          <w:highlight w:val="none"/>
          <w:shd w:val="clear" w:color="auto" w:fill="auto"/>
          <w:lang w:eastAsia="zh-CN"/>
        </w:rPr>
        <w:t>资格声明函</w:t>
      </w:r>
      <w:r>
        <w:rPr>
          <w:rFonts w:hint="eastAsia" w:ascii="宋体" w:hAnsi="宋体" w:eastAsia="宋体" w:cs="宋体"/>
          <w:color w:val="auto"/>
          <w:sz w:val="22"/>
          <w:szCs w:val="22"/>
          <w:highlight w:val="none"/>
          <w:shd w:val="clear" w:color="auto" w:fill="auto"/>
        </w:rPr>
        <w:t>：</w:t>
      </w:r>
    </w:p>
    <w:p w14:paraId="013C43A9">
      <w:pPr>
        <w:keepNext w:val="0"/>
        <w:pageBreakBefore w:val="0"/>
        <w:widowControl w:val="0"/>
        <w:overflowPunct/>
        <w:bidi w:val="0"/>
        <w:snapToGrid w:val="0"/>
        <w:spacing w:after="240" w:afterLines="100" w:line="360" w:lineRule="auto"/>
        <w:jc w:val="center"/>
        <w:rPr>
          <w:rFonts w:hint="eastAsia" w:ascii="宋体" w:hAnsi="宋体" w:eastAsia="宋体" w:cs="宋体"/>
          <w:b/>
          <w:bCs/>
          <w:color w:val="auto"/>
          <w:sz w:val="28"/>
          <w:szCs w:val="28"/>
          <w:highlight w:val="none"/>
          <w:shd w:val="clear" w:color="auto" w:fill="auto"/>
          <w:lang w:eastAsia="zh-CN"/>
        </w:rPr>
      </w:pPr>
      <w:r>
        <w:rPr>
          <w:rFonts w:hint="eastAsia" w:ascii="宋体" w:hAnsi="宋体" w:cs="宋体"/>
          <w:b/>
          <w:bCs/>
          <w:color w:val="auto"/>
          <w:sz w:val="28"/>
          <w:szCs w:val="28"/>
          <w:highlight w:val="none"/>
          <w:shd w:val="clear" w:color="auto" w:fill="auto"/>
          <w:lang w:eastAsia="zh-CN"/>
        </w:rPr>
        <w:t>资格声明函</w:t>
      </w:r>
    </w:p>
    <w:p w14:paraId="7721D794">
      <w:pPr>
        <w:keepNext w:val="0"/>
        <w:pageBreakBefore w:val="0"/>
        <w:widowControl w:val="0"/>
        <w:overflowPunct/>
        <w:bidi w:val="0"/>
        <w:snapToGrid w:val="0"/>
        <w:spacing w:line="36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bidi="ar"/>
        </w:rPr>
        <w:t>致：</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（采购单位名称）：</w:t>
      </w:r>
    </w:p>
    <w:p w14:paraId="3A43D556">
      <w:pPr>
        <w:keepNext w:val="0"/>
        <w:pageBreakBefore w:val="0"/>
        <w:widowControl w:val="0"/>
        <w:overflowPunct/>
        <w:bidi w:val="0"/>
        <w:snapToGrid w:val="0"/>
        <w:spacing w:line="360" w:lineRule="auto"/>
        <w:ind w:firstLine="660" w:firstLineChars="300"/>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（供应商名称）系中华人民共和国合法企业，经营地址</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w:t>
      </w:r>
    </w:p>
    <w:p w14:paraId="746FFEAB">
      <w:pPr>
        <w:keepNext w:val="0"/>
        <w:pageBreakBefore w:val="0"/>
        <w:widowControl w:val="0"/>
        <w:overflowPunct/>
        <w:bidi w:val="0"/>
        <w:snapToGrid w:val="0"/>
        <w:spacing w:line="360" w:lineRule="auto"/>
        <w:ind w:firstLine="645"/>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bidi="ar"/>
        </w:rPr>
        <w:t>我</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（姓名）系</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（供应商名称）的法定代表人，我方愿意参加贵方组织的</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项目的投标，为便于贵方公正、择优地确定中标供应商及其投标产品和服务，我方就本次投标有关事项郑重声明如下：</w:t>
      </w:r>
    </w:p>
    <w:p w14:paraId="2BC53482">
      <w:pPr>
        <w:keepNext w:val="0"/>
        <w:pageBreakBefore w:val="0"/>
        <w:widowControl w:val="0"/>
        <w:overflowPunct/>
        <w:bidi w:val="0"/>
        <w:snapToGrid w:val="0"/>
        <w:spacing w:line="360" w:lineRule="auto"/>
        <w:ind w:firstLine="440" w:firstLineChars="2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bidi="ar"/>
        </w:rPr>
        <w:t>1.我方向贵方提交的所有</w:t>
      </w:r>
      <w:r>
        <w:rPr>
          <w:rFonts w:hint="eastAsia" w:ascii="宋体" w:hAnsi="宋体" w:cs="宋体"/>
          <w:color w:val="auto"/>
          <w:sz w:val="22"/>
          <w:szCs w:val="22"/>
          <w:highlight w:val="none"/>
          <w:shd w:val="clear" w:color="auto" w:fill="auto"/>
          <w:lang w:eastAsia="zh-CN" w:bidi="ar"/>
        </w:rPr>
        <w:t>投标文件</w:t>
      </w:r>
      <w:r>
        <w:rPr>
          <w:rFonts w:hint="eastAsia" w:ascii="宋体" w:hAnsi="宋体" w:eastAsia="宋体" w:cs="宋体"/>
          <w:color w:val="auto"/>
          <w:sz w:val="22"/>
          <w:szCs w:val="22"/>
          <w:highlight w:val="none"/>
          <w:shd w:val="clear" w:color="auto" w:fill="auto"/>
          <w:lang w:bidi="ar"/>
        </w:rPr>
        <w:t>、资料都是准确的和真实的。</w:t>
      </w:r>
    </w:p>
    <w:p w14:paraId="4EF41621">
      <w:pPr>
        <w:keepNext w:val="0"/>
        <w:pageBreakBefore w:val="0"/>
        <w:widowControl w:val="0"/>
        <w:overflowPunct/>
        <w:bidi w:val="0"/>
        <w:snapToGrid w:val="0"/>
        <w:spacing w:line="360" w:lineRule="auto"/>
        <w:ind w:firstLine="440" w:firstLineChars="2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bidi="ar"/>
        </w:rPr>
        <w:t>2.我方不是甲方的附属机构；在获知本项目采购信息后，与</w:t>
      </w:r>
      <w:r>
        <w:rPr>
          <w:rFonts w:hint="eastAsia" w:ascii="宋体" w:hAnsi="宋体" w:eastAsia="宋体" w:cs="宋体"/>
          <w:color w:val="auto"/>
          <w:sz w:val="22"/>
          <w:szCs w:val="22"/>
          <w:highlight w:val="none"/>
          <w:shd w:val="clear" w:color="auto" w:fill="auto"/>
        </w:rPr>
        <w:t>甲方</w:t>
      </w:r>
      <w:r>
        <w:rPr>
          <w:rFonts w:hint="eastAsia" w:ascii="宋体" w:hAnsi="宋体" w:eastAsia="宋体" w:cs="宋体"/>
          <w:color w:val="auto"/>
          <w:sz w:val="22"/>
          <w:szCs w:val="22"/>
          <w:highlight w:val="none"/>
          <w:shd w:val="clear" w:color="auto" w:fill="auto"/>
          <w:lang w:bidi="ar"/>
        </w:rPr>
        <w:t>聘请的为此项目提供咨询服务的公司及其附属机构没有任何联系。</w:t>
      </w:r>
    </w:p>
    <w:p w14:paraId="3E373819">
      <w:pPr>
        <w:keepNext w:val="0"/>
        <w:pageBreakBefore w:val="0"/>
        <w:widowControl w:val="0"/>
        <w:overflowPunct/>
        <w:bidi w:val="0"/>
        <w:spacing w:line="360" w:lineRule="auto"/>
        <w:ind w:firstLine="440" w:firstLineChars="2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bidi="ar"/>
        </w:rPr>
        <w:t>3.符合《中华人民共和国政府采购法》第二十二条规定的供应商资格条件：</w:t>
      </w:r>
    </w:p>
    <w:p w14:paraId="0E1F0BE8">
      <w:pPr>
        <w:keepNext w:val="0"/>
        <w:pageBreakBefore w:val="0"/>
        <w:widowControl w:val="0"/>
        <w:overflowPunct/>
        <w:bidi w:val="0"/>
        <w:spacing w:line="360" w:lineRule="auto"/>
        <w:ind w:firstLine="660" w:firstLineChars="3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bidi="ar"/>
        </w:rPr>
        <w:t>1）具有独立承担民事责任的能力；</w:t>
      </w:r>
    </w:p>
    <w:p w14:paraId="51846FA3">
      <w:pPr>
        <w:keepNext w:val="0"/>
        <w:pageBreakBefore w:val="0"/>
        <w:widowControl w:val="0"/>
        <w:overflowPunct/>
        <w:bidi w:val="0"/>
        <w:spacing w:line="360" w:lineRule="auto"/>
        <w:ind w:firstLine="660" w:firstLineChars="3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bidi="ar"/>
        </w:rPr>
        <w:t>2）具有良好的商业信誉和健全的财务会计制度；</w:t>
      </w:r>
    </w:p>
    <w:p w14:paraId="3B0720E0">
      <w:pPr>
        <w:keepNext w:val="0"/>
        <w:pageBreakBefore w:val="0"/>
        <w:widowControl w:val="0"/>
        <w:overflowPunct/>
        <w:bidi w:val="0"/>
        <w:spacing w:line="360" w:lineRule="auto"/>
        <w:ind w:firstLine="660" w:firstLineChars="3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bidi="ar"/>
        </w:rPr>
        <w:t>3）具有履行合同所必需的设备和专业技术能力；</w:t>
      </w:r>
    </w:p>
    <w:p w14:paraId="02CD0AAD">
      <w:pPr>
        <w:keepNext w:val="0"/>
        <w:pageBreakBefore w:val="0"/>
        <w:widowControl w:val="0"/>
        <w:overflowPunct/>
        <w:bidi w:val="0"/>
        <w:spacing w:line="360" w:lineRule="auto"/>
        <w:ind w:firstLine="660" w:firstLineChars="3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bidi="ar"/>
        </w:rPr>
        <w:t>4）有依法缴纳税收和社会保障资金的良好记录；</w:t>
      </w:r>
    </w:p>
    <w:p w14:paraId="4D50257B">
      <w:pPr>
        <w:keepNext w:val="0"/>
        <w:pageBreakBefore w:val="0"/>
        <w:widowControl w:val="0"/>
        <w:overflowPunct/>
        <w:bidi w:val="0"/>
        <w:spacing w:line="360" w:lineRule="auto"/>
        <w:ind w:firstLine="660" w:firstLineChars="300"/>
        <w:rPr>
          <w:rFonts w:hint="eastAsia" w:ascii="宋体" w:hAnsi="宋体" w:eastAsia="宋体" w:cs="宋体"/>
          <w:color w:val="auto"/>
          <w:sz w:val="22"/>
          <w:szCs w:val="22"/>
          <w:highlight w:val="none"/>
          <w:shd w:val="clear" w:color="auto" w:fill="auto"/>
          <w:lang w:bidi="ar"/>
        </w:rPr>
      </w:pPr>
      <w:r>
        <w:rPr>
          <w:rFonts w:hint="eastAsia" w:ascii="宋体" w:hAnsi="宋体" w:eastAsia="宋体" w:cs="宋体"/>
          <w:color w:val="auto"/>
          <w:sz w:val="22"/>
          <w:szCs w:val="22"/>
          <w:highlight w:val="none"/>
          <w:shd w:val="clear" w:color="auto" w:fill="auto"/>
          <w:lang w:bidi="ar"/>
        </w:rPr>
        <w:t>5）参加政府采购活动前三年内，在经营活动中没有重大违法记录；</w:t>
      </w:r>
    </w:p>
    <w:p w14:paraId="20E72216">
      <w:pPr>
        <w:keepNext w:val="0"/>
        <w:pageBreakBefore w:val="0"/>
        <w:widowControl w:val="0"/>
        <w:overflowPunct/>
        <w:bidi w:val="0"/>
        <w:spacing w:line="360" w:lineRule="auto"/>
        <w:ind w:firstLine="660" w:firstLineChars="300"/>
        <w:rPr>
          <w:rFonts w:hint="eastAsia" w:ascii="宋体" w:hAnsi="宋体" w:eastAsia="宋体" w:cs="宋体"/>
          <w:color w:val="auto"/>
          <w:sz w:val="22"/>
          <w:szCs w:val="22"/>
          <w:highlight w:val="none"/>
          <w:shd w:val="clear" w:color="auto" w:fill="auto"/>
          <w:lang w:bidi="ar"/>
        </w:rPr>
      </w:pPr>
      <w:r>
        <w:rPr>
          <w:rFonts w:hint="eastAsia" w:ascii="宋体" w:hAnsi="宋体" w:eastAsia="宋体" w:cs="宋体"/>
          <w:color w:val="auto"/>
          <w:sz w:val="22"/>
          <w:szCs w:val="22"/>
          <w:highlight w:val="none"/>
          <w:shd w:val="clear" w:color="auto" w:fill="auto"/>
          <w:lang w:bidi="ar"/>
        </w:rPr>
        <w:t>6）法律、行政法规规定的其他条件。</w:t>
      </w:r>
    </w:p>
    <w:p w14:paraId="725C461D">
      <w:pPr>
        <w:keepNext w:val="0"/>
        <w:pageBreakBefore w:val="0"/>
        <w:widowControl w:val="0"/>
        <w:overflowPunct/>
        <w:bidi w:val="0"/>
        <w:snapToGrid w:val="0"/>
        <w:spacing w:line="360" w:lineRule="auto"/>
        <w:ind w:firstLine="440" w:firstLineChars="200"/>
        <w:rPr>
          <w:rFonts w:hint="eastAsia" w:ascii="宋体" w:hAnsi="宋体" w:eastAsia="宋体" w:cs="宋体"/>
          <w:color w:val="auto"/>
          <w:sz w:val="22"/>
          <w:szCs w:val="22"/>
          <w:highlight w:val="none"/>
          <w:shd w:val="clear" w:color="auto" w:fill="auto"/>
          <w:lang w:bidi="ar"/>
        </w:rPr>
      </w:pPr>
      <w:r>
        <w:rPr>
          <w:rFonts w:hint="eastAsia" w:ascii="宋体" w:hAnsi="宋体" w:eastAsia="宋体" w:cs="宋体"/>
          <w:color w:val="auto"/>
          <w:sz w:val="22"/>
          <w:szCs w:val="22"/>
          <w:highlight w:val="none"/>
          <w:shd w:val="clear" w:color="auto" w:fill="auto"/>
          <w:lang w:bidi="ar"/>
        </w:rPr>
        <w:t>4. 以上事项如有虚假或隐瞒，我方愿意承担一切后果，并不再寻求任何旨在减轻或免除法律责任的辩解。</w:t>
      </w:r>
    </w:p>
    <w:p w14:paraId="479476C7">
      <w:pPr>
        <w:pStyle w:val="10"/>
        <w:keepNext w:val="0"/>
        <w:pageBreakBefore w:val="0"/>
        <w:widowControl w:val="0"/>
        <w:tabs>
          <w:tab w:val="left" w:pos="939"/>
        </w:tabs>
        <w:overflowPunct/>
        <w:bidi w:val="0"/>
        <w:snapToGrid w:val="0"/>
        <w:spacing w:line="360" w:lineRule="auto"/>
        <w:ind w:left="420" w:leftChars="0" w:hanging="420" w:hangingChars="191"/>
        <w:rPr>
          <w:rFonts w:hint="eastAsia" w:ascii="宋体" w:hAnsi="宋体" w:eastAsia="宋体" w:cs="宋体"/>
          <w:color w:val="auto"/>
          <w:sz w:val="22"/>
          <w:szCs w:val="22"/>
          <w:highlight w:val="none"/>
          <w:shd w:val="clear" w:color="auto" w:fill="auto"/>
        </w:rPr>
      </w:pPr>
    </w:p>
    <w:p w14:paraId="6EB9AA90">
      <w:pPr>
        <w:pStyle w:val="30"/>
        <w:keepNext w:val="0"/>
        <w:pageBreakBefore w:val="0"/>
        <w:widowControl w:val="0"/>
        <w:overflowPunct/>
        <w:bidi w:val="0"/>
        <w:snapToGrid w:val="0"/>
        <w:spacing w:line="360" w:lineRule="auto"/>
        <w:ind w:firstLine="200"/>
        <w:rPr>
          <w:rFonts w:hint="eastAsia" w:ascii="宋体" w:hAnsi="宋体" w:eastAsia="宋体" w:cs="宋体"/>
          <w:color w:val="auto"/>
          <w:sz w:val="22"/>
          <w:szCs w:val="22"/>
          <w:highlight w:val="none"/>
          <w:shd w:val="clear" w:color="auto" w:fill="auto"/>
        </w:rPr>
      </w:pPr>
    </w:p>
    <w:p w14:paraId="5B7E2206">
      <w:pPr>
        <w:keepNext w:val="0"/>
        <w:pageBreakBefore w:val="0"/>
        <w:widowControl w:val="0"/>
        <w:overflowPunct/>
        <w:bidi w:val="0"/>
        <w:spacing w:line="36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供应商盖章：</w:t>
      </w:r>
      <w:r>
        <w:rPr>
          <w:rFonts w:hint="eastAsia" w:ascii="宋体" w:hAnsi="宋体" w:eastAsia="宋体" w:cs="宋体"/>
          <w:color w:val="auto"/>
          <w:kern w:val="0"/>
          <w:sz w:val="22"/>
          <w:szCs w:val="22"/>
          <w:highlight w:val="none"/>
          <w:u w:val="single"/>
          <w:shd w:val="clear" w:color="auto" w:fill="auto"/>
        </w:rPr>
        <w:t xml:space="preserve">   （公章） </w:t>
      </w:r>
    </w:p>
    <w:p w14:paraId="7EE308B1">
      <w:pPr>
        <w:keepNext w:val="0"/>
        <w:pageBreakBefore w:val="0"/>
        <w:widowControl w:val="0"/>
        <w:wordWrap w:val="0"/>
        <w:overflowPunct/>
        <w:bidi w:val="0"/>
        <w:spacing w:line="360" w:lineRule="auto"/>
        <w:jc w:val="left"/>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法定代表人或授权代表（签字或盖章）：</w:t>
      </w:r>
      <w:r>
        <w:rPr>
          <w:rFonts w:hint="eastAsia" w:ascii="宋体" w:hAnsi="宋体" w:eastAsia="宋体" w:cs="宋体"/>
          <w:color w:val="auto"/>
          <w:kern w:val="0"/>
          <w:sz w:val="22"/>
          <w:szCs w:val="22"/>
          <w:highlight w:val="none"/>
          <w:u w:val="single"/>
          <w:shd w:val="clear" w:color="auto" w:fill="auto"/>
        </w:rPr>
        <w:t xml:space="preserve">             </w:t>
      </w:r>
    </w:p>
    <w:p w14:paraId="7674D486">
      <w:pPr>
        <w:keepNext w:val="0"/>
        <w:pageBreakBefore w:val="0"/>
        <w:widowControl w:val="0"/>
        <w:overflowPunct/>
        <w:bidi w:val="0"/>
        <w:snapToGrid w:val="0"/>
        <w:spacing w:line="36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年</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月</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日</w:t>
      </w:r>
    </w:p>
    <w:p w14:paraId="688C045B">
      <w:pPr>
        <w:pStyle w:val="12"/>
        <w:keepNext w:val="0"/>
        <w:pageBreakBefore w:val="0"/>
        <w:widowControl w:val="0"/>
        <w:overflowPunct/>
        <w:bidi w:val="0"/>
        <w:snapToGrid w:val="0"/>
        <w:spacing w:before="0" w:beforeLines="0" w:after="0" w:afterLines="0" w:line="360" w:lineRule="auto"/>
        <w:rPr>
          <w:rFonts w:hint="eastAsia" w:ascii="宋体" w:hAnsi="宋体" w:eastAsia="宋体" w:cs="宋体"/>
          <w:color w:val="auto"/>
          <w:sz w:val="22"/>
          <w:szCs w:val="22"/>
          <w:highlight w:val="none"/>
          <w:shd w:val="clear" w:color="auto" w:fill="auto"/>
        </w:rPr>
      </w:pPr>
    </w:p>
    <w:p w14:paraId="599F38C1">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24815AD0">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7524D57D">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106487A8">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08686E1D">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101B096F">
      <w:pP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br w:type="page"/>
      </w:r>
    </w:p>
    <w:p w14:paraId="4FB32270">
      <w:pPr>
        <w:keepNext w:val="0"/>
        <w:pageBreakBefore w:val="0"/>
        <w:widowControl w:val="0"/>
        <w:overflowPunct/>
        <w:bidi w:val="0"/>
        <w:snapToGrid w:val="0"/>
        <w:spacing w:line="360" w:lineRule="auto"/>
        <w:rPr>
          <w:rFonts w:hint="eastAsia" w:ascii="宋体" w:hAnsi="宋体" w:eastAsia="宋体" w:cs="宋体"/>
          <w:b/>
          <w:bCs/>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2.如投标代表为法定代表人时提供：法定代表人的正反面身份证复印件（加盖公章）；如投标代表非法定代表人时提供法定代表人授权委托书原件、法定代表人及授权代表的正反面身份证复印件（加盖公章）；</w:t>
      </w:r>
    </w:p>
    <w:p w14:paraId="773F9F25">
      <w:pPr>
        <w:keepNext w:val="0"/>
        <w:pageBreakBefore w:val="0"/>
        <w:widowControl w:val="0"/>
        <w:overflowPunct/>
        <w:bidi w:val="0"/>
        <w:snapToGrid w:val="0"/>
        <w:spacing w:after="240" w:afterLines="100" w:line="360" w:lineRule="auto"/>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法定代表人身份证明书</w:t>
      </w:r>
    </w:p>
    <w:p w14:paraId="6A6B8D8D">
      <w:pPr>
        <w:keepNext w:val="0"/>
        <w:pageBreakBefore w:val="0"/>
        <w:widowControl w:val="0"/>
        <w:overflowPunct/>
        <w:bidi w:val="0"/>
        <w:spacing w:line="360" w:lineRule="auto"/>
        <w:jc w:val="center"/>
        <w:rPr>
          <w:rFonts w:hint="eastAsia" w:ascii="宋体" w:hAnsi="宋体" w:eastAsia="宋体" w:cs="宋体"/>
          <w:b/>
          <w:color w:val="auto"/>
          <w:szCs w:val="21"/>
          <w:highlight w:val="none"/>
          <w:shd w:val="clear" w:color="auto" w:fill="auto"/>
        </w:rPr>
      </w:pPr>
    </w:p>
    <w:p w14:paraId="11AD0895">
      <w:pPr>
        <w:keepNext w:val="0"/>
        <w:pageBreakBefore w:val="0"/>
        <w:widowControl w:val="0"/>
        <w:overflowPunct/>
        <w:bidi w:val="0"/>
        <w:spacing w:line="360" w:lineRule="auto"/>
        <w:rPr>
          <w:rFonts w:hint="eastAsia" w:ascii="宋体" w:hAnsi="宋体" w:eastAsia="宋体" w:cs="宋体"/>
          <w:color w:val="auto"/>
          <w:sz w:val="22"/>
          <w:szCs w:val="22"/>
          <w:highlight w:val="none"/>
          <w:u w:val="single"/>
          <w:shd w:val="clear" w:color="auto" w:fill="auto"/>
        </w:rPr>
      </w:pPr>
      <w:r>
        <w:rPr>
          <w:rFonts w:hint="eastAsia" w:ascii="宋体" w:hAnsi="宋体" w:eastAsia="宋体" w:cs="宋体"/>
          <w:color w:val="auto"/>
          <w:sz w:val="22"/>
          <w:szCs w:val="22"/>
          <w:highlight w:val="none"/>
          <w:shd w:val="clear" w:color="auto" w:fill="auto"/>
          <w:lang w:bidi="ar"/>
        </w:rPr>
        <w:t>单位名称：</w:t>
      </w:r>
      <w:r>
        <w:rPr>
          <w:rFonts w:hint="eastAsia" w:ascii="宋体" w:hAnsi="宋体" w:eastAsia="宋体" w:cs="宋体"/>
          <w:color w:val="auto"/>
          <w:sz w:val="22"/>
          <w:szCs w:val="22"/>
          <w:highlight w:val="none"/>
          <w:u w:val="single"/>
          <w:shd w:val="clear" w:color="auto" w:fill="auto"/>
          <w:lang w:bidi="ar"/>
        </w:rPr>
        <w:t xml:space="preserve">                                                              </w:t>
      </w:r>
    </w:p>
    <w:p w14:paraId="1281AC23">
      <w:pPr>
        <w:keepNext w:val="0"/>
        <w:pageBreakBefore w:val="0"/>
        <w:widowControl w:val="0"/>
        <w:overflowPunct/>
        <w:bidi w:val="0"/>
        <w:spacing w:line="360" w:lineRule="auto"/>
        <w:rPr>
          <w:rFonts w:hint="eastAsia" w:ascii="宋体" w:hAnsi="宋体" w:eastAsia="宋体" w:cs="宋体"/>
          <w:color w:val="auto"/>
          <w:sz w:val="22"/>
          <w:szCs w:val="22"/>
          <w:highlight w:val="none"/>
          <w:u w:val="single"/>
          <w:shd w:val="clear" w:color="auto" w:fill="auto"/>
        </w:rPr>
      </w:pPr>
      <w:r>
        <w:rPr>
          <w:rFonts w:hint="eastAsia" w:ascii="宋体" w:hAnsi="宋体" w:eastAsia="宋体" w:cs="宋体"/>
          <w:color w:val="auto"/>
          <w:sz w:val="22"/>
          <w:szCs w:val="22"/>
          <w:highlight w:val="none"/>
          <w:shd w:val="clear" w:color="auto" w:fill="auto"/>
          <w:lang w:bidi="ar"/>
        </w:rPr>
        <w:t>单位性质：</w:t>
      </w:r>
      <w:r>
        <w:rPr>
          <w:rFonts w:hint="eastAsia" w:ascii="宋体" w:hAnsi="宋体" w:eastAsia="宋体" w:cs="宋体"/>
          <w:color w:val="auto"/>
          <w:sz w:val="22"/>
          <w:szCs w:val="22"/>
          <w:highlight w:val="none"/>
          <w:u w:val="single"/>
          <w:shd w:val="clear" w:color="auto" w:fill="auto"/>
          <w:lang w:bidi="ar"/>
        </w:rPr>
        <w:t xml:space="preserve">                                                              </w:t>
      </w:r>
    </w:p>
    <w:p w14:paraId="54B3F42A">
      <w:pPr>
        <w:keepNext w:val="0"/>
        <w:pageBreakBefore w:val="0"/>
        <w:widowControl w:val="0"/>
        <w:overflowPunct/>
        <w:bidi w:val="0"/>
        <w:spacing w:line="360" w:lineRule="auto"/>
        <w:rPr>
          <w:rFonts w:hint="eastAsia" w:ascii="宋体" w:hAnsi="宋体" w:eastAsia="宋体" w:cs="宋体"/>
          <w:color w:val="auto"/>
          <w:sz w:val="22"/>
          <w:szCs w:val="22"/>
          <w:highlight w:val="none"/>
          <w:u w:val="single"/>
          <w:shd w:val="clear" w:color="auto" w:fill="auto"/>
        </w:rPr>
      </w:pPr>
      <w:r>
        <w:rPr>
          <w:rFonts w:hint="eastAsia" w:ascii="宋体" w:hAnsi="宋体" w:eastAsia="宋体" w:cs="宋体"/>
          <w:color w:val="auto"/>
          <w:sz w:val="22"/>
          <w:szCs w:val="22"/>
          <w:highlight w:val="none"/>
          <w:shd w:val="clear" w:color="auto" w:fill="auto"/>
          <w:lang w:bidi="ar"/>
        </w:rPr>
        <w:t>地    址：</w:t>
      </w:r>
      <w:r>
        <w:rPr>
          <w:rFonts w:hint="eastAsia" w:ascii="宋体" w:hAnsi="宋体" w:eastAsia="宋体" w:cs="宋体"/>
          <w:color w:val="auto"/>
          <w:sz w:val="22"/>
          <w:szCs w:val="22"/>
          <w:highlight w:val="none"/>
          <w:u w:val="single"/>
          <w:shd w:val="clear" w:color="auto" w:fill="auto"/>
          <w:lang w:bidi="ar"/>
        </w:rPr>
        <w:t xml:space="preserve">                                                              </w:t>
      </w:r>
    </w:p>
    <w:p w14:paraId="6F641E65">
      <w:pPr>
        <w:keepNext w:val="0"/>
        <w:pageBreakBefore w:val="0"/>
        <w:widowControl w:val="0"/>
        <w:overflowPunct/>
        <w:bidi w:val="0"/>
        <w:spacing w:line="36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bidi="ar"/>
        </w:rPr>
        <w:t>成立时间：</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年</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月</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日</w:t>
      </w:r>
    </w:p>
    <w:p w14:paraId="4D4D0021">
      <w:pPr>
        <w:keepNext w:val="0"/>
        <w:pageBreakBefore w:val="0"/>
        <w:widowControl w:val="0"/>
        <w:overflowPunct/>
        <w:bidi w:val="0"/>
        <w:spacing w:line="360" w:lineRule="auto"/>
        <w:rPr>
          <w:rFonts w:hint="eastAsia" w:ascii="宋体" w:hAnsi="宋体" w:eastAsia="宋体" w:cs="宋体"/>
          <w:color w:val="auto"/>
          <w:sz w:val="22"/>
          <w:szCs w:val="22"/>
          <w:highlight w:val="none"/>
          <w:u w:val="single"/>
          <w:shd w:val="clear" w:color="auto" w:fill="auto"/>
        </w:rPr>
      </w:pPr>
      <w:r>
        <w:rPr>
          <w:rFonts w:hint="eastAsia" w:ascii="宋体" w:hAnsi="宋体" w:eastAsia="宋体" w:cs="宋体"/>
          <w:color w:val="auto"/>
          <w:sz w:val="22"/>
          <w:szCs w:val="22"/>
          <w:highlight w:val="none"/>
          <w:shd w:val="clear" w:color="auto" w:fill="auto"/>
          <w:lang w:bidi="ar"/>
        </w:rPr>
        <w:t>经营期限：</w:t>
      </w:r>
      <w:r>
        <w:rPr>
          <w:rFonts w:hint="eastAsia" w:ascii="宋体" w:hAnsi="宋体" w:eastAsia="宋体" w:cs="宋体"/>
          <w:color w:val="auto"/>
          <w:sz w:val="22"/>
          <w:szCs w:val="22"/>
          <w:highlight w:val="none"/>
          <w:u w:val="single"/>
          <w:shd w:val="clear" w:color="auto" w:fill="auto"/>
          <w:lang w:bidi="ar"/>
        </w:rPr>
        <w:t xml:space="preserve">                                                             </w:t>
      </w:r>
    </w:p>
    <w:p w14:paraId="2D7882A2">
      <w:pPr>
        <w:keepNext w:val="0"/>
        <w:pageBreakBefore w:val="0"/>
        <w:widowControl w:val="0"/>
        <w:overflowPunct/>
        <w:bidi w:val="0"/>
        <w:spacing w:line="360" w:lineRule="auto"/>
        <w:rPr>
          <w:rFonts w:hint="eastAsia" w:ascii="宋体" w:hAnsi="宋体" w:eastAsia="宋体" w:cs="宋体"/>
          <w:color w:val="auto"/>
          <w:sz w:val="22"/>
          <w:szCs w:val="22"/>
          <w:highlight w:val="none"/>
          <w:u w:val="single"/>
          <w:shd w:val="clear" w:color="auto" w:fill="auto"/>
        </w:rPr>
      </w:pPr>
      <w:r>
        <w:rPr>
          <w:rFonts w:hint="eastAsia" w:ascii="宋体" w:hAnsi="宋体" w:eastAsia="宋体" w:cs="宋体"/>
          <w:color w:val="auto"/>
          <w:sz w:val="22"/>
          <w:szCs w:val="22"/>
          <w:highlight w:val="none"/>
          <w:shd w:val="clear" w:color="auto" w:fill="auto"/>
          <w:lang w:bidi="ar"/>
        </w:rPr>
        <w:t>姓    名：</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 xml:space="preserve">  性别：</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 xml:space="preserve"> 年龄：</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 xml:space="preserve"> 职务：</w:t>
      </w:r>
      <w:r>
        <w:rPr>
          <w:rFonts w:hint="eastAsia" w:ascii="宋体" w:hAnsi="宋体" w:eastAsia="宋体" w:cs="宋体"/>
          <w:color w:val="auto"/>
          <w:sz w:val="22"/>
          <w:szCs w:val="22"/>
          <w:highlight w:val="none"/>
          <w:u w:val="single"/>
          <w:shd w:val="clear" w:color="auto" w:fill="auto"/>
          <w:lang w:bidi="ar"/>
        </w:rPr>
        <w:t xml:space="preserve">         </w:t>
      </w:r>
    </w:p>
    <w:p w14:paraId="2782F7E0">
      <w:pPr>
        <w:keepNext w:val="0"/>
        <w:pageBreakBefore w:val="0"/>
        <w:widowControl w:val="0"/>
        <w:overflowPunct/>
        <w:bidi w:val="0"/>
        <w:spacing w:line="36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bidi="ar"/>
        </w:rPr>
        <w:t xml:space="preserve">系 </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u w:val="single"/>
          <w:shd w:val="clear" w:color="auto" w:fill="auto"/>
          <w:lang w:eastAsia="zh-CN" w:bidi="ar"/>
        </w:rPr>
        <w:t>（</w:t>
      </w:r>
      <w:r>
        <w:rPr>
          <w:rFonts w:hint="eastAsia" w:ascii="宋体" w:hAnsi="宋体" w:eastAsia="宋体" w:cs="宋体"/>
          <w:color w:val="auto"/>
          <w:sz w:val="22"/>
          <w:szCs w:val="22"/>
          <w:highlight w:val="none"/>
          <w:u w:val="single"/>
          <w:shd w:val="clear" w:color="auto" w:fill="auto"/>
          <w:lang w:bidi="ar"/>
        </w:rPr>
        <w:t>供应商名称</w:t>
      </w:r>
      <w:r>
        <w:rPr>
          <w:rFonts w:hint="eastAsia" w:ascii="宋体" w:hAnsi="宋体" w:eastAsia="宋体" w:cs="宋体"/>
          <w:color w:val="auto"/>
          <w:sz w:val="22"/>
          <w:szCs w:val="22"/>
          <w:highlight w:val="none"/>
          <w:u w:val="single"/>
          <w:shd w:val="clear" w:color="auto" w:fill="auto"/>
          <w:lang w:eastAsia="zh-CN" w:bidi="ar"/>
        </w:rPr>
        <w:t>）</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的法定代表人。</w:t>
      </w:r>
    </w:p>
    <w:p w14:paraId="24C9BC57">
      <w:pPr>
        <w:keepNext w:val="0"/>
        <w:pageBreakBefore w:val="0"/>
        <w:widowControl w:val="0"/>
        <w:overflowPunct/>
        <w:bidi w:val="0"/>
        <w:spacing w:line="360" w:lineRule="auto"/>
        <w:rPr>
          <w:rFonts w:hint="eastAsia" w:ascii="宋体" w:hAnsi="宋体" w:eastAsia="宋体" w:cs="宋体"/>
          <w:color w:val="auto"/>
          <w:sz w:val="22"/>
          <w:szCs w:val="22"/>
          <w:highlight w:val="none"/>
          <w:shd w:val="clear" w:color="auto" w:fill="auto"/>
        </w:rPr>
      </w:pPr>
    </w:p>
    <w:p w14:paraId="57C86097">
      <w:pPr>
        <w:keepNext w:val="0"/>
        <w:pageBreakBefore w:val="0"/>
        <w:widowControl w:val="0"/>
        <w:overflowPunct/>
        <w:bidi w:val="0"/>
        <w:spacing w:line="36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bidi="ar"/>
        </w:rPr>
        <w:t>特此证明。</w:t>
      </w:r>
    </w:p>
    <w:p w14:paraId="47EEE971">
      <w:pPr>
        <w:keepNext w:val="0"/>
        <w:pageBreakBefore w:val="0"/>
        <w:widowControl w:val="0"/>
        <w:wordWrap/>
        <w:overflowPunct/>
        <w:topLinePunct/>
        <w:bidi w:val="0"/>
        <w:spacing w:line="360" w:lineRule="auto"/>
        <w:jc w:val="left"/>
        <w:rPr>
          <w:rFonts w:hint="eastAsia" w:ascii="宋体" w:hAnsi="宋体" w:eastAsia="宋体" w:cs="宋体"/>
          <w:color w:val="auto"/>
          <w:sz w:val="22"/>
          <w:szCs w:val="22"/>
          <w:highlight w:val="none"/>
          <w:u w:val="single"/>
          <w:shd w:val="clear" w:color="auto" w:fill="auto"/>
        </w:rPr>
      </w:pPr>
      <w:r>
        <w:rPr>
          <w:rFonts w:hint="eastAsia" w:ascii="宋体" w:hAnsi="宋体" w:eastAsia="宋体" w:cs="宋体"/>
          <w:color w:val="auto"/>
          <w:sz w:val="22"/>
          <w:szCs w:val="22"/>
          <w:highlight w:val="none"/>
          <w:shd w:val="clear" w:color="auto" w:fill="auto"/>
          <w:lang w:bidi="ar"/>
        </w:rPr>
        <w:t xml:space="preserve">                               供应商：</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u w:val="single"/>
          <w:shd w:val="clear" w:color="auto" w:fill="auto"/>
          <w:lang w:eastAsia="zh-CN" w:bidi="ar"/>
        </w:rPr>
        <w:t>（</w:t>
      </w:r>
      <w:r>
        <w:rPr>
          <w:rFonts w:hint="eastAsia" w:ascii="宋体" w:hAnsi="宋体" w:eastAsia="宋体" w:cs="宋体"/>
          <w:color w:val="auto"/>
          <w:sz w:val="22"/>
          <w:szCs w:val="22"/>
          <w:highlight w:val="none"/>
          <w:u w:val="single"/>
          <w:shd w:val="clear" w:color="auto" w:fill="auto"/>
          <w:lang w:bidi="ar"/>
        </w:rPr>
        <w:t>盖章</w:t>
      </w:r>
      <w:r>
        <w:rPr>
          <w:rFonts w:hint="eastAsia" w:ascii="宋体" w:hAnsi="宋体" w:eastAsia="宋体" w:cs="宋体"/>
          <w:color w:val="auto"/>
          <w:sz w:val="22"/>
          <w:szCs w:val="22"/>
          <w:highlight w:val="none"/>
          <w:u w:val="single"/>
          <w:shd w:val="clear" w:color="auto" w:fill="auto"/>
          <w:lang w:eastAsia="zh-CN" w:bidi="ar"/>
        </w:rPr>
        <w:t>）</w:t>
      </w:r>
      <w:r>
        <w:rPr>
          <w:rFonts w:hint="eastAsia" w:ascii="宋体" w:hAnsi="宋体" w:eastAsia="宋体" w:cs="宋体"/>
          <w:color w:val="auto"/>
          <w:sz w:val="22"/>
          <w:szCs w:val="22"/>
          <w:highlight w:val="none"/>
          <w:u w:val="single"/>
          <w:shd w:val="clear" w:color="auto" w:fill="auto"/>
          <w:lang w:bidi="ar"/>
        </w:rPr>
        <w:t xml:space="preserve">             </w:t>
      </w:r>
    </w:p>
    <w:p w14:paraId="0B8059B7">
      <w:pPr>
        <w:keepNext w:val="0"/>
        <w:pageBreakBefore w:val="0"/>
        <w:widowControl w:val="0"/>
        <w:overflowPunct/>
        <w:bidi w:val="0"/>
        <w:snapToGrid w:val="0"/>
        <w:spacing w:line="360" w:lineRule="auto"/>
        <w:rPr>
          <w:rFonts w:hint="eastAsia" w:ascii="宋体" w:hAnsi="宋体" w:eastAsia="宋体" w:cs="宋体"/>
          <w:color w:val="auto"/>
          <w:sz w:val="22"/>
          <w:szCs w:val="22"/>
          <w:highlight w:val="none"/>
          <w:shd w:val="clear" w:color="auto" w:fill="auto"/>
          <w:lang w:bidi="ar"/>
        </w:rPr>
      </w:pPr>
      <w:r>
        <w:rPr>
          <w:rFonts w:hint="eastAsia" w:ascii="宋体" w:hAnsi="宋体" w:eastAsia="宋体" w:cs="宋体"/>
          <w:color w:val="auto"/>
          <w:sz w:val="22"/>
          <w:szCs w:val="22"/>
          <w:highlight w:val="none"/>
          <w:shd w:val="clear" w:color="auto" w:fill="auto"/>
          <w:lang w:bidi="ar"/>
        </w:rPr>
        <w:t xml:space="preserve">                               日  期：</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年</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月</w:t>
      </w:r>
      <w:r>
        <w:rPr>
          <w:rFonts w:hint="eastAsia" w:ascii="宋体" w:hAnsi="宋体" w:eastAsia="宋体" w:cs="宋体"/>
          <w:color w:val="auto"/>
          <w:sz w:val="22"/>
          <w:szCs w:val="22"/>
          <w:highlight w:val="none"/>
          <w:u w:val="single"/>
          <w:shd w:val="clear" w:color="auto" w:fill="auto"/>
          <w:lang w:bidi="ar"/>
        </w:rPr>
        <w:t xml:space="preserve">      </w:t>
      </w:r>
      <w:r>
        <w:rPr>
          <w:rFonts w:hint="eastAsia" w:ascii="宋体" w:hAnsi="宋体" w:eastAsia="宋体" w:cs="宋体"/>
          <w:color w:val="auto"/>
          <w:sz w:val="22"/>
          <w:szCs w:val="22"/>
          <w:highlight w:val="none"/>
          <w:shd w:val="clear" w:color="auto" w:fill="auto"/>
          <w:lang w:bidi="ar"/>
        </w:rPr>
        <w:t>日</w:t>
      </w:r>
    </w:p>
    <w:p w14:paraId="470F9B2D">
      <w:pPr>
        <w:keepNext w:val="0"/>
        <w:pageBreakBefore w:val="0"/>
        <w:widowControl w:val="0"/>
        <w:overflowPunct/>
        <w:bidi w:val="0"/>
        <w:snapToGrid w:val="0"/>
        <w:spacing w:line="360" w:lineRule="auto"/>
        <w:rPr>
          <w:rFonts w:hint="eastAsia" w:ascii="宋体" w:hAnsi="宋体" w:eastAsia="宋体" w:cs="宋体"/>
          <w:color w:val="auto"/>
          <w:sz w:val="22"/>
          <w:szCs w:val="22"/>
          <w:highlight w:val="none"/>
          <w:shd w:val="clear" w:color="auto" w:fill="auto"/>
          <w:lang w:bidi="ar"/>
        </w:rPr>
      </w:pPr>
    </w:p>
    <w:p w14:paraId="5F2E9E22">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6B544956">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47433180">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1A78A648">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00969F8F">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736070C5">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48170357">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48C40899">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73B224A8">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4E2EECB1">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238A6CA1">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1AA5EC1A">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2BF2EE12">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0823AAD2">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5271ECCE">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2B31D8C3">
      <w:pPr>
        <w:pStyle w:val="17"/>
        <w:keepNext w:val="0"/>
        <w:pageBreakBefore w:val="0"/>
        <w:widowControl w:val="0"/>
        <w:overflowPunct/>
        <w:bidi w:val="0"/>
        <w:spacing w:before="0" w:beforeAutospacing="0" w:after="0" w:afterAutospacing="0" w:line="360" w:lineRule="auto"/>
        <w:ind w:firstLine="301"/>
        <w:jc w:val="center"/>
        <w:rPr>
          <w:rFonts w:hint="eastAsia" w:ascii="宋体" w:hAnsi="宋体" w:eastAsia="宋体" w:cs="宋体"/>
          <w:b/>
          <w:bCs/>
          <w:color w:val="auto"/>
          <w:kern w:val="2"/>
          <w:sz w:val="28"/>
          <w:szCs w:val="28"/>
          <w:highlight w:val="none"/>
          <w:shd w:val="clear" w:color="auto" w:fill="auto"/>
        </w:rPr>
      </w:pPr>
      <w:r>
        <w:rPr>
          <w:rFonts w:hint="eastAsia" w:ascii="宋体" w:hAnsi="宋体" w:eastAsia="宋体" w:cs="宋体"/>
          <w:b/>
          <w:bCs/>
          <w:color w:val="auto"/>
          <w:kern w:val="2"/>
          <w:sz w:val="28"/>
          <w:szCs w:val="28"/>
          <w:highlight w:val="none"/>
          <w:shd w:val="clear" w:color="auto" w:fill="auto"/>
        </w:rPr>
        <w:t>法定代表人授权书</w:t>
      </w:r>
    </w:p>
    <w:p w14:paraId="3528790F">
      <w:pPr>
        <w:pStyle w:val="17"/>
        <w:keepNext w:val="0"/>
        <w:pageBreakBefore w:val="0"/>
        <w:widowControl w:val="0"/>
        <w:overflowPunct/>
        <w:bidi w:val="0"/>
        <w:spacing w:before="0" w:beforeAutospacing="0" w:after="0" w:afterAutospacing="0" w:line="360" w:lineRule="auto"/>
        <w:ind w:firstLine="301"/>
        <w:jc w:val="center"/>
        <w:rPr>
          <w:rFonts w:hint="eastAsia" w:ascii="宋体" w:hAnsi="宋体" w:eastAsia="宋体" w:cs="宋体"/>
          <w:color w:val="auto"/>
          <w:sz w:val="21"/>
          <w:szCs w:val="21"/>
          <w:highlight w:val="none"/>
          <w:shd w:val="clear" w:color="auto" w:fill="auto"/>
        </w:rPr>
      </w:pPr>
    </w:p>
    <w:p w14:paraId="33E57F2C">
      <w:pPr>
        <w:pStyle w:val="17"/>
        <w:keepNext w:val="0"/>
        <w:pageBreakBefore w:val="0"/>
        <w:widowControl w:val="0"/>
        <w:overflowPunct/>
        <w:bidi w:val="0"/>
        <w:spacing w:before="0" w:beforeAutospacing="0" w:after="0" w:afterAutospacing="0" w:line="360" w:lineRule="auto"/>
        <w:ind w:firstLine="301"/>
        <w:jc w:val="center"/>
        <w:rPr>
          <w:rFonts w:hint="eastAsia" w:ascii="宋体" w:hAnsi="宋体" w:eastAsia="宋体" w:cs="宋体"/>
          <w:color w:val="auto"/>
          <w:sz w:val="22"/>
          <w:szCs w:val="22"/>
          <w:highlight w:val="none"/>
          <w:shd w:val="clear" w:color="auto" w:fill="auto"/>
        </w:rPr>
      </w:pPr>
    </w:p>
    <w:p w14:paraId="2EF4EA98">
      <w:pPr>
        <w:pStyle w:val="17"/>
        <w:keepNext w:val="0"/>
        <w:pageBreakBefore w:val="0"/>
        <w:widowControl w:val="0"/>
        <w:overflowPunct/>
        <w:bidi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2"/>
          <w:sz w:val="22"/>
          <w:szCs w:val="22"/>
          <w:highlight w:val="none"/>
          <w:u w:val="single"/>
          <w:shd w:val="clear" w:color="auto" w:fill="auto"/>
          <w:lang w:bidi="ar"/>
        </w:rPr>
        <w:t xml:space="preserve">  致 （采购单位名称）               </w:t>
      </w:r>
      <w:r>
        <w:rPr>
          <w:rFonts w:hint="eastAsia" w:ascii="宋体" w:hAnsi="宋体" w:eastAsia="宋体" w:cs="宋体"/>
          <w:color w:val="auto"/>
          <w:kern w:val="2"/>
          <w:sz w:val="22"/>
          <w:szCs w:val="22"/>
          <w:highlight w:val="none"/>
          <w:shd w:val="clear" w:color="auto" w:fill="auto"/>
          <w:lang w:bidi="ar"/>
        </w:rPr>
        <w:t>：</w:t>
      </w:r>
    </w:p>
    <w:p w14:paraId="268E4EC9">
      <w:pPr>
        <w:pStyle w:val="17"/>
        <w:keepNext w:val="0"/>
        <w:pageBreakBefore w:val="0"/>
        <w:widowControl w:val="0"/>
        <w:overflowPunct/>
        <w:bidi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p>
    <w:p w14:paraId="4A4117AD">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2"/>
          <w:sz w:val="22"/>
          <w:szCs w:val="22"/>
          <w:highlight w:val="none"/>
          <w:shd w:val="clear" w:color="auto" w:fill="auto"/>
          <w:lang w:bidi="ar"/>
        </w:rPr>
        <w:t xml:space="preserve">    </w:t>
      </w:r>
      <w:r>
        <w:rPr>
          <w:rFonts w:hint="eastAsia" w:ascii="宋体" w:hAnsi="宋体" w:eastAsia="宋体" w:cs="宋体"/>
          <w:color w:val="auto"/>
          <w:kern w:val="2"/>
          <w:sz w:val="22"/>
          <w:szCs w:val="22"/>
          <w:highlight w:val="none"/>
          <w:u w:val="single"/>
          <w:shd w:val="clear" w:color="auto" w:fill="auto"/>
          <w:lang w:bidi="ar"/>
        </w:rPr>
        <w:t xml:space="preserve">              （供应商全称）     </w:t>
      </w:r>
      <w:r>
        <w:rPr>
          <w:rFonts w:hint="eastAsia" w:ascii="宋体" w:hAnsi="宋体" w:eastAsia="宋体" w:cs="宋体"/>
          <w:color w:val="auto"/>
          <w:kern w:val="2"/>
          <w:sz w:val="22"/>
          <w:szCs w:val="22"/>
          <w:highlight w:val="none"/>
          <w:shd w:val="clear" w:color="auto" w:fill="auto"/>
          <w:lang w:bidi="ar"/>
        </w:rPr>
        <w:t xml:space="preserve"> 法定代表人 </w:t>
      </w:r>
      <w:r>
        <w:rPr>
          <w:rFonts w:hint="eastAsia" w:ascii="宋体" w:hAnsi="宋体" w:eastAsia="宋体" w:cs="宋体"/>
          <w:color w:val="auto"/>
          <w:kern w:val="2"/>
          <w:sz w:val="22"/>
          <w:szCs w:val="22"/>
          <w:highlight w:val="none"/>
          <w:u w:val="single"/>
          <w:shd w:val="clear" w:color="auto" w:fill="auto"/>
          <w:lang w:bidi="ar"/>
        </w:rPr>
        <w:t xml:space="preserve"> （姓名、职务）      </w:t>
      </w:r>
      <w:r>
        <w:rPr>
          <w:rFonts w:hint="eastAsia" w:ascii="宋体" w:hAnsi="宋体" w:eastAsia="宋体" w:cs="宋体"/>
          <w:color w:val="auto"/>
          <w:kern w:val="2"/>
          <w:sz w:val="22"/>
          <w:szCs w:val="22"/>
          <w:highlight w:val="none"/>
          <w:shd w:val="clear" w:color="auto" w:fill="auto"/>
          <w:lang w:bidi="ar"/>
        </w:rPr>
        <w:t>授权</w:t>
      </w:r>
      <w:r>
        <w:rPr>
          <w:rFonts w:hint="eastAsia" w:ascii="宋体" w:hAnsi="宋体" w:eastAsia="宋体" w:cs="宋体"/>
          <w:color w:val="auto"/>
          <w:kern w:val="2"/>
          <w:sz w:val="22"/>
          <w:szCs w:val="22"/>
          <w:highlight w:val="none"/>
          <w:u w:val="single"/>
          <w:shd w:val="clear" w:color="auto" w:fill="auto"/>
          <w:lang w:bidi="ar"/>
        </w:rPr>
        <w:t xml:space="preserve">   （被授权代表姓名、职务）              </w:t>
      </w:r>
      <w:r>
        <w:rPr>
          <w:rFonts w:hint="eastAsia" w:ascii="宋体" w:hAnsi="宋体" w:eastAsia="宋体" w:cs="宋体"/>
          <w:color w:val="auto"/>
          <w:kern w:val="2"/>
          <w:sz w:val="22"/>
          <w:szCs w:val="22"/>
          <w:highlight w:val="none"/>
          <w:shd w:val="clear" w:color="auto" w:fill="auto"/>
          <w:lang w:bidi="ar"/>
        </w:rPr>
        <w:t>为本公司合法代理人，参加贵采购代理公司组织的</w:t>
      </w:r>
      <w:r>
        <w:rPr>
          <w:rFonts w:hint="eastAsia" w:ascii="宋体" w:hAnsi="宋体" w:eastAsia="宋体" w:cs="宋体"/>
          <w:color w:val="auto"/>
          <w:kern w:val="2"/>
          <w:sz w:val="22"/>
          <w:szCs w:val="22"/>
          <w:highlight w:val="none"/>
          <w:u w:val="single"/>
          <w:shd w:val="clear" w:color="auto" w:fill="auto"/>
          <w:lang w:bidi="ar"/>
        </w:rPr>
        <w:t xml:space="preserve">   （招标编号） </w:t>
      </w:r>
      <w:r>
        <w:rPr>
          <w:rFonts w:hint="eastAsia" w:ascii="宋体" w:hAnsi="宋体" w:eastAsia="宋体" w:cs="宋体"/>
          <w:color w:val="auto"/>
          <w:kern w:val="2"/>
          <w:sz w:val="22"/>
          <w:szCs w:val="22"/>
          <w:highlight w:val="none"/>
          <w:u w:val="single"/>
          <w:shd w:val="clear" w:color="auto" w:fill="auto"/>
          <w:lang w:eastAsia="zh-CN" w:bidi="ar"/>
        </w:rPr>
        <w:t>（</w:t>
      </w:r>
      <w:r>
        <w:rPr>
          <w:rFonts w:hint="eastAsia" w:ascii="宋体" w:hAnsi="宋体" w:eastAsia="宋体" w:cs="宋体"/>
          <w:color w:val="auto"/>
          <w:kern w:val="2"/>
          <w:sz w:val="22"/>
          <w:szCs w:val="22"/>
          <w:highlight w:val="none"/>
          <w:u w:val="single"/>
          <w:shd w:val="clear" w:color="auto" w:fill="auto"/>
          <w:lang w:bidi="ar"/>
        </w:rPr>
        <w:t>项目名称</w:t>
      </w:r>
      <w:r>
        <w:rPr>
          <w:rFonts w:hint="eastAsia" w:ascii="宋体" w:hAnsi="宋体" w:eastAsia="宋体" w:cs="宋体"/>
          <w:color w:val="auto"/>
          <w:kern w:val="2"/>
          <w:sz w:val="22"/>
          <w:szCs w:val="22"/>
          <w:highlight w:val="none"/>
          <w:u w:val="single"/>
          <w:shd w:val="clear" w:color="auto" w:fill="auto"/>
          <w:lang w:eastAsia="zh-CN" w:bidi="ar"/>
        </w:rPr>
        <w:t>）</w:t>
      </w:r>
      <w:r>
        <w:rPr>
          <w:rFonts w:hint="eastAsia" w:ascii="宋体" w:hAnsi="宋体" w:eastAsia="宋体" w:cs="宋体"/>
          <w:color w:val="auto"/>
          <w:kern w:val="2"/>
          <w:sz w:val="22"/>
          <w:szCs w:val="22"/>
          <w:highlight w:val="none"/>
          <w:u w:val="single"/>
          <w:shd w:val="clear" w:color="auto" w:fill="auto"/>
          <w:lang w:bidi="ar"/>
        </w:rPr>
        <w:t xml:space="preserve">                   </w:t>
      </w:r>
      <w:r>
        <w:rPr>
          <w:rFonts w:hint="eastAsia" w:ascii="宋体" w:hAnsi="宋体" w:eastAsia="宋体" w:cs="宋体"/>
          <w:color w:val="auto"/>
          <w:kern w:val="2"/>
          <w:sz w:val="22"/>
          <w:szCs w:val="22"/>
          <w:highlight w:val="none"/>
          <w:shd w:val="clear" w:color="auto" w:fill="auto"/>
          <w:lang w:bidi="ar"/>
        </w:rPr>
        <w:t>项目标项</w:t>
      </w:r>
      <w:r>
        <w:rPr>
          <w:rFonts w:hint="eastAsia" w:ascii="宋体" w:hAnsi="宋体" w:eastAsia="宋体" w:cs="宋体"/>
          <w:color w:val="auto"/>
          <w:kern w:val="2"/>
          <w:sz w:val="22"/>
          <w:szCs w:val="22"/>
          <w:highlight w:val="none"/>
          <w:u w:val="single"/>
          <w:shd w:val="clear" w:color="auto" w:fill="auto"/>
          <w:lang w:bidi="ar"/>
        </w:rPr>
        <w:t xml:space="preserve">    </w:t>
      </w:r>
      <w:r>
        <w:rPr>
          <w:rFonts w:hint="eastAsia" w:ascii="宋体" w:hAnsi="宋体" w:eastAsia="宋体" w:cs="宋体"/>
          <w:color w:val="auto"/>
          <w:kern w:val="2"/>
          <w:sz w:val="22"/>
          <w:szCs w:val="22"/>
          <w:highlight w:val="none"/>
          <w:shd w:val="clear" w:color="auto" w:fill="auto"/>
          <w:lang w:bidi="ar"/>
        </w:rPr>
        <w:t>的招标投标活动，代表本公司处理招标投标活动中的一切事宜。</w:t>
      </w:r>
    </w:p>
    <w:p w14:paraId="4CE4DB04">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u w:val="single"/>
          <w:shd w:val="clear" w:color="auto" w:fill="auto"/>
        </w:rPr>
      </w:pPr>
      <w:r>
        <w:rPr>
          <w:rFonts w:hint="eastAsia" w:ascii="宋体" w:hAnsi="宋体" w:eastAsia="宋体" w:cs="宋体"/>
          <w:color w:val="auto"/>
          <w:kern w:val="2"/>
          <w:sz w:val="22"/>
          <w:szCs w:val="22"/>
          <w:highlight w:val="none"/>
          <w:shd w:val="clear" w:color="auto" w:fill="auto"/>
          <w:lang w:bidi="ar"/>
        </w:rPr>
        <w:t xml:space="preserve">     本授权书于</w:t>
      </w:r>
      <w:r>
        <w:rPr>
          <w:rFonts w:hint="eastAsia" w:ascii="宋体" w:hAnsi="宋体" w:eastAsia="宋体" w:cs="宋体"/>
          <w:color w:val="auto"/>
          <w:kern w:val="2"/>
          <w:sz w:val="22"/>
          <w:szCs w:val="22"/>
          <w:highlight w:val="none"/>
          <w:u w:val="single"/>
          <w:shd w:val="clear" w:color="auto" w:fill="auto"/>
          <w:lang w:bidi="ar"/>
        </w:rPr>
        <w:t xml:space="preserve">       </w:t>
      </w:r>
      <w:r>
        <w:rPr>
          <w:rFonts w:hint="eastAsia" w:ascii="宋体" w:hAnsi="宋体" w:eastAsia="宋体" w:cs="宋体"/>
          <w:color w:val="auto"/>
          <w:kern w:val="2"/>
          <w:sz w:val="22"/>
          <w:szCs w:val="22"/>
          <w:highlight w:val="none"/>
          <w:shd w:val="clear" w:color="auto" w:fill="auto"/>
          <w:lang w:bidi="ar"/>
        </w:rPr>
        <w:t>年</w:t>
      </w:r>
      <w:r>
        <w:rPr>
          <w:rFonts w:hint="eastAsia" w:ascii="宋体" w:hAnsi="宋体" w:eastAsia="宋体" w:cs="宋体"/>
          <w:color w:val="auto"/>
          <w:kern w:val="2"/>
          <w:sz w:val="22"/>
          <w:szCs w:val="22"/>
          <w:highlight w:val="none"/>
          <w:u w:val="single"/>
          <w:shd w:val="clear" w:color="auto" w:fill="auto"/>
          <w:lang w:bidi="ar"/>
        </w:rPr>
        <w:t xml:space="preserve">   </w:t>
      </w:r>
      <w:r>
        <w:rPr>
          <w:rFonts w:hint="eastAsia" w:ascii="宋体" w:hAnsi="宋体" w:eastAsia="宋体" w:cs="宋体"/>
          <w:color w:val="auto"/>
          <w:kern w:val="2"/>
          <w:sz w:val="22"/>
          <w:szCs w:val="22"/>
          <w:highlight w:val="none"/>
          <w:shd w:val="clear" w:color="auto" w:fill="auto"/>
          <w:lang w:bidi="ar"/>
        </w:rPr>
        <w:t>月</w:t>
      </w:r>
      <w:r>
        <w:rPr>
          <w:rFonts w:hint="eastAsia" w:ascii="宋体" w:hAnsi="宋体" w:eastAsia="宋体" w:cs="宋体"/>
          <w:color w:val="auto"/>
          <w:kern w:val="2"/>
          <w:sz w:val="22"/>
          <w:szCs w:val="22"/>
          <w:highlight w:val="none"/>
          <w:u w:val="single"/>
          <w:shd w:val="clear" w:color="auto" w:fill="auto"/>
          <w:lang w:bidi="ar"/>
        </w:rPr>
        <w:t xml:space="preserve">    </w:t>
      </w:r>
      <w:r>
        <w:rPr>
          <w:rFonts w:hint="eastAsia" w:ascii="宋体" w:hAnsi="宋体" w:eastAsia="宋体" w:cs="宋体"/>
          <w:color w:val="auto"/>
          <w:kern w:val="2"/>
          <w:sz w:val="22"/>
          <w:szCs w:val="22"/>
          <w:highlight w:val="none"/>
          <w:shd w:val="clear" w:color="auto" w:fill="auto"/>
          <w:lang w:bidi="ar"/>
        </w:rPr>
        <w:t>日签署后生效,特此声明。</w:t>
      </w:r>
    </w:p>
    <w:p w14:paraId="23235BFF">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p>
    <w:p w14:paraId="61A355CB">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2"/>
          <w:sz w:val="22"/>
          <w:szCs w:val="22"/>
          <w:highlight w:val="none"/>
          <w:shd w:val="clear" w:color="auto" w:fill="auto"/>
          <w:lang w:bidi="ar"/>
        </w:rPr>
        <w:t xml:space="preserve">                                         法定代表人（签字或盖章）：</w:t>
      </w:r>
    </w:p>
    <w:p w14:paraId="01B7E9F9">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p>
    <w:p w14:paraId="39334C9E">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2"/>
          <w:sz w:val="22"/>
          <w:szCs w:val="22"/>
          <w:highlight w:val="none"/>
          <w:shd w:val="clear" w:color="auto" w:fill="auto"/>
          <w:lang w:bidi="ar"/>
        </w:rPr>
        <w:t xml:space="preserve">                                         供应商单位全称（盖章）： </w:t>
      </w:r>
    </w:p>
    <w:p w14:paraId="22C6FBF2">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p>
    <w:p w14:paraId="1A2F2CFF">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2"/>
          <w:sz w:val="22"/>
          <w:szCs w:val="22"/>
          <w:highlight w:val="none"/>
          <w:shd w:val="clear" w:color="auto" w:fill="auto"/>
          <w:lang w:bidi="ar"/>
        </w:rPr>
        <w:t xml:space="preserve">                                         日  期：</w:t>
      </w:r>
    </w:p>
    <w:p w14:paraId="6EE50BF8">
      <w:pPr>
        <w:pStyle w:val="17"/>
        <w:keepNext w:val="0"/>
        <w:pageBreakBefore w:val="0"/>
        <w:widowControl w:val="0"/>
        <w:overflowPunct/>
        <w:bidi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p>
    <w:p w14:paraId="59BC15D2">
      <w:pPr>
        <w:pStyle w:val="17"/>
        <w:keepNext w:val="0"/>
        <w:pageBreakBefore w:val="0"/>
        <w:widowControl w:val="0"/>
        <w:overflowPunct/>
        <w:bidi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p>
    <w:p w14:paraId="5D922FD4">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2"/>
          <w:sz w:val="22"/>
          <w:szCs w:val="22"/>
          <w:highlight w:val="none"/>
          <w:shd w:val="clear" w:color="auto" w:fill="auto"/>
          <w:lang w:bidi="ar"/>
        </w:rPr>
        <w:t>附：</w:t>
      </w:r>
    </w:p>
    <w:p w14:paraId="6DBD32AF">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2"/>
          <w:sz w:val="22"/>
          <w:szCs w:val="22"/>
          <w:highlight w:val="none"/>
          <w:shd w:val="clear" w:color="auto" w:fill="auto"/>
          <w:lang w:bidi="ar"/>
        </w:rPr>
        <w:t xml:space="preserve">  被授权代表姓名：（印刷体）</w:t>
      </w:r>
    </w:p>
    <w:p w14:paraId="0A4C1A67">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2"/>
          <w:sz w:val="22"/>
          <w:szCs w:val="22"/>
          <w:highlight w:val="none"/>
          <w:shd w:val="clear" w:color="auto" w:fill="auto"/>
          <w:lang w:bidi="ar"/>
        </w:rPr>
        <w:t xml:space="preserve">  职          务：</w:t>
      </w:r>
    </w:p>
    <w:p w14:paraId="546D4B93">
      <w:pPr>
        <w:pStyle w:val="17"/>
        <w:keepNext w:val="0"/>
        <w:pageBreakBefore w:val="0"/>
        <w:widowControl w:val="0"/>
        <w:overflowPunct/>
        <w:bidi w:val="0"/>
        <w:snapToGrid w:val="0"/>
        <w:spacing w:before="0" w:beforeAutospacing="0" w:after="0" w:afterAutospacing="0" w:line="360" w:lineRule="auto"/>
        <w:ind w:firstLine="440" w:firstLineChars="200"/>
        <w:jc w:val="both"/>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2"/>
          <w:sz w:val="22"/>
          <w:szCs w:val="22"/>
          <w:highlight w:val="none"/>
          <w:shd w:val="clear" w:color="auto" w:fill="auto"/>
          <w:lang w:bidi="ar"/>
        </w:rPr>
        <w:t>被授权代表签字：</w:t>
      </w:r>
    </w:p>
    <w:p w14:paraId="16BD97EC">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2"/>
          <w:sz w:val="22"/>
          <w:szCs w:val="22"/>
          <w:highlight w:val="none"/>
          <w:shd w:val="clear" w:color="auto" w:fill="auto"/>
          <w:lang w:bidi="ar"/>
        </w:rPr>
        <w:t xml:space="preserve">  详细通讯地址：</w:t>
      </w:r>
    </w:p>
    <w:p w14:paraId="6EFFD346">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2"/>
          <w:sz w:val="22"/>
          <w:szCs w:val="22"/>
          <w:highlight w:val="none"/>
          <w:shd w:val="clear" w:color="auto" w:fill="auto"/>
          <w:lang w:bidi="ar"/>
        </w:rPr>
        <w:t xml:space="preserve">  邮 政 编  码：</w:t>
      </w:r>
    </w:p>
    <w:p w14:paraId="1DAAE771">
      <w:pPr>
        <w:pStyle w:val="17"/>
        <w:keepNext w:val="0"/>
        <w:pageBreakBefore w:val="0"/>
        <w:widowControl w:val="0"/>
        <w:overflowPunct/>
        <w:bidi w:val="0"/>
        <w:snapToGrid w:val="0"/>
        <w:spacing w:before="0" w:beforeAutospacing="0" w:after="0" w:afterAutospacing="0" w:line="360" w:lineRule="auto"/>
        <w:ind w:firstLine="301"/>
        <w:jc w:val="both"/>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2"/>
          <w:sz w:val="22"/>
          <w:szCs w:val="22"/>
          <w:highlight w:val="none"/>
          <w:shd w:val="clear" w:color="auto" w:fill="auto"/>
          <w:lang w:bidi="ar"/>
        </w:rPr>
        <w:t xml:space="preserve">  传        真：</w:t>
      </w:r>
    </w:p>
    <w:p w14:paraId="1AE1CB95">
      <w:pPr>
        <w:pStyle w:val="17"/>
        <w:keepNext w:val="0"/>
        <w:pageBreakBefore w:val="0"/>
        <w:widowControl w:val="0"/>
        <w:overflowPunct/>
        <w:bidi w:val="0"/>
        <w:spacing w:before="0" w:beforeAutospacing="0" w:after="0" w:afterAutospacing="0" w:line="360" w:lineRule="auto"/>
        <w:ind w:firstLine="301"/>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2"/>
          <w:sz w:val="22"/>
          <w:szCs w:val="22"/>
          <w:highlight w:val="none"/>
          <w:shd w:val="clear" w:color="auto" w:fill="auto"/>
          <w:lang w:bidi="ar"/>
        </w:rPr>
        <w:t xml:space="preserve">  电        话：</w:t>
      </w:r>
    </w:p>
    <w:p w14:paraId="5D6239BA">
      <w:pPr>
        <w:keepNext w:val="0"/>
        <w:pageBreakBefore w:val="0"/>
        <w:widowControl w:val="0"/>
        <w:overflowPunct/>
        <w:bidi w:val="0"/>
        <w:snapToGrid w:val="0"/>
        <w:spacing w:line="360" w:lineRule="auto"/>
        <w:rPr>
          <w:rFonts w:hint="eastAsia" w:ascii="宋体" w:hAnsi="宋体" w:eastAsia="宋体" w:cs="宋体"/>
          <w:b/>
          <w:color w:val="auto"/>
          <w:sz w:val="22"/>
          <w:szCs w:val="22"/>
          <w:highlight w:val="none"/>
          <w:shd w:val="clear" w:color="auto" w:fill="auto"/>
          <w:lang w:bidi="ar"/>
        </w:rPr>
      </w:pPr>
      <w:r>
        <w:rPr>
          <w:rFonts w:hint="eastAsia" w:ascii="宋体" w:hAnsi="宋体" w:eastAsia="宋体" w:cs="宋体"/>
          <w:b/>
          <w:color w:val="auto"/>
          <w:sz w:val="22"/>
          <w:szCs w:val="22"/>
          <w:highlight w:val="none"/>
          <w:shd w:val="clear" w:color="auto" w:fill="auto"/>
          <w:lang w:bidi="ar"/>
        </w:rPr>
        <w:t>注：须附法人代表和被授权代表（如有）的身份证复印件（正反面）。</w:t>
      </w:r>
    </w:p>
    <w:p w14:paraId="608C9F01">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14D9AB58">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65048438">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24BEB300">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74680865">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238899E2">
      <w:pPr>
        <w:keepNext w:val="0"/>
        <w:pageBreakBefore w:val="0"/>
        <w:widowControl w:val="0"/>
        <w:overflowPunct/>
        <w:bidi w:val="0"/>
        <w:snapToGrid w:val="0"/>
        <w:spacing w:line="360" w:lineRule="auto"/>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b/>
          <w:color w:val="auto"/>
          <w:szCs w:val="21"/>
          <w:highlight w:val="none"/>
          <w:shd w:val="clear" w:color="auto" w:fill="auto"/>
          <w:lang w:bidi="ar"/>
        </w:rPr>
        <w:br w:type="page"/>
      </w:r>
      <w:r>
        <w:rPr>
          <w:rFonts w:hint="eastAsia" w:ascii="宋体" w:hAnsi="宋体" w:eastAsia="宋体" w:cs="宋体"/>
          <w:color w:val="auto"/>
          <w:sz w:val="22"/>
          <w:szCs w:val="22"/>
          <w:highlight w:val="none"/>
          <w:shd w:val="clear" w:color="auto" w:fill="auto"/>
        </w:rPr>
        <w:t>3.有效的企业营业执照（或法人登记证）或者民办非企业单位登记证书复印件并加盖公章；</w:t>
      </w:r>
    </w:p>
    <w:p w14:paraId="63D43300">
      <w:pPr>
        <w:keepNext w:val="0"/>
        <w:pageBreakBefore w:val="0"/>
        <w:widowControl w:val="0"/>
        <w:overflowPunct/>
        <w:bidi w:val="0"/>
        <w:snapToGrid w:val="0"/>
        <w:spacing w:line="360" w:lineRule="auto"/>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国、地税税务登记证复印件；组织机构代码证复印件（加盖公章</w:t>
      </w:r>
      <w:r>
        <w:rPr>
          <w:rFonts w:hint="eastAsia" w:ascii="宋体" w:hAnsi="宋体" w:eastAsia="宋体" w:cs="宋体"/>
          <w:color w:val="auto"/>
          <w:sz w:val="22"/>
          <w:szCs w:val="22"/>
          <w:highlight w:val="none"/>
          <w:shd w:val="clear" w:color="auto" w:fill="auto"/>
          <w:lang w:eastAsia="zh-CN"/>
        </w:rPr>
        <w:t>）</w:t>
      </w:r>
      <w:r>
        <w:rPr>
          <w:rFonts w:hint="eastAsia" w:ascii="宋体" w:hAnsi="宋体" w:eastAsia="宋体" w:cs="宋体"/>
          <w:color w:val="auto"/>
          <w:sz w:val="22"/>
          <w:szCs w:val="22"/>
          <w:highlight w:val="none"/>
          <w:shd w:val="clear" w:color="auto" w:fill="auto"/>
        </w:rPr>
        <w:t>（若多证合一只需提供营业执照复印件）。</w:t>
      </w:r>
    </w:p>
    <w:p w14:paraId="4C41D855">
      <w:pPr>
        <w:keepNext w:val="0"/>
        <w:pageBreakBefore w:val="0"/>
        <w:widowControl w:val="0"/>
        <w:overflowPunct/>
        <w:bidi w:val="0"/>
        <w:snapToGrid w:val="0"/>
        <w:spacing w:line="360" w:lineRule="auto"/>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4.中小企业声明函</w:t>
      </w:r>
    </w:p>
    <w:p w14:paraId="72B71F11">
      <w:pPr>
        <w:keepNext w:val="0"/>
        <w:pageBreakBefore w:val="0"/>
        <w:widowControl w:val="0"/>
        <w:overflowPunct/>
        <w:bidi w:val="0"/>
        <w:snapToGrid w:val="0"/>
        <w:spacing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b/>
          <w:bCs/>
          <w:color w:val="auto"/>
          <w:sz w:val="24"/>
          <w:highlight w:val="none"/>
          <w:shd w:val="clear" w:color="auto" w:fill="auto"/>
        </w:rPr>
        <w:t>中小企业声明函</w:t>
      </w:r>
    </w:p>
    <w:p w14:paraId="6740726E">
      <w:pPr>
        <w:keepNext w:val="0"/>
        <w:pageBreakBefore w:val="0"/>
        <w:widowControl w:val="0"/>
        <w:overflowPunct/>
        <w:bidi w:val="0"/>
        <w:snapToGrid w:val="0"/>
        <w:spacing w:line="360" w:lineRule="auto"/>
        <w:ind w:firstLine="440" w:firstLineChars="200"/>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本公司郑重声明，根据《政府采购促进中小企业发展管理办法》（财库﹝2020﹞46号）的规定，本公司参加</w:t>
      </w:r>
      <w:r>
        <w:rPr>
          <w:rFonts w:hint="eastAsia" w:ascii="宋体" w:hAnsi="宋体" w:eastAsia="宋体" w:cs="宋体"/>
          <w:color w:val="auto"/>
          <w:sz w:val="22"/>
          <w:szCs w:val="22"/>
          <w:highlight w:val="none"/>
          <w:u w:val="single"/>
          <w:shd w:val="clear" w:color="auto" w:fill="auto"/>
        </w:rPr>
        <w:t>（单位名称）</w:t>
      </w:r>
      <w:r>
        <w:rPr>
          <w:rFonts w:hint="eastAsia" w:ascii="宋体" w:hAnsi="宋体" w:eastAsia="宋体" w:cs="宋体"/>
          <w:color w:val="auto"/>
          <w:sz w:val="22"/>
          <w:szCs w:val="22"/>
          <w:highlight w:val="none"/>
          <w:shd w:val="clear" w:color="auto" w:fill="auto"/>
        </w:rPr>
        <w:t>的</w:t>
      </w:r>
      <w:r>
        <w:rPr>
          <w:rFonts w:hint="eastAsia" w:ascii="宋体" w:hAnsi="宋体" w:eastAsia="宋体" w:cs="宋体"/>
          <w:color w:val="auto"/>
          <w:sz w:val="22"/>
          <w:szCs w:val="22"/>
          <w:highlight w:val="none"/>
          <w:u w:val="single"/>
          <w:shd w:val="clear" w:color="auto" w:fill="auto"/>
        </w:rPr>
        <w:t>（项目名称）</w:t>
      </w:r>
      <w:r>
        <w:rPr>
          <w:rFonts w:hint="eastAsia" w:ascii="宋体" w:hAnsi="宋体" w:eastAsia="宋体" w:cs="宋体"/>
          <w:color w:val="auto"/>
          <w:sz w:val="22"/>
          <w:szCs w:val="22"/>
          <w:highlight w:val="none"/>
          <w:shd w:val="clear" w:color="auto" w:fill="auto"/>
        </w:rPr>
        <w:t>采购活动，服务全部由符合政策要求的中小企业承接。相关企业的具体情况如下：</w:t>
      </w:r>
    </w:p>
    <w:p w14:paraId="17C9BD7D">
      <w:pPr>
        <w:keepNext w:val="0"/>
        <w:pageBreakBefore w:val="0"/>
        <w:widowControl w:val="0"/>
        <w:overflowPunct/>
        <w:bidi w:val="0"/>
        <w:snapToGrid w:val="0"/>
        <w:spacing w:line="360" w:lineRule="auto"/>
        <w:ind w:firstLine="440" w:firstLineChars="200"/>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1.</w:t>
      </w:r>
      <w:r>
        <w:rPr>
          <w:rFonts w:hint="eastAsia" w:ascii="宋体" w:hAnsi="宋体" w:cs="宋体"/>
          <w:color w:val="auto"/>
          <w:sz w:val="22"/>
          <w:szCs w:val="22"/>
          <w:highlight w:val="none"/>
          <w:u w:val="single"/>
          <w:shd w:val="clear" w:color="auto" w:fill="auto"/>
          <w:lang w:eastAsia="zh-CN"/>
        </w:rPr>
        <w:t xml:space="preserve">2026年慈城镇耕地功能恢复项目（监理）  </w:t>
      </w:r>
      <w:r>
        <w:rPr>
          <w:rFonts w:hint="eastAsia" w:ascii="宋体" w:hAnsi="宋体" w:eastAsia="宋体" w:cs="宋体"/>
          <w:color w:val="auto"/>
          <w:sz w:val="22"/>
          <w:szCs w:val="22"/>
          <w:highlight w:val="none"/>
          <w:shd w:val="clear" w:color="auto" w:fill="auto"/>
        </w:rPr>
        <w:t>，属于</w:t>
      </w:r>
      <w:r>
        <w:rPr>
          <w:rFonts w:hint="eastAsia" w:ascii="宋体" w:hAnsi="宋体" w:eastAsia="宋体" w:cs="宋体"/>
          <w:color w:val="auto"/>
          <w:sz w:val="22"/>
          <w:szCs w:val="22"/>
          <w:highlight w:val="none"/>
          <w:u w:val="single"/>
          <w:shd w:val="clear" w:color="auto" w:fill="auto"/>
        </w:rPr>
        <w:t xml:space="preserve"> 其他未列明行业 </w:t>
      </w:r>
      <w:r>
        <w:rPr>
          <w:rFonts w:hint="eastAsia" w:ascii="宋体" w:hAnsi="宋体" w:eastAsia="宋体" w:cs="宋体"/>
          <w:color w:val="auto"/>
          <w:sz w:val="22"/>
          <w:szCs w:val="22"/>
          <w:highlight w:val="none"/>
          <w:shd w:val="clear" w:color="auto" w:fill="auto"/>
        </w:rPr>
        <w:t>；承接企业为</w:t>
      </w:r>
      <w:r>
        <w:rPr>
          <w:rFonts w:hint="eastAsia" w:ascii="宋体" w:hAnsi="宋体" w:eastAsia="宋体" w:cs="宋体"/>
          <w:color w:val="auto"/>
          <w:sz w:val="22"/>
          <w:szCs w:val="22"/>
          <w:highlight w:val="none"/>
          <w:u w:val="single"/>
          <w:shd w:val="clear" w:color="auto" w:fill="auto"/>
        </w:rPr>
        <w:t>（企业名称）</w:t>
      </w:r>
      <w:r>
        <w:rPr>
          <w:rFonts w:hint="eastAsia" w:ascii="宋体" w:hAnsi="宋体" w:eastAsia="宋体" w:cs="宋体"/>
          <w:color w:val="auto"/>
          <w:sz w:val="22"/>
          <w:szCs w:val="22"/>
          <w:highlight w:val="none"/>
          <w:shd w:val="clear" w:color="auto" w:fill="auto"/>
        </w:rPr>
        <w:t>，从业人员</w:t>
      </w:r>
      <w:r>
        <w:rPr>
          <w:rFonts w:hint="eastAsia" w:ascii="宋体" w:hAnsi="宋体" w:eastAsia="宋体" w:cs="宋体"/>
          <w:color w:val="auto"/>
          <w:sz w:val="22"/>
          <w:szCs w:val="22"/>
          <w:highlight w:val="none"/>
          <w:u w:val="single"/>
          <w:shd w:val="clear" w:color="auto" w:fill="auto"/>
        </w:rPr>
        <w:t xml:space="preserve"> </w:t>
      </w:r>
      <w:r>
        <w:rPr>
          <w:rFonts w:hint="eastAsia" w:ascii="宋体" w:hAnsi="宋体" w:eastAsia="宋体" w:cs="宋体"/>
          <w:color w:val="auto"/>
          <w:sz w:val="22"/>
          <w:szCs w:val="22"/>
          <w:highlight w:val="none"/>
          <w:u w:val="single"/>
          <w:shd w:val="clear" w:color="auto" w:fill="auto"/>
          <w:lang w:val="en-US" w:eastAsia="zh-CN"/>
        </w:rPr>
        <w:t xml:space="preserve">   </w:t>
      </w:r>
      <w:r>
        <w:rPr>
          <w:rFonts w:hint="eastAsia" w:ascii="宋体" w:hAnsi="宋体" w:eastAsia="宋体" w:cs="宋体"/>
          <w:color w:val="auto"/>
          <w:sz w:val="22"/>
          <w:szCs w:val="22"/>
          <w:highlight w:val="none"/>
          <w:u w:val="single"/>
          <w:shd w:val="clear" w:color="auto" w:fill="auto"/>
        </w:rPr>
        <w:t xml:space="preserve">  </w:t>
      </w:r>
      <w:r>
        <w:rPr>
          <w:rFonts w:hint="eastAsia" w:ascii="宋体" w:hAnsi="宋体" w:eastAsia="宋体" w:cs="宋体"/>
          <w:color w:val="auto"/>
          <w:sz w:val="22"/>
          <w:szCs w:val="22"/>
          <w:highlight w:val="none"/>
          <w:shd w:val="clear" w:color="auto" w:fill="auto"/>
        </w:rPr>
        <w:t>人，营业收入为</w:t>
      </w:r>
      <w:r>
        <w:rPr>
          <w:rFonts w:hint="eastAsia" w:ascii="宋体" w:hAnsi="宋体" w:eastAsia="宋体" w:cs="宋体"/>
          <w:color w:val="auto"/>
          <w:sz w:val="22"/>
          <w:szCs w:val="22"/>
          <w:highlight w:val="none"/>
          <w:u w:val="single"/>
          <w:shd w:val="clear" w:color="auto" w:fill="auto"/>
        </w:rPr>
        <w:t xml:space="preserve">      </w:t>
      </w:r>
      <w:r>
        <w:rPr>
          <w:rFonts w:hint="eastAsia" w:ascii="宋体" w:hAnsi="宋体" w:eastAsia="宋体" w:cs="宋体"/>
          <w:color w:val="auto"/>
          <w:sz w:val="22"/>
          <w:szCs w:val="22"/>
          <w:highlight w:val="none"/>
          <w:shd w:val="clear" w:color="auto" w:fill="auto"/>
        </w:rPr>
        <w:t>万元，资产总额为</w:t>
      </w:r>
      <w:r>
        <w:rPr>
          <w:rFonts w:hint="eastAsia" w:ascii="宋体" w:hAnsi="宋体" w:eastAsia="宋体" w:cs="宋体"/>
          <w:color w:val="auto"/>
          <w:sz w:val="22"/>
          <w:szCs w:val="22"/>
          <w:highlight w:val="none"/>
          <w:u w:val="single"/>
          <w:shd w:val="clear" w:color="auto" w:fill="auto"/>
        </w:rPr>
        <w:t xml:space="preserve">     </w:t>
      </w:r>
      <w:r>
        <w:rPr>
          <w:rFonts w:hint="eastAsia" w:ascii="宋体" w:hAnsi="宋体" w:eastAsia="宋体" w:cs="宋体"/>
          <w:color w:val="auto"/>
          <w:sz w:val="22"/>
          <w:szCs w:val="22"/>
          <w:highlight w:val="none"/>
          <w:shd w:val="clear" w:color="auto" w:fill="auto"/>
        </w:rPr>
        <w:t>万元，属于</w:t>
      </w:r>
      <w:r>
        <w:rPr>
          <w:rFonts w:hint="eastAsia" w:ascii="宋体" w:hAnsi="宋体" w:eastAsia="宋体" w:cs="宋体"/>
          <w:color w:val="auto"/>
          <w:sz w:val="22"/>
          <w:szCs w:val="22"/>
          <w:highlight w:val="none"/>
          <w:u w:val="single"/>
          <w:shd w:val="clear" w:color="auto" w:fill="auto"/>
        </w:rPr>
        <w:t>（中型企业、小型企业、微型企业）</w:t>
      </w:r>
      <w:r>
        <w:rPr>
          <w:rFonts w:hint="eastAsia" w:ascii="宋体" w:hAnsi="宋体" w:eastAsia="宋体" w:cs="宋体"/>
          <w:color w:val="auto"/>
          <w:sz w:val="22"/>
          <w:szCs w:val="22"/>
          <w:highlight w:val="none"/>
          <w:shd w:val="clear" w:color="auto" w:fill="auto"/>
        </w:rPr>
        <w:t>；</w:t>
      </w:r>
    </w:p>
    <w:p w14:paraId="09FAE4A3">
      <w:pPr>
        <w:keepNext w:val="0"/>
        <w:pageBreakBefore w:val="0"/>
        <w:widowControl w:val="0"/>
        <w:overflowPunct/>
        <w:bidi w:val="0"/>
        <w:snapToGrid w:val="0"/>
        <w:spacing w:line="360" w:lineRule="auto"/>
        <w:ind w:firstLine="440" w:firstLineChars="200"/>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以上企业，不属于大企业的分支机构，不存在控股股东为大企业的情形，也不存在与大企业的负责人为同一人的情形。</w:t>
      </w:r>
    </w:p>
    <w:p w14:paraId="5E7E073E">
      <w:pPr>
        <w:keepNext w:val="0"/>
        <w:pageBreakBefore w:val="0"/>
        <w:widowControl w:val="0"/>
        <w:overflowPunct/>
        <w:bidi w:val="0"/>
        <w:snapToGrid w:val="0"/>
        <w:spacing w:line="360" w:lineRule="auto"/>
        <w:ind w:firstLine="440" w:firstLineChars="200"/>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本企业对上述声明内容的真实性负责。如有虚假，将依法承担相应责任。</w:t>
      </w:r>
    </w:p>
    <w:p w14:paraId="6DA2C51A">
      <w:pPr>
        <w:keepNext w:val="0"/>
        <w:pageBreakBefore w:val="0"/>
        <w:widowControl w:val="0"/>
        <w:overflowPunct/>
        <w:bidi w:val="0"/>
        <w:snapToGrid w:val="0"/>
        <w:spacing w:line="360" w:lineRule="auto"/>
        <w:jc w:val="left"/>
        <w:rPr>
          <w:rFonts w:hint="eastAsia" w:ascii="宋体" w:hAnsi="宋体" w:eastAsia="宋体" w:cs="宋体"/>
          <w:color w:val="auto"/>
          <w:sz w:val="22"/>
          <w:szCs w:val="22"/>
          <w:highlight w:val="none"/>
          <w:shd w:val="clear" w:color="auto" w:fill="auto"/>
        </w:rPr>
      </w:pPr>
    </w:p>
    <w:p w14:paraId="28C7F4FC">
      <w:pPr>
        <w:keepNext w:val="0"/>
        <w:pageBreakBefore w:val="0"/>
        <w:widowControl w:val="0"/>
        <w:overflowPunct/>
        <w:bidi w:val="0"/>
        <w:snapToGrid w:val="0"/>
        <w:spacing w:line="360" w:lineRule="auto"/>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供应商全称（加盖公章）：                     </w:t>
      </w:r>
    </w:p>
    <w:p w14:paraId="2A02BD31">
      <w:pPr>
        <w:keepNext w:val="0"/>
        <w:pageBreakBefore w:val="0"/>
        <w:widowControl w:val="0"/>
        <w:overflowPunct/>
        <w:bidi w:val="0"/>
        <w:snapToGrid w:val="0"/>
        <w:spacing w:line="360" w:lineRule="auto"/>
        <w:jc w:val="righ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法定代表人或其委托代理人（签字或盖章）：    </w:t>
      </w:r>
    </w:p>
    <w:p w14:paraId="37393FA2">
      <w:pPr>
        <w:keepNext w:val="0"/>
        <w:pageBreakBefore w:val="0"/>
        <w:widowControl w:val="0"/>
        <w:tabs>
          <w:tab w:val="left" w:pos="7360"/>
          <w:tab w:val="left" w:pos="7560"/>
        </w:tabs>
        <w:overflowPunct/>
        <w:bidi w:val="0"/>
        <w:snapToGrid w:val="0"/>
        <w:spacing w:line="360" w:lineRule="auto"/>
        <w:ind w:right="1163" w:rightChars="554"/>
        <w:jc w:val="righ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日期:      年      月      日 </w:t>
      </w:r>
    </w:p>
    <w:p w14:paraId="31D97346">
      <w:pPr>
        <w:keepNext w:val="0"/>
        <w:pageBreakBefore w:val="0"/>
        <w:widowControl w:val="0"/>
        <w:overflowPunct/>
        <w:bidi w:val="0"/>
        <w:snapToGrid w:val="0"/>
        <w:spacing w:line="360" w:lineRule="auto"/>
        <w:jc w:val="left"/>
        <w:rPr>
          <w:rFonts w:hint="eastAsia" w:ascii="宋体" w:hAnsi="宋体" w:eastAsia="宋体" w:cs="宋体"/>
          <w:color w:val="auto"/>
          <w:sz w:val="22"/>
          <w:szCs w:val="22"/>
          <w:highlight w:val="none"/>
          <w:shd w:val="clear" w:color="auto" w:fill="auto"/>
        </w:rPr>
      </w:pPr>
    </w:p>
    <w:p w14:paraId="758D1827">
      <w:pPr>
        <w:keepNext w:val="0"/>
        <w:pageBreakBefore w:val="0"/>
        <w:widowControl w:val="0"/>
        <w:overflowPunct/>
        <w:bidi w:val="0"/>
        <w:snapToGrid w:val="0"/>
        <w:spacing w:line="360" w:lineRule="auto"/>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（1）从业人员、营业收入、资产总额填报上一年度数据，无上一年度数据的新成立企业可不填报。</w:t>
      </w:r>
    </w:p>
    <w:p w14:paraId="56792DEE">
      <w:pPr>
        <w:keepNext w:val="0"/>
        <w:pageBreakBefore w:val="0"/>
        <w:widowControl w:val="0"/>
        <w:overflowPunct/>
        <w:bidi w:val="0"/>
        <w:snapToGrid w:val="0"/>
        <w:spacing w:line="360" w:lineRule="auto"/>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（2）本项目所属行业见前附表。</w:t>
      </w:r>
    </w:p>
    <w:p w14:paraId="4DA67A12">
      <w:pPr>
        <w:keepNext w:val="0"/>
        <w:pageBreakBefore w:val="0"/>
        <w:widowControl w:val="0"/>
        <w:overflowPunct/>
        <w:bidi w:val="0"/>
        <w:snapToGrid w:val="0"/>
        <w:spacing w:line="360" w:lineRule="auto"/>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（3）中小企业划型标准规定（工信部联企业</w:t>
      </w:r>
      <w:r>
        <w:rPr>
          <w:rFonts w:hint="eastAsia" w:ascii="宋体" w:hAnsi="宋体" w:eastAsia="宋体" w:cs="宋体"/>
          <w:color w:val="auto"/>
          <w:sz w:val="22"/>
          <w:szCs w:val="22"/>
          <w:highlight w:val="none"/>
          <w:shd w:val="clear" w:color="auto" w:fill="auto"/>
          <w:lang w:eastAsia="zh-CN"/>
        </w:rPr>
        <w:t>〔2011〕</w:t>
      </w:r>
      <w:r>
        <w:rPr>
          <w:rFonts w:hint="eastAsia" w:ascii="宋体" w:hAnsi="宋体" w:eastAsia="宋体" w:cs="宋体"/>
          <w:color w:val="auto"/>
          <w:sz w:val="22"/>
          <w:szCs w:val="22"/>
          <w:highlight w:val="none"/>
          <w:shd w:val="clear" w:color="auto" w:fill="auto"/>
        </w:rPr>
        <w:t>300号）附后。</w:t>
      </w:r>
    </w:p>
    <w:p w14:paraId="0964E1B1">
      <w:pPr>
        <w:pStyle w:val="3"/>
        <w:keepNext w:val="0"/>
        <w:pageBreakBefore w:val="0"/>
        <w:widowControl w:val="0"/>
        <w:overflowPunct/>
        <w:bidi w:val="0"/>
        <w:spacing w:line="520" w:lineRule="exact"/>
        <w:ind w:firstLine="0"/>
        <w:jc w:val="center"/>
        <w:rPr>
          <w:rFonts w:hint="eastAsia" w:ascii="宋体" w:hAnsi="宋体" w:eastAsia="宋体" w:cs="宋体"/>
          <w:b/>
          <w:bCs w:val="0"/>
          <w:color w:val="auto"/>
          <w:sz w:val="21"/>
          <w:szCs w:val="21"/>
          <w:highlight w:val="none"/>
          <w:shd w:val="clear" w:color="auto" w:fill="auto"/>
        </w:rPr>
      </w:pPr>
    </w:p>
    <w:p w14:paraId="4E22C851">
      <w:pPr>
        <w:pStyle w:val="3"/>
        <w:keepNext w:val="0"/>
        <w:pageBreakBefore w:val="0"/>
        <w:widowControl w:val="0"/>
        <w:overflowPunct/>
        <w:bidi w:val="0"/>
        <w:spacing w:line="520" w:lineRule="exact"/>
        <w:ind w:firstLine="0"/>
        <w:jc w:val="center"/>
        <w:rPr>
          <w:rFonts w:hint="eastAsia" w:ascii="宋体" w:hAnsi="宋体" w:eastAsia="宋体" w:cs="宋体"/>
          <w:b/>
          <w:bCs w:val="0"/>
          <w:color w:val="auto"/>
          <w:sz w:val="21"/>
          <w:szCs w:val="21"/>
          <w:highlight w:val="none"/>
          <w:shd w:val="clear" w:color="auto" w:fill="auto"/>
        </w:rPr>
      </w:pPr>
    </w:p>
    <w:p w14:paraId="38A4251E">
      <w:pPr>
        <w:pStyle w:val="3"/>
        <w:keepNext w:val="0"/>
        <w:pageBreakBefore w:val="0"/>
        <w:widowControl w:val="0"/>
        <w:overflowPunct/>
        <w:bidi w:val="0"/>
        <w:spacing w:line="520" w:lineRule="exact"/>
        <w:ind w:firstLine="0"/>
        <w:jc w:val="center"/>
        <w:rPr>
          <w:rFonts w:hint="eastAsia" w:ascii="宋体" w:hAnsi="宋体" w:eastAsia="宋体" w:cs="宋体"/>
          <w:b/>
          <w:bCs w:val="0"/>
          <w:color w:val="auto"/>
          <w:sz w:val="21"/>
          <w:szCs w:val="21"/>
          <w:highlight w:val="none"/>
          <w:shd w:val="clear" w:color="auto" w:fill="auto"/>
        </w:rPr>
      </w:pPr>
    </w:p>
    <w:p w14:paraId="2B2580BC">
      <w:pPr>
        <w:pStyle w:val="3"/>
        <w:keepNext w:val="0"/>
        <w:pageBreakBefore w:val="0"/>
        <w:widowControl w:val="0"/>
        <w:overflowPunct/>
        <w:bidi w:val="0"/>
        <w:spacing w:line="520" w:lineRule="exact"/>
        <w:ind w:firstLine="0"/>
        <w:jc w:val="center"/>
        <w:rPr>
          <w:rFonts w:hint="eastAsia" w:ascii="宋体" w:hAnsi="宋体" w:eastAsia="宋体" w:cs="宋体"/>
          <w:b/>
          <w:bCs w:val="0"/>
          <w:color w:val="auto"/>
          <w:sz w:val="21"/>
          <w:szCs w:val="21"/>
          <w:highlight w:val="none"/>
          <w:shd w:val="clear" w:color="auto" w:fill="auto"/>
        </w:rPr>
      </w:pPr>
    </w:p>
    <w:p w14:paraId="22E23547">
      <w:pPr>
        <w:pStyle w:val="3"/>
        <w:keepNext w:val="0"/>
        <w:pageBreakBefore w:val="0"/>
        <w:widowControl w:val="0"/>
        <w:overflowPunct/>
        <w:bidi w:val="0"/>
        <w:spacing w:line="520" w:lineRule="exact"/>
        <w:ind w:firstLine="0"/>
        <w:jc w:val="center"/>
        <w:rPr>
          <w:rFonts w:hint="eastAsia" w:ascii="宋体" w:hAnsi="宋体" w:eastAsia="宋体" w:cs="宋体"/>
          <w:b/>
          <w:bCs w:val="0"/>
          <w:color w:val="auto"/>
          <w:sz w:val="21"/>
          <w:szCs w:val="21"/>
          <w:highlight w:val="none"/>
          <w:shd w:val="clear" w:color="auto" w:fill="auto"/>
        </w:rPr>
      </w:pPr>
    </w:p>
    <w:p w14:paraId="2C1F06AC">
      <w:pPr>
        <w:pStyle w:val="3"/>
        <w:keepNext w:val="0"/>
        <w:pageBreakBefore w:val="0"/>
        <w:widowControl w:val="0"/>
        <w:overflowPunct/>
        <w:bidi w:val="0"/>
        <w:spacing w:line="520" w:lineRule="exact"/>
        <w:ind w:firstLine="0"/>
        <w:jc w:val="center"/>
        <w:rPr>
          <w:rFonts w:hint="eastAsia" w:ascii="宋体" w:hAnsi="宋体" w:eastAsia="宋体" w:cs="宋体"/>
          <w:b/>
          <w:bCs w:val="0"/>
          <w:color w:val="auto"/>
          <w:sz w:val="21"/>
          <w:szCs w:val="21"/>
          <w:highlight w:val="none"/>
          <w:shd w:val="clear" w:color="auto" w:fill="auto"/>
        </w:rPr>
      </w:pPr>
    </w:p>
    <w:p w14:paraId="1F1E6000">
      <w:pPr>
        <w:pStyle w:val="3"/>
        <w:keepNext w:val="0"/>
        <w:pageBreakBefore w:val="0"/>
        <w:widowControl w:val="0"/>
        <w:overflowPunct/>
        <w:bidi w:val="0"/>
        <w:spacing w:line="520" w:lineRule="exact"/>
        <w:ind w:firstLine="0"/>
        <w:jc w:val="center"/>
        <w:rPr>
          <w:rFonts w:hint="eastAsia" w:ascii="宋体" w:hAnsi="宋体" w:eastAsia="宋体" w:cs="宋体"/>
          <w:b/>
          <w:bCs w:val="0"/>
          <w:color w:val="auto"/>
          <w:sz w:val="21"/>
          <w:szCs w:val="21"/>
          <w:highlight w:val="none"/>
          <w:shd w:val="clear" w:color="auto" w:fill="auto"/>
        </w:rPr>
      </w:pPr>
    </w:p>
    <w:p w14:paraId="33DAAAB3">
      <w:pPr>
        <w:pStyle w:val="3"/>
        <w:keepNext w:val="0"/>
        <w:pageBreakBefore w:val="0"/>
        <w:widowControl w:val="0"/>
        <w:overflowPunct/>
        <w:bidi w:val="0"/>
        <w:spacing w:line="520" w:lineRule="exact"/>
        <w:ind w:firstLine="0"/>
        <w:jc w:val="left"/>
        <w:rPr>
          <w:rFonts w:hint="eastAsia" w:ascii="宋体" w:hAnsi="宋体" w:eastAsia="宋体" w:cs="宋体"/>
          <w:color w:val="auto"/>
          <w:highlight w:val="none"/>
          <w:shd w:val="clear" w:color="auto" w:fill="auto"/>
        </w:rPr>
      </w:pPr>
      <w:r>
        <w:rPr>
          <w:rFonts w:hint="eastAsia" w:ascii="宋体" w:hAnsi="宋体" w:eastAsia="宋体" w:cs="宋体"/>
          <w:color w:val="auto"/>
          <w:szCs w:val="21"/>
          <w:highlight w:val="none"/>
          <w:shd w:val="clear" w:color="auto" w:fill="auto"/>
        </w:rPr>
        <w:br w:type="page"/>
      </w:r>
    </w:p>
    <w:p w14:paraId="37C446B5">
      <w:pPr>
        <w:keepNext w:val="0"/>
        <w:pageBreakBefore w:val="0"/>
        <w:widowControl w:val="0"/>
        <w:overflowPunct/>
        <w:bidi w:val="0"/>
        <w:jc w:val="left"/>
        <w:rPr>
          <w:rFonts w:hint="eastAsia" w:ascii="宋体" w:hAnsi="宋体" w:eastAsia="宋体" w:cs="宋体"/>
          <w:color w:val="auto"/>
          <w:highlight w:val="none"/>
          <w:shd w:val="clear" w:color="auto" w:fill="auto"/>
        </w:rPr>
        <w:sectPr>
          <w:footerReference r:id="rId6" w:type="default"/>
          <w:pgSz w:w="11907" w:h="16840"/>
          <w:pgMar w:top="1417" w:right="1417" w:bottom="1417" w:left="1417" w:header="720" w:footer="720" w:gutter="0"/>
          <w:cols w:space="720" w:num="1"/>
          <w:rtlGutter w:val="0"/>
          <w:docGrid w:type="lines" w:linePitch="286" w:charSpace="0"/>
        </w:sectPr>
      </w:pPr>
    </w:p>
    <w:tbl>
      <w:tblPr>
        <w:tblStyle w:val="19"/>
        <w:tblW w:w="5000" w:type="pct"/>
        <w:jc w:val="center"/>
        <w:tblLayout w:type="autofit"/>
        <w:tblCellMar>
          <w:top w:w="0" w:type="dxa"/>
          <w:left w:w="108" w:type="dxa"/>
          <w:bottom w:w="0" w:type="dxa"/>
          <w:right w:w="108" w:type="dxa"/>
        </w:tblCellMar>
      </w:tblPr>
      <w:tblGrid>
        <w:gridCol w:w="2333"/>
        <w:gridCol w:w="1420"/>
        <w:gridCol w:w="1751"/>
        <w:gridCol w:w="1201"/>
        <w:gridCol w:w="1417"/>
        <w:gridCol w:w="1429"/>
        <w:gridCol w:w="1502"/>
        <w:gridCol w:w="1236"/>
        <w:gridCol w:w="1224"/>
        <w:gridCol w:w="1275"/>
      </w:tblGrid>
      <w:tr w14:paraId="0E37CCBA">
        <w:tblPrEx>
          <w:tblCellMar>
            <w:top w:w="0" w:type="dxa"/>
            <w:left w:w="108" w:type="dxa"/>
            <w:bottom w:w="0" w:type="dxa"/>
            <w:right w:w="108" w:type="dxa"/>
          </w:tblCellMar>
        </w:tblPrEx>
        <w:trPr>
          <w:trHeight w:val="567" w:hRule="atLeast"/>
          <w:jc w:val="center"/>
        </w:trPr>
        <w:tc>
          <w:tcPr>
            <w:tcW w:w="5000" w:type="pct"/>
            <w:gridSpan w:val="10"/>
            <w:tcBorders>
              <w:top w:val="nil"/>
              <w:left w:val="nil"/>
              <w:bottom w:val="nil"/>
              <w:right w:val="nil"/>
            </w:tcBorders>
            <w:noWrap w:val="0"/>
            <w:vAlign w:val="bottom"/>
          </w:tcPr>
          <w:p w14:paraId="20DF3701">
            <w:pPr>
              <w:keepNext w:val="0"/>
              <w:keepLines w:val="0"/>
              <w:pageBreakBefore w:val="0"/>
              <w:widowControl w:val="0"/>
              <w:suppressLineNumbers w:val="0"/>
              <w:overflowPunct/>
              <w:bidi w:val="0"/>
              <w:spacing w:before="0" w:beforeAutospacing="0" w:after="0" w:afterAutospacing="0"/>
              <w:ind w:left="0" w:right="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中小微行业划型标准规定（根据工信部联企业〔2011〕300号制定）</w:t>
            </w:r>
          </w:p>
        </w:tc>
      </w:tr>
      <w:tr w14:paraId="228565DE">
        <w:tblPrEx>
          <w:tblCellMar>
            <w:top w:w="0" w:type="dxa"/>
            <w:left w:w="108" w:type="dxa"/>
            <w:bottom w:w="0" w:type="dxa"/>
            <w:right w:w="108" w:type="dxa"/>
          </w:tblCellMar>
        </w:tblPrEx>
        <w:trPr>
          <w:trHeight w:val="567" w:hRule="atLeast"/>
          <w:jc w:val="center"/>
        </w:trPr>
        <w:tc>
          <w:tcPr>
            <w:tcW w:w="789" w:type="pct"/>
            <w:vMerge w:val="restart"/>
            <w:tcBorders>
              <w:top w:val="single" w:color="auto" w:sz="8" w:space="0"/>
              <w:left w:val="single" w:color="auto" w:sz="8" w:space="0"/>
              <w:bottom w:val="single" w:color="000000" w:sz="4" w:space="0"/>
              <w:right w:val="single" w:color="auto" w:sz="8" w:space="0"/>
            </w:tcBorders>
            <w:noWrap w:val="0"/>
            <w:vAlign w:val="center"/>
          </w:tcPr>
          <w:p w14:paraId="7D41A639">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行业</w:t>
            </w:r>
          </w:p>
        </w:tc>
        <w:tc>
          <w:tcPr>
            <w:tcW w:w="1478" w:type="pct"/>
            <w:gridSpan w:val="3"/>
            <w:tcBorders>
              <w:top w:val="single" w:color="auto" w:sz="8" w:space="0"/>
              <w:left w:val="nil"/>
              <w:bottom w:val="single" w:color="auto" w:sz="4" w:space="0"/>
              <w:right w:val="single" w:color="000000" w:sz="8" w:space="0"/>
            </w:tcBorders>
            <w:noWrap w:val="0"/>
            <w:vAlign w:val="bottom"/>
          </w:tcPr>
          <w:p w14:paraId="780F2A0B">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中型企业</w:t>
            </w:r>
          </w:p>
        </w:tc>
        <w:tc>
          <w:tcPr>
            <w:tcW w:w="1470" w:type="pct"/>
            <w:gridSpan w:val="3"/>
            <w:tcBorders>
              <w:top w:val="single" w:color="auto" w:sz="8" w:space="0"/>
              <w:left w:val="nil"/>
              <w:bottom w:val="single" w:color="auto" w:sz="4" w:space="0"/>
              <w:right w:val="single" w:color="000000" w:sz="8" w:space="0"/>
            </w:tcBorders>
            <w:noWrap w:val="0"/>
            <w:vAlign w:val="bottom"/>
          </w:tcPr>
          <w:p w14:paraId="56358DF8">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小型企业</w:t>
            </w:r>
          </w:p>
        </w:tc>
        <w:tc>
          <w:tcPr>
            <w:tcW w:w="1261" w:type="pct"/>
            <w:gridSpan w:val="3"/>
            <w:tcBorders>
              <w:top w:val="single" w:color="auto" w:sz="8" w:space="0"/>
              <w:left w:val="nil"/>
              <w:bottom w:val="single" w:color="auto" w:sz="4" w:space="0"/>
              <w:right w:val="single" w:color="000000" w:sz="8" w:space="0"/>
            </w:tcBorders>
            <w:noWrap w:val="0"/>
            <w:vAlign w:val="bottom"/>
          </w:tcPr>
          <w:p w14:paraId="4D58DEBE">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b/>
                <w:bCs/>
                <w:color w:val="auto"/>
                <w:kern w:val="0"/>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rPr>
              <w:t>微型企业</w:t>
            </w:r>
          </w:p>
        </w:tc>
      </w:tr>
      <w:tr w14:paraId="1218F51B">
        <w:tblPrEx>
          <w:tblCellMar>
            <w:top w:w="0" w:type="dxa"/>
            <w:left w:w="108" w:type="dxa"/>
            <w:bottom w:w="0" w:type="dxa"/>
            <w:right w:w="108" w:type="dxa"/>
          </w:tblCellMar>
        </w:tblPrEx>
        <w:trPr>
          <w:trHeight w:val="567" w:hRule="atLeast"/>
          <w:jc w:val="center"/>
        </w:trPr>
        <w:tc>
          <w:tcPr>
            <w:tcW w:w="789" w:type="pct"/>
            <w:vMerge w:val="continue"/>
            <w:tcBorders>
              <w:top w:val="single" w:color="auto" w:sz="8" w:space="0"/>
              <w:left w:val="single" w:color="auto" w:sz="8" w:space="0"/>
              <w:bottom w:val="single" w:color="000000" w:sz="4" w:space="0"/>
              <w:right w:val="single" w:color="auto" w:sz="8" w:space="0"/>
            </w:tcBorders>
            <w:noWrap w:val="0"/>
            <w:vAlign w:val="center"/>
          </w:tcPr>
          <w:p w14:paraId="3EA078C9">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b/>
                <w:bCs/>
                <w:color w:val="auto"/>
                <w:kern w:val="0"/>
                <w:sz w:val="21"/>
                <w:szCs w:val="21"/>
                <w:highlight w:val="none"/>
                <w:shd w:val="clear" w:color="auto" w:fill="auto"/>
              </w:rPr>
            </w:pPr>
          </w:p>
        </w:tc>
        <w:tc>
          <w:tcPr>
            <w:tcW w:w="480" w:type="pct"/>
            <w:tcBorders>
              <w:top w:val="nil"/>
              <w:left w:val="nil"/>
              <w:bottom w:val="single" w:color="auto" w:sz="4" w:space="0"/>
              <w:right w:val="single" w:color="auto" w:sz="4" w:space="0"/>
            </w:tcBorders>
            <w:noWrap w:val="0"/>
            <w:vAlign w:val="bottom"/>
          </w:tcPr>
          <w:p w14:paraId="130AC1B3">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从业人员X（人）</w:t>
            </w:r>
          </w:p>
        </w:tc>
        <w:tc>
          <w:tcPr>
            <w:tcW w:w="592" w:type="pct"/>
            <w:tcBorders>
              <w:top w:val="nil"/>
              <w:left w:val="nil"/>
              <w:bottom w:val="single" w:color="auto" w:sz="4" w:space="0"/>
              <w:right w:val="single" w:color="auto" w:sz="4" w:space="0"/>
            </w:tcBorders>
            <w:noWrap w:val="0"/>
            <w:vAlign w:val="bottom"/>
          </w:tcPr>
          <w:p w14:paraId="71534DEC">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p w14:paraId="77DB0A7B">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406" w:type="pct"/>
            <w:tcBorders>
              <w:top w:val="nil"/>
              <w:left w:val="nil"/>
              <w:bottom w:val="single" w:color="auto" w:sz="4" w:space="0"/>
              <w:right w:val="single" w:color="auto" w:sz="8" w:space="0"/>
            </w:tcBorders>
            <w:noWrap w:val="0"/>
            <w:vAlign w:val="bottom"/>
          </w:tcPr>
          <w:p w14:paraId="7F001826">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资产总额Z</w:t>
            </w:r>
          </w:p>
          <w:p w14:paraId="2245273A">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479" w:type="pct"/>
            <w:tcBorders>
              <w:top w:val="nil"/>
              <w:left w:val="nil"/>
              <w:bottom w:val="single" w:color="auto" w:sz="4" w:space="0"/>
              <w:right w:val="single" w:color="auto" w:sz="4" w:space="0"/>
            </w:tcBorders>
            <w:noWrap w:val="0"/>
            <w:vAlign w:val="bottom"/>
          </w:tcPr>
          <w:p w14:paraId="17310C89">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从业人员X（人）</w:t>
            </w:r>
          </w:p>
        </w:tc>
        <w:tc>
          <w:tcPr>
            <w:tcW w:w="483" w:type="pct"/>
            <w:tcBorders>
              <w:top w:val="nil"/>
              <w:left w:val="nil"/>
              <w:bottom w:val="single" w:color="auto" w:sz="4" w:space="0"/>
              <w:right w:val="single" w:color="auto" w:sz="4" w:space="0"/>
            </w:tcBorders>
            <w:noWrap w:val="0"/>
            <w:vAlign w:val="bottom"/>
          </w:tcPr>
          <w:p w14:paraId="4D3D44DD">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w:t>
            </w:r>
          </w:p>
          <w:p w14:paraId="0DDFA259">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507" w:type="pct"/>
            <w:tcBorders>
              <w:top w:val="nil"/>
              <w:left w:val="nil"/>
              <w:bottom w:val="single" w:color="auto" w:sz="4" w:space="0"/>
              <w:right w:val="single" w:color="auto" w:sz="8" w:space="0"/>
            </w:tcBorders>
            <w:noWrap w:val="0"/>
            <w:vAlign w:val="bottom"/>
          </w:tcPr>
          <w:p w14:paraId="054F8520">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资产总额Z</w:t>
            </w:r>
          </w:p>
          <w:p w14:paraId="44F3C383">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（万元）</w:t>
            </w:r>
          </w:p>
        </w:tc>
        <w:tc>
          <w:tcPr>
            <w:tcW w:w="418" w:type="pct"/>
            <w:tcBorders>
              <w:top w:val="nil"/>
              <w:left w:val="nil"/>
              <w:bottom w:val="single" w:color="auto" w:sz="4" w:space="0"/>
              <w:right w:val="single" w:color="auto" w:sz="4" w:space="0"/>
            </w:tcBorders>
            <w:noWrap w:val="0"/>
            <w:vAlign w:val="bottom"/>
          </w:tcPr>
          <w:p w14:paraId="52E747F5">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从业人员X（人）</w:t>
            </w:r>
          </w:p>
        </w:tc>
        <w:tc>
          <w:tcPr>
            <w:tcW w:w="414" w:type="pct"/>
            <w:tcBorders>
              <w:top w:val="nil"/>
              <w:left w:val="nil"/>
              <w:bottom w:val="single" w:color="auto" w:sz="4" w:space="0"/>
              <w:right w:val="single" w:color="auto" w:sz="4" w:space="0"/>
            </w:tcBorders>
            <w:noWrap w:val="0"/>
            <w:vAlign w:val="bottom"/>
          </w:tcPr>
          <w:p w14:paraId="0508C73E">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营业收入Y（万元）</w:t>
            </w:r>
          </w:p>
        </w:tc>
        <w:tc>
          <w:tcPr>
            <w:tcW w:w="428" w:type="pct"/>
            <w:tcBorders>
              <w:top w:val="nil"/>
              <w:left w:val="nil"/>
              <w:bottom w:val="single" w:color="auto" w:sz="4" w:space="0"/>
              <w:right w:val="single" w:color="auto" w:sz="8" w:space="0"/>
            </w:tcBorders>
            <w:noWrap w:val="0"/>
            <w:vAlign w:val="bottom"/>
          </w:tcPr>
          <w:p w14:paraId="2F57F32E">
            <w:pPr>
              <w:keepNext w:val="0"/>
              <w:keepLines w:val="0"/>
              <w:pageBreakBefore w:val="0"/>
              <w:widowControl w:val="0"/>
              <w:suppressLineNumbers w:val="0"/>
              <w:overflowPunct/>
              <w:bidi w:val="0"/>
              <w:spacing w:before="0" w:beforeAutospacing="0" w:after="0" w:afterAutospacing="0" w:line="240" w:lineRule="auto"/>
              <w:ind w:left="0" w:right="0"/>
              <w:jc w:val="center"/>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资产总额Z（万元）</w:t>
            </w:r>
          </w:p>
        </w:tc>
      </w:tr>
      <w:tr w14:paraId="1157E89A">
        <w:tblPrEx>
          <w:tblCellMar>
            <w:top w:w="0" w:type="dxa"/>
            <w:left w:w="108" w:type="dxa"/>
            <w:bottom w:w="0" w:type="dxa"/>
            <w:right w:w="108" w:type="dxa"/>
          </w:tblCellMar>
        </w:tblPrEx>
        <w:trPr>
          <w:trHeight w:val="459" w:hRule="atLeast"/>
          <w:jc w:val="center"/>
        </w:trPr>
        <w:tc>
          <w:tcPr>
            <w:tcW w:w="789" w:type="pct"/>
            <w:tcBorders>
              <w:top w:val="nil"/>
              <w:left w:val="single" w:color="auto" w:sz="8" w:space="0"/>
              <w:bottom w:val="single" w:color="auto" w:sz="4" w:space="0"/>
              <w:right w:val="single" w:color="auto" w:sz="8" w:space="0"/>
            </w:tcBorders>
            <w:noWrap w:val="0"/>
            <w:vAlign w:val="bottom"/>
          </w:tcPr>
          <w:p w14:paraId="603380AC">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1、农林牧渔业</w:t>
            </w:r>
          </w:p>
        </w:tc>
        <w:tc>
          <w:tcPr>
            <w:tcW w:w="480" w:type="pct"/>
            <w:tcBorders>
              <w:top w:val="nil"/>
              <w:left w:val="nil"/>
              <w:bottom w:val="single" w:color="auto" w:sz="4" w:space="0"/>
              <w:right w:val="single" w:color="auto" w:sz="4" w:space="0"/>
            </w:tcBorders>
            <w:noWrap w:val="0"/>
            <w:vAlign w:val="bottom"/>
          </w:tcPr>
          <w:p w14:paraId="73AB2879">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592" w:type="pct"/>
            <w:tcBorders>
              <w:top w:val="nil"/>
              <w:left w:val="nil"/>
              <w:bottom w:val="single" w:color="auto" w:sz="4" w:space="0"/>
              <w:right w:val="single" w:color="auto" w:sz="4" w:space="0"/>
            </w:tcBorders>
            <w:noWrap w:val="0"/>
            <w:vAlign w:val="bottom"/>
          </w:tcPr>
          <w:p w14:paraId="40B0A68F">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500≤Y＜20000</w:t>
            </w:r>
          </w:p>
        </w:tc>
        <w:tc>
          <w:tcPr>
            <w:tcW w:w="406" w:type="pct"/>
            <w:tcBorders>
              <w:top w:val="nil"/>
              <w:left w:val="nil"/>
              <w:bottom w:val="single" w:color="auto" w:sz="4" w:space="0"/>
              <w:right w:val="single" w:color="auto" w:sz="8" w:space="0"/>
            </w:tcBorders>
            <w:noWrap w:val="0"/>
            <w:vAlign w:val="bottom"/>
          </w:tcPr>
          <w:p w14:paraId="5EF991C6">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noWrap w:val="0"/>
            <w:vAlign w:val="bottom"/>
          </w:tcPr>
          <w:p w14:paraId="65399A21">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83" w:type="pct"/>
            <w:tcBorders>
              <w:top w:val="nil"/>
              <w:left w:val="nil"/>
              <w:bottom w:val="single" w:color="auto" w:sz="4" w:space="0"/>
              <w:right w:val="single" w:color="auto" w:sz="4" w:space="0"/>
            </w:tcBorders>
            <w:noWrap w:val="0"/>
            <w:vAlign w:val="bottom"/>
          </w:tcPr>
          <w:p w14:paraId="4F9D8117">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50≤Y＜500</w:t>
            </w:r>
          </w:p>
        </w:tc>
        <w:tc>
          <w:tcPr>
            <w:tcW w:w="507" w:type="pct"/>
            <w:tcBorders>
              <w:top w:val="nil"/>
              <w:left w:val="nil"/>
              <w:bottom w:val="single" w:color="auto" w:sz="4" w:space="0"/>
              <w:right w:val="single" w:color="auto" w:sz="8" w:space="0"/>
            </w:tcBorders>
            <w:noWrap w:val="0"/>
            <w:vAlign w:val="bottom"/>
          </w:tcPr>
          <w:p w14:paraId="742268A1">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8" w:type="pct"/>
            <w:tcBorders>
              <w:top w:val="nil"/>
              <w:left w:val="nil"/>
              <w:bottom w:val="single" w:color="auto" w:sz="4" w:space="0"/>
              <w:right w:val="single" w:color="auto" w:sz="4" w:space="0"/>
            </w:tcBorders>
            <w:noWrap w:val="0"/>
            <w:vAlign w:val="bottom"/>
          </w:tcPr>
          <w:p w14:paraId="76075FF7">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4" w:type="pct"/>
            <w:tcBorders>
              <w:top w:val="nil"/>
              <w:left w:val="nil"/>
              <w:bottom w:val="single" w:color="auto" w:sz="4" w:space="0"/>
              <w:right w:val="single" w:color="auto" w:sz="4" w:space="0"/>
            </w:tcBorders>
            <w:noWrap w:val="0"/>
            <w:vAlign w:val="bottom"/>
          </w:tcPr>
          <w:p w14:paraId="7F41CF12">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Y＜50</w:t>
            </w:r>
          </w:p>
        </w:tc>
        <w:tc>
          <w:tcPr>
            <w:tcW w:w="428" w:type="pct"/>
            <w:tcBorders>
              <w:top w:val="nil"/>
              <w:left w:val="nil"/>
              <w:bottom w:val="single" w:color="auto" w:sz="4" w:space="0"/>
              <w:right w:val="single" w:color="auto" w:sz="8" w:space="0"/>
            </w:tcBorders>
            <w:noWrap w:val="0"/>
            <w:vAlign w:val="bottom"/>
          </w:tcPr>
          <w:p w14:paraId="7D2122D5">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r>
      <w:tr w14:paraId="5066ADF6">
        <w:tblPrEx>
          <w:tblCellMar>
            <w:top w:w="0" w:type="dxa"/>
            <w:left w:w="108" w:type="dxa"/>
            <w:bottom w:w="0" w:type="dxa"/>
            <w:right w:w="108" w:type="dxa"/>
          </w:tblCellMar>
        </w:tblPrEx>
        <w:trPr>
          <w:trHeight w:val="90" w:hRule="atLeast"/>
          <w:jc w:val="center"/>
        </w:trPr>
        <w:tc>
          <w:tcPr>
            <w:tcW w:w="789" w:type="pct"/>
            <w:tcBorders>
              <w:top w:val="nil"/>
              <w:left w:val="single" w:color="auto" w:sz="8" w:space="0"/>
              <w:bottom w:val="single" w:color="auto" w:sz="4" w:space="0"/>
              <w:right w:val="single" w:color="auto" w:sz="8" w:space="0"/>
            </w:tcBorders>
            <w:noWrap w:val="0"/>
            <w:vAlign w:val="bottom"/>
          </w:tcPr>
          <w:p w14:paraId="4D1BA7E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2、工业</w:t>
            </w:r>
          </w:p>
        </w:tc>
        <w:tc>
          <w:tcPr>
            <w:tcW w:w="480" w:type="pct"/>
            <w:tcBorders>
              <w:top w:val="nil"/>
              <w:left w:val="nil"/>
              <w:bottom w:val="single" w:color="auto" w:sz="4" w:space="0"/>
              <w:right w:val="single" w:color="auto" w:sz="4" w:space="0"/>
            </w:tcBorders>
            <w:noWrap w:val="0"/>
            <w:vAlign w:val="bottom"/>
          </w:tcPr>
          <w:p w14:paraId="70FAD1D5">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300≤X＜1000</w:t>
            </w:r>
          </w:p>
        </w:tc>
        <w:tc>
          <w:tcPr>
            <w:tcW w:w="592" w:type="pct"/>
            <w:tcBorders>
              <w:top w:val="nil"/>
              <w:left w:val="nil"/>
              <w:bottom w:val="single" w:color="auto" w:sz="4" w:space="0"/>
              <w:right w:val="single" w:color="auto" w:sz="4" w:space="0"/>
            </w:tcBorders>
            <w:noWrap w:val="0"/>
            <w:vAlign w:val="bottom"/>
          </w:tcPr>
          <w:p w14:paraId="47289AC7">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2000≤Y＜40000</w:t>
            </w:r>
          </w:p>
        </w:tc>
        <w:tc>
          <w:tcPr>
            <w:tcW w:w="406" w:type="pct"/>
            <w:tcBorders>
              <w:top w:val="nil"/>
              <w:left w:val="nil"/>
              <w:bottom w:val="single" w:color="auto" w:sz="4" w:space="0"/>
              <w:right w:val="single" w:color="auto" w:sz="8" w:space="0"/>
            </w:tcBorders>
            <w:noWrap w:val="0"/>
            <w:vAlign w:val="bottom"/>
          </w:tcPr>
          <w:p w14:paraId="46F893E5">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noWrap w:val="0"/>
            <w:vAlign w:val="bottom"/>
          </w:tcPr>
          <w:p w14:paraId="6804312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20≤X＜300</w:t>
            </w:r>
          </w:p>
        </w:tc>
        <w:tc>
          <w:tcPr>
            <w:tcW w:w="483" w:type="pct"/>
            <w:tcBorders>
              <w:top w:val="nil"/>
              <w:left w:val="nil"/>
              <w:bottom w:val="single" w:color="auto" w:sz="4" w:space="0"/>
              <w:right w:val="single" w:color="auto" w:sz="4" w:space="0"/>
            </w:tcBorders>
            <w:noWrap w:val="0"/>
            <w:vAlign w:val="bottom"/>
          </w:tcPr>
          <w:p w14:paraId="6797167F">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300≤Y＜2000</w:t>
            </w:r>
          </w:p>
        </w:tc>
        <w:tc>
          <w:tcPr>
            <w:tcW w:w="507" w:type="pct"/>
            <w:tcBorders>
              <w:top w:val="nil"/>
              <w:left w:val="nil"/>
              <w:bottom w:val="single" w:color="auto" w:sz="4" w:space="0"/>
              <w:right w:val="single" w:color="auto" w:sz="8" w:space="0"/>
            </w:tcBorders>
            <w:noWrap w:val="0"/>
            <w:vAlign w:val="bottom"/>
          </w:tcPr>
          <w:p w14:paraId="670B8C4E">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8" w:type="pct"/>
            <w:tcBorders>
              <w:top w:val="nil"/>
              <w:left w:val="nil"/>
              <w:bottom w:val="single" w:color="auto" w:sz="4" w:space="0"/>
              <w:right w:val="single" w:color="auto" w:sz="4" w:space="0"/>
            </w:tcBorders>
            <w:noWrap w:val="0"/>
            <w:vAlign w:val="bottom"/>
          </w:tcPr>
          <w:p w14:paraId="1E14CD8F">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X＜20</w:t>
            </w:r>
          </w:p>
        </w:tc>
        <w:tc>
          <w:tcPr>
            <w:tcW w:w="414" w:type="pct"/>
            <w:tcBorders>
              <w:top w:val="nil"/>
              <w:left w:val="nil"/>
              <w:bottom w:val="single" w:color="auto" w:sz="4" w:space="0"/>
              <w:right w:val="single" w:color="auto" w:sz="4" w:space="0"/>
            </w:tcBorders>
            <w:noWrap w:val="0"/>
            <w:vAlign w:val="bottom"/>
          </w:tcPr>
          <w:p w14:paraId="23E6EBE2">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Y＜300</w:t>
            </w:r>
          </w:p>
        </w:tc>
        <w:tc>
          <w:tcPr>
            <w:tcW w:w="428" w:type="pct"/>
            <w:tcBorders>
              <w:top w:val="nil"/>
              <w:left w:val="nil"/>
              <w:bottom w:val="single" w:color="auto" w:sz="4" w:space="0"/>
              <w:right w:val="single" w:color="auto" w:sz="8" w:space="0"/>
            </w:tcBorders>
            <w:noWrap w:val="0"/>
            <w:vAlign w:val="bottom"/>
          </w:tcPr>
          <w:p w14:paraId="3483F0B5">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r>
      <w:tr w14:paraId="325D40B4">
        <w:tblPrEx>
          <w:tblCellMar>
            <w:top w:w="0" w:type="dxa"/>
            <w:left w:w="108" w:type="dxa"/>
            <w:bottom w:w="0" w:type="dxa"/>
            <w:right w:w="108" w:type="dxa"/>
          </w:tblCellMar>
        </w:tblPrEx>
        <w:trPr>
          <w:trHeight w:val="90" w:hRule="atLeast"/>
          <w:jc w:val="center"/>
        </w:trPr>
        <w:tc>
          <w:tcPr>
            <w:tcW w:w="789" w:type="pct"/>
            <w:tcBorders>
              <w:top w:val="nil"/>
              <w:left w:val="single" w:color="auto" w:sz="8" w:space="0"/>
              <w:bottom w:val="single" w:color="auto" w:sz="4" w:space="0"/>
              <w:right w:val="single" w:color="auto" w:sz="8" w:space="0"/>
            </w:tcBorders>
            <w:noWrap w:val="0"/>
            <w:vAlign w:val="bottom"/>
          </w:tcPr>
          <w:p w14:paraId="53B14E3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3、建筑业</w:t>
            </w:r>
          </w:p>
        </w:tc>
        <w:tc>
          <w:tcPr>
            <w:tcW w:w="480" w:type="pct"/>
            <w:tcBorders>
              <w:top w:val="nil"/>
              <w:left w:val="nil"/>
              <w:bottom w:val="single" w:color="auto" w:sz="4" w:space="0"/>
              <w:right w:val="single" w:color="auto" w:sz="4" w:space="0"/>
            </w:tcBorders>
            <w:noWrap w:val="0"/>
            <w:vAlign w:val="bottom"/>
          </w:tcPr>
          <w:p w14:paraId="246EB89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592" w:type="pct"/>
            <w:tcBorders>
              <w:top w:val="nil"/>
              <w:left w:val="nil"/>
              <w:bottom w:val="single" w:color="auto" w:sz="4" w:space="0"/>
              <w:right w:val="single" w:color="auto" w:sz="4" w:space="0"/>
            </w:tcBorders>
            <w:noWrap w:val="0"/>
            <w:vAlign w:val="bottom"/>
          </w:tcPr>
          <w:p w14:paraId="1421F76D">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6000≤Y＜80000</w:t>
            </w:r>
          </w:p>
        </w:tc>
        <w:tc>
          <w:tcPr>
            <w:tcW w:w="406" w:type="pct"/>
            <w:tcBorders>
              <w:top w:val="nil"/>
              <w:left w:val="nil"/>
              <w:bottom w:val="single" w:color="auto" w:sz="4" w:space="0"/>
              <w:right w:val="single" w:color="auto" w:sz="8" w:space="0"/>
            </w:tcBorders>
            <w:noWrap w:val="0"/>
            <w:vAlign w:val="bottom"/>
          </w:tcPr>
          <w:p w14:paraId="5EF2E760">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5000≤Z＜80000</w:t>
            </w:r>
          </w:p>
        </w:tc>
        <w:tc>
          <w:tcPr>
            <w:tcW w:w="479" w:type="pct"/>
            <w:tcBorders>
              <w:top w:val="nil"/>
              <w:left w:val="nil"/>
              <w:bottom w:val="single" w:color="auto" w:sz="4" w:space="0"/>
              <w:right w:val="single" w:color="auto" w:sz="4" w:space="0"/>
            </w:tcBorders>
            <w:noWrap w:val="0"/>
            <w:vAlign w:val="bottom"/>
          </w:tcPr>
          <w:p w14:paraId="0D23E6F1">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83" w:type="pct"/>
            <w:tcBorders>
              <w:top w:val="nil"/>
              <w:left w:val="nil"/>
              <w:bottom w:val="single" w:color="auto" w:sz="4" w:space="0"/>
              <w:right w:val="single" w:color="auto" w:sz="4" w:space="0"/>
            </w:tcBorders>
            <w:noWrap w:val="0"/>
            <w:vAlign w:val="bottom"/>
          </w:tcPr>
          <w:p w14:paraId="42714FB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300≤Y＜6000</w:t>
            </w:r>
          </w:p>
        </w:tc>
        <w:tc>
          <w:tcPr>
            <w:tcW w:w="507" w:type="pct"/>
            <w:tcBorders>
              <w:top w:val="nil"/>
              <w:left w:val="nil"/>
              <w:bottom w:val="single" w:color="auto" w:sz="4" w:space="0"/>
              <w:right w:val="single" w:color="auto" w:sz="8" w:space="0"/>
            </w:tcBorders>
            <w:noWrap w:val="0"/>
            <w:vAlign w:val="bottom"/>
          </w:tcPr>
          <w:p w14:paraId="7A191644">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300≤Z＜5000</w:t>
            </w:r>
          </w:p>
        </w:tc>
        <w:tc>
          <w:tcPr>
            <w:tcW w:w="418" w:type="pct"/>
            <w:tcBorders>
              <w:top w:val="nil"/>
              <w:left w:val="nil"/>
              <w:bottom w:val="single" w:color="auto" w:sz="4" w:space="0"/>
              <w:right w:val="single" w:color="auto" w:sz="4" w:space="0"/>
            </w:tcBorders>
            <w:noWrap w:val="0"/>
            <w:vAlign w:val="bottom"/>
          </w:tcPr>
          <w:p w14:paraId="71AC5959">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4" w:type="pct"/>
            <w:tcBorders>
              <w:top w:val="nil"/>
              <w:left w:val="nil"/>
              <w:bottom w:val="single" w:color="auto" w:sz="4" w:space="0"/>
              <w:right w:val="single" w:color="auto" w:sz="4" w:space="0"/>
            </w:tcBorders>
            <w:noWrap w:val="0"/>
            <w:vAlign w:val="bottom"/>
          </w:tcPr>
          <w:p w14:paraId="6FA9FDC0">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Y＜300</w:t>
            </w:r>
          </w:p>
        </w:tc>
        <w:tc>
          <w:tcPr>
            <w:tcW w:w="428" w:type="pct"/>
            <w:tcBorders>
              <w:top w:val="nil"/>
              <w:left w:val="nil"/>
              <w:bottom w:val="single" w:color="auto" w:sz="4" w:space="0"/>
              <w:right w:val="single" w:color="auto" w:sz="8" w:space="0"/>
            </w:tcBorders>
            <w:noWrap w:val="0"/>
            <w:vAlign w:val="bottom"/>
          </w:tcPr>
          <w:p w14:paraId="0B16B75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Z＜300</w:t>
            </w:r>
          </w:p>
        </w:tc>
      </w:tr>
      <w:tr w14:paraId="47903CAF">
        <w:tblPrEx>
          <w:tblCellMar>
            <w:top w:w="0" w:type="dxa"/>
            <w:left w:w="108" w:type="dxa"/>
            <w:bottom w:w="0" w:type="dxa"/>
            <w:right w:w="108" w:type="dxa"/>
          </w:tblCellMar>
        </w:tblPrEx>
        <w:trPr>
          <w:trHeight w:val="90" w:hRule="atLeast"/>
          <w:jc w:val="center"/>
        </w:trPr>
        <w:tc>
          <w:tcPr>
            <w:tcW w:w="789" w:type="pct"/>
            <w:tcBorders>
              <w:top w:val="nil"/>
              <w:left w:val="single" w:color="auto" w:sz="8" w:space="0"/>
              <w:bottom w:val="single" w:color="auto" w:sz="4" w:space="0"/>
              <w:right w:val="single" w:color="auto" w:sz="8" w:space="0"/>
            </w:tcBorders>
            <w:noWrap w:val="0"/>
            <w:vAlign w:val="bottom"/>
          </w:tcPr>
          <w:p w14:paraId="0C014476">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4、批发业</w:t>
            </w:r>
          </w:p>
        </w:tc>
        <w:tc>
          <w:tcPr>
            <w:tcW w:w="480" w:type="pct"/>
            <w:tcBorders>
              <w:top w:val="nil"/>
              <w:left w:val="nil"/>
              <w:bottom w:val="single" w:color="auto" w:sz="4" w:space="0"/>
              <w:right w:val="single" w:color="auto" w:sz="4" w:space="0"/>
            </w:tcBorders>
            <w:noWrap w:val="0"/>
            <w:vAlign w:val="bottom"/>
          </w:tcPr>
          <w:p w14:paraId="42B08C7E">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20≤X＜200</w:t>
            </w:r>
          </w:p>
        </w:tc>
        <w:tc>
          <w:tcPr>
            <w:tcW w:w="592" w:type="pct"/>
            <w:tcBorders>
              <w:top w:val="nil"/>
              <w:left w:val="nil"/>
              <w:bottom w:val="single" w:color="auto" w:sz="4" w:space="0"/>
              <w:right w:val="single" w:color="auto" w:sz="4" w:space="0"/>
            </w:tcBorders>
            <w:noWrap w:val="0"/>
            <w:vAlign w:val="bottom"/>
          </w:tcPr>
          <w:p w14:paraId="1940768B">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5000≤Y＜40000</w:t>
            </w:r>
          </w:p>
        </w:tc>
        <w:tc>
          <w:tcPr>
            <w:tcW w:w="406" w:type="pct"/>
            <w:tcBorders>
              <w:top w:val="nil"/>
              <w:left w:val="nil"/>
              <w:bottom w:val="single" w:color="auto" w:sz="4" w:space="0"/>
              <w:right w:val="single" w:color="auto" w:sz="8" w:space="0"/>
            </w:tcBorders>
            <w:noWrap w:val="0"/>
            <w:vAlign w:val="bottom"/>
          </w:tcPr>
          <w:p w14:paraId="6868984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noWrap w:val="0"/>
            <w:vAlign w:val="bottom"/>
          </w:tcPr>
          <w:p w14:paraId="3C9C52BA">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5≤X＜20</w:t>
            </w:r>
          </w:p>
        </w:tc>
        <w:tc>
          <w:tcPr>
            <w:tcW w:w="483" w:type="pct"/>
            <w:tcBorders>
              <w:top w:val="nil"/>
              <w:left w:val="nil"/>
              <w:bottom w:val="single" w:color="auto" w:sz="4" w:space="0"/>
              <w:right w:val="single" w:color="auto" w:sz="4" w:space="0"/>
            </w:tcBorders>
            <w:noWrap w:val="0"/>
            <w:vAlign w:val="bottom"/>
          </w:tcPr>
          <w:p w14:paraId="38CBD8DE">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1000≤Y＜5000</w:t>
            </w:r>
          </w:p>
        </w:tc>
        <w:tc>
          <w:tcPr>
            <w:tcW w:w="507" w:type="pct"/>
            <w:tcBorders>
              <w:top w:val="nil"/>
              <w:left w:val="nil"/>
              <w:bottom w:val="single" w:color="auto" w:sz="4" w:space="0"/>
              <w:right w:val="single" w:color="auto" w:sz="8" w:space="0"/>
            </w:tcBorders>
            <w:noWrap w:val="0"/>
            <w:vAlign w:val="bottom"/>
          </w:tcPr>
          <w:p w14:paraId="2F45A65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8" w:type="pct"/>
            <w:tcBorders>
              <w:top w:val="nil"/>
              <w:left w:val="nil"/>
              <w:bottom w:val="single" w:color="auto" w:sz="4" w:space="0"/>
              <w:right w:val="single" w:color="auto" w:sz="4" w:space="0"/>
            </w:tcBorders>
            <w:noWrap w:val="0"/>
            <w:vAlign w:val="bottom"/>
          </w:tcPr>
          <w:p w14:paraId="7A088264">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X＜5</w:t>
            </w:r>
          </w:p>
        </w:tc>
        <w:tc>
          <w:tcPr>
            <w:tcW w:w="414" w:type="pct"/>
            <w:tcBorders>
              <w:top w:val="nil"/>
              <w:left w:val="nil"/>
              <w:bottom w:val="single" w:color="auto" w:sz="4" w:space="0"/>
              <w:right w:val="single" w:color="auto" w:sz="4" w:space="0"/>
            </w:tcBorders>
            <w:noWrap w:val="0"/>
            <w:vAlign w:val="bottom"/>
          </w:tcPr>
          <w:p w14:paraId="0FA78A09">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Y＜1000</w:t>
            </w:r>
          </w:p>
        </w:tc>
        <w:tc>
          <w:tcPr>
            <w:tcW w:w="428" w:type="pct"/>
            <w:tcBorders>
              <w:top w:val="nil"/>
              <w:left w:val="nil"/>
              <w:bottom w:val="single" w:color="auto" w:sz="4" w:space="0"/>
              <w:right w:val="single" w:color="auto" w:sz="8" w:space="0"/>
            </w:tcBorders>
            <w:noWrap w:val="0"/>
            <w:vAlign w:val="bottom"/>
          </w:tcPr>
          <w:p w14:paraId="418324D7">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r>
      <w:tr w14:paraId="620E2333">
        <w:tblPrEx>
          <w:tblCellMar>
            <w:top w:w="0" w:type="dxa"/>
            <w:left w:w="108" w:type="dxa"/>
            <w:bottom w:w="0" w:type="dxa"/>
            <w:right w:w="108" w:type="dxa"/>
          </w:tblCellMar>
        </w:tblPrEx>
        <w:trPr>
          <w:trHeight w:val="513" w:hRule="atLeast"/>
          <w:jc w:val="center"/>
        </w:trPr>
        <w:tc>
          <w:tcPr>
            <w:tcW w:w="789" w:type="pct"/>
            <w:tcBorders>
              <w:top w:val="nil"/>
              <w:left w:val="single" w:color="auto" w:sz="8" w:space="0"/>
              <w:bottom w:val="single" w:color="auto" w:sz="4" w:space="0"/>
              <w:right w:val="single" w:color="auto" w:sz="8" w:space="0"/>
            </w:tcBorders>
            <w:noWrap w:val="0"/>
            <w:vAlign w:val="bottom"/>
          </w:tcPr>
          <w:p w14:paraId="3E6FD9D1">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5、零售业</w:t>
            </w:r>
          </w:p>
        </w:tc>
        <w:tc>
          <w:tcPr>
            <w:tcW w:w="480" w:type="pct"/>
            <w:tcBorders>
              <w:top w:val="nil"/>
              <w:left w:val="nil"/>
              <w:bottom w:val="single" w:color="auto" w:sz="4" w:space="0"/>
              <w:right w:val="single" w:color="auto" w:sz="4" w:space="0"/>
            </w:tcBorders>
            <w:noWrap w:val="0"/>
            <w:vAlign w:val="bottom"/>
          </w:tcPr>
          <w:p w14:paraId="21B32E9A">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50≤X＜300</w:t>
            </w:r>
          </w:p>
        </w:tc>
        <w:tc>
          <w:tcPr>
            <w:tcW w:w="592" w:type="pct"/>
            <w:tcBorders>
              <w:top w:val="nil"/>
              <w:left w:val="nil"/>
              <w:bottom w:val="single" w:color="auto" w:sz="4" w:space="0"/>
              <w:right w:val="single" w:color="auto" w:sz="4" w:space="0"/>
            </w:tcBorders>
            <w:noWrap w:val="0"/>
            <w:vAlign w:val="bottom"/>
          </w:tcPr>
          <w:p w14:paraId="54BBF60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500≤Y＜20000</w:t>
            </w:r>
          </w:p>
        </w:tc>
        <w:tc>
          <w:tcPr>
            <w:tcW w:w="406" w:type="pct"/>
            <w:tcBorders>
              <w:top w:val="nil"/>
              <w:left w:val="nil"/>
              <w:bottom w:val="single" w:color="auto" w:sz="4" w:space="0"/>
              <w:right w:val="single" w:color="auto" w:sz="8" w:space="0"/>
            </w:tcBorders>
            <w:noWrap w:val="0"/>
            <w:vAlign w:val="bottom"/>
          </w:tcPr>
          <w:p w14:paraId="5C843C8D">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noWrap w:val="0"/>
            <w:vAlign w:val="bottom"/>
          </w:tcPr>
          <w:p w14:paraId="38C726FE">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10≤X＜50</w:t>
            </w:r>
          </w:p>
        </w:tc>
        <w:tc>
          <w:tcPr>
            <w:tcW w:w="483" w:type="pct"/>
            <w:tcBorders>
              <w:top w:val="nil"/>
              <w:left w:val="nil"/>
              <w:bottom w:val="single" w:color="auto" w:sz="4" w:space="0"/>
              <w:right w:val="single" w:color="auto" w:sz="4" w:space="0"/>
            </w:tcBorders>
            <w:noWrap w:val="0"/>
            <w:vAlign w:val="bottom"/>
          </w:tcPr>
          <w:p w14:paraId="668FDAC4">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100≤Y＜500</w:t>
            </w:r>
          </w:p>
        </w:tc>
        <w:tc>
          <w:tcPr>
            <w:tcW w:w="507" w:type="pct"/>
            <w:tcBorders>
              <w:top w:val="nil"/>
              <w:left w:val="nil"/>
              <w:bottom w:val="single" w:color="auto" w:sz="4" w:space="0"/>
              <w:right w:val="single" w:color="auto" w:sz="8" w:space="0"/>
            </w:tcBorders>
            <w:noWrap w:val="0"/>
            <w:vAlign w:val="bottom"/>
          </w:tcPr>
          <w:p w14:paraId="5B57B10F">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8" w:type="pct"/>
            <w:tcBorders>
              <w:top w:val="nil"/>
              <w:left w:val="nil"/>
              <w:bottom w:val="single" w:color="auto" w:sz="4" w:space="0"/>
              <w:right w:val="single" w:color="auto" w:sz="4" w:space="0"/>
            </w:tcBorders>
            <w:noWrap w:val="0"/>
            <w:vAlign w:val="bottom"/>
          </w:tcPr>
          <w:p w14:paraId="2C899D7B">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4" w:type="pct"/>
            <w:tcBorders>
              <w:top w:val="nil"/>
              <w:left w:val="nil"/>
              <w:bottom w:val="single" w:color="auto" w:sz="4" w:space="0"/>
              <w:right w:val="single" w:color="auto" w:sz="4" w:space="0"/>
            </w:tcBorders>
            <w:noWrap w:val="0"/>
            <w:vAlign w:val="bottom"/>
          </w:tcPr>
          <w:p w14:paraId="3D62D611">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c>
          <w:tcPr>
            <w:tcW w:w="428" w:type="pct"/>
            <w:tcBorders>
              <w:top w:val="nil"/>
              <w:left w:val="nil"/>
              <w:bottom w:val="single" w:color="auto" w:sz="4" w:space="0"/>
              <w:right w:val="single" w:color="auto" w:sz="8" w:space="0"/>
            </w:tcBorders>
            <w:noWrap w:val="0"/>
            <w:vAlign w:val="bottom"/>
          </w:tcPr>
          <w:p w14:paraId="46B1224B">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r>
      <w:tr w14:paraId="65818189">
        <w:tblPrEx>
          <w:tblCellMar>
            <w:top w:w="0" w:type="dxa"/>
            <w:left w:w="108" w:type="dxa"/>
            <w:bottom w:w="0" w:type="dxa"/>
            <w:right w:w="108" w:type="dxa"/>
          </w:tblCellMar>
        </w:tblPrEx>
        <w:trPr>
          <w:trHeight w:val="90" w:hRule="atLeast"/>
          <w:jc w:val="center"/>
        </w:trPr>
        <w:tc>
          <w:tcPr>
            <w:tcW w:w="789" w:type="pct"/>
            <w:tcBorders>
              <w:top w:val="nil"/>
              <w:left w:val="single" w:color="auto" w:sz="8" w:space="0"/>
              <w:bottom w:val="single" w:color="auto" w:sz="4" w:space="0"/>
              <w:right w:val="single" w:color="auto" w:sz="8" w:space="0"/>
            </w:tcBorders>
            <w:noWrap w:val="0"/>
            <w:vAlign w:val="bottom"/>
          </w:tcPr>
          <w:p w14:paraId="4B7F45ED">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6、交通运输业</w:t>
            </w:r>
          </w:p>
        </w:tc>
        <w:tc>
          <w:tcPr>
            <w:tcW w:w="480" w:type="pct"/>
            <w:tcBorders>
              <w:top w:val="nil"/>
              <w:left w:val="nil"/>
              <w:bottom w:val="single" w:color="auto" w:sz="4" w:space="0"/>
              <w:right w:val="single" w:color="auto" w:sz="4" w:space="0"/>
            </w:tcBorders>
            <w:noWrap w:val="0"/>
            <w:vAlign w:val="bottom"/>
          </w:tcPr>
          <w:p w14:paraId="7A3E1B8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300≤X＜1000</w:t>
            </w:r>
          </w:p>
        </w:tc>
        <w:tc>
          <w:tcPr>
            <w:tcW w:w="592" w:type="pct"/>
            <w:tcBorders>
              <w:top w:val="nil"/>
              <w:left w:val="nil"/>
              <w:bottom w:val="single" w:color="auto" w:sz="4" w:space="0"/>
              <w:right w:val="single" w:color="auto" w:sz="4" w:space="0"/>
            </w:tcBorders>
            <w:noWrap w:val="0"/>
            <w:vAlign w:val="bottom"/>
          </w:tcPr>
          <w:p w14:paraId="302BFDE0">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3000≤Y＜30000</w:t>
            </w:r>
          </w:p>
        </w:tc>
        <w:tc>
          <w:tcPr>
            <w:tcW w:w="406" w:type="pct"/>
            <w:tcBorders>
              <w:top w:val="nil"/>
              <w:left w:val="nil"/>
              <w:bottom w:val="single" w:color="auto" w:sz="4" w:space="0"/>
              <w:right w:val="single" w:color="auto" w:sz="8" w:space="0"/>
            </w:tcBorders>
            <w:noWrap w:val="0"/>
            <w:vAlign w:val="bottom"/>
          </w:tcPr>
          <w:p w14:paraId="72ACD650">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noWrap w:val="0"/>
            <w:vAlign w:val="bottom"/>
          </w:tcPr>
          <w:p w14:paraId="75006D75">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20≤X＜300</w:t>
            </w:r>
          </w:p>
        </w:tc>
        <w:tc>
          <w:tcPr>
            <w:tcW w:w="483" w:type="pct"/>
            <w:tcBorders>
              <w:top w:val="nil"/>
              <w:left w:val="nil"/>
              <w:bottom w:val="single" w:color="auto" w:sz="4" w:space="0"/>
              <w:right w:val="single" w:color="auto" w:sz="4" w:space="0"/>
            </w:tcBorders>
            <w:noWrap w:val="0"/>
            <w:vAlign w:val="bottom"/>
          </w:tcPr>
          <w:p w14:paraId="27810D3A">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200≤Y＜3000</w:t>
            </w:r>
          </w:p>
        </w:tc>
        <w:tc>
          <w:tcPr>
            <w:tcW w:w="507" w:type="pct"/>
            <w:tcBorders>
              <w:top w:val="nil"/>
              <w:left w:val="nil"/>
              <w:bottom w:val="single" w:color="auto" w:sz="4" w:space="0"/>
              <w:right w:val="single" w:color="auto" w:sz="8" w:space="0"/>
            </w:tcBorders>
            <w:noWrap w:val="0"/>
            <w:vAlign w:val="bottom"/>
          </w:tcPr>
          <w:p w14:paraId="0E6CA007">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8" w:type="pct"/>
            <w:tcBorders>
              <w:top w:val="nil"/>
              <w:left w:val="nil"/>
              <w:bottom w:val="single" w:color="auto" w:sz="4" w:space="0"/>
              <w:right w:val="single" w:color="auto" w:sz="4" w:space="0"/>
            </w:tcBorders>
            <w:noWrap w:val="0"/>
            <w:vAlign w:val="bottom"/>
          </w:tcPr>
          <w:p w14:paraId="712CF43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X＜20</w:t>
            </w:r>
          </w:p>
        </w:tc>
        <w:tc>
          <w:tcPr>
            <w:tcW w:w="414" w:type="pct"/>
            <w:tcBorders>
              <w:top w:val="nil"/>
              <w:left w:val="nil"/>
              <w:bottom w:val="single" w:color="auto" w:sz="4" w:space="0"/>
              <w:right w:val="single" w:color="auto" w:sz="4" w:space="0"/>
            </w:tcBorders>
            <w:noWrap w:val="0"/>
            <w:vAlign w:val="bottom"/>
          </w:tcPr>
          <w:p w14:paraId="2B263819">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V＜200</w:t>
            </w:r>
          </w:p>
        </w:tc>
        <w:tc>
          <w:tcPr>
            <w:tcW w:w="428" w:type="pct"/>
            <w:tcBorders>
              <w:top w:val="nil"/>
              <w:left w:val="nil"/>
              <w:bottom w:val="single" w:color="auto" w:sz="4" w:space="0"/>
              <w:right w:val="single" w:color="auto" w:sz="8" w:space="0"/>
            </w:tcBorders>
            <w:noWrap w:val="0"/>
            <w:vAlign w:val="bottom"/>
          </w:tcPr>
          <w:p w14:paraId="007447BD">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r>
      <w:tr w14:paraId="58F92BEF">
        <w:tblPrEx>
          <w:tblCellMar>
            <w:top w:w="0" w:type="dxa"/>
            <w:left w:w="108" w:type="dxa"/>
            <w:bottom w:w="0" w:type="dxa"/>
            <w:right w:w="108" w:type="dxa"/>
          </w:tblCellMar>
        </w:tblPrEx>
        <w:trPr>
          <w:trHeight w:val="567" w:hRule="atLeast"/>
          <w:jc w:val="center"/>
        </w:trPr>
        <w:tc>
          <w:tcPr>
            <w:tcW w:w="789" w:type="pct"/>
            <w:tcBorders>
              <w:top w:val="nil"/>
              <w:left w:val="single" w:color="auto" w:sz="8" w:space="0"/>
              <w:bottom w:val="single" w:color="auto" w:sz="4" w:space="0"/>
              <w:right w:val="single" w:color="auto" w:sz="8" w:space="0"/>
            </w:tcBorders>
            <w:noWrap w:val="0"/>
            <w:vAlign w:val="bottom"/>
          </w:tcPr>
          <w:p w14:paraId="5B427F17">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7、仓储业</w:t>
            </w:r>
          </w:p>
        </w:tc>
        <w:tc>
          <w:tcPr>
            <w:tcW w:w="480" w:type="pct"/>
            <w:tcBorders>
              <w:top w:val="nil"/>
              <w:left w:val="nil"/>
              <w:bottom w:val="single" w:color="auto" w:sz="4" w:space="0"/>
              <w:right w:val="single" w:color="auto" w:sz="4" w:space="0"/>
            </w:tcBorders>
            <w:noWrap w:val="0"/>
            <w:vAlign w:val="bottom"/>
          </w:tcPr>
          <w:p w14:paraId="20BC1EE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100≤X＜200</w:t>
            </w:r>
          </w:p>
        </w:tc>
        <w:tc>
          <w:tcPr>
            <w:tcW w:w="592" w:type="pct"/>
            <w:tcBorders>
              <w:top w:val="nil"/>
              <w:left w:val="nil"/>
              <w:bottom w:val="single" w:color="auto" w:sz="4" w:space="0"/>
              <w:right w:val="single" w:color="auto" w:sz="4" w:space="0"/>
            </w:tcBorders>
            <w:noWrap w:val="0"/>
            <w:vAlign w:val="bottom"/>
          </w:tcPr>
          <w:p w14:paraId="33CF9A64">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1000≤Y＜30000</w:t>
            </w:r>
          </w:p>
        </w:tc>
        <w:tc>
          <w:tcPr>
            <w:tcW w:w="406" w:type="pct"/>
            <w:tcBorders>
              <w:top w:val="nil"/>
              <w:left w:val="nil"/>
              <w:bottom w:val="single" w:color="auto" w:sz="4" w:space="0"/>
              <w:right w:val="single" w:color="auto" w:sz="8" w:space="0"/>
            </w:tcBorders>
            <w:noWrap w:val="0"/>
            <w:vAlign w:val="bottom"/>
          </w:tcPr>
          <w:p w14:paraId="29844F6D">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noWrap w:val="0"/>
            <w:vAlign w:val="bottom"/>
          </w:tcPr>
          <w:p w14:paraId="74131DD5">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20≤X＜100</w:t>
            </w:r>
          </w:p>
        </w:tc>
        <w:tc>
          <w:tcPr>
            <w:tcW w:w="483" w:type="pct"/>
            <w:tcBorders>
              <w:top w:val="nil"/>
              <w:left w:val="nil"/>
              <w:bottom w:val="single" w:color="auto" w:sz="4" w:space="0"/>
              <w:right w:val="single" w:color="auto" w:sz="4" w:space="0"/>
            </w:tcBorders>
            <w:noWrap w:val="0"/>
            <w:vAlign w:val="bottom"/>
          </w:tcPr>
          <w:p w14:paraId="37C6AEC2">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100≤Y＜1000</w:t>
            </w:r>
          </w:p>
        </w:tc>
        <w:tc>
          <w:tcPr>
            <w:tcW w:w="507" w:type="pct"/>
            <w:tcBorders>
              <w:top w:val="nil"/>
              <w:left w:val="nil"/>
              <w:bottom w:val="single" w:color="auto" w:sz="4" w:space="0"/>
              <w:right w:val="single" w:color="auto" w:sz="8" w:space="0"/>
            </w:tcBorders>
            <w:noWrap w:val="0"/>
            <w:vAlign w:val="bottom"/>
          </w:tcPr>
          <w:p w14:paraId="15296E0F">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8" w:type="pct"/>
            <w:tcBorders>
              <w:top w:val="nil"/>
              <w:left w:val="nil"/>
              <w:bottom w:val="single" w:color="auto" w:sz="4" w:space="0"/>
              <w:right w:val="single" w:color="auto" w:sz="4" w:space="0"/>
            </w:tcBorders>
            <w:noWrap w:val="0"/>
            <w:vAlign w:val="bottom"/>
          </w:tcPr>
          <w:p w14:paraId="3FAE912D">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X＜20</w:t>
            </w:r>
          </w:p>
        </w:tc>
        <w:tc>
          <w:tcPr>
            <w:tcW w:w="414" w:type="pct"/>
            <w:tcBorders>
              <w:top w:val="nil"/>
              <w:left w:val="nil"/>
              <w:bottom w:val="single" w:color="auto" w:sz="4" w:space="0"/>
              <w:right w:val="single" w:color="auto" w:sz="4" w:space="0"/>
            </w:tcBorders>
            <w:noWrap w:val="0"/>
            <w:vAlign w:val="bottom"/>
          </w:tcPr>
          <w:p w14:paraId="649ED0B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c>
          <w:tcPr>
            <w:tcW w:w="428" w:type="pct"/>
            <w:tcBorders>
              <w:top w:val="nil"/>
              <w:left w:val="nil"/>
              <w:bottom w:val="single" w:color="auto" w:sz="4" w:space="0"/>
              <w:right w:val="single" w:color="auto" w:sz="8" w:space="0"/>
            </w:tcBorders>
            <w:noWrap w:val="0"/>
            <w:vAlign w:val="bottom"/>
          </w:tcPr>
          <w:p w14:paraId="2841486A">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r>
      <w:tr w14:paraId="289C3DD1">
        <w:tblPrEx>
          <w:tblCellMar>
            <w:top w:w="0" w:type="dxa"/>
            <w:left w:w="108" w:type="dxa"/>
            <w:bottom w:w="0" w:type="dxa"/>
            <w:right w:w="108" w:type="dxa"/>
          </w:tblCellMar>
        </w:tblPrEx>
        <w:trPr>
          <w:trHeight w:val="567" w:hRule="atLeast"/>
          <w:jc w:val="center"/>
        </w:trPr>
        <w:tc>
          <w:tcPr>
            <w:tcW w:w="789" w:type="pct"/>
            <w:tcBorders>
              <w:top w:val="nil"/>
              <w:left w:val="single" w:color="auto" w:sz="8" w:space="0"/>
              <w:bottom w:val="single" w:color="auto" w:sz="4" w:space="0"/>
              <w:right w:val="single" w:color="auto" w:sz="8" w:space="0"/>
            </w:tcBorders>
            <w:noWrap w:val="0"/>
            <w:vAlign w:val="bottom"/>
          </w:tcPr>
          <w:p w14:paraId="2827DCEF">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8、邮政业</w:t>
            </w:r>
          </w:p>
        </w:tc>
        <w:tc>
          <w:tcPr>
            <w:tcW w:w="480" w:type="pct"/>
            <w:tcBorders>
              <w:top w:val="nil"/>
              <w:left w:val="nil"/>
              <w:bottom w:val="single" w:color="auto" w:sz="4" w:space="0"/>
              <w:right w:val="single" w:color="auto" w:sz="4" w:space="0"/>
            </w:tcBorders>
            <w:noWrap w:val="0"/>
            <w:vAlign w:val="bottom"/>
          </w:tcPr>
          <w:p w14:paraId="0FF657DA">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300≤X＜1000</w:t>
            </w:r>
          </w:p>
        </w:tc>
        <w:tc>
          <w:tcPr>
            <w:tcW w:w="592" w:type="pct"/>
            <w:tcBorders>
              <w:top w:val="nil"/>
              <w:left w:val="nil"/>
              <w:bottom w:val="single" w:color="auto" w:sz="4" w:space="0"/>
              <w:right w:val="single" w:color="auto" w:sz="4" w:space="0"/>
            </w:tcBorders>
            <w:noWrap w:val="0"/>
            <w:vAlign w:val="bottom"/>
          </w:tcPr>
          <w:p w14:paraId="5AA3608C">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2000≤Y＜30000</w:t>
            </w:r>
          </w:p>
        </w:tc>
        <w:tc>
          <w:tcPr>
            <w:tcW w:w="406" w:type="pct"/>
            <w:tcBorders>
              <w:top w:val="nil"/>
              <w:left w:val="nil"/>
              <w:bottom w:val="single" w:color="auto" w:sz="4" w:space="0"/>
              <w:right w:val="single" w:color="auto" w:sz="8" w:space="0"/>
            </w:tcBorders>
            <w:noWrap w:val="0"/>
            <w:vAlign w:val="bottom"/>
          </w:tcPr>
          <w:p w14:paraId="545A5EAC">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noWrap w:val="0"/>
            <w:vAlign w:val="bottom"/>
          </w:tcPr>
          <w:p w14:paraId="5C59282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20≤X＜300</w:t>
            </w:r>
          </w:p>
        </w:tc>
        <w:tc>
          <w:tcPr>
            <w:tcW w:w="483" w:type="pct"/>
            <w:tcBorders>
              <w:top w:val="nil"/>
              <w:left w:val="nil"/>
              <w:bottom w:val="single" w:color="auto" w:sz="4" w:space="0"/>
              <w:right w:val="single" w:color="auto" w:sz="4" w:space="0"/>
            </w:tcBorders>
            <w:noWrap w:val="0"/>
            <w:vAlign w:val="bottom"/>
          </w:tcPr>
          <w:p w14:paraId="5DB1CA00">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100≤Y＜2000</w:t>
            </w:r>
          </w:p>
        </w:tc>
        <w:tc>
          <w:tcPr>
            <w:tcW w:w="507" w:type="pct"/>
            <w:tcBorders>
              <w:top w:val="nil"/>
              <w:left w:val="nil"/>
              <w:bottom w:val="single" w:color="auto" w:sz="4" w:space="0"/>
              <w:right w:val="single" w:color="auto" w:sz="8" w:space="0"/>
            </w:tcBorders>
            <w:noWrap w:val="0"/>
            <w:vAlign w:val="bottom"/>
          </w:tcPr>
          <w:p w14:paraId="4BF2D829">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8" w:type="pct"/>
            <w:tcBorders>
              <w:top w:val="nil"/>
              <w:left w:val="nil"/>
              <w:bottom w:val="single" w:color="auto" w:sz="4" w:space="0"/>
              <w:right w:val="single" w:color="auto" w:sz="4" w:space="0"/>
            </w:tcBorders>
            <w:noWrap w:val="0"/>
            <w:vAlign w:val="bottom"/>
          </w:tcPr>
          <w:p w14:paraId="5C430A04">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X＜20</w:t>
            </w:r>
          </w:p>
        </w:tc>
        <w:tc>
          <w:tcPr>
            <w:tcW w:w="414" w:type="pct"/>
            <w:tcBorders>
              <w:top w:val="nil"/>
              <w:left w:val="nil"/>
              <w:bottom w:val="single" w:color="auto" w:sz="4" w:space="0"/>
              <w:right w:val="single" w:color="auto" w:sz="4" w:space="0"/>
            </w:tcBorders>
            <w:noWrap w:val="0"/>
            <w:vAlign w:val="bottom"/>
          </w:tcPr>
          <w:p w14:paraId="49BF804C">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c>
          <w:tcPr>
            <w:tcW w:w="428" w:type="pct"/>
            <w:tcBorders>
              <w:top w:val="nil"/>
              <w:left w:val="nil"/>
              <w:bottom w:val="single" w:color="auto" w:sz="4" w:space="0"/>
              <w:right w:val="single" w:color="auto" w:sz="8" w:space="0"/>
            </w:tcBorders>
            <w:noWrap w:val="0"/>
            <w:vAlign w:val="bottom"/>
          </w:tcPr>
          <w:p w14:paraId="49F822DF">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r>
      <w:tr w14:paraId="18CD1C0C">
        <w:tblPrEx>
          <w:tblCellMar>
            <w:top w:w="0" w:type="dxa"/>
            <w:left w:w="108" w:type="dxa"/>
            <w:bottom w:w="0" w:type="dxa"/>
            <w:right w:w="108" w:type="dxa"/>
          </w:tblCellMar>
        </w:tblPrEx>
        <w:trPr>
          <w:trHeight w:val="567" w:hRule="atLeast"/>
          <w:jc w:val="center"/>
        </w:trPr>
        <w:tc>
          <w:tcPr>
            <w:tcW w:w="789" w:type="pct"/>
            <w:tcBorders>
              <w:top w:val="nil"/>
              <w:left w:val="single" w:color="auto" w:sz="8" w:space="0"/>
              <w:bottom w:val="single" w:color="auto" w:sz="4" w:space="0"/>
              <w:right w:val="single" w:color="auto" w:sz="8" w:space="0"/>
            </w:tcBorders>
            <w:noWrap w:val="0"/>
            <w:vAlign w:val="bottom"/>
          </w:tcPr>
          <w:p w14:paraId="054D3944">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9、住宿业</w:t>
            </w:r>
          </w:p>
        </w:tc>
        <w:tc>
          <w:tcPr>
            <w:tcW w:w="480" w:type="pct"/>
            <w:tcBorders>
              <w:top w:val="nil"/>
              <w:left w:val="nil"/>
              <w:bottom w:val="single" w:color="auto" w:sz="4" w:space="0"/>
              <w:right w:val="single" w:color="auto" w:sz="4" w:space="0"/>
            </w:tcBorders>
            <w:noWrap w:val="0"/>
            <w:vAlign w:val="bottom"/>
          </w:tcPr>
          <w:p w14:paraId="3C3C8B91">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592" w:type="pct"/>
            <w:tcBorders>
              <w:top w:val="nil"/>
              <w:left w:val="nil"/>
              <w:bottom w:val="single" w:color="auto" w:sz="4" w:space="0"/>
              <w:right w:val="single" w:color="auto" w:sz="4" w:space="0"/>
            </w:tcBorders>
            <w:noWrap w:val="0"/>
            <w:vAlign w:val="bottom"/>
          </w:tcPr>
          <w:p w14:paraId="1A37431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2000≤Y＜10000</w:t>
            </w:r>
          </w:p>
        </w:tc>
        <w:tc>
          <w:tcPr>
            <w:tcW w:w="406" w:type="pct"/>
            <w:tcBorders>
              <w:top w:val="nil"/>
              <w:left w:val="nil"/>
              <w:bottom w:val="single" w:color="auto" w:sz="4" w:space="0"/>
              <w:right w:val="single" w:color="auto" w:sz="8" w:space="0"/>
            </w:tcBorders>
            <w:noWrap w:val="0"/>
            <w:vAlign w:val="bottom"/>
          </w:tcPr>
          <w:p w14:paraId="4175DF7E">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noWrap w:val="0"/>
            <w:vAlign w:val="bottom"/>
          </w:tcPr>
          <w:p w14:paraId="4BB3612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483" w:type="pct"/>
            <w:tcBorders>
              <w:top w:val="nil"/>
              <w:left w:val="nil"/>
              <w:bottom w:val="single" w:color="auto" w:sz="4" w:space="0"/>
              <w:right w:val="single" w:color="auto" w:sz="4" w:space="0"/>
            </w:tcBorders>
            <w:noWrap w:val="0"/>
            <w:vAlign w:val="bottom"/>
          </w:tcPr>
          <w:p w14:paraId="47C27692">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100≤Y＜2000</w:t>
            </w:r>
          </w:p>
        </w:tc>
        <w:tc>
          <w:tcPr>
            <w:tcW w:w="507" w:type="pct"/>
            <w:tcBorders>
              <w:top w:val="nil"/>
              <w:left w:val="nil"/>
              <w:bottom w:val="single" w:color="auto" w:sz="4" w:space="0"/>
              <w:right w:val="single" w:color="auto" w:sz="8" w:space="0"/>
            </w:tcBorders>
            <w:noWrap w:val="0"/>
            <w:vAlign w:val="bottom"/>
          </w:tcPr>
          <w:p w14:paraId="66A956A2">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8" w:type="pct"/>
            <w:tcBorders>
              <w:top w:val="nil"/>
              <w:left w:val="nil"/>
              <w:bottom w:val="single" w:color="auto" w:sz="4" w:space="0"/>
              <w:right w:val="single" w:color="auto" w:sz="4" w:space="0"/>
            </w:tcBorders>
            <w:noWrap w:val="0"/>
            <w:vAlign w:val="bottom"/>
          </w:tcPr>
          <w:p w14:paraId="34AA6F3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4" w:type="pct"/>
            <w:tcBorders>
              <w:top w:val="nil"/>
              <w:left w:val="nil"/>
              <w:bottom w:val="single" w:color="auto" w:sz="4" w:space="0"/>
              <w:right w:val="single" w:color="auto" w:sz="4" w:space="0"/>
            </w:tcBorders>
            <w:noWrap w:val="0"/>
            <w:vAlign w:val="bottom"/>
          </w:tcPr>
          <w:p w14:paraId="573E8CEC">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c>
          <w:tcPr>
            <w:tcW w:w="428" w:type="pct"/>
            <w:tcBorders>
              <w:top w:val="nil"/>
              <w:left w:val="nil"/>
              <w:bottom w:val="single" w:color="auto" w:sz="4" w:space="0"/>
              <w:right w:val="single" w:color="auto" w:sz="8" w:space="0"/>
            </w:tcBorders>
            <w:noWrap w:val="0"/>
            <w:vAlign w:val="bottom"/>
          </w:tcPr>
          <w:p w14:paraId="14DE726B">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r>
      <w:tr w14:paraId="514C8ADA">
        <w:tblPrEx>
          <w:tblCellMar>
            <w:top w:w="0" w:type="dxa"/>
            <w:left w:w="108" w:type="dxa"/>
            <w:bottom w:w="0" w:type="dxa"/>
            <w:right w:w="108" w:type="dxa"/>
          </w:tblCellMar>
        </w:tblPrEx>
        <w:trPr>
          <w:trHeight w:val="567" w:hRule="atLeast"/>
          <w:jc w:val="center"/>
        </w:trPr>
        <w:tc>
          <w:tcPr>
            <w:tcW w:w="789" w:type="pct"/>
            <w:tcBorders>
              <w:top w:val="nil"/>
              <w:left w:val="single" w:color="auto" w:sz="8" w:space="0"/>
              <w:bottom w:val="single" w:color="auto" w:sz="4" w:space="0"/>
              <w:right w:val="single" w:color="auto" w:sz="8" w:space="0"/>
            </w:tcBorders>
            <w:noWrap w:val="0"/>
            <w:vAlign w:val="bottom"/>
          </w:tcPr>
          <w:p w14:paraId="07F47579">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10、餐饮业</w:t>
            </w:r>
          </w:p>
        </w:tc>
        <w:tc>
          <w:tcPr>
            <w:tcW w:w="480" w:type="pct"/>
            <w:tcBorders>
              <w:top w:val="nil"/>
              <w:left w:val="nil"/>
              <w:bottom w:val="single" w:color="auto" w:sz="4" w:space="0"/>
              <w:right w:val="single" w:color="auto" w:sz="4" w:space="0"/>
            </w:tcBorders>
            <w:noWrap w:val="0"/>
            <w:vAlign w:val="bottom"/>
          </w:tcPr>
          <w:p w14:paraId="2E31CE2A">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592" w:type="pct"/>
            <w:tcBorders>
              <w:top w:val="nil"/>
              <w:left w:val="nil"/>
              <w:bottom w:val="single" w:color="auto" w:sz="4" w:space="0"/>
              <w:right w:val="single" w:color="auto" w:sz="4" w:space="0"/>
            </w:tcBorders>
            <w:noWrap w:val="0"/>
            <w:vAlign w:val="bottom"/>
          </w:tcPr>
          <w:p w14:paraId="444DE285">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2000≤Y＜10000</w:t>
            </w:r>
          </w:p>
        </w:tc>
        <w:tc>
          <w:tcPr>
            <w:tcW w:w="406" w:type="pct"/>
            <w:tcBorders>
              <w:top w:val="nil"/>
              <w:left w:val="nil"/>
              <w:bottom w:val="single" w:color="auto" w:sz="4" w:space="0"/>
              <w:right w:val="single" w:color="auto" w:sz="8" w:space="0"/>
            </w:tcBorders>
            <w:noWrap w:val="0"/>
            <w:vAlign w:val="bottom"/>
          </w:tcPr>
          <w:p w14:paraId="01D88037">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noWrap w:val="0"/>
            <w:vAlign w:val="bottom"/>
          </w:tcPr>
          <w:p w14:paraId="70DD9F70">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483" w:type="pct"/>
            <w:tcBorders>
              <w:top w:val="nil"/>
              <w:left w:val="nil"/>
              <w:bottom w:val="single" w:color="auto" w:sz="4" w:space="0"/>
              <w:right w:val="single" w:color="auto" w:sz="4" w:space="0"/>
            </w:tcBorders>
            <w:noWrap w:val="0"/>
            <w:vAlign w:val="bottom"/>
          </w:tcPr>
          <w:p w14:paraId="5B766CE6">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100≤Y＜2000</w:t>
            </w:r>
          </w:p>
        </w:tc>
        <w:tc>
          <w:tcPr>
            <w:tcW w:w="507" w:type="pct"/>
            <w:tcBorders>
              <w:top w:val="nil"/>
              <w:left w:val="nil"/>
              <w:bottom w:val="single" w:color="auto" w:sz="4" w:space="0"/>
              <w:right w:val="single" w:color="auto" w:sz="8" w:space="0"/>
            </w:tcBorders>
            <w:noWrap w:val="0"/>
            <w:vAlign w:val="bottom"/>
          </w:tcPr>
          <w:p w14:paraId="5A4E787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8" w:type="pct"/>
            <w:tcBorders>
              <w:top w:val="nil"/>
              <w:left w:val="nil"/>
              <w:bottom w:val="single" w:color="auto" w:sz="4" w:space="0"/>
              <w:right w:val="single" w:color="auto" w:sz="4" w:space="0"/>
            </w:tcBorders>
            <w:noWrap w:val="0"/>
            <w:vAlign w:val="bottom"/>
          </w:tcPr>
          <w:p w14:paraId="3001C14D">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4" w:type="pct"/>
            <w:tcBorders>
              <w:top w:val="nil"/>
              <w:left w:val="nil"/>
              <w:bottom w:val="single" w:color="auto" w:sz="4" w:space="0"/>
              <w:right w:val="single" w:color="auto" w:sz="4" w:space="0"/>
            </w:tcBorders>
            <w:noWrap w:val="0"/>
            <w:vAlign w:val="bottom"/>
          </w:tcPr>
          <w:p w14:paraId="6B521D44">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V＜100</w:t>
            </w:r>
          </w:p>
        </w:tc>
        <w:tc>
          <w:tcPr>
            <w:tcW w:w="428" w:type="pct"/>
            <w:tcBorders>
              <w:top w:val="nil"/>
              <w:left w:val="nil"/>
              <w:bottom w:val="single" w:color="auto" w:sz="4" w:space="0"/>
              <w:right w:val="single" w:color="auto" w:sz="8" w:space="0"/>
            </w:tcBorders>
            <w:noWrap w:val="0"/>
            <w:vAlign w:val="bottom"/>
          </w:tcPr>
          <w:p w14:paraId="397AE061">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r>
      <w:tr w14:paraId="669FA798">
        <w:tblPrEx>
          <w:tblCellMar>
            <w:top w:w="0" w:type="dxa"/>
            <w:left w:w="108" w:type="dxa"/>
            <w:bottom w:w="0" w:type="dxa"/>
            <w:right w:w="108" w:type="dxa"/>
          </w:tblCellMar>
        </w:tblPrEx>
        <w:trPr>
          <w:trHeight w:val="567" w:hRule="atLeast"/>
          <w:jc w:val="center"/>
        </w:trPr>
        <w:tc>
          <w:tcPr>
            <w:tcW w:w="789" w:type="pct"/>
            <w:tcBorders>
              <w:top w:val="nil"/>
              <w:left w:val="single" w:color="auto" w:sz="8" w:space="0"/>
              <w:bottom w:val="single" w:color="auto" w:sz="4" w:space="0"/>
              <w:right w:val="single" w:color="auto" w:sz="8" w:space="0"/>
            </w:tcBorders>
            <w:noWrap w:val="0"/>
            <w:vAlign w:val="bottom"/>
          </w:tcPr>
          <w:p w14:paraId="730B9E94">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11、信息传输业</w:t>
            </w:r>
          </w:p>
        </w:tc>
        <w:tc>
          <w:tcPr>
            <w:tcW w:w="480" w:type="pct"/>
            <w:tcBorders>
              <w:top w:val="nil"/>
              <w:left w:val="nil"/>
              <w:bottom w:val="single" w:color="auto" w:sz="4" w:space="0"/>
              <w:right w:val="single" w:color="auto" w:sz="4" w:space="0"/>
            </w:tcBorders>
            <w:noWrap w:val="0"/>
            <w:vAlign w:val="bottom"/>
          </w:tcPr>
          <w:p w14:paraId="7667F6C7">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100≤X＜2000</w:t>
            </w:r>
          </w:p>
        </w:tc>
        <w:tc>
          <w:tcPr>
            <w:tcW w:w="592" w:type="pct"/>
            <w:tcBorders>
              <w:top w:val="nil"/>
              <w:left w:val="nil"/>
              <w:bottom w:val="single" w:color="auto" w:sz="4" w:space="0"/>
              <w:right w:val="single" w:color="auto" w:sz="4" w:space="0"/>
            </w:tcBorders>
            <w:noWrap w:val="0"/>
            <w:vAlign w:val="bottom"/>
          </w:tcPr>
          <w:p w14:paraId="7331813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1000≤Y＜100000</w:t>
            </w:r>
          </w:p>
        </w:tc>
        <w:tc>
          <w:tcPr>
            <w:tcW w:w="406" w:type="pct"/>
            <w:tcBorders>
              <w:top w:val="nil"/>
              <w:left w:val="nil"/>
              <w:bottom w:val="single" w:color="auto" w:sz="4" w:space="0"/>
              <w:right w:val="single" w:color="auto" w:sz="8" w:space="0"/>
            </w:tcBorders>
            <w:noWrap w:val="0"/>
            <w:vAlign w:val="bottom"/>
          </w:tcPr>
          <w:p w14:paraId="194539BA">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noWrap w:val="0"/>
            <w:vAlign w:val="bottom"/>
          </w:tcPr>
          <w:p w14:paraId="482D227E">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483" w:type="pct"/>
            <w:tcBorders>
              <w:top w:val="nil"/>
              <w:left w:val="nil"/>
              <w:bottom w:val="single" w:color="auto" w:sz="4" w:space="0"/>
              <w:right w:val="single" w:color="auto" w:sz="4" w:space="0"/>
            </w:tcBorders>
            <w:noWrap w:val="0"/>
            <w:vAlign w:val="bottom"/>
          </w:tcPr>
          <w:p w14:paraId="1DD6D98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100≤Y＜1000</w:t>
            </w:r>
          </w:p>
        </w:tc>
        <w:tc>
          <w:tcPr>
            <w:tcW w:w="507" w:type="pct"/>
            <w:tcBorders>
              <w:top w:val="nil"/>
              <w:left w:val="nil"/>
              <w:bottom w:val="single" w:color="auto" w:sz="4" w:space="0"/>
              <w:right w:val="single" w:color="auto" w:sz="8" w:space="0"/>
            </w:tcBorders>
            <w:noWrap w:val="0"/>
            <w:vAlign w:val="bottom"/>
          </w:tcPr>
          <w:p w14:paraId="0E63E18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8" w:type="pct"/>
            <w:tcBorders>
              <w:top w:val="nil"/>
              <w:left w:val="nil"/>
              <w:bottom w:val="single" w:color="auto" w:sz="4" w:space="0"/>
              <w:right w:val="single" w:color="auto" w:sz="4" w:space="0"/>
            </w:tcBorders>
            <w:noWrap w:val="0"/>
            <w:vAlign w:val="bottom"/>
          </w:tcPr>
          <w:p w14:paraId="0B9AA48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4" w:type="pct"/>
            <w:tcBorders>
              <w:top w:val="nil"/>
              <w:left w:val="nil"/>
              <w:bottom w:val="single" w:color="auto" w:sz="4" w:space="0"/>
              <w:right w:val="single" w:color="auto" w:sz="4" w:space="0"/>
            </w:tcBorders>
            <w:noWrap w:val="0"/>
            <w:vAlign w:val="bottom"/>
          </w:tcPr>
          <w:p w14:paraId="17281E0B">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c>
          <w:tcPr>
            <w:tcW w:w="428" w:type="pct"/>
            <w:tcBorders>
              <w:top w:val="nil"/>
              <w:left w:val="nil"/>
              <w:bottom w:val="single" w:color="auto" w:sz="4" w:space="0"/>
              <w:right w:val="single" w:color="auto" w:sz="8" w:space="0"/>
            </w:tcBorders>
            <w:noWrap w:val="0"/>
            <w:vAlign w:val="bottom"/>
          </w:tcPr>
          <w:p w14:paraId="0255A2FF">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r>
      <w:tr w14:paraId="7C4BCB8C">
        <w:tblPrEx>
          <w:tblCellMar>
            <w:top w:w="0" w:type="dxa"/>
            <w:left w:w="108" w:type="dxa"/>
            <w:bottom w:w="0" w:type="dxa"/>
            <w:right w:w="108" w:type="dxa"/>
          </w:tblCellMar>
        </w:tblPrEx>
        <w:trPr>
          <w:trHeight w:val="567" w:hRule="atLeast"/>
          <w:jc w:val="center"/>
        </w:trPr>
        <w:tc>
          <w:tcPr>
            <w:tcW w:w="789" w:type="pct"/>
            <w:tcBorders>
              <w:top w:val="nil"/>
              <w:left w:val="single" w:color="auto" w:sz="8" w:space="0"/>
              <w:bottom w:val="single" w:color="auto" w:sz="4" w:space="0"/>
              <w:right w:val="single" w:color="auto" w:sz="8" w:space="0"/>
            </w:tcBorders>
            <w:noWrap w:val="0"/>
            <w:vAlign w:val="bottom"/>
          </w:tcPr>
          <w:p w14:paraId="551C5E4B">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12、软件和信息技术服务业</w:t>
            </w:r>
          </w:p>
        </w:tc>
        <w:tc>
          <w:tcPr>
            <w:tcW w:w="480" w:type="pct"/>
            <w:tcBorders>
              <w:top w:val="nil"/>
              <w:left w:val="nil"/>
              <w:bottom w:val="single" w:color="auto" w:sz="4" w:space="0"/>
              <w:right w:val="single" w:color="auto" w:sz="4" w:space="0"/>
            </w:tcBorders>
            <w:noWrap w:val="0"/>
            <w:vAlign w:val="bottom"/>
          </w:tcPr>
          <w:p w14:paraId="543DA1CA">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592" w:type="pct"/>
            <w:tcBorders>
              <w:top w:val="nil"/>
              <w:left w:val="nil"/>
              <w:bottom w:val="single" w:color="auto" w:sz="4" w:space="0"/>
              <w:right w:val="single" w:color="auto" w:sz="4" w:space="0"/>
            </w:tcBorders>
            <w:noWrap w:val="0"/>
            <w:vAlign w:val="bottom"/>
          </w:tcPr>
          <w:p w14:paraId="22249D52">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1000≤Y＜10000</w:t>
            </w:r>
          </w:p>
        </w:tc>
        <w:tc>
          <w:tcPr>
            <w:tcW w:w="406" w:type="pct"/>
            <w:tcBorders>
              <w:top w:val="nil"/>
              <w:left w:val="nil"/>
              <w:bottom w:val="single" w:color="auto" w:sz="4" w:space="0"/>
              <w:right w:val="single" w:color="auto" w:sz="8" w:space="0"/>
            </w:tcBorders>
            <w:noWrap w:val="0"/>
            <w:vAlign w:val="bottom"/>
          </w:tcPr>
          <w:p w14:paraId="6B0E77A9">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noWrap w:val="0"/>
            <w:vAlign w:val="bottom"/>
          </w:tcPr>
          <w:p w14:paraId="422AF45D">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483" w:type="pct"/>
            <w:tcBorders>
              <w:top w:val="nil"/>
              <w:left w:val="nil"/>
              <w:bottom w:val="single" w:color="auto" w:sz="4" w:space="0"/>
              <w:right w:val="single" w:color="auto" w:sz="4" w:space="0"/>
            </w:tcBorders>
            <w:noWrap w:val="0"/>
            <w:vAlign w:val="bottom"/>
          </w:tcPr>
          <w:p w14:paraId="097E1462">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50≤Y＜1000</w:t>
            </w:r>
          </w:p>
        </w:tc>
        <w:tc>
          <w:tcPr>
            <w:tcW w:w="507" w:type="pct"/>
            <w:tcBorders>
              <w:top w:val="nil"/>
              <w:left w:val="nil"/>
              <w:bottom w:val="single" w:color="auto" w:sz="4" w:space="0"/>
              <w:right w:val="single" w:color="auto" w:sz="8" w:space="0"/>
            </w:tcBorders>
            <w:noWrap w:val="0"/>
            <w:vAlign w:val="bottom"/>
          </w:tcPr>
          <w:p w14:paraId="642B15AA">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8" w:type="pct"/>
            <w:tcBorders>
              <w:top w:val="nil"/>
              <w:left w:val="nil"/>
              <w:bottom w:val="single" w:color="auto" w:sz="4" w:space="0"/>
              <w:right w:val="single" w:color="auto" w:sz="4" w:space="0"/>
            </w:tcBorders>
            <w:noWrap w:val="0"/>
            <w:vAlign w:val="bottom"/>
          </w:tcPr>
          <w:p w14:paraId="1CCA61FB">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4" w:type="pct"/>
            <w:tcBorders>
              <w:top w:val="nil"/>
              <w:left w:val="nil"/>
              <w:bottom w:val="single" w:color="auto" w:sz="4" w:space="0"/>
              <w:right w:val="single" w:color="auto" w:sz="4" w:space="0"/>
            </w:tcBorders>
            <w:noWrap w:val="0"/>
            <w:vAlign w:val="bottom"/>
          </w:tcPr>
          <w:p w14:paraId="03D69985">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Y＜50</w:t>
            </w:r>
          </w:p>
        </w:tc>
        <w:tc>
          <w:tcPr>
            <w:tcW w:w="428" w:type="pct"/>
            <w:tcBorders>
              <w:top w:val="nil"/>
              <w:left w:val="nil"/>
              <w:bottom w:val="single" w:color="auto" w:sz="4" w:space="0"/>
              <w:right w:val="single" w:color="auto" w:sz="8" w:space="0"/>
            </w:tcBorders>
            <w:noWrap w:val="0"/>
            <w:vAlign w:val="bottom"/>
          </w:tcPr>
          <w:p w14:paraId="0B0D63B5">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r>
      <w:tr w14:paraId="084033F4">
        <w:tblPrEx>
          <w:tblCellMar>
            <w:top w:w="0" w:type="dxa"/>
            <w:left w:w="108" w:type="dxa"/>
            <w:bottom w:w="0" w:type="dxa"/>
            <w:right w:w="108" w:type="dxa"/>
          </w:tblCellMar>
        </w:tblPrEx>
        <w:trPr>
          <w:trHeight w:val="567" w:hRule="atLeast"/>
          <w:jc w:val="center"/>
        </w:trPr>
        <w:tc>
          <w:tcPr>
            <w:tcW w:w="789" w:type="pct"/>
            <w:tcBorders>
              <w:top w:val="nil"/>
              <w:left w:val="single" w:color="auto" w:sz="8" w:space="0"/>
              <w:bottom w:val="single" w:color="auto" w:sz="4" w:space="0"/>
              <w:right w:val="single" w:color="auto" w:sz="8" w:space="0"/>
            </w:tcBorders>
            <w:noWrap w:val="0"/>
            <w:vAlign w:val="bottom"/>
          </w:tcPr>
          <w:p w14:paraId="552E2D4D">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13、房地产开发经营</w:t>
            </w:r>
          </w:p>
        </w:tc>
        <w:tc>
          <w:tcPr>
            <w:tcW w:w="480" w:type="pct"/>
            <w:tcBorders>
              <w:top w:val="nil"/>
              <w:left w:val="nil"/>
              <w:bottom w:val="single" w:color="auto" w:sz="4" w:space="0"/>
              <w:right w:val="single" w:color="auto" w:sz="4" w:space="0"/>
            </w:tcBorders>
            <w:noWrap w:val="0"/>
            <w:vAlign w:val="bottom"/>
          </w:tcPr>
          <w:p w14:paraId="2C7F11D5">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592" w:type="pct"/>
            <w:tcBorders>
              <w:top w:val="nil"/>
              <w:left w:val="nil"/>
              <w:bottom w:val="single" w:color="auto" w:sz="4" w:space="0"/>
              <w:right w:val="single" w:color="auto" w:sz="4" w:space="0"/>
            </w:tcBorders>
            <w:noWrap w:val="0"/>
            <w:vAlign w:val="bottom"/>
          </w:tcPr>
          <w:p w14:paraId="3C0D08F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1000≤Y＜200000</w:t>
            </w:r>
          </w:p>
        </w:tc>
        <w:tc>
          <w:tcPr>
            <w:tcW w:w="406" w:type="pct"/>
            <w:tcBorders>
              <w:top w:val="nil"/>
              <w:left w:val="nil"/>
              <w:bottom w:val="single" w:color="auto" w:sz="4" w:space="0"/>
              <w:right w:val="single" w:color="auto" w:sz="8" w:space="0"/>
            </w:tcBorders>
            <w:noWrap w:val="0"/>
            <w:vAlign w:val="bottom"/>
          </w:tcPr>
          <w:p w14:paraId="3E65B383">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5000≤Z＜10000</w:t>
            </w:r>
          </w:p>
        </w:tc>
        <w:tc>
          <w:tcPr>
            <w:tcW w:w="479" w:type="pct"/>
            <w:tcBorders>
              <w:top w:val="nil"/>
              <w:left w:val="nil"/>
              <w:bottom w:val="single" w:color="auto" w:sz="4" w:space="0"/>
              <w:right w:val="single" w:color="auto" w:sz="4" w:space="0"/>
            </w:tcBorders>
            <w:noWrap w:val="0"/>
            <w:vAlign w:val="bottom"/>
          </w:tcPr>
          <w:p w14:paraId="31571D81">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83" w:type="pct"/>
            <w:tcBorders>
              <w:top w:val="nil"/>
              <w:left w:val="nil"/>
              <w:bottom w:val="single" w:color="auto" w:sz="4" w:space="0"/>
              <w:right w:val="single" w:color="auto" w:sz="4" w:space="0"/>
            </w:tcBorders>
            <w:noWrap w:val="0"/>
            <w:vAlign w:val="bottom"/>
          </w:tcPr>
          <w:p w14:paraId="240286CE">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100≤Y＜1000</w:t>
            </w:r>
          </w:p>
        </w:tc>
        <w:tc>
          <w:tcPr>
            <w:tcW w:w="507" w:type="pct"/>
            <w:tcBorders>
              <w:top w:val="nil"/>
              <w:left w:val="nil"/>
              <w:bottom w:val="single" w:color="auto" w:sz="4" w:space="0"/>
              <w:right w:val="single" w:color="auto" w:sz="8" w:space="0"/>
            </w:tcBorders>
            <w:noWrap w:val="0"/>
            <w:vAlign w:val="bottom"/>
          </w:tcPr>
          <w:p w14:paraId="50339F14">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2000≤Z＜5000</w:t>
            </w:r>
          </w:p>
        </w:tc>
        <w:tc>
          <w:tcPr>
            <w:tcW w:w="418" w:type="pct"/>
            <w:tcBorders>
              <w:top w:val="nil"/>
              <w:left w:val="nil"/>
              <w:bottom w:val="single" w:color="auto" w:sz="4" w:space="0"/>
              <w:right w:val="single" w:color="auto" w:sz="4" w:space="0"/>
            </w:tcBorders>
            <w:noWrap w:val="0"/>
            <w:vAlign w:val="bottom"/>
          </w:tcPr>
          <w:p w14:paraId="639B96A4">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4" w:type="pct"/>
            <w:tcBorders>
              <w:top w:val="nil"/>
              <w:left w:val="nil"/>
              <w:bottom w:val="single" w:color="auto" w:sz="4" w:space="0"/>
              <w:right w:val="single" w:color="auto" w:sz="4" w:space="0"/>
            </w:tcBorders>
            <w:noWrap w:val="0"/>
            <w:vAlign w:val="bottom"/>
          </w:tcPr>
          <w:p w14:paraId="37EC20A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Y＜100</w:t>
            </w:r>
          </w:p>
        </w:tc>
        <w:tc>
          <w:tcPr>
            <w:tcW w:w="428" w:type="pct"/>
            <w:tcBorders>
              <w:top w:val="nil"/>
              <w:left w:val="nil"/>
              <w:bottom w:val="single" w:color="auto" w:sz="4" w:space="0"/>
              <w:right w:val="single" w:color="auto" w:sz="8" w:space="0"/>
            </w:tcBorders>
            <w:noWrap w:val="0"/>
            <w:vAlign w:val="bottom"/>
          </w:tcPr>
          <w:p w14:paraId="1DE2207E">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Z＜2000</w:t>
            </w:r>
          </w:p>
        </w:tc>
      </w:tr>
      <w:tr w14:paraId="68DC4BD5">
        <w:tblPrEx>
          <w:tblCellMar>
            <w:top w:w="0" w:type="dxa"/>
            <w:left w:w="108" w:type="dxa"/>
            <w:bottom w:w="0" w:type="dxa"/>
            <w:right w:w="108" w:type="dxa"/>
          </w:tblCellMar>
        </w:tblPrEx>
        <w:trPr>
          <w:trHeight w:val="567" w:hRule="atLeast"/>
          <w:jc w:val="center"/>
        </w:trPr>
        <w:tc>
          <w:tcPr>
            <w:tcW w:w="789" w:type="pct"/>
            <w:tcBorders>
              <w:top w:val="nil"/>
              <w:left w:val="single" w:color="auto" w:sz="8" w:space="0"/>
              <w:bottom w:val="single" w:color="auto" w:sz="4" w:space="0"/>
              <w:right w:val="single" w:color="auto" w:sz="8" w:space="0"/>
            </w:tcBorders>
            <w:noWrap w:val="0"/>
            <w:vAlign w:val="bottom"/>
          </w:tcPr>
          <w:p w14:paraId="3405CD8A">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14、物业管理</w:t>
            </w:r>
          </w:p>
        </w:tc>
        <w:tc>
          <w:tcPr>
            <w:tcW w:w="480" w:type="pct"/>
            <w:tcBorders>
              <w:top w:val="nil"/>
              <w:left w:val="nil"/>
              <w:bottom w:val="single" w:color="auto" w:sz="4" w:space="0"/>
              <w:right w:val="single" w:color="auto" w:sz="4" w:space="0"/>
            </w:tcBorders>
            <w:noWrap w:val="0"/>
            <w:vAlign w:val="bottom"/>
          </w:tcPr>
          <w:p w14:paraId="39ACA4BE">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300≤X＜1000</w:t>
            </w:r>
          </w:p>
        </w:tc>
        <w:tc>
          <w:tcPr>
            <w:tcW w:w="592" w:type="pct"/>
            <w:tcBorders>
              <w:top w:val="nil"/>
              <w:left w:val="nil"/>
              <w:bottom w:val="single" w:color="auto" w:sz="4" w:space="0"/>
              <w:right w:val="single" w:color="auto" w:sz="4" w:space="0"/>
            </w:tcBorders>
            <w:noWrap w:val="0"/>
            <w:vAlign w:val="bottom"/>
          </w:tcPr>
          <w:p w14:paraId="20B19B5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1000≤Y＜5000</w:t>
            </w:r>
          </w:p>
        </w:tc>
        <w:tc>
          <w:tcPr>
            <w:tcW w:w="406" w:type="pct"/>
            <w:tcBorders>
              <w:top w:val="nil"/>
              <w:left w:val="nil"/>
              <w:bottom w:val="single" w:color="auto" w:sz="4" w:space="0"/>
              <w:right w:val="single" w:color="auto" w:sz="8" w:space="0"/>
            </w:tcBorders>
            <w:noWrap w:val="0"/>
            <w:vAlign w:val="bottom"/>
          </w:tcPr>
          <w:p w14:paraId="486B81B0">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4" w:space="0"/>
              <w:right w:val="single" w:color="auto" w:sz="4" w:space="0"/>
            </w:tcBorders>
            <w:noWrap w:val="0"/>
            <w:vAlign w:val="bottom"/>
          </w:tcPr>
          <w:p w14:paraId="2D6E0605">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483" w:type="pct"/>
            <w:tcBorders>
              <w:top w:val="nil"/>
              <w:left w:val="nil"/>
              <w:bottom w:val="single" w:color="auto" w:sz="4" w:space="0"/>
              <w:right w:val="single" w:color="auto" w:sz="4" w:space="0"/>
            </w:tcBorders>
            <w:noWrap w:val="0"/>
            <w:vAlign w:val="bottom"/>
          </w:tcPr>
          <w:p w14:paraId="61C1FB3B">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500≤Y＜1000</w:t>
            </w:r>
          </w:p>
        </w:tc>
        <w:tc>
          <w:tcPr>
            <w:tcW w:w="507" w:type="pct"/>
            <w:tcBorders>
              <w:top w:val="nil"/>
              <w:left w:val="nil"/>
              <w:bottom w:val="single" w:color="auto" w:sz="4" w:space="0"/>
              <w:right w:val="single" w:color="auto" w:sz="8" w:space="0"/>
            </w:tcBorders>
            <w:noWrap w:val="0"/>
            <w:vAlign w:val="bottom"/>
          </w:tcPr>
          <w:p w14:paraId="2DF23C44">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8" w:type="pct"/>
            <w:tcBorders>
              <w:top w:val="nil"/>
              <w:left w:val="nil"/>
              <w:bottom w:val="single" w:color="auto" w:sz="4" w:space="0"/>
              <w:right w:val="single" w:color="auto" w:sz="4" w:space="0"/>
            </w:tcBorders>
            <w:noWrap w:val="0"/>
            <w:vAlign w:val="bottom"/>
          </w:tcPr>
          <w:p w14:paraId="0720AE4A">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X＜100</w:t>
            </w:r>
          </w:p>
        </w:tc>
        <w:tc>
          <w:tcPr>
            <w:tcW w:w="414" w:type="pct"/>
            <w:tcBorders>
              <w:top w:val="nil"/>
              <w:left w:val="nil"/>
              <w:bottom w:val="single" w:color="auto" w:sz="4" w:space="0"/>
              <w:right w:val="single" w:color="auto" w:sz="4" w:space="0"/>
            </w:tcBorders>
            <w:noWrap w:val="0"/>
            <w:vAlign w:val="bottom"/>
          </w:tcPr>
          <w:p w14:paraId="684234B9">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Y＜500</w:t>
            </w:r>
          </w:p>
        </w:tc>
        <w:tc>
          <w:tcPr>
            <w:tcW w:w="428" w:type="pct"/>
            <w:tcBorders>
              <w:top w:val="nil"/>
              <w:left w:val="nil"/>
              <w:bottom w:val="single" w:color="auto" w:sz="4" w:space="0"/>
              <w:right w:val="single" w:color="auto" w:sz="8" w:space="0"/>
            </w:tcBorders>
            <w:noWrap w:val="0"/>
            <w:vAlign w:val="bottom"/>
          </w:tcPr>
          <w:p w14:paraId="16168AF1">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r>
      <w:tr w14:paraId="7039C2C2">
        <w:tblPrEx>
          <w:tblCellMar>
            <w:top w:w="0" w:type="dxa"/>
            <w:left w:w="108" w:type="dxa"/>
            <w:bottom w:w="0" w:type="dxa"/>
            <w:right w:w="108" w:type="dxa"/>
          </w:tblCellMar>
        </w:tblPrEx>
        <w:trPr>
          <w:trHeight w:val="567" w:hRule="atLeast"/>
          <w:jc w:val="center"/>
        </w:trPr>
        <w:tc>
          <w:tcPr>
            <w:tcW w:w="789" w:type="pct"/>
            <w:tcBorders>
              <w:top w:val="nil"/>
              <w:left w:val="single" w:color="auto" w:sz="8" w:space="0"/>
              <w:bottom w:val="single" w:color="auto" w:sz="4" w:space="0"/>
              <w:right w:val="single" w:color="auto" w:sz="8" w:space="0"/>
            </w:tcBorders>
            <w:noWrap w:val="0"/>
            <w:vAlign w:val="bottom"/>
          </w:tcPr>
          <w:p w14:paraId="34EFD5FB">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15、租赁和商务服务业</w:t>
            </w:r>
          </w:p>
        </w:tc>
        <w:tc>
          <w:tcPr>
            <w:tcW w:w="480" w:type="pct"/>
            <w:tcBorders>
              <w:top w:val="nil"/>
              <w:left w:val="nil"/>
              <w:bottom w:val="single" w:color="auto" w:sz="4" w:space="0"/>
              <w:right w:val="single" w:color="auto" w:sz="4" w:space="0"/>
            </w:tcBorders>
            <w:noWrap w:val="0"/>
            <w:vAlign w:val="bottom"/>
          </w:tcPr>
          <w:p w14:paraId="4F2192E2">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592" w:type="pct"/>
            <w:tcBorders>
              <w:top w:val="nil"/>
              <w:left w:val="nil"/>
              <w:bottom w:val="single" w:color="auto" w:sz="4" w:space="0"/>
              <w:right w:val="single" w:color="auto" w:sz="4" w:space="0"/>
            </w:tcBorders>
            <w:noWrap w:val="0"/>
            <w:vAlign w:val="bottom"/>
          </w:tcPr>
          <w:p w14:paraId="78987CC2">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06" w:type="pct"/>
            <w:tcBorders>
              <w:top w:val="nil"/>
              <w:left w:val="nil"/>
              <w:bottom w:val="single" w:color="auto" w:sz="4" w:space="0"/>
              <w:right w:val="single" w:color="auto" w:sz="8" w:space="0"/>
            </w:tcBorders>
            <w:noWrap w:val="0"/>
            <w:vAlign w:val="bottom"/>
          </w:tcPr>
          <w:p w14:paraId="4AD5A075">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8000≤Z＜120000</w:t>
            </w:r>
          </w:p>
        </w:tc>
        <w:tc>
          <w:tcPr>
            <w:tcW w:w="479" w:type="pct"/>
            <w:tcBorders>
              <w:top w:val="nil"/>
              <w:left w:val="nil"/>
              <w:bottom w:val="single" w:color="auto" w:sz="4" w:space="0"/>
              <w:right w:val="single" w:color="auto" w:sz="4" w:space="0"/>
            </w:tcBorders>
            <w:noWrap w:val="0"/>
            <w:vAlign w:val="bottom"/>
          </w:tcPr>
          <w:p w14:paraId="57F310C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483" w:type="pct"/>
            <w:tcBorders>
              <w:top w:val="nil"/>
              <w:left w:val="nil"/>
              <w:bottom w:val="single" w:color="auto" w:sz="4" w:space="0"/>
              <w:right w:val="single" w:color="auto" w:sz="4" w:space="0"/>
            </w:tcBorders>
            <w:noWrap w:val="0"/>
            <w:vAlign w:val="bottom"/>
          </w:tcPr>
          <w:p w14:paraId="2D262C29">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507" w:type="pct"/>
            <w:tcBorders>
              <w:top w:val="nil"/>
              <w:left w:val="nil"/>
              <w:bottom w:val="single" w:color="auto" w:sz="4" w:space="0"/>
              <w:right w:val="single" w:color="auto" w:sz="8" w:space="0"/>
            </w:tcBorders>
            <w:noWrap w:val="0"/>
            <w:vAlign w:val="bottom"/>
          </w:tcPr>
          <w:p w14:paraId="3DFB13A9">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100≤Z＜8000</w:t>
            </w:r>
          </w:p>
        </w:tc>
        <w:tc>
          <w:tcPr>
            <w:tcW w:w="418" w:type="pct"/>
            <w:tcBorders>
              <w:top w:val="nil"/>
              <w:left w:val="nil"/>
              <w:bottom w:val="single" w:color="auto" w:sz="4" w:space="0"/>
              <w:right w:val="single" w:color="auto" w:sz="4" w:space="0"/>
            </w:tcBorders>
            <w:noWrap w:val="0"/>
            <w:vAlign w:val="bottom"/>
          </w:tcPr>
          <w:p w14:paraId="5994DABA">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4" w:type="pct"/>
            <w:tcBorders>
              <w:top w:val="nil"/>
              <w:left w:val="nil"/>
              <w:bottom w:val="single" w:color="auto" w:sz="4" w:space="0"/>
              <w:right w:val="single" w:color="auto" w:sz="4" w:space="0"/>
            </w:tcBorders>
            <w:noWrap w:val="0"/>
            <w:vAlign w:val="bottom"/>
          </w:tcPr>
          <w:p w14:paraId="7916EA6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28" w:type="pct"/>
            <w:tcBorders>
              <w:top w:val="nil"/>
              <w:left w:val="nil"/>
              <w:bottom w:val="single" w:color="auto" w:sz="4" w:space="0"/>
              <w:right w:val="single" w:color="auto" w:sz="8" w:space="0"/>
            </w:tcBorders>
            <w:noWrap w:val="0"/>
            <w:vAlign w:val="bottom"/>
          </w:tcPr>
          <w:p w14:paraId="7D1B549D">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Z＜100</w:t>
            </w:r>
          </w:p>
        </w:tc>
      </w:tr>
      <w:tr w14:paraId="1A586D1F">
        <w:tblPrEx>
          <w:tblCellMar>
            <w:top w:w="0" w:type="dxa"/>
            <w:left w:w="108" w:type="dxa"/>
            <w:bottom w:w="0" w:type="dxa"/>
            <w:right w:w="108" w:type="dxa"/>
          </w:tblCellMar>
        </w:tblPrEx>
        <w:trPr>
          <w:trHeight w:val="567" w:hRule="atLeast"/>
          <w:jc w:val="center"/>
        </w:trPr>
        <w:tc>
          <w:tcPr>
            <w:tcW w:w="789" w:type="pct"/>
            <w:tcBorders>
              <w:top w:val="nil"/>
              <w:left w:val="single" w:color="auto" w:sz="8" w:space="0"/>
              <w:bottom w:val="single" w:color="auto" w:sz="8" w:space="0"/>
              <w:right w:val="single" w:color="auto" w:sz="8" w:space="0"/>
            </w:tcBorders>
            <w:noWrap w:val="0"/>
            <w:vAlign w:val="bottom"/>
          </w:tcPr>
          <w:p w14:paraId="0BC13670">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16、其他未列明行业</w:t>
            </w:r>
          </w:p>
        </w:tc>
        <w:tc>
          <w:tcPr>
            <w:tcW w:w="480" w:type="pct"/>
            <w:tcBorders>
              <w:top w:val="nil"/>
              <w:left w:val="nil"/>
              <w:bottom w:val="single" w:color="auto" w:sz="8" w:space="0"/>
              <w:right w:val="single" w:color="auto" w:sz="4" w:space="0"/>
            </w:tcBorders>
            <w:noWrap w:val="0"/>
            <w:vAlign w:val="bottom"/>
          </w:tcPr>
          <w:p w14:paraId="2A60ADB6">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100≤X＜300</w:t>
            </w:r>
          </w:p>
        </w:tc>
        <w:tc>
          <w:tcPr>
            <w:tcW w:w="592" w:type="pct"/>
            <w:tcBorders>
              <w:top w:val="nil"/>
              <w:left w:val="nil"/>
              <w:bottom w:val="single" w:color="auto" w:sz="8" w:space="0"/>
              <w:right w:val="single" w:color="auto" w:sz="4" w:space="0"/>
            </w:tcBorders>
            <w:noWrap w:val="0"/>
            <w:vAlign w:val="bottom"/>
          </w:tcPr>
          <w:p w14:paraId="7E93E43C">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06" w:type="pct"/>
            <w:tcBorders>
              <w:top w:val="nil"/>
              <w:left w:val="nil"/>
              <w:bottom w:val="single" w:color="auto" w:sz="8" w:space="0"/>
              <w:right w:val="single" w:color="auto" w:sz="8" w:space="0"/>
            </w:tcBorders>
            <w:noWrap w:val="0"/>
            <w:vAlign w:val="bottom"/>
          </w:tcPr>
          <w:p w14:paraId="54C6A5F8">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79" w:type="pct"/>
            <w:tcBorders>
              <w:top w:val="nil"/>
              <w:left w:val="nil"/>
              <w:bottom w:val="single" w:color="auto" w:sz="8" w:space="0"/>
              <w:right w:val="single" w:color="auto" w:sz="4" w:space="0"/>
            </w:tcBorders>
            <w:noWrap w:val="0"/>
            <w:vAlign w:val="bottom"/>
          </w:tcPr>
          <w:p w14:paraId="2B651114">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10≤X＜100</w:t>
            </w:r>
          </w:p>
        </w:tc>
        <w:tc>
          <w:tcPr>
            <w:tcW w:w="483" w:type="pct"/>
            <w:tcBorders>
              <w:top w:val="nil"/>
              <w:left w:val="nil"/>
              <w:bottom w:val="single" w:color="auto" w:sz="8" w:space="0"/>
              <w:right w:val="single" w:color="auto" w:sz="4" w:space="0"/>
            </w:tcBorders>
            <w:noWrap w:val="0"/>
            <w:vAlign w:val="bottom"/>
          </w:tcPr>
          <w:p w14:paraId="2EEBC95A">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507" w:type="pct"/>
            <w:tcBorders>
              <w:top w:val="nil"/>
              <w:left w:val="nil"/>
              <w:bottom w:val="single" w:color="auto" w:sz="8" w:space="0"/>
              <w:right w:val="single" w:color="auto" w:sz="8" w:space="0"/>
            </w:tcBorders>
            <w:noWrap w:val="0"/>
            <w:vAlign w:val="bottom"/>
          </w:tcPr>
          <w:p w14:paraId="055FDD06">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18" w:type="pct"/>
            <w:tcBorders>
              <w:top w:val="nil"/>
              <w:left w:val="nil"/>
              <w:bottom w:val="single" w:color="auto" w:sz="8" w:space="0"/>
              <w:right w:val="single" w:color="auto" w:sz="4" w:space="0"/>
            </w:tcBorders>
            <w:noWrap w:val="0"/>
            <w:vAlign w:val="bottom"/>
          </w:tcPr>
          <w:p w14:paraId="284119E4">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rPr>
            </w:pPr>
            <w:r>
              <w:rPr>
                <w:rFonts w:hint="eastAsia" w:ascii="宋体" w:hAnsi="宋体" w:eastAsia="宋体" w:cs="宋体"/>
                <w:color w:val="auto"/>
                <w:kern w:val="0"/>
                <w:sz w:val="21"/>
                <w:szCs w:val="21"/>
                <w:highlight w:val="none"/>
                <w:shd w:val="clear" w:color="auto" w:fill="auto"/>
              </w:rPr>
              <w:t>X＜10</w:t>
            </w:r>
          </w:p>
        </w:tc>
        <w:tc>
          <w:tcPr>
            <w:tcW w:w="414" w:type="pct"/>
            <w:tcBorders>
              <w:top w:val="nil"/>
              <w:left w:val="nil"/>
              <w:bottom w:val="single" w:color="auto" w:sz="8" w:space="0"/>
              <w:right w:val="single" w:color="auto" w:sz="4" w:space="0"/>
            </w:tcBorders>
            <w:noWrap w:val="0"/>
            <w:vAlign w:val="bottom"/>
          </w:tcPr>
          <w:p w14:paraId="003E38B0">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c>
          <w:tcPr>
            <w:tcW w:w="428" w:type="pct"/>
            <w:tcBorders>
              <w:top w:val="nil"/>
              <w:left w:val="nil"/>
              <w:bottom w:val="single" w:color="auto" w:sz="8" w:space="0"/>
              <w:right w:val="single" w:color="auto" w:sz="8" w:space="0"/>
            </w:tcBorders>
            <w:noWrap w:val="0"/>
            <w:vAlign w:val="bottom"/>
          </w:tcPr>
          <w:p w14:paraId="7815427E">
            <w:pPr>
              <w:keepNext w:val="0"/>
              <w:keepLines w:val="0"/>
              <w:pageBreakBefore w:val="0"/>
              <w:widowControl w:val="0"/>
              <w:suppressLineNumbers w:val="0"/>
              <w:overflowPunct/>
              <w:bidi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shd w:val="clear" w:color="auto" w:fill="auto"/>
                <w:lang w:eastAsia="zh-CN"/>
              </w:rPr>
            </w:pPr>
          </w:p>
        </w:tc>
      </w:tr>
    </w:tbl>
    <w:p w14:paraId="2EC46603">
      <w:pPr>
        <w:keepNext w:val="0"/>
        <w:pageBreakBefore w:val="0"/>
        <w:widowControl w:val="0"/>
        <w:overflowPunct/>
        <w:bidi w:val="0"/>
        <w:spacing w:line="240" w:lineRule="auto"/>
        <w:ind w:left="-796" w:leftChars="-379" w:firstLine="795" w:firstLineChars="379"/>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说明 1、企业类型的划分以统计部门的统计数据为依据。</w:t>
      </w:r>
    </w:p>
    <w:p w14:paraId="1176400B">
      <w:pPr>
        <w:keepNext w:val="0"/>
        <w:pageBreakBefore w:val="0"/>
        <w:widowControl w:val="0"/>
        <w:numPr>
          <w:ilvl w:val="0"/>
          <w:numId w:val="6"/>
        </w:numPr>
        <w:overflowPunct/>
        <w:bidi w:val="0"/>
        <w:spacing w:line="240" w:lineRule="auto"/>
        <w:ind w:left="-437" w:leftChars="-208" w:firstLine="436" w:firstLineChars="208"/>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个体工商户和本规定以外的行业，参照本规定进行划型。</w:t>
      </w:r>
    </w:p>
    <w:p w14:paraId="221AF36A">
      <w:pPr>
        <w:keepNext w:val="0"/>
        <w:pageBreakBefore w:val="0"/>
        <w:widowControl w:val="0"/>
        <w:numPr>
          <w:ilvl w:val="0"/>
          <w:numId w:val="6"/>
        </w:numPr>
        <w:overflowPunct/>
        <w:bidi w:val="0"/>
        <w:spacing w:line="240" w:lineRule="auto"/>
        <w:ind w:left="-796" w:leftChars="-379" w:firstLine="795" w:firstLineChars="379"/>
        <w:jc w:val="left"/>
        <w:rPr>
          <w:rFonts w:hint="eastAsia" w:ascii="宋体" w:hAnsi="宋体" w:eastAsia="宋体" w:cs="宋体"/>
          <w:color w:val="auto"/>
          <w:kern w:val="0"/>
          <w:szCs w:val="21"/>
          <w:highlight w:val="none"/>
          <w:shd w:val="clear" w:color="auto" w:fill="auto"/>
        </w:rPr>
      </w:pPr>
      <w:r>
        <w:rPr>
          <w:rFonts w:hint="eastAsia" w:ascii="宋体" w:hAnsi="宋体" w:eastAsia="宋体" w:cs="宋体"/>
          <w:color w:val="auto"/>
          <w:kern w:val="0"/>
          <w:szCs w:val="21"/>
          <w:highlight w:val="none"/>
          <w:shd w:val="clear" w:color="auto" w:fill="auto"/>
        </w:rPr>
        <w:t>本规定的中型企业标准上限即为大型企业标准的下限。</w:t>
      </w:r>
    </w:p>
    <w:p w14:paraId="2CB6DA85">
      <w:pPr>
        <w:keepNext w:val="0"/>
        <w:pageBreakBefore w:val="0"/>
        <w:widowControl w:val="0"/>
        <w:numPr>
          <w:ilvl w:val="0"/>
          <w:numId w:val="6"/>
        </w:numPr>
        <w:overflowPunct/>
        <w:bidi w:val="0"/>
        <w:ind w:left="-798" w:leftChars="-380" w:firstLine="420" w:firstLineChars="200"/>
        <w:jc w:val="left"/>
        <w:rPr>
          <w:rFonts w:hint="eastAsia" w:ascii="宋体" w:hAnsi="宋体" w:eastAsia="宋体" w:cs="宋体"/>
          <w:color w:val="auto"/>
          <w:highlight w:val="none"/>
          <w:shd w:val="clear" w:color="auto" w:fill="auto"/>
        </w:rPr>
        <w:sectPr>
          <w:pgSz w:w="16840" w:h="11907" w:orient="landscape"/>
          <w:pgMar w:top="1134" w:right="1134" w:bottom="1134" w:left="1134" w:header="720" w:footer="720" w:gutter="0"/>
          <w:cols w:space="720" w:num="1"/>
          <w:rtlGutter w:val="0"/>
          <w:docGrid w:type="lines" w:linePitch="286" w:charSpace="0"/>
        </w:sectPr>
      </w:pPr>
    </w:p>
    <w:p w14:paraId="2452E1C4">
      <w:pPr>
        <w:keepNext w:val="0"/>
        <w:pageBreakBefore w:val="0"/>
        <w:widowControl w:val="0"/>
        <w:overflowPunct/>
        <w:bidi w:val="0"/>
        <w:ind w:left="-378" w:leftChars="-180"/>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5.残疾人福利性单位声明函（残疾人福利性单位须提供）（如有）</w:t>
      </w:r>
    </w:p>
    <w:p w14:paraId="34714597">
      <w:pPr>
        <w:keepNext w:val="0"/>
        <w:pageBreakBefore w:val="0"/>
        <w:widowControl w:val="0"/>
        <w:overflowPunct/>
        <w:bidi w:val="0"/>
        <w:snapToGrid w:val="0"/>
        <w:spacing w:line="360" w:lineRule="auto"/>
        <w:jc w:val="center"/>
        <w:rPr>
          <w:rFonts w:hint="eastAsia" w:ascii="宋体" w:hAnsi="宋体" w:eastAsia="宋体" w:cs="宋体"/>
          <w:b/>
          <w:color w:val="auto"/>
          <w:szCs w:val="21"/>
          <w:highlight w:val="none"/>
          <w:shd w:val="clear" w:color="auto" w:fill="auto"/>
        </w:rPr>
      </w:pPr>
    </w:p>
    <w:p w14:paraId="3083B135">
      <w:pPr>
        <w:keepNext w:val="0"/>
        <w:pageBreakBefore w:val="0"/>
        <w:widowControl w:val="0"/>
        <w:overflowPunct/>
        <w:bidi w:val="0"/>
        <w:snapToGrid w:val="0"/>
        <w:spacing w:line="360" w:lineRule="auto"/>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残疾人福利性单位声明函</w:t>
      </w:r>
    </w:p>
    <w:p w14:paraId="541E6FB3">
      <w:pPr>
        <w:keepNext w:val="0"/>
        <w:pageBreakBefore w:val="0"/>
        <w:widowControl w:val="0"/>
        <w:overflowPunct/>
        <w:bidi w:val="0"/>
        <w:spacing w:line="440" w:lineRule="exact"/>
        <w:ind w:firstLine="506" w:firstLineChars="200"/>
        <w:jc w:val="center"/>
        <w:rPr>
          <w:rFonts w:hint="eastAsia" w:ascii="宋体" w:hAnsi="宋体" w:eastAsia="宋体" w:cs="宋体"/>
          <w:b/>
          <w:color w:val="auto"/>
          <w:spacing w:val="6"/>
          <w:szCs w:val="21"/>
          <w:highlight w:val="none"/>
          <w:shd w:val="clear" w:color="auto" w:fill="auto"/>
        </w:rPr>
      </w:pPr>
      <w:r>
        <w:rPr>
          <w:rFonts w:hint="eastAsia" w:ascii="宋体" w:hAnsi="宋体" w:eastAsia="宋体" w:cs="宋体"/>
          <w:b/>
          <w:color w:val="auto"/>
          <w:spacing w:val="6"/>
          <w:sz w:val="24"/>
          <w:highlight w:val="none"/>
          <w:shd w:val="clear" w:color="auto" w:fill="auto"/>
        </w:rPr>
        <w:t>（投标供应商如不是残疾人福利性单位可以不用提供此表格）</w:t>
      </w:r>
    </w:p>
    <w:p w14:paraId="0B9B051E">
      <w:pPr>
        <w:keepNext w:val="0"/>
        <w:pageBreakBefore w:val="0"/>
        <w:widowControl w:val="0"/>
        <w:overflowPunct/>
        <w:bidi w:val="0"/>
        <w:spacing w:line="440" w:lineRule="exact"/>
        <w:rPr>
          <w:rFonts w:hint="eastAsia" w:ascii="宋体" w:hAnsi="宋体" w:eastAsia="宋体" w:cs="宋体"/>
          <w:b/>
          <w:color w:val="auto"/>
          <w:spacing w:val="6"/>
          <w:szCs w:val="21"/>
          <w:highlight w:val="none"/>
          <w:shd w:val="clear" w:color="auto" w:fill="auto"/>
        </w:rPr>
      </w:pPr>
    </w:p>
    <w:p w14:paraId="1F2A6B62">
      <w:pPr>
        <w:keepNext w:val="0"/>
        <w:pageBreakBefore w:val="0"/>
        <w:widowControl w:val="0"/>
        <w:overflowPunct/>
        <w:bidi w:val="0"/>
        <w:spacing w:line="440" w:lineRule="exact"/>
        <w:ind w:firstLine="444" w:firstLineChars="200"/>
        <w:rPr>
          <w:rFonts w:hint="eastAsia" w:ascii="宋体" w:hAnsi="宋体" w:eastAsia="宋体" w:cs="宋体"/>
          <w:color w:val="auto"/>
          <w:spacing w:val="6"/>
          <w:szCs w:val="21"/>
          <w:highlight w:val="none"/>
          <w:shd w:val="clear" w:color="auto" w:fill="auto"/>
        </w:rPr>
      </w:pPr>
      <w:r>
        <w:rPr>
          <w:rFonts w:hint="eastAsia" w:ascii="宋体" w:hAnsi="宋体" w:eastAsia="宋体" w:cs="宋体"/>
          <w:color w:val="auto"/>
          <w:spacing w:val="6"/>
          <w:szCs w:val="21"/>
          <w:highlight w:val="none"/>
          <w:shd w:val="clear" w:color="auto" w:fill="auto"/>
        </w:rPr>
        <w:t>本单位郑重声明，根据《财政部 民政部 中国残疾人联合会关于促进残疾人就业政府采购政策的通知》（财库</w:t>
      </w:r>
      <w:r>
        <w:rPr>
          <w:rFonts w:hint="eastAsia" w:ascii="宋体" w:hAnsi="宋体" w:eastAsia="宋体" w:cs="宋体"/>
          <w:color w:val="auto"/>
          <w:szCs w:val="21"/>
          <w:highlight w:val="none"/>
          <w:shd w:val="clear" w:color="auto" w:fill="auto"/>
        </w:rPr>
        <w:t>〔2017〕 141</w:t>
      </w:r>
      <w:r>
        <w:rPr>
          <w:rFonts w:hint="eastAsia" w:ascii="宋体" w:hAnsi="宋体" w:eastAsia="宋体" w:cs="宋体"/>
          <w:color w:val="auto"/>
          <w:spacing w:val="6"/>
          <w:szCs w:val="21"/>
          <w:highlight w:val="none"/>
          <w:shd w:val="clear" w:color="auto" w:fill="auto"/>
        </w:rPr>
        <w:t>号）的规定，本单位为符合条件的残疾人福利性单位，且本单位参加</w:t>
      </w:r>
      <w:r>
        <w:rPr>
          <w:rFonts w:hint="eastAsia" w:ascii="宋体" w:hAnsi="宋体" w:eastAsia="宋体" w:cs="宋体"/>
          <w:color w:val="auto"/>
          <w:spacing w:val="6"/>
          <w:szCs w:val="21"/>
          <w:highlight w:val="none"/>
          <w:u w:val="single"/>
          <w:shd w:val="clear" w:color="auto" w:fill="auto"/>
        </w:rPr>
        <w:t xml:space="preserve">         </w:t>
      </w:r>
      <w:r>
        <w:rPr>
          <w:rFonts w:hint="eastAsia" w:ascii="宋体" w:hAnsi="宋体" w:eastAsia="宋体" w:cs="宋体"/>
          <w:color w:val="auto"/>
          <w:spacing w:val="6"/>
          <w:szCs w:val="21"/>
          <w:highlight w:val="none"/>
          <w:shd w:val="clear" w:color="auto" w:fill="auto"/>
        </w:rPr>
        <w:t>单位（采购人）的</w:t>
      </w:r>
      <w:r>
        <w:rPr>
          <w:rFonts w:hint="eastAsia" w:ascii="宋体" w:hAnsi="宋体" w:eastAsia="宋体" w:cs="宋体"/>
          <w:color w:val="auto"/>
          <w:spacing w:val="6"/>
          <w:szCs w:val="21"/>
          <w:highlight w:val="none"/>
          <w:u w:val="single"/>
          <w:shd w:val="clear" w:color="auto" w:fill="auto"/>
        </w:rPr>
        <w:t xml:space="preserve">                     </w:t>
      </w:r>
      <w:r>
        <w:rPr>
          <w:rFonts w:hint="eastAsia" w:ascii="宋体" w:hAnsi="宋体" w:eastAsia="宋体" w:cs="宋体"/>
          <w:color w:val="auto"/>
          <w:spacing w:val="6"/>
          <w:szCs w:val="21"/>
          <w:highlight w:val="none"/>
          <w:shd w:val="clear" w:color="auto" w:fill="auto"/>
        </w:rPr>
        <w:t>项目采购活动提供本单位制造的货物（由本单位承担工程/提供服务），或者提供其他残疾人福利性单位制造的货物（不包括使用非残疾人福利性单位注册商标的货物）。</w:t>
      </w:r>
    </w:p>
    <w:p w14:paraId="23913BF3">
      <w:pPr>
        <w:keepNext w:val="0"/>
        <w:pageBreakBefore w:val="0"/>
        <w:widowControl w:val="0"/>
        <w:overflowPunct/>
        <w:bidi w:val="0"/>
        <w:spacing w:line="440" w:lineRule="exact"/>
        <w:ind w:firstLine="444" w:firstLineChars="200"/>
        <w:rPr>
          <w:rFonts w:hint="eastAsia" w:ascii="宋体" w:hAnsi="宋体" w:eastAsia="宋体" w:cs="宋体"/>
          <w:color w:val="auto"/>
          <w:spacing w:val="6"/>
          <w:szCs w:val="21"/>
          <w:highlight w:val="none"/>
          <w:shd w:val="clear" w:color="auto" w:fill="auto"/>
        </w:rPr>
      </w:pPr>
      <w:r>
        <w:rPr>
          <w:rFonts w:hint="eastAsia" w:ascii="宋体" w:hAnsi="宋体" w:eastAsia="宋体" w:cs="宋体"/>
          <w:color w:val="auto"/>
          <w:spacing w:val="6"/>
          <w:szCs w:val="21"/>
          <w:highlight w:val="none"/>
          <w:shd w:val="clear" w:color="auto" w:fill="auto"/>
        </w:rPr>
        <w:t>本单位对上述声明的真实性负责。如有虚假，将依法承担相应责任。</w:t>
      </w:r>
    </w:p>
    <w:p w14:paraId="31994E61">
      <w:pPr>
        <w:keepNext w:val="0"/>
        <w:pageBreakBefore w:val="0"/>
        <w:widowControl w:val="0"/>
        <w:overflowPunct/>
        <w:bidi w:val="0"/>
        <w:spacing w:line="440" w:lineRule="exact"/>
        <w:ind w:firstLine="444" w:firstLineChars="200"/>
        <w:rPr>
          <w:rFonts w:hint="eastAsia" w:ascii="宋体" w:hAnsi="宋体" w:eastAsia="宋体" w:cs="宋体"/>
          <w:color w:val="auto"/>
          <w:spacing w:val="6"/>
          <w:szCs w:val="21"/>
          <w:highlight w:val="none"/>
          <w:shd w:val="clear" w:color="auto" w:fill="auto"/>
        </w:rPr>
      </w:pPr>
    </w:p>
    <w:p w14:paraId="53E3E1C5">
      <w:pPr>
        <w:keepNext w:val="0"/>
        <w:pageBreakBefore w:val="0"/>
        <w:widowControl w:val="0"/>
        <w:overflowPunct/>
        <w:bidi w:val="0"/>
        <w:spacing w:line="440" w:lineRule="exact"/>
        <w:ind w:firstLine="444" w:firstLineChars="200"/>
        <w:rPr>
          <w:rFonts w:hint="eastAsia" w:ascii="宋体" w:hAnsi="宋体" w:eastAsia="宋体" w:cs="宋体"/>
          <w:color w:val="auto"/>
          <w:spacing w:val="6"/>
          <w:szCs w:val="21"/>
          <w:highlight w:val="none"/>
          <w:shd w:val="clear" w:color="auto" w:fill="auto"/>
        </w:rPr>
      </w:pPr>
    </w:p>
    <w:p w14:paraId="1EC643AE">
      <w:pPr>
        <w:keepNext w:val="0"/>
        <w:pageBreakBefore w:val="0"/>
        <w:widowControl w:val="0"/>
        <w:overflowPunct/>
        <w:bidi w:val="0"/>
        <w:spacing w:line="440" w:lineRule="exact"/>
        <w:ind w:firstLine="444" w:firstLineChars="200"/>
        <w:jc w:val="center"/>
        <w:rPr>
          <w:rFonts w:hint="eastAsia" w:ascii="宋体" w:hAnsi="宋体" w:eastAsia="宋体" w:cs="宋体"/>
          <w:color w:val="auto"/>
          <w:spacing w:val="6"/>
          <w:szCs w:val="21"/>
          <w:highlight w:val="none"/>
          <w:shd w:val="clear" w:color="auto" w:fill="auto"/>
        </w:rPr>
      </w:pPr>
      <w:r>
        <w:rPr>
          <w:rFonts w:hint="eastAsia" w:ascii="宋体" w:hAnsi="宋体" w:eastAsia="宋体" w:cs="宋体"/>
          <w:color w:val="auto"/>
          <w:spacing w:val="6"/>
          <w:szCs w:val="21"/>
          <w:highlight w:val="none"/>
          <w:shd w:val="clear" w:color="auto" w:fill="auto"/>
        </w:rPr>
        <w:t xml:space="preserve">               供应商全称（加盖公章）：                    </w:t>
      </w:r>
    </w:p>
    <w:p w14:paraId="21CA9CCC">
      <w:pPr>
        <w:keepNext w:val="0"/>
        <w:pageBreakBefore w:val="0"/>
        <w:widowControl w:val="0"/>
        <w:overflowPunct/>
        <w:bidi w:val="0"/>
        <w:spacing w:line="440" w:lineRule="exact"/>
        <w:ind w:firstLine="444" w:firstLineChars="200"/>
        <w:jc w:val="right"/>
        <w:rPr>
          <w:rFonts w:hint="eastAsia" w:ascii="宋体" w:hAnsi="宋体" w:eastAsia="宋体" w:cs="宋体"/>
          <w:color w:val="auto"/>
          <w:spacing w:val="6"/>
          <w:szCs w:val="21"/>
          <w:highlight w:val="none"/>
          <w:shd w:val="clear" w:color="auto" w:fill="auto"/>
        </w:rPr>
      </w:pPr>
      <w:r>
        <w:rPr>
          <w:rFonts w:hint="eastAsia" w:ascii="宋体" w:hAnsi="宋体" w:eastAsia="宋体" w:cs="宋体"/>
          <w:color w:val="auto"/>
          <w:spacing w:val="6"/>
          <w:szCs w:val="21"/>
          <w:highlight w:val="none"/>
          <w:shd w:val="clear" w:color="auto" w:fill="auto"/>
        </w:rPr>
        <w:t xml:space="preserve">法定代表人或其委托代理人（签字或盖章）：  </w:t>
      </w:r>
    </w:p>
    <w:p w14:paraId="390BC5EE">
      <w:pPr>
        <w:keepNext w:val="0"/>
        <w:pageBreakBefore w:val="0"/>
        <w:widowControl w:val="0"/>
        <w:overflowPunct/>
        <w:bidi w:val="0"/>
        <w:spacing w:line="440" w:lineRule="exact"/>
        <w:ind w:right="1144" w:rightChars="545" w:firstLine="444" w:firstLineChars="200"/>
        <w:jc w:val="right"/>
        <w:rPr>
          <w:rFonts w:hint="eastAsia" w:ascii="宋体" w:hAnsi="宋体" w:eastAsia="宋体" w:cs="宋体"/>
          <w:color w:val="auto"/>
          <w:spacing w:val="6"/>
          <w:szCs w:val="21"/>
          <w:highlight w:val="none"/>
          <w:shd w:val="clear" w:color="auto" w:fill="auto"/>
        </w:rPr>
      </w:pPr>
      <w:r>
        <w:rPr>
          <w:rFonts w:hint="eastAsia" w:ascii="宋体" w:hAnsi="宋体" w:eastAsia="宋体" w:cs="宋体"/>
          <w:color w:val="auto"/>
          <w:spacing w:val="6"/>
          <w:szCs w:val="21"/>
          <w:highlight w:val="none"/>
          <w:shd w:val="clear" w:color="auto" w:fill="auto"/>
        </w:rPr>
        <w:t>日期:      年      月      日</w:t>
      </w:r>
    </w:p>
    <w:p w14:paraId="11752361">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0E77E9AD">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0B6FAD05">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62761E48">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24015D9E">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69229A1A">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7DEF6A78">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73C64D8E">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30272A75">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4C10E7F5">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1C249970">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23A0B527">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69393490">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567D0498">
      <w:pPr>
        <w:keepNext w:val="0"/>
        <w:pageBreakBefore w:val="0"/>
        <w:widowControl w:val="0"/>
        <w:overflowPunct/>
        <w:bidi w:val="0"/>
        <w:spacing w:line="360" w:lineRule="auto"/>
        <w:rPr>
          <w:rFonts w:hint="eastAsia" w:ascii="宋体" w:hAnsi="宋体" w:eastAsia="宋体" w:cs="宋体"/>
          <w:b/>
          <w:bCs w:val="0"/>
          <w:color w:val="auto"/>
          <w:sz w:val="21"/>
          <w:szCs w:val="21"/>
          <w:highlight w:val="none"/>
          <w:shd w:val="clear" w:color="auto" w:fill="auto"/>
        </w:rPr>
      </w:pPr>
    </w:p>
    <w:p w14:paraId="61EF7901">
      <w:pPr>
        <w:keepNext w:val="0"/>
        <w:pageBreakBefore w:val="0"/>
        <w:widowControl w:val="0"/>
        <w:overflowPunct/>
        <w:bidi w:val="0"/>
        <w:spacing w:line="360" w:lineRule="auto"/>
        <w:rPr>
          <w:rFonts w:hint="eastAsia" w:ascii="宋体" w:hAnsi="宋体" w:eastAsia="宋体" w:cs="宋体"/>
          <w:color w:val="auto"/>
          <w:sz w:val="22"/>
          <w:szCs w:val="28"/>
          <w:highlight w:val="none"/>
          <w:shd w:val="clear" w:color="auto" w:fill="auto"/>
        </w:rPr>
      </w:pPr>
      <w:r>
        <w:rPr>
          <w:rFonts w:hint="eastAsia" w:ascii="宋体" w:hAnsi="宋体" w:eastAsia="宋体" w:cs="宋体"/>
          <w:color w:val="auto"/>
          <w:szCs w:val="21"/>
          <w:highlight w:val="none"/>
          <w:shd w:val="clear" w:color="auto" w:fill="auto"/>
        </w:rPr>
        <w:br w:type="page"/>
      </w:r>
      <w:r>
        <w:rPr>
          <w:rFonts w:hint="eastAsia" w:ascii="宋体" w:hAnsi="宋体" w:eastAsia="宋体" w:cs="宋体"/>
          <w:color w:val="auto"/>
          <w:sz w:val="22"/>
          <w:szCs w:val="22"/>
          <w:highlight w:val="none"/>
          <w:shd w:val="clear" w:color="auto" w:fill="auto"/>
        </w:rPr>
        <w:t>6.监狱企业声明函（如有）</w:t>
      </w:r>
    </w:p>
    <w:p w14:paraId="105CD647">
      <w:pPr>
        <w:keepNext w:val="0"/>
        <w:pageBreakBefore w:val="0"/>
        <w:widowControl w:val="0"/>
        <w:overflowPunct/>
        <w:bidi w:val="0"/>
        <w:jc w:val="center"/>
        <w:rPr>
          <w:rFonts w:hint="eastAsia" w:ascii="宋体" w:hAnsi="宋体" w:eastAsia="宋体" w:cs="宋体"/>
          <w:b/>
          <w:color w:val="auto"/>
          <w:szCs w:val="21"/>
          <w:highlight w:val="none"/>
          <w:shd w:val="clear" w:color="auto" w:fill="auto"/>
        </w:rPr>
      </w:pPr>
    </w:p>
    <w:p w14:paraId="51D77EF1">
      <w:pPr>
        <w:keepNext w:val="0"/>
        <w:pageBreakBefore w:val="0"/>
        <w:widowControl w:val="0"/>
        <w:overflowPunct/>
        <w:bidi w:val="0"/>
        <w:spacing w:line="360" w:lineRule="auto"/>
        <w:jc w:val="center"/>
        <w:rPr>
          <w:rFonts w:hint="eastAsia" w:ascii="宋体" w:hAnsi="宋体" w:eastAsia="宋体" w:cs="宋体"/>
          <w:b/>
          <w:bCs/>
          <w:color w:val="auto"/>
          <w:sz w:val="28"/>
          <w:szCs w:val="28"/>
          <w:highlight w:val="none"/>
          <w:shd w:val="clear" w:color="auto" w:fill="auto"/>
        </w:rPr>
      </w:pPr>
      <w:r>
        <w:rPr>
          <w:rFonts w:hint="eastAsia" w:ascii="宋体" w:hAnsi="宋体" w:eastAsia="宋体" w:cs="宋体"/>
          <w:b/>
          <w:bCs/>
          <w:color w:val="auto"/>
          <w:sz w:val="28"/>
          <w:szCs w:val="28"/>
          <w:highlight w:val="none"/>
          <w:shd w:val="clear" w:color="auto" w:fill="auto"/>
        </w:rPr>
        <w:t>监狱企业声明函</w:t>
      </w:r>
    </w:p>
    <w:p w14:paraId="37637435">
      <w:pPr>
        <w:keepNext w:val="0"/>
        <w:pageBreakBefore w:val="0"/>
        <w:widowControl w:val="0"/>
        <w:overflowPunct/>
        <w:bidi w:val="0"/>
        <w:spacing w:line="360" w:lineRule="auto"/>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【非监狱企业不用提供】</w:t>
      </w:r>
    </w:p>
    <w:p w14:paraId="625EC789">
      <w:pPr>
        <w:keepNext w:val="0"/>
        <w:pageBreakBefore w:val="0"/>
        <w:widowControl w:val="0"/>
        <w:overflowPunct/>
        <w:bidi w:val="0"/>
        <w:spacing w:line="360" w:lineRule="auto"/>
        <w:ind w:firstLine="550" w:firstLineChars="250"/>
        <w:jc w:val="center"/>
        <w:rPr>
          <w:rFonts w:hint="eastAsia" w:ascii="宋体" w:hAnsi="宋体" w:eastAsia="宋体" w:cs="宋体"/>
          <w:color w:val="auto"/>
          <w:sz w:val="22"/>
          <w:szCs w:val="22"/>
          <w:highlight w:val="none"/>
          <w:shd w:val="clear" w:color="auto" w:fill="auto"/>
        </w:rPr>
      </w:pPr>
    </w:p>
    <w:p w14:paraId="67E56638">
      <w:pPr>
        <w:keepNext w:val="0"/>
        <w:pageBreakBefore w:val="0"/>
        <w:widowControl w:val="0"/>
        <w:overflowPunct/>
        <w:bidi w:val="0"/>
        <w:spacing w:line="360" w:lineRule="auto"/>
        <w:ind w:firstLine="440" w:firstLineChars="2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监狱企业参加政府采购活动时，本企业郑重声明，根据《关于政府采购支持监狱企业发展有关问题的通知》（财库</w:t>
      </w:r>
      <w:r>
        <w:rPr>
          <w:rFonts w:hint="eastAsia" w:ascii="宋体" w:hAnsi="宋体" w:eastAsia="宋体" w:cs="宋体"/>
          <w:color w:val="auto"/>
          <w:sz w:val="22"/>
          <w:szCs w:val="22"/>
          <w:highlight w:val="none"/>
          <w:shd w:val="clear" w:color="auto" w:fill="auto"/>
          <w:lang w:eastAsia="zh-CN"/>
        </w:rPr>
        <w:t>〔2014〕</w:t>
      </w:r>
      <w:r>
        <w:rPr>
          <w:rFonts w:hint="eastAsia" w:ascii="宋体" w:hAnsi="宋体" w:eastAsia="宋体" w:cs="宋体"/>
          <w:color w:val="auto"/>
          <w:sz w:val="22"/>
          <w:szCs w:val="22"/>
          <w:highlight w:val="none"/>
          <w:shd w:val="clear" w:color="auto" w:fill="auto"/>
        </w:rPr>
        <w:t>68号）的规定，本企业为监狱企业。</w:t>
      </w:r>
    </w:p>
    <w:p w14:paraId="6639DB4A">
      <w:pPr>
        <w:keepNext w:val="0"/>
        <w:pageBreakBefore w:val="0"/>
        <w:widowControl w:val="0"/>
        <w:overflowPunct/>
        <w:bidi w:val="0"/>
        <w:spacing w:line="360" w:lineRule="auto"/>
        <w:ind w:firstLine="440" w:firstLineChars="2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根据上述标准，我企业属于监狱企业的理由为：。</w:t>
      </w:r>
    </w:p>
    <w:p w14:paraId="6F0AE6DD">
      <w:pPr>
        <w:keepNext w:val="0"/>
        <w:pageBreakBefore w:val="0"/>
        <w:widowControl w:val="0"/>
        <w:overflowPunct/>
        <w:bidi w:val="0"/>
        <w:spacing w:line="360" w:lineRule="auto"/>
        <w:ind w:firstLine="440" w:firstLineChars="2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本企业为参加（项目名称：</w:t>
      </w:r>
      <w:r>
        <w:rPr>
          <w:rFonts w:hint="eastAsia" w:ascii="宋体" w:hAnsi="宋体" w:eastAsia="宋体" w:cs="宋体"/>
          <w:color w:val="auto"/>
          <w:sz w:val="22"/>
          <w:szCs w:val="22"/>
          <w:highlight w:val="none"/>
          <w:shd w:val="clear" w:color="auto" w:fill="auto"/>
          <w:lang w:val="en-US" w:eastAsia="zh-CN"/>
        </w:rPr>
        <w:t xml:space="preserve">     </w:t>
      </w:r>
      <w:r>
        <w:rPr>
          <w:rFonts w:hint="eastAsia" w:ascii="宋体" w:hAnsi="宋体" w:eastAsia="宋体" w:cs="宋体"/>
          <w:color w:val="auto"/>
          <w:sz w:val="22"/>
          <w:szCs w:val="22"/>
          <w:highlight w:val="none"/>
          <w:shd w:val="clear" w:color="auto" w:fill="auto"/>
        </w:rPr>
        <w:t xml:space="preserve"> ）（项目编号：</w:t>
      </w:r>
      <w:r>
        <w:rPr>
          <w:rFonts w:hint="eastAsia" w:ascii="宋体" w:hAnsi="宋体" w:eastAsia="宋体" w:cs="宋体"/>
          <w:color w:val="auto"/>
          <w:sz w:val="22"/>
          <w:szCs w:val="22"/>
          <w:highlight w:val="none"/>
          <w:shd w:val="clear" w:color="auto" w:fill="auto"/>
          <w:lang w:val="en-US" w:eastAsia="zh-CN"/>
        </w:rPr>
        <w:t xml:space="preserve">     </w:t>
      </w:r>
      <w:r>
        <w:rPr>
          <w:rFonts w:hint="eastAsia" w:ascii="宋体" w:hAnsi="宋体" w:eastAsia="宋体" w:cs="宋体"/>
          <w:color w:val="auto"/>
          <w:sz w:val="22"/>
          <w:szCs w:val="22"/>
          <w:highlight w:val="none"/>
          <w:shd w:val="clear" w:color="auto" w:fill="auto"/>
        </w:rPr>
        <w:t xml:space="preserve"> ）采购活动提供本企业的产品。</w:t>
      </w:r>
    </w:p>
    <w:p w14:paraId="25FF9FDF">
      <w:pPr>
        <w:keepNext w:val="0"/>
        <w:pageBreakBefore w:val="0"/>
        <w:widowControl w:val="0"/>
        <w:overflowPunct/>
        <w:bidi w:val="0"/>
        <w:spacing w:line="360" w:lineRule="auto"/>
        <w:ind w:firstLine="440" w:firstLineChars="2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本企业对上述声明的真实性负责。如有虚假，将依法承担相应责任。</w:t>
      </w:r>
    </w:p>
    <w:p w14:paraId="1471195F">
      <w:pPr>
        <w:keepNext w:val="0"/>
        <w:pageBreakBefore w:val="0"/>
        <w:widowControl w:val="0"/>
        <w:overflowPunct/>
        <w:bidi w:val="0"/>
        <w:spacing w:line="360" w:lineRule="auto"/>
        <w:ind w:firstLine="440" w:firstLineChars="200"/>
        <w:rPr>
          <w:rFonts w:hint="eastAsia" w:ascii="宋体" w:hAnsi="宋体" w:eastAsia="宋体" w:cs="宋体"/>
          <w:color w:val="auto"/>
          <w:sz w:val="22"/>
          <w:szCs w:val="22"/>
          <w:highlight w:val="none"/>
          <w:shd w:val="clear" w:color="auto" w:fill="auto"/>
        </w:rPr>
      </w:pPr>
    </w:p>
    <w:p w14:paraId="277752FE">
      <w:pPr>
        <w:keepNext w:val="0"/>
        <w:pageBreakBefore w:val="0"/>
        <w:widowControl w:val="0"/>
        <w:overflowPunct/>
        <w:bidi w:val="0"/>
        <w:spacing w:line="360" w:lineRule="auto"/>
        <w:ind w:firstLine="440" w:firstLineChars="2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供应商名称（盖公章）：</w:t>
      </w:r>
    </w:p>
    <w:p w14:paraId="7355CF68">
      <w:pPr>
        <w:keepNext w:val="0"/>
        <w:pageBreakBefore w:val="0"/>
        <w:widowControl w:val="0"/>
        <w:overflowPunct/>
        <w:bidi w:val="0"/>
        <w:spacing w:line="360" w:lineRule="auto"/>
        <w:ind w:firstLine="440" w:firstLineChars="2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日期： 年 月 日</w:t>
      </w:r>
    </w:p>
    <w:p w14:paraId="2A87B8A0">
      <w:pPr>
        <w:keepNext w:val="0"/>
        <w:pageBreakBefore w:val="0"/>
        <w:widowControl w:val="0"/>
        <w:overflowPunct/>
        <w:bidi w:val="0"/>
        <w:spacing w:line="360" w:lineRule="auto"/>
        <w:ind w:firstLine="440" w:firstLineChars="200"/>
        <w:rPr>
          <w:rFonts w:hint="eastAsia" w:ascii="宋体" w:hAnsi="宋体" w:eastAsia="宋体" w:cs="宋体"/>
          <w:color w:val="auto"/>
          <w:sz w:val="22"/>
          <w:szCs w:val="22"/>
          <w:highlight w:val="none"/>
          <w:shd w:val="clear" w:color="auto" w:fill="auto"/>
        </w:rPr>
      </w:pPr>
    </w:p>
    <w:p w14:paraId="093C9467">
      <w:pPr>
        <w:keepNext w:val="0"/>
        <w:pageBreakBefore w:val="0"/>
        <w:widowControl w:val="0"/>
        <w:overflowPunct/>
        <w:bidi w:val="0"/>
        <w:spacing w:line="360" w:lineRule="auto"/>
        <w:ind w:firstLine="440" w:firstLineChars="200"/>
        <w:rPr>
          <w:rFonts w:hint="eastAsia" w:ascii="宋体" w:hAnsi="宋体" w:eastAsia="宋体" w:cs="宋体"/>
          <w:color w:val="auto"/>
          <w:sz w:val="22"/>
          <w:szCs w:val="22"/>
          <w:highlight w:val="none"/>
          <w:shd w:val="clear" w:color="auto" w:fill="auto"/>
        </w:rPr>
      </w:pPr>
    </w:p>
    <w:p w14:paraId="7D3B8BD7">
      <w:pPr>
        <w:keepNext w:val="0"/>
        <w:pageBreakBefore w:val="0"/>
        <w:widowControl w:val="0"/>
        <w:overflowPunct/>
        <w:bidi w:val="0"/>
        <w:spacing w:line="360" w:lineRule="auto"/>
        <w:ind w:firstLine="440" w:firstLineChars="2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供应商为监狱企业的提供此函。</w:t>
      </w:r>
    </w:p>
    <w:p w14:paraId="2C7FFC07">
      <w:pPr>
        <w:keepNext w:val="0"/>
        <w:pageBreakBefore w:val="0"/>
        <w:widowControl w:val="0"/>
        <w:overflowPunct/>
        <w:bidi w:val="0"/>
        <w:snapToGrid w:val="0"/>
        <w:spacing w:line="360" w:lineRule="auto"/>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应当提供由省级以上监狱管理局、戒毒管理局（含新疆生产建设兵团）出具的属于监狱企业的证明文件。</w:t>
      </w:r>
    </w:p>
    <w:p w14:paraId="211C028B">
      <w:pPr>
        <w:keepNext w:val="0"/>
        <w:pageBreakBefore w:val="0"/>
        <w:widowControl w:val="0"/>
        <w:overflowPunct/>
        <w:bidi w:val="0"/>
        <w:snapToGrid w:val="0"/>
        <w:spacing w:line="360" w:lineRule="auto"/>
        <w:jc w:val="left"/>
        <w:rPr>
          <w:rFonts w:hint="eastAsia" w:ascii="宋体" w:hAnsi="宋体" w:eastAsia="宋体" w:cs="宋体"/>
          <w:b/>
          <w:bCs w:val="0"/>
          <w:color w:val="auto"/>
          <w:sz w:val="22"/>
          <w:szCs w:val="22"/>
          <w:highlight w:val="none"/>
          <w:shd w:val="clear" w:color="auto" w:fill="auto"/>
        </w:rPr>
      </w:pPr>
    </w:p>
    <w:p w14:paraId="20E9D5CD">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06D211DB">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13ADD3B2">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753F9BA3">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0F8A31D8">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184D2EF0">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4C1C7319">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0FCE41F7">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076C0051">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4D604294">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4F749589">
      <w:pPr>
        <w:keepNext w:val="0"/>
        <w:pageBreakBefore w:val="0"/>
        <w:widowControl w:val="0"/>
        <w:overflowPunct/>
        <w:bidi w:val="0"/>
        <w:snapToGrid w:val="0"/>
        <w:spacing w:line="360" w:lineRule="auto"/>
        <w:jc w:val="left"/>
        <w:rPr>
          <w:rFonts w:hint="eastAsia" w:ascii="宋体" w:hAnsi="宋体" w:eastAsia="宋体" w:cs="宋体"/>
          <w:b/>
          <w:bCs w:val="0"/>
          <w:color w:val="auto"/>
          <w:sz w:val="21"/>
          <w:szCs w:val="21"/>
          <w:highlight w:val="none"/>
          <w:shd w:val="clear" w:color="auto" w:fill="auto"/>
        </w:rPr>
      </w:pPr>
    </w:p>
    <w:p w14:paraId="1CAC4441">
      <w:pPr>
        <w:keepNext w:val="0"/>
        <w:pageBreakBefore w:val="0"/>
        <w:widowControl w:val="0"/>
        <w:overflowPunct/>
        <w:bidi w:val="0"/>
        <w:snapToGrid w:val="0"/>
        <w:spacing w:line="360" w:lineRule="auto"/>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Cs w:val="21"/>
          <w:highlight w:val="none"/>
          <w:shd w:val="clear" w:color="auto" w:fill="auto"/>
        </w:rPr>
        <w:br w:type="page"/>
      </w:r>
      <w:r>
        <w:rPr>
          <w:rFonts w:hint="eastAsia" w:ascii="宋体" w:hAnsi="宋体" w:eastAsia="宋体" w:cs="宋体"/>
          <w:color w:val="auto"/>
          <w:sz w:val="22"/>
          <w:szCs w:val="22"/>
          <w:highlight w:val="none"/>
          <w:shd w:val="clear" w:color="auto" w:fill="auto"/>
        </w:rPr>
        <w:t>7.合格供应商的资格承诺书：</w:t>
      </w:r>
    </w:p>
    <w:p w14:paraId="2F46E1E3">
      <w:pPr>
        <w:keepNext w:val="0"/>
        <w:pageBreakBefore w:val="0"/>
        <w:widowControl w:val="0"/>
        <w:overflowPunct/>
        <w:bidi w:val="0"/>
        <w:snapToGrid w:val="0"/>
        <w:spacing w:line="360" w:lineRule="auto"/>
        <w:jc w:val="left"/>
        <w:rPr>
          <w:rFonts w:hint="eastAsia" w:ascii="宋体" w:hAnsi="宋体" w:eastAsia="宋体" w:cs="宋体"/>
          <w:color w:val="auto"/>
          <w:szCs w:val="21"/>
          <w:highlight w:val="none"/>
          <w:shd w:val="clear" w:color="auto" w:fill="auto"/>
        </w:rPr>
      </w:pPr>
    </w:p>
    <w:p w14:paraId="4853B40B">
      <w:pPr>
        <w:keepNext w:val="0"/>
        <w:pageBreakBefore w:val="0"/>
        <w:widowControl w:val="0"/>
        <w:overflowPunct/>
        <w:bidi w:val="0"/>
        <w:spacing w:after="286" w:afterLines="100" w:line="360" w:lineRule="auto"/>
        <w:ind w:right="159" w:firstLine="562" w:firstLineChars="200"/>
        <w:jc w:val="center"/>
        <w:rPr>
          <w:rFonts w:hint="eastAsia" w:ascii="宋体" w:hAnsi="宋体" w:eastAsia="宋体" w:cs="宋体"/>
          <w:b/>
          <w:bCs/>
          <w:color w:val="auto"/>
          <w:kern w:val="0"/>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rPr>
        <w:t>合格供应商的资格承诺书</w:t>
      </w:r>
    </w:p>
    <w:p w14:paraId="058F5763">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（一）我公司（单位）符合《中华人民共和国政府采购法》第二十二条规定的供应商资格条件：</w:t>
      </w:r>
    </w:p>
    <w:p w14:paraId="4B0E9DC0">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1、具有独立承担民事责任的能力；</w:t>
      </w:r>
    </w:p>
    <w:p w14:paraId="2FFBE5F3">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2、具有良好的商业信誉和健全的财务会计制度；</w:t>
      </w:r>
    </w:p>
    <w:p w14:paraId="6C808243">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3、具有履行合同所必需的设备和专业技术能力；</w:t>
      </w:r>
    </w:p>
    <w:p w14:paraId="5E76C30F">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4、有依法缴纳税收和社会保障资金的良好记录；</w:t>
      </w:r>
    </w:p>
    <w:p w14:paraId="2C9E22A4">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5、参加政府采购活动前三年内，在经营活动中没有重大违法记录；</w:t>
      </w:r>
    </w:p>
    <w:p w14:paraId="71A0E411">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6、法律、行政法规规定的其他条件。</w:t>
      </w:r>
    </w:p>
    <w:p w14:paraId="3D4F52A6">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（二）我公司（单位）承诺遵守以下要求：</w:t>
      </w:r>
    </w:p>
    <w:p w14:paraId="404C0188">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A105831">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（三）我公司（单位）承诺符合以下要求：</w:t>
      </w:r>
    </w:p>
    <w:p w14:paraId="1B3B7D3E">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1、我单位参与本次采购活动前三年内，在经营活动中没有重大违法记录。</w:t>
      </w:r>
    </w:p>
    <w:p w14:paraId="44D20D7F">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2、我单位对上述声明的真实性负责。如有虚假，将依法承担相应法律责任。</w:t>
      </w:r>
    </w:p>
    <w:p w14:paraId="0732E7A3">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（四）我公司（单位）承诺符合以下要求：</w:t>
      </w:r>
    </w:p>
    <w:p w14:paraId="63300B6C">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1、我单位符合法律、行政法规规定的其他条件。</w:t>
      </w:r>
    </w:p>
    <w:p w14:paraId="6D167F8A">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2、我单位未被信用中国网站（www.creditchina.gov.cn）列入失信被执行人、重大税收违法失信主体，未被中国政府采购网（www.ccgp.gov.cn）列入政府采购严重违法失信行为记录名单。</w:t>
      </w:r>
    </w:p>
    <w:p w14:paraId="2A158CBD">
      <w:pPr>
        <w:keepNext w:val="0"/>
        <w:pageBreakBefore w:val="0"/>
        <w:widowControl w:val="0"/>
        <w:overflowPunct/>
        <w:bidi w:val="0"/>
        <w:spacing w:line="360" w:lineRule="auto"/>
        <w:ind w:right="159" w:firstLine="440" w:firstLineChars="200"/>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特此承诺！</w:t>
      </w:r>
    </w:p>
    <w:p w14:paraId="73005879">
      <w:pPr>
        <w:keepNext w:val="0"/>
        <w:pageBreakBefore w:val="0"/>
        <w:widowControl w:val="0"/>
        <w:overflowPunct/>
        <w:bidi w:val="0"/>
        <w:spacing w:line="48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供应商盖章：</w:t>
      </w:r>
      <w:r>
        <w:rPr>
          <w:rFonts w:hint="eastAsia" w:ascii="宋体" w:hAnsi="宋体" w:eastAsia="宋体" w:cs="宋体"/>
          <w:color w:val="auto"/>
          <w:kern w:val="0"/>
          <w:sz w:val="22"/>
          <w:szCs w:val="22"/>
          <w:highlight w:val="none"/>
          <w:u w:val="single"/>
          <w:shd w:val="clear" w:color="auto" w:fill="auto"/>
        </w:rPr>
        <w:t xml:space="preserve">   （公章） </w:t>
      </w:r>
    </w:p>
    <w:p w14:paraId="4CA8BB69">
      <w:pPr>
        <w:keepNext w:val="0"/>
        <w:pageBreakBefore w:val="0"/>
        <w:widowControl w:val="0"/>
        <w:overflowPunct/>
        <w:bidi w:val="0"/>
        <w:spacing w:line="48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法定代表人或授权代表（签字或盖章）：</w:t>
      </w:r>
      <w:r>
        <w:rPr>
          <w:rFonts w:hint="eastAsia" w:ascii="宋体" w:hAnsi="宋体" w:eastAsia="宋体" w:cs="宋体"/>
          <w:color w:val="auto"/>
          <w:kern w:val="0"/>
          <w:sz w:val="22"/>
          <w:szCs w:val="22"/>
          <w:highlight w:val="none"/>
          <w:u w:val="single"/>
          <w:shd w:val="clear" w:color="auto" w:fill="auto"/>
        </w:rPr>
        <w:t xml:space="preserve">             </w:t>
      </w:r>
    </w:p>
    <w:p w14:paraId="6C99C30E">
      <w:pPr>
        <w:keepNext w:val="0"/>
        <w:pageBreakBefore w:val="0"/>
        <w:widowControl w:val="0"/>
        <w:overflowPunct/>
        <w:bidi w:val="0"/>
        <w:snapToGrid w:val="0"/>
        <w:spacing w:line="48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年</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月</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日</w:t>
      </w:r>
    </w:p>
    <w:p w14:paraId="61018C40">
      <w:pPr>
        <w:keepNext w:val="0"/>
        <w:pageBreakBefore w:val="0"/>
        <w:widowControl w:val="0"/>
        <w:overflowPunct/>
        <w:bidi w:val="0"/>
        <w:snapToGrid w:val="0"/>
        <w:spacing w:line="36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Cs w:val="21"/>
          <w:highlight w:val="none"/>
          <w:shd w:val="clear" w:color="auto" w:fill="auto"/>
        </w:rPr>
        <w:br w:type="page"/>
      </w:r>
      <w:r>
        <w:rPr>
          <w:rFonts w:hint="eastAsia" w:ascii="宋体" w:hAnsi="宋体" w:eastAsia="宋体" w:cs="宋体"/>
          <w:color w:val="auto"/>
          <w:sz w:val="22"/>
          <w:szCs w:val="22"/>
          <w:highlight w:val="none"/>
          <w:shd w:val="clear" w:color="auto" w:fill="auto"/>
        </w:rPr>
        <w:t>8.供应商基本情况表；</w:t>
      </w:r>
    </w:p>
    <w:p w14:paraId="14E33058">
      <w:pPr>
        <w:keepNext w:val="0"/>
        <w:pageBreakBefore w:val="0"/>
        <w:widowControl w:val="0"/>
        <w:overflowPunct/>
        <w:bidi w:val="0"/>
        <w:snapToGrid w:val="0"/>
        <w:spacing w:line="360" w:lineRule="auto"/>
        <w:jc w:val="center"/>
        <w:rPr>
          <w:rFonts w:hint="eastAsia" w:ascii="宋体" w:hAnsi="宋体" w:eastAsia="宋体" w:cs="宋体"/>
          <w:b/>
          <w:bCs/>
          <w:color w:val="auto"/>
          <w:szCs w:val="21"/>
          <w:highlight w:val="none"/>
          <w:shd w:val="clear" w:color="auto" w:fill="auto"/>
        </w:rPr>
      </w:pPr>
      <w:r>
        <w:rPr>
          <w:rFonts w:hint="eastAsia" w:ascii="宋体" w:hAnsi="宋体" w:eastAsia="宋体" w:cs="宋体"/>
          <w:b/>
          <w:bCs/>
          <w:color w:val="auto"/>
          <w:szCs w:val="21"/>
          <w:highlight w:val="none"/>
          <w:shd w:val="clear" w:color="auto" w:fill="auto"/>
        </w:rPr>
        <w:t>供应商基本情况表</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912"/>
        <w:gridCol w:w="290"/>
        <w:gridCol w:w="1268"/>
        <w:gridCol w:w="954"/>
        <w:gridCol w:w="320"/>
        <w:gridCol w:w="1007"/>
        <w:gridCol w:w="176"/>
        <w:gridCol w:w="331"/>
        <w:gridCol w:w="261"/>
        <w:gridCol w:w="1343"/>
      </w:tblGrid>
      <w:tr w14:paraId="6CD4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noWrap w:val="0"/>
            <w:vAlign w:val="center"/>
          </w:tcPr>
          <w:p w14:paraId="3CDD8673">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申请人名称</w:t>
            </w:r>
          </w:p>
        </w:tc>
        <w:tc>
          <w:tcPr>
            <w:tcW w:w="4026" w:type="pct"/>
            <w:gridSpan w:val="10"/>
            <w:noWrap w:val="0"/>
            <w:vAlign w:val="center"/>
          </w:tcPr>
          <w:p w14:paraId="0A59B307">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r>
      <w:tr w14:paraId="2676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noWrap w:val="0"/>
            <w:vAlign w:val="center"/>
          </w:tcPr>
          <w:p w14:paraId="2C654315">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注册地址</w:t>
            </w:r>
          </w:p>
        </w:tc>
        <w:tc>
          <w:tcPr>
            <w:tcW w:w="2009" w:type="pct"/>
            <w:gridSpan w:val="4"/>
            <w:noWrap w:val="0"/>
            <w:vAlign w:val="center"/>
          </w:tcPr>
          <w:p w14:paraId="681290BE">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882" w:type="pct"/>
            <w:gridSpan w:val="3"/>
            <w:noWrap w:val="0"/>
            <w:vAlign w:val="center"/>
          </w:tcPr>
          <w:p w14:paraId="096E0792">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邮政编码</w:t>
            </w:r>
          </w:p>
        </w:tc>
        <w:tc>
          <w:tcPr>
            <w:tcW w:w="1134" w:type="pct"/>
            <w:gridSpan w:val="3"/>
            <w:noWrap w:val="0"/>
            <w:vAlign w:val="center"/>
          </w:tcPr>
          <w:p w14:paraId="090805A5">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r>
      <w:tr w14:paraId="3289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Merge w:val="restart"/>
            <w:noWrap w:val="0"/>
            <w:vAlign w:val="center"/>
          </w:tcPr>
          <w:p w14:paraId="6293B8C2">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联系方式</w:t>
            </w:r>
          </w:p>
        </w:tc>
        <w:tc>
          <w:tcPr>
            <w:tcW w:w="705" w:type="pct"/>
            <w:gridSpan w:val="2"/>
            <w:noWrap w:val="0"/>
            <w:vAlign w:val="center"/>
          </w:tcPr>
          <w:p w14:paraId="1FD2F649">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联系人</w:t>
            </w:r>
          </w:p>
        </w:tc>
        <w:tc>
          <w:tcPr>
            <w:tcW w:w="1303" w:type="pct"/>
            <w:gridSpan w:val="2"/>
            <w:noWrap w:val="0"/>
            <w:vAlign w:val="center"/>
          </w:tcPr>
          <w:p w14:paraId="7F4EF581">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882" w:type="pct"/>
            <w:gridSpan w:val="3"/>
            <w:noWrap w:val="0"/>
            <w:vAlign w:val="center"/>
          </w:tcPr>
          <w:p w14:paraId="564E5C8B">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电话</w:t>
            </w:r>
          </w:p>
        </w:tc>
        <w:tc>
          <w:tcPr>
            <w:tcW w:w="1134" w:type="pct"/>
            <w:gridSpan w:val="3"/>
            <w:noWrap w:val="0"/>
            <w:vAlign w:val="center"/>
          </w:tcPr>
          <w:p w14:paraId="7EFBE357">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r>
      <w:tr w14:paraId="1FA1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vMerge w:val="continue"/>
            <w:noWrap w:val="0"/>
            <w:vAlign w:val="center"/>
          </w:tcPr>
          <w:p w14:paraId="3CEC2FEA">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705" w:type="pct"/>
            <w:gridSpan w:val="2"/>
            <w:noWrap w:val="0"/>
            <w:vAlign w:val="center"/>
          </w:tcPr>
          <w:p w14:paraId="5D6DFBEC">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传真</w:t>
            </w:r>
          </w:p>
        </w:tc>
        <w:tc>
          <w:tcPr>
            <w:tcW w:w="1303" w:type="pct"/>
            <w:gridSpan w:val="2"/>
            <w:noWrap w:val="0"/>
            <w:vAlign w:val="center"/>
          </w:tcPr>
          <w:p w14:paraId="644C6BCB">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882" w:type="pct"/>
            <w:gridSpan w:val="3"/>
            <w:noWrap w:val="0"/>
            <w:vAlign w:val="center"/>
          </w:tcPr>
          <w:p w14:paraId="02131C8A">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网址</w:t>
            </w:r>
          </w:p>
        </w:tc>
        <w:tc>
          <w:tcPr>
            <w:tcW w:w="1134" w:type="pct"/>
            <w:gridSpan w:val="3"/>
            <w:noWrap w:val="0"/>
            <w:vAlign w:val="center"/>
          </w:tcPr>
          <w:p w14:paraId="14D9C54A">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r>
      <w:tr w14:paraId="744F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noWrap w:val="0"/>
            <w:vAlign w:val="center"/>
          </w:tcPr>
          <w:p w14:paraId="44FB976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组织结构</w:t>
            </w:r>
          </w:p>
        </w:tc>
        <w:tc>
          <w:tcPr>
            <w:tcW w:w="4026" w:type="pct"/>
            <w:gridSpan w:val="10"/>
            <w:noWrap w:val="0"/>
            <w:vAlign w:val="center"/>
          </w:tcPr>
          <w:p w14:paraId="4BDC7C69">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r>
      <w:tr w14:paraId="54DA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noWrap w:val="0"/>
            <w:vAlign w:val="center"/>
          </w:tcPr>
          <w:p w14:paraId="65FEA9B5">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法定代表人</w:t>
            </w:r>
          </w:p>
        </w:tc>
        <w:tc>
          <w:tcPr>
            <w:tcW w:w="535" w:type="pct"/>
            <w:noWrap w:val="0"/>
            <w:vAlign w:val="center"/>
          </w:tcPr>
          <w:p w14:paraId="34E4334F">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姓名</w:t>
            </w:r>
          </w:p>
        </w:tc>
        <w:tc>
          <w:tcPr>
            <w:tcW w:w="914" w:type="pct"/>
            <w:gridSpan w:val="2"/>
            <w:noWrap w:val="0"/>
            <w:vAlign w:val="center"/>
          </w:tcPr>
          <w:p w14:paraId="19EE8238">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748" w:type="pct"/>
            <w:gridSpan w:val="2"/>
            <w:noWrap w:val="0"/>
            <w:vAlign w:val="center"/>
          </w:tcPr>
          <w:p w14:paraId="2F09F419">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技术职称</w:t>
            </w:r>
          </w:p>
        </w:tc>
        <w:tc>
          <w:tcPr>
            <w:tcW w:w="591" w:type="pct"/>
            <w:noWrap w:val="0"/>
            <w:vAlign w:val="center"/>
          </w:tcPr>
          <w:p w14:paraId="40035F8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450" w:type="pct"/>
            <w:gridSpan w:val="3"/>
            <w:noWrap w:val="0"/>
            <w:vAlign w:val="center"/>
          </w:tcPr>
          <w:p w14:paraId="687EBFB8">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电话</w:t>
            </w:r>
          </w:p>
        </w:tc>
        <w:tc>
          <w:tcPr>
            <w:tcW w:w="787" w:type="pct"/>
            <w:noWrap w:val="0"/>
            <w:vAlign w:val="center"/>
          </w:tcPr>
          <w:p w14:paraId="2C471AD9">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r>
      <w:tr w14:paraId="74D0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noWrap w:val="0"/>
            <w:vAlign w:val="center"/>
          </w:tcPr>
          <w:p w14:paraId="37C290C0">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技术负责人</w:t>
            </w:r>
          </w:p>
        </w:tc>
        <w:tc>
          <w:tcPr>
            <w:tcW w:w="535" w:type="pct"/>
            <w:noWrap w:val="0"/>
            <w:vAlign w:val="center"/>
          </w:tcPr>
          <w:p w14:paraId="13FF35F0">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姓名</w:t>
            </w:r>
          </w:p>
        </w:tc>
        <w:tc>
          <w:tcPr>
            <w:tcW w:w="914" w:type="pct"/>
            <w:gridSpan w:val="2"/>
            <w:noWrap w:val="0"/>
            <w:vAlign w:val="center"/>
          </w:tcPr>
          <w:p w14:paraId="728D723F">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748" w:type="pct"/>
            <w:gridSpan w:val="2"/>
            <w:noWrap w:val="0"/>
            <w:vAlign w:val="center"/>
          </w:tcPr>
          <w:p w14:paraId="1DB595C5">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技术职称</w:t>
            </w:r>
          </w:p>
        </w:tc>
        <w:tc>
          <w:tcPr>
            <w:tcW w:w="591" w:type="pct"/>
            <w:noWrap w:val="0"/>
            <w:vAlign w:val="center"/>
          </w:tcPr>
          <w:p w14:paraId="3B992B31">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450" w:type="pct"/>
            <w:gridSpan w:val="3"/>
            <w:noWrap w:val="0"/>
            <w:vAlign w:val="center"/>
          </w:tcPr>
          <w:p w14:paraId="251E388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电话</w:t>
            </w:r>
          </w:p>
        </w:tc>
        <w:tc>
          <w:tcPr>
            <w:tcW w:w="787" w:type="pct"/>
            <w:noWrap w:val="0"/>
            <w:vAlign w:val="center"/>
          </w:tcPr>
          <w:p w14:paraId="02BB064B">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r>
      <w:tr w14:paraId="1301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noWrap w:val="0"/>
            <w:vAlign w:val="center"/>
          </w:tcPr>
          <w:p w14:paraId="125CA587">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成立时间</w:t>
            </w:r>
          </w:p>
        </w:tc>
        <w:tc>
          <w:tcPr>
            <w:tcW w:w="1449" w:type="pct"/>
            <w:gridSpan w:val="3"/>
            <w:noWrap w:val="0"/>
            <w:vAlign w:val="center"/>
          </w:tcPr>
          <w:p w14:paraId="3D6F2DDE">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2577" w:type="pct"/>
            <w:gridSpan w:val="7"/>
            <w:noWrap w:val="0"/>
            <w:vAlign w:val="center"/>
          </w:tcPr>
          <w:p w14:paraId="4AD360D0">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员工总人数：</w:t>
            </w:r>
          </w:p>
        </w:tc>
      </w:tr>
      <w:tr w14:paraId="40A2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noWrap w:val="0"/>
            <w:vAlign w:val="center"/>
          </w:tcPr>
          <w:p w14:paraId="6CDA3C91">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企业资质等级</w:t>
            </w:r>
          </w:p>
        </w:tc>
        <w:tc>
          <w:tcPr>
            <w:tcW w:w="1449" w:type="pct"/>
            <w:gridSpan w:val="3"/>
            <w:noWrap w:val="0"/>
            <w:vAlign w:val="center"/>
          </w:tcPr>
          <w:p w14:paraId="05B196E3">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559" w:type="pct"/>
            <w:vMerge w:val="restart"/>
            <w:noWrap w:val="0"/>
            <w:vAlign w:val="center"/>
          </w:tcPr>
          <w:p w14:paraId="15D88690">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其中技术人员：   人</w:t>
            </w:r>
          </w:p>
        </w:tc>
        <w:tc>
          <w:tcPr>
            <w:tcW w:w="1076" w:type="pct"/>
            <w:gridSpan w:val="4"/>
            <w:noWrap w:val="0"/>
            <w:vAlign w:val="center"/>
          </w:tcPr>
          <w:p w14:paraId="79BDB6F9">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高级职称人员</w:t>
            </w:r>
          </w:p>
        </w:tc>
        <w:tc>
          <w:tcPr>
            <w:tcW w:w="941" w:type="pct"/>
            <w:gridSpan w:val="2"/>
            <w:noWrap w:val="0"/>
            <w:vAlign w:val="center"/>
          </w:tcPr>
          <w:p w14:paraId="2C7B83F3">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r>
      <w:tr w14:paraId="05A5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noWrap w:val="0"/>
            <w:vAlign w:val="center"/>
          </w:tcPr>
          <w:p w14:paraId="570C48F4">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营业执照号</w:t>
            </w:r>
          </w:p>
        </w:tc>
        <w:tc>
          <w:tcPr>
            <w:tcW w:w="1449" w:type="pct"/>
            <w:gridSpan w:val="3"/>
            <w:noWrap w:val="0"/>
            <w:vAlign w:val="center"/>
          </w:tcPr>
          <w:p w14:paraId="73988963">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559" w:type="pct"/>
            <w:vMerge w:val="continue"/>
            <w:noWrap w:val="0"/>
            <w:vAlign w:val="center"/>
          </w:tcPr>
          <w:p w14:paraId="16EB2B71">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1076" w:type="pct"/>
            <w:gridSpan w:val="4"/>
            <w:noWrap w:val="0"/>
            <w:vAlign w:val="center"/>
          </w:tcPr>
          <w:p w14:paraId="75261A2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中级职称人员</w:t>
            </w:r>
          </w:p>
        </w:tc>
        <w:tc>
          <w:tcPr>
            <w:tcW w:w="941" w:type="pct"/>
            <w:gridSpan w:val="2"/>
            <w:noWrap w:val="0"/>
            <w:vAlign w:val="center"/>
          </w:tcPr>
          <w:p w14:paraId="73075E1C">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r>
      <w:tr w14:paraId="17F9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noWrap w:val="0"/>
            <w:vAlign w:val="center"/>
          </w:tcPr>
          <w:p w14:paraId="3F53C852">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注册资金</w:t>
            </w:r>
          </w:p>
        </w:tc>
        <w:tc>
          <w:tcPr>
            <w:tcW w:w="1449" w:type="pct"/>
            <w:gridSpan w:val="3"/>
            <w:noWrap w:val="0"/>
            <w:vAlign w:val="center"/>
          </w:tcPr>
          <w:p w14:paraId="722E13EC">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559" w:type="pct"/>
            <w:vMerge w:val="continue"/>
            <w:noWrap w:val="0"/>
            <w:vAlign w:val="center"/>
          </w:tcPr>
          <w:p w14:paraId="3DB97426">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1076" w:type="pct"/>
            <w:gridSpan w:val="4"/>
            <w:noWrap w:val="0"/>
            <w:vAlign w:val="center"/>
          </w:tcPr>
          <w:p w14:paraId="2BF24A47">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初级职称人员</w:t>
            </w:r>
          </w:p>
        </w:tc>
        <w:tc>
          <w:tcPr>
            <w:tcW w:w="941" w:type="pct"/>
            <w:gridSpan w:val="2"/>
            <w:noWrap w:val="0"/>
            <w:vAlign w:val="center"/>
          </w:tcPr>
          <w:p w14:paraId="74628FCF">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r>
      <w:tr w14:paraId="09FC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noWrap w:val="0"/>
            <w:vAlign w:val="center"/>
          </w:tcPr>
          <w:p w14:paraId="0A83948E">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开户银行</w:t>
            </w:r>
          </w:p>
        </w:tc>
        <w:tc>
          <w:tcPr>
            <w:tcW w:w="1449" w:type="pct"/>
            <w:gridSpan w:val="3"/>
            <w:noWrap w:val="0"/>
            <w:vAlign w:val="center"/>
          </w:tcPr>
          <w:p w14:paraId="693FFDB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559" w:type="pct"/>
            <w:vMerge w:val="continue"/>
            <w:noWrap w:val="0"/>
            <w:vAlign w:val="center"/>
          </w:tcPr>
          <w:p w14:paraId="41494D27">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1076" w:type="pct"/>
            <w:gridSpan w:val="4"/>
            <w:noWrap w:val="0"/>
            <w:vAlign w:val="center"/>
          </w:tcPr>
          <w:p w14:paraId="23D75A6D">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其他技术人员</w:t>
            </w:r>
          </w:p>
        </w:tc>
        <w:tc>
          <w:tcPr>
            <w:tcW w:w="941" w:type="pct"/>
            <w:gridSpan w:val="2"/>
            <w:noWrap w:val="0"/>
            <w:vAlign w:val="center"/>
          </w:tcPr>
          <w:p w14:paraId="75EDE446">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r>
      <w:tr w14:paraId="082A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3" w:type="pct"/>
            <w:noWrap w:val="0"/>
            <w:vAlign w:val="center"/>
          </w:tcPr>
          <w:p w14:paraId="60D13FDB">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账号</w:t>
            </w:r>
          </w:p>
        </w:tc>
        <w:tc>
          <w:tcPr>
            <w:tcW w:w="1449" w:type="pct"/>
            <w:gridSpan w:val="3"/>
            <w:noWrap w:val="0"/>
            <w:vAlign w:val="center"/>
          </w:tcPr>
          <w:p w14:paraId="01B67781">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559" w:type="pct"/>
            <w:vMerge w:val="continue"/>
            <w:noWrap w:val="0"/>
            <w:vAlign w:val="center"/>
          </w:tcPr>
          <w:p w14:paraId="67BC4D0F">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1076" w:type="pct"/>
            <w:gridSpan w:val="4"/>
            <w:noWrap w:val="0"/>
            <w:vAlign w:val="center"/>
          </w:tcPr>
          <w:p w14:paraId="33896CE7">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c>
          <w:tcPr>
            <w:tcW w:w="941" w:type="pct"/>
            <w:gridSpan w:val="2"/>
            <w:noWrap w:val="0"/>
            <w:vAlign w:val="center"/>
          </w:tcPr>
          <w:p w14:paraId="7EB5EDF9">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r>
      <w:tr w14:paraId="6EEF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973" w:type="pct"/>
            <w:noWrap w:val="0"/>
            <w:vAlign w:val="center"/>
          </w:tcPr>
          <w:p w14:paraId="1D3099FF">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经营范围</w:t>
            </w:r>
          </w:p>
        </w:tc>
        <w:tc>
          <w:tcPr>
            <w:tcW w:w="4026" w:type="pct"/>
            <w:gridSpan w:val="10"/>
            <w:noWrap w:val="0"/>
            <w:vAlign w:val="center"/>
          </w:tcPr>
          <w:p w14:paraId="08F1C220">
            <w:pPr>
              <w:keepNext w:val="0"/>
              <w:keepLines w:val="0"/>
              <w:pageBreakBefore w:val="0"/>
              <w:widowControl w:val="0"/>
              <w:suppressLineNumbers w:val="0"/>
              <w:overflowPunct/>
              <w:bidi w:val="0"/>
              <w:spacing w:before="0" w:beforeAutospacing="0" w:after="0" w:afterAutospacing="0" w:line="480" w:lineRule="exact"/>
              <w:ind w:left="0" w:right="0"/>
              <w:rPr>
                <w:rFonts w:hint="eastAsia" w:ascii="宋体" w:hAnsi="宋体" w:eastAsia="宋体" w:cs="宋体"/>
                <w:color w:val="auto"/>
                <w:sz w:val="22"/>
                <w:szCs w:val="22"/>
                <w:highlight w:val="none"/>
                <w:shd w:val="clear" w:color="auto" w:fill="auto"/>
              </w:rPr>
            </w:pPr>
          </w:p>
        </w:tc>
      </w:tr>
      <w:tr w14:paraId="7B94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73" w:type="pct"/>
            <w:noWrap w:val="0"/>
            <w:vAlign w:val="center"/>
          </w:tcPr>
          <w:p w14:paraId="3C81D5AF">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备注</w:t>
            </w:r>
          </w:p>
        </w:tc>
        <w:tc>
          <w:tcPr>
            <w:tcW w:w="4026" w:type="pct"/>
            <w:gridSpan w:val="10"/>
            <w:noWrap w:val="0"/>
            <w:vAlign w:val="center"/>
          </w:tcPr>
          <w:p w14:paraId="72582B0C">
            <w:pPr>
              <w:keepNext w:val="0"/>
              <w:keepLines w:val="0"/>
              <w:pageBreakBefore w:val="0"/>
              <w:widowControl w:val="0"/>
              <w:suppressLineNumbers w:val="0"/>
              <w:overflowPunct/>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p>
        </w:tc>
      </w:tr>
    </w:tbl>
    <w:p w14:paraId="2BFC201C">
      <w:pPr>
        <w:rPr>
          <w:rFonts w:hint="eastAsia" w:ascii="宋体" w:hAnsi="宋体" w:eastAsia="宋体" w:cs="宋体"/>
          <w:b/>
          <w:bCs w:val="0"/>
          <w:color w:val="auto"/>
          <w:sz w:val="21"/>
          <w:szCs w:val="21"/>
          <w:highlight w:val="none"/>
          <w:shd w:val="clear" w:color="auto" w:fill="auto"/>
        </w:rPr>
      </w:pPr>
    </w:p>
    <w:p w14:paraId="2659321B">
      <w:pPr>
        <w:rPr>
          <w:rFonts w:hint="eastAsia" w:ascii="宋体" w:hAnsi="宋体" w:eastAsia="宋体" w:cs="宋体"/>
          <w:b/>
          <w:bCs w:val="0"/>
          <w:color w:val="auto"/>
          <w:sz w:val="21"/>
          <w:szCs w:val="21"/>
          <w:highlight w:val="none"/>
          <w:shd w:val="clear" w:color="auto" w:fill="auto"/>
        </w:rPr>
      </w:pPr>
    </w:p>
    <w:p w14:paraId="010B3E74">
      <w:pPr>
        <w:rPr>
          <w:rFonts w:hint="eastAsia" w:ascii="宋体" w:hAnsi="宋体" w:eastAsia="宋体" w:cs="宋体"/>
          <w:b/>
          <w:bCs w:val="0"/>
          <w:color w:val="auto"/>
          <w:sz w:val="21"/>
          <w:szCs w:val="21"/>
          <w:highlight w:val="none"/>
          <w:shd w:val="clear" w:color="auto" w:fill="auto"/>
        </w:rPr>
      </w:pPr>
    </w:p>
    <w:p w14:paraId="1F2B1312">
      <w:pPr>
        <w:rPr>
          <w:rFonts w:hint="eastAsia" w:ascii="宋体" w:hAnsi="宋体" w:eastAsia="宋体" w:cs="宋体"/>
          <w:b/>
          <w:bCs w:val="0"/>
          <w:color w:val="auto"/>
          <w:sz w:val="21"/>
          <w:szCs w:val="21"/>
          <w:highlight w:val="none"/>
          <w:shd w:val="clear" w:color="auto" w:fill="auto"/>
        </w:rPr>
      </w:pPr>
    </w:p>
    <w:p w14:paraId="49424DFC">
      <w:pPr>
        <w:rPr>
          <w:rFonts w:hint="eastAsia" w:ascii="宋体" w:hAnsi="宋体" w:eastAsia="宋体" w:cs="宋体"/>
          <w:b/>
          <w:bCs w:val="0"/>
          <w:color w:val="auto"/>
          <w:sz w:val="21"/>
          <w:szCs w:val="21"/>
          <w:highlight w:val="none"/>
          <w:shd w:val="clear" w:color="auto" w:fill="auto"/>
        </w:rPr>
      </w:pPr>
    </w:p>
    <w:p w14:paraId="7404F1E3">
      <w:pPr>
        <w:rPr>
          <w:rFonts w:hint="eastAsia" w:ascii="宋体" w:hAnsi="宋体" w:eastAsia="宋体" w:cs="宋体"/>
          <w:b/>
          <w:bCs w:val="0"/>
          <w:color w:val="auto"/>
          <w:sz w:val="21"/>
          <w:szCs w:val="21"/>
          <w:highlight w:val="none"/>
          <w:shd w:val="clear" w:color="auto" w:fill="auto"/>
        </w:rPr>
      </w:pPr>
    </w:p>
    <w:p w14:paraId="62ACA41A">
      <w:pPr>
        <w:rPr>
          <w:rFonts w:hint="eastAsia" w:ascii="宋体" w:hAnsi="宋体" w:eastAsia="宋体" w:cs="宋体"/>
          <w:b/>
          <w:bCs w:val="0"/>
          <w:color w:val="auto"/>
          <w:sz w:val="21"/>
          <w:szCs w:val="21"/>
          <w:highlight w:val="none"/>
          <w:shd w:val="clear" w:color="auto" w:fill="auto"/>
        </w:rPr>
      </w:pPr>
    </w:p>
    <w:p w14:paraId="088B604C">
      <w:pPr>
        <w:rPr>
          <w:rFonts w:hint="eastAsia" w:ascii="宋体" w:hAnsi="宋体" w:eastAsia="宋体" w:cs="宋体"/>
          <w:b/>
          <w:bCs w:val="0"/>
          <w:color w:val="auto"/>
          <w:sz w:val="21"/>
          <w:szCs w:val="21"/>
          <w:highlight w:val="none"/>
          <w:shd w:val="clear" w:color="auto" w:fill="auto"/>
        </w:rPr>
      </w:pPr>
    </w:p>
    <w:p w14:paraId="65AE5280">
      <w:pPr>
        <w:rPr>
          <w:rFonts w:hint="eastAsia" w:ascii="宋体" w:hAnsi="宋体" w:eastAsia="宋体" w:cs="宋体"/>
          <w:color w:val="auto"/>
          <w:highlight w:val="none"/>
          <w:shd w:val="clear" w:color="auto" w:fill="auto"/>
          <w:lang w:val="zh-CN"/>
        </w:rPr>
      </w:pPr>
      <w:r>
        <w:rPr>
          <w:rFonts w:hint="eastAsia" w:ascii="宋体" w:hAnsi="宋体" w:eastAsia="宋体" w:cs="宋体"/>
          <w:color w:val="auto"/>
          <w:highlight w:val="none"/>
          <w:shd w:val="clear" w:color="auto" w:fill="auto"/>
          <w:lang w:val="zh-CN"/>
        </w:rPr>
        <w:br w:type="page"/>
      </w:r>
    </w:p>
    <w:p w14:paraId="3493CA59">
      <w:pPr>
        <w:keepNext w:val="0"/>
        <w:pageBreakBefore w:val="0"/>
        <w:widowControl w:val="0"/>
        <w:overflowPunct/>
        <w:bidi w:val="0"/>
        <w:snapToGrid w:val="0"/>
        <w:spacing w:line="360" w:lineRule="auto"/>
        <w:rPr>
          <w:rFonts w:hint="eastAsia" w:ascii="宋体" w:hAnsi="宋体" w:eastAsia="宋体" w:cs="宋体"/>
          <w:color w:val="auto"/>
          <w:highlight w:val="none"/>
          <w:shd w:val="clear" w:color="auto" w:fill="auto"/>
          <w:lang w:val="zh-CN"/>
        </w:rPr>
      </w:pPr>
      <w:r>
        <w:rPr>
          <w:rFonts w:hint="eastAsia" w:ascii="宋体" w:hAnsi="宋体" w:eastAsia="宋体" w:cs="宋体"/>
          <w:b/>
          <w:bCs/>
          <w:color w:val="auto"/>
          <w:szCs w:val="21"/>
          <w:highlight w:val="none"/>
          <w:shd w:val="clear" w:color="auto" w:fill="auto"/>
        </w:rPr>
        <w:t>技术商务文件：</w:t>
      </w:r>
    </w:p>
    <w:p w14:paraId="44223148">
      <w:pPr>
        <w:keepNext w:val="0"/>
        <w:pageBreakBefore w:val="0"/>
        <w:widowControl w:val="0"/>
        <w:tabs>
          <w:tab w:val="left" w:pos="606"/>
        </w:tabs>
        <w:overflowPunct/>
        <w:bidi w:val="0"/>
        <w:spacing w:line="36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8"/>
          <w:highlight w:val="none"/>
          <w:shd w:val="clear" w:color="auto" w:fill="auto"/>
        </w:rPr>
        <w:t>1</w:t>
      </w:r>
      <w:r>
        <w:rPr>
          <w:rFonts w:hint="eastAsia" w:ascii="宋体" w:hAnsi="宋体" w:eastAsia="宋体" w:cs="宋体"/>
          <w:color w:val="auto"/>
          <w:sz w:val="22"/>
          <w:szCs w:val="28"/>
          <w:highlight w:val="none"/>
          <w:shd w:val="clear" w:color="auto" w:fill="auto"/>
          <w:lang w:val="zh-CN"/>
        </w:rPr>
        <w:t>.商务条款偏离表</w:t>
      </w:r>
    </w:p>
    <w:p w14:paraId="75566D59">
      <w:pPr>
        <w:keepNext w:val="0"/>
        <w:pageBreakBefore w:val="0"/>
        <w:widowControl w:val="0"/>
        <w:shd w:val="solid" w:color="FFFFFF" w:fill="auto"/>
        <w:overflowPunct/>
        <w:autoSpaceDN w:val="0"/>
        <w:bidi w:val="0"/>
        <w:spacing w:after="286" w:afterLines="100" w:line="360" w:lineRule="auto"/>
        <w:jc w:val="center"/>
        <w:rPr>
          <w:rFonts w:hint="eastAsia" w:ascii="宋体" w:hAnsi="宋体" w:eastAsia="宋体" w:cs="宋体"/>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商务条款偏离表</w:t>
      </w:r>
    </w:p>
    <w:tbl>
      <w:tblPr>
        <w:tblStyle w:val="19"/>
        <w:tblW w:w="4999" w:type="pct"/>
        <w:tblInd w:w="0" w:type="dxa"/>
        <w:tblLayout w:type="autofit"/>
        <w:tblCellMar>
          <w:top w:w="0" w:type="dxa"/>
          <w:left w:w="108" w:type="dxa"/>
          <w:bottom w:w="0" w:type="dxa"/>
          <w:right w:w="108" w:type="dxa"/>
        </w:tblCellMar>
      </w:tblPr>
      <w:tblGrid>
        <w:gridCol w:w="1052"/>
        <w:gridCol w:w="2681"/>
        <w:gridCol w:w="2489"/>
        <w:gridCol w:w="2298"/>
      </w:tblGrid>
      <w:tr w14:paraId="1B525983">
        <w:tblPrEx>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noWrap w:val="0"/>
            <w:vAlign w:val="center"/>
          </w:tcPr>
          <w:p w14:paraId="73F0EF0C">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序号</w:t>
            </w:r>
          </w:p>
        </w:tc>
        <w:tc>
          <w:tcPr>
            <w:tcW w:w="1573" w:type="pct"/>
            <w:tcBorders>
              <w:top w:val="single" w:color="000000" w:sz="4" w:space="0"/>
              <w:left w:val="single" w:color="000000" w:sz="4" w:space="0"/>
              <w:bottom w:val="single" w:color="000000" w:sz="4" w:space="0"/>
              <w:right w:val="single" w:color="000000" w:sz="4" w:space="0"/>
            </w:tcBorders>
            <w:noWrap w:val="0"/>
            <w:vAlign w:val="center"/>
          </w:tcPr>
          <w:p w14:paraId="7457057A">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cs="宋体"/>
                <w:color w:val="auto"/>
                <w:sz w:val="22"/>
                <w:szCs w:val="22"/>
                <w:highlight w:val="none"/>
                <w:shd w:val="clear" w:color="auto" w:fill="auto"/>
                <w:lang w:eastAsia="zh-CN"/>
              </w:rPr>
              <w:t>招标文件</w:t>
            </w:r>
            <w:r>
              <w:rPr>
                <w:rFonts w:hint="eastAsia" w:ascii="宋体" w:hAnsi="宋体" w:eastAsia="宋体" w:cs="宋体"/>
                <w:color w:val="auto"/>
                <w:sz w:val="22"/>
                <w:szCs w:val="22"/>
                <w:highlight w:val="none"/>
                <w:shd w:val="clear" w:color="auto" w:fill="auto"/>
              </w:rPr>
              <w:t>的商务条款</w:t>
            </w:r>
          </w:p>
        </w:tc>
        <w:tc>
          <w:tcPr>
            <w:tcW w:w="1460" w:type="pct"/>
            <w:tcBorders>
              <w:top w:val="single" w:color="000000" w:sz="4" w:space="0"/>
              <w:left w:val="single" w:color="000000" w:sz="4" w:space="0"/>
              <w:bottom w:val="single" w:color="000000" w:sz="4" w:space="0"/>
              <w:right w:val="single" w:color="000000" w:sz="4" w:space="0"/>
            </w:tcBorders>
            <w:noWrap w:val="0"/>
            <w:vAlign w:val="center"/>
          </w:tcPr>
          <w:p w14:paraId="5D774BEB">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cs="宋体"/>
                <w:color w:val="auto"/>
                <w:sz w:val="22"/>
                <w:szCs w:val="22"/>
                <w:highlight w:val="none"/>
                <w:shd w:val="clear" w:color="auto" w:fill="auto"/>
                <w:lang w:eastAsia="zh-CN"/>
              </w:rPr>
              <w:t>投标文件</w:t>
            </w:r>
            <w:r>
              <w:rPr>
                <w:rFonts w:hint="eastAsia" w:ascii="宋体" w:hAnsi="宋体" w:eastAsia="宋体" w:cs="宋体"/>
                <w:color w:val="auto"/>
                <w:sz w:val="22"/>
                <w:szCs w:val="22"/>
                <w:highlight w:val="none"/>
                <w:shd w:val="clear" w:color="auto" w:fill="auto"/>
              </w:rPr>
              <w:t>的商务条款</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14:paraId="1ACB4C86">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说明</w:t>
            </w:r>
          </w:p>
        </w:tc>
      </w:tr>
      <w:tr w14:paraId="5BD6103C">
        <w:tblPrEx>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noWrap w:val="0"/>
            <w:vAlign w:val="center"/>
          </w:tcPr>
          <w:p w14:paraId="5224142E">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noWrap w:val="0"/>
            <w:vAlign w:val="center"/>
          </w:tcPr>
          <w:p w14:paraId="125E2915">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noWrap w:val="0"/>
            <w:vAlign w:val="center"/>
          </w:tcPr>
          <w:p w14:paraId="3E064243">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14:paraId="59B2C9C8">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r>
      <w:tr w14:paraId="797C716E">
        <w:tblPrEx>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noWrap w:val="0"/>
            <w:vAlign w:val="center"/>
          </w:tcPr>
          <w:p w14:paraId="35C9C0C3">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noWrap w:val="0"/>
            <w:vAlign w:val="center"/>
          </w:tcPr>
          <w:p w14:paraId="3D3158E0">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noWrap w:val="0"/>
            <w:vAlign w:val="center"/>
          </w:tcPr>
          <w:p w14:paraId="263BCE14">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14:paraId="51555F73">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r>
      <w:tr w14:paraId="0E64D983">
        <w:tblPrEx>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noWrap w:val="0"/>
            <w:vAlign w:val="center"/>
          </w:tcPr>
          <w:p w14:paraId="4DFBBD22">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noWrap w:val="0"/>
            <w:vAlign w:val="center"/>
          </w:tcPr>
          <w:p w14:paraId="60430B61">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noWrap w:val="0"/>
            <w:vAlign w:val="center"/>
          </w:tcPr>
          <w:p w14:paraId="3AC45743">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14:paraId="155C331A">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r>
      <w:tr w14:paraId="74C5C217">
        <w:tblPrEx>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noWrap w:val="0"/>
            <w:vAlign w:val="center"/>
          </w:tcPr>
          <w:p w14:paraId="458DB937">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noWrap w:val="0"/>
            <w:vAlign w:val="center"/>
          </w:tcPr>
          <w:p w14:paraId="77A176C8">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noWrap w:val="0"/>
            <w:vAlign w:val="center"/>
          </w:tcPr>
          <w:p w14:paraId="1FEF2D6F">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14:paraId="176D2ACE">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r>
      <w:tr w14:paraId="32A05EF1">
        <w:tblPrEx>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noWrap w:val="0"/>
            <w:vAlign w:val="center"/>
          </w:tcPr>
          <w:p w14:paraId="46E68022">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noWrap w:val="0"/>
            <w:vAlign w:val="center"/>
          </w:tcPr>
          <w:p w14:paraId="2ABE38F0">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noWrap w:val="0"/>
            <w:vAlign w:val="center"/>
          </w:tcPr>
          <w:p w14:paraId="4983F3BF">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14:paraId="25846AAB">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r>
      <w:tr w14:paraId="31C44008">
        <w:tblPrEx>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noWrap w:val="0"/>
            <w:vAlign w:val="center"/>
          </w:tcPr>
          <w:p w14:paraId="4BFE1606">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noWrap w:val="0"/>
            <w:vAlign w:val="center"/>
          </w:tcPr>
          <w:p w14:paraId="3EECA428">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noWrap w:val="0"/>
            <w:vAlign w:val="center"/>
          </w:tcPr>
          <w:p w14:paraId="6CDDF1B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14:paraId="693D8CD7">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r>
      <w:tr w14:paraId="12897EC7">
        <w:tblPrEx>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noWrap w:val="0"/>
            <w:vAlign w:val="center"/>
          </w:tcPr>
          <w:p w14:paraId="753C0581">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noWrap w:val="0"/>
            <w:vAlign w:val="center"/>
          </w:tcPr>
          <w:p w14:paraId="3259FD54">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noWrap w:val="0"/>
            <w:vAlign w:val="center"/>
          </w:tcPr>
          <w:p w14:paraId="7CE9E850">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14:paraId="014B1D91">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r>
      <w:tr w14:paraId="0F037E0A">
        <w:tblPrEx>
          <w:tblCellMar>
            <w:top w:w="0" w:type="dxa"/>
            <w:left w:w="108" w:type="dxa"/>
            <w:bottom w:w="0" w:type="dxa"/>
            <w:right w:w="108" w:type="dxa"/>
          </w:tblCellMar>
        </w:tblPrEx>
        <w:trPr>
          <w:trHeight w:val="567" w:hRule="atLeast"/>
        </w:trPr>
        <w:tc>
          <w:tcPr>
            <w:tcW w:w="617" w:type="pct"/>
            <w:tcBorders>
              <w:top w:val="single" w:color="000000" w:sz="4" w:space="0"/>
              <w:left w:val="single" w:color="000000" w:sz="4" w:space="0"/>
              <w:bottom w:val="single" w:color="000000" w:sz="4" w:space="0"/>
              <w:right w:val="single" w:color="000000" w:sz="4" w:space="0"/>
            </w:tcBorders>
            <w:noWrap w:val="0"/>
            <w:vAlign w:val="center"/>
          </w:tcPr>
          <w:p w14:paraId="46158838">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573" w:type="pct"/>
            <w:tcBorders>
              <w:top w:val="single" w:color="000000" w:sz="4" w:space="0"/>
              <w:left w:val="single" w:color="000000" w:sz="4" w:space="0"/>
              <w:bottom w:val="single" w:color="000000" w:sz="4" w:space="0"/>
              <w:right w:val="single" w:color="000000" w:sz="4" w:space="0"/>
            </w:tcBorders>
            <w:noWrap w:val="0"/>
            <w:vAlign w:val="center"/>
          </w:tcPr>
          <w:p w14:paraId="410B892F">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460" w:type="pct"/>
            <w:tcBorders>
              <w:top w:val="single" w:color="000000" w:sz="4" w:space="0"/>
              <w:left w:val="single" w:color="000000" w:sz="4" w:space="0"/>
              <w:bottom w:val="single" w:color="000000" w:sz="4" w:space="0"/>
              <w:right w:val="single" w:color="000000" w:sz="4" w:space="0"/>
            </w:tcBorders>
            <w:noWrap w:val="0"/>
            <w:vAlign w:val="center"/>
          </w:tcPr>
          <w:p w14:paraId="0AD25425">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c>
          <w:tcPr>
            <w:tcW w:w="1348" w:type="pct"/>
            <w:tcBorders>
              <w:top w:val="single" w:color="000000" w:sz="4" w:space="0"/>
              <w:left w:val="single" w:color="000000" w:sz="4" w:space="0"/>
              <w:bottom w:val="single" w:color="000000" w:sz="4" w:space="0"/>
              <w:right w:val="single" w:color="000000" w:sz="4" w:space="0"/>
            </w:tcBorders>
            <w:noWrap w:val="0"/>
            <w:vAlign w:val="center"/>
          </w:tcPr>
          <w:p w14:paraId="724DF653">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 xml:space="preserve"> </w:t>
            </w:r>
          </w:p>
        </w:tc>
      </w:tr>
    </w:tbl>
    <w:p w14:paraId="1FDDABFA">
      <w:pPr>
        <w:keepNext w:val="0"/>
        <w:pageBreakBefore w:val="0"/>
        <w:widowControl w:val="0"/>
        <w:overflowPunct/>
        <w:bidi w:val="0"/>
        <w:spacing w:before="143" w:beforeLines="50" w:line="360" w:lineRule="auto"/>
        <w:ind w:firstLine="440" w:firstLineChars="2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注：本表根据第二章《采购需求》一、商务要求制作。2、若无偏离应在本表空白处醒目地注明“无商务条款偏离，完全响应采购文件要求”的类似字样。</w:t>
      </w:r>
    </w:p>
    <w:p w14:paraId="62508BF1">
      <w:pPr>
        <w:keepNext w:val="0"/>
        <w:pageBreakBefore w:val="0"/>
        <w:widowControl w:val="0"/>
        <w:overflowPunct/>
        <w:bidi w:val="0"/>
        <w:spacing w:line="360" w:lineRule="auto"/>
        <w:ind w:firstLine="4080"/>
        <w:rPr>
          <w:rFonts w:hint="eastAsia" w:ascii="宋体" w:hAnsi="宋体" w:eastAsia="宋体" w:cs="宋体"/>
          <w:color w:val="auto"/>
          <w:sz w:val="22"/>
          <w:szCs w:val="22"/>
          <w:highlight w:val="none"/>
          <w:shd w:val="clear" w:color="auto" w:fill="auto"/>
        </w:rPr>
      </w:pPr>
    </w:p>
    <w:p w14:paraId="6FE699B4">
      <w:pPr>
        <w:keepNext w:val="0"/>
        <w:pageBreakBefore w:val="0"/>
        <w:widowControl w:val="0"/>
        <w:overflowPunct/>
        <w:bidi w:val="0"/>
        <w:spacing w:line="36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供应商盖章：</w:t>
      </w:r>
      <w:r>
        <w:rPr>
          <w:rFonts w:hint="eastAsia" w:ascii="宋体" w:hAnsi="宋体" w:eastAsia="宋体" w:cs="宋体"/>
          <w:color w:val="auto"/>
          <w:kern w:val="0"/>
          <w:sz w:val="22"/>
          <w:szCs w:val="22"/>
          <w:highlight w:val="none"/>
          <w:u w:val="single"/>
          <w:shd w:val="clear" w:color="auto" w:fill="auto"/>
        </w:rPr>
        <w:t xml:space="preserve">   （公章） </w:t>
      </w:r>
    </w:p>
    <w:p w14:paraId="51D6DD64">
      <w:pPr>
        <w:keepNext w:val="0"/>
        <w:pageBreakBefore w:val="0"/>
        <w:widowControl w:val="0"/>
        <w:overflowPunct/>
        <w:bidi w:val="0"/>
        <w:spacing w:line="36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法定代表人或授权代表（签字或盖章）：</w:t>
      </w:r>
      <w:r>
        <w:rPr>
          <w:rFonts w:hint="eastAsia" w:ascii="宋体" w:hAnsi="宋体" w:eastAsia="宋体" w:cs="宋体"/>
          <w:color w:val="auto"/>
          <w:kern w:val="0"/>
          <w:sz w:val="22"/>
          <w:szCs w:val="22"/>
          <w:highlight w:val="none"/>
          <w:u w:val="single"/>
          <w:shd w:val="clear" w:color="auto" w:fill="auto"/>
        </w:rPr>
        <w:t xml:space="preserve">             </w:t>
      </w:r>
    </w:p>
    <w:p w14:paraId="4C6E87D6">
      <w:pPr>
        <w:keepNext w:val="0"/>
        <w:pageBreakBefore w:val="0"/>
        <w:widowControl w:val="0"/>
        <w:overflowPunct/>
        <w:bidi w:val="0"/>
        <w:snapToGrid w:val="0"/>
        <w:spacing w:line="36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年</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月</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日</w:t>
      </w:r>
    </w:p>
    <w:p w14:paraId="6DF2D8A9">
      <w:pPr>
        <w:keepNext w:val="0"/>
        <w:pageBreakBefore w:val="0"/>
        <w:widowControl w:val="0"/>
        <w:overflowPunct/>
        <w:autoSpaceDE w:val="0"/>
        <w:autoSpaceDN w:val="0"/>
        <w:bidi w:val="0"/>
        <w:adjustRightInd w:val="0"/>
        <w:spacing w:line="360" w:lineRule="auto"/>
        <w:jc w:val="left"/>
        <w:rPr>
          <w:rFonts w:hint="eastAsia" w:ascii="宋体" w:hAnsi="宋体" w:eastAsia="宋体" w:cs="宋体"/>
          <w:color w:val="auto"/>
          <w:highlight w:val="none"/>
          <w:shd w:val="clear" w:color="auto" w:fill="auto"/>
          <w:lang w:val="zh-CN"/>
        </w:rPr>
      </w:pPr>
    </w:p>
    <w:p w14:paraId="7CD991A0">
      <w:pPr>
        <w:keepNext w:val="0"/>
        <w:pageBreakBefore w:val="0"/>
        <w:widowControl w:val="0"/>
        <w:shd w:val="solid" w:color="FFFFFF" w:fill="auto"/>
        <w:overflowPunct/>
        <w:autoSpaceDN w:val="0"/>
        <w:bidi w:val="0"/>
        <w:spacing w:line="360" w:lineRule="auto"/>
        <w:rPr>
          <w:rFonts w:hint="eastAsia" w:ascii="宋体" w:hAnsi="宋体" w:eastAsia="宋体" w:cs="宋体"/>
          <w:b/>
          <w:bCs w:val="0"/>
          <w:color w:val="auto"/>
          <w:sz w:val="21"/>
          <w:szCs w:val="21"/>
          <w:highlight w:val="none"/>
          <w:shd w:val="clear" w:color="auto" w:fill="auto"/>
        </w:rPr>
      </w:pPr>
    </w:p>
    <w:p w14:paraId="23725D3B">
      <w:pPr>
        <w:keepNext w:val="0"/>
        <w:pageBreakBefore w:val="0"/>
        <w:widowControl w:val="0"/>
        <w:shd w:val="solid" w:color="FFFFFF" w:fill="auto"/>
        <w:overflowPunct/>
        <w:autoSpaceDN w:val="0"/>
        <w:bidi w:val="0"/>
        <w:spacing w:line="360" w:lineRule="auto"/>
        <w:rPr>
          <w:rFonts w:hint="eastAsia" w:ascii="宋体" w:hAnsi="宋体" w:eastAsia="宋体" w:cs="宋体"/>
          <w:b/>
          <w:bCs w:val="0"/>
          <w:color w:val="auto"/>
          <w:sz w:val="21"/>
          <w:szCs w:val="21"/>
          <w:highlight w:val="none"/>
          <w:shd w:val="clear" w:color="auto" w:fill="auto"/>
        </w:rPr>
      </w:pPr>
    </w:p>
    <w:p w14:paraId="7D2E30C0">
      <w:pPr>
        <w:keepNext w:val="0"/>
        <w:pageBreakBefore w:val="0"/>
        <w:widowControl w:val="0"/>
        <w:shd w:val="solid" w:color="FFFFFF" w:fill="auto"/>
        <w:overflowPunct/>
        <w:autoSpaceDN w:val="0"/>
        <w:bidi w:val="0"/>
        <w:spacing w:line="360" w:lineRule="auto"/>
        <w:rPr>
          <w:rFonts w:hint="eastAsia" w:ascii="宋体" w:hAnsi="宋体" w:eastAsia="宋体" w:cs="宋体"/>
          <w:b/>
          <w:bCs w:val="0"/>
          <w:color w:val="auto"/>
          <w:sz w:val="21"/>
          <w:szCs w:val="21"/>
          <w:highlight w:val="none"/>
          <w:shd w:val="clear" w:color="auto" w:fill="auto"/>
        </w:rPr>
      </w:pPr>
    </w:p>
    <w:p w14:paraId="5E598E4A">
      <w:pPr>
        <w:keepNext w:val="0"/>
        <w:pageBreakBefore w:val="0"/>
        <w:widowControl w:val="0"/>
        <w:shd w:val="solid" w:color="FFFFFF" w:fill="auto"/>
        <w:overflowPunct/>
        <w:autoSpaceDN w:val="0"/>
        <w:bidi w:val="0"/>
        <w:spacing w:line="360" w:lineRule="auto"/>
        <w:rPr>
          <w:rFonts w:hint="eastAsia" w:ascii="宋体" w:hAnsi="宋体" w:eastAsia="宋体" w:cs="宋体"/>
          <w:b/>
          <w:bCs w:val="0"/>
          <w:color w:val="auto"/>
          <w:sz w:val="21"/>
          <w:szCs w:val="21"/>
          <w:highlight w:val="none"/>
          <w:shd w:val="clear" w:color="auto" w:fill="auto"/>
        </w:rPr>
      </w:pPr>
    </w:p>
    <w:p w14:paraId="000F5092">
      <w:pPr>
        <w:keepNext w:val="0"/>
        <w:pageBreakBefore w:val="0"/>
        <w:widowControl w:val="0"/>
        <w:shd w:val="solid" w:color="FFFFFF" w:fill="auto"/>
        <w:overflowPunct/>
        <w:autoSpaceDN w:val="0"/>
        <w:bidi w:val="0"/>
        <w:spacing w:line="360" w:lineRule="auto"/>
        <w:rPr>
          <w:rFonts w:hint="eastAsia" w:ascii="宋体" w:hAnsi="宋体" w:eastAsia="宋体" w:cs="宋体"/>
          <w:b/>
          <w:bCs w:val="0"/>
          <w:color w:val="auto"/>
          <w:sz w:val="21"/>
          <w:szCs w:val="21"/>
          <w:highlight w:val="none"/>
          <w:shd w:val="clear" w:color="auto" w:fill="auto"/>
        </w:rPr>
      </w:pPr>
    </w:p>
    <w:p w14:paraId="5656FDA7">
      <w:pPr>
        <w:keepNext w:val="0"/>
        <w:pageBreakBefore w:val="0"/>
        <w:widowControl w:val="0"/>
        <w:shd w:val="solid" w:color="FFFFFF" w:fill="auto"/>
        <w:overflowPunct/>
        <w:autoSpaceDN w:val="0"/>
        <w:bidi w:val="0"/>
        <w:spacing w:line="360" w:lineRule="auto"/>
        <w:rPr>
          <w:rFonts w:hint="eastAsia" w:ascii="宋体" w:hAnsi="宋体" w:eastAsia="宋体" w:cs="宋体"/>
          <w:b/>
          <w:bCs w:val="0"/>
          <w:color w:val="auto"/>
          <w:sz w:val="21"/>
          <w:szCs w:val="21"/>
          <w:highlight w:val="none"/>
          <w:shd w:val="clear" w:color="auto" w:fill="auto"/>
        </w:rPr>
      </w:pPr>
    </w:p>
    <w:p w14:paraId="68AD6A5A">
      <w:pPr>
        <w:keepNext w:val="0"/>
        <w:pageBreakBefore w:val="0"/>
        <w:widowControl w:val="0"/>
        <w:shd w:val="solid" w:color="FFFFFF" w:fill="auto"/>
        <w:overflowPunct/>
        <w:autoSpaceDN w:val="0"/>
        <w:bidi w:val="0"/>
        <w:spacing w:line="360" w:lineRule="auto"/>
        <w:rPr>
          <w:rFonts w:hint="eastAsia" w:ascii="宋体" w:hAnsi="宋体" w:eastAsia="宋体" w:cs="宋体"/>
          <w:b/>
          <w:bCs w:val="0"/>
          <w:color w:val="auto"/>
          <w:sz w:val="21"/>
          <w:szCs w:val="21"/>
          <w:highlight w:val="none"/>
          <w:shd w:val="clear" w:color="auto" w:fill="auto"/>
        </w:rPr>
      </w:pPr>
    </w:p>
    <w:p w14:paraId="4A9B71C9">
      <w:pPr>
        <w:keepNext w:val="0"/>
        <w:pageBreakBefore w:val="0"/>
        <w:widowControl w:val="0"/>
        <w:shd w:val="solid" w:color="FFFFFF" w:fill="auto"/>
        <w:overflowPunct/>
        <w:autoSpaceDN w:val="0"/>
        <w:bidi w:val="0"/>
        <w:spacing w:line="36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2.技术服务条款偏离表</w:t>
      </w:r>
    </w:p>
    <w:p w14:paraId="0CCB2F0B">
      <w:pPr>
        <w:keepNext w:val="0"/>
        <w:pageBreakBefore w:val="0"/>
        <w:widowControl w:val="0"/>
        <w:shd w:val="solid" w:color="FFFFFF" w:fill="auto"/>
        <w:overflowPunct/>
        <w:autoSpaceDN w:val="0"/>
        <w:bidi w:val="0"/>
        <w:spacing w:after="286" w:afterLines="100" w:line="360" w:lineRule="auto"/>
        <w:jc w:val="center"/>
        <w:rPr>
          <w:rFonts w:hint="eastAsia" w:ascii="宋体" w:hAnsi="宋体" w:eastAsia="宋体" w:cs="宋体"/>
          <w:color w:val="auto"/>
          <w:szCs w:val="21"/>
          <w:highlight w:val="none"/>
          <w:shd w:val="clear" w:color="auto" w:fill="auto"/>
        </w:rPr>
      </w:pPr>
      <w:r>
        <w:rPr>
          <w:rFonts w:hint="eastAsia" w:ascii="宋体" w:hAnsi="宋体" w:eastAsia="宋体" w:cs="宋体"/>
          <w:b/>
          <w:color w:val="auto"/>
          <w:sz w:val="28"/>
          <w:szCs w:val="28"/>
          <w:highlight w:val="none"/>
          <w:shd w:val="clear" w:color="auto" w:fill="auto"/>
        </w:rPr>
        <w:t>技术服务条款偏离表</w:t>
      </w:r>
    </w:p>
    <w:tbl>
      <w:tblPr>
        <w:tblStyle w:val="19"/>
        <w:tblW w:w="4998" w:type="pct"/>
        <w:jc w:val="center"/>
        <w:tblLayout w:type="autofit"/>
        <w:tblCellMar>
          <w:top w:w="0" w:type="dxa"/>
          <w:left w:w="108" w:type="dxa"/>
          <w:bottom w:w="0" w:type="dxa"/>
          <w:right w:w="108" w:type="dxa"/>
        </w:tblCellMar>
      </w:tblPr>
      <w:tblGrid>
        <w:gridCol w:w="778"/>
        <w:gridCol w:w="3315"/>
        <w:gridCol w:w="2870"/>
        <w:gridCol w:w="1556"/>
      </w:tblGrid>
      <w:tr w14:paraId="2D96A509">
        <w:tblPrEx>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81300C">
            <w:pPr>
              <w:keepNext w:val="0"/>
              <w:keepLines w:val="0"/>
              <w:pageBreakBefore w:val="0"/>
              <w:widowControl w:val="0"/>
              <w:suppressLineNumbers w:val="0"/>
              <w:shd w:val="solid" w:color="FFFFFF" w:fill="auto"/>
              <w:overflowPunct/>
              <w:autoSpaceDN w:val="0"/>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序号</w:t>
            </w:r>
          </w:p>
        </w:tc>
        <w:tc>
          <w:tcPr>
            <w:tcW w:w="194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6499DD">
            <w:pPr>
              <w:keepNext w:val="0"/>
              <w:keepLines w:val="0"/>
              <w:pageBreakBefore w:val="0"/>
              <w:widowControl w:val="0"/>
              <w:suppressLineNumbers w:val="0"/>
              <w:shd w:val="solid" w:color="FFFFFF" w:fill="auto"/>
              <w:overflowPunct/>
              <w:autoSpaceDN w:val="0"/>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lang w:eastAsia="zh-CN"/>
              </w:rPr>
            </w:pPr>
            <w:r>
              <w:rPr>
                <w:rFonts w:hint="eastAsia" w:ascii="宋体" w:hAnsi="宋体" w:cs="宋体"/>
                <w:color w:val="auto"/>
                <w:sz w:val="22"/>
                <w:szCs w:val="22"/>
                <w:highlight w:val="none"/>
                <w:shd w:val="clear" w:color="auto" w:fill="auto"/>
                <w:lang w:eastAsia="zh-CN"/>
              </w:rPr>
              <w:t>招标文件</w:t>
            </w:r>
          </w:p>
          <w:p w14:paraId="29BE8F90">
            <w:pPr>
              <w:keepNext w:val="0"/>
              <w:keepLines w:val="0"/>
              <w:pageBreakBefore w:val="0"/>
              <w:widowControl w:val="0"/>
              <w:suppressLineNumbers w:val="0"/>
              <w:shd w:val="solid" w:color="FFFFFF" w:fill="auto"/>
              <w:overflowPunct/>
              <w:autoSpaceDN w:val="0"/>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服务要求</w:t>
            </w:r>
          </w:p>
        </w:tc>
        <w:tc>
          <w:tcPr>
            <w:tcW w:w="168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044051">
            <w:pPr>
              <w:keepNext w:val="0"/>
              <w:keepLines w:val="0"/>
              <w:pageBreakBefore w:val="0"/>
              <w:widowControl w:val="0"/>
              <w:suppressLineNumbers w:val="0"/>
              <w:shd w:val="solid" w:color="FFFFFF" w:fill="auto"/>
              <w:overflowPunct/>
              <w:autoSpaceDN w:val="0"/>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lang w:eastAsia="zh-CN"/>
              </w:rPr>
            </w:pPr>
            <w:r>
              <w:rPr>
                <w:rFonts w:hint="eastAsia" w:ascii="宋体" w:hAnsi="宋体" w:cs="宋体"/>
                <w:color w:val="auto"/>
                <w:sz w:val="22"/>
                <w:szCs w:val="22"/>
                <w:highlight w:val="none"/>
                <w:shd w:val="clear" w:color="auto" w:fill="auto"/>
                <w:lang w:eastAsia="zh-CN"/>
              </w:rPr>
              <w:t>投标文件</w:t>
            </w:r>
          </w:p>
          <w:p w14:paraId="6119F231">
            <w:pPr>
              <w:keepNext w:val="0"/>
              <w:keepLines w:val="0"/>
              <w:pageBreakBefore w:val="0"/>
              <w:widowControl w:val="0"/>
              <w:suppressLineNumbers w:val="0"/>
              <w:shd w:val="solid" w:color="FFFFFF" w:fill="auto"/>
              <w:overflowPunct/>
              <w:autoSpaceDN w:val="0"/>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对应服务</w:t>
            </w:r>
          </w:p>
        </w:tc>
        <w:tc>
          <w:tcPr>
            <w:tcW w:w="913"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031C1C">
            <w:pPr>
              <w:keepNext w:val="0"/>
              <w:keepLines w:val="0"/>
              <w:pageBreakBefore w:val="0"/>
              <w:widowControl w:val="0"/>
              <w:suppressLineNumbers w:val="0"/>
              <w:shd w:val="solid" w:color="FFFFFF" w:fill="auto"/>
              <w:overflowPunct/>
              <w:autoSpaceDN w:val="0"/>
              <w:bidi w:val="0"/>
              <w:spacing w:before="0" w:beforeAutospacing="0" w:after="0" w:afterAutospacing="0" w:line="480" w:lineRule="exact"/>
              <w:ind w:left="0" w:right="0"/>
              <w:jc w:val="center"/>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说明</w:t>
            </w:r>
          </w:p>
        </w:tc>
      </w:tr>
      <w:tr w14:paraId="6BD2994A">
        <w:tblPrEx>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8C1C11">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965E82">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735E2B">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23C2A9">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r>
      <w:tr w14:paraId="5E219186">
        <w:tblPrEx>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4CD8BA">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A91F08">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C98325">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38B6AB">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r>
      <w:tr w14:paraId="1AE39AFF">
        <w:tblPrEx>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5CA1CC">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C0D1CA">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E42D9C">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653FCF">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r>
      <w:tr w14:paraId="0D9C0110">
        <w:tblPrEx>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A7FF8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390013">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97D449">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26028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r>
      <w:tr w14:paraId="659EBF73">
        <w:tblPrEx>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C4239C">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CD8C8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CFC7DC">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D2478F">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r>
      <w:tr w14:paraId="42EDAE17">
        <w:tblPrEx>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C9F94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34C11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574ED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FFC85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r>
      <w:tr w14:paraId="5F44545B">
        <w:tblPrEx>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AD590C">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B8D9FB">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6BFD2B">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5F8094">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r>
      <w:tr w14:paraId="1C1A1357">
        <w:tblPrEx>
          <w:tblCellMar>
            <w:top w:w="0" w:type="dxa"/>
            <w:left w:w="108" w:type="dxa"/>
            <w:bottom w:w="0" w:type="dxa"/>
            <w:right w:w="108" w:type="dxa"/>
          </w:tblCellMar>
        </w:tblPrEx>
        <w:trPr>
          <w:trHeight w:val="567" w:hRule="atLeast"/>
          <w:jc w:val="center"/>
        </w:trPr>
        <w:tc>
          <w:tcPr>
            <w:tcW w:w="457"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D3B934">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945"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E682DD">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1684"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351869">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c>
          <w:tcPr>
            <w:tcW w:w="913" w:type="pct"/>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292233">
            <w:pPr>
              <w:keepNext w:val="0"/>
              <w:keepLines w:val="0"/>
              <w:pageBreakBefore w:val="0"/>
              <w:widowControl w:val="0"/>
              <w:suppressLineNumbers w:val="0"/>
              <w:shd w:val="solid" w:color="FFFFFF" w:fill="auto"/>
              <w:overflowPunct/>
              <w:autoSpaceDN w:val="0"/>
              <w:bidi w:val="0"/>
              <w:spacing w:before="0" w:beforeAutospacing="0" w:after="0" w:afterAutospacing="0" w:line="360" w:lineRule="auto"/>
              <w:ind w:left="0" w:right="0"/>
              <w:jc w:val="center"/>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 </w:t>
            </w:r>
          </w:p>
        </w:tc>
      </w:tr>
    </w:tbl>
    <w:p w14:paraId="4A6B8441">
      <w:pPr>
        <w:pStyle w:val="18"/>
        <w:keepNext w:val="0"/>
        <w:pageBreakBefore w:val="0"/>
        <w:widowControl w:val="0"/>
        <w:overflowPunct/>
        <w:bidi w:val="0"/>
        <w:spacing w:before="143" w:beforeLines="50" w:after="0" w:line="360" w:lineRule="auto"/>
        <w:ind w:firstLineChars="200"/>
        <w:rPr>
          <w:rFonts w:hint="eastAsia" w:ascii="宋体" w:hAnsi="宋体" w:eastAsia="宋体" w:cs="宋体"/>
          <w:color w:val="auto"/>
          <w:sz w:val="22"/>
          <w:szCs w:val="22"/>
          <w:highlight w:val="none"/>
          <w:shd w:val="clear" w:color="auto" w:fill="auto"/>
          <w:lang w:eastAsia="zh-CN"/>
        </w:rPr>
      </w:pPr>
      <w:r>
        <w:rPr>
          <w:rFonts w:hint="eastAsia" w:ascii="宋体" w:hAnsi="宋体" w:eastAsia="宋体" w:cs="宋体"/>
          <w:color w:val="auto"/>
          <w:sz w:val="22"/>
          <w:szCs w:val="22"/>
          <w:highlight w:val="none"/>
          <w:shd w:val="clear" w:color="auto" w:fill="auto"/>
        </w:rPr>
        <w:t>注：1、本表根据第二章《采购需求》制作。2、若无偏离应在本表空白处醒目地注明“无技术服务条款偏离，完全响应采购文件要求”的类似字样</w:t>
      </w:r>
      <w:r>
        <w:rPr>
          <w:rFonts w:hint="eastAsia" w:ascii="宋体" w:hAnsi="宋体" w:cs="宋体"/>
          <w:color w:val="auto"/>
          <w:sz w:val="22"/>
          <w:szCs w:val="22"/>
          <w:highlight w:val="none"/>
          <w:shd w:val="clear" w:color="auto" w:fill="auto"/>
          <w:lang w:eastAsia="zh-CN"/>
        </w:rPr>
        <w:t>。</w:t>
      </w:r>
    </w:p>
    <w:p w14:paraId="6B2154E9">
      <w:pPr>
        <w:keepNext w:val="0"/>
        <w:pageBreakBefore w:val="0"/>
        <w:widowControl w:val="0"/>
        <w:overflowPunct/>
        <w:bidi w:val="0"/>
        <w:spacing w:line="360" w:lineRule="auto"/>
        <w:ind w:firstLine="4080"/>
        <w:rPr>
          <w:rFonts w:hint="eastAsia" w:ascii="宋体" w:hAnsi="宋体" w:eastAsia="宋体" w:cs="宋体"/>
          <w:color w:val="auto"/>
          <w:sz w:val="22"/>
          <w:szCs w:val="22"/>
          <w:highlight w:val="none"/>
          <w:shd w:val="clear" w:color="auto" w:fill="auto"/>
        </w:rPr>
      </w:pPr>
    </w:p>
    <w:p w14:paraId="111CC244">
      <w:pPr>
        <w:keepNext w:val="0"/>
        <w:pageBreakBefore w:val="0"/>
        <w:widowControl w:val="0"/>
        <w:overflowPunct/>
        <w:bidi w:val="0"/>
        <w:spacing w:line="48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供应商盖章：</w:t>
      </w:r>
      <w:r>
        <w:rPr>
          <w:rFonts w:hint="eastAsia" w:ascii="宋体" w:hAnsi="宋体" w:eastAsia="宋体" w:cs="宋体"/>
          <w:color w:val="auto"/>
          <w:kern w:val="0"/>
          <w:sz w:val="22"/>
          <w:szCs w:val="22"/>
          <w:highlight w:val="none"/>
          <w:u w:val="single"/>
          <w:shd w:val="clear" w:color="auto" w:fill="auto"/>
        </w:rPr>
        <w:t xml:space="preserve">   （公章） </w:t>
      </w:r>
    </w:p>
    <w:p w14:paraId="6E36DBA6">
      <w:pPr>
        <w:keepNext w:val="0"/>
        <w:pageBreakBefore w:val="0"/>
        <w:widowControl w:val="0"/>
        <w:overflowPunct/>
        <w:bidi w:val="0"/>
        <w:spacing w:line="48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法定代表人或授权代表（签字或盖章）：</w:t>
      </w:r>
      <w:r>
        <w:rPr>
          <w:rFonts w:hint="eastAsia" w:ascii="宋体" w:hAnsi="宋体" w:eastAsia="宋体" w:cs="宋体"/>
          <w:color w:val="auto"/>
          <w:kern w:val="0"/>
          <w:sz w:val="22"/>
          <w:szCs w:val="22"/>
          <w:highlight w:val="none"/>
          <w:u w:val="single"/>
          <w:shd w:val="clear" w:color="auto" w:fill="auto"/>
        </w:rPr>
        <w:t xml:space="preserve">             </w:t>
      </w:r>
    </w:p>
    <w:p w14:paraId="763862FE">
      <w:pPr>
        <w:keepNext w:val="0"/>
        <w:pageBreakBefore w:val="0"/>
        <w:widowControl w:val="0"/>
        <w:overflowPunct/>
        <w:bidi w:val="0"/>
        <w:snapToGrid w:val="0"/>
        <w:spacing w:line="48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年</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月</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日</w:t>
      </w:r>
    </w:p>
    <w:p w14:paraId="591B0CF4">
      <w:pPr>
        <w:keepNext w:val="0"/>
        <w:pageBreakBefore w:val="0"/>
        <w:widowControl w:val="0"/>
        <w:overflowPunct/>
        <w:bidi w:val="0"/>
        <w:snapToGrid w:val="0"/>
        <w:spacing w:line="360" w:lineRule="auto"/>
        <w:jc w:val="left"/>
        <w:rPr>
          <w:rFonts w:hint="eastAsia" w:ascii="宋体" w:hAnsi="宋体" w:eastAsia="宋体" w:cs="宋体"/>
          <w:color w:val="auto"/>
          <w:kern w:val="0"/>
          <w:szCs w:val="21"/>
          <w:highlight w:val="none"/>
          <w:shd w:val="clear" w:color="auto" w:fill="auto"/>
        </w:rPr>
      </w:pPr>
    </w:p>
    <w:p w14:paraId="1443A223">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2EA13C8D">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4867A830">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2D601875">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0181B1CE">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49CC5BEC">
      <w:pPr>
        <w:rPr>
          <w:rFonts w:hint="eastAsia" w:ascii="宋体" w:hAnsi="宋体" w:eastAsia="宋体" w:cs="宋体"/>
          <w:color w:val="auto"/>
          <w:highlight w:val="none"/>
          <w:shd w:val="clear" w:color="auto" w:fill="auto"/>
        </w:rPr>
      </w:pPr>
    </w:p>
    <w:p w14:paraId="16745564">
      <w:pPr>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br w:type="page"/>
      </w:r>
    </w:p>
    <w:p w14:paraId="7F54C654">
      <w:pPr>
        <w:keepNext w:val="0"/>
        <w:pageBreakBefore w:val="0"/>
        <w:widowControl w:val="0"/>
        <w:overflowPunct/>
        <w:bidi w:val="0"/>
        <w:snapToGrid w:val="0"/>
        <w:spacing w:line="360" w:lineRule="auto"/>
        <w:rPr>
          <w:rFonts w:hint="eastAsia" w:ascii="宋体" w:hAnsi="宋体" w:eastAsia="宋体" w:cs="宋体"/>
          <w:color w:val="auto"/>
          <w:sz w:val="22"/>
          <w:szCs w:val="22"/>
          <w:highlight w:val="none"/>
          <w:shd w:val="clear" w:color="auto" w:fill="auto"/>
          <w:lang w:eastAsia="zh-CN"/>
        </w:rPr>
      </w:pPr>
      <w:r>
        <w:rPr>
          <w:rFonts w:hint="eastAsia" w:ascii="宋体" w:hAnsi="宋体" w:eastAsia="宋体" w:cs="宋体"/>
          <w:color w:val="auto"/>
          <w:sz w:val="22"/>
          <w:szCs w:val="22"/>
          <w:highlight w:val="none"/>
          <w:shd w:val="clear" w:color="auto" w:fill="auto"/>
        </w:rPr>
        <w:t>3.</w:t>
      </w:r>
      <w:r>
        <w:rPr>
          <w:rFonts w:hint="eastAsia" w:ascii="宋体" w:hAnsi="宋体" w:cs="宋体"/>
          <w:color w:val="auto"/>
          <w:kern w:val="0"/>
          <w:sz w:val="22"/>
          <w:szCs w:val="22"/>
          <w:highlight w:val="none"/>
          <w:shd w:val="clear" w:color="auto" w:fill="auto"/>
          <w:lang w:eastAsia="zh-CN"/>
        </w:rPr>
        <w:t>项目总监理工程师简历表</w:t>
      </w:r>
    </w:p>
    <w:p w14:paraId="5D663E24">
      <w:pPr>
        <w:keepNext w:val="0"/>
        <w:pageBreakBefore w:val="0"/>
        <w:widowControl w:val="0"/>
        <w:overflowPunct/>
        <w:bidi w:val="0"/>
        <w:snapToGrid w:val="0"/>
        <w:spacing w:line="360" w:lineRule="auto"/>
        <w:jc w:val="center"/>
        <w:rPr>
          <w:rFonts w:hint="eastAsia" w:ascii="宋体" w:hAnsi="宋体" w:eastAsia="宋体" w:cs="宋体"/>
          <w:b/>
          <w:bCs/>
          <w:color w:val="auto"/>
          <w:sz w:val="22"/>
          <w:szCs w:val="22"/>
          <w:highlight w:val="none"/>
          <w:shd w:val="clear" w:color="auto" w:fill="auto"/>
          <w:lang w:eastAsia="zh-CN"/>
        </w:rPr>
      </w:pPr>
      <w:r>
        <w:rPr>
          <w:rFonts w:hint="eastAsia" w:ascii="宋体" w:hAnsi="宋体" w:cs="宋体"/>
          <w:b/>
          <w:bCs/>
          <w:color w:val="auto"/>
          <w:sz w:val="22"/>
          <w:szCs w:val="22"/>
          <w:highlight w:val="none"/>
          <w:shd w:val="clear" w:color="auto" w:fill="auto"/>
          <w:lang w:eastAsia="zh-CN"/>
        </w:rPr>
        <w:t>项目总监理工程师简历表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097"/>
        <w:gridCol w:w="1743"/>
        <w:gridCol w:w="876"/>
        <w:gridCol w:w="349"/>
        <w:gridCol w:w="695"/>
        <w:gridCol w:w="1226"/>
        <w:gridCol w:w="874"/>
        <w:gridCol w:w="1657"/>
      </w:tblGrid>
      <w:tr w14:paraId="005C74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644" w:type="pct"/>
            <w:vAlign w:val="center"/>
          </w:tcPr>
          <w:p w14:paraId="231B8882">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1023" w:type="pct"/>
            <w:vAlign w:val="center"/>
          </w:tcPr>
          <w:p w14:paraId="59E3940C">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718" w:type="pct"/>
            <w:gridSpan w:val="2"/>
            <w:vAlign w:val="center"/>
          </w:tcPr>
          <w:p w14:paraId="78AFB78F">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性别</w:t>
            </w:r>
          </w:p>
        </w:tc>
        <w:tc>
          <w:tcPr>
            <w:tcW w:w="1128" w:type="pct"/>
            <w:gridSpan w:val="2"/>
            <w:vAlign w:val="center"/>
          </w:tcPr>
          <w:p w14:paraId="54D2A0F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p>
        </w:tc>
        <w:tc>
          <w:tcPr>
            <w:tcW w:w="513" w:type="pct"/>
            <w:vAlign w:val="center"/>
          </w:tcPr>
          <w:p w14:paraId="6C47EE95">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972" w:type="pct"/>
            <w:vAlign w:val="center"/>
          </w:tcPr>
          <w:p w14:paraId="4BFDA058">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r>
      <w:tr w14:paraId="5C7AAC1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644" w:type="pct"/>
            <w:vAlign w:val="center"/>
          </w:tcPr>
          <w:p w14:paraId="19CBFE3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职务</w:t>
            </w:r>
          </w:p>
        </w:tc>
        <w:tc>
          <w:tcPr>
            <w:tcW w:w="1023" w:type="pct"/>
            <w:vAlign w:val="center"/>
          </w:tcPr>
          <w:p w14:paraId="2989C536">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718" w:type="pct"/>
            <w:gridSpan w:val="2"/>
            <w:vAlign w:val="center"/>
          </w:tcPr>
          <w:p w14:paraId="78F4C337">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技术职称/资格证书</w:t>
            </w:r>
          </w:p>
        </w:tc>
        <w:tc>
          <w:tcPr>
            <w:tcW w:w="1128" w:type="pct"/>
            <w:gridSpan w:val="2"/>
            <w:vAlign w:val="center"/>
          </w:tcPr>
          <w:p w14:paraId="1DF7BD94">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p>
        </w:tc>
        <w:tc>
          <w:tcPr>
            <w:tcW w:w="513" w:type="pct"/>
            <w:vAlign w:val="center"/>
          </w:tcPr>
          <w:p w14:paraId="0446C003">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学历</w:t>
            </w:r>
          </w:p>
        </w:tc>
        <w:tc>
          <w:tcPr>
            <w:tcW w:w="972" w:type="pct"/>
            <w:vAlign w:val="center"/>
          </w:tcPr>
          <w:p w14:paraId="33040A8A">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r>
      <w:tr w14:paraId="30FDCE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644" w:type="pct"/>
            <w:vAlign w:val="center"/>
          </w:tcPr>
          <w:p w14:paraId="7003144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参加工作</w:t>
            </w:r>
          </w:p>
          <w:p w14:paraId="74DD619B">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时间</w:t>
            </w:r>
          </w:p>
        </w:tc>
        <w:tc>
          <w:tcPr>
            <w:tcW w:w="1742" w:type="pct"/>
            <w:gridSpan w:val="3"/>
            <w:vAlign w:val="center"/>
          </w:tcPr>
          <w:p w14:paraId="7AE3C8A5">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1128" w:type="pct"/>
            <w:gridSpan w:val="2"/>
            <w:vAlign w:val="center"/>
          </w:tcPr>
          <w:p w14:paraId="0C00083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取得技术职称/资格证书时间</w:t>
            </w:r>
          </w:p>
        </w:tc>
        <w:tc>
          <w:tcPr>
            <w:tcW w:w="1485" w:type="pct"/>
            <w:gridSpan w:val="2"/>
            <w:vAlign w:val="center"/>
          </w:tcPr>
          <w:p w14:paraId="68D21047">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r>
      <w:tr w14:paraId="1FD9E2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5000" w:type="pct"/>
            <w:gridSpan w:val="8"/>
            <w:vAlign w:val="center"/>
          </w:tcPr>
          <w:p w14:paraId="0277E80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主要工作经历</w:t>
            </w:r>
          </w:p>
        </w:tc>
      </w:tr>
      <w:tr w14:paraId="2C34B6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644" w:type="pct"/>
            <w:vAlign w:val="center"/>
          </w:tcPr>
          <w:p w14:paraId="60A4590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w:t>
            </w:r>
          </w:p>
        </w:tc>
        <w:tc>
          <w:tcPr>
            <w:tcW w:w="1537" w:type="pct"/>
            <w:gridSpan w:val="2"/>
            <w:vAlign w:val="center"/>
          </w:tcPr>
          <w:p w14:paraId="3CB89011">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参加过的类似项目</w:t>
            </w:r>
          </w:p>
        </w:tc>
        <w:tc>
          <w:tcPr>
            <w:tcW w:w="613" w:type="pct"/>
            <w:gridSpan w:val="2"/>
            <w:vAlign w:val="center"/>
          </w:tcPr>
          <w:p w14:paraId="4D7AFF1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建设</w:t>
            </w:r>
          </w:p>
          <w:p w14:paraId="44472A9A">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规模</w:t>
            </w:r>
          </w:p>
        </w:tc>
        <w:tc>
          <w:tcPr>
            <w:tcW w:w="719" w:type="pct"/>
            <w:vAlign w:val="center"/>
          </w:tcPr>
          <w:p w14:paraId="142AAC29">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担任职务</w:t>
            </w:r>
          </w:p>
        </w:tc>
        <w:tc>
          <w:tcPr>
            <w:tcW w:w="513" w:type="pct"/>
            <w:vAlign w:val="center"/>
          </w:tcPr>
          <w:p w14:paraId="08D2C0FC">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在建或已完</w:t>
            </w:r>
          </w:p>
        </w:tc>
        <w:tc>
          <w:tcPr>
            <w:tcW w:w="972" w:type="pct"/>
            <w:vAlign w:val="center"/>
          </w:tcPr>
          <w:p w14:paraId="7FDED4DB">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及</w:t>
            </w:r>
          </w:p>
          <w:p w14:paraId="66500567">
            <w:pPr>
              <w:keepNext w:val="0"/>
              <w:keepLines w:val="0"/>
              <w:suppressLineNumbers w:val="0"/>
              <w:shd w:val="clear"/>
              <w:spacing w:before="0" w:beforeAutospacing="0" w:after="0" w:afterAutospacing="0"/>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r>
      <w:tr w14:paraId="78A12CD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644" w:type="pct"/>
            <w:vAlign w:val="center"/>
          </w:tcPr>
          <w:p w14:paraId="5C39B158">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1537" w:type="pct"/>
            <w:gridSpan w:val="2"/>
            <w:vAlign w:val="center"/>
          </w:tcPr>
          <w:p w14:paraId="0141616D">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613" w:type="pct"/>
            <w:gridSpan w:val="2"/>
            <w:vAlign w:val="center"/>
          </w:tcPr>
          <w:p w14:paraId="0BA664A6">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719" w:type="pct"/>
            <w:vAlign w:val="center"/>
          </w:tcPr>
          <w:p w14:paraId="43046A65">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513" w:type="pct"/>
            <w:vAlign w:val="center"/>
          </w:tcPr>
          <w:p w14:paraId="2E6ABCD1">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972" w:type="pct"/>
            <w:vAlign w:val="center"/>
          </w:tcPr>
          <w:p w14:paraId="776EA916">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r>
      <w:tr w14:paraId="42963E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644" w:type="pct"/>
            <w:vAlign w:val="center"/>
          </w:tcPr>
          <w:p w14:paraId="16497450">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1537" w:type="pct"/>
            <w:gridSpan w:val="2"/>
            <w:vAlign w:val="center"/>
          </w:tcPr>
          <w:p w14:paraId="72E5E014">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613" w:type="pct"/>
            <w:gridSpan w:val="2"/>
            <w:vAlign w:val="center"/>
          </w:tcPr>
          <w:p w14:paraId="20088072">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719" w:type="pct"/>
            <w:vAlign w:val="center"/>
          </w:tcPr>
          <w:p w14:paraId="2F6B1442">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513" w:type="pct"/>
            <w:vAlign w:val="center"/>
          </w:tcPr>
          <w:p w14:paraId="4D362FC4">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972" w:type="pct"/>
            <w:vAlign w:val="center"/>
          </w:tcPr>
          <w:p w14:paraId="0C4D59D1">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r>
      <w:tr w14:paraId="1AF931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644" w:type="pct"/>
            <w:vAlign w:val="center"/>
          </w:tcPr>
          <w:p w14:paraId="4AA8D1EB">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1537" w:type="pct"/>
            <w:gridSpan w:val="2"/>
            <w:vAlign w:val="center"/>
          </w:tcPr>
          <w:p w14:paraId="4D087117">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613" w:type="pct"/>
            <w:gridSpan w:val="2"/>
            <w:vAlign w:val="center"/>
          </w:tcPr>
          <w:p w14:paraId="79CB4CD4">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719" w:type="pct"/>
            <w:vAlign w:val="center"/>
          </w:tcPr>
          <w:p w14:paraId="6865E587">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513" w:type="pct"/>
            <w:vAlign w:val="center"/>
          </w:tcPr>
          <w:p w14:paraId="17CC27D6">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972" w:type="pct"/>
            <w:vAlign w:val="center"/>
          </w:tcPr>
          <w:p w14:paraId="3387A5BE">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r>
      <w:tr w14:paraId="0B5F5D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644" w:type="pct"/>
            <w:vAlign w:val="center"/>
          </w:tcPr>
          <w:p w14:paraId="0D5EAC14">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1537" w:type="pct"/>
            <w:gridSpan w:val="2"/>
            <w:vAlign w:val="center"/>
          </w:tcPr>
          <w:p w14:paraId="6687B965">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613" w:type="pct"/>
            <w:gridSpan w:val="2"/>
            <w:vAlign w:val="center"/>
          </w:tcPr>
          <w:p w14:paraId="58C8C568">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719" w:type="pct"/>
            <w:vAlign w:val="center"/>
          </w:tcPr>
          <w:p w14:paraId="33852112">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513" w:type="pct"/>
            <w:vAlign w:val="center"/>
          </w:tcPr>
          <w:p w14:paraId="298719D5">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972" w:type="pct"/>
            <w:vAlign w:val="center"/>
          </w:tcPr>
          <w:p w14:paraId="13F118D0">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r>
      <w:tr w14:paraId="58767A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644" w:type="pct"/>
            <w:vAlign w:val="center"/>
          </w:tcPr>
          <w:p w14:paraId="60161ADA">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1537" w:type="pct"/>
            <w:gridSpan w:val="2"/>
            <w:vAlign w:val="center"/>
          </w:tcPr>
          <w:p w14:paraId="44FD6209">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613" w:type="pct"/>
            <w:gridSpan w:val="2"/>
            <w:vAlign w:val="center"/>
          </w:tcPr>
          <w:p w14:paraId="5532611D">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719" w:type="pct"/>
            <w:vAlign w:val="center"/>
          </w:tcPr>
          <w:p w14:paraId="7A018621">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513" w:type="pct"/>
            <w:vAlign w:val="center"/>
          </w:tcPr>
          <w:p w14:paraId="6823F28E">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972" w:type="pct"/>
            <w:vAlign w:val="center"/>
          </w:tcPr>
          <w:p w14:paraId="189A6CD3">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r>
      <w:tr w14:paraId="3130E5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644" w:type="pct"/>
            <w:vAlign w:val="center"/>
          </w:tcPr>
          <w:p w14:paraId="734B9A27">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1537" w:type="pct"/>
            <w:gridSpan w:val="2"/>
            <w:vAlign w:val="center"/>
          </w:tcPr>
          <w:p w14:paraId="06EEA471">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613" w:type="pct"/>
            <w:gridSpan w:val="2"/>
            <w:vAlign w:val="center"/>
          </w:tcPr>
          <w:p w14:paraId="1F3F51CD">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719" w:type="pct"/>
            <w:vAlign w:val="center"/>
          </w:tcPr>
          <w:p w14:paraId="5FF30EAE">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513" w:type="pct"/>
            <w:vAlign w:val="center"/>
          </w:tcPr>
          <w:p w14:paraId="56AC31A3">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972" w:type="pct"/>
            <w:vAlign w:val="center"/>
          </w:tcPr>
          <w:p w14:paraId="0ACD7C81">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r>
      <w:tr w14:paraId="3E6DF8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97" w:hRule="atLeast"/>
          <w:jc w:val="center"/>
        </w:trPr>
        <w:tc>
          <w:tcPr>
            <w:tcW w:w="644" w:type="pct"/>
            <w:vAlign w:val="center"/>
          </w:tcPr>
          <w:p w14:paraId="28A597D3">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1537" w:type="pct"/>
            <w:gridSpan w:val="2"/>
            <w:vAlign w:val="center"/>
          </w:tcPr>
          <w:p w14:paraId="361BDB42">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613" w:type="pct"/>
            <w:gridSpan w:val="2"/>
            <w:vAlign w:val="center"/>
          </w:tcPr>
          <w:p w14:paraId="644FB2E9">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719" w:type="pct"/>
            <w:vAlign w:val="center"/>
          </w:tcPr>
          <w:p w14:paraId="4A496B66">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513" w:type="pct"/>
            <w:vAlign w:val="center"/>
          </w:tcPr>
          <w:p w14:paraId="6FCB3D02">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c>
          <w:tcPr>
            <w:tcW w:w="972" w:type="pct"/>
            <w:vAlign w:val="center"/>
          </w:tcPr>
          <w:p w14:paraId="52BF881E">
            <w:pPr>
              <w:keepNext w:val="0"/>
              <w:keepLines w:val="0"/>
              <w:suppressLineNumbers w:val="0"/>
              <w:shd w:val="clear"/>
              <w:spacing w:before="0" w:beforeAutospacing="0" w:after="0" w:afterAutospacing="0"/>
              <w:ind w:left="0" w:right="0"/>
              <w:jc w:val="center"/>
              <w:rPr>
                <w:rFonts w:hint="eastAsia" w:ascii="宋体" w:hAnsi="宋体" w:eastAsia="宋体" w:cs="宋体"/>
                <w:b/>
                <w:color w:val="auto"/>
                <w:sz w:val="22"/>
                <w:szCs w:val="22"/>
                <w:highlight w:val="none"/>
              </w:rPr>
            </w:pPr>
          </w:p>
        </w:tc>
      </w:tr>
    </w:tbl>
    <w:p w14:paraId="71D51F1D">
      <w:pPr>
        <w:shd w:val="clear"/>
        <w:snapToGrid w:val="0"/>
        <w:spacing w:line="440" w:lineRule="exact"/>
        <w:rPr>
          <w:rFonts w:hint="eastAsia" w:ascii="宋体" w:hAnsi="宋体" w:eastAsia="宋体" w:cs="宋体"/>
          <w:color w:val="auto"/>
          <w:sz w:val="22"/>
          <w:szCs w:val="22"/>
          <w:highlight w:val="none"/>
          <w:shd w:val="pct10" w:color="auto" w:fill="FFFFFF"/>
        </w:rPr>
      </w:pPr>
      <w:r>
        <w:rPr>
          <w:rFonts w:hint="eastAsia" w:ascii="宋体" w:hAnsi="宋体" w:eastAsia="宋体" w:cs="宋体"/>
          <w:bCs/>
          <w:color w:val="auto"/>
          <w:sz w:val="22"/>
          <w:szCs w:val="22"/>
          <w:highlight w:val="none"/>
        </w:rPr>
        <w:t>注：拟派项目负责人填写此表。后附拟派项目负责人对应的资格要求证书扫描件、近</w:t>
      </w:r>
      <w:r>
        <w:rPr>
          <w:rFonts w:hint="eastAsia" w:ascii="宋体" w:hAnsi="宋体" w:cs="宋体"/>
          <w:bCs/>
          <w:color w:val="auto"/>
          <w:sz w:val="22"/>
          <w:szCs w:val="22"/>
          <w:highlight w:val="none"/>
          <w:lang w:eastAsia="zh-CN"/>
        </w:rPr>
        <w:t>开标日</w:t>
      </w:r>
      <w:r>
        <w:rPr>
          <w:rFonts w:hint="eastAsia" w:ascii="宋体" w:hAnsi="宋体" w:eastAsia="宋体" w:cs="宋体"/>
          <w:bCs/>
          <w:color w:val="auto"/>
          <w:sz w:val="22"/>
          <w:szCs w:val="22"/>
          <w:highlight w:val="none"/>
          <w:lang w:val="en-US" w:eastAsia="zh-CN"/>
        </w:rPr>
        <w:t>前三个月社保机构出具的养老保险缴纳证明或加盖社保机构电子章的网上打印件</w:t>
      </w:r>
      <w:r>
        <w:rPr>
          <w:rFonts w:hint="eastAsia" w:ascii="宋体" w:hAnsi="宋体" w:eastAsia="宋体" w:cs="宋体"/>
          <w:bCs/>
          <w:color w:val="auto"/>
          <w:sz w:val="22"/>
          <w:szCs w:val="22"/>
          <w:highlight w:val="none"/>
        </w:rPr>
        <w:t>。</w:t>
      </w:r>
    </w:p>
    <w:p w14:paraId="68657214">
      <w:pPr>
        <w:keepNext w:val="0"/>
        <w:pageBreakBefore w:val="0"/>
        <w:widowControl w:val="0"/>
        <w:overflowPunct/>
        <w:bidi w:val="0"/>
        <w:spacing w:line="480" w:lineRule="auto"/>
        <w:jc w:val="center"/>
        <w:rPr>
          <w:rFonts w:hint="eastAsia" w:ascii="宋体" w:hAnsi="宋体" w:eastAsia="宋体" w:cs="宋体"/>
          <w:b/>
          <w:color w:val="auto"/>
          <w:sz w:val="22"/>
          <w:szCs w:val="22"/>
          <w:highlight w:val="none"/>
          <w:shd w:val="clear" w:color="auto" w:fill="auto"/>
        </w:rPr>
      </w:pPr>
    </w:p>
    <w:p w14:paraId="6F0542F5">
      <w:pPr>
        <w:keepNext w:val="0"/>
        <w:pageBreakBefore w:val="0"/>
        <w:widowControl w:val="0"/>
        <w:overflowPunct/>
        <w:bidi w:val="0"/>
        <w:spacing w:line="48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供应商盖章：</w:t>
      </w:r>
      <w:r>
        <w:rPr>
          <w:rFonts w:hint="eastAsia" w:ascii="宋体" w:hAnsi="宋体" w:eastAsia="宋体" w:cs="宋体"/>
          <w:color w:val="auto"/>
          <w:kern w:val="0"/>
          <w:sz w:val="22"/>
          <w:szCs w:val="22"/>
          <w:highlight w:val="none"/>
          <w:u w:val="single"/>
          <w:shd w:val="clear" w:color="auto" w:fill="auto"/>
        </w:rPr>
        <w:t xml:space="preserve">   （公章） </w:t>
      </w:r>
    </w:p>
    <w:p w14:paraId="0A03F52F">
      <w:pPr>
        <w:keepNext w:val="0"/>
        <w:pageBreakBefore w:val="0"/>
        <w:widowControl w:val="0"/>
        <w:overflowPunct/>
        <w:bidi w:val="0"/>
        <w:spacing w:line="48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法定代表人或授权代表（签字或盖章）：</w:t>
      </w:r>
      <w:r>
        <w:rPr>
          <w:rFonts w:hint="eastAsia" w:ascii="宋体" w:hAnsi="宋体" w:eastAsia="宋体" w:cs="宋体"/>
          <w:color w:val="auto"/>
          <w:kern w:val="0"/>
          <w:sz w:val="22"/>
          <w:szCs w:val="22"/>
          <w:highlight w:val="none"/>
          <w:u w:val="single"/>
          <w:shd w:val="clear" w:color="auto" w:fill="auto"/>
        </w:rPr>
        <w:t xml:space="preserve">             </w:t>
      </w:r>
    </w:p>
    <w:p w14:paraId="0185D706">
      <w:pPr>
        <w:keepNext w:val="0"/>
        <w:pageBreakBefore w:val="0"/>
        <w:widowControl w:val="0"/>
        <w:overflowPunct/>
        <w:bidi w:val="0"/>
        <w:snapToGrid w:val="0"/>
        <w:spacing w:line="48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日期：</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年</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月</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日</w:t>
      </w:r>
    </w:p>
    <w:p w14:paraId="1A5E89EF">
      <w:pPr>
        <w:keepNext w:val="0"/>
        <w:pageBreakBefore w:val="0"/>
        <w:widowControl w:val="0"/>
        <w:overflowPunct/>
        <w:bidi w:val="0"/>
        <w:snapToGrid w:val="0"/>
        <w:spacing w:line="360" w:lineRule="auto"/>
        <w:rPr>
          <w:rFonts w:hint="eastAsia" w:ascii="宋体" w:hAnsi="宋体" w:eastAsia="宋体" w:cs="宋体"/>
          <w:b/>
          <w:bCs w:val="0"/>
          <w:color w:val="auto"/>
          <w:sz w:val="21"/>
          <w:szCs w:val="21"/>
          <w:highlight w:val="none"/>
          <w:shd w:val="clear" w:color="auto" w:fill="auto"/>
        </w:rPr>
      </w:pPr>
    </w:p>
    <w:p w14:paraId="79F09AF7">
      <w:pPr>
        <w:keepNext w:val="0"/>
        <w:pageBreakBefore w:val="0"/>
        <w:widowControl w:val="0"/>
        <w:overflowPunct/>
        <w:bidi w:val="0"/>
        <w:snapToGrid w:val="0"/>
        <w:spacing w:line="480" w:lineRule="auto"/>
        <w:rPr>
          <w:rFonts w:hint="eastAsia" w:ascii="宋体" w:hAnsi="宋体" w:eastAsia="宋体" w:cs="宋体"/>
          <w:b/>
          <w:bCs w:val="0"/>
          <w:color w:val="auto"/>
          <w:sz w:val="21"/>
          <w:szCs w:val="21"/>
          <w:highlight w:val="none"/>
          <w:shd w:val="clear" w:color="auto" w:fill="auto"/>
        </w:rPr>
      </w:pPr>
    </w:p>
    <w:p w14:paraId="3A91FFDE">
      <w:pPr>
        <w:keepNext w:val="0"/>
        <w:pageBreakBefore w:val="0"/>
        <w:widowControl w:val="0"/>
        <w:overflowPunct/>
        <w:bidi w:val="0"/>
        <w:snapToGrid w:val="0"/>
        <w:spacing w:line="48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highlight w:val="none"/>
          <w:shd w:val="clear" w:color="auto" w:fill="auto"/>
          <w:lang w:val="zh-CN"/>
        </w:rPr>
        <w:br w:type="page"/>
      </w:r>
      <w:r>
        <w:rPr>
          <w:rFonts w:hint="eastAsia" w:ascii="宋体" w:hAnsi="宋体" w:eastAsia="宋体" w:cs="宋体"/>
          <w:color w:val="auto"/>
          <w:kern w:val="0"/>
          <w:sz w:val="22"/>
          <w:szCs w:val="22"/>
          <w:highlight w:val="none"/>
          <w:shd w:val="clear" w:color="auto" w:fill="auto"/>
        </w:rPr>
        <w:t>4.</w:t>
      </w:r>
      <w:r>
        <w:rPr>
          <w:rFonts w:hint="eastAsia" w:ascii="宋体" w:hAnsi="宋体" w:eastAsia="宋体" w:cs="宋体"/>
          <w:color w:val="auto"/>
          <w:sz w:val="22"/>
          <w:szCs w:val="22"/>
          <w:highlight w:val="none"/>
          <w:shd w:val="clear" w:color="auto" w:fill="auto"/>
        </w:rPr>
        <w:t>拟投入本项目团队情况表</w:t>
      </w:r>
    </w:p>
    <w:p w14:paraId="513C5C44">
      <w:pPr>
        <w:shd w:val="clear"/>
        <w:snapToGrid w:val="0"/>
        <w:spacing w:line="360" w:lineRule="auto"/>
        <w:jc w:val="center"/>
        <w:rPr>
          <w:rFonts w:hint="eastAsia" w:ascii="宋体" w:hAnsi="宋体" w:eastAsia="宋体" w:cs="宋体"/>
          <w:b/>
          <w:color w:val="auto"/>
          <w:sz w:val="24"/>
          <w:highlight w:val="none"/>
          <w:shd w:val="clear" w:color="auto" w:fill="auto"/>
        </w:rPr>
      </w:pPr>
      <w:r>
        <w:rPr>
          <w:rFonts w:hint="eastAsia" w:ascii="宋体" w:hAnsi="宋体" w:eastAsia="宋体" w:cs="宋体"/>
          <w:b/>
          <w:color w:val="auto"/>
          <w:sz w:val="24"/>
          <w:highlight w:val="none"/>
          <w:shd w:val="clear" w:color="auto" w:fill="auto"/>
        </w:rPr>
        <w:t>拟投入本项目团队情况表</w:t>
      </w:r>
    </w:p>
    <w:tbl>
      <w:tblPr>
        <w:tblStyle w:val="1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173"/>
        <w:gridCol w:w="1049"/>
        <w:gridCol w:w="912"/>
        <w:gridCol w:w="1898"/>
        <w:gridCol w:w="1229"/>
        <w:gridCol w:w="1610"/>
      </w:tblGrid>
      <w:tr w14:paraId="488F9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80" w:hRule="atLeast"/>
          <w:jc w:val="center"/>
        </w:trPr>
        <w:tc>
          <w:tcPr>
            <w:tcW w:w="380" w:type="pct"/>
            <w:vAlign w:val="center"/>
          </w:tcPr>
          <w:p w14:paraId="4C6A0B59">
            <w:pPr>
              <w:keepNext w:val="0"/>
              <w:keepLines w:val="0"/>
              <w:suppressLineNumbers w:val="0"/>
              <w:shd w:val="clear"/>
              <w:snapToGrid w:val="0"/>
              <w:spacing w:before="0" w:beforeAutospacing="0" w:after="0" w:afterAutospacing="0" w:line="360" w:lineRule="auto"/>
              <w:ind w:left="0" w:right="0"/>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688" w:type="pct"/>
            <w:vAlign w:val="center"/>
          </w:tcPr>
          <w:p w14:paraId="2A50FB08">
            <w:pPr>
              <w:keepNext w:val="0"/>
              <w:keepLines w:val="0"/>
              <w:suppressLineNumbers w:val="0"/>
              <w:shd w:val="clear"/>
              <w:snapToGrid w:val="0"/>
              <w:spacing w:before="0" w:beforeAutospacing="0" w:after="0" w:afterAutospacing="0" w:line="360" w:lineRule="auto"/>
              <w:ind w:left="0" w:right="0"/>
              <w:jc w:val="center"/>
              <w:rPr>
                <w:rFonts w:ascii="宋体" w:hAnsi="宋体" w:cs="宋体"/>
                <w:b/>
                <w:color w:val="auto"/>
                <w:sz w:val="22"/>
                <w:szCs w:val="22"/>
                <w:highlight w:val="none"/>
              </w:rPr>
            </w:pPr>
            <w:r>
              <w:rPr>
                <w:rFonts w:hint="eastAsia" w:ascii="宋体" w:hAnsi="宋体" w:cs="宋体"/>
                <w:b/>
                <w:color w:val="auto"/>
                <w:sz w:val="22"/>
                <w:szCs w:val="22"/>
                <w:highlight w:val="none"/>
              </w:rPr>
              <w:t>姓名</w:t>
            </w:r>
          </w:p>
        </w:tc>
        <w:tc>
          <w:tcPr>
            <w:tcW w:w="615" w:type="pct"/>
            <w:vAlign w:val="center"/>
          </w:tcPr>
          <w:p w14:paraId="0B333C55">
            <w:pPr>
              <w:keepNext w:val="0"/>
              <w:keepLines w:val="0"/>
              <w:suppressLineNumbers w:val="0"/>
              <w:shd w:val="clear"/>
              <w:snapToGrid w:val="0"/>
              <w:spacing w:before="0" w:beforeAutospacing="0" w:after="0" w:afterAutospacing="0" w:line="360" w:lineRule="auto"/>
              <w:ind w:left="0" w:right="0"/>
              <w:jc w:val="center"/>
              <w:rPr>
                <w:rFonts w:ascii="宋体" w:hAnsi="宋体" w:cs="宋体"/>
                <w:b/>
                <w:color w:val="auto"/>
                <w:sz w:val="22"/>
                <w:szCs w:val="22"/>
                <w:highlight w:val="none"/>
              </w:rPr>
            </w:pPr>
            <w:r>
              <w:rPr>
                <w:rFonts w:hint="eastAsia" w:ascii="宋体" w:hAnsi="宋体" w:cs="宋体"/>
                <w:b/>
                <w:color w:val="auto"/>
                <w:sz w:val="22"/>
                <w:szCs w:val="22"/>
                <w:highlight w:val="none"/>
              </w:rPr>
              <w:t>性别</w:t>
            </w:r>
          </w:p>
        </w:tc>
        <w:tc>
          <w:tcPr>
            <w:tcW w:w="535" w:type="pct"/>
            <w:vAlign w:val="center"/>
          </w:tcPr>
          <w:p w14:paraId="5BD588FB">
            <w:pPr>
              <w:keepNext w:val="0"/>
              <w:keepLines w:val="0"/>
              <w:suppressLineNumbers w:val="0"/>
              <w:shd w:val="clear"/>
              <w:snapToGrid w:val="0"/>
              <w:spacing w:before="0" w:beforeAutospacing="0" w:after="0" w:afterAutospacing="0" w:line="360" w:lineRule="auto"/>
              <w:ind w:left="0" w:right="0"/>
              <w:jc w:val="center"/>
              <w:rPr>
                <w:rFonts w:ascii="宋体" w:hAnsi="宋体" w:cs="宋体"/>
                <w:b/>
                <w:color w:val="auto"/>
                <w:sz w:val="22"/>
                <w:szCs w:val="22"/>
                <w:highlight w:val="none"/>
              </w:rPr>
            </w:pPr>
            <w:r>
              <w:rPr>
                <w:rFonts w:hint="eastAsia" w:ascii="宋体" w:hAnsi="宋体" w:cs="宋体"/>
                <w:b/>
                <w:color w:val="auto"/>
                <w:sz w:val="22"/>
                <w:szCs w:val="22"/>
                <w:highlight w:val="none"/>
              </w:rPr>
              <w:t>年龄</w:t>
            </w:r>
          </w:p>
        </w:tc>
        <w:tc>
          <w:tcPr>
            <w:tcW w:w="1113" w:type="pct"/>
            <w:vAlign w:val="center"/>
          </w:tcPr>
          <w:p w14:paraId="301504BC">
            <w:pPr>
              <w:keepNext w:val="0"/>
              <w:keepLines w:val="0"/>
              <w:suppressLineNumbers w:val="0"/>
              <w:shd w:val="clear"/>
              <w:snapToGrid w:val="0"/>
              <w:spacing w:before="0" w:beforeAutospacing="0" w:after="0" w:afterAutospacing="0" w:line="360" w:lineRule="auto"/>
              <w:ind w:left="0" w:right="0"/>
              <w:jc w:val="center"/>
              <w:rPr>
                <w:rFonts w:ascii="宋体" w:hAnsi="宋体" w:cs="宋体"/>
                <w:b/>
                <w:color w:val="auto"/>
                <w:sz w:val="22"/>
                <w:szCs w:val="22"/>
                <w:highlight w:val="none"/>
              </w:rPr>
            </w:pPr>
            <w:r>
              <w:rPr>
                <w:rFonts w:hint="eastAsia" w:ascii="宋体" w:hAnsi="宋体" w:cs="宋体"/>
                <w:b/>
                <w:color w:val="auto"/>
                <w:sz w:val="22"/>
                <w:szCs w:val="22"/>
                <w:highlight w:val="none"/>
              </w:rPr>
              <w:t>本项目岗位</w:t>
            </w:r>
          </w:p>
        </w:tc>
        <w:tc>
          <w:tcPr>
            <w:tcW w:w="721" w:type="pct"/>
            <w:vAlign w:val="center"/>
          </w:tcPr>
          <w:p w14:paraId="3BF8DFAE">
            <w:pPr>
              <w:keepNext w:val="0"/>
              <w:keepLines w:val="0"/>
              <w:suppressLineNumbers w:val="0"/>
              <w:shd w:val="clear"/>
              <w:snapToGrid w:val="0"/>
              <w:spacing w:before="0" w:beforeAutospacing="0" w:after="0" w:afterAutospacing="0" w:line="360" w:lineRule="auto"/>
              <w:ind w:left="0" w:right="0"/>
              <w:jc w:val="center"/>
              <w:rPr>
                <w:rFonts w:ascii="宋体" w:hAnsi="宋体" w:cs="宋体"/>
                <w:b/>
                <w:color w:val="auto"/>
                <w:sz w:val="22"/>
                <w:szCs w:val="22"/>
                <w:highlight w:val="none"/>
              </w:rPr>
            </w:pPr>
            <w:r>
              <w:rPr>
                <w:rFonts w:hint="eastAsia" w:ascii="宋体" w:hAnsi="宋体" w:cs="宋体"/>
                <w:b/>
                <w:color w:val="auto"/>
                <w:sz w:val="22"/>
                <w:szCs w:val="22"/>
                <w:highlight w:val="none"/>
              </w:rPr>
              <w:t>专业</w:t>
            </w:r>
          </w:p>
        </w:tc>
        <w:tc>
          <w:tcPr>
            <w:tcW w:w="944" w:type="pct"/>
            <w:vAlign w:val="center"/>
          </w:tcPr>
          <w:p w14:paraId="1EF385B6">
            <w:pPr>
              <w:keepNext w:val="0"/>
              <w:keepLines w:val="0"/>
              <w:suppressLineNumbers w:val="0"/>
              <w:shd w:val="clear"/>
              <w:snapToGrid w:val="0"/>
              <w:spacing w:before="0" w:beforeAutospacing="0" w:after="0" w:afterAutospacing="0" w:line="360" w:lineRule="auto"/>
              <w:ind w:left="0" w:right="0"/>
              <w:jc w:val="center"/>
              <w:rPr>
                <w:rFonts w:ascii="宋体" w:hAnsi="宋体" w:cs="宋体"/>
                <w:b/>
                <w:color w:val="auto"/>
                <w:sz w:val="22"/>
                <w:szCs w:val="22"/>
                <w:highlight w:val="none"/>
              </w:rPr>
            </w:pPr>
            <w:r>
              <w:rPr>
                <w:rFonts w:hint="eastAsia" w:ascii="宋体" w:hAnsi="宋体" w:cs="宋体"/>
                <w:b/>
                <w:color w:val="auto"/>
                <w:sz w:val="22"/>
                <w:szCs w:val="22"/>
                <w:highlight w:val="none"/>
              </w:rPr>
              <w:t>职业证书或职称证书</w:t>
            </w:r>
          </w:p>
        </w:tc>
      </w:tr>
      <w:tr w14:paraId="323AA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80" w:type="pct"/>
            <w:vAlign w:val="center"/>
          </w:tcPr>
          <w:p w14:paraId="1ACE9FEC">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r>
              <w:rPr>
                <w:rFonts w:hint="eastAsia" w:ascii="宋体" w:hAnsi="宋体" w:cs="宋体"/>
                <w:bCs/>
                <w:color w:val="auto"/>
                <w:sz w:val="22"/>
                <w:szCs w:val="22"/>
                <w:highlight w:val="none"/>
              </w:rPr>
              <w:t>1</w:t>
            </w:r>
          </w:p>
        </w:tc>
        <w:tc>
          <w:tcPr>
            <w:tcW w:w="688" w:type="pct"/>
            <w:vAlign w:val="center"/>
          </w:tcPr>
          <w:p w14:paraId="379A3AE4">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615" w:type="pct"/>
            <w:vAlign w:val="center"/>
          </w:tcPr>
          <w:p w14:paraId="47FC4686">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535" w:type="pct"/>
            <w:vAlign w:val="center"/>
          </w:tcPr>
          <w:p w14:paraId="78109BF2">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1113" w:type="pct"/>
            <w:vAlign w:val="center"/>
          </w:tcPr>
          <w:p w14:paraId="23905869">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721" w:type="pct"/>
            <w:vAlign w:val="center"/>
          </w:tcPr>
          <w:p w14:paraId="2BDB2DE2">
            <w:pPr>
              <w:keepNext w:val="0"/>
              <w:keepLines w:val="0"/>
              <w:suppressLineNumbers w:val="0"/>
              <w:shd w:val="clear"/>
              <w:snapToGrid w:val="0"/>
              <w:spacing w:before="0" w:beforeAutospacing="0" w:after="0" w:afterAutospacing="0" w:line="360" w:lineRule="auto"/>
              <w:ind w:left="0" w:right="0"/>
              <w:rPr>
                <w:rFonts w:ascii="宋体" w:hAnsi="宋体" w:cs="宋体"/>
                <w:bCs/>
                <w:color w:val="auto"/>
                <w:sz w:val="22"/>
                <w:szCs w:val="22"/>
                <w:highlight w:val="none"/>
              </w:rPr>
            </w:pPr>
          </w:p>
        </w:tc>
        <w:tc>
          <w:tcPr>
            <w:tcW w:w="944" w:type="pct"/>
          </w:tcPr>
          <w:p w14:paraId="09A6F15B">
            <w:pPr>
              <w:keepNext w:val="0"/>
              <w:keepLines w:val="0"/>
              <w:suppressLineNumbers w:val="0"/>
              <w:shd w:val="clear"/>
              <w:snapToGrid w:val="0"/>
              <w:spacing w:before="0" w:beforeAutospacing="0" w:after="0" w:afterAutospacing="0" w:line="360" w:lineRule="auto"/>
              <w:ind w:left="0" w:right="0"/>
              <w:rPr>
                <w:rFonts w:ascii="宋体" w:hAnsi="宋体" w:cs="宋体"/>
                <w:b/>
                <w:color w:val="auto"/>
                <w:sz w:val="22"/>
                <w:szCs w:val="22"/>
                <w:highlight w:val="none"/>
              </w:rPr>
            </w:pPr>
          </w:p>
        </w:tc>
      </w:tr>
      <w:tr w14:paraId="03CEC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80" w:type="pct"/>
            <w:vAlign w:val="center"/>
          </w:tcPr>
          <w:p w14:paraId="09B53807">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r>
              <w:rPr>
                <w:rFonts w:hint="eastAsia" w:ascii="宋体" w:hAnsi="宋体" w:cs="宋体"/>
                <w:bCs/>
                <w:color w:val="auto"/>
                <w:sz w:val="22"/>
                <w:szCs w:val="22"/>
                <w:highlight w:val="none"/>
              </w:rPr>
              <w:t>2</w:t>
            </w:r>
          </w:p>
        </w:tc>
        <w:tc>
          <w:tcPr>
            <w:tcW w:w="688" w:type="pct"/>
            <w:vAlign w:val="center"/>
          </w:tcPr>
          <w:p w14:paraId="72093D66">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615" w:type="pct"/>
            <w:vAlign w:val="center"/>
          </w:tcPr>
          <w:p w14:paraId="2CDA63DF">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535" w:type="pct"/>
            <w:vAlign w:val="center"/>
          </w:tcPr>
          <w:p w14:paraId="008ED4E6">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1113" w:type="pct"/>
            <w:vAlign w:val="center"/>
          </w:tcPr>
          <w:p w14:paraId="327B4C7E">
            <w:pPr>
              <w:keepNext w:val="0"/>
              <w:keepLines w:val="0"/>
              <w:suppressLineNumbers w:val="0"/>
              <w:shd w:val="clear"/>
              <w:snapToGrid w:val="0"/>
              <w:spacing w:before="0" w:beforeAutospacing="0" w:after="0" w:afterAutospacing="0" w:line="360" w:lineRule="auto"/>
              <w:ind w:left="0" w:right="0"/>
              <w:jc w:val="center"/>
              <w:rPr>
                <w:rFonts w:hint="default" w:ascii="宋体" w:hAnsi="宋体" w:eastAsia="宋体" w:cs="宋体"/>
                <w:bCs/>
                <w:color w:val="auto"/>
                <w:sz w:val="22"/>
                <w:szCs w:val="22"/>
                <w:highlight w:val="none"/>
                <w:lang w:val="en-US" w:eastAsia="zh-CN"/>
              </w:rPr>
            </w:pPr>
          </w:p>
        </w:tc>
        <w:tc>
          <w:tcPr>
            <w:tcW w:w="721" w:type="pct"/>
            <w:vAlign w:val="center"/>
          </w:tcPr>
          <w:p w14:paraId="1FC040E4">
            <w:pPr>
              <w:keepNext w:val="0"/>
              <w:keepLines w:val="0"/>
              <w:suppressLineNumbers w:val="0"/>
              <w:shd w:val="clear"/>
              <w:spacing w:before="0" w:beforeAutospacing="0" w:after="0" w:afterAutospacing="0" w:line="240" w:lineRule="exact"/>
              <w:ind w:left="0" w:right="0"/>
              <w:jc w:val="center"/>
              <w:rPr>
                <w:rFonts w:ascii="宋体" w:hAnsi="宋体" w:cs="宋体"/>
                <w:bCs/>
                <w:color w:val="auto"/>
                <w:sz w:val="22"/>
                <w:szCs w:val="22"/>
                <w:highlight w:val="none"/>
              </w:rPr>
            </w:pPr>
          </w:p>
        </w:tc>
        <w:tc>
          <w:tcPr>
            <w:tcW w:w="944" w:type="pct"/>
            <w:vAlign w:val="center"/>
          </w:tcPr>
          <w:p w14:paraId="2F522CA8">
            <w:pPr>
              <w:keepNext w:val="0"/>
              <w:keepLines w:val="0"/>
              <w:suppressLineNumbers w:val="0"/>
              <w:shd w:val="clear"/>
              <w:spacing w:before="0" w:beforeAutospacing="0" w:after="0" w:afterAutospacing="0" w:line="240" w:lineRule="exact"/>
              <w:ind w:left="0" w:right="0"/>
              <w:jc w:val="center"/>
              <w:rPr>
                <w:rFonts w:ascii="宋体" w:hAnsi="宋体" w:cs="宋体"/>
                <w:color w:val="auto"/>
                <w:sz w:val="22"/>
                <w:szCs w:val="22"/>
                <w:highlight w:val="none"/>
              </w:rPr>
            </w:pPr>
          </w:p>
        </w:tc>
      </w:tr>
      <w:tr w14:paraId="7A55B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80" w:type="pct"/>
            <w:shd w:val="clear" w:color="auto" w:fill="auto"/>
            <w:vAlign w:val="center"/>
          </w:tcPr>
          <w:p w14:paraId="2DAEE2B7">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r>
              <w:rPr>
                <w:rFonts w:hint="eastAsia" w:ascii="宋体" w:hAnsi="宋体" w:cs="宋体"/>
                <w:bCs/>
                <w:color w:val="auto"/>
                <w:sz w:val="22"/>
                <w:szCs w:val="22"/>
                <w:highlight w:val="none"/>
              </w:rPr>
              <w:t>3</w:t>
            </w:r>
          </w:p>
        </w:tc>
        <w:tc>
          <w:tcPr>
            <w:tcW w:w="688" w:type="pct"/>
            <w:vAlign w:val="center"/>
          </w:tcPr>
          <w:p w14:paraId="4CF08CED">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615" w:type="pct"/>
            <w:vAlign w:val="center"/>
          </w:tcPr>
          <w:p w14:paraId="2B601B98">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535" w:type="pct"/>
            <w:vAlign w:val="center"/>
          </w:tcPr>
          <w:p w14:paraId="36B1AEAD">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1113" w:type="pct"/>
            <w:shd w:val="clear" w:color="auto" w:fill="auto"/>
            <w:vAlign w:val="center"/>
          </w:tcPr>
          <w:p w14:paraId="0B4AC4CB">
            <w:pPr>
              <w:keepNext w:val="0"/>
              <w:keepLines w:val="0"/>
              <w:suppressLineNumbers w:val="0"/>
              <w:shd w:val="clear"/>
              <w:snapToGrid w:val="0"/>
              <w:spacing w:before="0" w:beforeAutospacing="0" w:after="0" w:afterAutospacing="0" w:line="360" w:lineRule="auto"/>
              <w:ind w:left="0" w:leftChars="0" w:right="0" w:rightChars="0"/>
              <w:jc w:val="center"/>
              <w:rPr>
                <w:rFonts w:ascii="宋体" w:hAnsi="宋体" w:eastAsia="宋体" w:cs="宋体"/>
                <w:bCs/>
                <w:color w:val="auto"/>
                <w:kern w:val="2"/>
                <w:sz w:val="22"/>
                <w:szCs w:val="22"/>
                <w:highlight w:val="none"/>
                <w:lang w:val="en-US" w:eastAsia="zh-CN" w:bidi="ar-SA"/>
              </w:rPr>
            </w:pPr>
          </w:p>
        </w:tc>
        <w:tc>
          <w:tcPr>
            <w:tcW w:w="721" w:type="pct"/>
            <w:vAlign w:val="center"/>
          </w:tcPr>
          <w:p w14:paraId="2D8D0DF0">
            <w:pPr>
              <w:keepNext w:val="0"/>
              <w:keepLines w:val="0"/>
              <w:suppressLineNumbers w:val="0"/>
              <w:shd w:val="clear"/>
              <w:spacing w:before="0" w:beforeAutospacing="0" w:after="0" w:afterAutospacing="0" w:line="240" w:lineRule="exact"/>
              <w:ind w:left="0" w:right="0"/>
              <w:jc w:val="center"/>
              <w:rPr>
                <w:rFonts w:ascii="宋体" w:hAnsi="宋体" w:cs="宋体"/>
                <w:bCs/>
                <w:color w:val="auto"/>
                <w:sz w:val="22"/>
                <w:szCs w:val="22"/>
                <w:highlight w:val="none"/>
              </w:rPr>
            </w:pPr>
          </w:p>
        </w:tc>
        <w:tc>
          <w:tcPr>
            <w:tcW w:w="944" w:type="pct"/>
            <w:vAlign w:val="center"/>
          </w:tcPr>
          <w:p w14:paraId="242C0AFF">
            <w:pPr>
              <w:keepNext w:val="0"/>
              <w:keepLines w:val="0"/>
              <w:suppressLineNumbers w:val="0"/>
              <w:shd w:val="clear"/>
              <w:spacing w:before="0" w:beforeAutospacing="0" w:after="0" w:afterAutospacing="0" w:line="240" w:lineRule="exact"/>
              <w:ind w:left="0" w:right="0"/>
              <w:jc w:val="center"/>
              <w:rPr>
                <w:rFonts w:ascii="宋体" w:hAnsi="宋体" w:cs="宋体"/>
                <w:color w:val="auto"/>
                <w:sz w:val="22"/>
                <w:szCs w:val="22"/>
                <w:highlight w:val="none"/>
              </w:rPr>
            </w:pPr>
          </w:p>
        </w:tc>
      </w:tr>
      <w:tr w14:paraId="1EED7E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80" w:type="pct"/>
            <w:shd w:val="clear" w:color="auto" w:fill="auto"/>
            <w:vAlign w:val="center"/>
          </w:tcPr>
          <w:p w14:paraId="79F32B9F">
            <w:pPr>
              <w:keepNext w:val="0"/>
              <w:keepLines w:val="0"/>
              <w:suppressLineNumbers w:val="0"/>
              <w:shd w:val="clear"/>
              <w:snapToGrid w:val="0"/>
              <w:spacing w:before="0" w:beforeAutospacing="0" w:after="0" w:afterAutospacing="0" w:line="360" w:lineRule="auto"/>
              <w:ind w:left="0" w:right="0"/>
              <w:jc w:val="center"/>
              <w:rPr>
                <w:rFonts w:hint="default" w:ascii="宋体" w:hAnsi="宋体" w:eastAsia="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w:t>
            </w:r>
          </w:p>
        </w:tc>
        <w:tc>
          <w:tcPr>
            <w:tcW w:w="688" w:type="pct"/>
            <w:vAlign w:val="center"/>
          </w:tcPr>
          <w:p w14:paraId="45D83E96">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615" w:type="pct"/>
            <w:vAlign w:val="center"/>
          </w:tcPr>
          <w:p w14:paraId="682DB5DF">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535" w:type="pct"/>
            <w:vAlign w:val="center"/>
          </w:tcPr>
          <w:p w14:paraId="27521715">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1113" w:type="pct"/>
            <w:shd w:val="clear" w:color="auto" w:fill="auto"/>
            <w:vAlign w:val="center"/>
          </w:tcPr>
          <w:p w14:paraId="51A0AAEE">
            <w:pPr>
              <w:keepNext w:val="0"/>
              <w:keepLines w:val="0"/>
              <w:suppressLineNumbers w:val="0"/>
              <w:shd w:val="clear"/>
              <w:snapToGrid w:val="0"/>
              <w:spacing w:before="0" w:beforeAutospacing="0" w:after="0" w:afterAutospacing="0" w:line="360" w:lineRule="auto"/>
              <w:ind w:left="0" w:leftChars="0" w:right="0" w:rightChars="0"/>
              <w:jc w:val="center"/>
              <w:rPr>
                <w:rFonts w:ascii="宋体" w:hAnsi="宋体" w:eastAsia="宋体" w:cs="宋体"/>
                <w:bCs/>
                <w:color w:val="auto"/>
                <w:kern w:val="2"/>
                <w:sz w:val="22"/>
                <w:szCs w:val="22"/>
                <w:highlight w:val="none"/>
                <w:lang w:val="en-US" w:eastAsia="zh-CN" w:bidi="ar-SA"/>
              </w:rPr>
            </w:pPr>
          </w:p>
        </w:tc>
        <w:tc>
          <w:tcPr>
            <w:tcW w:w="721" w:type="pct"/>
            <w:vAlign w:val="center"/>
          </w:tcPr>
          <w:p w14:paraId="4BF5B644">
            <w:pPr>
              <w:keepNext w:val="0"/>
              <w:keepLines w:val="0"/>
              <w:suppressLineNumbers w:val="0"/>
              <w:shd w:val="clear"/>
              <w:spacing w:before="0" w:beforeAutospacing="0" w:after="0" w:afterAutospacing="0" w:line="360" w:lineRule="auto"/>
              <w:ind w:left="0" w:right="0"/>
              <w:rPr>
                <w:rFonts w:ascii="宋体" w:hAnsi="宋体" w:cs="宋体"/>
                <w:bCs/>
                <w:color w:val="auto"/>
                <w:sz w:val="22"/>
                <w:szCs w:val="22"/>
                <w:highlight w:val="none"/>
              </w:rPr>
            </w:pPr>
          </w:p>
        </w:tc>
        <w:tc>
          <w:tcPr>
            <w:tcW w:w="944" w:type="pct"/>
          </w:tcPr>
          <w:p w14:paraId="7EAF0D15">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r>
      <w:tr w14:paraId="35CF6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80" w:type="pct"/>
            <w:shd w:val="clear" w:color="auto" w:fill="auto"/>
            <w:vAlign w:val="center"/>
          </w:tcPr>
          <w:p w14:paraId="2CF85D7B">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688" w:type="pct"/>
            <w:vAlign w:val="center"/>
          </w:tcPr>
          <w:p w14:paraId="6003E441">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615" w:type="pct"/>
            <w:vAlign w:val="center"/>
          </w:tcPr>
          <w:p w14:paraId="636F2204">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535" w:type="pct"/>
            <w:vAlign w:val="center"/>
          </w:tcPr>
          <w:p w14:paraId="048D613F">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1113" w:type="pct"/>
            <w:shd w:val="clear" w:color="auto" w:fill="auto"/>
            <w:vAlign w:val="center"/>
          </w:tcPr>
          <w:p w14:paraId="56FADA24">
            <w:pPr>
              <w:keepNext w:val="0"/>
              <w:keepLines w:val="0"/>
              <w:suppressLineNumbers w:val="0"/>
              <w:shd w:val="clear"/>
              <w:snapToGrid w:val="0"/>
              <w:spacing w:before="0" w:beforeAutospacing="0" w:after="0" w:afterAutospacing="0" w:line="360" w:lineRule="auto"/>
              <w:ind w:left="0" w:leftChars="0" w:right="0" w:rightChars="0"/>
              <w:jc w:val="center"/>
              <w:rPr>
                <w:rFonts w:ascii="宋体" w:hAnsi="宋体" w:eastAsia="宋体" w:cs="宋体"/>
                <w:bCs/>
                <w:color w:val="auto"/>
                <w:kern w:val="2"/>
                <w:sz w:val="22"/>
                <w:szCs w:val="22"/>
                <w:highlight w:val="none"/>
                <w:lang w:val="en-US" w:eastAsia="zh-CN" w:bidi="ar-SA"/>
              </w:rPr>
            </w:pPr>
          </w:p>
        </w:tc>
        <w:tc>
          <w:tcPr>
            <w:tcW w:w="721" w:type="pct"/>
            <w:vAlign w:val="center"/>
          </w:tcPr>
          <w:p w14:paraId="4ED12082">
            <w:pPr>
              <w:keepNext w:val="0"/>
              <w:keepLines w:val="0"/>
              <w:suppressLineNumbers w:val="0"/>
              <w:shd w:val="clear"/>
              <w:spacing w:before="0" w:beforeAutospacing="0" w:after="0" w:afterAutospacing="0" w:line="360" w:lineRule="auto"/>
              <w:ind w:left="0" w:right="0"/>
              <w:rPr>
                <w:rFonts w:ascii="宋体" w:hAnsi="宋体" w:cs="宋体"/>
                <w:bCs/>
                <w:color w:val="auto"/>
                <w:sz w:val="22"/>
                <w:szCs w:val="22"/>
                <w:highlight w:val="none"/>
              </w:rPr>
            </w:pPr>
          </w:p>
        </w:tc>
        <w:tc>
          <w:tcPr>
            <w:tcW w:w="944" w:type="pct"/>
          </w:tcPr>
          <w:p w14:paraId="074BE6CC">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r>
      <w:tr w14:paraId="38FBF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80" w:type="pct"/>
            <w:shd w:val="clear" w:color="auto" w:fill="auto"/>
            <w:vAlign w:val="center"/>
          </w:tcPr>
          <w:p w14:paraId="1E2FC982">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688" w:type="pct"/>
            <w:vAlign w:val="center"/>
          </w:tcPr>
          <w:p w14:paraId="07E6D5C3">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615" w:type="pct"/>
            <w:vAlign w:val="center"/>
          </w:tcPr>
          <w:p w14:paraId="78B0F25E">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535" w:type="pct"/>
            <w:vAlign w:val="center"/>
          </w:tcPr>
          <w:p w14:paraId="02D8B89D">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1113" w:type="pct"/>
            <w:shd w:val="clear" w:color="auto" w:fill="auto"/>
            <w:vAlign w:val="center"/>
          </w:tcPr>
          <w:p w14:paraId="32E4D597">
            <w:pPr>
              <w:keepNext w:val="0"/>
              <w:keepLines w:val="0"/>
              <w:suppressLineNumbers w:val="0"/>
              <w:shd w:val="clear"/>
              <w:snapToGrid w:val="0"/>
              <w:spacing w:before="0" w:beforeAutospacing="0" w:after="0" w:afterAutospacing="0" w:line="360" w:lineRule="auto"/>
              <w:ind w:left="0" w:leftChars="0" w:right="0" w:rightChars="0"/>
              <w:jc w:val="center"/>
              <w:rPr>
                <w:rFonts w:ascii="宋体" w:hAnsi="宋体" w:eastAsia="宋体" w:cs="宋体"/>
                <w:bCs/>
                <w:color w:val="auto"/>
                <w:kern w:val="2"/>
                <w:sz w:val="22"/>
                <w:szCs w:val="22"/>
                <w:highlight w:val="none"/>
                <w:lang w:val="en-US" w:eastAsia="zh-CN" w:bidi="ar-SA"/>
              </w:rPr>
            </w:pPr>
          </w:p>
        </w:tc>
        <w:tc>
          <w:tcPr>
            <w:tcW w:w="721" w:type="pct"/>
            <w:vAlign w:val="center"/>
          </w:tcPr>
          <w:p w14:paraId="0883FDA5">
            <w:pPr>
              <w:keepNext w:val="0"/>
              <w:keepLines w:val="0"/>
              <w:suppressLineNumbers w:val="0"/>
              <w:shd w:val="clear"/>
              <w:spacing w:before="0" w:beforeAutospacing="0" w:after="0" w:afterAutospacing="0" w:line="360" w:lineRule="auto"/>
              <w:ind w:left="0" w:right="0"/>
              <w:rPr>
                <w:rFonts w:ascii="宋体" w:hAnsi="宋体" w:cs="宋体"/>
                <w:bCs/>
                <w:color w:val="auto"/>
                <w:sz w:val="22"/>
                <w:szCs w:val="22"/>
                <w:highlight w:val="none"/>
              </w:rPr>
            </w:pPr>
          </w:p>
        </w:tc>
        <w:tc>
          <w:tcPr>
            <w:tcW w:w="944" w:type="pct"/>
          </w:tcPr>
          <w:p w14:paraId="2FCB7165">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r>
      <w:tr w14:paraId="3C799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80" w:type="pct"/>
            <w:shd w:val="clear" w:color="auto" w:fill="auto"/>
            <w:vAlign w:val="center"/>
          </w:tcPr>
          <w:p w14:paraId="39C1C21C">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688" w:type="pct"/>
          </w:tcPr>
          <w:p w14:paraId="05AF96D3">
            <w:pPr>
              <w:keepNext w:val="0"/>
              <w:keepLines w:val="0"/>
              <w:suppressLineNumbers w:val="0"/>
              <w:shd w:val="clear"/>
              <w:spacing w:before="0" w:beforeAutospacing="0" w:after="0" w:afterAutospacing="0" w:line="360" w:lineRule="auto"/>
              <w:ind w:left="0" w:right="0"/>
              <w:rPr>
                <w:rFonts w:ascii="宋体" w:hAnsi="宋体" w:cs="宋体"/>
                <w:bCs/>
                <w:color w:val="auto"/>
                <w:sz w:val="22"/>
                <w:szCs w:val="22"/>
                <w:highlight w:val="none"/>
              </w:rPr>
            </w:pPr>
          </w:p>
        </w:tc>
        <w:tc>
          <w:tcPr>
            <w:tcW w:w="615" w:type="pct"/>
          </w:tcPr>
          <w:p w14:paraId="2D080CF7">
            <w:pPr>
              <w:keepNext w:val="0"/>
              <w:keepLines w:val="0"/>
              <w:suppressLineNumbers w:val="0"/>
              <w:shd w:val="clear"/>
              <w:snapToGrid w:val="0"/>
              <w:spacing w:before="0" w:beforeAutospacing="0" w:after="0" w:afterAutospacing="0" w:line="360" w:lineRule="auto"/>
              <w:ind w:left="0" w:right="0"/>
              <w:rPr>
                <w:rFonts w:ascii="宋体" w:hAnsi="宋体" w:cs="宋体"/>
                <w:bCs/>
                <w:color w:val="auto"/>
                <w:sz w:val="22"/>
                <w:szCs w:val="22"/>
                <w:highlight w:val="none"/>
              </w:rPr>
            </w:pPr>
          </w:p>
        </w:tc>
        <w:tc>
          <w:tcPr>
            <w:tcW w:w="535" w:type="pct"/>
          </w:tcPr>
          <w:p w14:paraId="42EBBD9E">
            <w:pPr>
              <w:keepNext w:val="0"/>
              <w:keepLines w:val="0"/>
              <w:suppressLineNumbers w:val="0"/>
              <w:shd w:val="clear"/>
              <w:spacing w:before="0" w:beforeAutospacing="0" w:after="0" w:afterAutospacing="0" w:line="360" w:lineRule="auto"/>
              <w:ind w:left="0" w:right="0"/>
              <w:rPr>
                <w:rFonts w:ascii="宋体" w:hAnsi="宋体" w:cs="宋体"/>
                <w:bCs/>
                <w:color w:val="auto"/>
                <w:sz w:val="22"/>
                <w:szCs w:val="22"/>
                <w:highlight w:val="none"/>
              </w:rPr>
            </w:pPr>
          </w:p>
        </w:tc>
        <w:tc>
          <w:tcPr>
            <w:tcW w:w="1113" w:type="pct"/>
            <w:vAlign w:val="center"/>
          </w:tcPr>
          <w:p w14:paraId="31AEB6FD">
            <w:pPr>
              <w:keepNext w:val="0"/>
              <w:keepLines w:val="0"/>
              <w:widowControl/>
              <w:suppressLineNumbers w:val="0"/>
              <w:shd w:val="clear"/>
              <w:snapToGrid w:val="0"/>
              <w:spacing w:before="0" w:beforeAutospacing="0" w:after="0" w:afterAutospacing="0" w:line="480" w:lineRule="exact"/>
              <w:ind w:left="0" w:right="0"/>
              <w:jc w:val="center"/>
              <w:rPr>
                <w:rFonts w:hint="default" w:ascii="宋体" w:hAnsi="宋体" w:eastAsia="宋体" w:cs="宋体"/>
                <w:bCs/>
                <w:color w:val="auto"/>
                <w:sz w:val="22"/>
                <w:szCs w:val="22"/>
                <w:highlight w:val="none"/>
                <w:lang w:val="en-US" w:eastAsia="zh-CN"/>
              </w:rPr>
            </w:pPr>
          </w:p>
        </w:tc>
        <w:tc>
          <w:tcPr>
            <w:tcW w:w="721" w:type="pct"/>
          </w:tcPr>
          <w:p w14:paraId="00087ED3">
            <w:pPr>
              <w:keepNext w:val="0"/>
              <w:keepLines w:val="0"/>
              <w:suppressLineNumbers w:val="0"/>
              <w:shd w:val="clear"/>
              <w:spacing w:before="0" w:beforeAutospacing="0" w:after="0" w:afterAutospacing="0" w:line="360" w:lineRule="auto"/>
              <w:ind w:left="0" w:right="0"/>
              <w:rPr>
                <w:rFonts w:ascii="宋体" w:hAnsi="宋体" w:cs="宋体"/>
                <w:bCs/>
                <w:color w:val="auto"/>
                <w:sz w:val="22"/>
                <w:szCs w:val="22"/>
                <w:highlight w:val="none"/>
              </w:rPr>
            </w:pPr>
          </w:p>
        </w:tc>
        <w:tc>
          <w:tcPr>
            <w:tcW w:w="944" w:type="pct"/>
          </w:tcPr>
          <w:p w14:paraId="5ABD0CD3">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r>
      <w:tr w14:paraId="32041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80" w:type="pct"/>
            <w:shd w:val="clear" w:color="auto" w:fill="auto"/>
          </w:tcPr>
          <w:p w14:paraId="26B47526">
            <w:pPr>
              <w:keepNext w:val="0"/>
              <w:keepLines w:val="0"/>
              <w:suppressLineNumbers w:val="0"/>
              <w:shd w:val="clear"/>
              <w:snapToGrid w:val="0"/>
              <w:spacing w:before="0" w:beforeAutospacing="0" w:after="0" w:afterAutospacing="0" w:line="360" w:lineRule="auto"/>
              <w:ind w:left="0" w:right="0"/>
              <w:jc w:val="center"/>
              <w:rPr>
                <w:rFonts w:ascii="宋体" w:hAnsi="宋体" w:cs="宋体"/>
                <w:bCs/>
                <w:color w:val="auto"/>
                <w:sz w:val="22"/>
                <w:szCs w:val="22"/>
                <w:highlight w:val="none"/>
              </w:rPr>
            </w:pPr>
          </w:p>
        </w:tc>
        <w:tc>
          <w:tcPr>
            <w:tcW w:w="688" w:type="pct"/>
          </w:tcPr>
          <w:p w14:paraId="1E080B9B">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c>
          <w:tcPr>
            <w:tcW w:w="615" w:type="pct"/>
          </w:tcPr>
          <w:p w14:paraId="1D34B80A">
            <w:pPr>
              <w:keepNext w:val="0"/>
              <w:keepLines w:val="0"/>
              <w:suppressLineNumbers w:val="0"/>
              <w:shd w:val="clear"/>
              <w:snapToGrid w:val="0"/>
              <w:spacing w:before="0" w:beforeAutospacing="0" w:after="0" w:afterAutospacing="0" w:line="360" w:lineRule="auto"/>
              <w:ind w:left="0" w:right="0"/>
              <w:rPr>
                <w:rFonts w:ascii="宋体" w:hAnsi="宋体" w:cs="宋体"/>
                <w:color w:val="auto"/>
                <w:sz w:val="22"/>
                <w:szCs w:val="22"/>
                <w:highlight w:val="none"/>
              </w:rPr>
            </w:pPr>
          </w:p>
        </w:tc>
        <w:tc>
          <w:tcPr>
            <w:tcW w:w="535" w:type="pct"/>
          </w:tcPr>
          <w:p w14:paraId="1C221362">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c>
          <w:tcPr>
            <w:tcW w:w="1113" w:type="pct"/>
            <w:vAlign w:val="center"/>
          </w:tcPr>
          <w:p w14:paraId="5EC9B163">
            <w:pPr>
              <w:keepNext w:val="0"/>
              <w:keepLines w:val="0"/>
              <w:widowControl/>
              <w:suppressLineNumbers w:val="0"/>
              <w:shd w:val="clear"/>
              <w:snapToGrid w:val="0"/>
              <w:spacing w:before="0" w:beforeAutospacing="0" w:after="0" w:afterAutospacing="0" w:line="480" w:lineRule="exact"/>
              <w:ind w:left="0" w:right="0"/>
              <w:jc w:val="center"/>
              <w:rPr>
                <w:rFonts w:ascii="宋体" w:hAnsi="宋体" w:cs="宋体"/>
                <w:color w:val="auto"/>
                <w:sz w:val="22"/>
                <w:szCs w:val="22"/>
                <w:highlight w:val="none"/>
              </w:rPr>
            </w:pPr>
          </w:p>
        </w:tc>
        <w:tc>
          <w:tcPr>
            <w:tcW w:w="721" w:type="pct"/>
          </w:tcPr>
          <w:p w14:paraId="09DBB6A4">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c>
          <w:tcPr>
            <w:tcW w:w="944" w:type="pct"/>
          </w:tcPr>
          <w:p w14:paraId="4716556A">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r>
      <w:tr w14:paraId="6CF60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80" w:type="pct"/>
            <w:shd w:val="clear" w:color="auto" w:fill="auto"/>
          </w:tcPr>
          <w:p w14:paraId="5FBEA50A">
            <w:pPr>
              <w:keepNext w:val="0"/>
              <w:keepLines w:val="0"/>
              <w:suppressLineNumbers w:val="0"/>
              <w:shd w:val="clear"/>
              <w:snapToGrid w:val="0"/>
              <w:spacing w:before="0" w:beforeAutospacing="0" w:after="0" w:afterAutospacing="0" w:line="360" w:lineRule="auto"/>
              <w:ind w:left="0" w:right="0"/>
              <w:jc w:val="center"/>
              <w:rPr>
                <w:rFonts w:ascii="宋体" w:hAnsi="宋体" w:cs="宋体"/>
                <w:b/>
                <w:bCs/>
                <w:color w:val="auto"/>
                <w:sz w:val="22"/>
                <w:szCs w:val="22"/>
                <w:highlight w:val="none"/>
              </w:rPr>
            </w:pPr>
          </w:p>
        </w:tc>
        <w:tc>
          <w:tcPr>
            <w:tcW w:w="688" w:type="pct"/>
          </w:tcPr>
          <w:p w14:paraId="44B882B4">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c>
          <w:tcPr>
            <w:tcW w:w="615" w:type="pct"/>
          </w:tcPr>
          <w:p w14:paraId="5BE73455">
            <w:pPr>
              <w:keepNext w:val="0"/>
              <w:keepLines w:val="0"/>
              <w:suppressLineNumbers w:val="0"/>
              <w:shd w:val="clear"/>
              <w:snapToGrid w:val="0"/>
              <w:spacing w:before="0" w:beforeAutospacing="0" w:after="0" w:afterAutospacing="0" w:line="360" w:lineRule="auto"/>
              <w:ind w:left="0" w:right="0"/>
              <w:rPr>
                <w:rFonts w:ascii="宋体" w:hAnsi="宋体" w:cs="宋体"/>
                <w:color w:val="auto"/>
                <w:sz w:val="22"/>
                <w:szCs w:val="22"/>
                <w:highlight w:val="none"/>
              </w:rPr>
            </w:pPr>
          </w:p>
        </w:tc>
        <w:tc>
          <w:tcPr>
            <w:tcW w:w="535" w:type="pct"/>
          </w:tcPr>
          <w:p w14:paraId="73FDE2D3">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c>
          <w:tcPr>
            <w:tcW w:w="1113" w:type="pct"/>
            <w:vAlign w:val="center"/>
          </w:tcPr>
          <w:p w14:paraId="6ADB9D72">
            <w:pPr>
              <w:keepNext w:val="0"/>
              <w:keepLines w:val="0"/>
              <w:suppressLineNumbers w:val="0"/>
              <w:shd w:val="clear"/>
              <w:tabs>
                <w:tab w:val="center" w:pos="4860"/>
                <w:tab w:val="right" w:pos="9720"/>
              </w:tabs>
              <w:snapToGrid w:val="0"/>
              <w:spacing w:before="0" w:beforeAutospacing="0" w:after="0" w:afterAutospacing="0" w:line="360" w:lineRule="auto"/>
              <w:ind w:left="0" w:right="0"/>
              <w:jc w:val="center"/>
              <w:rPr>
                <w:rFonts w:ascii="宋体" w:hAnsi="宋体" w:cs="宋体"/>
                <w:color w:val="auto"/>
                <w:sz w:val="22"/>
                <w:szCs w:val="22"/>
                <w:highlight w:val="none"/>
              </w:rPr>
            </w:pPr>
          </w:p>
        </w:tc>
        <w:tc>
          <w:tcPr>
            <w:tcW w:w="721" w:type="pct"/>
          </w:tcPr>
          <w:p w14:paraId="7830EB74">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c>
          <w:tcPr>
            <w:tcW w:w="944" w:type="pct"/>
          </w:tcPr>
          <w:p w14:paraId="54677D51">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r>
      <w:tr w14:paraId="16F37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80" w:type="pct"/>
            <w:shd w:val="clear" w:color="auto" w:fill="auto"/>
          </w:tcPr>
          <w:p w14:paraId="1518A5AD">
            <w:pPr>
              <w:keepNext w:val="0"/>
              <w:keepLines w:val="0"/>
              <w:suppressLineNumbers w:val="0"/>
              <w:shd w:val="clear"/>
              <w:snapToGrid w:val="0"/>
              <w:spacing w:before="0" w:beforeAutospacing="0" w:after="0" w:afterAutospacing="0" w:line="360" w:lineRule="auto"/>
              <w:ind w:left="0" w:right="0"/>
              <w:jc w:val="center"/>
              <w:rPr>
                <w:rFonts w:ascii="宋体" w:hAnsi="宋体" w:cs="宋体"/>
                <w:color w:val="auto"/>
                <w:sz w:val="22"/>
                <w:szCs w:val="22"/>
                <w:highlight w:val="none"/>
              </w:rPr>
            </w:pPr>
          </w:p>
        </w:tc>
        <w:tc>
          <w:tcPr>
            <w:tcW w:w="688" w:type="pct"/>
          </w:tcPr>
          <w:p w14:paraId="3B409751">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c>
          <w:tcPr>
            <w:tcW w:w="615" w:type="pct"/>
          </w:tcPr>
          <w:p w14:paraId="6CEE2FCD">
            <w:pPr>
              <w:keepNext w:val="0"/>
              <w:keepLines w:val="0"/>
              <w:suppressLineNumbers w:val="0"/>
              <w:shd w:val="clear"/>
              <w:snapToGrid w:val="0"/>
              <w:spacing w:before="0" w:beforeAutospacing="0" w:after="0" w:afterAutospacing="0" w:line="360" w:lineRule="auto"/>
              <w:ind w:left="0" w:right="0"/>
              <w:rPr>
                <w:rFonts w:ascii="宋体" w:hAnsi="宋体" w:cs="宋体"/>
                <w:color w:val="auto"/>
                <w:sz w:val="22"/>
                <w:szCs w:val="22"/>
                <w:highlight w:val="none"/>
              </w:rPr>
            </w:pPr>
          </w:p>
        </w:tc>
        <w:tc>
          <w:tcPr>
            <w:tcW w:w="535" w:type="pct"/>
          </w:tcPr>
          <w:p w14:paraId="258FF31C">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c>
          <w:tcPr>
            <w:tcW w:w="1113" w:type="pct"/>
            <w:vAlign w:val="center"/>
          </w:tcPr>
          <w:p w14:paraId="74530EEA">
            <w:pPr>
              <w:pStyle w:val="27"/>
              <w:keepNext w:val="0"/>
              <w:keepLines w:val="0"/>
              <w:suppressLineNumbers w:val="0"/>
              <w:shd w:val="clear"/>
              <w:snapToGrid w:val="0"/>
              <w:spacing w:before="0" w:beforeAutospacing="0" w:after="0" w:afterAutospacing="0" w:line="360" w:lineRule="auto"/>
              <w:ind w:left="0" w:right="0" w:firstLine="0"/>
              <w:jc w:val="center"/>
              <w:rPr>
                <w:color w:val="auto"/>
                <w:sz w:val="22"/>
                <w:szCs w:val="22"/>
                <w:highlight w:val="none"/>
                <w:lang w:val="en-US" w:eastAsia="zh-CN" w:bidi="ar-SA"/>
              </w:rPr>
            </w:pPr>
          </w:p>
        </w:tc>
        <w:tc>
          <w:tcPr>
            <w:tcW w:w="721" w:type="pct"/>
          </w:tcPr>
          <w:p w14:paraId="620D3021">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c>
          <w:tcPr>
            <w:tcW w:w="944" w:type="pct"/>
          </w:tcPr>
          <w:p w14:paraId="3113CF30">
            <w:pPr>
              <w:keepNext w:val="0"/>
              <w:keepLines w:val="0"/>
              <w:suppressLineNumbers w:val="0"/>
              <w:shd w:val="clear"/>
              <w:spacing w:before="0" w:beforeAutospacing="0" w:after="0" w:afterAutospacing="0" w:line="360" w:lineRule="auto"/>
              <w:ind w:left="0" w:right="0"/>
              <w:rPr>
                <w:rFonts w:ascii="宋体" w:hAnsi="宋体" w:cs="宋体"/>
                <w:color w:val="auto"/>
                <w:sz w:val="22"/>
                <w:szCs w:val="22"/>
                <w:highlight w:val="none"/>
              </w:rPr>
            </w:pPr>
          </w:p>
        </w:tc>
      </w:tr>
    </w:tbl>
    <w:p w14:paraId="5F866AEB">
      <w:pPr>
        <w:shd w:val="clear"/>
        <w:autoSpaceDE w:val="0"/>
        <w:autoSpaceDN w:val="0"/>
        <w:adjustRightInd w:val="0"/>
        <w:spacing w:before="143" w:beforeLines="50" w:line="360" w:lineRule="auto"/>
        <w:ind w:firstLine="440" w:firstLineChars="200"/>
        <w:rPr>
          <w:rFonts w:hint="eastAsia" w:ascii="宋体" w:hAnsi="宋体" w:eastAsia="宋体" w:cs="宋体"/>
          <w:bCs/>
          <w:color w:val="auto"/>
          <w:sz w:val="22"/>
          <w:szCs w:val="22"/>
          <w:highlight w:val="none"/>
          <w:lang w:val="zh-CN" w:eastAsia="zh-CN"/>
        </w:rPr>
      </w:pPr>
      <w:r>
        <w:rPr>
          <w:rFonts w:hint="eastAsia" w:ascii="宋体" w:hAnsi="宋体" w:eastAsia="宋体" w:cs="宋体"/>
          <w:bCs/>
          <w:color w:val="auto"/>
          <w:sz w:val="22"/>
          <w:szCs w:val="22"/>
          <w:highlight w:val="none"/>
          <w:lang w:val="zh-CN" w:eastAsia="zh-CN"/>
        </w:rPr>
        <w:t>注：</w:t>
      </w:r>
      <w:r>
        <w:rPr>
          <w:rFonts w:hint="eastAsia" w:ascii="宋体" w:hAnsi="宋体" w:eastAsia="宋体" w:cs="宋体"/>
          <w:bCs/>
          <w:color w:val="auto"/>
          <w:sz w:val="22"/>
          <w:szCs w:val="22"/>
          <w:highlight w:val="none"/>
          <w:lang w:val="en-US" w:eastAsia="zh-CN"/>
        </w:rPr>
        <w:t>须提供有效期内证书复印件和近</w:t>
      </w:r>
      <w:r>
        <w:rPr>
          <w:rFonts w:hint="eastAsia" w:ascii="宋体" w:hAnsi="宋体" w:cs="宋体"/>
          <w:bCs/>
          <w:color w:val="auto"/>
          <w:sz w:val="22"/>
          <w:szCs w:val="22"/>
          <w:highlight w:val="none"/>
          <w:lang w:val="en-US" w:eastAsia="zh-CN"/>
        </w:rPr>
        <w:t>开标日</w:t>
      </w:r>
      <w:r>
        <w:rPr>
          <w:rFonts w:hint="eastAsia" w:ascii="宋体" w:hAnsi="宋体" w:eastAsia="宋体" w:cs="宋体"/>
          <w:bCs/>
          <w:color w:val="auto"/>
          <w:sz w:val="22"/>
          <w:szCs w:val="22"/>
          <w:highlight w:val="none"/>
          <w:lang w:val="en-US" w:eastAsia="zh-CN"/>
        </w:rPr>
        <w:t>前三个月社保机构出具的养老保险缴纳证明或加盖社保机构电子章的网上打印件</w:t>
      </w:r>
      <w:r>
        <w:rPr>
          <w:rFonts w:hint="eastAsia" w:ascii="宋体" w:hAnsi="宋体" w:eastAsia="宋体" w:cs="宋体"/>
          <w:bCs/>
          <w:color w:val="auto"/>
          <w:sz w:val="22"/>
          <w:szCs w:val="22"/>
          <w:highlight w:val="none"/>
          <w:lang w:val="zh-CN" w:eastAsia="zh-CN"/>
        </w:rPr>
        <w:t>。</w:t>
      </w:r>
    </w:p>
    <w:p w14:paraId="6EB262D2">
      <w:pPr>
        <w:keepNext w:val="0"/>
        <w:pageBreakBefore w:val="0"/>
        <w:widowControl w:val="0"/>
        <w:overflowPunct/>
        <w:autoSpaceDE w:val="0"/>
        <w:autoSpaceDN w:val="0"/>
        <w:bidi w:val="0"/>
        <w:adjustRightInd w:val="0"/>
        <w:spacing w:before="143" w:beforeLines="50" w:line="360" w:lineRule="auto"/>
        <w:ind w:firstLine="440" w:firstLineChars="200"/>
        <w:rPr>
          <w:rFonts w:hint="eastAsia" w:ascii="宋体" w:hAnsi="宋体" w:eastAsia="宋体" w:cs="宋体"/>
          <w:color w:val="auto"/>
          <w:sz w:val="22"/>
          <w:szCs w:val="22"/>
          <w:highlight w:val="none"/>
          <w:shd w:val="clear" w:color="auto" w:fill="auto"/>
          <w:lang w:val="zh-CN"/>
        </w:rPr>
      </w:pPr>
    </w:p>
    <w:p w14:paraId="56F12D29">
      <w:pPr>
        <w:keepNext w:val="0"/>
        <w:pageBreakBefore w:val="0"/>
        <w:widowControl w:val="0"/>
        <w:overflowPunct/>
        <w:autoSpaceDE w:val="0"/>
        <w:autoSpaceDN w:val="0"/>
        <w:bidi w:val="0"/>
        <w:adjustRightInd w:val="0"/>
        <w:spacing w:line="480" w:lineRule="auto"/>
        <w:rPr>
          <w:rFonts w:hint="eastAsia" w:ascii="宋体" w:hAnsi="宋体" w:eastAsia="宋体" w:cs="宋体"/>
          <w:color w:val="auto"/>
          <w:sz w:val="22"/>
          <w:szCs w:val="22"/>
          <w:highlight w:val="none"/>
          <w:shd w:val="clear" w:color="auto" w:fill="auto"/>
          <w:lang w:val="zh-CN"/>
        </w:rPr>
      </w:pPr>
    </w:p>
    <w:p w14:paraId="22E9B611">
      <w:pPr>
        <w:keepNext w:val="0"/>
        <w:pageBreakBefore w:val="0"/>
        <w:widowControl w:val="0"/>
        <w:overflowPunct/>
        <w:bidi w:val="0"/>
        <w:spacing w:line="480" w:lineRule="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rPr>
        <w:t>供应商盖章：</w:t>
      </w:r>
      <w:r>
        <w:rPr>
          <w:rFonts w:hint="eastAsia" w:ascii="宋体" w:hAnsi="宋体" w:eastAsia="宋体" w:cs="宋体"/>
          <w:color w:val="auto"/>
          <w:kern w:val="0"/>
          <w:sz w:val="22"/>
          <w:szCs w:val="22"/>
          <w:highlight w:val="none"/>
          <w:u w:val="single"/>
          <w:shd w:val="clear" w:color="auto" w:fill="auto"/>
        </w:rPr>
        <w:t xml:space="preserve">   （公章）</w:t>
      </w:r>
      <w:r>
        <w:rPr>
          <w:rFonts w:hint="eastAsia" w:ascii="宋体" w:hAnsi="宋体" w:eastAsia="宋体" w:cs="宋体"/>
          <w:color w:val="auto"/>
          <w:kern w:val="0"/>
          <w:sz w:val="22"/>
          <w:szCs w:val="22"/>
          <w:highlight w:val="none"/>
          <w:u w:val="none"/>
          <w:shd w:val="clear" w:color="auto" w:fill="auto"/>
        </w:rPr>
        <w:t xml:space="preserve"> </w:t>
      </w:r>
      <w:r>
        <w:rPr>
          <w:rFonts w:hint="eastAsia" w:ascii="宋体" w:hAnsi="宋体" w:eastAsia="宋体" w:cs="宋体"/>
          <w:color w:val="auto"/>
          <w:kern w:val="0"/>
          <w:sz w:val="22"/>
          <w:szCs w:val="22"/>
          <w:highlight w:val="none"/>
          <w:u w:val="none"/>
          <w:shd w:val="clear" w:color="auto" w:fill="auto"/>
          <w:lang w:val="en-US" w:eastAsia="zh-CN"/>
        </w:rPr>
        <w:t xml:space="preserve">  </w:t>
      </w:r>
    </w:p>
    <w:p w14:paraId="35F93E9F">
      <w:pPr>
        <w:keepNext w:val="0"/>
        <w:pageBreakBefore w:val="0"/>
        <w:widowControl w:val="0"/>
        <w:overflowPunct/>
        <w:bidi w:val="0"/>
        <w:spacing w:line="48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法定代表人或授权代表（签字或盖章）：</w:t>
      </w:r>
      <w:r>
        <w:rPr>
          <w:rFonts w:hint="eastAsia" w:ascii="宋体" w:hAnsi="宋体" w:eastAsia="宋体" w:cs="宋体"/>
          <w:color w:val="auto"/>
          <w:kern w:val="0"/>
          <w:sz w:val="22"/>
          <w:szCs w:val="22"/>
          <w:highlight w:val="none"/>
          <w:u w:val="single"/>
          <w:shd w:val="clear" w:color="auto" w:fill="auto"/>
        </w:rPr>
        <w:t xml:space="preserve">             </w:t>
      </w:r>
    </w:p>
    <w:p w14:paraId="199F6C2C">
      <w:pPr>
        <w:keepNext w:val="0"/>
        <w:pageBreakBefore w:val="0"/>
        <w:widowControl w:val="0"/>
        <w:overflowPunct/>
        <w:bidi w:val="0"/>
        <w:snapToGrid w:val="0"/>
        <w:spacing w:line="480" w:lineRule="auto"/>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年</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月</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日</w:t>
      </w:r>
    </w:p>
    <w:p w14:paraId="7A01DE77">
      <w:pPr>
        <w:keepNext w:val="0"/>
        <w:pageBreakBefore w:val="0"/>
        <w:widowControl w:val="0"/>
        <w:overflowPunct/>
        <w:bidi w:val="0"/>
        <w:snapToGrid w:val="0"/>
        <w:spacing w:line="360" w:lineRule="auto"/>
        <w:rPr>
          <w:rFonts w:hint="eastAsia" w:ascii="宋体" w:hAnsi="宋体" w:eastAsia="宋体" w:cs="宋体"/>
          <w:b/>
          <w:bCs w:val="0"/>
          <w:color w:val="auto"/>
          <w:sz w:val="22"/>
          <w:szCs w:val="22"/>
          <w:highlight w:val="none"/>
          <w:shd w:val="clear" w:color="auto" w:fill="auto"/>
        </w:rPr>
      </w:pPr>
    </w:p>
    <w:p w14:paraId="5FC0ADEF">
      <w:pPr>
        <w:keepNext w:val="0"/>
        <w:pageBreakBefore w:val="0"/>
        <w:widowControl w:val="0"/>
        <w:overflowPunct/>
        <w:bidi w:val="0"/>
        <w:snapToGrid w:val="0"/>
        <w:spacing w:line="360" w:lineRule="auto"/>
        <w:rPr>
          <w:rFonts w:hint="eastAsia" w:ascii="宋体" w:hAnsi="宋体" w:eastAsia="宋体" w:cs="宋体"/>
          <w:b/>
          <w:color w:val="auto"/>
          <w:sz w:val="22"/>
          <w:szCs w:val="22"/>
          <w:highlight w:val="none"/>
          <w:shd w:val="clear" w:color="auto" w:fill="auto"/>
        </w:rPr>
      </w:pPr>
      <w:r>
        <w:rPr>
          <w:rFonts w:hint="eastAsia" w:ascii="宋体" w:hAnsi="宋体" w:eastAsia="宋体" w:cs="宋体"/>
          <w:b/>
          <w:color w:val="auto"/>
          <w:spacing w:val="-4"/>
          <w:sz w:val="32"/>
          <w:szCs w:val="32"/>
          <w:highlight w:val="none"/>
          <w:shd w:val="clear" w:color="auto" w:fill="auto"/>
        </w:rPr>
        <w:br w:type="page"/>
      </w:r>
      <w:r>
        <w:rPr>
          <w:rFonts w:hint="eastAsia" w:ascii="宋体" w:hAnsi="宋体" w:eastAsia="宋体" w:cs="宋体"/>
          <w:b/>
          <w:color w:val="auto"/>
          <w:sz w:val="22"/>
          <w:szCs w:val="22"/>
          <w:highlight w:val="none"/>
          <w:shd w:val="clear" w:color="auto" w:fill="auto"/>
        </w:rPr>
        <w:t>报价文件：</w:t>
      </w:r>
    </w:p>
    <w:p w14:paraId="443C0718">
      <w:pPr>
        <w:keepNext w:val="0"/>
        <w:pageBreakBefore w:val="0"/>
        <w:widowControl w:val="0"/>
        <w:overflowPunct/>
        <w:bidi w:val="0"/>
        <w:snapToGrid w:val="0"/>
        <w:spacing w:line="360" w:lineRule="auto"/>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1.</w:t>
      </w:r>
      <w:r>
        <w:rPr>
          <w:rFonts w:hint="eastAsia" w:ascii="宋体" w:hAnsi="宋体" w:cs="宋体"/>
          <w:color w:val="auto"/>
          <w:sz w:val="22"/>
          <w:szCs w:val="22"/>
          <w:highlight w:val="none"/>
          <w:shd w:val="clear" w:color="auto" w:fill="auto"/>
          <w:lang w:eastAsia="zh-CN"/>
        </w:rPr>
        <w:t>投标函</w:t>
      </w:r>
      <w:r>
        <w:rPr>
          <w:rFonts w:hint="eastAsia" w:ascii="宋体" w:hAnsi="宋体" w:eastAsia="宋体" w:cs="宋体"/>
          <w:color w:val="auto"/>
          <w:sz w:val="22"/>
          <w:szCs w:val="22"/>
          <w:highlight w:val="none"/>
          <w:shd w:val="clear" w:color="auto" w:fill="auto"/>
        </w:rPr>
        <w:t>：</w:t>
      </w:r>
    </w:p>
    <w:p w14:paraId="712D3DE6">
      <w:pPr>
        <w:keepNext w:val="0"/>
        <w:pageBreakBefore w:val="0"/>
        <w:widowControl w:val="0"/>
        <w:overflowPunct/>
        <w:bidi w:val="0"/>
        <w:snapToGrid w:val="0"/>
        <w:spacing w:line="360" w:lineRule="auto"/>
        <w:jc w:val="center"/>
        <w:rPr>
          <w:rFonts w:hint="eastAsia" w:ascii="宋体" w:hAnsi="宋体" w:eastAsia="宋体" w:cs="宋体"/>
          <w:b/>
          <w:color w:val="auto"/>
          <w:sz w:val="28"/>
          <w:szCs w:val="28"/>
          <w:highlight w:val="none"/>
          <w:shd w:val="clear" w:color="auto" w:fill="auto"/>
          <w:lang w:eastAsia="zh-CN"/>
        </w:rPr>
      </w:pPr>
      <w:r>
        <w:rPr>
          <w:rFonts w:hint="eastAsia" w:ascii="宋体" w:hAnsi="宋体" w:cs="宋体"/>
          <w:b/>
          <w:color w:val="auto"/>
          <w:sz w:val="28"/>
          <w:szCs w:val="28"/>
          <w:highlight w:val="none"/>
          <w:shd w:val="clear" w:color="auto" w:fill="auto"/>
          <w:lang w:eastAsia="zh-CN"/>
        </w:rPr>
        <w:t>投标函</w:t>
      </w:r>
    </w:p>
    <w:p w14:paraId="33FFF0A5">
      <w:pPr>
        <w:keepNext w:val="0"/>
        <w:pageBreakBefore w:val="0"/>
        <w:widowControl w:val="0"/>
        <w:overflowPunct/>
        <w:bidi w:val="0"/>
        <w:snapToGrid w:val="0"/>
        <w:spacing w:line="360" w:lineRule="auto"/>
        <w:rPr>
          <w:rFonts w:hint="eastAsia" w:ascii="宋体" w:hAnsi="宋体" w:eastAsia="宋体" w:cs="宋体"/>
          <w:color w:val="auto"/>
          <w:szCs w:val="21"/>
          <w:highlight w:val="none"/>
          <w:shd w:val="clear" w:color="auto" w:fill="auto"/>
        </w:rPr>
      </w:pPr>
    </w:p>
    <w:p w14:paraId="541D61BB">
      <w:pPr>
        <w:shd w:val="clear" w:color="auto" w:fill="auto"/>
        <w:autoSpaceDE w:val="0"/>
        <w:autoSpaceDN w:val="0"/>
        <w:snapToGrid w:val="0"/>
        <w:spacing w:line="500" w:lineRule="exact"/>
        <w:jc w:val="left"/>
        <w:textAlignment w:val="bottom"/>
        <w:rPr>
          <w:rFonts w:hint="eastAsia" w:ascii="宋体" w:hAnsi="宋体" w:eastAsia="宋体" w:cs="宋体"/>
          <w:color w:val="auto"/>
          <w:kern w:val="0"/>
          <w:sz w:val="22"/>
          <w:szCs w:val="22"/>
          <w:highlight w:val="none"/>
          <w:lang w:val="zh-CN" w:bidi="zh-CN"/>
        </w:rPr>
      </w:pPr>
      <w:r>
        <w:rPr>
          <w:rFonts w:hint="eastAsia" w:ascii="宋体" w:hAnsi="宋体" w:eastAsia="宋体" w:cs="宋体"/>
          <w:color w:val="auto"/>
          <w:kern w:val="0"/>
          <w:sz w:val="22"/>
          <w:szCs w:val="22"/>
          <w:highlight w:val="none"/>
          <w:lang w:val="zh-CN" w:bidi="zh-CN"/>
        </w:rPr>
        <w:t>致：</w:t>
      </w:r>
      <w:r>
        <w:rPr>
          <w:rFonts w:hint="eastAsia" w:ascii="宋体" w:hAnsi="宋体" w:eastAsia="宋体" w:cs="宋体"/>
          <w:color w:val="auto"/>
          <w:kern w:val="0"/>
          <w:sz w:val="22"/>
          <w:szCs w:val="22"/>
          <w:highlight w:val="none"/>
          <w:u w:val="single"/>
          <w:lang w:val="zh-CN" w:bidi="zh-CN"/>
        </w:rPr>
        <w:t xml:space="preserve">  </w:t>
      </w:r>
      <w:r>
        <w:rPr>
          <w:rFonts w:hint="eastAsia" w:ascii="宋体" w:hAnsi="宋体" w:eastAsia="宋体" w:cs="宋体"/>
          <w:color w:val="auto"/>
          <w:kern w:val="0"/>
          <w:sz w:val="22"/>
          <w:szCs w:val="22"/>
          <w:highlight w:val="none"/>
          <w:u w:val="single"/>
          <w:lang w:val="en-US" w:eastAsia="zh-CN" w:bidi="zh-CN"/>
        </w:rPr>
        <w:t xml:space="preserve">    </w:t>
      </w:r>
      <w:r>
        <w:rPr>
          <w:rFonts w:hint="eastAsia" w:ascii="宋体" w:hAnsi="宋体" w:eastAsia="宋体" w:cs="宋体"/>
          <w:color w:val="auto"/>
          <w:kern w:val="0"/>
          <w:sz w:val="22"/>
          <w:szCs w:val="22"/>
          <w:highlight w:val="none"/>
          <w:u w:val="single"/>
          <w:lang w:val="zh-CN" w:bidi="zh-CN"/>
        </w:rPr>
        <w:t xml:space="preserve"> </w:t>
      </w:r>
      <w:r>
        <w:rPr>
          <w:rFonts w:hint="eastAsia" w:ascii="宋体" w:hAnsi="宋体" w:eastAsia="宋体" w:cs="宋体"/>
          <w:color w:val="auto"/>
          <w:kern w:val="0"/>
          <w:sz w:val="22"/>
          <w:szCs w:val="22"/>
          <w:highlight w:val="none"/>
          <w:lang w:val="zh-CN" w:bidi="zh-CN"/>
        </w:rPr>
        <w:t>（采购</w:t>
      </w:r>
      <w:r>
        <w:rPr>
          <w:rFonts w:hint="eastAsia" w:ascii="宋体" w:hAnsi="宋体" w:eastAsia="宋体" w:cs="宋体"/>
          <w:color w:val="auto"/>
          <w:kern w:val="0"/>
          <w:sz w:val="22"/>
          <w:szCs w:val="22"/>
          <w:highlight w:val="none"/>
          <w:lang w:val="en-US" w:bidi="zh-CN"/>
        </w:rPr>
        <w:t>人</w:t>
      </w:r>
      <w:r>
        <w:rPr>
          <w:rFonts w:hint="eastAsia" w:ascii="宋体" w:hAnsi="宋体" w:eastAsia="宋体" w:cs="宋体"/>
          <w:color w:val="auto"/>
          <w:kern w:val="0"/>
          <w:sz w:val="22"/>
          <w:szCs w:val="22"/>
          <w:highlight w:val="none"/>
          <w:lang w:val="zh-CN" w:bidi="zh-CN"/>
        </w:rPr>
        <w:t>名称）：</w:t>
      </w:r>
    </w:p>
    <w:p w14:paraId="4D60208B">
      <w:pPr>
        <w:keepNext w:val="0"/>
        <w:keepLines w:val="0"/>
        <w:pageBreakBefore w:val="0"/>
        <w:widowControl w:val="0"/>
        <w:shd w:val="clear" w:color="auto" w:fill="auto"/>
        <w:kinsoku/>
        <w:wordWrap/>
        <w:overflowPunct/>
        <w:topLinePunct w:val="0"/>
        <w:autoSpaceDE w:val="0"/>
        <w:autoSpaceDN w:val="0"/>
        <w:bidi w:val="0"/>
        <w:adjustRightInd/>
        <w:snapToGrid w:val="0"/>
        <w:spacing w:line="500" w:lineRule="exact"/>
        <w:ind w:firstLine="440" w:firstLineChars="200"/>
        <w:jc w:val="left"/>
        <w:textAlignment w:val="bottom"/>
        <w:rPr>
          <w:rFonts w:hint="eastAsia" w:ascii="宋体" w:hAnsi="宋体" w:eastAsia="宋体" w:cs="宋体"/>
          <w:color w:val="auto"/>
          <w:kern w:val="0"/>
          <w:sz w:val="22"/>
          <w:szCs w:val="22"/>
          <w:highlight w:val="none"/>
          <w:lang w:val="zh-CN" w:bidi="zh-CN"/>
        </w:rPr>
      </w:pPr>
      <w:r>
        <w:rPr>
          <w:rFonts w:hint="eastAsia" w:ascii="宋体" w:hAnsi="宋体" w:eastAsia="宋体" w:cs="宋体"/>
          <w:color w:val="auto"/>
          <w:kern w:val="0"/>
          <w:sz w:val="22"/>
          <w:szCs w:val="22"/>
          <w:highlight w:val="none"/>
          <w:lang w:val="zh-CN" w:bidi="zh-CN"/>
        </w:rPr>
        <w:t>根据贵方为</w:t>
      </w:r>
      <w:r>
        <w:rPr>
          <w:rFonts w:hint="eastAsia" w:ascii="宋体" w:hAnsi="宋体" w:eastAsia="宋体" w:cs="宋体"/>
          <w:color w:val="auto"/>
          <w:kern w:val="0"/>
          <w:sz w:val="22"/>
          <w:szCs w:val="22"/>
          <w:highlight w:val="none"/>
          <w:u w:val="single"/>
          <w:lang w:val="zh-CN" w:bidi="zh-CN"/>
        </w:rPr>
        <w:t xml:space="preserve"> </w:t>
      </w:r>
      <w:r>
        <w:rPr>
          <w:rFonts w:hint="eastAsia" w:ascii="宋体" w:hAnsi="宋体" w:eastAsia="宋体" w:cs="宋体"/>
          <w:color w:val="auto"/>
          <w:kern w:val="0"/>
          <w:sz w:val="22"/>
          <w:szCs w:val="22"/>
          <w:highlight w:val="none"/>
          <w:u w:val="single"/>
          <w:lang w:val="en-US" w:eastAsia="zh-CN" w:bidi="zh-CN"/>
        </w:rPr>
        <w:t xml:space="preserve">         </w:t>
      </w:r>
      <w:r>
        <w:rPr>
          <w:rFonts w:hint="eastAsia" w:ascii="宋体" w:hAnsi="宋体" w:eastAsia="宋体" w:cs="宋体"/>
          <w:color w:val="auto"/>
          <w:kern w:val="0"/>
          <w:sz w:val="22"/>
          <w:szCs w:val="22"/>
          <w:highlight w:val="none"/>
          <w:u w:val="single"/>
          <w:lang w:val="zh-CN" w:eastAsia="zh-CN" w:bidi="zh-CN"/>
        </w:rPr>
        <w:t>(</w:t>
      </w:r>
      <w:r>
        <w:rPr>
          <w:rFonts w:hint="eastAsia" w:ascii="宋体" w:hAnsi="宋体" w:eastAsia="宋体" w:cs="宋体"/>
          <w:color w:val="auto"/>
          <w:kern w:val="0"/>
          <w:sz w:val="22"/>
          <w:szCs w:val="22"/>
          <w:highlight w:val="none"/>
          <w:u w:val="single"/>
          <w:lang w:val="en-US" w:eastAsia="zh-CN" w:bidi="zh-CN"/>
        </w:rPr>
        <w:t>项目名称</w:t>
      </w:r>
      <w:r>
        <w:rPr>
          <w:rFonts w:hint="eastAsia" w:ascii="宋体" w:hAnsi="宋体" w:eastAsia="宋体" w:cs="宋体"/>
          <w:color w:val="auto"/>
          <w:kern w:val="0"/>
          <w:sz w:val="22"/>
          <w:szCs w:val="22"/>
          <w:highlight w:val="none"/>
          <w:u w:val="single"/>
          <w:lang w:val="zh-CN" w:eastAsia="zh-CN" w:bidi="zh-CN"/>
        </w:rPr>
        <w:t>)</w:t>
      </w:r>
      <w:r>
        <w:rPr>
          <w:rFonts w:hint="eastAsia" w:ascii="宋体" w:hAnsi="宋体" w:eastAsia="宋体" w:cs="宋体"/>
          <w:color w:val="auto"/>
          <w:kern w:val="0"/>
          <w:sz w:val="22"/>
          <w:szCs w:val="22"/>
          <w:highlight w:val="none"/>
          <w:u w:val="single"/>
          <w:lang w:val="zh-CN" w:bidi="zh-CN"/>
        </w:rPr>
        <w:t xml:space="preserve">  </w:t>
      </w:r>
      <w:r>
        <w:rPr>
          <w:rFonts w:hint="eastAsia" w:ascii="宋体" w:hAnsi="宋体" w:eastAsia="宋体" w:cs="宋体"/>
          <w:color w:val="auto"/>
          <w:kern w:val="0"/>
          <w:sz w:val="22"/>
          <w:szCs w:val="22"/>
          <w:highlight w:val="none"/>
          <w:lang w:val="zh-CN" w:bidi="zh-CN"/>
        </w:rPr>
        <w:t>项目的招标公告（项目编号：</w:t>
      </w:r>
      <w:r>
        <w:rPr>
          <w:rFonts w:hint="eastAsia" w:ascii="宋体" w:hAnsi="宋体" w:eastAsia="宋体" w:cs="宋体"/>
          <w:color w:val="auto"/>
          <w:kern w:val="0"/>
          <w:sz w:val="22"/>
          <w:szCs w:val="22"/>
          <w:highlight w:val="none"/>
          <w:u w:val="single"/>
          <w:lang w:val="en-US" w:eastAsia="zh-CN" w:bidi="zh-CN"/>
        </w:rPr>
        <w:t xml:space="preserve">      </w:t>
      </w:r>
      <w:r>
        <w:rPr>
          <w:rFonts w:hint="eastAsia" w:ascii="宋体" w:hAnsi="宋体" w:eastAsia="宋体" w:cs="宋体"/>
          <w:color w:val="auto"/>
          <w:kern w:val="0"/>
          <w:sz w:val="22"/>
          <w:szCs w:val="22"/>
          <w:highlight w:val="none"/>
          <w:lang w:val="zh-CN" w:bidi="zh-CN"/>
        </w:rPr>
        <w:t>），签字代表</w:t>
      </w:r>
      <w:r>
        <w:rPr>
          <w:rFonts w:hint="eastAsia" w:ascii="宋体" w:hAnsi="宋体" w:eastAsia="宋体" w:cs="宋体"/>
          <w:color w:val="auto"/>
          <w:kern w:val="0"/>
          <w:sz w:val="22"/>
          <w:szCs w:val="22"/>
          <w:highlight w:val="none"/>
          <w:lang w:val="en-US" w:eastAsia="zh-CN" w:bidi="zh-CN"/>
        </w:rPr>
        <w:t xml:space="preserve"> </w:t>
      </w:r>
      <w:r>
        <w:rPr>
          <w:rFonts w:hint="eastAsia" w:ascii="宋体" w:hAnsi="宋体" w:eastAsia="宋体" w:cs="宋体"/>
          <w:color w:val="auto"/>
          <w:kern w:val="0"/>
          <w:sz w:val="22"/>
          <w:szCs w:val="22"/>
          <w:highlight w:val="none"/>
          <w:u w:val="single"/>
          <w:lang w:val="en-US" w:eastAsia="zh-CN" w:bidi="zh-CN"/>
        </w:rPr>
        <w:t xml:space="preserve">      </w:t>
      </w:r>
      <w:r>
        <w:rPr>
          <w:rFonts w:hint="eastAsia" w:ascii="宋体" w:hAnsi="宋体" w:eastAsia="宋体" w:cs="宋体"/>
          <w:color w:val="auto"/>
          <w:kern w:val="0"/>
          <w:sz w:val="22"/>
          <w:szCs w:val="22"/>
          <w:highlight w:val="none"/>
          <w:u w:val="single"/>
          <w:lang w:val="zh-CN" w:bidi="zh-CN"/>
        </w:rPr>
        <w:t>（全名）</w:t>
      </w:r>
      <w:r>
        <w:rPr>
          <w:rFonts w:hint="eastAsia" w:ascii="宋体" w:hAnsi="宋体" w:eastAsia="宋体" w:cs="宋体"/>
          <w:color w:val="auto"/>
          <w:kern w:val="0"/>
          <w:sz w:val="22"/>
          <w:szCs w:val="22"/>
          <w:highlight w:val="none"/>
          <w:u w:val="single"/>
          <w:lang w:val="en-US" w:eastAsia="zh-CN" w:bidi="zh-CN"/>
        </w:rPr>
        <w:t xml:space="preserve">   </w:t>
      </w:r>
      <w:r>
        <w:rPr>
          <w:rFonts w:hint="eastAsia" w:ascii="宋体" w:hAnsi="宋体" w:eastAsia="宋体" w:cs="宋体"/>
          <w:color w:val="auto"/>
          <w:kern w:val="0"/>
          <w:sz w:val="22"/>
          <w:szCs w:val="22"/>
          <w:highlight w:val="none"/>
          <w:lang w:val="zh-CN" w:bidi="zh-CN"/>
        </w:rPr>
        <w:t>经正式授权并代表投标人</w:t>
      </w:r>
      <w:r>
        <w:rPr>
          <w:rFonts w:hint="eastAsia" w:ascii="宋体" w:hAnsi="宋体" w:eastAsia="宋体" w:cs="宋体"/>
          <w:color w:val="auto"/>
          <w:kern w:val="0"/>
          <w:sz w:val="22"/>
          <w:szCs w:val="22"/>
          <w:highlight w:val="none"/>
          <w:u w:val="single"/>
          <w:lang w:val="en-US" w:eastAsia="zh-CN" w:bidi="zh-CN"/>
        </w:rPr>
        <w:t xml:space="preserve">           </w:t>
      </w:r>
      <w:r>
        <w:rPr>
          <w:rFonts w:hint="eastAsia" w:ascii="宋体" w:hAnsi="宋体" w:eastAsia="宋体" w:cs="宋体"/>
          <w:color w:val="auto"/>
          <w:kern w:val="0"/>
          <w:sz w:val="22"/>
          <w:szCs w:val="22"/>
          <w:highlight w:val="none"/>
          <w:lang w:val="zh-CN" w:bidi="zh-CN"/>
        </w:rPr>
        <w:t>（投标人名称）提交电子投标文件</w:t>
      </w:r>
      <w:r>
        <w:rPr>
          <w:rFonts w:hint="eastAsia" w:ascii="宋体" w:hAnsi="宋体" w:eastAsia="宋体" w:cs="宋体"/>
          <w:color w:val="auto"/>
          <w:kern w:val="0"/>
          <w:sz w:val="22"/>
          <w:szCs w:val="22"/>
          <w:highlight w:val="none"/>
          <w:u w:val="single"/>
          <w:lang w:val="zh-CN" w:bidi="zh-CN"/>
        </w:rPr>
        <w:t xml:space="preserve"> 1 </w:t>
      </w:r>
      <w:r>
        <w:rPr>
          <w:rFonts w:hint="eastAsia" w:ascii="宋体" w:hAnsi="宋体" w:eastAsia="宋体" w:cs="宋体"/>
          <w:color w:val="auto"/>
          <w:kern w:val="0"/>
          <w:sz w:val="22"/>
          <w:szCs w:val="22"/>
          <w:highlight w:val="none"/>
          <w:lang w:val="zh-CN" w:bidi="zh-CN"/>
        </w:rPr>
        <w:t>份、备份电子投标文件</w:t>
      </w:r>
      <w:r>
        <w:rPr>
          <w:rFonts w:hint="eastAsia" w:ascii="宋体" w:hAnsi="宋体" w:eastAsia="宋体" w:cs="宋体"/>
          <w:color w:val="auto"/>
          <w:kern w:val="0"/>
          <w:sz w:val="22"/>
          <w:szCs w:val="22"/>
          <w:highlight w:val="none"/>
          <w:u w:val="single"/>
          <w:lang w:val="zh-CN" w:bidi="zh-CN"/>
        </w:rPr>
        <w:t xml:space="preserve"> 1 </w:t>
      </w:r>
      <w:r>
        <w:rPr>
          <w:rFonts w:hint="eastAsia" w:ascii="宋体" w:hAnsi="宋体" w:eastAsia="宋体" w:cs="宋体"/>
          <w:color w:val="auto"/>
          <w:kern w:val="0"/>
          <w:sz w:val="22"/>
          <w:szCs w:val="22"/>
          <w:highlight w:val="none"/>
          <w:lang w:val="zh-CN" w:bidi="zh-CN"/>
        </w:rPr>
        <w:t>份。</w:t>
      </w:r>
    </w:p>
    <w:p w14:paraId="2D68B92C">
      <w:pPr>
        <w:keepNext w:val="0"/>
        <w:keepLines w:val="0"/>
        <w:pageBreakBefore w:val="0"/>
        <w:widowControl w:val="0"/>
        <w:shd w:val="clear" w:color="auto" w:fill="auto"/>
        <w:kinsoku/>
        <w:wordWrap/>
        <w:overflowPunct/>
        <w:topLinePunct w:val="0"/>
        <w:autoSpaceDE w:val="0"/>
        <w:autoSpaceDN w:val="0"/>
        <w:bidi w:val="0"/>
        <w:adjustRightInd/>
        <w:snapToGrid w:val="0"/>
        <w:spacing w:line="500" w:lineRule="exact"/>
        <w:ind w:firstLine="440" w:firstLineChars="200"/>
        <w:jc w:val="left"/>
        <w:textAlignment w:val="bottom"/>
        <w:rPr>
          <w:rFonts w:hint="eastAsia" w:ascii="宋体" w:hAnsi="宋体" w:eastAsia="宋体" w:cs="宋体"/>
          <w:color w:val="auto"/>
          <w:kern w:val="0"/>
          <w:sz w:val="22"/>
          <w:szCs w:val="22"/>
          <w:highlight w:val="none"/>
          <w:lang w:val="zh-CN" w:bidi="zh-CN"/>
        </w:rPr>
      </w:pPr>
      <w:r>
        <w:rPr>
          <w:rFonts w:hint="eastAsia" w:ascii="宋体" w:hAnsi="宋体" w:eastAsia="宋体" w:cs="宋体"/>
          <w:color w:val="auto"/>
          <w:kern w:val="0"/>
          <w:sz w:val="22"/>
          <w:szCs w:val="22"/>
          <w:highlight w:val="none"/>
          <w:lang w:val="zh-CN" w:bidi="zh-CN"/>
        </w:rPr>
        <w:t>据此函，签字代表宣布同意如下：</w:t>
      </w:r>
    </w:p>
    <w:p w14:paraId="1E3B4ED1">
      <w:pPr>
        <w:keepNext w:val="0"/>
        <w:keepLines w:val="0"/>
        <w:pageBreakBefore w:val="0"/>
        <w:widowControl w:val="0"/>
        <w:shd w:val="clear" w:color="auto" w:fill="auto"/>
        <w:kinsoku/>
        <w:wordWrap/>
        <w:overflowPunct/>
        <w:topLinePunct w:val="0"/>
        <w:autoSpaceDE w:val="0"/>
        <w:autoSpaceDN w:val="0"/>
        <w:bidi w:val="0"/>
        <w:adjustRightInd/>
        <w:snapToGrid w:val="0"/>
        <w:spacing w:line="500" w:lineRule="exact"/>
        <w:ind w:firstLine="440" w:firstLineChars="200"/>
        <w:jc w:val="left"/>
        <w:textAlignment w:val="bottom"/>
        <w:rPr>
          <w:rFonts w:hint="eastAsia" w:ascii="宋体" w:hAnsi="宋体" w:eastAsia="宋体" w:cs="宋体"/>
          <w:color w:val="auto"/>
          <w:kern w:val="0"/>
          <w:sz w:val="22"/>
          <w:szCs w:val="22"/>
          <w:highlight w:val="none"/>
          <w:lang w:val="zh-CN" w:bidi="zh-CN"/>
        </w:rPr>
      </w:pPr>
      <w:r>
        <w:rPr>
          <w:rFonts w:hint="eastAsia" w:ascii="宋体" w:hAnsi="宋体" w:eastAsia="宋体" w:cs="宋体"/>
          <w:color w:val="auto"/>
          <w:kern w:val="0"/>
          <w:sz w:val="22"/>
          <w:szCs w:val="22"/>
          <w:highlight w:val="none"/>
          <w:lang w:val="zh-CN" w:bidi="zh-CN"/>
        </w:rPr>
        <w:t>1.投标人已详细审查全部“招标文件”，包括修改文件（如有的话）以及全部参考资料和有关附件，已经了解我方对于招标文件、采购过程、采购结果有依法进行询问、质疑、投诉的权利及相关渠道和要求。</w:t>
      </w:r>
    </w:p>
    <w:p w14:paraId="51B89E43">
      <w:pPr>
        <w:keepNext w:val="0"/>
        <w:keepLines w:val="0"/>
        <w:pageBreakBefore w:val="0"/>
        <w:widowControl w:val="0"/>
        <w:shd w:val="clear" w:color="auto" w:fill="auto"/>
        <w:kinsoku/>
        <w:wordWrap/>
        <w:overflowPunct/>
        <w:topLinePunct w:val="0"/>
        <w:autoSpaceDE w:val="0"/>
        <w:autoSpaceDN w:val="0"/>
        <w:bidi w:val="0"/>
        <w:adjustRightInd/>
        <w:snapToGrid w:val="0"/>
        <w:spacing w:line="500" w:lineRule="exact"/>
        <w:ind w:firstLine="440" w:firstLineChars="200"/>
        <w:jc w:val="left"/>
        <w:textAlignment w:val="bottom"/>
        <w:rPr>
          <w:rFonts w:hint="eastAsia" w:ascii="宋体" w:hAnsi="宋体" w:eastAsia="宋体" w:cs="宋体"/>
          <w:color w:val="auto"/>
          <w:kern w:val="0"/>
          <w:sz w:val="22"/>
          <w:szCs w:val="22"/>
          <w:highlight w:val="none"/>
          <w:lang w:val="zh-CN" w:bidi="zh-CN"/>
        </w:rPr>
      </w:pPr>
      <w:r>
        <w:rPr>
          <w:rFonts w:hint="eastAsia" w:ascii="宋体" w:hAnsi="宋体" w:eastAsia="宋体" w:cs="宋体"/>
          <w:color w:val="auto"/>
          <w:kern w:val="0"/>
          <w:sz w:val="22"/>
          <w:szCs w:val="22"/>
          <w:highlight w:val="none"/>
          <w:lang w:val="zh-CN" w:bidi="zh-CN"/>
        </w:rPr>
        <w:t>2.投标人在投标之前已经与贵方进行了充分的沟通，完全理解并接受招标文件的各项规定和要求，对招标文件的合理性、合法性不再有异议。</w:t>
      </w:r>
    </w:p>
    <w:p w14:paraId="5627F97D">
      <w:pPr>
        <w:keepNext w:val="0"/>
        <w:keepLines w:val="0"/>
        <w:pageBreakBefore w:val="0"/>
        <w:widowControl w:val="0"/>
        <w:shd w:val="clear" w:color="auto" w:fill="auto"/>
        <w:kinsoku/>
        <w:wordWrap/>
        <w:overflowPunct/>
        <w:topLinePunct w:val="0"/>
        <w:autoSpaceDE w:val="0"/>
        <w:autoSpaceDN w:val="0"/>
        <w:bidi w:val="0"/>
        <w:adjustRightInd/>
        <w:snapToGrid w:val="0"/>
        <w:spacing w:line="500" w:lineRule="exact"/>
        <w:ind w:firstLine="440" w:firstLineChars="200"/>
        <w:jc w:val="left"/>
        <w:textAlignment w:val="bottom"/>
        <w:rPr>
          <w:rFonts w:hint="eastAsia" w:ascii="宋体" w:hAnsi="宋体" w:eastAsia="宋体" w:cs="宋体"/>
          <w:color w:val="auto"/>
          <w:kern w:val="0"/>
          <w:sz w:val="22"/>
          <w:szCs w:val="22"/>
          <w:highlight w:val="none"/>
          <w:lang w:val="zh-CN" w:bidi="zh-CN"/>
        </w:rPr>
      </w:pPr>
      <w:r>
        <w:rPr>
          <w:rFonts w:hint="eastAsia" w:ascii="宋体" w:hAnsi="宋体" w:eastAsia="宋体" w:cs="宋体"/>
          <w:color w:val="auto"/>
          <w:kern w:val="0"/>
          <w:sz w:val="22"/>
          <w:szCs w:val="22"/>
          <w:highlight w:val="none"/>
          <w:lang w:val="zh-CN" w:bidi="zh-CN"/>
        </w:rPr>
        <w:t>3.本投标有效期</w:t>
      </w:r>
      <w:r>
        <w:rPr>
          <w:rFonts w:hint="eastAsia" w:ascii="宋体" w:hAnsi="宋体" w:eastAsia="宋体" w:cs="宋体"/>
          <w:color w:val="auto"/>
          <w:kern w:val="0"/>
          <w:sz w:val="22"/>
          <w:szCs w:val="22"/>
          <w:highlight w:val="none"/>
          <w:lang w:val="en-US" w:eastAsia="zh-CN" w:bidi="zh-CN"/>
        </w:rPr>
        <w:t>为：投标截止之日起</w:t>
      </w:r>
      <w:r>
        <w:rPr>
          <w:rFonts w:hint="eastAsia" w:ascii="宋体" w:hAnsi="宋体" w:eastAsia="宋体" w:cs="宋体"/>
          <w:color w:val="auto"/>
          <w:kern w:val="0"/>
          <w:sz w:val="22"/>
          <w:szCs w:val="22"/>
          <w:highlight w:val="none"/>
          <w:u w:val="single"/>
          <w:lang w:val="en-US" w:eastAsia="zh-CN" w:bidi="zh-CN"/>
        </w:rPr>
        <w:t xml:space="preserve">  90  </w:t>
      </w:r>
      <w:r>
        <w:rPr>
          <w:rFonts w:hint="eastAsia" w:ascii="宋体" w:hAnsi="宋体" w:eastAsia="宋体" w:cs="宋体"/>
          <w:color w:val="auto"/>
          <w:kern w:val="0"/>
          <w:sz w:val="22"/>
          <w:szCs w:val="22"/>
          <w:highlight w:val="none"/>
          <w:u w:val="none"/>
          <w:lang w:val="en-US" w:eastAsia="zh-CN" w:bidi="zh-CN"/>
        </w:rPr>
        <w:t>天</w:t>
      </w:r>
      <w:r>
        <w:rPr>
          <w:rFonts w:hint="eastAsia" w:ascii="宋体" w:hAnsi="宋体" w:eastAsia="宋体" w:cs="宋体"/>
          <w:color w:val="auto"/>
          <w:kern w:val="0"/>
          <w:sz w:val="22"/>
          <w:szCs w:val="22"/>
          <w:highlight w:val="none"/>
          <w:lang w:val="zh-CN" w:bidi="zh-CN"/>
        </w:rPr>
        <w:t>。</w:t>
      </w:r>
    </w:p>
    <w:p w14:paraId="046D84AB">
      <w:pPr>
        <w:keepNext w:val="0"/>
        <w:keepLines w:val="0"/>
        <w:pageBreakBefore w:val="0"/>
        <w:widowControl w:val="0"/>
        <w:shd w:val="clear" w:color="auto" w:fill="auto"/>
        <w:kinsoku/>
        <w:wordWrap/>
        <w:overflowPunct/>
        <w:topLinePunct w:val="0"/>
        <w:autoSpaceDE w:val="0"/>
        <w:autoSpaceDN w:val="0"/>
        <w:bidi w:val="0"/>
        <w:adjustRightInd/>
        <w:snapToGrid w:val="0"/>
        <w:spacing w:line="500" w:lineRule="exact"/>
        <w:ind w:firstLine="440" w:firstLineChars="200"/>
        <w:jc w:val="left"/>
        <w:textAlignment w:val="bottom"/>
        <w:rPr>
          <w:rFonts w:hint="eastAsia" w:ascii="宋体" w:hAnsi="宋体" w:eastAsia="宋体" w:cs="宋体"/>
          <w:color w:val="auto"/>
          <w:kern w:val="0"/>
          <w:sz w:val="22"/>
          <w:szCs w:val="22"/>
          <w:highlight w:val="none"/>
          <w:lang w:val="zh-CN" w:bidi="zh-CN"/>
        </w:rPr>
      </w:pPr>
      <w:r>
        <w:rPr>
          <w:rFonts w:hint="eastAsia" w:ascii="宋体" w:hAnsi="宋体" w:eastAsia="宋体" w:cs="宋体"/>
          <w:color w:val="auto"/>
          <w:kern w:val="0"/>
          <w:sz w:val="22"/>
          <w:szCs w:val="22"/>
          <w:highlight w:val="none"/>
          <w:lang w:val="zh-CN" w:bidi="zh-CN"/>
        </w:rPr>
        <w:t>4.如中标，本投标文件至本项目合同履行完毕止均保持有效，本投标人将按“招标文件”及政府采购法律、法规的规定履行合同责任和义务。</w:t>
      </w:r>
    </w:p>
    <w:p w14:paraId="2AA0F423">
      <w:pPr>
        <w:keepNext w:val="0"/>
        <w:keepLines w:val="0"/>
        <w:pageBreakBefore w:val="0"/>
        <w:widowControl w:val="0"/>
        <w:shd w:val="clear" w:color="auto" w:fill="auto"/>
        <w:kinsoku/>
        <w:wordWrap/>
        <w:overflowPunct/>
        <w:topLinePunct w:val="0"/>
        <w:autoSpaceDE w:val="0"/>
        <w:autoSpaceDN w:val="0"/>
        <w:bidi w:val="0"/>
        <w:adjustRightInd/>
        <w:snapToGrid w:val="0"/>
        <w:spacing w:line="500" w:lineRule="exact"/>
        <w:ind w:firstLine="440" w:firstLineChars="200"/>
        <w:jc w:val="left"/>
        <w:textAlignment w:val="bottom"/>
        <w:rPr>
          <w:rFonts w:hint="eastAsia" w:ascii="宋体" w:hAnsi="宋体" w:eastAsia="宋体" w:cs="宋体"/>
          <w:color w:val="auto"/>
          <w:kern w:val="0"/>
          <w:sz w:val="22"/>
          <w:szCs w:val="22"/>
          <w:highlight w:val="none"/>
          <w:lang w:val="zh-CN" w:bidi="zh-CN"/>
        </w:rPr>
      </w:pPr>
      <w:r>
        <w:rPr>
          <w:rFonts w:hint="eastAsia" w:ascii="宋体" w:hAnsi="宋体" w:eastAsia="宋体" w:cs="宋体"/>
          <w:color w:val="auto"/>
          <w:kern w:val="0"/>
          <w:sz w:val="22"/>
          <w:szCs w:val="22"/>
          <w:highlight w:val="none"/>
          <w:lang w:val="zh-CN" w:bidi="zh-CN"/>
        </w:rPr>
        <w:t>5.投标人同意按照贵方要求提供与投标有关的一切数据或资料。</w:t>
      </w:r>
    </w:p>
    <w:p w14:paraId="4FA5C149">
      <w:pPr>
        <w:keepNext w:val="0"/>
        <w:pageBreakBefore w:val="0"/>
        <w:widowControl w:val="0"/>
        <w:overflowPunct/>
        <w:bidi w:val="0"/>
        <w:spacing w:line="480" w:lineRule="exact"/>
        <w:ind w:firstLine="457" w:firstLineChars="208"/>
        <w:jc w:val="left"/>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kern w:val="0"/>
          <w:sz w:val="22"/>
          <w:szCs w:val="22"/>
          <w:highlight w:val="none"/>
          <w:lang w:val="zh-CN" w:bidi="zh-CN"/>
        </w:rPr>
        <w:t>6.与本投标有关的一切正式往来信函请寄：</w:t>
      </w:r>
    </w:p>
    <w:p w14:paraId="444C2F1F">
      <w:pPr>
        <w:keepNext w:val="0"/>
        <w:pageBreakBefore w:val="0"/>
        <w:widowControl w:val="0"/>
        <w:overflowPunct/>
        <w:bidi w:val="0"/>
        <w:spacing w:line="480" w:lineRule="exact"/>
        <w:rPr>
          <w:rFonts w:hint="eastAsia" w:ascii="宋体" w:hAnsi="宋体" w:eastAsia="宋体" w:cs="宋体"/>
          <w:color w:val="auto"/>
          <w:sz w:val="22"/>
          <w:szCs w:val="28"/>
          <w:highlight w:val="none"/>
          <w:shd w:val="clear" w:color="auto" w:fill="auto"/>
        </w:rPr>
      </w:pPr>
      <w:r>
        <w:rPr>
          <w:rFonts w:hint="eastAsia" w:ascii="宋体" w:hAnsi="宋体" w:eastAsia="宋体" w:cs="宋体"/>
          <w:color w:val="auto"/>
          <w:sz w:val="22"/>
          <w:szCs w:val="22"/>
          <w:highlight w:val="none"/>
          <w:shd w:val="clear" w:color="auto" w:fill="auto"/>
        </w:rPr>
        <w:t xml:space="preserve">       </w:t>
      </w:r>
      <w:r>
        <w:rPr>
          <w:rFonts w:hint="eastAsia" w:ascii="宋体" w:hAnsi="宋体" w:eastAsia="宋体" w:cs="宋体"/>
          <w:color w:val="auto"/>
          <w:kern w:val="0"/>
          <w:sz w:val="22"/>
          <w:szCs w:val="22"/>
          <w:highlight w:val="none"/>
          <w:lang w:val="zh-CN" w:bidi="zh-CN"/>
        </w:rPr>
        <w:t>地址：</w:t>
      </w:r>
      <w:r>
        <w:rPr>
          <w:rFonts w:hint="eastAsia" w:ascii="宋体" w:hAnsi="宋体" w:eastAsia="宋体" w:cs="宋体"/>
          <w:color w:val="auto"/>
          <w:kern w:val="0"/>
          <w:sz w:val="22"/>
          <w:szCs w:val="22"/>
          <w:highlight w:val="none"/>
          <w:u w:val="single"/>
          <w:lang w:val="zh-CN" w:bidi="zh-CN"/>
        </w:rPr>
        <w:t xml:space="preserve">               </w:t>
      </w:r>
      <w:r>
        <w:rPr>
          <w:rFonts w:hint="eastAsia" w:ascii="宋体" w:hAnsi="宋体" w:eastAsia="宋体" w:cs="宋体"/>
          <w:color w:val="auto"/>
          <w:kern w:val="0"/>
          <w:sz w:val="22"/>
          <w:szCs w:val="22"/>
          <w:highlight w:val="none"/>
          <w:lang w:val="zh-CN" w:bidi="zh-CN"/>
        </w:rPr>
        <w:t xml:space="preserve">      邮编：</w:t>
      </w:r>
      <w:r>
        <w:rPr>
          <w:rFonts w:hint="eastAsia" w:ascii="宋体" w:hAnsi="宋体" w:eastAsia="宋体" w:cs="宋体"/>
          <w:color w:val="auto"/>
          <w:kern w:val="0"/>
          <w:sz w:val="22"/>
          <w:szCs w:val="22"/>
          <w:highlight w:val="none"/>
          <w:u w:val="single"/>
          <w:lang w:val="zh-CN" w:bidi="zh-CN"/>
        </w:rPr>
        <w:t xml:space="preserve">                </w:t>
      </w:r>
      <w:r>
        <w:rPr>
          <w:rFonts w:hint="eastAsia" w:ascii="宋体" w:hAnsi="宋体" w:eastAsia="宋体" w:cs="宋体"/>
          <w:color w:val="auto"/>
          <w:kern w:val="0"/>
          <w:sz w:val="22"/>
          <w:szCs w:val="22"/>
          <w:highlight w:val="none"/>
          <w:lang w:val="zh-CN" w:bidi="zh-CN"/>
        </w:rPr>
        <w:t xml:space="preserve">   电话：</w:t>
      </w:r>
      <w:r>
        <w:rPr>
          <w:rFonts w:hint="eastAsia" w:ascii="宋体" w:hAnsi="宋体" w:eastAsia="宋体" w:cs="宋体"/>
          <w:color w:val="auto"/>
          <w:kern w:val="0"/>
          <w:sz w:val="22"/>
          <w:szCs w:val="22"/>
          <w:highlight w:val="none"/>
          <w:u w:val="single"/>
          <w:lang w:val="en-US" w:eastAsia="zh-CN" w:bidi="zh-CN"/>
        </w:rPr>
        <w:t xml:space="preserve">             </w:t>
      </w:r>
    </w:p>
    <w:p w14:paraId="3C89CC05">
      <w:pPr>
        <w:keepNext w:val="0"/>
        <w:pageBreakBefore w:val="0"/>
        <w:widowControl w:val="0"/>
        <w:overflowPunct/>
        <w:bidi w:val="0"/>
        <w:spacing w:line="480" w:lineRule="exact"/>
        <w:rPr>
          <w:rFonts w:hint="eastAsia" w:ascii="宋体" w:hAnsi="宋体" w:eastAsia="宋体" w:cs="宋体"/>
          <w:color w:val="auto"/>
          <w:sz w:val="22"/>
          <w:szCs w:val="28"/>
          <w:highlight w:val="none"/>
          <w:shd w:val="clear" w:color="auto" w:fill="auto"/>
        </w:rPr>
      </w:pPr>
    </w:p>
    <w:p w14:paraId="1D701707">
      <w:pPr>
        <w:keepNext w:val="0"/>
        <w:pageBreakBefore w:val="0"/>
        <w:widowControl w:val="0"/>
        <w:overflowPunct/>
        <w:bidi w:val="0"/>
        <w:spacing w:line="480" w:lineRule="exact"/>
        <w:rPr>
          <w:rFonts w:hint="eastAsia" w:ascii="宋体" w:hAnsi="宋体" w:eastAsia="宋体" w:cs="宋体"/>
          <w:color w:val="auto"/>
          <w:sz w:val="22"/>
          <w:szCs w:val="28"/>
          <w:highlight w:val="none"/>
          <w:u w:val="single"/>
          <w:shd w:val="clear" w:color="auto" w:fill="auto"/>
        </w:rPr>
      </w:pPr>
      <w:r>
        <w:rPr>
          <w:rFonts w:hint="eastAsia" w:ascii="宋体" w:hAnsi="宋体" w:eastAsia="宋体" w:cs="宋体"/>
          <w:color w:val="auto"/>
          <w:sz w:val="22"/>
          <w:szCs w:val="28"/>
          <w:highlight w:val="none"/>
          <w:shd w:val="clear" w:color="auto" w:fill="auto"/>
        </w:rPr>
        <w:t>供应商名称（公章）：</w:t>
      </w:r>
      <w:r>
        <w:rPr>
          <w:rFonts w:hint="eastAsia" w:ascii="宋体" w:hAnsi="宋体" w:eastAsia="宋体" w:cs="宋体"/>
          <w:color w:val="auto"/>
          <w:sz w:val="22"/>
          <w:szCs w:val="28"/>
          <w:highlight w:val="none"/>
          <w:u w:val="single"/>
          <w:shd w:val="clear" w:color="auto" w:fill="auto"/>
        </w:rPr>
        <w:t xml:space="preserve">                           </w:t>
      </w:r>
    </w:p>
    <w:p w14:paraId="32091537">
      <w:pPr>
        <w:keepNext w:val="0"/>
        <w:pageBreakBefore w:val="0"/>
        <w:widowControl w:val="0"/>
        <w:overflowPunct/>
        <w:bidi w:val="0"/>
        <w:spacing w:line="480" w:lineRule="exact"/>
        <w:rPr>
          <w:rFonts w:hint="eastAsia" w:ascii="宋体" w:hAnsi="宋体" w:eastAsia="宋体" w:cs="宋体"/>
          <w:color w:val="auto"/>
          <w:sz w:val="22"/>
          <w:szCs w:val="28"/>
          <w:highlight w:val="none"/>
          <w:u w:val="single"/>
          <w:shd w:val="clear" w:color="auto" w:fill="auto"/>
        </w:rPr>
      </w:pPr>
      <w:r>
        <w:rPr>
          <w:rFonts w:hint="eastAsia" w:ascii="宋体" w:hAnsi="宋体" w:eastAsia="宋体" w:cs="宋体"/>
          <w:color w:val="auto"/>
          <w:kern w:val="0"/>
          <w:sz w:val="22"/>
          <w:szCs w:val="22"/>
          <w:highlight w:val="none"/>
          <w:shd w:val="clear" w:color="auto" w:fill="auto"/>
        </w:rPr>
        <w:t>法定代表人或授权代表</w:t>
      </w:r>
      <w:r>
        <w:rPr>
          <w:rFonts w:hint="eastAsia" w:ascii="宋体" w:hAnsi="宋体" w:eastAsia="宋体" w:cs="宋体"/>
          <w:color w:val="auto"/>
          <w:sz w:val="22"/>
          <w:szCs w:val="28"/>
          <w:highlight w:val="none"/>
          <w:shd w:val="clear" w:color="auto" w:fill="auto"/>
        </w:rPr>
        <w:t>（签字或盖章）：</w:t>
      </w:r>
      <w:r>
        <w:rPr>
          <w:rFonts w:hint="eastAsia" w:ascii="宋体" w:hAnsi="宋体" w:eastAsia="宋体" w:cs="宋体"/>
          <w:color w:val="auto"/>
          <w:sz w:val="22"/>
          <w:szCs w:val="28"/>
          <w:highlight w:val="none"/>
          <w:u w:val="single"/>
          <w:shd w:val="clear" w:color="auto" w:fill="auto"/>
        </w:rPr>
        <w:t xml:space="preserve">                     </w:t>
      </w:r>
    </w:p>
    <w:p w14:paraId="2D822A62">
      <w:pPr>
        <w:keepNext w:val="0"/>
        <w:pageBreakBefore w:val="0"/>
        <w:widowControl w:val="0"/>
        <w:overflowPunct/>
        <w:bidi w:val="0"/>
        <w:spacing w:line="480" w:lineRule="exact"/>
        <w:rPr>
          <w:rFonts w:hint="eastAsia" w:ascii="宋体" w:hAnsi="宋体" w:eastAsia="宋体" w:cs="宋体"/>
          <w:color w:val="auto"/>
          <w:sz w:val="22"/>
          <w:szCs w:val="28"/>
          <w:highlight w:val="none"/>
          <w:shd w:val="clear" w:color="auto" w:fill="auto"/>
        </w:rPr>
      </w:pPr>
      <w:r>
        <w:rPr>
          <w:rFonts w:hint="eastAsia" w:ascii="宋体" w:hAnsi="宋体" w:eastAsia="宋体" w:cs="宋体"/>
          <w:color w:val="auto"/>
          <w:kern w:val="0"/>
          <w:sz w:val="22"/>
          <w:szCs w:val="22"/>
          <w:highlight w:val="none"/>
          <w:u w:val="single"/>
          <w:lang w:val="en-US" w:eastAsia="zh-CN" w:bidi="zh-CN"/>
        </w:rPr>
        <w:t xml:space="preserve">     </w:t>
      </w:r>
      <w:r>
        <w:rPr>
          <w:rFonts w:hint="eastAsia" w:ascii="宋体" w:hAnsi="宋体" w:eastAsia="宋体" w:cs="宋体"/>
          <w:color w:val="auto"/>
          <w:kern w:val="0"/>
          <w:sz w:val="22"/>
          <w:szCs w:val="22"/>
          <w:highlight w:val="none"/>
          <w:lang w:val="zh-CN" w:bidi="zh-CN"/>
        </w:rPr>
        <w:t>年</w:t>
      </w:r>
      <w:r>
        <w:rPr>
          <w:rFonts w:hint="eastAsia" w:ascii="宋体" w:hAnsi="宋体" w:eastAsia="宋体" w:cs="宋体"/>
          <w:color w:val="auto"/>
          <w:kern w:val="0"/>
          <w:sz w:val="22"/>
          <w:szCs w:val="22"/>
          <w:highlight w:val="none"/>
          <w:u w:val="single"/>
          <w:lang w:val="en-US" w:eastAsia="zh-CN" w:bidi="zh-CN"/>
        </w:rPr>
        <w:t xml:space="preserve">      </w:t>
      </w:r>
      <w:r>
        <w:rPr>
          <w:rFonts w:hint="eastAsia" w:ascii="宋体" w:hAnsi="宋体" w:eastAsia="宋体" w:cs="宋体"/>
          <w:color w:val="auto"/>
          <w:kern w:val="0"/>
          <w:sz w:val="22"/>
          <w:szCs w:val="22"/>
          <w:highlight w:val="none"/>
          <w:lang w:val="zh-CN" w:bidi="zh-CN"/>
        </w:rPr>
        <w:t>月</w:t>
      </w:r>
      <w:r>
        <w:rPr>
          <w:rFonts w:hint="eastAsia" w:ascii="宋体" w:hAnsi="宋体" w:eastAsia="宋体" w:cs="宋体"/>
          <w:color w:val="auto"/>
          <w:kern w:val="0"/>
          <w:sz w:val="22"/>
          <w:szCs w:val="22"/>
          <w:highlight w:val="none"/>
          <w:u w:val="single"/>
          <w:lang w:val="en-US" w:eastAsia="zh-CN" w:bidi="zh-CN"/>
        </w:rPr>
        <w:t xml:space="preserve">     </w:t>
      </w:r>
      <w:r>
        <w:rPr>
          <w:rFonts w:hint="eastAsia" w:ascii="宋体" w:hAnsi="宋体" w:eastAsia="宋体" w:cs="宋体"/>
          <w:color w:val="auto"/>
          <w:kern w:val="0"/>
          <w:sz w:val="22"/>
          <w:szCs w:val="22"/>
          <w:highlight w:val="none"/>
          <w:lang w:val="zh-CN" w:bidi="zh-CN"/>
        </w:rPr>
        <w:t>日</w:t>
      </w:r>
    </w:p>
    <w:p w14:paraId="62CA8476">
      <w:pPr>
        <w:keepNext w:val="0"/>
        <w:pageBreakBefore w:val="0"/>
        <w:widowControl w:val="0"/>
        <w:overflowPunct/>
        <w:bidi w:val="0"/>
        <w:snapToGrid/>
        <w:spacing w:line="480" w:lineRule="exact"/>
        <w:rPr>
          <w:rFonts w:hint="eastAsia" w:ascii="宋体" w:hAnsi="宋体" w:eastAsia="宋体" w:cs="宋体"/>
          <w:b/>
          <w:color w:val="auto"/>
          <w:sz w:val="22"/>
          <w:szCs w:val="22"/>
          <w:highlight w:val="none"/>
          <w:shd w:val="clear" w:color="auto" w:fill="auto"/>
          <w:lang w:eastAsia="zh-CN"/>
        </w:rPr>
      </w:pPr>
      <w:r>
        <w:rPr>
          <w:rFonts w:hint="eastAsia" w:ascii="宋体" w:hAnsi="宋体" w:eastAsia="宋体" w:cs="宋体"/>
          <w:color w:val="auto"/>
          <w:highlight w:val="none"/>
          <w:u w:val="single"/>
          <w:shd w:val="clear" w:color="auto" w:fill="auto"/>
        </w:rPr>
        <w:br w:type="page"/>
      </w:r>
      <w:r>
        <w:rPr>
          <w:rFonts w:hint="eastAsia" w:ascii="宋体" w:hAnsi="宋体" w:eastAsia="宋体" w:cs="宋体"/>
          <w:bCs/>
          <w:color w:val="auto"/>
          <w:sz w:val="22"/>
          <w:szCs w:val="22"/>
          <w:highlight w:val="none"/>
          <w:shd w:val="clear" w:color="auto" w:fill="auto"/>
        </w:rPr>
        <w:t>2.</w:t>
      </w:r>
      <w:r>
        <w:rPr>
          <w:rFonts w:hint="eastAsia" w:ascii="宋体" w:hAnsi="宋体" w:cs="宋体"/>
          <w:bCs/>
          <w:color w:val="auto"/>
          <w:sz w:val="22"/>
          <w:szCs w:val="22"/>
          <w:highlight w:val="none"/>
          <w:shd w:val="clear" w:color="auto" w:fill="auto"/>
          <w:lang w:eastAsia="zh-CN"/>
        </w:rPr>
        <w:t>开标一览表</w:t>
      </w:r>
    </w:p>
    <w:p w14:paraId="45871E63">
      <w:pPr>
        <w:keepNext w:val="0"/>
        <w:pageBreakBefore w:val="0"/>
        <w:widowControl w:val="0"/>
        <w:overflowPunct/>
        <w:bidi w:val="0"/>
        <w:snapToGrid w:val="0"/>
        <w:spacing w:after="240" w:afterLines="100" w:line="360" w:lineRule="auto"/>
        <w:jc w:val="center"/>
        <w:rPr>
          <w:rFonts w:hint="eastAsia" w:ascii="宋体" w:hAnsi="宋体" w:eastAsia="宋体" w:cs="宋体"/>
          <w:b/>
          <w:color w:val="auto"/>
          <w:sz w:val="28"/>
          <w:szCs w:val="28"/>
          <w:highlight w:val="none"/>
          <w:shd w:val="clear" w:color="auto" w:fill="auto"/>
          <w:lang w:eastAsia="zh-CN"/>
        </w:rPr>
      </w:pPr>
      <w:r>
        <w:rPr>
          <w:rFonts w:hint="eastAsia" w:ascii="宋体" w:hAnsi="宋体" w:cs="宋体"/>
          <w:b/>
          <w:color w:val="auto"/>
          <w:sz w:val="28"/>
          <w:szCs w:val="28"/>
          <w:highlight w:val="none"/>
          <w:shd w:val="clear" w:color="auto" w:fill="auto"/>
          <w:lang w:eastAsia="zh-CN"/>
        </w:rPr>
        <w:t>开标一览表</w:t>
      </w:r>
    </w:p>
    <w:p w14:paraId="0074FFC5">
      <w:pPr>
        <w:keepNext w:val="0"/>
        <w:pageBreakBefore w:val="0"/>
        <w:widowControl w:val="0"/>
        <w:overflowPunct/>
        <w:bidi w:val="0"/>
        <w:spacing w:after="120" w:afterLines="50"/>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 w:val="22"/>
          <w:szCs w:val="22"/>
          <w:highlight w:val="none"/>
          <w:shd w:val="clear" w:color="auto" w:fill="auto"/>
        </w:rPr>
        <w:t xml:space="preserve">项目名称：                                            </w:t>
      </w:r>
      <w:r>
        <w:rPr>
          <w:rFonts w:hint="eastAsia" w:ascii="宋体" w:hAnsi="宋体" w:eastAsia="宋体" w:cs="宋体"/>
          <w:color w:val="auto"/>
          <w:sz w:val="22"/>
          <w:szCs w:val="28"/>
          <w:highlight w:val="none"/>
          <w:shd w:val="clear" w:color="auto" w:fill="auto"/>
        </w:rPr>
        <w:t xml:space="preserve">项目编号：    </w:t>
      </w:r>
      <w:r>
        <w:rPr>
          <w:rFonts w:hint="eastAsia" w:ascii="宋体" w:hAnsi="宋体" w:eastAsia="宋体" w:cs="宋体"/>
          <w:color w:val="auto"/>
          <w:highlight w:val="none"/>
          <w:shd w:val="clear" w:color="auto" w:fill="auto"/>
        </w:rPr>
        <w:t xml:space="preserve">              </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2253"/>
        <w:gridCol w:w="4375"/>
      </w:tblGrid>
      <w:tr w14:paraId="7BFF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110" w:type="pct"/>
            <w:tcBorders>
              <w:tl2br w:val="nil"/>
              <w:tr2bl w:val="nil"/>
            </w:tcBorders>
            <w:noWrap w:val="0"/>
            <w:vAlign w:val="center"/>
          </w:tcPr>
          <w:p w14:paraId="483282D5">
            <w:pPr>
              <w:keepNext w:val="0"/>
              <w:keepLines w:val="0"/>
              <w:pageBreakBefore w:val="0"/>
              <w:widowControl w:val="0"/>
              <w:shd w:val="clear" w:color="auto" w:fill="auto"/>
              <w:kinsoku/>
              <w:wordWrap/>
              <w:overflowPunct/>
              <w:topLinePunct w:val="0"/>
              <w:autoSpaceDE w:val="0"/>
              <w:autoSpaceDN w:val="0"/>
              <w:bidi w:val="0"/>
              <w:adjustRightInd/>
              <w:snapToGrid/>
              <w:spacing w:line="420" w:lineRule="exact"/>
              <w:ind w:left="0" w:firstLine="0" w:firstLineChars="0"/>
              <w:jc w:val="center"/>
              <w:textAlignment w:val="auto"/>
              <w:rPr>
                <w:rFonts w:hint="eastAsia"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采购内容</w:t>
            </w:r>
          </w:p>
        </w:tc>
        <w:tc>
          <w:tcPr>
            <w:tcW w:w="1322" w:type="pct"/>
            <w:tcBorders>
              <w:tl2br w:val="nil"/>
              <w:tr2bl w:val="nil"/>
            </w:tcBorders>
            <w:noWrap w:val="0"/>
            <w:vAlign w:val="center"/>
          </w:tcPr>
          <w:p w14:paraId="293C7544">
            <w:pPr>
              <w:keepNext w:val="0"/>
              <w:keepLines w:val="0"/>
              <w:pageBreakBefore w:val="0"/>
              <w:widowControl w:val="0"/>
              <w:shd w:val="clear" w:color="auto" w:fill="auto"/>
              <w:kinsoku/>
              <w:wordWrap/>
              <w:overflowPunct/>
              <w:topLinePunct w:val="0"/>
              <w:autoSpaceDE w:val="0"/>
              <w:autoSpaceDN w:val="0"/>
              <w:bidi w:val="0"/>
              <w:adjustRightInd/>
              <w:snapToGrid/>
              <w:spacing w:line="420" w:lineRule="exact"/>
              <w:ind w:left="0" w:firstLine="0" w:firstLineChars="0"/>
              <w:jc w:val="center"/>
              <w:textAlignment w:val="auto"/>
              <w:rPr>
                <w:rFonts w:hint="eastAsia" w:ascii="宋体" w:hAnsi="宋体" w:eastAsia="宋体" w:cs="宋体"/>
                <w:b/>
                <w:bCs/>
                <w:color w:val="auto"/>
                <w:kern w:val="0"/>
                <w:sz w:val="22"/>
                <w:szCs w:val="22"/>
                <w:highlight w:val="none"/>
                <w:lang w:val="zh-CN" w:bidi="zh-CN"/>
              </w:rPr>
            </w:pPr>
            <w:r>
              <w:rPr>
                <w:rFonts w:hint="eastAsia" w:ascii="宋体" w:hAnsi="宋体" w:eastAsia="宋体" w:cs="宋体"/>
                <w:b/>
                <w:bCs/>
                <w:color w:val="auto"/>
                <w:kern w:val="0"/>
                <w:sz w:val="22"/>
                <w:szCs w:val="22"/>
                <w:highlight w:val="none"/>
                <w:lang w:val="zh-CN" w:bidi="zh-CN"/>
              </w:rPr>
              <w:t>投标</w:t>
            </w:r>
            <w:r>
              <w:rPr>
                <w:rFonts w:hint="eastAsia" w:ascii="宋体" w:hAnsi="宋体" w:eastAsia="宋体" w:cs="宋体"/>
                <w:b/>
                <w:bCs/>
                <w:color w:val="auto"/>
                <w:kern w:val="0"/>
                <w:sz w:val="22"/>
                <w:szCs w:val="22"/>
                <w:highlight w:val="none"/>
                <w:lang w:val="en-US" w:eastAsia="zh-CN" w:bidi="zh-CN"/>
              </w:rPr>
              <w:t>折扣（正数）</w:t>
            </w:r>
          </w:p>
        </w:tc>
        <w:tc>
          <w:tcPr>
            <w:tcW w:w="2566" w:type="pct"/>
            <w:tcBorders>
              <w:tl2br w:val="nil"/>
              <w:tr2bl w:val="nil"/>
            </w:tcBorders>
            <w:noWrap w:val="0"/>
            <w:vAlign w:val="center"/>
          </w:tcPr>
          <w:p w14:paraId="2EFD6F0F">
            <w:pPr>
              <w:keepNext w:val="0"/>
              <w:keepLines w:val="0"/>
              <w:pageBreakBefore w:val="0"/>
              <w:widowControl w:val="0"/>
              <w:shd w:val="clear" w:color="auto" w:fill="auto"/>
              <w:kinsoku/>
              <w:wordWrap/>
              <w:overflowPunct/>
              <w:topLinePunct w:val="0"/>
              <w:autoSpaceDE w:val="0"/>
              <w:autoSpaceDN w:val="0"/>
              <w:bidi w:val="0"/>
              <w:adjustRightInd/>
              <w:snapToGrid/>
              <w:spacing w:line="420" w:lineRule="exact"/>
              <w:ind w:left="0" w:firstLine="0" w:firstLineChars="0"/>
              <w:jc w:val="center"/>
              <w:textAlignment w:val="auto"/>
              <w:rPr>
                <w:rFonts w:hint="default"/>
                <w:color w:val="auto"/>
                <w:sz w:val="22"/>
                <w:szCs w:val="22"/>
                <w:highlight w:val="none"/>
                <w:lang w:val="en-US" w:eastAsia="zh-CN"/>
              </w:rPr>
            </w:pPr>
            <w:r>
              <w:rPr>
                <w:rFonts w:hint="eastAsia"/>
                <w:color w:val="auto"/>
                <w:sz w:val="22"/>
                <w:szCs w:val="22"/>
                <w:highlight w:val="none"/>
                <w:lang w:val="en-US" w:eastAsia="zh-CN"/>
              </w:rPr>
              <w:t>备注</w:t>
            </w:r>
          </w:p>
        </w:tc>
      </w:tr>
      <w:tr w14:paraId="49A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1110" w:type="pct"/>
            <w:tcBorders>
              <w:tl2br w:val="nil"/>
              <w:tr2bl w:val="nil"/>
            </w:tcBorders>
            <w:noWrap w:val="0"/>
            <w:vAlign w:val="center"/>
          </w:tcPr>
          <w:p w14:paraId="32E2E0C4">
            <w:pPr>
              <w:keepLines w:val="0"/>
              <w:pageBreakBefore w:val="0"/>
              <w:shd w:val="clear" w:color="auto" w:fill="auto"/>
              <w:kinsoku/>
              <w:wordWrap/>
              <w:overflowPunct/>
              <w:topLinePunct w:val="0"/>
              <w:autoSpaceDE w:val="0"/>
              <w:autoSpaceDN w:val="0"/>
              <w:bidi w:val="0"/>
              <w:adjustRightInd/>
              <w:snapToGrid/>
              <w:spacing w:line="420" w:lineRule="exact"/>
              <w:jc w:val="center"/>
              <w:textAlignment w:val="auto"/>
              <w:rPr>
                <w:rFonts w:hint="eastAsia" w:ascii="宋体" w:hAnsi="宋体" w:eastAsia="宋体" w:cs="宋体"/>
                <w:color w:val="auto"/>
                <w:kern w:val="0"/>
                <w:sz w:val="22"/>
                <w:szCs w:val="22"/>
                <w:highlight w:val="none"/>
                <w:lang w:val="zh-CN" w:bidi="zh-CN"/>
              </w:rPr>
            </w:pPr>
            <w:r>
              <w:rPr>
                <w:rFonts w:hint="eastAsia" w:ascii="宋体" w:hAnsi="宋体" w:eastAsia="宋体" w:cs="宋体"/>
                <w:color w:val="auto"/>
                <w:kern w:val="0"/>
                <w:sz w:val="22"/>
                <w:szCs w:val="22"/>
                <w:highlight w:val="none"/>
                <w:lang w:val="zh-CN" w:eastAsia="zh-CN" w:bidi="zh-CN"/>
              </w:rPr>
              <w:t>2026年慈城镇耕地功能恢复项目（监理）</w:t>
            </w:r>
          </w:p>
        </w:tc>
        <w:tc>
          <w:tcPr>
            <w:tcW w:w="1322" w:type="pct"/>
            <w:tcBorders>
              <w:tl2br w:val="nil"/>
              <w:tr2bl w:val="nil"/>
            </w:tcBorders>
            <w:noWrap w:val="0"/>
            <w:vAlign w:val="center"/>
          </w:tcPr>
          <w:p w14:paraId="666FB54E">
            <w:pPr>
              <w:keepLines w:val="0"/>
              <w:pageBreakBefore w:val="0"/>
              <w:shd w:val="clear" w:color="auto" w:fill="auto"/>
              <w:kinsoku/>
              <w:wordWrap/>
              <w:overflowPunct/>
              <w:topLinePunct w:val="0"/>
              <w:autoSpaceDE w:val="0"/>
              <w:autoSpaceDN w:val="0"/>
              <w:bidi w:val="0"/>
              <w:adjustRightInd/>
              <w:snapToGrid/>
              <w:spacing w:line="420" w:lineRule="exact"/>
              <w:jc w:val="center"/>
              <w:textAlignment w:val="auto"/>
              <w:rPr>
                <w:rFonts w:hint="eastAsia" w:ascii="宋体" w:hAnsi="宋体" w:eastAsia="宋体" w:cs="宋体"/>
                <w:color w:val="auto"/>
                <w:kern w:val="0"/>
                <w:sz w:val="22"/>
                <w:szCs w:val="22"/>
                <w:highlight w:val="none"/>
                <w:lang w:val="en-US" w:eastAsia="zh-CN" w:bidi="zh-CN"/>
              </w:rPr>
            </w:pPr>
            <w:r>
              <w:rPr>
                <w:rFonts w:hint="eastAsia" w:ascii="宋体" w:hAnsi="宋体" w:eastAsia="宋体" w:cs="宋体"/>
                <w:color w:val="auto"/>
                <w:kern w:val="0"/>
                <w:sz w:val="22"/>
                <w:szCs w:val="22"/>
                <w:highlight w:val="none"/>
                <w:u w:val="none"/>
                <w:lang w:val="en-US" w:eastAsia="zh-CN" w:bidi="zh-CN"/>
              </w:rPr>
              <w:t>依据收费文件标准的</w:t>
            </w:r>
            <w:r>
              <w:rPr>
                <w:rFonts w:hint="eastAsia" w:ascii="宋体" w:hAnsi="宋体" w:eastAsia="宋体" w:cs="宋体"/>
                <w:color w:val="auto"/>
                <w:kern w:val="0"/>
                <w:sz w:val="22"/>
                <w:szCs w:val="22"/>
                <w:highlight w:val="none"/>
                <w:u w:val="single"/>
                <w:lang w:val="en-US" w:eastAsia="zh-CN" w:bidi="zh-CN"/>
              </w:rPr>
              <w:t xml:space="preserve">        </w:t>
            </w:r>
            <w:r>
              <w:rPr>
                <w:rFonts w:hint="eastAsia" w:ascii="宋体" w:hAnsi="宋体" w:eastAsia="宋体" w:cs="宋体"/>
                <w:color w:val="auto"/>
                <w:kern w:val="0"/>
                <w:sz w:val="22"/>
                <w:szCs w:val="22"/>
                <w:highlight w:val="none"/>
                <w:u w:val="none"/>
                <w:lang w:val="zh-CN" w:bidi="zh-CN"/>
              </w:rPr>
              <w:t>%</w:t>
            </w:r>
            <w:r>
              <w:rPr>
                <w:rFonts w:hint="eastAsia" w:ascii="宋体" w:hAnsi="宋体" w:eastAsia="宋体" w:cs="宋体"/>
                <w:color w:val="auto"/>
                <w:kern w:val="0"/>
                <w:sz w:val="22"/>
                <w:szCs w:val="22"/>
                <w:highlight w:val="none"/>
                <w:u w:val="none"/>
                <w:lang w:val="en-US" w:eastAsia="zh-CN" w:bidi="zh-CN"/>
              </w:rPr>
              <w:t>计取</w:t>
            </w:r>
          </w:p>
        </w:tc>
        <w:tc>
          <w:tcPr>
            <w:tcW w:w="2566" w:type="pct"/>
            <w:tcBorders>
              <w:tl2br w:val="nil"/>
              <w:tr2bl w:val="nil"/>
            </w:tcBorders>
            <w:noWrap w:val="0"/>
            <w:vAlign w:val="center"/>
          </w:tcPr>
          <w:p w14:paraId="409A547C">
            <w:pPr>
              <w:keepLines w:val="0"/>
              <w:pageBreakBefore w:val="0"/>
              <w:shd w:val="clear" w:color="auto" w:fill="auto"/>
              <w:kinsoku/>
              <w:wordWrap/>
              <w:overflowPunct/>
              <w:topLinePunct w:val="0"/>
              <w:autoSpaceDE w:val="0"/>
              <w:autoSpaceDN w:val="0"/>
              <w:bidi w:val="0"/>
              <w:adjustRightInd/>
              <w:snapToGrid/>
              <w:spacing w:line="420" w:lineRule="exact"/>
              <w:jc w:val="center"/>
              <w:textAlignment w:val="auto"/>
              <w:rPr>
                <w:rFonts w:hint="eastAsia" w:ascii="宋体" w:hAnsi="宋体" w:eastAsia="宋体" w:cs="宋体"/>
                <w:color w:val="auto"/>
                <w:kern w:val="0"/>
                <w:sz w:val="22"/>
                <w:szCs w:val="22"/>
                <w:highlight w:val="none"/>
                <w:u w:val="single"/>
                <w:lang w:val="zh-CN" w:bidi="zh-CN"/>
              </w:rPr>
            </w:pPr>
            <w:r>
              <w:rPr>
                <w:rFonts w:hint="eastAsia" w:ascii="宋体" w:hAnsi="宋体" w:eastAsia="宋体" w:cs="宋体"/>
                <w:b w:val="0"/>
                <w:bCs/>
                <w:color w:val="auto"/>
                <w:sz w:val="22"/>
                <w:szCs w:val="22"/>
                <w:highlight w:val="none"/>
                <w:lang w:val="en-US" w:eastAsia="zh-CN"/>
              </w:rPr>
              <w:t>监理费按《浙江省水利水电工程设计概(预)算编制规定(2021年)》工程建设监理费的收费标准90%（含）计取(工程类型调整系数取0.9，工程复杂程度调整系数取0.85)</w:t>
            </w:r>
          </w:p>
        </w:tc>
      </w:tr>
      <w:tr w14:paraId="0637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10" w:type="pct"/>
            <w:tcBorders>
              <w:tl2br w:val="nil"/>
              <w:tr2bl w:val="nil"/>
            </w:tcBorders>
            <w:noWrap w:val="0"/>
            <w:vAlign w:val="center"/>
          </w:tcPr>
          <w:p w14:paraId="60AFE6D8">
            <w:pPr>
              <w:keepLines w:val="0"/>
              <w:pageBreakBefore w:val="0"/>
              <w:widowControl/>
              <w:shd w:val="clear" w:color="auto" w:fill="auto"/>
              <w:kinsoku/>
              <w:wordWrap/>
              <w:overflowPunct/>
              <w:topLinePunct w:val="0"/>
              <w:autoSpaceDE w:val="0"/>
              <w:autoSpaceDN w:val="0"/>
              <w:bidi w:val="0"/>
              <w:adjustRightInd/>
              <w:snapToGrid/>
              <w:spacing w:line="420" w:lineRule="exact"/>
              <w:jc w:val="center"/>
              <w:textAlignment w:val="auto"/>
              <w:rPr>
                <w:rFonts w:hint="eastAsia" w:ascii="宋体" w:hAnsi="宋体" w:eastAsia="宋体" w:cs="宋体"/>
                <w:color w:val="auto"/>
                <w:kern w:val="0"/>
                <w:sz w:val="22"/>
                <w:szCs w:val="22"/>
                <w:highlight w:val="none"/>
                <w:lang w:val="zh-CN" w:bidi="zh-CN"/>
              </w:rPr>
            </w:pPr>
            <w:r>
              <w:rPr>
                <w:rFonts w:hint="eastAsia" w:ascii="宋体" w:hAnsi="宋体" w:eastAsia="宋体" w:cs="宋体"/>
                <w:color w:val="auto"/>
                <w:kern w:val="0"/>
                <w:sz w:val="22"/>
                <w:szCs w:val="22"/>
                <w:highlight w:val="none"/>
                <w:lang w:val="zh-CN" w:bidi="zh-CN"/>
              </w:rPr>
              <w:t>投标声明</w:t>
            </w:r>
          </w:p>
        </w:tc>
        <w:tc>
          <w:tcPr>
            <w:tcW w:w="3889" w:type="pct"/>
            <w:gridSpan w:val="2"/>
            <w:tcBorders>
              <w:tl2br w:val="nil"/>
              <w:tr2bl w:val="nil"/>
            </w:tcBorders>
            <w:noWrap w:val="0"/>
            <w:vAlign w:val="center"/>
          </w:tcPr>
          <w:p w14:paraId="52F8DB3A">
            <w:pPr>
              <w:keepLines w:val="0"/>
              <w:pageBreakBefore w:val="0"/>
              <w:widowControl/>
              <w:shd w:val="clear" w:color="auto" w:fill="auto"/>
              <w:kinsoku/>
              <w:wordWrap/>
              <w:overflowPunct/>
              <w:topLinePunct w:val="0"/>
              <w:autoSpaceDE w:val="0"/>
              <w:autoSpaceDN w:val="0"/>
              <w:bidi w:val="0"/>
              <w:adjustRightInd/>
              <w:snapToGrid/>
              <w:spacing w:line="420" w:lineRule="exact"/>
              <w:jc w:val="center"/>
              <w:textAlignment w:val="auto"/>
              <w:rPr>
                <w:rFonts w:hint="default" w:ascii="宋体" w:hAnsi="宋体" w:eastAsia="宋体" w:cs="宋体"/>
                <w:color w:val="auto"/>
                <w:kern w:val="0"/>
                <w:sz w:val="22"/>
                <w:szCs w:val="22"/>
                <w:highlight w:val="none"/>
                <w:lang w:val="en-US" w:bidi="zh-CN"/>
              </w:rPr>
            </w:pPr>
          </w:p>
        </w:tc>
      </w:tr>
    </w:tbl>
    <w:p w14:paraId="2BFE6E98">
      <w:pPr>
        <w:keepNext w:val="0"/>
        <w:keepLines w:val="0"/>
        <w:pageBreakBefore w:val="0"/>
        <w:widowControl w:val="0"/>
        <w:kinsoku/>
        <w:wordWrap/>
        <w:overflowPunct/>
        <w:topLinePunct w:val="0"/>
        <w:autoSpaceDE/>
        <w:autoSpaceDN/>
        <w:bidi w:val="0"/>
        <w:adjustRightInd/>
        <w:snapToGrid w:val="0"/>
        <w:spacing w:line="360" w:lineRule="auto"/>
        <w:ind w:left="0" w:hanging="440" w:hangingChars="200"/>
        <w:jc w:val="left"/>
        <w:textAlignment w:val="auto"/>
        <w:rPr>
          <w:rFonts w:hint="eastAsia" w:ascii="宋体" w:hAnsi="宋体" w:eastAsia="宋体" w:cs="宋体"/>
          <w:color w:val="auto"/>
          <w:sz w:val="22"/>
          <w:szCs w:val="22"/>
          <w:highlight w:val="none"/>
          <w:shd w:val="clear" w:color="auto" w:fill="auto"/>
          <w:lang w:eastAsia="zh-CN"/>
        </w:rPr>
      </w:pPr>
      <w:r>
        <w:rPr>
          <w:rFonts w:hint="eastAsia" w:ascii="宋体" w:hAnsi="宋体" w:eastAsia="宋体" w:cs="宋体"/>
          <w:color w:val="auto"/>
          <w:sz w:val="22"/>
          <w:szCs w:val="22"/>
          <w:highlight w:val="none"/>
          <w:shd w:val="clear" w:color="auto" w:fill="auto"/>
        </w:rPr>
        <w:t>注: 1、报价一经涂改，应在涂改处加盖单位公章或者由法定代表人或授权委托人签字或盖章，否则其投标作无效标处理。</w:t>
      </w:r>
    </w:p>
    <w:p w14:paraId="3F66ADF3">
      <w:pPr>
        <w:keepNext w:val="0"/>
        <w:keepLines w:val="0"/>
        <w:pageBreakBefore w:val="0"/>
        <w:widowControl w:val="0"/>
        <w:kinsoku/>
        <w:wordWrap/>
        <w:overflowPunct/>
        <w:topLinePunct w:val="0"/>
        <w:autoSpaceDE/>
        <w:autoSpaceDN/>
        <w:bidi w:val="0"/>
        <w:adjustRightInd/>
        <w:snapToGrid w:val="0"/>
        <w:spacing w:line="360" w:lineRule="auto"/>
        <w:ind w:left="0" w:hanging="442" w:hangingChars="200"/>
        <w:jc w:val="left"/>
        <w:textAlignment w:val="auto"/>
        <w:rPr>
          <w:rFonts w:hint="eastAsia" w:ascii="宋体" w:hAnsi="宋体" w:eastAsia="宋体" w:cs="宋体"/>
          <w:b/>
          <w:bCs/>
          <w:color w:val="auto"/>
          <w:sz w:val="22"/>
          <w:szCs w:val="22"/>
          <w:highlight w:val="none"/>
          <w:shd w:val="clear" w:color="auto" w:fill="auto"/>
        </w:rPr>
      </w:pPr>
      <w:r>
        <w:rPr>
          <w:rFonts w:hint="eastAsia" w:ascii="宋体" w:hAnsi="宋体" w:eastAsia="宋体" w:cs="宋体"/>
          <w:b/>
          <w:bCs/>
          <w:color w:val="auto"/>
          <w:sz w:val="22"/>
          <w:szCs w:val="22"/>
          <w:highlight w:val="none"/>
          <w:shd w:val="clear" w:color="auto" w:fill="auto"/>
          <w:lang w:val="en-US" w:eastAsia="zh-CN"/>
        </w:rPr>
        <w:t>2、本次投标以折扣形式报价，例：打八折，折扣为80%</w:t>
      </w:r>
    </w:p>
    <w:p w14:paraId="4817DD66">
      <w:pPr>
        <w:keepNext w:val="0"/>
        <w:pageBreakBefore w:val="0"/>
        <w:widowControl w:val="0"/>
        <w:overflowPunct/>
        <w:bidi w:val="0"/>
        <w:snapToGrid w:val="0"/>
        <w:spacing w:line="360" w:lineRule="auto"/>
        <w:ind w:left="-15" w:leftChars="-72" w:right="-817" w:rightChars="-389" w:hanging="136" w:hangingChars="62"/>
        <w:rPr>
          <w:rFonts w:hint="eastAsia" w:ascii="宋体" w:hAnsi="宋体" w:eastAsia="宋体" w:cs="宋体"/>
          <w:color w:val="auto"/>
          <w:sz w:val="22"/>
          <w:szCs w:val="22"/>
          <w:highlight w:val="none"/>
          <w:shd w:val="clear" w:color="auto" w:fill="auto"/>
        </w:rPr>
      </w:pPr>
    </w:p>
    <w:p w14:paraId="20ABAD1C">
      <w:pPr>
        <w:keepNext w:val="0"/>
        <w:pageBreakBefore w:val="0"/>
        <w:widowControl w:val="0"/>
        <w:overflowPunct/>
        <w:bidi w:val="0"/>
        <w:spacing w:line="48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供应商盖章：</w:t>
      </w:r>
      <w:r>
        <w:rPr>
          <w:rFonts w:hint="eastAsia" w:ascii="宋体" w:hAnsi="宋体" w:eastAsia="宋体" w:cs="宋体"/>
          <w:color w:val="auto"/>
          <w:kern w:val="0"/>
          <w:sz w:val="22"/>
          <w:szCs w:val="22"/>
          <w:highlight w:val="none"/>
          <w:u w:val="single"/>
          <w:shd w:val="clear" w:color="auto" w:fill="auto"/>
        </w:rPr>
        <w:t xml:space="preserve">       （公章） </w:t>
      </w:r>
    </w:p>
    <w:p w14:paraId="0316C972">
      <w:pPr>
        <w:keepNext w:val="0"/>
        <w:pageBreakBefore w:val="0"/>
        <w:widowControl w:val="0"/>
        <w:overflowPunct/>
        <w:bidi w:val="0"/>
        <w:spacing w:line="48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shd w:val="clear" w:color="auto" w:fill="auto"/>
        </w:rPr>
        <w:t>法定代表人或授权代表（签字或盖章）：</w:t>
      </w:r>
      <w:r>
        <w:rPr>
          <w:rFonts w:hint="eastAsia" w:ascii="宋体" w:hAnsi="宋体" w:eastAsia="宋体" w:cs="宋体"/>
          <w:color w:val="auto"/>
          <w:kern w:val="0"/>
          <w:sz w:val="22"/>
          <w:szCs w:val="22"/>
          <w:highlight w:val="none"/>
          <w:u w:val="single"/>
          <w:shd w:val="clear" w:color="auto" w:fill="auto"/>
        </w:rPr>
        <w:t xml:space="preserve">             </w:t>
      </w:r>
    </w:p>
    <w:p w14:paraId="10E8BC86">
      <w:pPr>
        <w:keepNext w:val="0"/>
        <w:pageBreakBefore w:val="0"/>
        <w:widowControl w:val="0"/>
        <w:overflowPunct/>
        <w:bidi w:val="0"/>
        <w:snapToGrid w:val="0"/>
        <w:spacing w:line="480" w:lineRule="auto"/>
        <w:rPr>
          <w:rFonts w:hint="eastAsia" w:ascii="宋体" w:hAnsi="宋体" w:eastAsia="宋体" w:cs="宋体"/>
          <w:color w:val="auto"/>
          <w:kern w:val="0"/>
          <w:sz w:val="22"/>
          <w:szCs w:val="22"/>
          <w:highlight w:val="none"/>
          <w:shd w:val="clear" w:color="auto" w:fill="auto"/>
        </w:rPr>
      </w:pP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年</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月</w:t>
      </w:r>
      <w:r>
        <w:rPr>
          <w:rFonts w:hint="eastAsia" w:ascii="宋体" w:hAnsi="宋体" w:eastAsia="宋体" w:cs="宋体"/>
          <w:color w:val="auto"/>
          <w:kern w:val="0"/>
          <w:sz w:val="22"/>
          <w:szCs w:val="22"/>
          <w:highlight w:val="none"/>
          <w:u w:val="single"/>
          <w:shd w:val="clear" w:color="auto" w:fill="auto"/>
        </w:rPr>
        <w:t xml:space="preserve">     </w:t>
      </w:r>
      <w:r>
        <w:rPr>
          <w:rFonts w:hint="eastAsia" w:ascii="宋体" w:hAnsi="宋体" w:eastAsia="宋体" w:cs="宋体"/>
          <w:color w:val="auto"/>
          <w:kern w:val="0"/>
          <w:sz w:val="22"/>
          <w:szCs w:val="22"/>
          <w:highlight w:val="none"/>
          <w:shd w:val="clear" w:color="auto" w:fill="auto"/>
        </w:rPr>
        <w:t>日</w:t>
      </w:r>
    </w:p>
    <w:p w14:paraId="6E789A74">
      <w:pPr>
        <w:tabs>
          <w:tab w:val="left" w:pos="2171"/>
        </w:tabs>
        <w:bidi w:val="0"/>
        <w:jc w:val="left"/>
        <w:outlineLvl w:val="9"/>
        <w:rPr>
          <w:rFonts w:hint="eastAsia"/>
          <w:color w:val="auto"/>
          <w:highlight w:val="none"/>
          <w:lang w:val="en-US" w:eastAsia="zh-CN"/>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860A">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A26C8E">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5A26C8E">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C182F">
    <w:pPr>
      <w:pStyle w:val="9"/>
      <w:kinsoku w:val="0"/>
      <w:overflowPunct w:val="0"/>
      <w:spacing w:line="14" w:lineRule="auto"/>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B6BFBC">
                          <w:pPr>
                            <w:pStyle w:val="1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7B6BFBC">
                    <w:pPr>
                      <w:pStyle w:val="1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DA8C">
    <w:pPr>
      <w:pStyle w:val="9"/>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115B0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uk5wccBAACaAwAADgAAAAAAAAABACAAAAAeAQAAZHJzL2Uyb0RvYy54&#10;bWxQSwUGAAAAAAYABgBZAQAAVwUAAAAA&#10;">
              <v:fill on="f" focussize="0,0"/>
              <v:stroke on="f"/>
              <v:imagedata o:title=""/>
              <o:lock v:ext="edit" aspectratio="f"/>
              <v:textbox inset="0mm,0mm,0mm,0mm" style="mso-fit-shape-to-text:t;">
                <w:txbxContent>
                  <w:p w14:paraId="5B115B0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D8B24">
    <w:pPr>
      <w:pStyle w:val="9"/>
      <w:kinsoku w:val="0"/>
      <w:overflowPunct w:val="0"/>
      <w:spacing w:line="14" w:lineRule="auto"/>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AEFF03">
                          <w:pPr>
                            <w:pStyle w:val="1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18AEFF03">
                    <w:pPr>
                      <w:pStyle w:val="1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1CAE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7E9797"/>
    <w:multiLevelType w:val="singleLevel"/>
    <w:tmpl w:val="C97E9797"/>
    <w:lvl w:ilvl="0" w:tentative="0">
      <w:start w:val="2"/>
      <w:numFmt w:val="decimal"/>
      <w:suff w:val="nothing"/>
      <w:lvlText w:val="%1、"/>
      <w:lvlJc w:val="left"/>
    </w:lvl>
  </w:abstractNum>
  <w:abstractNum w:abstractNumId="1">
    <w:nsid w:val="1FB509F3"/>
    <w:multiLevelType w:val="multilevel"/>
    <w:tmpl w:val="1FB509F3"/>
    <w:lvl w:ilvl="0" w:tentative="0">
      <w:start w:val="1"/>
      <w:numFmt w:val="decimal"/>
      <w:pStyle w:val="25"/>
      <w:lvlText w:val="%1、"/>
      <w:lvlJc w:val="left"/>
      <w:pPr>
        <w:tabs>
          <w:tab w:val="left" w:pos="306"/>
        </w:tabs>
        <w:ind w:left="306" w:hanging="360"/>
      </w:pPr>
      <w:rPr>
        <w:rFonts w:hint="eastAsia"/>
      </w:rPr>
    </w:lvl>
    <w:lvl w:ilvl="1" w:tentative="0">
      <w:start w:val="1"/>
      <w:numFmt w:val="lowerLetter"/>
      <w:lvlText w:val="%2)"/>
      <w:lvlJc w:val="left"/>
      <w:pPr>
        <w:tabs>
          <w:tab w:val="left" w:pos="366"/>
        </w:tabs>
        <w:ind w:left="366" w:hanging="420"/>
      </w:pPr>
    </w:lvl>
    <w:lvl w:ilvl="2" w:tentative="0">
      <w:start w:val="1"/>
      <w:numFmt w:val="lowerRoman"/>
      <w:lvlText w:val="%3."/>
      <w:lvlJc w:val="right"/>
      <w:pPr>
        <w:tabs>
          <w:tab w:val="left" w:pos="786"/>
        </w:tabs>
        <w:ind w:left="786" w:hanging="420"/>
      </w:pPr>
    </w:lvl>
    <w:lvl w:ilvl="3" w:tentative="0">
      <w:start w:val="1"/>
      <w:numFmt w:val="decimal"/>
      <w:lvlText w:val="%4."/>
      <w:lvlJc w:val="left"/>
      <w:pPr>
        <w:tabs>
          <w:tab w:val="left" w:pos="1206"/>
        </w:tabs>
        <w:ind w:left="1206" w:hanging="420"/>
      </w:pPr>
    </w:lvl>
    <w:lvl w:ilvl="4" w:tentative="0">
      <w:start w:val="1"/>
      <w:numFmt w:val="lowerLetter"/>
      <w:lvlText w:val="%5)"/>
      <w:lvlJc w:val="left"/>
      <w:pPr>
        <w:tabs>
          <w:tab w:val="left" w:pos="1626"/>
        </w:tabs>
        <w:ind w:left="1626" w:hanging="420"/>
      </w:pPr>
    </w:lvl>
    <w:lvl w:ilvl="5" w:tentative="0">
      <w:start w:val="1"/>
      <w:numFmt w:val="lowerRoman"/>
      <w:lvlText w:val="%6."/>
      <w:lvlJc w:val="right"/>
      <w:pPr>
        <w:tabs>
          <w:tab w:val="left" w:pos="2046"/>
        </w:tabs>
        <w:ind w:left="2046" w:hanging="420"/>
      </w:pPr>
    </w:lvl>
    <w:lvl w:ilvl="6" w:tentative="0">
      <w:start w:val="1"/>
      <w:numFmt w:val="decimal"/>
      <w:lvlText w:val="%7."/>
      <w:lvlJc w:val="left"/>
      <w:pPr>
        <w:tabs>
          <w:tab w:val="left" w:pos="2466"/>
        </w:tabs>
        <w:ind w:left="2466" w:hanging="420"/>
      </w:pPr>
    </w:lvl>
    <w:lvl w:ilvl="7" w:tentative="0">
      <w:start w:val="1"/>
      <w:numFmt w:val="lowerLetter"/>
      <w:lvlText w:val="%8)"/>
      <w:lvlJc w:val="left"/>
      <w:pPr>
        <w:tabs>
          <w:tab w:val="left" w:pos="2886"/>
        </w:tabs>
        <w:ind w:left="2886" w:hanging="420"/>
      </w:pPr>
    </w:lvl>
    <w:lvl w:ilvl="8" w:tentative="0">
      <w:start w:val="1"/>
      <w:numFmt w:val="lowerRoman"/>
      <w:lvlText w:val="%9."/>
      <w:lvlJc w:val="right"/>
      <w:pPr>
        <w:tabs>
          <w:tab w:val="left" w:pos="3306"/>
        </w:tabs>
        <w:ind w:left="3306" w:hanging="420"/>
      </w:pPr>
    </w:lvl>
  </w:abstractNum>
  <w:abstractNum w:abstractNumId="2">
    <w:nsid w:val="643B598A"/>
    <w:multiLevelType w:val="singleLevel"/>
    <w:tmpl w:val="643B598A"/>
    <w:lvl w:ilvl="0" w:tentative="0">
      <w:start w:val="1"/>
      <w:numFmt w:val="decimal"/>
      <w:suff w:val="nothing"/>
      <w:lvlText w:val="%1、"/>
      <w:lvlJc w:val="left"/>
    </w:lvl>
  </w:abstractNum>
  <w:abstractNum w:abstractNumId="3">
    <w:nsid w:val="71F92B80"/>
    <w:multiLevelType w:val="singleLevel"/>
    <w:tmpl w:val="71F92B80"/>
    <w:lvl w:ilvl="0" w:tentative="0">
      <w:start w:val="1"/>
      <w:numFmt w:val="decimal"/>
      <w:suff w:val="nothing"/>
      <w:lvlText w:val="（%1）"/>
      <w:lvlJc w:val="left"/>
      <w:pPr>
        <w:ind w:left="480" w:firstLine="0"/>
      </w:pPr>
    </w:lvl>
  </w:abstractNum>
  <w:abstractNum w:abstractNumId="4">
    <w:nsid w:val="7746B3A8"/>
    <w:multiLevelType w:val="singleLevel"/>
    <w:tmpl w:val="7746B3A8"/>
    <w:lvl w:ilvl="0" w:tentative="0">
      <w:start w:val="1"/>
      <w:numFmt w:val="decimal"/>
      <w:pStyle w:val="7"/>
      <w:lvlText w:val="%1."/>
      <w:lvlJc w:val="left"/>
      <w:pPr>
        <w:tabs>
          <w:tab w:val="left" w:pos="360"/>
        </w:tabs>
        <w:ind w:left="360" w:hanging="360"/>
      </w:pPr>
    </w:lvl>
  </w:abstractNum>
  <w:abstractNum w:abstractNumId="5">
    <w:nsid w:val="7B5FFEA9"/>
    <w:multiLevelType w:val="singleLevel"/>
    <w:tmpl w:val="7B5FFEA9"/>
    <w:lvl w:ilvl="0" w:tentative="0">
      <w:start w:val="1"/>
      <w:numFmt w:val="decimal"/>
      <w:suff w:val="nothing"/>
      <w:lvlText w:val="%1、"/>
      <w:lvlJc w:val="left"/>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NDljOTNiOGQ3OTM2YjgyZDg3ZTNhMzRkNmI2ZDAifQ=="/>
  </w:docVars>
  <w:rsids>
    <w:rsidRoot w:val="00000000"/>
    <w:rsid w:val="0043629B"/>
    <w:rsid w:val="00B16F31"/>
    <w:rsid w:val="00BA7CA7"/>
    <w:rsid w:val="00DC7C1D"/>
    <w:rsid w:val="01172A03"/>
    <w:rsid w:val="01BF5575"/>
    <w:rsid w:val="023C171B"/>
    <w:rsid w:val="024737BC"/>
    <w:rsid w:val="02BF77F6"/>
    <w:rsid w:val="03FF60FC"/>
    <w:rsid w:val="041A4DE3"/>
    <w:rsid w:val="044A50D4"/>
    <w:rsid w:val="06314567"/>
    <w:rsid w:val="0721282E"/>
    <w:rsid w:val="07342561"/>
    <w:rsid w:val="0777244E"/>
    <w:rsid w:val="079A465F"/>
    <w:rsid w:val="08D77648"/>
    <w:rsid w:val="091F5952"/>
    <w:rsid w:val="09907758"/>
    <w:rsid w:val="0C012C2E"/>
    <w:rsid w:val="0C566AD6"/>
    <w:rsid w:val="0D29243C"/>
    <w:rsid w:val="0D2B7F62"/>
    <w:rsid w:val="0D500334"/>
    <w:rsid w:val="0D554FDF"/>
    <w:rsid w:val="0D705975"/>
    <w:rsid w:val="0E7616B1"/>
    <w:rsid w:val="0F851480"/>
    <w:rsid w:val="101007E8"/>
    <w:rsid w:val="10EA3C90"/>
    <w:rsid w:val="11EB4164"/>
    <w:rsid w:val="127001C5"/>
    <w:rsid w:val="131102F3"/>
    <w:rsid w:val="1602382A"/>
    <w:rsid w:val="174520F5"/>
    <w:rsid w:val="17FF75E6"/>
    <w:rsid w:val="185D2A7F"/>
    <w:rsid w:val="186E164B"/>
    <w:rsid w:val="18C474BD"/>
    <w:rsid w:val="18D63C3C"/>
    <w:rsid w:val="190616FB"/>
    <w:rsid w:val="19287A4C"/>
    <w:rsid w:val="194A79C2"/>
    <w:rsid w:val="19960E59"/>
    <w:rsid w:val="1ABA3981"/>
    <w:rsid w:val="1CB57848"/>
    <w:rsid w:val="1CD53EA2"/>
    <w:rsid w:val="1E5B4BDB"/>
    <w:rsid w:val="1E960FAA"/>
    <w:rsid w:val="1EBA2EF4"/>
    <w:rsid w:val="1F357BFF"/>
    <w:rsid w:val="1FAB4F33"/>
    <w:rsid w:val="1FBB33C8"/>
    <w:rsid w:val="20547378"/>
    <w:rsid w:val="20F3109C"/>
    <w:rsid w:val="21042B4C"/>
    <w:rsid w:val="22146DBF"/>
    <w:rsid w:val="227D2BB6"/>
    <w:rsid w:val="22EC3898"/>
    <w:rsid w:val="23694EE9"/>
    <w:rsid w:val="23924730"/>
    <w:rsid w:val="24477352"/>
    <w:rsid w:val="24EE1B49"/>
    <w:rsid w:val="250C10D6"/>
    <w:rsid w:val="251225ED"/>
    <w:rsid w:val="25553977"/>
    <w:rsid w:val="25851BE9"/>
    <w:rsid w:val="269C7383"/>
    <w:rsid w:val="26C32B62"/>
    <w:rsid w:val="271C2FFE"/>
    <w:rsid w:val="278F3F24"/>
    <w:rsid w:val="2A070FB7"/>
    <w:rsid w:val="2A257690"/>
    <w:rsid w:val="2AC60E73"/>
    <w:rsid w:val="2B490EE0"/>
    <w:rsid w:val="2C091017"/>
    <w:rsid w:val="2C1E671D"/>
    <w:rsid w:val="2C864D5D"/>
    <w:rsid w:val="2CAB0320"/>
    <w:rsid w:val="2E110657"/>
    <w:rsid w:val="2E447B46"/>
    <w:rsid w:val="2E7B3D22"/>
    <w:rsid w:val="2EA10F9C"/>
    <w:rsid w:val="2EE443FD"/>
    <w:rsid w:val="2F8135BA"/>
    <w:rsid w:val="31CF28E6"/>
    <w:rsid w:val="3284589B"/>
    <w:rsid w:val="332441E3"/>
    <w:rsid w:val="34762022"/>
    <w:rsid w:val="348D7762"/>
    <w:rsid w:val="36D52B69"/>
    <w:rsid w:val="370B77DD"/>
    <w:rsid w:val="38151BEB"/>
    <w:rsid w:val="38B22A36"/>
    <w:rsid w:val="38B871CF"/>
    <w:rsid w:val="390649CF"/>
    <w:rsid w:val="397B107A"/>
    <w:rsid w:val="39AE31FE"/>
    <w:rsid w:val="39F841FF"/>
    <w:rsid w:val="3A4D6EBA"/>
    <w:rsid w:val="3AC32CD9"/>
    <w:rsid w:val="3B143534"/>
    <w:rsid w:val="3BF53366"/>
    <w:rsid w:val="3C131A3E"/>
    <w:rsid w:val="3C9012E0"/>
    <w:rsid w:val="3CD92605"/>
    <w:rsid w:val="3E6B5B61"/>
    <w:rsid w:val="3E7569E0"/>
    <w:rsid w:val="3F1461F9"/>
    <w:rsid w:val="3F6820A1"/>
    <w:rsid w:val="40420B44"/>
    <w:rsid w:val="413606A8"/>
    <w:rsid w:val="41A970CC"/>
    <w:rsid w:val="41E00614"/>
    <w:rsid w:val="426E79CE"/>
    <w:rsid w:val="42B06238"/>
    <w:rsid w:val="43425C28"/>
    <w:rsid w:val="434A7317"/>
    <w:rsid w:val="435B43F6"/>
    <w:rsid w:val="43E443EC"/>
    <w:rsid w:val="43EE7018"/>
    <w:rsid w:val="45433394"/>
    <w:rsid w:val="45535881"/>
    <w:rsid w:val="45635287"/>
    <w:rsid w:val="4577303D"/>
    <w:rsid w:val="46160AA8"/>
    <w:rsid w:val="46A41C10"/>
    <w:rsid w:val="46E60C47"/>
    <w:rsid w:val="46F661E4"/>
    <w:rsid w:val="47D03360"/>
    <w:rsid w:val="48084790"/>
    <w:rsid w:val="48142DC6"/>
    <w:rsid w:val="48C4659A"/>
    <w:rsid w:val="48D367DD"/>
    <w:rsid w:val="48E6636C"/>
    <w:rsid w:val="4989333F"/>
    <w:rsid w:val="498B5309"/>
    <w:rsid w:val="49ED77FC"/>
    <w:rsid w:val="4AB97C54"/>
    <w:rsid w:val="4AC97E97"/>
    <w:rsid w:val="4B0435C5"/>
    <w:rsid w:val="4B243323"/>
    <w:rsid w:val="4BFC24EE"/>
    <w:rsid w:val="4C344704"/>
    <w:rsid w:val="4C7B6F94"/>
    <w:rsid w:val="4CA706AC"/>
    <w:rsid w:val="4CF17B79"/>
    <w:rsid w:val="4D714816"/>
    <w:rsid w:val="4D895DEA"/>
    <w:rsid w:val="4E775E5C"/>
    <w:rsid w:val="4F8151E4"/>
    <w:rsid w:val="4F895E47"/>
    <w:rsid w:val="4F980780"/>
    <w:rsid w:val="500D0826"/>
    <w:rsid w:val="5023004A"/>
    <w:rsid w:val="510F6820"/>
    <w:rsid w:val="512F0C70"/>
    <w:rsid w:val="51714DE5"/>
    <w:rsid w:val="51EA4542"/>
    <w:rsid w:val="52080B98"/>
    <w:rsid w:val="523A5B1F"/>
    <w:rsid w:val="526A530A"/>
    <w:rsid w:val="52942C01"/>
    <w:rsid w:val="52B92EE7"/>
    <w:rsid w:val="530F2B07"/>
    <w:rsid w:val="53890B0C"/>
    <w:rsid w:val="53E977FC"/>
    <w:rsid w:val="54322F51"/>
    <w:rsid w:val="546F546D"/>
    <w:rsid w:val="56747F5A"/>
    <w:rsid w:val="56BF65F2"/>
    <w:rsid w:val="57790E97"/>
    <w:rsid w:val="57E0507C"/>
    <w:rsid w:val="57ED059C"/>
    <w:rsid w:val="587D0513"/>
    <w:rsid w:val="59B241EC"/>
    <w:rsid w:val="5A377916"/>
    <w:rsid w:val="5A4F5EDF"/>
    <w:rsid w:val="5A84202D"/>
    <w:rsid w:val="5BB64468"/>
    <w:rsid w:val="5BDB03DC"/>
    <w:rsid w:val="5C08666D"/>
    <w:rsid w:val="5CDD77D2"/>
    <w:rsid w:val="5D1A10DB"/>
    <w:rsid w:val="5DED7EE9"/>
    <w:rsid w:val="5E7A5C21"/>
    <w:rsid w:val="5E9D36BD"/>
    <w:rsid w:val="5F443B39"/>
    <w:rsid w:val="5FB76A00"/>
    <w:rsid w:val="60563B24"/>
    <w:rsid w:val="60C82547"/>
    <w:rsid w:val="63035AB9"/>
    <w:rsid w:val="634E4F86"/>
    <w:rsid w:val="63BD3EBA"/>
    <w:rsid w:val="645962D8"/>
    <w:rsid w:val="64964E36"/>
    <w:rsid w:val="64BE0410"/>
    <w:rsid w:val="64C00105"/>
    <w:rsid w:val="651A7162"/>
    <w:rsid w:val="657F58CB"/>
    <w:rsid w:val="65A92947"/>
    <w:rsid w:val="65F31E15"/>
    <w:rsid w:val="66903B07"/>
    <w:rsid w:val="66952ECC"/>
    <w:rsid w:val="67B25A73"/>
    <w:rsid w:val="6837248C"/>
    <w:rsid w:val="68E33322"/>
    <w:rsid w:val="696C5CE6"/>
    <w:rsid w:val="69E46644"/>
    <w:rsid w:val="6C223454"/>
    <w:rsid w:val="6D4573FA"/>
    <w:rsid w:val="6EEB6121"/>
    <w:rsid w:val="6EEF6933"/>
    <w:rsid w:val="70615AFE"/>
    <w:rsid w:val="71EF202A"/>
    <w:rsid w:val="723839D1"/>
    <w:rsid w:val="730438B3"/>
    <w:rsid w:val="73A82490"/>
    <w:rsid w:val="74147B26"/>
    <w:rsid w:val="74E03EAC"/>
    <w:rsid w:val="753D4E5A"/>
    <w:rsid w:val="75644ADD"/>
    <w:rsid w:val="75C5557C"/>
    <w:rsid w:val="75D91027"/>
    <w:rsid w:val="76740D50"/>
    <w:rsid w:val="769639CB"/>
    <w:rsid w:val="76AF7FDA"/>
    <w:rsid w:val="770B16B4"/>
    <w:rsid w:val="779A7D05"/>
    <w:rsid w:val="779E610C"/>
    <w:rsid w:val="78130016"/>
    <w:rsid w:val="78482494"/>
    <w:rsid w:val="79A74F98"/>
    <w:rsid w:val="79E03564"/>
    <w:rsid w:val="7A9E283F"/>
    <w:rsid w:val="7B7B08E0"/>
    <w:rsid w:val="7BBB4D2B"/>
    <w:rsid w:val="7C4116D4"/>
    <w:rsid w:val="7C8A4E29"/>
    <w:rsid w:val="7CD57AF0"/>
    <w:rsid w:val="7D006E99"/>
    <w:rsid w:val="7D3D1E9B"/>
    <w:rsid w:val="7D9719E4"/>
    <w:rsid w:val="7DAB1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6"/>
    <w:qFormat/>
    <w:uiPriority w:val="99"/>
    <w:pPr>
      <w:keepLines/>
      <w:widowControl/>
      <w:spacing w:before="120" w:after="60"/>
      <w:jc w:val="left"/>
      <w:outlineLvl w:val="1"/>
    </w:pPr>
    <w:rPr>
      <w:b/>
      <w:sz w:val="3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line="240" w:lineRule="auto"/>
      <w:ind w:left="420" w:leftChars="200" w:firstLine="200" w:firstLineChars="200"/>
    </w:pPr>
    <w:rPr>
      <w:szCs w:val="24"/>
    </w:rPr>
  </w:style>
  <w:style w:type="paragraph" w:styleId="3">
    <w:name w:val="Body Text Indent"/>
    <w:basedOn w:val="1"/>
    <w:next w:val="1"/>
    <w:qFormat/>
    <w:uiPriority w:val="0"/>
    <w:pPr>
      <w:spacing w:line="200" w:lineRule="exact"/>
      <w:ind w:firstLine="301"/>
    </w:pPr>
    <w:rPr>
      <w:rFonts w:ascii="宋体" w:hAnsi="Courier New"/>
      <w:spacing w:val="-4"/>
      <w:sz w:val="18"/>
      <w:szCs w:val="20"/>
    </w:rPr>
  </w:style>
  <w:style w:type="paragraph" w:styleId="6">
    <w:name w:val="Normal Indent"/>
    <w:basedOn w:val="1"/>
    <w:qFormat/>
    <w:uiPriority w:val="0"/>
    <w:pPr>
      <w:ind w:firstLine="420"/>
    </w:pPr>
    <w:rPr>
      <w:szCs w:val="20"/>
    </w:rPr>
  </w:style>
  <w:style w:type="paragraph" w:styleId="7">
    <w:name w:val="List Number"/>
    <w:basedOn w:val="1"/>
    <w:qFormat/>
    <w:uiPriority w:val="0"/>
    <w:pPr>
      <w:numPr>
        <w:ilvl w:val="0"/>
        <w:numId w:val="1"/>
      </w:numPr>
    </w:p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List 2"/>
    <w:basedOn w:val="1"/>
    <w:qFormat/>
    <w:uiPriority w:val="0"/>
    <w:pPr>
      <w:ind w:left="100" w:leftChars="200" w:hanging="200" w:hangingChars="200"/>
    </w:pPr>
    <w:rPr>
      <w:sz w:val="28"/>
    </w:rPr>
  </w:style>
  <w:style w:type="paragraph" w:styleId="11">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12">
    <w:name w:val="Plain Text"/>
    <w:basedOn w:val="1"/>
    <w:next w:val="1"/>
    <w:qFormat/>
    <w:uiPriority w:val="0"/>
    <w:pPr>
      <w:snapToGrid w:val="0"/>
      <w:spacing w:line="420" w:lineRule="exact"/>
    </w:pPr>
    <w:rPr>
      <w:rFonts w:ascii="宋体" w:hAnsi="宋体"/>
      <w:b/>
      <w:kern w:val="0"/>
      <w:szCs w:val="21"/>
    </w:rPr>
  </w:style>
  <w:style w:type="paragraph" w:styleId="13">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eastAsia="仿宋_GB2312"/>
      <w:sz w:val="18"/>
      <w:szCs w:val="20"/>
    </w:rPr>
  </w:style>
  <w:style w:type="paragraph" w:styleId="15">
    <w:name w:val="Body Text Indent 3"/>
    <w:basedOn w:val="1"/>
    <w:qFormat/>
    <w:uiPriority w:val="0"/>
    <w:pPr>
      <w:snapToGrid w:val="0"/>
      <w:ind w:firstLine="480" w:firstLineChars="200"/>
      <w:jc w:val="left"/>
    </w:pPr>
    <w:rPr>
      <w:rFonts w:ascii="仿宋_GB2312" w:hAnsi="宋体" w:eastAsia="仿宋_GB2312"/>
      <w:color w:val="000000"/>
      <w:sz w:val="24"/>
    </w:rPr>
  </w:style>
  <w:style w:type="paragraph" w:styleId="16">
    <w:name w:val="Body Text 2"/>
    <w:basedOn w:val="1"/>
    <w:qFormat/>
    <w:uiPriority w:val="0"/>
    <w:pPr>
      <w:widowControl/>
      <w:snapToGrid w:val="0"/>
      <w:spacing w:before="50" w:after="156" w:afterLines="50" w:line="400" w:lineRule="exact"/>
      <w:jc w:val="left"/>
    </w:pPr>
    <w:rPr>
      <w:rFonts w:ascii="宋体" w:hAnsi="宋体"/>
      <w:color w:val="000000"/>
      <w:sz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9"/>
    <w:next w:val="1"/>
    <w:qFormat/>
    <w:uiPriority w:val="0"/>
    <w:pPr>
      <w:autoSpaceDE w:val="0"/>
      <w:autoSpaceDN w:val="0"/>
      <w:adjustRightInd w:val="0"/>
      <w:spacing w:after="0"/>
      <w:jc w:val="left"/>
    </w:pPr>
    <w:rPr>
      <w:rFonts w:ascii="Times New Roman" w:hAnsi="Times New Roman" w:eastAsia="宋体" w:cs="Times New Roman"/>
      <w:kern w:val="0"/>
      <w:szCs w:val="20"/>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rFonts w:cs="Times New Roman"/>
      <w:color w:val="0000FF"/>
      <w:u w:val="single"/>
    </w:rPr>
  </w:style>
  <w:style w:type="paragraph" w:customStyle="1" w:styleId="23">
    <w:name w:val="List Paragraph"/>
    <w:basedOn w:val="1"/>
    <w:next w:val="24"/>
    <w:qFormat/>
    <w:uiPriority w:val="0"/>
    <w:pPr>
      <w:ind w:firstLine="420" w:firstLineChars="200"/>
    </w:pPr>
  </w:style>
  <w:style w:type="paragraph" w:customStyle="1" w:styleId="24">
    <w:name w:val="目录 32"/>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25">
    <w:name w:val="正文1"/>
    <w:basedOn w:val="1"/>
    <w:next w:val="1"/>
    <w:qFormat/>
    <w:uiPriority w:val="99"/>
    <w:pPr>
      <w:numPr>
        <w:ilvl w:val="0"/>
        <w:numId w:val="2"/>
      </w:numPr>
      <w:spacing w:line="360" w:lineRule="auto"/>
      <w:jc w:val="left"/>
    </w:pPr>
    <w:rPr>
      <w:rFonts w:ascii="宋体" w:hAnsi="宋体"/>
      <w:spacing w:val="4"/>
      <w:sz w:val="18"/>
      <w:szCs w:val="20"/>
    </w:rPr>
  </w:style>
  <w:style w:type="paragraph" w:customStyle="1" w:styleId="2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7">
    <w:name w:val="Other|1"/>
    <w:basedOn w:val="1"/>
    <w:qFormat/>
    <w:uiPriority w:val="0"/>
    <w:pPr>
      <w:spacing w:line="480" w:lineRule="auto"/>
      <w:ind w:firstLine="400"/>
    </w:pPr>
    <w:rPr>
      <w:rFonts w:ascii="宋体" w:hAnsi="宋体" w:cs="宋体"/>
      <w:sz w:val="26"/>
      <w:szCs w:val="26"/>
      <w:lang w:val="zh-TW" w:eastAsia="zh-TW" w:bidi="zh-TW"/>
    </w:rPr>
  </w:style>
  <w:style w:type="paragraph" w:customStyle="1" w:styleId="28">
    <w:name w:val="Table Paragraph"/>
    <w:basedOn w:val="1"/>
    <w:qFormat/>
    <w:uiPriority w:val="1"/>
    <w:pPr>
      <w:autoSpaceDE w:val="0"/>
      <w:autoSpaceDN w:val="0"/>
      <w:adjustRightInd w:val="0"/>
      <w:jc w:val="left"/>
    </w:pPr>
    <w:rPr>
      <w:rFonts w:eastAsia="宋体"/>
      <w:kern w:val="0"/>
      <w:sz w:val="24"/>
    </w:rPr>
  </w:style>
  <w:style w:type="paragraph" w:customStyle="1" w:styleId="29">
    <w:name w:val="Heading 3"/>
    <w:basedOn w:val="1"/>
    <w:qFormat/>
    <w:uiPriority w:val="1"/>
    <w:pPr>
      <w:autoSpaceDE w:val="0"/>
      <w:autoSpaceDN w:val="0"/>
      <w:adjustRightInd w:val="0"/>
      <w:spacing w:before="118"/>
      <w:ind w:left="117"/>
      <w:jc w:val="left"/>
      <w:outlineLvl w:val="2"/>
    </w:pPr>
    <w:rPr>
      <w:rFonts w:ascii="宋体" w:cs="宋体"/>
      <w:b/>
      <w:bCs/>
      <w:kern w:val="0"/>
      <w:szCs w:val="21"/>
    </w:rPr>
  </w:style>
  <w:style w:type="paragraph" w:customStyle="1" w:styleId="30">
    <w:name w:val="默认段落字体 Para Char Char Char Char Char Char Char Char Char1 Char 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5759</Words>
  <Characters>6385</Characters>
  <Lines>0</Lines>
  <Paragraphs>0</Paragraphs>
  <TotalTime>9</TotalTime>
  <ScaleCrop>false</ScaleCrop>
  <LinksUpToDate>false</LinksUpToDate>
  <CharactersWithSpaces>6546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2026-01-20T07:49:00Z</dcterms:created>
  <dc:creator>Administrator</dc:creator>
  <cp:lastModifiedBy>武</cp:lastModifiedBy>
  <cp:lastPrinted>2026-02-12T08:06:00Z</cp:lastPrinted>
  <dcterms:modified xsi:type="dcterms:W3CDTF">2026-05-15T08:04:33Z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eyJoZGlkIjoiNGY0YjdhMGRkNGNmNjdkYjBjYjIwODgwNDRlNzZkM2IiLCJ1c2VySWQiOiIyNDMzNTU5NzIifQ==</vt:lpwstr>
  </property>
  <property fmtid="{D5CDD505-2E9C-101B-9397-08002B2CF9AE}" pid="4" name="ICV">
    <vt:lpwstr>C1460F0D4D6B480F9EA6749D8F3775D0_13</vt:lpwstr>
  </property>
</Properties>
</file>